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A1D88" w14:textId="77777777" w:rsidR="00491E05" w:rsidRPr="004221EC" w:rsidRDefault="004221EC" w:rsidP="00D04DAC">
      <w:pPr>
        <w:pStyle w:val="Title"/>
        <w:spacing w:line="480" w:lineRule="auto"/>
        <w:rPr>
          <w:rFonts w:asciiTheme="minorHAnsi" w:hAnsiTheme="minorHAnsi"/>
        </w:rPr>
      </w:pPr>
      <w:bookmarkStart w:id="0" w:name="_GoBack"/>
      <w:bookmarkEnd w:id="0"/>
      <w:r w:rsidRPr="004221EC">
        <w:rPr>
          <w:rFonts w:asciiTheme="minorHAnsi" w:hAnsiTheme="minorHAnsi"/>
        </w:rPr>
        <w:t>Cost-effectiveness of strategies to improve delivery of brief interventions for heavy drinking in primary care: results from the ODHIN trial</w:t>
      </w:r>
    </w:p>
    <w:p w14:paraId="42FBCD16" w14:textId="766B5803" w:rsidR="004221EC" w:rsidRPr="00AE7C70" w:rsidRDefault="004221EC" w:rsidP="00D04DAC">
      <w:pPr>
        <w:spacing w:line="480" w:lineRule="auto"/>
        <w:rPr>
          <w:lang w:val="it-IT"/>
        </w:rPr>
      </w:pPr>
      <w:r w:rsidRPr="00AE7C70">
        <w:rPr>
          <w:lang w:val="it-IT"/>
        </w:rPr>
        <w:t>Colin Angus</w:t>
      </w:r>
      <w:r w:rsidRPr="00AE7C70">
        <w:rPr>
          <w:vertAlign w:val="superscript"/>
          <w:lang w:val="it-IT"/>
        </w:rPr>
        <w:t>1</w:t>
      </w:r>
      <w:r w:rsidRPr="00AE7C70">
        <w:rPr>
          <w:lang w:val="it-IT"/>
        </w:rPr>
        <w:t>, Jinshuo Li</w:t>
      </w:r>
      <w:r w:rsidRPr="00AE7C70">
        <w:rPr>
          <w:vertAlign w:val="superscript"/>
          <w:lang w:val="it-IT"/>
        </w:rPr>
        <w:t>2</w:t>
      </w:r>
      <w:r w:rsidRPr="00AE7C70">
        <w:rPr>
          <w:lang w:val="it-IT"/>
        </w:rPr>
        <w:t>, Esperanza Romero</w:t>
      </w:r>
      <w:r w:rsidR="00B914BE" w:rsidRPr="00AE7C70">
        <w:rPr>
          <w:lang w:val="it-IT"/>
        </w:rPr>
        <w:t>-Rodriguez</w:t>
      </w:r>
      <w:r w:rsidRPr="00AE7C70">
        <w:rPr>
          <w:vertAlign w:val="superscript"/>
          <w:lang w:val="it-IT"/>
        </w:rPr>
        <w:t>3</w:t>
      </w:r>
      <w:r w:rsidRPr="00AE7C70">
        <w:rPr>
          <w:lang w:val="it-IT"/>
        </w:rPr>
        <w:t>, Peter Anderson</w:t>
      </w:r>
      <w:r w:rsidR="00BF149C" w:rsidRPr="00AE7C70">
        <w:rPr>
          <w:vertAlign w:val="superscript"/>
          <w:lang w:val="it-IT"/>
        </w:rPr>
        <w:t>4</w:t>
      </w:r>
      <w:r w:rsidR="00BD60A4" w:rsidRPr="00AE7C70">
        <w:rPr>
          <w:vertAlign w:val="superscript"/>
          <w:lang w:val="it-IT"/>
        </w:rPr>
        <w:t>,5</w:t>
      </w:r>
      <w:r w:rsidR="00BF149C" w:rsidRPr="00AE7C70">
        <w:rPr>
          <w:lang w:val="it-IT"/>
        </w:rPr>
        <w:t xml:space="preserve">, </w:t>
      </w:r>
      <w:r w:rsidRPr="00AE7C70">
        <w:rPr>
          <w:lang w:val="it-IT"/>
        </w:rPr>
        <w:t>Steve Parrott</w:t>
      </w:r>
      <w:r w:rsidRPr="00AE7C70">
        <w:rPr>
          <w:vertAlign w:val="superscript"/>
          <w:lang w:val="it-IT"/>
        </w:rPr>
        <w:t>2</w:t>
      </w:r>
      <w:r w:rsidRPr="00AE7C70">
        <w:rPr>
          <w:lang w:val="it-IT"/>
        </w:rPr>
        <w:t>, Alan Brennan</w:t>
      </w:r>
      <w:r w:rsidRPr="00AE7C70">
        <w:rPr>
          <w:vertAlign w:val="superscript"/>
          <w:lang w:val="it-IT"/>
        </w:rPr>
        <w:t>1</w:t>
      </w:r>
    </w:p>
    <w:p w14:paraId="50F7A74C" w14:textId="77777777" w:rsidR="004221EC" w:rsidRDefault="004221EC" w:rsidP="00D04DAC">
      <w:pPr>
        <w:spacing w:line="480" w:lineRule="auto"/>
      </w:pPr>
      <w:r>
        <w:rPr>
          <w:vertAlign w:val="superscript"/>
        </w:rPr>
        <w:t>1</w:t>
      </w:r>
      <w:r>
        <w:t>School of Health and Related Research, University of Sheffield, Sheffield, UK</w:t>
      </w:r>
    </w:p>
    <w:p w14:paraId="47D9F470" w14:textId="77777777" w:rsidR="004221EC" w:rsidRDefault="004221EC" w:rsidP="00D04DAC">
      <w:pPr>
        <w:spacing w:line="480" w:lineRule="auto"/>
      </w:pPr>
      <w:r>
        <w:rPr>
          <w:vertAlign w:val="superscript"/>
        </w:rPr>
        <w:t>2</w:t>
      </w:r>
      <w:r>
        <w:t>Department of Health Sciences, University of York, York, UK</w:t>
      </w:r>
    </w:p>
    <w:p w14:paraId="0F8340C3" w14:textId="4A5D9973" w:rsidR="004221EC" w:rsidRDefault="004221EC" w:rsidP="00D04DAC">
      <w:pPr>
        <w:spacing w:line="480" w:lineRule="auto"/>
      </w:pPr>
      <w:r>
        <w:rPr>
          <w:vertAlign w:val="superscript"/>
        </w:rPr>
        <w:t>3</w:t>
      </w:r>
      <w:r w:rsidR="00B914BE">
        <w:rPr>
          <w:vertAlign w:val="superscript"/>
        </w:rPr>
        <w:t xml:space="preserve"> </w:t>
      </w:r>
      <w:r w:rsidR="00B914BE">
        <w:t xml:space="preserve">Maimonides Biomedical Research Institute of Cordoba (IMIBIC), Reina Sofia University Hospital, </w:t>
      </w:r>
      <w:r>
        <w:t>University of Cordoba, Cordoba, Spain</w:t>
      </w:r>
    </w:p>
    <w:p w14:paraId="395824AC" w14:textId="0F1C533E" w:rsidR="00BF149C" w:rsidRDefault="00BF149C" w:rsidP="00D04DAC">
      <w:pPr>
        <w:spacing w:line="480" w:lineRule="auto"/>
        <w:rPr>
          <w:lang w:val="en-US"/>
        </w:rPr>
      </w:pPr>
      <w:r>
        <w:rPr>
          <w:vertAlign w:val="superscript"/>
        </w:rPr>
        <w:t>4</w:t>
      </w:r>
      <w:r>
        <w:rPr>
          <w:lang w:val="en-US"/>
        </w:rPr>
        <w:t>Institute of Health and Society, Newcastle University, Newcastle upon Tyne, UK</w:t>
      </w:r>
    </w:p>
    <w:p w14:paraId="4CB23795" w14:textId="6F90226B" w:rsidR="00BD60A4" w:rsidRPr="001A6F40" w:rsidRDefault="00BD60A4" w:rsidP="00D04DAC">
      <w:pPr>
        <w:spacing w:line="480" w:lineRule="auto"/>
        <w:rPr>
          <w:color w:val="000000" w:themeColor="text1"/>
          <w:sz w:val="24"/>
        </w:rPr>
      </w:pPr>
      <w:r w:rsidRPr="001A6F40">
        <w:rPr>
          <w:rFonts w:eastAsia="Calibri" w:cs="Times New Roman"/>
          <w:noProof/>
          <w:color w:val="000000" w:themeColor="text1"/>
          <w:szCs w:val="20"/>
          <w:vertAlign w:val="superscript"/>
          <w:lang w:eastAsia="en-GB"/>
        </w:rPr>
        <w:t>5</w:t>
      </w:r>
      <w:r w:rsidRPr="001A6F40">
        <w:rPr>
          <w:rFonts w:eastAsia="Calibri" w:cs="Times New Roman"/>
          <w:noProof/>
          <w:color w:val="000000" w:themeColor="text1"/>
          <w:szCs w:val="20"/>
          <w:lang w:eastAsia="en-GB"/>
        </w:rPr>
        <w:t>Faculty of Health, Medicine and Life Sciences, Maastricht University, Netherlands</w:t>
      </w:r>
    </w:p>
    <w:p w14:paraId="0583BE4B" w14:textId="77777777" w:rsidR="004221EC" w:rsidRDefault="004221EC" w:rsidP="00D04DAC">
      <w:pPr>
        <w:spacing w:line="480" w:lineRule="auto"/>
      </w:pPr>
      <w:r w:rsidRPr="005272C3">
        <w:rPr>
          <w:b/>
        </w:rPr>
        <w:t>Correspondence</w:t>
      </w:r>
      <w:r>
        <w:t xml:space="preserve">: Colin Angus, School of Health and Related </w:t>
      </w:r>
      <w:r w:rsidRPr="00377FD5">
        <w:rPr>
          <w:lang w:val="en-US"/>
        </w:rPr>
        <w:t xml:space="preserve">Research, University of Sheffield, </w:t>
      </w:r>
      <w:r>
        <w:rPr>
          <w:lang w:val="en-US"/>
        </w:rPr>
        <w:t>Sheffield, UK, Tel: 0114 2220686, Fax: 0114 2720749, email: c.r.angus@sheffield.ac.uk</w:t>
      </w:r>
    </w:p>
    <w:p w14:paraId="2A27F4A0" w14:textId="77777777" w:rsidR="004221EC" w:rsidRDefault="004221EC" w:rsidP="00D04DAC">
      <w:pPr>
        <w:spacing w:line="480" w:lineRule="auto"/>
        <w:rPr>
          <w:lang w:val="en-US"/>
        </w:rPr>
      </w:pPr>
      <w:r>
        <w:rPr>
          <w:b/>
          <w:lang w:val="en-US"/>
        </w:rPr>
        <w:t xml:space="preserve">Running Head: </w:t>
      </w:r>
      <w:r>
        <w:rPr>
          <w:lang w:val="en-US"/>
        </w:rPr>
        <w:t>Cost-effectiveness of improving SBI delivery</w:t>
      </w:r>
    </w:p>
    <w:p w14:paraId="59E06C80" w14:textId="2E47BBB5" w:rsidR="004221EC" w:rsidRDefault="004221EC" w:rsidP="00D04DAC">
      <w:pPr>
        <w:spacing w:line="480" w:lineRule="auto"/>
        <w:rPr>
          <w:lang w:val="en-US"/>
        </w:rPr>
      </w:pPr>
      <w:r>
        <w:rPr>
          <w:b/>
          <w:lang w:val="en-US"/>
        </w:rPr>
        <w:t>Word Count</w:t>
      </w:r>
      <w:r w:rsidRPr="00DB3391">
        <w:rPr>
          <w:b/>
          <w:lang w:val="en-US"/>
        </w:rPr>
        <w:t>:</w:t>
      </w:r>
      <w:r w:rsidR="00984C07" w:rsidRPr="00DB3391">
        <w:rPr>
          <w:lang w:val="en-US"/>
        </w:rPr>
        <w:t xml:space="preserve"> </w:t>
      </w:r>
      <w:r w:rsidR="00C5469F">
        <w:rPr>
          <w:lang w:val="en-US"/>
        </w:rPr>
        <w:t>3,</w:t>
      </w:r>
      <w:r w:rsidR="00F83721">
        <w:rPr>
          <w:lang w:val="en-US"/>
        </w:rPr>
        <w:t>393</w:t>
      </w:r>
    </w:p>
    <w:p w14:paraId="0BD7CF8A" w14:textId="77777777" w:rsidR="00BF149C" w:rsidRDefault="00BF149C" w:rsidP="00D04DAC">
      <w:pPr>
        <w:spacing w:line="480" w:lineRule="auto"/>
      </w:pPr>
      <w:r>
        <w:br w:type="page"/>
      </w:r>
    </w:p>
    <w:p w14:paraId="71419C66" w14:textId="47227E7C" w:rsidR="00BF149C" w:rsidRDefault="00BF149C" w:rsidP="00D04DAC">
      <w:pPr>
        <w:pStyle w:val="Heading1"/>
        <w:spacing w:line="480" w:lineRule="auto"/>
      </w:pPr>
      <w:r>
        <w:lastRenderedPageBreak/>
        <w:t>Abstract</w:t>
      </w:r>
    </w:p>
    <w:p w14:paraId="115B2441" w14:textId="5B570286" w:rsidR="00D04DAC" w:rsidRDefault="00D04DAC" w:rsidP="003F45B4">
      <w:pPr>
        <w:pStyle w:val="Heading2"/>
        <w:spacing w:line="480" w:lineRule="auto"/>
      </w:pPr>
      <w:r>
        <w:t>Background</w:t>
      </w:r>
    </w:p>
    <w:p w14:paraId="3408A958" w14:textId="33A112CE" w:rsidR="00D04DAC" w:rsidRDefault="002E35F5" w:rsidP="00A3669B">
      <w:pPr>
        <w:spacing w:line="480" w:lineRule="auto"/>
      </w:pPr>
      <w:r>
        <w:t>Screening and Brief Interventions</w:t>
      </w:r>
      <w:r w:rsidR="003F45B4">
        <w:t xml:space="preserve"> (SBIs)</w:t>
      </w:r>
      <w:r>
        <w:t xml:space="preserve"> for heavy drinking are an effective and cost-effective approach to reducing alcohol-related harm, </w:t>
      </w:r>
      <w:r w:rsidR="00A3669B">
        <w:t xml:space="preserve">yet </w:t>
      </w:r>
      <w:r>
        <w:t>deliver</w:t>
      </w:r>
      <w:r w:rsidR="00BE39B0">
        <w:t>y</w:t>
      </w:r>
      <w:r>
        <w:t xml:space="preserve"> rates remain low.</w:t>
      </w:r>
      <w:r w:rsidR="00BE39B0">
        <w:t xml:space="preserve"> This study uses trial data to estimate the cost effectiveness of alternative strategies to increase SBI delivery.</w:t>
      </w:r>
    </w:p>
    <w:p w14:paraId="1C94CEEF" w14:textId="557F289F" w:rsidR="00D04DAC" w:rsidRDefault="00D04DAC" w:rsidP="003F45B4">
      <w:pPr>
        <w:pStyle w:val="Heading2"/>
        <w:spacing w:line="480" w:lineRule="auto"/>
      </w:pPr>
      <w:r>
        <w:t>Methods</w:t>
      </w:r>
    </w:p>
    <w:p w14:paraId="0A4646B0" w14:textId="59B95505" w:rsidR="00D04DAC" w:rsidRDefault="003F45B4" w:rsidP="00A3669B">
      <w:pPr>
        <w:spacing w:line="480" w:lineRule="auto"/>
      </w:pPr>
      <w:r>
        <w:t>Data from a large cluster-randomised trial w</w:t>
      </w:r>
      <w:r w:rsidR="00BE39B0">
        <w:t>ere</w:t>
      </w:r>
      <w:r>
        <w:t xml:space="preserve"> combined with the Sheffield Alcohol Policy Model, a policy appraisal tool, to estimate the cost effectiveness of eight strategies to increase </w:t>
      </w:r>
      <w:r w:rsidR="00A3669B">
        <w:t xml:space="preserve">SBI </w:t>
      </w:r>
      <w:r>
        <w:t>delivery in primary care in England, Poland and the Netherlands: care as usual (control), training and support (TS), financial reimbursement (FR), referral of patients to an online intervention (eBI) and all combinations of TS, FR and eBI. Cost-effectiveness was assessed</w:t>
      </w:r>
      <w:r w:rsidR="00256968">
        <w:t xml:space="preserve"> from a healthcare perspective</w:t>
      </w:r>
      <w:r>
        <w:t xml:space="preserve"> by comparing health benefits (measured in Quality-Adjusted Life Years (QALYs)) with total implementation costs and downstream healthcare savings for each strategy </w:t>
      </w:r>
      <w:r w:rsidR="004A7FBA">
        <w:t>over a 30</w:t>
      </w:r>
      <w:r w:rsidR="007E7442">
        <w:t>-</w:t>
      </w:r>
      <w:r w:rsidR="004A7FBA">
        <w:t xml:space="preserve">year horizon </w:t>
      </w:r>
      <w:r>
        <w:t>and calculating Incremental Cost-Effectiveness Ratios (ICERs).</w:t>
      </w:r>
    </w:p>
    <w:p w14:paraId="67B88780" w14:textId="30F94A74" w:rsidR="00D04DAC" w:rsidRDefault="00D04DAC" w:rsidP="00D04DAC">
      <w:pPr>
        <w:pStyle w:val="Heading2"/>
      </w:pPr>
      <w:r>
        <w:t>Results</w:t>
      </w:r>
    </w:p>
    <w:p w14:paraId="66AA0D32" w14:textId="6B86B367" w:rsidR="00D04DAC" w:rsidRDefault="003F45B4" w:rsidP="002E35F5">
      <w:pPr>
        <w:spacing w:line="480" w:lineRule="auto"/>
      </w:pPr>
      <w:r>
        <w:t>All trialled strategies we</w:t>
      </w:r>
      <w:r w:rsidR="002E35F5">
        <w:t xml:space="preserve">re cost-effective compared to control. </w:t>
      </w:r>
      <w:r>
        <w:t>TS combined with FR wa</w:t>
      </w:r>
      <w:r w:rsidR="002E35F5">
        <w:t>s the most cost-effective approach in England (more effective and less costly than control) and Poland (ICER €4,632 vs. next best strategy). This combination is not cost-effective in the Netherlands, where TS alone is the most cost-effective approach (ICER €3,386 vs. next best strategy).</w:t>
      </w:r>
    </w:p>
    <w:p w14:paraId="500AC329" w14:textId="54FF26DF" w:rsidR="00D04DAC" w:rsidRDefault="00D04DAC" w:rsidP="002E35F5">
      <w:pPr>
        <w:pStyle w:val="Heading2"/>
        <w:spacing w:line="480" w:lineRule="auto"/>
      </w:pPr>
      <w:r>
        <w:t>Conclusions</w:t>
      </w:r>
    </w:p>
    <w:p w14:paraId="5EE01462" w14:textId="54F62E57" w:rsidR="00BF149C" w:rsidRDefault="003F45B4" w:rsidP="00A3669B">
      <w:pPr>
        <w:spacing w:line="480" w:lineRule="auto"/>
      </w:pPr>
      <w:r>
        <w:t xml:space="preserve">Structured training and support, financial incentives and access to online interventions are all estimated to be </w:t>
      </w:r>
      <w:r w:rsidR="002E35F5">
        <w:t>cost-effective method</w:t>
      </w:r>
      <w:r>
        <w:t>s</w:t>
      </w:r>
      <w:r w:rsidR="002E35F5">
        <w:t xml:space="preserve"> of improving delivery of alcohol brief interventions. TS and FR </w:t>
      </w:r>
      <w:r w:rsidR="00A3669B">
        <w:t>together</w:t>
      </w:r>
      <w:r w:rsidR="002E35F5">
        <w:t xml:space="preserve"> </w:t>
      </w:r>
      <w:r w:rsidR="00497A04">
        <w:t>may</w:t>
      </w:r>
      <w:r w:rsidR="002E35F5">
        <w:t xml:space="preserve"> be the most cost-effective approach, however this is sensitive to country characteristics and alternative</w:t>
      </w:r>
      <w:r w:rsidR="00A3669B">
        <w:t xml:space="preserve"> BI effect</w:t>
      </w:r>
      <w:r w:rsidR="002E35F5">
        <w:t xml:space="preserve"> assumptions.</w:t>
      </w:r>
    </w:p>
    <w:p w14:paraId="557AD263" w14:textId="77777777" w:rsidR="00BF149C" w:rsidRDefault="00BF149C" w:rsidP="00D04DAC">
      <w:pPr>
        <w:pStyle w:val="Heading2"/>
        <w:spacing w:line="480" w:lineRule="auto"/>
      </w:pPr>
      <w:r>
        <w:lastRenderedPageBreak/>
        <w:t>Trial registration</w:t>
      </w:r>
    </w:p>
    <w:p w14:paraId="63E5F12F" w14:textId="15A0E368" w:rsidR="00BF149C" w:rsidRDefault="00BF149C" w:rsidP="00D04DAC">
      <w:pPr>
        <w:spacing w:line="480" w:lineRule="auto"/>
      </w:pPr>
      <w:r>
        <w:t>ClinicalTrials.gov trial identifier: NCT01501552</w:t>
      </w:r>
    </w:p>
    <w:p w14:paraId="5840D65C" w14:textId="00796462" w:rsidR="00717FDC" w:rsidRDefault="00717FDC" w:rsidP="00717FDC">
      <w:pPr>
        <w:pStyle w:val="Heading2"/>
      </w:pPr>
      <w:r>
        <w:t>Key Words</w:t>
      </w:r>
    </w:p>
    <w:p w14:paraId="4C0CAB8A" w14:textId="404C5084" w:rsidR="00717FDC" w:rsidRPr="00717FDC" w:rsidRDefault="00717FDC" w:rsidP="00717FDC">
      <w:r>
        <w:t>Alcohol policy, Brief Interventions, Cost-Effectiveness, Implementation Science</w:t>
      </w:r>
    </w:p>
    <w:p w14:paraId="07629462" w14:textId="77777777" w:rsidR="00BF149C" w:rsidRDefault="00BF149C" w:rsidP="00D04DAC">
      <w:pPr>
        <w:spacing w:line="480" w:lineRule="auto"/>
      </w:pPr>
      <w:r>
        <w:br w:type="page"/>
      </w:r>
    </w:p>
    <w:p w14:paraId="6BE33430" w14:textId="77777777" w:rsidR="00BF149C" w:rsidRDefault="00BF149C" w:rsidP="00D04DAC">
      <w:pPr>
        <w:pStyle w:val="Heading1"/>
        <w:spacing w:line="480" w:lineRule="auto"/>
      </w:pPr>
      <w:r>
        <w:lastRenderedPageBreak/>
        <w:t>Introduction</w:t>
      </w:r>
    </w:p>
    <w:p w14:paraId="0656054F" w14:textId="26F55678" w:rsidR="00BF149C" w:rsidRPr="00D617C4" w:rsidRDefault="00BF149C" w:rsidP="00D04DAC">
      <w:pPr>
        <w:spacing w:line="480" w:lineRule="auto"/>
        <w:jc w:val="both"/>
        <w:rPr>
          <w:rFonts w:ascii="Calibri" w:hAnsi="Calibri"/>
          <w:lang w:eastAsia="ar-SA"/>
        </w:rPr>
      </w:pPr>
      <w:r w:rsidRPr="00D617C4">
        <w:rPr>
          <w:rFonts w:ascii="Calibri" w:hAnsi="Calibri"/>
          <w:lang w:eastAsia="ar-SA"/>
        </w:rPr>
        <w:t>The harmful use of alcohol is one of the most important risk factors for disease, disability and death worldwide</w:t>
      </w:r>
      <w:r w:rsidR="00845AC2">
        <w:rPr>
          <w:rFonts w:ascii="Calibri" w:hAnsi="Calibri"/>
          <w:lang w:eastAsia="ar-SA"/>
        </w:rPr>
        <w:t>,</w:t>
      </w:r>
      <w:r w:rsidR="00F310A6">
        <w:rPr>
          <w:rFonts w:ascii="Calibri" w:hAnsi="Calibri"/>
          <w:lang w:eastAsia="ar-SA"/>
        </w:rPr>
        <w:t xml:space="preserve"> </w:t>
      </w:r>
      <w:r w:rsidR="00681A80">
        <w:rPr>
          <w:rFonts w:ascii="Calibri" w:hAnsi="Calibri"/>
          <w:lang w:eastAsia="ar-SA"/>
        </w:rPr>
        <w:t>with 4.2</w:t>
      </w:r>
      <w:r w:rsidRPr="00D617C4">
        <w:rPr>
          <w:rFonts w:ascii="Calibri" w:hAnsi="Calibri"/>
          <w:lang w:eastAsia="ar-SA"/>
        </w:rPr>
        <w:t xml:space="preserve">% of the global burden of disease and injury </w:t>
      </w:r>
      <w:r w:rsidR="00681A80">
        <w:rPr>
          <w:rFonts w:ascii="Calibri" w:hAnsi="Calibri"/>
          <w:lang w:eastAsia="ar-SA"/>
        </w:rPr>
        <w:t xml:space="preserve">in 2016 </w:t>
      </w:r>
      <w:r w:rsidRPr="00D617C4">
        <w:rPr>
          <w:rFonts w:ascii="Calibri" w:hAnsi="Calibri"/>
          <w:lang w:eastAsia="ar-SA"/>
        </w:rPr>
        <w:t xml:space="preserve">estimated to be attributable to alcohol consumption </w:t>
      </w:r>
      <w:r w:rsidR="00F310A6">
        <w:rPr>
          <w:rFonts w:ascii="Calibri" w:hAnsi="Calibri"/>
          <w:lang w:eastAsia="ar-SA"/>
        </w:rPr>
        <w:fldChar w:fldCharType="begin" w:fldLock="1"/>
      </w:r>
      <w:r w:rsidR="00DF1F21">
        <w:rPr>
          <w:rFonts w:ascii="Calibri" w:hAnsi="Calibri"/>
          <w:lang w:eastAsia="ar-SA"/>
        </w:rPr>
        <w:instrText>ADDIN CSL_CITATION { "citationItems" : [ { "id" : "ITEM-1", "itemData" : { "DOI" : "10.1016/S0140-6736(17)32366-8", "ISSN" : "1474-547X", "PMID" : "28919119", "abstract" : "BACKGROUND The Global Burden of Diseases, Injuries, and Risk Factors Study 2016 (GBD 2016) provides a comprehensive assessment of risk factor exposure and attributable burden of disease. By providing estimates over a long time series, this study can monitor risk exposure trends critical to health surveillance and inform policy debates on the importance of addressing risks in context. METHODS We used the comparative risk assessment framework developed for previous iterations of GBD to estimate levels and trends in exposure, attributable deaths, and attributable disability-adjusted life-years (DALYs), by age group, sex, year, and location for 84 behavioural, environmental and occupational, and metabolic risks or clusters of risks from 1990 to 2016. This study included 481 risk-outcome pairs that met the GBD study criteria for convincing or probable evidence of causation. We extracted relative risk (RR) and exposure estimates from 22 717 randomised controlled trials, cohorts, pooled cohorts, household surveys, census data, satellite data, and other sources, according to the GBD 2016 source counting methods. Using the counterfactual scenario of theoretical minimum risk exposure level (TMREL), we estimated the portion of deaths and DALYs that could be attributed to a given risk. Finally, we explored four drivers of trends in attributable burden: population growth, population ageing, trends in risk exposure, and all other factors combined. FINDINGS Since 1990, exposure increased significantly for 30 risks, did not change significantly for four risks, and decreased significantly for 31 risks. Among risks that are leading causes of burden of disease, child growth failure and household air pollution showed the most significant declines, while metabolic risks, such as body-mass index and high fasting plasma glucose, showed significant increases. In 2016, at Level 3 of the hierarchy, the three leading risk factors in terms of attributable DALYs at the global level for men were smoking (124\u00b71 million DALYs [95% UI 111\u00b72 million to 137\u00b70 million]), high systolic blood pressure (122\u00b72 million DALYs [110\u00b73 million to 133\u00b73 million], and low birthweight and short gestation (83\u00b70 million DALYs [78\u00b73 million to 87\u00b77 million]), and for women, were high systolic blood pressure (89\u00b79 million DALYs [80\u00b79 million to 98\u00b72 million]), high body-mass index (64\u00b78 million DALYs [44\u00b74 million to 87\u00b76 million]), and high fasting plasma glucose (63\u00b78 million DALYs [53\u00b72 million to 76\u00b7\u2026", "author" : [ { "dropping-particle" : "", "family" : "GBD 2016 Risk Factors Collaborators", "given" : "", "non-dropping-particle" : "", "parse-names" : false, "suffix" : "" } ], "container-title" : "The Lancet", "id" : "ITEM-1", "issue" : "10100", "issued" : { "date-parts" : [ [ "2017" ] ] }, "page" : "1345-1422", "publisher" : "Elsevier", "title" : "Global, regional, and national comparative risk assessment of 84 behavioural, environmental and occupational, and metabolic risks or clusters of risks, 1990-2016: a systematic analysis for the Global Burden of Disease Study 2016.", "type" : "article-journal", "volume" : "390" }, "uris" : [ "http://www.mendeley.com/documents/?uuid=7298c9b2-8346-3fd7-ae17-b00e987feb39" ] } ], "mendeley" : { "formattedCitation" : "(1)", "plainTextFormattedCitation" : "(1)", "previouslyFormattedCitation" : "(1)" }, "properties" : { "noteIndex" : 0 }, "schema" : "https://github.com/citation-style-language/schema/raw/master/csl-citation.json" }</w:instrText>
      </w:r>
      <w:r w:rsidR="00F310A6">
        <w:rPr>
          <w:rFonts w:ascii="Calibri" w:hAnsi="Calibri"/>
          <w:lang w:eastAsia="ar-SA"/>
        </w:rPr>
        <w:fldChar w:fldCharType="separate"/>
      </w:r>
      <w:r w:rsidR="00523420" w:rsidRPr="00523420">
        <w:rPr>
          <w:rFonts w:ascii="Calibri" w:hAnsi="Calibri"/>
          <w:noProof/>
          <w:lang w:eastAsia="ar-SA"/>
        </w:rPr>
        <w:t>(1)</w:t>
      </w:r>
      <w:r w:rsidR="00F310A6">
        <w:rPr>
          <w:rFonts w:ascii="Calibri" w:hAnsi="Calibri"/>
          <w:lang w:eastAsia="ar-SA"/>
        </w:rPr>
        <w:fldChar w:fldCharType="end"/>
      </w:r>
      <w:r w:rsidRPr="00D617C4">
        <w:rPr>
          <w:rFonts w:ascii="Calibri" w:hAnsi="Calibri"/>
          <w:lang w:eastAsia="ar-SA"/>
        </w:rPr>
        <w:t xml:space="preserve">. Besides these health consequences, alcohol-related harm is associated with significant </w:t>
      </w:r>
      <w:r w:rsidR="00455DAC">
        <w:rPr>
          <w:rFonts w:ascii="Calibri" w:hAnsi="Calibri"/>
          <w:lang w:eastAsia="ar-SA"/>
        </w:rPr>
        <w:t xml:space="preserve">negative </w:t>
      </w:r>
      <w:r w:rsidRPr="00D617C4">
        <w:rPr>
          <w:rFonts w:ascii="Calibri" w:hAnsi="Calibri"/>
          <w:lang w:eastAsia="ar-SA"/>
        </w:rPr>
        <w:t xml:space="preserve">economic </w:t>
      </w:r>
      <w:r w:rsidR="00843CF1">
        <w:rPr>
          <w:rFonts w:ascii="Calibri" w:hAnsi="Calibri"/>
          <w:lang w:eastAsia="ar-SA"/>
        </w:rPr>
        <w:t xml:space="preserve">and other </w:t>
      </w:r>
      <w:r w:rsidRPr="00D617C4">
        <w:rPr>
          <w:rFonts w:ascii="Calibri" w:hAnsi="Calibri"/>
          <w:lang w:eastAsia="ar-SA"/>
        </w:rPr>
        <w:t>impact</w:t>
      </w:r>
      <w:r w:rsidR="00843CF1">
        <w:rPr>
          <w:rFonts w:ascii="Calibri" w:hAnsi="Calibri"/>
          <w:lang w:eastAsia="ar-SA"/>
        </w:rPr>
        <w:t>s</w:t>
      </w:r>
      <w:r w:rsidRPr="00D617C4">
        <w:rPr>
          <w:rFonts w:ascii="Calibri" w:hAnsi="Calibri"/>
          <w:lang w:eastAsia="ar-SA"/>
        </w:rPr>
        <w:t xml:space="preserve"> on society</w:t>
      </w:r>
      <w:r w:rsidR="00F310A6">
        <w:rPr>
          <w:rFonts w:ascii="Calibri" w:hAnsi="Calibri"/>
          <w:lang w:eastAsia="ar-SA"/>
        </w:rPr>
        <w:t xml:space="preserve"> </w:t>
      </w:r>
      <w:r w:rsidR="00F310A6">
        <w:rPr>
          <w:rFonts w:ascii="Calibri" w:hAnsi="Calibri"/>
          <w:lang w:eastAsia="ar-SA"/>
        </w:rPr>
        <w:fldChar w:fldCharType="begin" w:fldLock="1"/>
      </w:r>
      <w:r w:rsidR="003778C8">
        <w:rPr>
          <w:rFonts w:ascii="Calibri" w:hAnsi="Calibri"/>
          <w:lang w:eastAsia="ar-SA"/>
        </w:rPr>
        <w:instrText>ADDIN CSL_CITATION { "citationItems" : [ { "id" : "ITEM-1", "itemData" : { "DOI" : "10.1016/S0140-6736(05)66370-2", "ISSN" : "1474-547X", "PMID" : "15836882", "author" : [ { "dropping-particle" : "", "family" : "Miguez-Burbano", "given" : "Maria Jose", "non-dropping-particle" : "", "parse-names" : false, "suffix" : "" }, { "dropping-particle" : "", "family" : "Jackson", "given" : "Jimmey", "non-dropping-particle" : "", "parse-names" : false, "suffix" : "" }, { "dropping-particle" : "", "family" : "Room", "given" : "R", "non-dropping-particle" : "", "parse-names" : false, "suffix" : "" }, { "dropping-particle" : "", "family" : "Babor", "given" : "T", "non-dropping-particle" : "", "parse-names" : false, "suffix" : "" }, { "dropping-particle" : "", "family" : "Rehm", "given" : "J", "non-dropping-particle" : "", "parse-names" : false, "suffix" : "" }, { "dropping-particle" : "", "family" : "Organization", "given" : "World Health", "non-dropping-particle" : "", "parse-names" : false, "suffix" : "" }, { "dropping-particle" : "", "family" : "Pyne", "given" : "HH", "non-dropping-particle" : "", "parse-names" : false, "suffix" : "" }, { "dropping-particle" : "", "family" : "Claeson", "given" : "M", "non-dropping-particle" : "", "parse-names" : false, "suffix" : "" }, { "dropping-particle" : "", "family" : "Correia", "given" : "M", "non-dropping-particle" : "", "parse-names" : false, "suffix" : "" }, { "dropping-particle" : "", "family" : "Orpinas", "given" : "P", "non-dropping-particle" : "", "parse-names" : false, "suffix" : "" } ], "container-title" : "Lancet (London, England)", "id" : "ITEM-1", "issue" : "9468", "issued" : { "date-parts" : [ [ "2005" ] ] }, "page" : "1386-7", "publisher" : "Elsevier", "title" : "Alcohol and public health.", "type" : "article-journal", "volume" : "365" }, "uris" : [ "http://www.mendeley.com/documents/?uuid=dcf8e9f7-b619-3488-84fa-0b7c75103eed" ] } ], "mendeley" : { "formattedCitation" : "(2)", "plainTextFormattedCitation" : "(2)", "previouslyFormattedCitation" : "(2)" }, "properties" : { "noteIndex" : 0 }, "schema" : "https://github.com/citation-style-language/schema/raw/master/csl-citation.json" }</w:instrText>
      </w:r>
      <w:r w:rsidR="00F310A6">
        <w:rPr>
          <w:rFonts w:ascii="Calibri" w:hAnsi="Calibri"/>
          <w:lang w:eastAsia="ar-SA"/>
        </w:rPr>
        <w:fldChar w:fldCharType="separate"/>
      </w:r>
      <w:r w:rsidR="00523420" w:rsidRPr="00523420">
        <w:rPr>
          <w:rFonts w:ascii="Calibri" w:hAnsi="Calibri"/>
          <w:noProof/>
          <w:lang w:eastAsia="ar-SA"/>
        </w:rPr>
        <w:t>(2)</w:t>
      </w:r>
      <w:r w:rsidR="00F310A6">
        <w:rPr>
          <w:rFonts w:ascii="Calibri" w:hAnsi="Calibri"/>
          <w:lang w:eastAsia="ar-SA"/>
        </w:rPr>
        <w:fldChar w:fldCharType="end"/>
      </w:r>
      <w:r w:rsidRPr="00D617C4">
        <w:rPr>
          <w:rFonts w:ascii="Calibri" w:hAnsi="Calibri"/>
          <w:lang w:eastAsia="ar-SA"/>
        </w:rPr>
        <w:t xml:space="preserve"> and, </w:t>
      </w:r>
      <w:r w:rsidR="00780A5D">
        <w:rPr>
          <w:rFonts w:ascii="Calibri" w:hAnsi="Calibri"/>
          <w:lang w:eastAsia="ar-SA"/>
        </w:rPr>
        <w:t>as a result</w:t>
      </w:r>
      <w:r w:rsidRPr="00D617C4">
        <w:rPr>
          <w:rFonts w:ascii="Calibri" w:hAnsi="Calibri"/>
          <w:lang w:eastAsia="ar-SA"/>
        </w:rPr>
        <w:t>, there is an increasing awareness of negative effects of alc</w:t>
      </w:r>
      <w:r w:rsidR="00F310A6">
        <w:rPr>
          <w:rFonts w:ascii="Calibri" w:hAnsi="Calibri"/>
          <w:lang w:eastAsia="ar-SA"/>
        </w:rPr>
        <w:t xml:space="preserve">ohol in public health policy </w:t>
      </w:r>
      <w:r w:rsidR="00F310A6">
        <w:rPr>
          <w:rFonts w:ascii="Calibri" w:hAnsi="Calibri"/>
          <w:lang w:eastAsia="ar-SA"/>
        </w:rPr>
        <w:fldChar w:fldCharType="begin" w:fldLock="1"/>
      </w:r>
      <w:r w:rsidR="003778C8">
        <w:rPr>
          <w:rFonts w:ascii="Calibri" w:hAnsi="Calibri"/>
          <w:lang w:eastAsia="ar-SA"/>
        </w:rPr>
        <w:instrText>ADDIN CSL_CITATION { "citationItems" : [ { "id" : "ITEM-1", "itemData" : { "author" : [ { "dropping-particle" : "", "family" : "World Health Organization", "given" : "", "non-dropping-particle" : "", "parse-names" : false, "suffix" : "" } ], "id" : "ITEM-1", "issued" : { "date-parts" : [ [ "2010" ] ] }, "publisher-place" : "Geneva", "title" : "Global Strategy to reduce the harmful use of alcohol", "type" : "report" }, "uris" : [ "http://www.mendeley.com/documents/?uuid=6a48f92b-acd7-4a96-9d7f-2ef70c576ee2" ] } ], "mendeley" : { "formattedCitation" : "(3)", "plainTextFormattedCitation" : "(3)", "previouslyFormattedCitation" : "(3)" }, "properties" : { "noteIndex" : 0 }, "schema" : "https://github.com/citation-style-language/schema/raw/master/csl-citation.json" }</w:instrText>
      </w:r>
      <w:r w:rsidR="00F310A6">
        <w:rPr>
          <w:rFonts w:ascii="Calibri" w:hAnsi="Calibri"/>
          <w:lang w:eastAsia="ar-SA"/>
        </w:rPr>
        <w:fldChar w:fldCharType="separate"/>
      </w:r>
      <w:r w:rsidR="00523420" w:rsidRPr="00523420">
        <w:rPr>
          <w:rFonts w:ascii="Calibri" w:hAnsi="Calibri"/>
          <w:noProof/>
          <w:lang w:eastAsia="ar-SA"/>
        </w:rPr>
        <w:t>(3)</w:t>
      </w:r>
      <w:r w:rsidR="00F310A6">
        <w:rPr>
          <w:rFonts w:ascii="Calibri" w:hAnsi="Calibri"/>
          <w:lang w:eastAsia="ar-SA"/>
        </w:rPr>
        <w:fldChar w:fldCharType="end"/>
      </w:r>
      <w:r w:rsidRPr="00D617C4">
        <w:rPr>
          <w:rFonts w:ascii="Calibri" w:hAnsi="Calibri"/>
          <w:lang w:eastAsia="ar-SA"/>
        </w:rPr>
        <w:t>.</w:t>
      </w:r>
    </w:p>
    <w:p w14:paraId="4ECE5258" w14:textId="035C90C2" w:rsidR="00BF149C" w:rsidRPr="00D617C4" w:rsidRDefault="006C3CF9" w:rsidP="00426709">
      <w:pPr>
        <w:autoSpaceDE w:val="0"/>
        <w:autoSpaceDN w:val="0"/>
        <w:adjustRightInd w:val="0"/>
        <w:spacing w:after="0" w:line="480" w:lineRule="auto"/>
        <w:jc w:val="both"/>
        <w:rPr>
          <w:rFonts w:ascii="Calibri" w:hAnsi="Calibri"/>
          <w:lang w:eastAsia="ar-SA"/>
        </w:rPr>
      </w:pPr>
      <w:r>
        <w:rPr>
          <w:rFonts w:ascii="Calibri" w:hAnsi="Calibri"/>
          <w:lang w:eastAsia="ar-SA"/>
        </w:rPr>
        <w:t xml:space="preserve">Screening and </w:t>
      </w:r>
      <w:r w:rsidR="0012282E">
        <w:rPr>
          <w:rFonts w:ascii="Calibri" w:hAnsi="Calibri"/>
          <w:lang w:eastAsia="ar-SA"/>
        </w:rPr>
        <w:t>Brief Interventions</w:t>
      </w:r>
      <w:r>
        <w:rPr>
          <w:rFonts w:ascii="Calibri" w:hAnsi="Calibri"/>
          <w:lang w:eastAsia="ar-SA"/>
        </w:rPr>
        <w:t xml:space="preserve"> (SBI)</w:t>
      </w:r>
      <w:r w:rsidR="0012282E">
        <w:rPr>
          <w:rFonts w:ascii="Calibri" w:hAnsi="Calibri"/>
          <w:lang w:eastAsia="ar-SA"/>
        </w:rPr>
        <w:t>, delivered in primary care</w:t>
      </w:r>
      <w:r w:rsidR="00845AC2">
        <w:rPr>
          <w:rFonts w:ascii="Calibri" w:hAnsi="Calibri"/>
          <w:lang w:eastAsia="ar-SA"/>
        </w:rPr>
        <w:t>,</w:t>
      </w:r>
      <w:r w:rsidR="0012282E">
        <w:rPr>
          <w:rFonts w:ascii="Calibri" w:hAnsi="Calibri"/>
          <w:lang w:eastAsia="ar-SA"/>
        </w:rPr>
        <w:t xml:space="preserve"> </w:t>
      </w:r>
      <w:r>
        <w:rPr>
          <w:rFonts w:ascii="Calibri" w:hAnsi="Calibri"/>
          <w:lang w:eastAsia="ar-SA"/>
        </w:rPr>
        <w:t>have been shown to be an</w:t>
      </w:r>
      <w:r w:rsidR="0012282E">
        <w:rPr>
          <w:rFonts w:ascii="Calibri" w:hAnsi="Calibri"/>
          <w:lang w:eastAsia="ar-SA"/>
        </w:rPr>
        <w:t xml:space="preserve"> effective </w:t>
      </w:r>
      <w:r w:rsidR="00730DEA">
        <w:rPr>
          <w:rFonts w:ascii="Calibri" w:hAnsi="Calibri"/>
          <w:lang w:eastAsia="ar-SA"/>
        </w:rPr>
        <w:fldChar w:fldCharType="begin" w:fldLock="1"/>
      </w:r>
      <w:r w:rsidR="003778C8">
        <w:rPr>
          <w:rFonts w:ascii="Calibri" w:hAnsi="Calibri"/>
          <w:lang w:eastAsia="ar-SA"/>
        </w:rPr>
        <w:instrText>ADDIN CSL_CITATION { "citationItems" : [ { "id" : "ITEM-1", "itemData" : { "PMID" : "17443541", "abstract" : "BACKGROUND: Many trials reported that brief interventions are effective in reducing excessive drinking. However, some trials have been criticised for being clinically unrepresentative and unable to inform clinical practice. OBJECTIVES: To assess the effectiveness of brief intervention, delivered in general practice or based primary care, to reduce alcohol consumption SEARCH STRATEGY: We searched the Cochrane Drug and Alcohol Group specialised register (February 2006), MEDLINE (1966 to February 2006), EMBASE (1980 to February 2006), CINAHL (1982 to February 2006), PsycINFO (1840 to February 2006), Science Citation Index (1970 to February 2006), Social Science Citation Index (1970 to February 2006), Alcohol and Alcohol Problems Science Database (1972 to 2003), reference lists of articles. SELECTION CRITERIA: Randomised controlled trials, patients presenting to primary care not specifically for alcohol treatment; brief intervention of up to four sessions. DATA COLLECTION AND ANALYSIS: Two authors independently abstracted data and assessed trial quality. Random effects meta-analyses, sub-group, sensitivity analyses, and meta-regression were conducted. MAIN RESULTS: The meta-analysis included 21 RCTs (7,286 participants), showing that participants receiving brief intervention reduced their alcohol consumption compared to the control group (mean difference: -41 grams/week, 95% CI: -57 to -25), although there was substantial heterogeneity between trials (I2 = 52%). Sub-group analysis (8 studies, 2307 participants) confirmed the benefit of brief intervention in men (mean difference: -57 grams/week, 95% CI: -89 to -25, I2 = 56%), but not in women (mean difference: -10 grams/week, 95% CI: -48 to 29, I2 = 45%). Meta-regression showed a non-significant trend of an increased reduction in alcohol consumption of 1.1, 95%CI: -0.05 to 2.2 grams/week, p=0.06, for each extra minute of treatment exposure, but no relationship between the reduction in alcohol consumption and the efficacy score of the trial. Extended intervention when compared with brief intervention was associated with a non-significantly greater reduction in alcohol consumption (mean difference = -28, 95%CI: -62 to 6 grams/week, I2 = 0%) AUTHORS' CONCLUSIONS: Brief interventions consistently produced reductions in alcohol consumption. When data were available by gender, the effect was clear in men at one year of follow up, but unproven in women. Longer duration of counselling probably has little additional \u2026", "author" : [ { "dropping-particle" : "", "family" : "Kaner", "given" : "E F S", "non-dropping-particle" : "", "parse-names" : false, "suffix" : "" }, { "dropping-particle" : "", "family" : "Beyer", "given" : "F", "non-dropping-particle" : "", "parse-names" : false, "suffix" : "" }, { "dropping-particle" : "", "family" : "Dickinson", "given" : "H O", "non-dropping-particle" : "", "parse-names" : false, "suffix" : "" }, { "dropping-particle" : "", "family" : "Pienaar", "given" : "E", "non-dropping-particle" : "", "parse-names" : false, "suffix" : "" }, { "dropping-particle" : "", "family" : "Campbell", "given" : "F", "non-dropping-particle" : "", "parse-names" : false, "suffix" : "" }, { "dropping-particle" : "", "family" : "Schlesinger", "given" : "C", "non-dropping-particle" : "", "parse-names" : false, "suffix" : "" }, { "dropping-particle" : "", "family" : "Heather", "given" : "N", "non-dropping-particle" : "", "parse-names" : false, "suffix" : "" }, { "dropping-particle" : "", "family" : "Saunders", "given" : "J", "non-dropping-particle" : "", "parse-names" : false, "suffix" : "" }, { "dropping-particle" : "", "family" : "Burnand", "given" : "B", "non-dropping-particle" : "", "parse-names" : false, "suffix" : "" } ], "container-title" : "Cochrane database of systematic reviews Online", "id" : "ITEM-1", "issue" : "2", "issued" : { "date-parts" : [ [ "2007" ] ] }, "page" : "CD004148", "publisher" : "Wiley Online Library", "title" : "Effectiveness of brief alcohol interventions in primary care populations.", "type" : "article-journal", "volume" : "4" }, "uris" : [ "http://www.mendeley.com/documents/?uuid=07bcc0cf-b676-458b-9266-9785e9e20e02" ] }, { "id" : "ITEM-2", "itemData" : { "DOI" : "10.1093/alcalc/agt170", "ISSN" : "1464-3502", "PMID" : "24232177", "abstract" : "AIMS: The aim of the study was to assess the cumulative evidence on the effectiveness of brief alcohol interventions in primary healthcare in order to highlight key knowledge gaps for further research. METHODS: An overview of systematic reviews and meta-analyses of the effectiveness of brief alcohol intervention in primary healthcare published between 2002 and 2012. Findings: Twenty-four systematic reviews met the eligibility criteria (covering a total of 56 randomized controlled trials reported across 80 papers). Across the included studies, it was consistently reported that brief intervention was effective for addressing hazardous and harmful drinking in primary healthcare, particularly in middle-aged, male drinkers. Evidence gaps included: brief intervention effectiveness in key groups (women, older and younger drinkers, minority ethnic groups, dependent/co-morbid drinkers and those living in transitional and developing countries); and the optimum brief intervention length and frequency to maintain longer-term effectiveness. CONCLUSION: This overview highlights the large volume of primarily positive evidence supporting brief alcohol intervention effects as well as some unanswered questions with regards to the effectiveness of brief alcohol intervention across different cultural settings and in specific population groups, and in respect of the optimum content of brief interventions that might benefit from further research.", "author" : [ { "dropping-particle" : "", "family" : "O'Donnell", "given" : "Amy", "non-dropping-particle" : "", "parse-names" : false, "suffix" : "" }, { "dropping-particle" : "", "family" : "Anderson", "given" : "Peter", "non-dropping-particle" : "", "parse-names" : false, "suffix" : "" }, { "dropping-particle" : "", "family" : "Newbury-Birch", "given" : "Dorothy", "non-dropping-particle" : "", "parse-names" : false, "suffix" : "" }, { "dropping-particle" : "", "family" : "Schulte", "given" : "Bernd", "non-dropping-particle" : "", "parse-names" : false, "suffix" : "" }, { "dropping-particle" : "", "family" : "Schmidt", "given" : "Christiane", "non-dropping-particle" : "", "parse-names" : false, "suffix" : "" }, { "dropping-particle" : "", "family" : "Reimer", "given" : "Jens", "non-dropping-particle" : "", "parse-names" : false, "suffix" : "" }, { "dropping-particle" : "", "family" : "Kaner", "given" : "Eileen", "non-dropping-particle" : "", "parse-names" : false, "suffix" : "" } ], "container-title" : "Alcohol and alcoholism (Oxford, Oxfordshire)", "id" : "ITEM-2", "issue" : "1", "issued" : { "date-parts" : [ [ "2013", "11", "13" ] ] }, "page" : "66-78", "title" : "The impact of brief alcohol interventions in primary healthcare: a systematic review of reviews.", "type" : "article-journal", "volume" : "49" }, "uris" : [ "http://www.mendeley.com/documents/?uuid=61962d9f-291f-4b55-a00f-30f3c05ff651" ] } ], "mendeley" : { "formattedCitation" : "(4,5)", "plainTextFormattedCitation" : "(4,5)", "previouslyFormattedCitation" : "(4,5)" }, "properties" : { "noteIndex" : 0 }, "schema" : "https://github.com/citation-style-language/schema/raw/master/csl-citation.json" }</w:instrText>
      </w:r>
      <w:r w:rsidR="00730DEA">
        <w:rPr>
          <w:rFonts w:ascii="Calibri" w:hAnsi="Calibri"/>
          <w:lang w:eastAsia="ar-SA"/>
        </w:rPr>
        <w:fldChar w:fldCharType="separate"/>
      </w:r>
      <w:r w:rsidR="00523420" w:rsidRPr="00523420">
        <w:rPr>
          <w:rFonts w:ascii="Calibri" w:hAnsi="Calibri"/>
          <w:noProof/>
          <w:lang w:eastAsia="ar-SA"/>
        </w:rPr>
        <w:t>(4,5)</w:t>
      </w:r>
      <w:r w:rsidR="00730DEA">
        <w:rPr>
          <w:rFonts w:ascii="Calibri" w:hAnsi="Calibri"/>
          <w:lang w:eastAsia="ar-SA"/>
        </w:rPr>
        <w:fldChar w:fldCharType="end"/>
      </w:r>
      <w:r w:rsidR="0012282E">
        <w:rPr>
          <w:rFonts w:ascii="Calibri" w:hAnsi="Calibri"/>
          <w:lang w:eastAsia="ar-SA"/>
        </w:rPr>
        <w:t xml:space="preserve"> and cost-effective</w:t>
      </w:r>
      <w:r w:rsidR="00941D06">
        <w:rPr>
          <w:rFonts w:ascii="Calibri" w:hAnsi="Calibri"/>
          <w:lang w:eastAsia="ar-SA"/>
        </w:rPr>
        <w:t>, or even cost-saving</w:t>
      </w:r>
      <w:r w:rsidR="0012282E">
        <w:rPr>
          <w:rFonts w:ascii="Calibri" w:hAnsi="Calibri"/>
          <w:lang w:eastAsia="ar-SA"/>
        </w:rPr>
        <w:t xml:space="preserve"> </w:t>
      </w:r>
      <w:r w:rsidR="00730DEA">
        <w:rPr>
          <w:rFonts w:ascii="Calibri" w:hAnsi="Calibri"/>
          <w:lang w:eastAsia="ar-SA"/>
        </w:rPr>
        <w:fldChar w:fldCharType="begin" w:fldLock="1"/>
      </w:r>
      <w:r w:rsidR="003778C8">
        <w:rPr>
          <w:rFonts w:ascii="Calibri" w:hAnsi="Calibri"/>
          <w:lang w:eastAsia="ar-SA"/>
        </w:rPr>
        <w:instrText>ADDIN CSL_CITATION { "citationItems" : [ { "id" : "ITEM-1", "itemData" : { "DOI" : "10.3389/fpsyt.2014.00114", "ISSN" : "1664-0640", "PMID" : "25225487", "abstract" : "INTRODUCTION: The efficacy of screening and brief interventions (SBIs) for excessive alcohol use in primary care is well established; however, evidence on their cost-effectiveness is limited. A small number of previous reviews have concluded that SBI programs are likely to be cost-effective but these results are equivocal and important questions around the cost-effectiveness implications of key policy decisions such as staffing choices for delivery of SBIs and the intervention duration remain unanswered. METHODS: Studies reporting both the costs and a measure of health outcomes of programs combining SBIs in primary care were identified by searching MEDLINE, EMBASE, Econlit, the Cochrane Library Database (including NHS EED), CINAHL, PsycINFO, Assia and the Social Science Citation Index, and Science Citation Index via Web of Knowledge. Included studies have been stratified both by delivery staff and intervention duration and assessed for quality using the Drummond checklist for economic evaluations. RESULTS: The search yielded a total of 23 papers reporting the results of 22 distinct studies. There was significant heterogeneity in methods and outcome measures between studies; however, almost all studies reported SBI programs to be cost-effective. There was no clear evidence that either the duration of the intervention or the delivery staff used had a substantial impact on this result. CONCLUSION: This review provides strong evidence that SBI programs in primary care are a cost-effective option for tackling alcohol misuse.", "author" : [ { "dropping-particle" : "", "family" : "Angus", "given" : "Colin", "non-dropping-particle" : "", "parse-names" : false, "suffix" : "" }, { "dropping-particle" : "", "family" : "Latimer", "given" : "Nicholas", "non-dropping-particle" : "", "parse-names" : false, "suffix" : "" }, { "dropping-particle" : "", "family" : "Preston", "given" : "Louise", "non-dropping-particle" : "", "parse-names" : false, "suffix" : "" }, { "dropping-particle" : "", "family" : "Li", "given" : "Jessica", "non-dropping-particle" : "", "parse-names" : false, "suffix" : "" }, { "dropping-particle" : "", "family" : "Purshouse", "given" : "Robin", "non-dropping-particle" : "", "parse-names" : false, "suffix" : "" } ], "container-title" : "Frontiers in psychiatry", "id" : "ITEM-1", "issue" : "AUG", "issued" : { "date-parts" : [ [ "2014", "1" ] ] }, "page" : "114", "title" : "What are the Implications for Policy Makers? A Systematic Review of the Cost-Effectiveness of Screening and Brief Interventions for Alcohol Misuse in Primary Care.", "type" : "article-journal", "volume" : "5" }, "uris" : [ "http://www.mendeley.com/documents/?uuid=453a3a82-1b35-4498-a74a-8e6ac560df6a" ] } ], "mendeley" : { "formattedCitation" : "(6)", "plainTextFormattedCitation" : "(6)", "previouslyFormattedCitation" : "(6)" }, "properties" : { "noteIndex" : 0 }, "schema" : "https://github.com/citation-style-language/schema/raw/master/csl-citation.json" }</w:instrText>
      </w:r>
      <w:r w:rsidR="00730DEA">
        <w:rPr>
          <w:rFonts w:ascii="Calibri" w:hAnsi="Calibri"/>
          <w:lang w:eastAsia="ar-SA"/>
        </w:rPr>
        <w:fldChar w:fldCharType="separate"/>
      </w:r>
      <w:r w:rsidR="00523420" w:rsidRPr="00523420">
        <w:rPr>
          <w:rFonts w:ascii="Calibri" w:hAnsi="Calibri"/>
          <w:noProof/>
          <w:lang w:eastAsia="ar-SA"/>
        </w:rPr>
        <w:t>(6)</w:t>
      </w:r>
      <w:r w:rsidR="00730DEA">
        <w:rPr>
          <w:rFonts w:ascii="Calibri" w:hAnsi="Calibri"/>
          <w:lang w:eastAsia="ar-SA"/>
        </w:rPr>
        <w:fldChar w:fldCharType="end"/>
      </w:r>
      <w:r w:rsidR="00941D06">
        <w:rPr>
          <w:rFonts w:ascii="Calibri" w:hAnsi="Calibri"/>
          <w:lang w:eastAsia="ar-SA"/>
        </w:rPr>
        <w:t>,</w:t>
      </w:r>
      <w:r>
        <w:rPr>
          <w:rFonts w:ascii="Calibri" w:hAnsi="Calibri"/>
          <w:lang w:eastAsia="ar-SA"/>
        </w:rPr>
        <w:t xml:space="preserve"> policy option for the reduction of alcohol-related harm,</w:t>
      </w:r>
      <w:r w:rsidR="00941D06">
        <w:rPr>
          <w:rFonts w:ascii="Calibri" w:hAnsi="Calibri"/>
          <w:lang w:eastAsia="ar-SA"/>
        </w:rPr>
        <w:t xml:space="preserve"> although there are significant variations in the potential impacts of SBI programmes between countries </w:t>
      </w:r>
      <w:r w:rsidR="00941D06">
        <w:rPr>
          <w:rFonts w:ascii="Calibri" w:hAnsi="Calibri"/>
          <w:lang w:eastAsia="ar-SA"/>
        </w:rPr>
        <w:fldChar w:fldCharType="begin" w:fldLock="1"/>
      </w:r>
      <w:r w:rsidR="003778C8">
        <w:rPr>
          <w:rFonts w:ascii="Calibri" w:hAnsi="Calibri"/>
          <w:lang w:eastAsia="ar-SA"/>
        </w:rPr>
        <w:instrText>ADDIN CSL_CITATION { "citationItems" : [ { "id" : "ITEM-1", "itemData" : { "author" : [ { "dropping-particle" : "", "family" : "Angus", "given" : "Colin", "non-dropping-particle" : "", "parse-names" : false, "suffix" : "" }, { "dropping-particle" : "", "family" : "Thomas", "given" : "Chloe", "non-dropping-particle" : "", "parse-names" : false, "suffix" : "" }, { "dropping-particle" : "", "family" : "Anderson", "given" : "Peter", "non-dropping-particle" : "", "parse-names" : false, "suffix" : "" }, { "dropping-particle" : "", "family" : "Meier", "given" : "Petra S.", "non-dropping-particle" : "", "parse-names" : false, "suffix" : "" }, { "dropping-particle" : "", "family" : "Brennan", "given" : "Alan", "non-dropping-particle" : "", "parse-names" : false, "suffix" : "" } ], "container-title" : "European journal of public health", "id" : "ITEM-1", "issued" : { "date-parts" : [ [ "2016" ] ] }, "title" : "Estimating the cost-effectiveness of brief interventions for heavy drinking in primary health care across Europe", "type" : "article-journal" }, "uris" : [ "http://www.mendeley.com/documents/?uuid=1fb7121d-5e8a-43e8-9a1f-ca7e03c48ca5" ] } ], "mendeley" : { "formattedCitation" : "(7)", "plainTextFormattedCitation" : "(7)", "previouslyFormattedCitation" : "(7)" }, "properties" : { "noteIndex" : 0 }, "schema" : "https://github.com/citation-style-language/schema/raw/master/csl-citation.json" }</w:instrText>
      </w:r>
      <w:r w:rsidR="00941D06">
        <w:rPr>
          <w:rFonts w:ascii="Calibri" w:hAnsi="Calibri"/>
          <w:lang w:eastAsia="ar-SA"/>
        </w:rPr>
        <w:fldChar w:fldCharType="separate"/>
      </w:r>
      <w:r w:rsidR="00523420" w:rsidRPr="00523420">
        <w:rPr>
          <w:rFonts w:ascii="Calibri" w:hAnsi="Calibri"/>
          <w:noProof/>
          <w:lang w:eastAsia="ar-SA"/>
        </w:rPr>
        <w:t>(7)</w:t>
      </w:r>
      <w:r w:rsidR="00941D06">
        <w:rPr>
          <w:rFonts w:ascii="Calibri" w:hAnsi="Calibri"/>
          <w:lang w:eastAsia="ar-SA"/>
        </w:rPr>
        <w:fldChar w:fldCharType="end"/>
      </w:r>
      <w:r w:rsidR="00941D06">
        <w:rPr>
          <w:rFonts w:ascii="Calibri" w:hAnsi="Calibri"/>
          <w:lang w:eastAsia="ar-SA"/>
        </w:rPr>
        <w:t>.</w:t>
      </w:r>
      <w:r>
        <w:rPr>
          <w:rFonts w:ascii="Calibri" w:hAnsi="Calibri"/>
          <w:lang w:eastAsia="ar-SA"/>
        </w:rPr>
        <w:t xml:space="preserve"> </w:t>
      </w:r>
      <w:r w:rsidR="00941D06">
        <w:rPr>
          <w:rFonts w:ascii="Calibri" w:hAnsi="Calibri"/>
          <w:lang w:eastAsia="ar-SA"/>
        </w:rPr>
        <w:t>In spite of this promise,</w:t>
      </w:r>
      <w:r w:rsidRPr="00486EDC">
        <w:rPr>
          <w:rFonts w:ascii="Calibri" w:hAnsi="Calibri"/>
          <w:lang w:eastAsia="ar-SA"/>
        </w:rPr>
        <w:t xml:space="preserve"> </w:t>
      </w:r>
      <w:r w:rsidR="001C3A7E">
        <w:rPr>
          <w:rFonts w:ascii="Calibri" w:hAnsi="Calibri"/>
          <w:lang w:eastAsia="ar-SA"/>
        </w:rPr>
        <w:t xml:space="preserve">delivery rates by primary health care practitioners have been found to be consistently low, with only around 1 in 20 eligible patients being screened </w:t>
      </w:r>
      <w:r w:rsidR="001C3A7E">
        <w:rPr>
          <w:rFonts w:ascii="Calibri" w:hAnsi="Calibri"/>
          <w:lang w:eastAsia="ar-SA"/>
        </w:rPr>
        <w:fldChar w:fldCharType="begin" w:fldLock="1"/>
      </w:r>
      <w:r w:rsidR="00DF1F21">
        <w:rPr>
          <w:rFonts w:ascii="Calibri" w:hAnsi="Calibri"/>
          <w:lang w:eastAsia="ar-SA"/>
        </w:rPr>
        <w:instrText>ADDIN CSL_CITATION { "citationItems" : [ { "id" : "ITEM-1", "itemData" : { "DOI" : "10.1093/alcalc/agv020", "ISSN" : "1464-3502", "PMID" : "25787012", "abstract" : "AIMS: To determine the relation between existing levels of alcohol screening and brief intervention rates in five European jurisdictions and role security and therapeutic commitment by the participating primary healthcare professionals. METHODS: Health care professionals consisting of, 409 GPs, 282 nurses and 55 other staff including psychologists, social workers and nurse aids from 120 primary health care centres participated in a cross-sectional 4-week survey. The participants registered all screening and brief intervention activities as part of their normal routine. The participants also completed the Shortened Alcohol and Alcohol Problems Perception Questionnaire (SAAPPQ), which measure role security and therapeutic commitment. RESULTS: The only significant but small relationship was found between role security and screening rate in a multilevel logistic regression analysis adjusted for occupation of the provider, number of eligible patients and the random effects of jurisdictions and primary health care units (PHCU). No significant relationship was found between role security and brief intervention rate nor between therapeutic commitment and screening rate/brief intervention rate. The proportion of patients screened varied across jurisdictions between 2 and 10%. CONCLUSION: The findings show that the studied factors (role security and therapeutic commitment) are not of great importance for alcohol screening and BI rates. Given the fact that screening and brief intervention implementation rate has not changed much in the last decade in spite of increased policy emphasis, training initiatives and more research being published, this raises a question about what else is needed to enhance implementation.", "author" : [ { "dropping-particle" : "", "family" : "Bendtsen", "given" : "Preben", "non-dropping-particle" : "", "parse-names" : false, "suffix" : "" }, { "dropping-particle" : "", "family" : "Anderson", "given" : "Peter", "non-dropping-particle" : "", "parse-names" : false, "suffix" : "" }, { "dropping-particle" : "", "family" : "Wojnar", "given" : "Marcin", "non-dropping-particle" : "", "parse-names" : false, "suffix" : "" }, { "dropping-particle" : "", "family" : "Newbury-Birch", "given" : "Dorothy", "non-dropping-particle" : "", "parse-names" : false, "suffix" : "" }, { "dropping-particle" : "", "family" : "M\u00fcssener", "given" : "Ulrika", "non-dropping-particle" : "", "parse-names" : false, "suffix" : "" }, { "dropping-particle" : "", "family" : "Colom", "given" : "Joan", "non-dropping-particle" : "", "parse-names" : false, "suffix" : "" }, { "dropping-particle" : "", "family" : "Karlsson", "given" : "Nadine", "non-dropping-particle" : "", "parse-names" : false, "suffix" : "" }, { "dropping-particle" : "", "family" : "Brz\u00f3zka", "given" : "Krzysztof", "non-dropping-particle" : "", "parse-names" : false, "suffix" : "" }, { "dropping-particle" : "", "family" : "Spak", "given" : "Fredrik", "non-dropping-particle" : "", "parse-names" : false, "suffix" : "" }, { "dropping-particle" : "", "family" : "Deluca", "given" : "Paolo", "non-dropping-particle" : "", "parse-names" : false, "suffix" : "" }, { "dropping-particle" : "", "family" : "Drummond", "given" : "Colin", "non-dropping-particle" : "", "parse-names" : false, "suffix" : "" }, { "dropping-particle" : "", "family" : "Kaner", "given" : "Eileen", "non-dropping-particle" : "", "parse-names" : false, "suffix" : "" }, { "dropping-particle" : "", "family" : "K\u0142oda", "given" : "Karolina", "non-dropping-particle" : "", "parse-names" : false, "suffix" : "" }, { "dropping-particle" : "", "family" : "Mierzecki", "given" : "Artur", "non-dropping-particle" : "", "parse-names" : false, "suffix" : "" }, { "dropping-particle" : "", "family" : "Okulicz-Kozaryn", "given" : "Katarzyna", "non-dropping-particle" : "", "parse-names" : false, "suffix" : "" }, { "dropping-particle" : "", "family" : "Parkinson", "given" : "Kathryn", "non-dropping-particle" : "", "parse-names" : false, "suffix" : "" }, { "dropping-particle" : "", "family" : "Reynolds", "given" : "Jillian", "non-dropping-particle" : "", "parse-names" : false, "suffix" : "" }, { "dropping-particle" : "", "family" : "Ronda", "given" : "Gaby", "non-dropping-particle" : "", "parse-names" : false, "suffix" : "" }, { "dropping-particle" : "", "family" : "Segura", "given" : "Lidia", "non-dropping-particle" : "", "parse-names" : false, "suffix" : "" }, { "dropping-particle" : "", "family" : "Palacio", "given" : "Jorge", "non-dropping-particle" : "", "parse-names" : false, "suffix" : "" }, { "dropping-particle" : "", "family" : "Baena", "given" : "Bego\u00f1a", "non-dropping-particle" : "", "parse-names" : false, "suffix" : "" }, { "dropping-particle" : "", "family" : "Slodownik", "given" : "Luiza", "non-dropping-particle" : "", "parse-names" : false, "suffix" : "" }, { "dropping-particle" : "", "family" : "Steenkiste", "given" : "Ben", "non-dropping-particle" : "van", "parse-names" : false, "suffix" : "" }, { "dropping-particle" : "", "family" : "Wolstenholme", "given" : "Amy", "non-dropping-particle" : "", "parse-names" : false, "suffix" : "" }, { "dropping-particle" : "", "family" : "Wallace", "given" : "Paul", "non-dropping-particle" : "", "parse-names" : false, "suffix" : "" }, { "dropping-particle" : "", "family" : "Keurhorst", "given" : "Myrna N", "non-dropping-particle" : "", "parse-names" : false, "suffix" : "" }, { "dropping-particle" : "", "family" : "Laurant", "given" : "Miranda G H", "non-dropping-particle" : "", "parse-names" : false, "suffix" : "" }, { "dropping-particle" : "", "family" : "Gual", "given" : "Antoni", "non-dropping-particle" : "", "parse-names" : false, "suffix" : "" } ], "container-title" : "Alcohol and alcoholism (Oxford, Oxfordshire)", "id" : "ITEM-1", "issue" : "4", "issued" : { "date-parts" : [ [ "2015" ] ] }, "page" : "agv020-", "title" : "Professional's Attitudes Do Not Influence Screening and Brief Interventions Rates for Hazardous and Harmful Drinkers: Results from ODHIN Study.", "type" : "article-journal", "volume" : "50" }, "uris" : [ "http://www.mendeley.com/documents/?uuid=6341ec91-efb7-4fc6-b207-4fea5e76cdfc" ] } ], "mendeley" : { "formattedCitation" : "(8)", "plainTextFormattedCitation" : "(8)", "previouslyFormattedCitation" : "(8)" }, "properties" : { "noteIndex" : 0 }, "schema" : "https://github.com/citation-style-language/schema/raw/master/csl-citation.json" }</w:instrText>
      </w:r>
      <w:r w:rsidR="001C3A7E">
        <w:rPr>
          <w:rFonts w:ascii="Calibri" w:hAnsi="Calibri"/>
          <w:lang w:eastAsia="ar-SA"/>
        </w:rPr>
        <w:fldChar w:fldCharType="separate"/>
      </w:r>
      <w:r w:rsidR="00523420" w:rsidRPr="00523420">
        <w:rPr>
          <w:rFonts w:ascii="Calibri" w:hAnsi="Calibri"/>
          <w:noProof/>
          <w:lang w:eastAsia="ar-SA"/>
        </w:rPr>
        <w:t>(8)</w:t>
      </w:r>
      <w:r w:rsidR="001C3A7E">
        <w:rPr>
          <w:rFonts w:ascii="Calibri" w:hAnsi="Calibri"/>
          <w:lang w:eastAsia="ar-SA"/>
        </w:rPr>
        <w:fldChar w:fldCharType="end"/>
      </w:r>
      <w:r w:rsidR="001C3A7E">
        <w:rPr>
          <w:rFonts w:ascii="Calibri" w:hAnsi="Calibri"/>
          <w:lang w:eastAsia="ar-SA"/>
        </w:rPr>
        <w:t xml:space="preserve">. These rates compare extremely unfavourably to those for Brief Interventions for smoking, which are supported by a similarly robust evidence base, with a recent UK study finding an eightfold difference in Brief Intervention delivery rates for smoking and drinking </w:t>
      </w:r>
      <w:r w:rsidR="001C3A7E">
        <w:rPr>
          <w:rFonts w:ascii="Calibri" w:hAnsi="Calibri"/>
          <w:lang w:eastAsia="ar-SA"/>
        </w:rPr>
        <w:fldChar w:fldCharType="begin" w:fldLock="1"/>
      </w:r>
      <w:r w:rsidR="00DF1F21">
        <w:rPr>
          <w:rFonts w:ascii="Calibri" w:hAnsi="Calibri"/>
          <w:lang w:eastAsia="ar-SA"/>
        </w:rPr>
        <w:instrText>ADDIN CSL_CITATION { "citationItems" : [ { "id" : "ITEM-1", "itemData" : { "DOI" : "10.3399/bjgp16X683149", "ISBN" : "1478-5242 (Electronic) 0960-1643 (Linking)", "ISSN" : "09601643", "PMID" : "26719481", "abstract" : "Background\\nBrief interventions have a modest but meaningful effect on promoting\\nsmoking cessation and reducing excessive alcohol consumption. Guidelines\\nrecommend offering such advice opportunistically and regularly but\\nincentives vary between the two behaviours.\\nAim\\nTo use representative data from the perspective of patients to compare\\nthe prevalence and characteristics of people who smoke or drink\\nexcessively and who receive a brief intervention.\\nDesign and setting\\nData was from a representative sample of 15 252 adults from household\\nsurveys in England.\\nMethod\\nRecall of brief interventions on smoking and alcohol use,\\nsociodemographic information, and smoking and alcohol consumption\\npatterns were assessed among smokers and those who drink excessively\\n(AUDIT score of &gt;= 8), who visited their GP surgery in the previous\\nyear.\\nResults\\nOf 1775 smokers, 50.4% recalled receiving brief advice on smoking in\\nthe previous year. Smokers receiving advice compared with those who did\\nnot were more likely to be older (odds ratio {[}OR] 17-year increments\\n1.19, 95% confidence interval {[}CI] = 1.06 to 1.34), female (OR 1.35,\\n95% CI = 1.10 to 1.65), have a disability (OR 1.44, 95% CI = 1.11 to\\n1.88), have made more quit attempts in the previous year (compared with\\nno attempts: one attempt, OR 1.65, 95% CI = 1.32 to 2.08; &gt;= 2\\nattempts, OR 2.02, 95% CI = 1.49 to 2.74), and have greater nicotine\\ndependence (OR 1.17, 95% CI = 1.05 to 1.31) but were less likely to\\nhave no post-16 qualifications (OR 0.81, 95% CI = 0.66 to 1.00). Of\\n1110 people drinking excessively, 6.5% recalled receiving advice in\\ntheir GP surgery on their alcohol consumption in the previous year.\\nThose receiving advice compared with those who did not had higher AUDIT\\nscores (OR 1.17, 95% CI = 1.12 to 1.23) and were less likely to be\\nfemale (OR 0.44, 95% CI = 0.23 to 0.87).\\nConclusion\\nWhereas approximately half of smokers in England visiting their GP in\\nthe past year report having received advice on cessation, &lt;10% of those\\nwho drink excessively report having received advice on their alcohol\\nconsumption.", "author" : [ { "dropping-particle" : "", "family" : "Brown", "given" : "Jamie", "non-dropping-particle" : "", "parse-names" : false, "suffix" : "" }, { "dropping-particle" : "", "family" : "West", "given" : "Robert", "non-dropping-particle" : "", "parse-names" : false, "suffix" : "" }, { "dropping-particle" : "", "family" : "Angus", "given" : "Colin", "non-dropping-particle" : "", "parse-names" : false, "suffix" : "" }, { "dropping-particle" : "", "family" : "Beard", "given" : "Emma", "non-dropping-particle" : "", "parse-names" : false, "suffix" : "" }, { "dropping-particle" : "", "family" : "Brennan", "given" : "Alan", "non-dropping-particle" : "", "parse-names" : false, "suffix" : "" }, { "dropping-particle" : "", "family" : "Drummond", "given" : "Colin", "non-dropping-particle" : "", "parse-names" : false, "suffix" : "" }, { "dropping-particle" : "", "family" : "Hickman", "given" : "Matthew", "non-dropping-particle" : "", "parse-names" : false, "suffix" : "" }, { "dropping-particle" : "", "family" : "Holmes", "given" : "John", "non-dropping-particle" : "", "parse-names" : false, "suffix" : "" }, { "dropping-particle" : "", "family" : "Kaner", "given" : "Eileen", "non-dropping-particle" : "", "parse-names" : false, "suffix" : "" }, { "dropping-particle" : "", "family" : "Michie", "given" : "Susan", "non-dropping-particle" : "", "parse-names" : false, "suffix" : "" } ], "container-title" : "British Journal of General Practice", "id" : "ITEM-1", "issue" : "642", "issued" : { "date-parts" : [ [ "2016", "1" ] ] }, "page" : "e1-e9", "publisher" : "British Journal of General Practice", "title" : "Comparison of brief interventions in primary care on smoking and excessive alcohol consumption: A population survey in England", "type" : "article-journal", "volume" : "66" }, "uris" : [ "http://www.mendeley.com/documents/?uuid=dee82235-755d-3f37-88d1-85723cce9e91" ] } ], "mendeley" : { "formattedCitation" : "(9)", "plainTextFormattedCitation" : "(9)", "previouslyFormattedCitation" : "(9)" }, "properties" : { "noteIndex" : 0 }, "schema" : "https://github.com/citation-style-language/schema/raw/master/csl-citation.json" }</w:instrText>
      </w:r>
      <w:r w:rsidR="001C3A7E">
        <w:rPr>
          <w:rFonts w:ascii="Calibri" w:hAnsi="Calibri"/>
          <w:lang w:eastAsia="ar-SA"/>
        </w:rPr>
        <w:fldChar w:fldCharType="separate"/>
      </w:r>
      <w:r w:rsidR="00523420" w:rsidRPr="00523420">
        <w:rPr>
          <w:rFonts w:ascii="Calibri" w:hAnsi="Calibri"/>
          <w:noProof/>
          <w:lang w:eastAsia="ar-SA"/>
        </w:rPr>
        <w:t>(9)</w:t>
      </w:r>
      <w:r w:rsidR="001C3A7E">
        <w:rPr>
          <w:rFonts w:ascii="Calibri" w:hAnsi="Calibri"/>
          <w:lang w:eastAsia="ar-SA"/>
        </w:rPr>
        <w:fldChar w:fldCharType="end"/>
      </w:r>
      <w:r w:rsidR="001C3A7E">
        <w:rPr>
          <w:rFonts w:ascii="Calibri" w:hAnsi="Calibri"/>
          <w:lang w:eastAsia="ar-SA"/>
        </w:rPr>
        <w:t>.</w:t>
      </w:r>
    </w:p>
    <w:p w14:paraId="3425DF5A" w14:textId="112A0B17" w:rsidR="00BF149C" w:rsidRPr="00D617C4" w:rsidRDefault="00710E27" w:rsidP="00426709">
      <w:pPr>
        <w:autoSpaceDE w:val="0"/>
        <w:autoSpaceDN w:val="0"/>
        <w:adjustRightInd w:val="0"/>
        <w:spacing w:after="0" w:line="480" w:lineRule="auto"/>
        <w:jc w:val="both"/>
        <w:rPr>
          <w:rFonts w:ascii="Calibri" w:hAnsi="Calibri"/>
          <w:lang w:eastAsia="ar-SA"/>
        </w:rPr>
      </w:pPr>
      <w:r>
        <w:rPr>
          <w:rFonts w:ascii="Calibri" w:hAnsi="Calibri"/>
          <w:lang w:eastAsia="ar-SA"/>
        </w:rPr>
        <w:t>A</w:t>
      </w:r>
      <w:r w:rsidR="006C3CF9">
        <w:rPr>
          <w:rFonts w:ascii="Calibri" w:hAnsi="Calibri"/>
          <w:lang w:eastAsia="ar-SA"/>
        </w:rPr>
        <w:t xml:space="preserve"> wide range of approaches, including the provision of</w:t>
      </w:r>
      <w:r w:rsidR="00BF149C" w:rsidRPr="00D617C4">
        <w:rPr>
          <w:rFonts w:ascii="Calibri" w:hAnsi="Calibri"/>
          <w:lang w:eastAsia="ar-SA"/>
        </w:rPr>
        <w:t xml:space="preserve"> training, support </w:t>
      </w:r>
      <w:r w:rsidR="006C3CF9">
        <w:rPr>
          <w:rFonts w:ascii="Calibri" w:hAnsi="Calibri"/>
          <w:lang w:eastAsia="ar-SA"/>
        </w:rPr>
        <w:t xml:space="preserve">and </w:t>
      </w:r>
      <w:r w:rsidR="00BF149C" w:rsidRPr="00D617C4">
        <w:rPr>
          <w:rFonts w:ascii="Calibri" w:hAnsi="Calibri"/>
          <w:lang w:eastAsia="ar-SA"/>
        </w:rPr>
        <w:t>financial reimbursement</w:t>
      </w:r>
      <w:r>
        <w:rPr>
          <w:rFonts w:ascii="Calibri" w:hAnsi="Calibri"/>
          <w:lang w:eastAsia="ar-SA"/>
        </w:rPr>
        <w:t>,</w:t>
      </w:r>
      <w:r w:rsidR="00BF149C" w:rsidRPr="00D617C4">
        <w:rPr>
          <w:rFonts w:ascii="Calibri" w:hAnsi="Calibri"/>
          <w:lang w:eastAsia="ar-SA"/>
        </w:rPr>
        <w:t xml:space="preserve"> have been </w:t>
      </w:r>
      <w:r w:rsidR="006C3CF9">
        <w:rPr>
          <w:rFonts w:ascii="Calibri" w:hAnsi="Calibri"/>
          <w:lang w:eastAsia="ar-SA"/>
        </w:rPr>
        <w:t>identified</w:t>
      </w:r>
      <w:r w:rsidR="00BF149C" w:rsidRPr="00D617C4">
        <w:rPr>
          <w:rFonts w:ascii="Calibri" w:hAnsi="Calibri"/>
          <w:lang w:eastAsia="ar-SA"/>
        </w:rPr>
        <w:t xml:space="preserve"> as </w:t>
      </w:r>
      <w:r w:rsidR="006C3CF9">
        <w:rPr>
          <w:rFonts w:ascii="Calibri" w:hAnsi="Calibri"/>
          <w:lang w:eastAsia="ar-SA"/>
        </w:rPr>
        <w:t>potential</w:t>
      </w:r>
      <w:r w:rsidR="003D250D">
        <w:rPr>
          <w:rFonts w:ascii="Calibri" w:hAnsi="Calibri"/>
          <w:lang w:eastAsia="ar-SA"/>
        </w:rPr>
        <w:t>ly effective</w:t>
      </w:r>
      <w:r w:rsidR="006C3CF9">
        <w:rPr>
          <w:rFonts w:ascii="Calibri" w:hAnsi="Calibri"/>
          <w:lang w:eastAsia="ar-SA"/>
        </w:rPr>
        <w:t xml:space="preserve"> levers to improve</w:t>
      </w:r>
      <w:r w:rsidR="00BF149C" w:rsidRPr="00D617C4">
        <w:rPr>
          <w:rFonts w:ascii="Calibri" w:hAnsi="Calibri"/>
          <w:lang w:eastAsia="ar-SA"/>
        </w:rPr>
        <w:t xml:space="preserve"> the </w:t>
      </w:r>
      <w:r w:rsidR="006C3CF9">
        <w:rPr>
          <w:rFonts w:ascii="Calibri" w:hAnsi="Calibri"/>
          <w:lang w:eastAsia="ar-SA"/>
        </w:rPr>
        <w:t>uptake of SBIs</w:t>
      </w:r>
      <w:r w:rsidR="00226FC7">
        <w:rPr>
          <w:rFonts w:ascii="Calibri" w:hAnsi="Calibri"/>
          <w:lang w:eastAsia="ar-SA"/>
        </w:rPr>
        <w:t xml:space="preserve"> </w:t>
      </w:r>
      <w:r w:rsidR="00FB2C29">
        <w:rPr>
          <w:rFonts w:ascii="Calibri" w:hAnsi="Calibri"/>
          <w:lang w:eastAsia="ar-SA"/>
        </w:rPr>
        <w:t>among</w:t>
      </w:r>
      <w:r w:rsidR="006C3CF9">
        <w:rPr>
          <w:rFonts w:ascii="Calibri" w:hAnsi="Calibri"/>
          <w:lang w:eastAsia="ar-SA"/>
        </w:rPr>
        <w:t xml:space="preserve"> primary care</w:t>
      </w:r>
      <w:r w:rsidR="00FB2C29">
        <w:rPr>
          <w:rFonts w:ascii="Calibri" w:hAnsi="Calibri"/>
          <w:lang w:eastAsia="ar-SA"/>
        </w:rPr>
        <w:t xml:space="preserve"> practitioners</w:t>
      </w:r>
      <w:r w:rsidR="00BF149C" w:rsidRPr="00D617C4">
        <w:rPr>
          <w:rFonts w:ascii="Calibri" w:hAnsi="Calibri"/>
          <w:lang w:eastAsia="ar-SA"/>
        </w:rPr>
        <w:t xml:space="preserve"> </w:t>
      </w:r>
      <w:r w:rsidR="003D250D">
        <w:rPr>
          <w:rFonts w:ascii="Calibri" w:hAnsi="Calibri"/>
          <w:lang w:eastAsia="ar-SA"/>
        </w:rPr>
        <w:fldChar w:fldCharType="begin" w:fldLock="1"/>
      </w:r>
      <w:r w:rsidR="00DF1F21">
        <w:rPr>
          <w:rFonts w:ascii="Calibri" w:hAnsi="Calibri"/>
          <w:lang w:eastAsia="ar-SA"/>
        </w:rPr>
        <w:instrText>ADDIN CSL_CITATION { "citationItems" : [ { "id" : "ITEM-1", "itemData" : { "DOI" : "10.1111/add.13088", "ISSN" : "1360-0443", "PMID" : "26234486", "abstract" : "BACKGROUND AND AIMS: Screening and brief interventions (SBI) delivered in primary health care (PHC) are cost-effective in decreasing alcohol consumption; however, they are underused. This study aims to identify implementation strategies that focus on SBI uptake and measure impact on: (1) heavy drinking and (2) delivery of SBI in PHC. METHODS: Meta-analysis was conducted of controlled trials of SBI implementation strategies in PHC to reduce heavy drinking. Key outcomes included alcohol consumption, screening, brief interventions and costs in PHC. Predictor measures concerned single versus multiple strategies, type of strategy, duration and physician-only input versus that including mid-level professionals. Standardized mean differences (SMD) were calculated to indicate the impact of implementation strategies on key outcomes. Effect sizes were aggregated using meta-regression models. RESULTS: The 29 included studies were of moderate methodological quality. Strategies had no overall impact on patients' reported alcohol consumption [SMD = 0.07; 95% confidence interval (CI) = -0.02 to 0.16], despite improving screening (SMD = 0.53; 95% CI = 0.28-0.78) and brief intervention delivery (SMD = 0.64;95% CI = 0.27-1.02). Multi-faceted strategies, i.e. professional and/or organizational and/or patient-orientated strategies, seemed to have strongest effects on patients' alcohol consumption (P &lt; 0.05, compared with professional-orientated strategies alone). Regarding SBI delivery, combining professional with patient-orientated implementation strategies had the highest impact (P &lt; 0.05). Involving other staff besides physicians was beneficial for screening (P &lt; 0.05). CONCLUSIONS: To increase delivery of alcohol screening and brief interventions and decrease patients' alcohol consumption, implementation strategies should include a combination of patient-, professional- and organizational-orientated approaches and involve mid-level health professionals as well as physicians.", "author" : [ { "dropping-particle" : "", "family" : "Keurhorst", "given" : "Myrna", "non-dropping-particle" : "", "parse-names" : false, "suffix" : "" }, { "dropping-particle" : "", "family" : "Glind", "given" : "Irene", "non-dropping-particle" : "van de", "parse-names" : false, "suffix" : "" }, { "dropping-particle" : "", "family" : "Bitarello do Amaral-Sabadini", "given" : "Michaela", "non-dropping-particle" : "", "parse-names" : false, "suffix" : "" }, { "dropping-particle" : "", "family" : "Anderson", "given" : "Peter", "non-dropping-particle" : "", "parse-names" : false, "suffix" : "" }, { "dropping-particle" : "", "family" : "Kaner", "given" : "Eileen", "non-dropping-particle" : "", "parse-names" : false, "suffix" : "" }, { "dropping-particle" : "", "family" : "Newbury-Birch", "given" : "Dorothy", "non-dropping-particle" : "", "parse-names" : false, "suffix" : "" }, { "dropping-particle" : "", "family" : "Braspenning", "given" : "Joz\u00e9", "non-dropping-particle" : "", "parse-names" : false, "suffix" : "" }, { "dropping-particle" : "", "family" : "Wensing", "given" : "Michel", "non-dropping-particle" : "", "parse-names" : false, "suffix" : "" }, { "dropping-particle" : "", "family" : "Heinen", "given" : "Maud", "non-dropping-particle" : "", "parse-names" : false, "suffix" : "" }, { "dropping-particle" : "", "family" : "Laurant", "given" : "Miranda", "non-dropping-particle" : "", "parse-names" : false, "suffix" : "" } ], "container-title" : "Addiction (Abingdon, England)", "id" : "ITEM-1", "issue" : "12", "issued" : { "date-parts" : [ [ "2015", "12" ] ] }, "page" : "1877-900", "title" : "Implementation strategies to enhance management of heavy alcohol consumption in primary health care: a meta-analysis.", "type" : "article-journal", "volume" : "110" }, "uris" : [ "http://www.mendeley.com/documents/?uuid=03c86214-6e85-4290-91ba-91185b2bbf5b" ] } ], "mendeley" : { "formattedCitation" : "(10)", "plainTextFormattedCitation" : "(10)", "previouslyFormattedCitation" : "(10)" }, "properties" : { "noteIndex" : 0 }, "schema" : "https://github.com/citation-style-language/schema/raw/master/csl-citation.json" }</w:instrText>
      </w:r>
      <w:r w:rsidR="003D250D">
        <w:rPr>
          <w:rFonts w:ascii="Calibri" w:hAnsi="Calibri"/>
          <w:lang w:eastAsia="ar-SA"/>
        </w:rPr>
        <w:fldChar w:fldCharType="separate"/>
      </w:r>
      <w:r w:rsidR="00523420" w:rsidRPr="00523420">
        <w:rPr>
          <w:rFonts w:ascii="Calibri" w:hAnsi="Calibri"/>
          <w:noProof/>
          <w:lang w:eastAsia="ar-SA"/>
        </w:rPr>
        <w:t>(10)</w:t>
      </w:r>
      <w:r w:rsidR="003D250D">
        <w:rPr>
          <w:rFonts w:ascii="Calibri" w:hAnsi="Calibri"/>
          <w:lang w:eastAsia="ar-SA"/>
        </w:rPr>
        <w:fldChar w:fldCharType="end"/>
      </w:r>
      <w:r w:rsidR="00BF149C" w:rsidRPr="00D617C4">
        <w:rPr>
          <w:rFonts w:ascii="Calibri" w:hAnsi="Calibri"/>
          <w:lang w:eastAsia="ar-SA"/>
        </w:rPr>
        <w:t xml:space="preserve">. </w:t>
      </w:r>
      <w:r w:rsidR="003D250D">
        <w:rPr>
          <w:rFonts w:ascii="Calibri" w:hAnsi="Calibri"/>
          <w:lang w:eastAsia="ar-SA"/>
        </w:rPr>
        <w:t xml:space="preserve">Online Brief Interventions (often referred to as eBI) have also emerged as a potentially effective alternative to face-to-face interventions which may reduce the burden on healthcare providers’ time </w:t>
      </w:r>
      <w:r w:rsidR="003D250D">
        <w:rPr>
          <w:rFonts w:ascii="Calibri" w:hAnsi="Calibri"/>
          <w:lang w:eastAsia="ar-SA"/>
        </w:rPr>
        <w:fldChar w:fldCharType="begin" w:fldLock="1"/>
      </w:r>
      <w:r w:rsidR="003778C8">
        <w:rPr>
          <w:rFonts w:ascii="Calibri" w:hAnsi="Calibri"/>
          <w:lang w:eastAsia="ar-SA"/>
        </w:rPr>
        <w:instrText>ADDIN CSL_CITATION { "citationItems" : [ { "id" : "ITEM-1", "itemData" : { "DOI" : "10.2196/jmir.3193", "ISSN" : "1438-8871", "PMID" : "24892426", "abstract" : "BACKGROUND Electronic screening and brief intervention (eSBI) has been shown to reduce alcohol consumption, but its effectiveness over time has not been subject to meta-analysis. OBJECTIVE The current study aims to conduct a systematic review and meta-analysis of the available literature to determine the effectiveness of eSBI over time in nontreatment-seeking hazardous/harmful drinkers. METHODS A systematic review and meta-analysis of relevant studies identified through searching the electronic databases PsychINFO, Medline, and EMBASE in May 2013. Two members of the study team independently screened studies for inclusion criteria and extracted data. Studies reporting data that could be transformed into grams of ethanol per week were included in the meta-analysis. The mean difference in grams of ethanol per week between eSBI and control groups was weighted using the random-effects method based on the inverse-variance approach to control for differences in sample size between studies. RESULTS There was a statistically significant mean difference in grams of ethanol consumed per week between those receiving an eSBI versus controls at up to 3 months (mean difference -32.74, 95% CI -56.80 to -8.68, z=2.67, P=.01), 3 to less than 6 months (mean difference -17.33, 95% CI -31.82 to -2.84, z=2.34, P=.02), and from 6 months to less than 12 months follow-up (mean difference -14.91, 95% CI -25.56 to -4.26, z=2.74, P=.01). No statistically significant difference was found at a follow-up period of 12 months or greater (mean difference -7.46, 95% CI -25.34 to 10.43, z=0.82, P=.41). CONCLUSIONS A significant reduction in weekly alcohol consumption between intervention and control conditions was demonstrated between 3 months and less than 12 months follow-up indicating eSBI is an effective intervention.", "author" : [ { "dropping-particle" : "", "family" : "Donoghue", "given" : "Kim", "non-dropping-particle" : "", "parse-names" : false, "suffix" : "" }, { "dropping-particle" : "", "family" : "Patton", "given" : "Robert", "non-dropping-particle" : "", "parse-names" : false, "suffix" : "" }, { "dropping-particle" : "", "family" : "Phillips", "given" : "Thomas", "non-dropping-particle" : "", "parse-names" : false, "suffix" : "" }, { "dropping-particle" : "", "family" : "Deluca", "given" : "Paolo", "non-dropping-particle" : "", "parse-names" : false, "suffix" : "" }, { "dropping-particle" : "", "family" : "Drummond", "given" : "Colin", "non-dropping-particle" : "", "parse-names" : false, "suffix" : "" } ], "container-title" : "Journal of medical Internet research", "id" : "ITEM-1", "issue" : "6", "issued" : { "date-parts" : [ [ "2014" ] ] }, "page" : "e142", "title" : "The effectiveness of electronic screening and brief intervention for reducing levels of alcohol consumption: a systematic review and meta-analysis.", "type" : "article-journal", "volume" : "16" }, "uris" : [ "http://www.mendeley.com/documents/?uuid=b0aeba39-1e80-3d78-ba42-99f88ffa6db4" ] } ], "mendeley" : { "formattedCitation" : "(11)", "plainTextFormattedCitation" : "(11)", "previouslyFormattedCitation" : "(11)" }, "properties" : { "noteIndex" : 0 }, "schema" : "https://github.com/citation-style-language/schema/raw/master/csl-citation.json" }</w:instrText>
      </w:r>
      <w:r w:rsidR="003D250D">
        <w:rPr>
          <w:rFonts w:ascii="Calibri" w:hAnsi="Calibri"/>
          <w:lang w:eastAsia="ar-SA"/>
        </w:rPr>
        <w:fldChar w:fldCharType="separate"/>
      </w:r>
      <w:r w:rsidR="00523420" w:rsidRPr="00523420">
        <w:rPr>
          <w:rFonts w:ascii="Calibri" w:hAnsi="Calibri"/>
          <w:noProof/>
          <w:lang w:eastAsia="ar-SA"/>
        </w:rPr>
        <w:t>(11)</w:t>
      </w:r>
      <w:r w:rsidR="003D250D">
        <w:rPr>
          <w:rFonts w:ascii="Calibri" w:hAnsi="Calibri"/>
          <w:lang w:eastAsia="ar-SA"/>
        </w:rPr>
        <w:fldChar w:fldCharType="end"/>
      </w:r>
      <w:r w:rsidR="003D250D">
        <w:rPr>
          <w:rFonts w:ascii="Calibri" w:hAnsi="Calibri"/>
          <w:lang w:eastAsia="ar-SA"/>
        </w:rPr>
        <w:t xml:space="preserve">. </w:t>
      </w:r>
      <w:r w:rsidR="006C3CF9">
        <w:rPr>
          <w:rFonts w:ascii="Calibri" w:hAnsi="Calibri"/>
          <w:lang w:eastAsia="ar-SA"/>
        </w:rPr>
        <w:t>The recent Optimising Delivery of Health care I</w:t>
      </w:r>
      <w:r w:rsidR="00BD60A4">
        <w:rPr>
          <w:rFonts w:ascii="Calibri" w:hAnsi="Calibri"/>
          <w:lang w:eastAsia="ar-SA"/>
        </w:rPr>
        <w:t>n</w:t>
      </w:r>
      <w:r w:rsidR="006C3CF9">
        <w:rPr>
          <w:rFonts w:ascii="Calibri" w:hAnsi="Calibri"/>
          <w:lang w:eastAsia="ar-SA"/>
        </w:rPr>
        <w:t>terventions (ODHIN) trial</w:t>
      </w:r>
      <w:r w:rsidR="003D250D">
        <w:rPr>
          <w:rFonts w:ascii="Calibri" w:hAnsi="Calibri"/>
          <w:lang w:eastAsia="ar-SA"/>
        </w:rPr>
        <w:t xml:space="preserve"> tested the effects of several of these strategies on SBI delivery rates and</w:t>
      </w:r>
      <w:r w:rsidR="006C3CF9">
        <w:rPr>
          <w:rFonts w:ascii="Calibri" w:hAnsi="Calibri"/>
          <w:lang w:eastAsia="ar-SA"/>
        </w:rPr>
        <w:t xml:space="preserve"> demonstrated that training and support and financial reimbursement are effective, particularly in combination, at increasing </w:t>
      </w:r>
      <w:r w:rsidR="003D250D">
        <w:rPr>
          <w:rFonts w:ascii="Calibri" w:hAnsi="Calibri"/>
          <w:lang w:eastAsia="ar-SA"/>
        </w:rPr>
        <w:t>uptake in primary care</w:t>
      </w:r>
      <w:r w:rsidR="00941D06">
        <w:rPr>
          <w:rFonts w:ascii="Calibri" w:hAnsi="Calibri"/>
          <w:lang w:eastAsia="ar-SA"/>
        </w:rPr>
        <w:t xml:space="preserve"> </w:t>
      </w:r>
      <w:r w:rsidR="00941D06">
        <w:rPr>
          <w:rFonts w:ascii="Calibri" w:hAnsi="Calibri"/>
          <w:lang w:eastAsia="ar-SA"/>
        </w:rPr>
        <w:fldChar w:fldCharType="begin" w:fldLock="1"/>
      </w:r>
      <w:r w:rsidR="003778C8">
        <w:rPr>
          <w:rFonts w:ascii="Calibri" w:hAnsi="Calibri"/>
          <w:lang w:eastAsia="ar-SA"/>
        </w:rPr>
        <w:instrText>ADDIN CSL_CITATION { "citationItems" : [ { "id" : "ITEM-1", "itemData" : { "DOI" : "10.1111/add.13476", "ISSN" : "09652140", "author" : [ { "dropping-particle" : "", "family" : "Anderson", "given" : "Peter", "non-dropping-particle" : "", "parse-names" : false, "suffix" : "" }, { "dropping-particle" : "", "family" : "Bendtsen", "given" : "Preben", "non-dropping-particle" : "", "parse-names" : false, "suffix" : "" }, { "dropping-particle" : "", "family" : "Spak", "given" : "Fredrik", "non-dropping-particle" : "", "parse-names" : false, "suffix" : "" }, { "dropping-particle" : "", "family" : "Reynolds", "given" : "Jillian", "non-dropping-particle" : "", "parse-names" : false, "suffix" : "" }, { "dropping-particle" : "", "family" : "Drummond", "given" : "Colin", "non-dropping-particle" : "", "parse-names" : false, "suffix" : "" }, { "dropping-particle" : "", "family" : "Segura", "given" : "Lidia", "non-dropping-particle" : "", "parse-names" : false, "suffix" : "" }, { "dropping-particle" : "", "family" : "Keurhorst", "given" : "Myrna N.", "non-dropping-particle" : "", "parse-names" : false, "suffix" : "" }, { "dropping-particle" : "", "family" : "Palacio-Vieira", "given" : "Jorge", "non-dropping-particle" : "", "parse-names" : false, "suffix" : "" }, { "dropping-particle" : "", "family" : "Wojnar", "given" : "Marcin", "non-dropping-particle" : "", "parse-names" : false, "suffix" : "" }, { "dropping-particle" : "", "family" : "Parkinson", "given" : "Kathryn", "non-dropping-particle" : "", "parse-names" : false, "suffix" : "" }, { "dropping-particle" : "", "family" : "Colom", "given" : "Joan", "non-dropping-particle" : "", "parse-names" : false, "suffix" : "" }, { "dropping-particle" : "", "family" : "K\u0142oda", "given" : "Karolina", "non-dropping-particle" : "", "parse-names" : false, "suffix" : "" }, { "dropping-particle" : "", "family" : "Deluca", "given" : "Paolo", "non-dropping-particle" : "", "parse-names" : false, "suffix" : "" }, { "dropping-particle" : "", "family" : "Baena", "given" : "Bego\u00f1a", "non-dropping-particle" : "", "parse-names" : false, "suffix" : "" }, { "dropping-particle" : "", "family" : "Newbury-Birch", "given" : "Dorothy", "non-dropping-particle" : "", "parse-names" : false, "suffix" : "" }, { "dropping-particle" : "", "family" : "Wallace", "given" : "Paul", "non-dropping-particle" : "", "parse-names" : false, "suffix" : "" }, { "dropping-particle" : "", "family" : "Heinen", "given" : "Maud", "non-dropping-particle" : "", "parse-names" : false, "suffix" : "" }, { "dropping-particle" : "", "family" : "Wolstenholme", "given" : "Amy", "non-dropping-particle" : "", "parse-names" : false, "suffix" : "" }, { "dropping-particle" : "", "family" : "VanSteenkiste", "given" : "Ben", "non-dropping-particle" : "", "parse-names" : false, "suffix" : "" }, { "dropping-particle" : "", "family" : "Mierzecki", "given" : "Artur", "non-dropping-particle" : "", "parse-names" : false, "suffix" : "" }, { "dropping-particle" : "", "family" : "Kozaryn", "given" : "Katarzyna Okulicz-", "non-dropping-particle" : "", "parse-names" : false, "suffix" : "" }, { "dropping-particle" : "", "family" : "Ronda", "given" : "Gaby", "non-dropping-particle" : "", "parse-names" : false, "suffix" : "" }, { "dropping-particle" : "", "family" : "Kaner", "given" : "Eileen", "non-dropping-particle" : "", "parse-names" : false, "suffix" : "" }, { "dropping-particle" : "", "family" : "Laurant", "given" : "Miranda G.H. H.", "non-dropping-particle" : "", "parse-names" : false, "suffix" : "" }, { "dropping-particle" : "", "family" : "Coulton", "given" : "Simon", "non-dropping-particle" : "", "parse-names" : false, "suffix" : "" }, { "dropping-particle" : "", "family" : "Gual", "given" : "Toni", "non-dropping-particle" : "", "parse-names" : false, "suffix" : "" }, { "dropping-particle" : "", "family" : "Steenkiste", "given" : "Ben", "non-dropping-particle" : "van", "parse-names" : false, "suffix" : "" }, { "dropping-particle" : "", "family" : "Mierzecki", "given" : "Artur", "non-dropping-particle" : "", "parse-names" : false, "suffix" : "" }, { "dropping-particle" : "", "family" : "Okulicz-Kozaryn", "given" : "Katarzyna", "non-dropping-particle" : "", "parse-names" : false, "suffix" : "" }, { "dropping-particle" : "", "family" : "Ronda", "given" : "Gaby", "non-dropping-particle" : "", "parse-names" : false, "suffix" : "" }, { "dropping-particle" : "", "family" : "Kaner", "given" : "Eileen", "non-dropping-particle" : "", "parse-names" : false, "suffix" : "" }, { "dropping-particle" : "", "family" : "Laurant", "given" : "Miranda G.H. H.", "non-dropping-particle" : "", "parse-names" : false, "suffix" : "" }, { "dropping-particle" : "", "family" : "Coulton", "given" : "Simon", "non-dropping-particle" : "", "parse-names" : false, "suffix" : "" }, { "dropping-particle" : "", "family" : "Gual", "given" : "Toni", "non-dropping-particle" : "", "parse-names" : false, "suffix" : "" } ], "container-title" : "Addiction", "id" : "ITEM-1", "issued" : { "date-parts" : [ [ "2016" ] ] }, "title" : "Improving the delivery of brief interventions for heavy drinking in primary health care: outcome results of the ODHIN five country cluster randomized factorial trial", "type" : "article-journal" }, "uris" : [ "http://www.mendeley.com/documents/?uuid=8dce1acd-c0ec-4856-b270-eb9b73576544" ] } ], "mendeley" : { "formattedCitation" : "(12)", "plainTextFormattedCitation" : "(12)", "previouslyFormattedCitation" : "(12)" }, "properties" : { "noteIndex" : 0 }, "schema" : "https://github.com/citation-style-language/schema/raw/master/csl-citation.json" }</w:instrText>
      </w:r>
      <w:r w:rsidR="00941D06">
        <w:rPr>
          <w:rFonts w:ascii="Calibri" w:hAnsi="Calibri"/>
          <w:lang w:eastAsia="ar-SA"/>
        </w:rPr>
        <w:fldChar w:fldCharType="separate"/>
      </w:r>
      <w:r w:rsidR="00523420" w:rsidRPr="00523420">
        <w:rPr>
          <w:rFonts w:ascii="Calibri" w:hAnsi="Calibri"/>
          <w:noProof/>
          <w:lang w:eastAsia="ar-SA"/>
        </w:rPr>
        <w:t>(12)</w:t>
      </w:r>
      <w:r w:rsidR="00941D06">
        <w:rPr>
          <w:rFonts w:ascii="Calibri" w:hAnsi="Calibri"/>
          <w:lang w:eastAsia="ar-SA"/>
        </w:rPr>
        <w:fldChar w:fldCharType="end"/>
      </w:r>
      <w:r w:rsidR="003D250D">
        <w:rPr>
          <w:rFonts w:ascii="Calibri" w:hAnsi="Calibri"/>
          <w:lang w:eastAsia="ar-SA"/>
        </w:rPr>
        <w:t>.</w:t>
      </w:r>
      <w:r w:rsidR="006C3CF9">
        <w:rPr>
          <w:rFonts w:ascii="Calibri" w:hAnsi="Calibri"/>
          <w:lang w:eastAsia="ar-SA"/>
        </w:rPr>
        <w:t xml:space="preserve"> </w:t>
      </w:r>
      <w:r w:rsidR="003D250D">
        <w:rPr>
          <w:rFonts w:ascii="Calibri" w:hAnsi="Calibri"/>
          <w:lang w:eastAsia="ar-SA"/>
        </w:rPr>
        <w:t xml:space="preserve">These strategies, </w:t>
      </w:r>
      <w:r w:rsidR="006C3CF9">
        <w:rPr>
          <w:rFonts w:ascii="Calibri" w:hAnsi="Calibri"/>
          <w:lang w:eastAsia="ar-SA"/>
        </w:rPr>
        <w:t>however</w:t>
      </w:r>
      <w:r w:rsidR="003D250D">
        <w:rPr>
          <w:rFonts w:ascii="Calibri" w:hAnsi="Calibri"/>
          <w:lang w:eastAsia="ar-SA"/>
        </w:rPr>
        <w:t>,</w:t>
      </w:r>
      <w:r w:rsidR="006C3CF9">
        <w:rPr>
          <w:rFonts w:ascii="Calibri" w:hAnsi="Calibri"/>
          <w:lang w:eastAsia="ar-SA"/>
        </w:rPr>
        <w:t xml:space="preserve"> have costs attached to them and it is unclear whether these approaches are cost-effective and </w:t>
      </w:r>
      <w:r w:rsidR="00455DAC">
        <w:rPr>
          <w:rFonts w:ascii="Calibri" w:hAnsi="Calibri"/>
          <w:lang w:eastAsia="ar-SA"/>
        </w:rPr>
        <w:t>if this</w:t>
      </w:r>
      <w:r w:rsidR="006C3CF9">
        <w:rPr>
          <w:rFonts w:ascii="Calibri" w:hAnsi="Calibri"/>
          <w:lang w:eastAsia="ar-SA"/>
        </w:rPr>
        <w:t xml:space="preserve"> var</w:t>
      </w:r>
      <w:r w:rsidR="00455DAC">
        <w:rPr>
          <w:rFonts w:ascii="Calibri" w:hAnsi="Calibri"/>
          <w:lang w:eastAsia="ar-SA"/>
        </w:rPr>
        <w:t>ies</w:t>
      </w:r>
      <w:r w:rsidR="006C3CF9">
        <w:rPr>
          <w:rFonts w:ascii="Calibri" w:hAnsi="Calibri"/>
          <w:lang w:eastAsia="ar-SA"/>
        </w:rPr>
        <w:t xml:space="preserve"> between countries.</w:t>
      </w:r>
      <w:r w:rsidR="00436009">
        <w:rPr>
          <w:rFonts w:ascii="Calibri" w:hAnsi="Calibri"/>
          <w:lang w:eastAsia="ar-SA"/>
        </w:rPr>
        <w:t xml:space="preserve"> Previous cost-effectiveness studies in this area have focussed only on online interventions in settings </w:t>
      </w:r>
      <w:r>
        <w:rPr>
          <w:rFonts w:ascii="Calibri" w:hAnsi="Calibri"/>
          <w:lang w:eastAsia="ar-SA"/>
        </w:rPr>
        <w:t>outside</w:t>
      </w:r>
      <w:r w:rsidR="00436009">
        <w:rPr>
          <w:rFonts w:ascii="Calibri" w:hAnsi="Calibri"/>
          <w:lang w:eastAsia="ar-SA"/>
        </w:rPr>
        <w:t xml:space="preserve"> primary care (e.g. </w:t>
      </w:r>
      <w:r w:rsidR="00436009">
        <w:rPr>
          <w:rFonts w:ascii="Calibri" w:hAnsi="Calibri"/>
          <w:lang w:eastAsia="ar-SA"/>
        </w:rPr>
        <w:fldChar w:fldCharType="begin" w:fldLock="1"/>
      </w:r>
      <w:r w:rsidR="00DF1F21">
        <w:rPr>
          <w:rFonts w:ascii="Calibri" w:hAnsi="Calibri"/>
          <w:lang w:eastAsia="ar-SA"/>
        </w:rPr>
        <w:instrText>ADDIN CSL_CITATION { "citationItems" : [ { "id" : "ITEM-1", "itemData" : { "DOI" : "10.1371/journal.pone.0014740", "ISSN" : "1932-6203", "author" : [ { "dropping-particle" : "", "family" : "Wallace", "given" : "Paul", "non-dropping-particle" : "", "parse-names" : false, "suffix" : "" }, { "dropping-particle" : "", "family" : "Murray", "given" : "Elizabeth", "non-dropping-particle" : "", "parse-names" : false, "suffix" : "" }, { "dropping-particle" : "", "family" : "McCambridge", "given" : "Jim", "non-dropping-particle" : "", "parse-names" : false, "suffix" : "" }, { "dropping-particle" : "", "family" : "Khadjesari", "given" : "Zarnie", "non-dropping-particle" : "", "parse-names" : false, "suffix" : "" }, { "dropping-particle" : "", "family" : "White", "given" : "Ian R.", "non-dropping-particle" : "", "parse-names" : false, "suffix" : "" }, { "dropping-particle" : "", "family" : "Thompson", "given" : "Simon G.", "non-dropping-particle" : "", "parse-names" : false, "suffix" : "" }, { "dropping-particle" : "", "family" : "Kalaitzaki", "given" : "Eleftheria", "non-dropping-particle" : "", "parse-names" : false, "suffix" : "" }, { "dropping-particle" : "", "family" : "Godfrey", "given" : "Christine", "non-dropping-particle" : "", "parse-names" : false, "suffix" : "" }, { "dropping-particle" : "", "family" : "Linke", "given" : "Stuart", "non-dropping-particle" : "", "parse-names" : false, "suffix" : "" } ], "container-title" : "PLoS ONE", "editor" : [ { "dropping-particle" : "", "family" : "Myer", "given" : "Landon", "non-dropping-particle" : "", "parse-names" : false, "suffix" : "" } ], "id" : "ITEM-1", "issue" : "3", "issued" : { "date-parts" : [ [ "2011", "3", "9" ] ] }, "page" : "e14740", "publisher" : "Public Library of Science", "title" : "On-line Randomized Controlled Trial of an Internet Based Psychologically Enhanced Intervention for People with Hazardous Alcohol Consumption", "type" : "article-journal", "volume" : "6" }, "uris" : [ "http://www.mendeley.com/documents/?uuid=e19a27a8-9f6a-3f29-8d2f-a569a2982e4c" ] }, { "id" : "ITEM-2", "itemData" : { "DOI" : "10.2196/jmir.1694", "ISBN" : "1438-8871", "ISSN" : "14388871", "PMID" : "21840836", "abstract" : "BACKGROUND: Informing policy decisions about the cost-effectiveness of health care systems (ie, packages of clinical interventions) is probably best done using a modeling approach. To this end, an alcohol model (ALCMOD) was developed.", "author" : [ { "dropping-particle" : "", "family" : "Smit", "given" : "Filip", "non-dropping-particle" : "", "parse-names" : false, "suffix" : "" }, { "dropping-particle" : "", "family" : "Lokkerbol", "given" : "Joran", "non-dropping-particle" : "", "parse-names" : false, "suffix" : "" }, { "dropping-particle" : "", "family" : "Riper", "given" : "Heleen", "non-dropping-particle" : "", "parse-names" : false, "suffix" : "" }, { "dropping-particle" : "", "family" : "Majo", "given" : "Maria Cristina", "non-dropping-particle" : "", "parse-names" : false, "suffix" : "" }, { "dropping-particle" : "", "family" : "Boon", "given" : "Brigitte", "non-dropping-particle" : "", "parse-names" : false, "suffix" : "" }, { "dropping-particle" : "", "family" : "Blankers", "given" : "Matthijs", "non-dropping-particle" : "", "parse-names" : false, "suffix" : "" } ], "container-title" : "Journal of Medical Internet Research", "id" : "ITEM-2", "issue" : "3", "issued" : { "date-parts" : [ [ "2011" ] ] }, "page" : "e56", "title" : "Modeling the cost-effectiveness of health care systems for alcohol use disorders: How implementation of ehealth interventions improves cost-effectiveness", "type" : "article-journal", "volume" : "13" }, "uris" : [ "http://www.mendeley.com/documents/?uuid=efb067a3-fc5a-3283-b5d2-a9d918d6d424" ] }, { "id" : "ITEM-3", "itemData" : { "DOI" : "10.2196/jmir.2052", "ISSN" : "1438-8871", "PMID" : "23103771", "abstract" : "BACKGROUND Internet interventions with and without therapist support have been found to be effective treatment options for harmful alcohol users. Internet-based therapy (IT) leads to larger and longer-lasting positive effects than Internet-based self-help (IS), but it is also more costly to provide. OBJECTIVE To evaluate the cost effectiveness and cost utility of Internet-based interventions for harmful use of alcohol through the assessment of the incremental cost effectiveness of IT compared with IS. METHODS This study was performed in a substance abuse treatment center in Amsterdam, the Netherlands. We collected data over the years 2008-2009. A total of 136 participants were included, 70 (51%) were female, and mean age was 41.5 (SD 9.83) years. Reported alcohol consumption and Alcohol Use Disorders Identification Test (AUDIT) scores indicated harmful drinking behavior at baseline. We collected self-reported outcome data prospectively at baseline and 6 months after randomization. Cost data were extracted from the treatment center's cost records, and sex- and age-specific mean productivity cost data for the Netherlands. RESULTS The median incremental cost-effectiveness ratio was estimated at \u20ac3683 per additional treatment responder and \u20ac14,710 per quality-adjusted life-year (QALY) gained. At a willingness to pay \u20ac20,000 for 1 additional QALY, IT had a 60% likelihood of being more cost effective than IS. Sensitivity analyses attested to the robustness of the findings. CONCLUSIONS IT offers better value for money than IS and might therefore be considered as a treatment option, either as first-line treatment in a matched-care approach or as a second-line treatment in the context of a stepped-care approach. TRIAL REGISTRATION Netherlands Trial Register NTR-TC1155; http://www.trialregister.nl/trialreg/admin/rctview.asp?TC=1155 (Archived by WebCite at http://www.webcitation.org/6AqnV4eTU).", "author" : [ { "dropping-particle" : "", "family" : "Blankers", "given" : "Matthijs", "non-dropping-particle" : "", "parse-names" : false, "suffix" : "" }, { "dropping-particle" : "", "family" : "Nabitz", "given" : "Udo", "non-dropping-particle" : "", "parse-names" : false, "suffix" : "" }, { "dropping-particle" : "", "family" : "Smit", "given" : "Filip", "non-dropping-particle" : "", "parse-names" : false, "suffix" : "" }, { "dropping-particle" : "", "family" : "Koeter", "given" : "Maarten W J", "non-dropping-particle" : "", "parse-names" : false, "suffix" : "" }, { "dropping-particle" : "", "family" : "Schippers", "given" : "Gerard M", "non-dropping-particle" : "", "parse-names" : false, "suffix" : "" } ], "container-title" : "Journal of medical Internet research", "id" : "ITEM-3", "issue" : "5", "issued" : { "date-parts" : [ [ "2012", "10", "29" ] ] }, "page" : "e134", "title" : "Economic evaluation of internet-based interventions for harmful alcohol use alongside a pragmatic randomized controlled trial.", "type" : "article-journal", "volume" : "14" }, "uris" : [ "http://www.mendeley.com/documents/?uuid=33f6c7a7-1ed8-3cfc-bdf1-7729dd2b4c4f" ] } ], "mendeley" : { "formattedCitation" : "(13\u201315)", "plainTextFormattedCitation" : "(13\u201315)", "previouslyFormattedCitation" : "(13\u201315)" }, "properties" : { "noteIndex" : 0 }, "schema" : "https://github.com/citation-style-language/schema/raw/master/csl-citation.json" }</w:instrText>
      </w:r>
      <w:r w:rsidR="00436009">
        <w:rPr>
          <w:rFonts w:ascii="Calibri" w:hAnsi="Calibri"/>
          <w:lang w:eastAsia="ar-SA"/>
        </w:rPr>
        <w:fldChar w:fldCharType="separate"/>
      </w:r>
      <w:r w:rsidR="00523420" w:rsidRPr="00523420">
        <w:rPr>
          <w:rFonts w:ascii="Calibri" w:hAnsi="Calibri"/>
          <w:noProof/>
          <w:lang w:eastAsia="ar-SA"/>
        </w:rPr>
        <w:t>(13–15)</w:t>
      </w:r>
      <w:r w:rsidR="00436009">
        <w:rPr>
          <w:rFonts w:ascii="Calibri" w:hAnsi="Calibri"/>
          <w:lang w:eastAsia="ar-SA"/>
        </w:rPr>
        <w:fldChar w:fldCharType="end"/>
      </w:r>
      <w:r w:rsidR="00436009">
        <w:rPr>
          <w:rFonts w:ascii="Calibri" w:hAnsi="Calibri"/>
          <w:lang w:eastAsia="ar-SA"/>
        </w:rPr>
        <w:t>).</w:t>
      </w:r>
    </w:p>
    <w:p w14:paraId="2BF64B99" w14:textId="14F83611" w:rsidR="0012282E" w:rsidRPr="00D617C4" w:rsidRDefault="006C3CF9" w:rsidP="00426709">
      <w:pPr>
        <w:spacing w:line="480" w:lineRule="auto"/>
        <w:rPr>
          <w:rFonts w:ascii="Calibri" w:hAnsi="Calibri"/>
          <w:lang w:eastAsia="ar-SA"/>
        </w:rPr>
      </w:pPr>
      <w:r>
        <w:rPr>
          <w:rFonts w:ascii="Calibri" w:hAnsi="Calibri"/>
          <w:lang w:eastAsia="ar-SA"/>
        </w:rPr>
        <w:t>This study aims to address this gap by using the Sheffield Alcohol Policy Model</w:t>
      </w:r>
      <w:r w:rsidR="00426709">
        <w:rPr>
          <w:rFonts w:ascii="Calibri" w:hAnsi="Calibri"/>
          <w:lang w:eastAsia="ar-SA"/>
        </w:rPr>
        <w:t xml:space="preserve">, a widely-used alcohol policy appraisal tool which has previously been applied to assess the potential cost-effectiveness of SBIs across Europe </w:t>
      </w:r>
      <w:r w:rsidR="00426709">
        <w:rPr>
          <w:rFonts w:ascii="Calibri" w:hAnsi="Calibri"/>
          <w:lang w:eastAsia="ar-SA"/>
        </w:rPr>
        <w:fldChar w:fldCharType="begin" w:fldLock="1"/>
      </w:r>
      <w:r w:rsidR="00DF1F21">
        <w:rPr>
          <w:rFonts w:ascii="Calibri" w:hAnsi="Calibri"/>
          <w:lang w:eastAsia="ar-SA"/>
        </w:rPr>
        <w:instrText>ADDIN CSL_CITATION { "citationItems" : [ { "id" : "ITEM-1", "itemData" : { "DOI" : "10.1093/alcalc/ags103", "ISSN" : "1464-3502", "PMID" : "23015608", "abstract" : "To estimate the cost-effectiveness and resourcing implications of universal alcohol screening and brief intervention (SBI) programmes in primary care in England.", "author" : [ { "dropping-particle" : "", "family" : "Purshouse", "given" : "R", "non-dropping-particle" : "", "parse-names" : false, "suffix" : "" }, { "dropping-particle" : "", "family" : "Brennan", "given" : "Alan", "non-dropping-particle" : "", "parse-names" : false, "suffix" : "" }, { "dropping-particle" : "", "family" : "Rafia", "given" : "Rachid", "non-dropping-particle" : "", "parse-names" : false, "suffix" : "" }, { "dropping-particle" : "", "family" : "Latimer", "given" : "Nicholas R", "non-dropping-particle" : "", "parse-names" : false, "suffix" : "" }, { "dropping-particle" : "", "family" : "Archer", "given" : "Rachel J", "non-dropping-particle" : "", "parse-names" : false, "suffix" : "" }, { "dropping-particle" : "", "family" : "Angus", "given" : "Colin R", "non-dropping-particle" : "", "parse-names" : false, "suffix" : "" }, { "dropping-particle" : "", "family" : "Preston", "given" : "Louise R", "non-dropping-particle" : "", "parse-names" : false, "suffix" : "" }, { "dropping-particle" : "", "family" : "Meier", "given" : "Petra S", "non-dropping-particle" : "", "parse-names" : false, "suffix" : "" } ], "container-title" : "Alcohol and alcoholism", "id" : "ITEM-1", "issue" : "2", "issued" : { "date-parts" : [ [ "2013", "9", "25" ] ] }, "page" : "180-8", "title" : "Modelling the cost-effectiveness of alcohol screening and brief interventions in primary care in England.", "type" : "article-journal", "volume" : "48" }, "uris" : [ "http://www.mendeley.com/documents/?uuid=76ddf8db-0411-4a82-a25f-1bcdb3aa999a" ] }, { "id" : "ITEM-2", "itemData" : { "DOI" : "10.1186/1471-2296-15-26", "ISSN" : "1471-2296", "PMID" : "24502342", "abstract" : "BACKGROUND: As alcohol-related health problems continue to rise, the attention of policy-makers is increasingly turning to Screening and Brief Intervention (SBI) programmes. The effectiveness of such programmes in primary healthcare is well evidenced, but very few cost-effectiveness analyses have been conducted and none which specifically consider the Italian context. METHODS: The Sheffield Alcohol Policy Model has been used to model the cost-effectiveness of government pricing and public health policies in several countries including England. This study adapts the model using Italian data to evaluate a programme of screening and brief interventions in Italy. Results are reported as Incremental Cost-Effectiveness Ratios (ICERs) of SBI programmes versus a 'do-nothing' scenario. RESULTS: Model results show such programmes to be highly cost-effective, with estimated ICERs of \u20ac550/Quality Adjusted Life Year (QALY) gained for a programme of SBI at next GP registration and \u20ac590/QALY for SBI at next GP consultation. A range of sensitivity analyses suggest these results are robust under all but the most pessimistic assumptions. CONCLUSIONS: This study provides strong support for the promotion of a policy of screening and brief interventions throughout Italy, although policy makers should be aware of the resource implications of different implementation options.", "author" : [ { "dropping-particle" : "", "family" : "Angus", "given" : "Colin", "non-dropping-particle" : "", "parse-names" : false, "suffix" : "" }, { "dropping-particle" : "", "family" : "Scafato", "given" : "Emanuele", "non-dropping-particle" : "", "parse-names" : false, "suffix" : "" }, { "dropping-particle" : "", "family" : "Ghirini", "given" : "Silvia", "non-dropping-particle" : "", "parse-names" : false, "suffix" : "" }, { "dropping-particle" : "", "family" : "Torbica", "given" : "Aleksandra", "non-dropping-particle" : "", "parse-names" : false, "suffix" : "" }, { "dropping-particle" : "", "family" : "Ferre", "given" : "Francesca", "non-dropping-particle" : "", "parse-names" : false, "suffix" : "" }, { "dropping-particle" : "", "family" : "Struzzo", "given" : "Pierluigi", "non-dropping-particle" : "", "parse-names" : false, "suffix" : "" }, { "dropping-particle" : "", "family" : "Purshouse", "given" : "Robin", "non-dropping-particle" : "", "parse-names" : false, "suffix" : "" }, { "dropping-particle" : "", "family" : "Brennan", "given" : "Alan", "non-dropping-particle" : "", "parse-names" : false, "suffix" : "" } ], "container-title" : "BMC family practice", "id" : "ITEM-2", "issue" : "1", "issued" : { "date-parts" : [ [ "2014", "1" ] ] }, "page" : "26", "title" : "Cost-effectiveness of a programme of screening and brief interventions for alcohol in primary care in Italy.", "type" : "article-journal", "volume" : "15" }, "uris" : [ "http://www.mendeley.com/documents/?uuid=c13441db-abe4-44f7-8cab-1e7d2efff0e2" ] }, { "id" : "ITEM-3", "itemData" : { "author" : [ { "dropping-particle" : "", "family" : "Angus", "given" : "Colin", "non-dropping-particle" : "", "parse-names" : false, "suffix" : "" }, { "dropping-particle" : "", "family" : "Thomas", "given" : "Chloe", "non-dropping-particle" : "", "parse-names" : false, "suffix" : "" }, { "dropping-particle" : "", "family" : "Anderson", "given" : "Peter", "non-dropping-particle" : "", "parse-names" : false, "suffix" : "" }, { "dropping-particle" : "", "family" : "Meier", "given" : "Petra S.", "non-dropping-particle" : "", "parse-names" : false, "suffix" : "" }, { "dropping-particle" : "", "family" : "Brennan", "given" : "Alan", "non-dropping-particle" : "", "parse-names" : false, "suffix" : "" } ], "container-title" : "European journal of public health", "id" : "ITEM-3", "issued" : { "date-parts" : [ [ "2016" ] ] }, "title" : "Estimating the cost-effectiveness of brief interventions for heavy drinking in primary health care across Europe", "type" : "article-journal" }, "uris" : [ "http://www.mendeley.com/documents/?uuid=1fb7121d-5e8a-43e8-9a1f-ca7e03c48ca5" ] } ], "mendeley" : { "formattedCitation" : "(7,16,17)", "plainTextFormattedCitation" : "(7,16,17)", "previouslyFormattedCitation" : "(7,16,17)" }, "properties" : { "noteIndex" : 0 }, "schema" : "https://github.com/citation-style-language/schema/raw/master/csl-citation.json" }</w:instrText>
      </w:r>
      <w:r w:rsidR="00426709">
        <w:rPr>
          <w:rFonts w:ascii="Calibri" w:hAnsi="Calibri"/>
          <w:lang w:eastAsia="ar-SA"/>
        </w:rPr>
        <w:fldChar w:fldCharType="separate"/>
      </w:r>
      <w:r w:rsidR="00426709" w:rsidRPr="00426709">
        <w:rPr>
          <w:rFonts w:ascii="Calibri" w:hAnsi="Calibri"/>
          <w:noProof/>
          <w:lang w:eastAsia="ar-SA"/>
        </w:rPr>
        <w:t>(7,16,17)</w:t>
      </w:r>
      <w:r w:rsidR="00426709">
        <w:rPr>
          <w:rFonts w:ascii="Calibri" w:hAnsi="Calibri"/>
          <w:lang w:eastAsia="ar-SA"/>
        </w:rPr>
        <w:fldChar w:fldCharType="end"/>
      </w:r>
      <w:r w:rsidR="00426709">
        <w:rPr>
          <w:rFonts w:ascii="Calibri" w:hAnsi="Calibri"/>
          <w:lang w:eastAsia="ar-SA"/>
        </w:rPr>
        <w:t>,</w:t>
      </w:r>
      <w:r>
        <w:rPr>
          <w:rFonts w:ascii="Calibri" w:hAnsi="Calibri"/>
          <w:lang w:eastAsia="ar-SA"/>
        </w:rPr>
        <w:t xml:space="preserve"> </w:t>
      </w:r>
      <w:r w:rsidR="00FB2C29">
        <w:rPr>
          <w:rFonts w:ascii="Calibri" w:hAnsi="Calibri"/>
          <w:lang w:eastAsia="ar-SA"/>
        </w:rPr>
        <w:t xml:space="preserve"> </w:t>
      </w:r>
      <w:r w:rsidR="00BA43E9">
        <w:rPr>
          <w:rFonts w:ascii="Calibri" w:hAnsi="Calibri"/>
          <w:lang w:eastAsia="ar-SA"/>
        </w:rPr>
        <w:t xml:space="preserve">to evaluate the long-term cost-effectiveness </w:t>
      </w:r>
      <w:r w:rsidR="00436009">
        <w:rPr>
          <w:rFonts w:ascii="Calibri" w:hAnsi="Calibri"/>
          <w:lang w:eastAsia="ar-SA"/>
        </w:rPr>
        <w:t xml:space="preserve">in England, </w:t>
      </w:r>
      <w:r w:rsidR="00526761">
        <w:rPr>
          <w:rFonts w:ascii="Calibri" w:hAnsi="Calibri"/>
          <w:lang w:eastAsia="ar-SA"/>
        </w:rPr>
        <w:t xml:space="preserve">the </w:t>
      </w:r>
      <w:r w:rsidR="00436009">
        <w:rPr>
          <w:rFonts w:ascii="Calibri" w:hAnsi="Calibri"/>
          <w:lang w:eastAsia="ar-SA"/>
        </w:rPr>
        <w:t xml:space="preserve">Netherlands and Poland </w:t>
      </w:r>
      <w:r w:rsidR="00BA43E9">
        <w:rPr>
          <w:rFonts w:ascii="Calibri" w:hAnsi="Calibri"/>
          <w:lang w:eastAsia="ar-SA"/>
        </w:rPr>
        <w:t xml:space="preserve">of training and support, financial incentives and referral to online interventions at improving SBI delivery and the resulting effects on population </w:t>
      </w:r>
      <w:r w:rsidR="003D250D">
        <w:rPr>
          <w:rFonts w:ascii="Calibri" w:hAnsi="Calibri"/>
          <w:lang w:eastAsia="ar-SA"/>
        </w:rPr>
        <w:t>health outcomes</w:t>
      </w:r>
      <w:r w:rsidR="00BA43E9">
        <w:rPr>
          <w:rFonts w:ascii="Calibri" w:hAnsi="Calibri"/>
          <w:lang w:eastAsia="ar-SA"/>
        </w:rPr>
        <w:t>. The findings will enable policy makers to understand the potential costs and benefits of engaging in such programmes and make more informed health policy decisions</w:t>
      </w:r>
      <w:r w:rsidR="00523420">
        <w:rPr>
          <w:rFonts w:ascii="Calibri" w:hAnsi="Calibri"/>
          <w:lang w:eastAsia="ar-SA"/>
        </w:rPr>
        <w:t xml:space="preserve"> when allocating potentially scarce resources</w:t>
      </w:r>
      <w:r w:rsidR="00BA43E9">
        <w:rPr>
          <w:rFonts w:ascii="Calibri" w:hAnsi="Calibri"/>
          <w:lang w:eastAsia="ar-SA"/>
        </w:rPr>
        <w:t>.</w:t>
      </w:r>
    </w:p>
    <w:p w14:paraId="6999D379" w14:textId="77777777" w:rsidR="002E35F5" w:rsidRDefault="002E35F5" w:rsidP="00D04DAC">
      <w:pPr>
        <w:pStyle w:val="Heading1"/>
        <w:spacing w:line="480" w:lineRule="auto"/>
      </w:pPr>
      <w:r>
        <w:br w:type="page"/>
      </w:r>
    </w:p>
    <w:p w14:paraId="22BF0680" w14:textId="423AECC3" w:rsidR="009B400B" w:rsidRDefault="009B400B" w:rsidP="00D04DAC">
      <w:pPr>
        <w:pStyle w:val="Heading1"/>
        <w:spacing w:line="480" w:lineRule="auto"/>
      </w:pPr>
      <w:r>
        <w:t>Methods</w:t>
      </w:r>
    </w:p>
    <w:p w14:paraId="15690EC8" w14:textId="77777777" w:rsidR="009B400B" w:rsidRPr="0013641F" w:rsidRDefault="007B4A90" w:rsidP="00D04DAC">
      <w:pPr>
        <w:pStyle w:val="Subtitle"/>
        <w:spacing w:line="480" w:lineRule="auto"/>
      </w:pPr>
      <w:r w:rsidRPr="0013641F">
        <w:t>ODHIN Trial design</w:t>
      </w:r>
    </w:p>
    <w:p w14:paraId="2A99B347" w14:textId="7CD52C70" w:rsidR="00A87E42" w:rsidRDefault="007B4A90" w:rsidP="00D04DAC">
      <w:pPr>
        <w:spacing w:line="480" w:lineRule="auto"/>
        <w:rPr>
          <w:rFonts w:ascii="Calibri" w:hAnsi="Calibri"/>
          <w:lang w:eastAsia="ar-SA"/>
        </w:rPr>
      </w:pPr>
      <w:r>
        <w:t xml:space="preserve">The ODHIN trial </w:t>
      </w:r>
      <w:r w:rsidR="00523420">
        <w:t>took place</w:t>
      </w:r>
      <w:r>
        <w:t xml:space="preserve"> in 120 primary health care units (PHCUs) equally distributed across </w:t>
      </w:r>
      <w:r w:rsidR="00BD60A4">
        <w:t>five</w:t>
      </w:r>
      <w:r>
        <w:t xml:space="preserve"> countries (England, Netherlands, Poland, Catalonia and Sweden). The</w:t>
      </w:r>
      <w:r>
        <w:rPr>
          <w:rFonts w:ascii="Calibri" w:hAnsi="Calibri"/>
          <w:lang w:eastAsia="ar-SA"/>
        </w:rPr>
        <w:t xml:space="preserve"> trial examined the impact of </w:t>
      </w:r>
      <w:r w:rsidR="00BD60A4">
        <w:rPr>
          <w:rFonts w:ascii="Calibri" w:hAnsi="Calibri"/>
          <w:lang w:eastAsia="ar-SA"/>
        </w:rPr>
        <w:t>three</w:t>
      </w:r>
      <w:r>
        <w:rPr>
          <w:rFonts w:ascii="Calibri" w:hAnsi="Calibri"/>
          <w:lang w:eastAsia="ar-SA"/>
        </w:rPr>
        <w:t xml:space="preserve"> alternative strategies for improving the uptake of Screening and Brief Intervention </w:t>
      </w:r>
      <w:r w:rsidR="0013641F">
        <w:rPr>
          <w:rFonts w:ascii="Calibri" w:hAnsi="Calibri"/>
          <w:lang w:eastAsia="ar-SA"/>
        </w:rPr>
        <w:t>(SBI) delivery in primary care:</w:t>
      </w:r>
      <w:r>
        <w:rPr>
          <w:rFonts w:ascii="Calibri" w:hAnsi="Calibri"/>
          <w:lang w:eastAsia="ar-SA"/>
        </w:rPr>
        <w:t xml:space="preserve"> </w:t>
      </w:r>
    </w:p>
    <w:p w14:paraId="4B91668B" w14:textId="7C1E7E41" w:rsidR="00A87E42" w:rsidRDefault="007B4A90" w:rsidP="00D04DAC">
      <w:pPr>
        <w:pStyle w:val="ListParagraph"/>
        <w:numPr>
          <w:ilvl w:val="0"/>
          <w:numId w:val="9"/>
        </w:numPr>
        <w:spacing w:line="480" w:lineRule="auto"/>
        <w:rPr>
          <w:rFonts w:ascii="Calibri" w:hAnsi="Calibri"/>
          <w:lang w:eastAsia="ar-SA"/>
        </w:rPr>
      </w:pPr>
      <w:r w:rsidRPr="005D6529">
        <w:rPr>
          <w:rFonts w:ascii="Calibri" w:hAnsi="Calibri"/>
          <w:lang w:eastAsia="ar-SA"/>
        </w:rPr>
        <w:t>Training and Support (TS)</w:t>
      </w:r>
      <w:r w:rsidR="0013641F" w:rsidRPr="005D6529">
        <w:rPr>
          <w:rFonts w:ascii="Calibri" w:hAnsi="Calibri"/>
          <w:lang w:eastAsia="ar-SA"/>
        </w:rPr>
        <w:t xml:space="preserve"> in which providers were offered two 1-2 hour face-to-face educational training sessions on SBI</w:t>
      </w:r>
      <w:r w:rsidRPr="005D6529">
        <w:rPr>
          <w:rFonts w:ascii="Calibri" w:hAnsi="Calibri"/>
          <w:lang w:eastAsia="ar-SA"/>
        </w:rPr>
        <w:t xml:space="preserve"> </w:t>
      </w:r>
      <w:r w:rsidR="00523420">
        <w:rPr>
          <w:rFonts w:ascii="Calibri" w:hAnsi="Calibri"/>
          <w:lang w:eastAsia="ar-SA"/>
        </w:rPr>
        <w:t>and follow-up telephone support</w:t>
      </w:r>
    </w:p>
    <w:p w14:paraId="3D2B2638" w14:textId="2CED1EB8" w:rsidR="00A87E42" w:rsidRDefault="007B4A90" w:rsidP="00D04DAC">
      <w:pPr>
        <w:pStyle w:val="ListParagraph"/>
        <w:numPr>
          <w:ilvl w:val="0"/>
          <w:numId w:val="9"/>
        </w:numPr>
        <w:spacing w:line="480" w:lineRule="auto"/>
        <w:rPr>
          <w:rFonts w:ascii="Calibri" w:hAnsi="Calibri"/>
          <w:lang w:eastAsia="ar-SA"/>
        </w:rPr>
      </w:pPr>
      <w:r w:rsidRPr="005D6529">
        <w:rPr>
          <w:rFonts w:ascii="Calibri" w:hAnsi="Calibri"/>
          <w:lang w:eastAsia="ar-SA"/>
        </w:rPr>
        <w:t>Financial Reimbursement (FR)</w:t>
      </w:r>
      <w:r w:rsidR="0013641F" w:rsidRPr="005D6529">
        <w:rPr>
          <w:rFonts w:ascii="Calibri" w:hAnsi="Calibri"/>
          <w:lang w:eastAsia="ar-SA"/>
        </w:rPr>
        <w:t xml:space="preserve"> in which providers were offered financial incentives for screening and intervention delivery</w:t>
      </w:r>
    </w:p>
    <w:p w14:paraId="517040F7" w14:textId="5BB2C83E" w:rsidR="00A87E42" w:rsidRDefault="007B4A90" w:rsidP="00D04DAC">
      <w:pPr>
        <w:pStyle w:val="ListParagraph"/>
        <w:numPr>
          <w:ilvl w:val="0"/>
          <w:numId w:val="9"/>
        </w:numPr>
        <w:spacing w:line="480" w:lineRule="auto"/>
        <w:rPr>
          <w:rFonts w:ascii="Calibri" w:hAnsi="Calibri"/>
          <w:lang w:eastAsia="ar-SA"/>
        </w:rPr>
      </w:pPr>
      <w:r w:rsidRPr="005D6529">
        <w:rPr>
          <w:rFonts w:ascii="Calibri" w:hAnsi="Calibri"/>
          <w:lang w:eastAsia="ar-SA"/>
        </w:rPr>
        <w:t>Referral to an Online Brief Intervention (eBI)</w:t>
      </w:r>
      <w:r w:rsidR="0013641F" w:rsidRPr="005D6529">
        <w:rPr>
          <w:rFonts w:ascii="Calibri" w:hAnsi="Calibri"/>
          <w:lang w:eastAsia="ar-SA"/>
        </w:rPr>
        <w:t xml:space="preserve"> in which providers were able to refer patients </w:t>
      </w:r>
      <w:r w:rsidR="00523420">
        <w:rPr>
          <w:rFonts w:ascii="Calibri" w:hAnsi="Calibri"/>
          <w:lang w:eastAsia="ar-SA"/>
        </w:rPr>
        <w:t>identified as risky drinkers</w:t>
      </w:r>
      <w:r w:rsidR="0013641F" w:rsidRPr="005D6529">
        <w:rPr>
          <w:rFonts w:ascii="Calibri" w:hAnsi="Calibri"/>
          <w:lang w:eastAsia="ar-SA"/>
        </w:rPr>
        <w:t xml:space="preserve"> to an online-based intervention. </w:t>
      </w:r>
    </w:p>
    <w:p w14:paraId="7A68BD8F" w14:textId="2874D88F" w:rsidR="0013641F" w:rsidRPr="005D6529" w:rsidRDefault="0013641F" w:rsidP="00D04DAC">
      <w:pPr>
        <w:spacing w:line="480" w:lineRule="auto"/>
        <w:rPr>
          <w:rFonts w:ascii="Calibri" w:hAnsi="Calibri"/>
          <w:lang w:eastAsia="ar-SA"/>
        </w:rPr>
      </w:pPr>
      <w:r w:rsidRPr="005D6529">
        <w:rPr>
          <w:rFonts w:ascii="Calibri" w:hAnsi="Calibri"/>
          <w:lang w:eastAsia="ar-SA"/>
        </w:rPr>
        <w:t xml:space="preserve">Practices were randomised to either control or any combination of the </w:t>
      </w:r>
      <w:r w:rsidR="00BD60A4" w:rsidRPr="005D6529">
        <w:rPr>
          <w:rFonts w:ascii="Calibri" w:hAnsi="Calibri"/>
          <w:lang w:eastAsia="ar-SA"/>
        </w:rPr>
        <w:t>three</w:t>
      </w:r>
      <w:r w:rsidRPr="005D6529">
        <w:rPr>
          <w:rFonts w:ascii="Calibri" w:hAnsi="Calibri"/>
          <w:lang w:eastAsia="ar-SA"/>
        </w:rPr>
        <w:t xml:space="preserve"> strategies (e.g. TS alone or FR together with eBI) to give </w:t>
      </w:r>
      <w:r w:rsidR="00BD60A4" w:rsidRPr="005D6529">
        <w:rPr>
          <w:rFonts w:ascii="Calibri" w:hAnsi="Calibri"/>
          <w:lang w:eastAsia="ar-SA"/>
        </w:rPr>
        <w:t>eight</w:t>
      </w:r>
      <w:r w:rsidRPr="005D6529">
        <w:rPr>
          <w:rFonts w:ascii="Calibri" w:hAnsi="Calibri"/>
          <w:lang w:eastAsia="ar-SA"/>
        </w:rPr>
        <w:t xml:space="preserve"> arms in total</w:t>
      </w:r>
      <w:r w:rsidR="007B4A90" w:rsidRPr="005D6529">
        <w:rPr>
          <w:rFonts w:ascii="Calibri" w:hAnsi="Calibri"/>
          <w:lang w:eastAsia="ar-SA"/>
        </w:rPr>
        <w:t>.</w:t>
      </w:r>
      <w:r w:rsidRPr="005D6529">
        <w:rPr>
          <w:rFonts w:ascii="Calibri" w:hAnsi="Calibri"/>
          <w:lang w:eastAsia="ar-SA"/>
        </w:rPr>
        <w:t xml:space="preserve"> See the trial protocol or outcomes report for further details on the </w:t>
      </w:r>
      <w:r w:rsidR="003D250D" w:rsidRPr="005D6529">
        <w:rPr>
          <w:rFonts w:ascii="Calibri" w:hAnsi="Calibri"/>
          <w:lang w:eastAsia="ar-SA"/>
        </w:rPr>
        <w:t xml:space="preserve">trial </w:t>
      </w:r>
      <w:r w:rsidRPr="005D6529">
        <w:rPr>
          <w:rFonts w:ascii="Calibri" w:hAnsi="Calibri"/>
          <w:lang w:eastAsia="ar-SA"/>
        </w:rPr>
        <w:t xml:space="preserve">design </w:t>
      </w:r>
      <w:r w:rsidR="00730DEA" w:rsidRPr="005D6529">
        <w:rPr>
          <w:rFonts w:ascii="Calibri" w:hAnsi="Calibri"/>
          <w:lang w:eastAsia="ar-SA"/>
        </w:rPr>
        <w:fldChar w:fldCharType="begin" w:fldLock="1"/>
      </w:r>
      <w:r w:rsidR="00DF1F21">
        <w:rPr>
          <w:rFonts w:ascii="Calibri" w:hAnsi="Calibri"/>
          <w:lang w:eastAsia="ar-SA"/>
        </w:rPr>
        <w:instrText>ADDIN CSL_CITATION { "citationItems" : [ { "id" : "ITEM-1", "itemData" : { "DOI" : "10.1186/1748-5908-8-11", "ISSN" : "1748-5908", "PMID" : "23347874", "abstract" : "ABSTRACT:", "author" : [ { "dropping-particle" : "", "family" : "Keurhorst", "given" : "Myrna N", "non-dropping-particle" : "", "parse-names" : false, "suffix" : "" }, { "dropping-particle" : "", "family" : "Anderson", "given" : "Peter", "non-dropping-particle" : "", "parse-names" : false, "suffix" : "" }, { "dropping-particle" : "", "family" : "Spak", "given" : "Fredrik", "non-dropping-particle" : "", "parse-names" : false, "suffix" : "" }, { "dropping-particle" : "", "family" : "Bendtsen", "given" : "Preben", "non-dropping-particle" : "", "parse-names" : false, "suffix" : "" }, { "dropping-particle" : "", "family" : "Segura", "given" : "Lidia", "non-dropping-particle" : "", "parse-names" : false, "suffix" : "" }, { "dropping-particle" : "", "family" : "Colom", "given" : "Joan", "non-dropping-particle" : "", "parse-names" : false, "suffix" : "" }, { "dropping-particle" : "", "family" : "Reynolds", "given" : "Jillian", "non-dropping-particle" : "", "parse-names" : false, "suffix" : "" }, { "dropping-particle" : "", "family" : "Drummond", "given" : "Colin", "non-dropping-particle" : "", "parse-names" : false, "suffix" : "" }, { "dropping-particle" : "", "family" : "Deluca", "given" : "Paolo", "non-dropping-particle" : "", "parse-names" : false, "suffix" : "" }, { "dropping-particle" : "", "family" : "Steenkiste", "given" : "Ben", "non-dropping-particle" : "van", "parse-names" : false, "suffix" : "" }, { "dropping-particle" : "", "family" : "Mierzecki", "given" : "Artur", "non-dropping-particle" : "", "parse-names" : false, "suffix" : "" }, { "dropping-particle" : "", "family" : "K\u0142oda", "given" : "Karolina", "non-dropping-particle" : "", "parse-names" : false, "suffix" : "" }, { "dropping-particle" : "", "family" : "Wallace", "given" : "Paul", "non-dropping-particle" : "", "parse-names" : false, "suffix" : "" }, { "dropping-particle" : "", "family" : "Newbury-Birch", "given" : "Dorothy", "non-dropping-particle" : "", "parse-names" : false, "suffix" : "" }, { "dropping-particle" : "", "family" : "Kaner", "given" : "Eileen", "non-dropping-particle" : "", "parse-names" : false, "suffix" : "" }, { "dropping-particle" : "", "family" : "Gual", "given" : "Toni", "non-dropping-particle" : "", "parse-names" : false, "suffix" : "" }, { "dropping-particle" : "", "family" : "Laurant", "given" : "Miranda Gh", "non-dropping-particle" : "", "parse-names" : false, "suffix" : "" } ], "container-title" : "Implementation science : IS", "id" : "ITEM-1", "issued" : { "date-parts" : [ [ "2013", "1" ] ] }, "page" : "11", "title" : "Implementing training and support, financial reimbursement, and referral to an internet-based brief advice program to improve the early identification of hazardous and harmful alcohol consumption in primary care (ODHIN): study protocol for a cluster rando", "type" : "article-journal", "volume" : "8" }, "uris" : [ "http://www.mendeley.com/documents/?uuid=98911474-513c-41b3-af24-4ca898de27a0" ] }, { "id" : "ITEM-2", "itemData" : { "DOI" : "10.1111/add.13476", "ISSN" : "09652140", "author" : [ { "dropping-particle" : "", "family" : "Anderson", "given" : "Peter", "non-dropping-particle" : "", "parse-names" : false, "suffix" : "" }, { "dropping-particle" : "", "family" : "Bendtsen", "given" : "Preben", "non-dropping-particle" : "", "parse-names" : false, "suffix" : "" }, { "dropping-particle" : "", "family" : "Spak", "given" : "Fredrik", "non-dropping-particle" : "", "parse-names" : false, "suffix" : "" }, { "dropping-particle" : "", "family" : "Reynolds", "given" : "Jillian", "non-dropping-particle" : "", "parse-names" : false, "suffix" : "" }, { "dropping-particle" : "", "family" : "Drummond", "given" : "Colin", "non-dropping-particle" : "", "parse-names" : false, "suffix" : "" }, { "dropping-particle" : "", "family" : "Segura", "given" : "Lidia", "non-dropping-particle" : "", "parse-names" : false, "suffix" : "" }, { "dropping-particle" : "", "family" : "Keurhorst", "given" : "Myrna N.", "non-dropping-particle" : "", "parse-names" : false, "suffix" : "" }, { "dropping-particle" : "", "family" : "Palacio-Vieira", "given" : "Jorge", "non-dropping-particle" : "", "parse-names" : false, "suffix" : "" }, { "dropping-particle" : "", "family" : "Wojnar", "given" : "Marcin", "non-dropping-particle" : "", "parse-names" : false, "suffix" : "" }, { "dropping-particle" : "", "family" : "Parkinson", "given" : "Kathryn", "non-dropping-particle" : "", "parse-names" : false, "suffix" : "" }, { "dropping-particle" : "", "family" : "Colom", "given" : "Joan", "non-dropping-particle" : "", "parse-names" : false, "suffix" : "" }, { "dropping-particle" : "", "family" : "K\u0142oda", "given" : "Karolina", "non-dropping-particle" : "", "parse-names" : false, "suffix" : "" }, { "dropping-particle" : "", "family" : "Deluca", "given" : "Paolo", "non-dropping-particle" : "", "parse-names" : false, "suffix" : "" }, { "dropping-particle" : "", "family" : "Baena", "given" : "Bego\u00f1a", "non-dropping-particle" : "", "parse-names" : false, "suffix" : "" }, { "dropping-particle" : "", "family" : "Newbury-Birch", "given" : "Dorothy", "non-dropping-particle" : "", "parse-names" : false, "suffix" : "" }, { "dropping-particle" : "", "family" : "Wallace", "given" : "Paul", "non-dropping-particle" : "", "parse-names" : false, "suffix" : "" }, { "dropping-particle" : "", "family" : "Heinen", "given" : "Maud", "non-dropping-particle" : "", "parse-names" : false, "suffix" : "" }, { "dropping-particle" : "", "family" : "Wolstenholme", "given" : "Amy", "non-dropping-particle" : "", "parse-names" : false, "suffix" : "" }, { "dropping-particle" : "", "family" : "VanSteenkiste", "given" : "Ben", "non-dropping-particle" : "", "parse-names" : false, "suffix" : "" }, { "dropping-particle" : "", "family" : "Mierzecki", "given" : "Artur", "non-dropping-particle" : "", "parse-names" : false, "suffix" : "" }, { "dropping-particle" : "", "family" : "Kozaryn", "given" : "Katarzyna Okulicz-", "non-dropping-particle" : "", "parse-names" : false, "suffix" : "" }, { "dropping-particle" : "", "family" : "Ronda", "given" : "Gaby", "non-dropping-particle" : "", "parse-names" : false, "suffix" : "" }, { "dropping-particle" : "", "family" : "Kaner", "given" : "Eileen", "non-dropping-particle" : "", "parse-names" : false, "suffix" : "" }, { "dropping-particle" : "", "family" : "Laurant", "given" : "Miranda G.H. H.", "non-dropping-particle" : "", "parse-names" : false, "suffix" : "" }, { "dropping-particle" : "", "family" : "Coulton", "given" : "Simon", "non-dropping-particle" : "", "parse-names" : false, "suffix" : "" }, { "dropping-particle" : "", "family" : "Gual", "given" : "Toni", "non-dropping-particle" : "", "parse-names" : false, "suffix" : "" }, { "dropping-particle" : "", "family" : "Steenkiste", "given" : "Ben", "non-dropping-particle" : "van", "parse-names" : false, "suffix" : "" }, { "dropping-particle" : "", "family" : "Mierzecki", "given" : "Artur", "non-dropping-particle" : "", "parse-names" : false, "suffix" : "" }, { "dropping-particle" : "", "family" : "Okulicz-Kozaryn", "given" : "Katarzyna", "non-dropping-particle" : "", "parse-names" : false, "suffix" : "" }, { "dropping-particle" : "", "family" : "Ronda", "given" : "Gaby", "non-dropping-particle" : "", "parse-names" : false, "suffix" : "" }, { "dropping-particle" : "", "family" : "Kaner", "given" : "Eileen", "non-dropping-particle" : "", "parse-names" : false, "suffix" : "" }, { "dropping-particle" : "", "family" : "Laurant", "given" : "Miranda G.H. H.", "non-dropping-particle" : "", "parse-names" : false, "suffix" : "" }, { "dropping-particle" : "", "family" : "Coulton", "given" : "Simon", "non-dropping-particle" : "", "parse-names" : false, "suffix" : "" }, { "dropping-particle" : "", "family" : "Gual", "given" : "Toni", "non-dropping-particle" : "", "parse-names" : false, "suffix" : "" } ], "container-title" : "Addiction", "id" : "ITEM-2", "issued" : { "date-parts" : [ [ "2016" ] ] }, "title" : "Improving the delivery of brief interventions for heavy drinking in primary health care: outcome results of the ODHIN five country cluster randomized factorial trial", "type" : "article-journal" }, "uris" : [ "http://www.mendeley.com/documents/?uuid=8dce1acd-c0ec-4856-b270-eb9b73576544" ] } ], "mendeley" : { "formattedCitation" : "(12,18)", "plainTextFormattedCitation" : "(12,18)", "previouslyFormattedCitation" : "(12,18)" }, "properties" : { "noteIndex" : 0 }, "schema" : "https://github.com/citation-style-language/schema/raw/master/csl-citation.json" }</w:instrText>
      </w:r>
      <w:r w:rsidR="00730DEA" w:rsidRPr="005D6529">
        <w:rPr>
          <w:rFonts w:ascii="Calibri" w:hAnsi="Calibri"/>
          <w:lang w:eastAsia="ar-SA"/>
        </w:rPr>
        <w:fldChar w:fldCharType="separate"/>
      </w:r>
      <w:r w:rsidR="00DF1F21" w:rsidRPr="00DF1F21">
        <w:rPr>
          <w:rFonts w:ascii="Calibri" w:hAnsi="Calibri"/>
          <w:noProof/>
          <w:lang w:eastAsia="ar-SA"/>
        </w:rPr>
        <w:t>(12,18)</w:t>
      </w:r>
      <w:r w:rsidR="00730DEA" w:rsidRPr="005D6529">
        <w:rPr>
          <w:rFonts w:ascii="Calibri" w:hAnsi="Calibri"/>
          <w:lang w:eastAsia="ar-SA"/>
        </w:rPr>
        <w:fldChar w:fldCharType="end"/>
      </w:r>
      <w:r w:rsidR="003D250D" w:rsidRPr="005D6529">
        <w:rPr>
          <w:rFonts w:ascii="Calibri" w:hAnsi="Calibri"/>
          <w:lang w:eastAsia="ar-SA"/>
        </w:rPr>
        <w:t>.</w:t>
      </w:r>
    </w:p>
    <w:p w14:paraId="1F3D0BEA" w14:textId="77777777" w:rsidR="0013641F" w:rsidRDefault="000E3BF9" w:rsidP="00D04DAC">
      <w:pPr>
        <w:pStyle w:val="Subtitle"/>
        <w:spacing w:line="480" w:lineRule="auto"/>
        <w:rPr>
          <w:lang w:eastAsia="ar-SA"/>
        </w:rPr>
      </w:pPr>
      <w:r>
        <w:rPr>
          <w:lang w:eastAsia="ar-SA"/>
        </w:rPr>
        <w:t>Trial outcomes</w:t>
      </w:r>
    </w:p>
    <w:p w14:paraId="03FED851" w14:textId="77777777" w:rsidR="000E3BF9" w:rsidRDefault="000E3BF9" w:rsidP="00D04DAC">
      <w:pPr>
        <w:spacing w:line="480" w:lineRule="auto"/>
        <w:jc w:val="both"/>
        <w:rPr>
          <w:rFonts w:ascii="Calibri" w:hAnsi="Calibri" w:cs="Arial"/>
        </w:rPr>
      </w:pPr>
      <w:r>
        <w:rPr>
          <w:lang w:eastAsia="ar-SA"/>
        </w:rPr>
        <w:t>The trial collected data on three key performance measures of SBI delivery:</w:t>
      </w:r>
    </w:p>
    <w:p w14:paraId="62BD59C4" w14:textId="6C52CE84" w:rsidR="000E3BF9" w:rsidRPr="009C347C" w:rsidRDefault="000E3BF9" w:rsidP="00D04DAC">
      <w:pPr>
        <w:pStyle w:val="ListParagraph"/>
        <w:numPr>
          <w:ilvl w:val="0"/>
          <w:numId w:val="1"/>
        </w:numPr>
        <w:spacing w:after="0" w:line="480" w:lineRule="auto"/>
        <w:jc w:val="both"/>
        <w:rPr>
          <w:rFonts w:ascii="Calibri" w:hAnsi="Calibri" w:cs="Arial"/>
        </w:rPr>
      </w:pPr>
      <w:r w:rsidRPr="009C347C">
        <w:rPr>
          <w:rFonts w:ascii="Calibri" w:hAnsi="Calibri" w:cs="Arial"/>
        </w:rPr>
        <w:t xml:space="preserve">The screening </w:t>
      </w:r>
      <w:r w:rsidR="001A6F40">
        <w:rPr>
          <w:rFonts w:ascii="Calibri" w:hAnsi="Calibri" w:cs="Arial"/>
        </w:rPr>
        <w:t>proportion</w:t>
      </w:r>
      <w:r w:rsidR="001A6F40" w:rsidRPr="009C347C">
        <w:rPr>
          <w:rFonts w:ascii="Calibri" w:hAnsi="Calibri" w:cs="Arial"/>
        </w:rPr>
        <w:t xml:space="preserve"> </w:t>
      </w:r>
      <w:r w:rsidRPr="009C347C">
        <w:rPr>
          <w:rFonts w:ascii="Calibri" w:hAnsi="Calibri" w:cs="Arial"/>
        </w:rPr>
        <w:t xml:space="preserve">– the proportion of eligible patients who were screened for </w:t>
      </w:r>
      <w:r>
        <w:rPr>
          <w:rFonts w:ascii="Calibri" w:hAnsi="Calibri" w:cs="Arial"/>
        </w:rPr>
        <w:t>heavy drinking using the AUDIT-C screening tool</w:t>
      </w:r>
      <w:r>
        <w:rPr>
          <w:rStyle w:val="FootnoteReference"/>
          <w:rFonts w:ascii="Calibri" w:hAnsi="Calibri" w:cs="Arial"/>
        </w:rPr>
        <w:footnoteReference w:id="1"/>
      </w:r>
    </w:p>
    <w:p w14:paraId="152992D7" w14:textId="3D0CEDA4" w:rsidR="000E3BF9" w:rsidRDefault="000E3BF9" w:rsidP="00D04DAC">
      <w:pPr>
        <w:pStyle w:val="ListParagraph"/>
        <w:numPr>
          <w:ilvl w:val="0"/>
          <w:numId w:val="1"/>
        </w:numPr>
        <w:spacing w:after="0" w:line="480" w:lineRule="auto"/>
        <w:jc w:val="both"/>
        <w:rPr>
          <w:rFonts w:ascii="Calibri" w:hAnsi="Calibri" w:cs="Arial"/>
        </w:rPr>
      </w:pPr>
      <w:r>
        <w:rPr>
          <w:rFonts w:ascii="Calibri" w:hAnsi="Calibri" w:cs="Arial"/>
        </w:rPr>
        <w:t xml:space="preserve">The screen positive </w:t>
      </w:r>
      <w:r w:rsidR="001A6F40">
        <w:rPr>
          <w:rFonts w:ascii="Calibri" w:hAnsi="Calibri" w:cs="Arial"/>
        </w:rPr>
        <w:t xml:space="preserve">proportion </w:t>
      </w:r>
      <w:r>
        <w:rPr>
          <w:rFonts w:ascii="Calibri" w:hAnsi="Calibri" w:cs="Arial"/>
        </w:rPr>
        <w:t xml:space="preserve">– </w:t>
      </w:r>
      <w:r w:rsidR="00523420">
        <w:rPr>
          <w:rFonts w:ascii="Calibri" w:hAnsi="Calibri" w:cs="Arial"/>
        </w:rPr>
        <w:t>the proportion of screened patients who were identified as heavy drinkers by the screening test</w:t>
      </w:r>
      <w:r w:rsidR="00523420">
        <w:rPr>
          <w:rStyle w:val="FootnoteReference"/>
          <w:rFonts w:ascii="Calibri" w:hAnsi="Calibri" w:cs="Arial"/>
        </w:rPr>
        <w:footnoteReference w:id="2"/>
      </w:r>
      <w:r w:rsidRPr="008506B9">
        <w:t>.</w:t>
      </w:r>
    </w:p>
    <w:p w14:paraId="76F30563" w14:textId="32DC8C44" w:rsidR="000E3BF9" w:rsidRDefault="000E3BF9" w:rsidP="00D04DAC">
      <w:pPr>
        <w:pStyle w:val="ListParagraph"/>
        <w:numPr>
          <w:ilvl w:val="0"/>
          <w:numId w:val="1"/>
        </w:numPr>
        <w:spacing w:after="0" w:line="480" w:lineRule="auto"/>
        <w:jc w:val="both"/>
        <w:rPr>
          <w:rFonts w:ascii="Calibri" w:hAnsi="Calibri" w:cs="Arial"/>
        </w:rPr>
      </w:pPr>
      <w:r>
        <w:rPr>
          <w:rFonts w:ascii="Calibri" w:hAnsi="Calibri" w:cs="Arial"/>
        </w:rPr>
        <w:t xml:space="preserve">The Brief Intervention </w:t>
      </w:r>
      <w:r w:rsidR="001A6F40">
        <w:rPr>
          <w:rFonts w:ascii="Calibri" w:hAnsi="Calibri" w:cs="Arial"/>
        </w:rPr>
        <w:t xml:space="preserve">proportion </w:t>
      </w:r>
      <w:r>
        <w:rPr>
          <w:rFonts w:ascii="Calibri" w:hAnsi="Calibri" w:cs="Arial"/>
        </w:rPr>
        <w:t>– the proportion of patients who screened positive on AUDIT-C who subsequently received a Brief Intervention</w:t>
      </w:r>
    </w:p>
    <w:p w14:paraId="6422AB83" w14:textId="77777777" w:rsidR="000E3BF9" w:rsidRPr="006E4EA1" w:rsidRDefault="000E3BF9" w:rsidP="00D04DAC">
      <w:pPr>
        <w:pStyle w:val="ListParagraph"/>
        <w:spacing w:after="0" w:line="480" w:lineRule="auto"/>
        <w:jc w:val="both"/>
        <w:rPr>
          <w:rFonts w:ascii="Calibri" w:hAnsi="Calibri" w:cs="Arial"/>
        </w:rPr>
      </w:pPr>
    </w:p>
    <w:p w14:paraId="211AA6DF" w14:textId="1D1E6965" w:rsidR="000E3BF9" w:rsidRDefault="00523420" w:rsidP="00D04DAC">
      <w:pPr>
        <w:spacing w:line="480" w:lineRule="auto"/>
        <w:rPr>
          <w:rFonts w:ascii="Calibri" w:hAnsi="Calibri" w:cs="Arial"/>
        </w:rPr>
      </w:pPr>
      <w:r>
        <w:rPr>
          <w:rFonts w:ascii="Calibri" w:hAnsi="Calibri" w:cs="Arial"/>
        </w:rPr>
        <w:t>Trial data</w:t>
      </w:r>
      <w:r w:rsidR="000E3BF9">
        <w:rPr>
          <w:rFonts w:ascii="Calibri" w:hAnsi="Calibri" w:cs="Arial"/>
        </w:rPr>
        <w:t xml:space="preserve"> was collected at </w:t>
      </w:r>
      <w:r w:rsidR="00BD60A4">
        <w:rPr>
          <w:rFonts w:ascii="Calibri" w:hAnsi="Calibri" w:cs="Arial"/>
        </w:rPr>
        <w:t>three</w:t>
      </w:r>
      <w:r>
        <w:rPr>
          <w:rFonts w:ascii="Calibri" w:hAnsi="Calibri" w:cs="Arial"/>
        </w:rPr>
        <w:t xml:space="preserve"> time points – </w:t>
      </w:r>
      <w:r w:rsidR="000E3BF9">
        <w:rPr>
          <w:rFonts w:ascii="Calibri" w:hAnsi="Calibri" w:cs="Arial"/>
        </w:rPr>
        <w:t>baseline (i.e. pre-intervention), during a 12</w:t>
      </w:r>
      <w:r w:rsidR="00BD60A4">
        <w:rPr>
          <w:rFonts w:ascii="Calibri" w:hAnsi="Calibri" w:cs="Arial"/>
        </w:rPr>
        <w:t>-</w:t>
      </w:r>
      <w:r w:rsidR="000E3BF9">
        <w:rPr>
          <w:rFonts w:ascii="Calibri" w:hAnsi="Calibri" w:cs="Arial"/>
        </w:rPr>
        <w:t>week implementation period at which time the strategies were being implemented, and during a 4-week follow-up period 6-months later (i.e. post-intervention).</w:t>
      </w:r>
      <w:r w:rsidR="00DD19BA">
        <w:rPr>
          <w:rFonts w:ascii="Calibri" w:hAnsi="Calibri" w:cs="Arial"/>
        </w:rPr>
        <w:t xml:space="preserve"> </w:t>
      </w:r>
      <w:r w:rsidR="00526761">
        <w:rPr>
          <w:rFonts w:ascii="Calibri" w:hAnsi="Calibri" w:cs="Arial"/>
        </w:rPr>
        <w:t>T</w:t>
      </w:r>
      <w:r w:rsidR="00DD19BA">
        <w:rPr>
          <w:rFonts w:ascii="Calibri" w:hAnsi="Calibri" w:cs="Arial"/>
        </w:rPr>
        <w:t xml:space="preserve">he baseline values of each measure </w:t>
      </w:r>
      <w:r w:rsidR="00526761">
        <w:rPr>
          <w:rFonts w:ascii="Calibri" w:hAnsi="Calibri" w:cs="Arial"/>
        </w:rPr>
        <w:t xml:space="preserve">were derived </w:t>
      </w:r>
      <w:r w:rsidR="00717FDC">
        <w:rPr>
          <w:rFonts w:ascii="Calibri" w:hAnsi="Calibri" w:cs="Arial"/>
        </w:rPr>
        <w:t>for each country</w:t>
      </w:r>
      <w:r w:rsidR="00DD19BA">
        <w:rPr>
          <w:rFonts w:ascii="Calibri" w:hAnsi="Calibri" w:cs="Arial"/>
        </w:rPr>
        <w:t>, and the effect of each strategy on each measure during the implementation period and at follow-up, as presented in</w:t>
      </w:r>
      <w:r w:rsidR="00717FDC">
        <w:rPr>
          <w:rFonts w:ascii="Calibri" w:hAnsi="Calibri" w:cs="Arial"/>
        </w:rPr>
        <w:t xml:space="preserve"> </w:t>
      </w:r>
      <w:r w:rsidR="006A00DF">
        <w:rPr>
          <w:rFonts w:ascii="Calibri" w:hAnsi="Calibri" w:cs="Arial"/>
          <w:highlight w:val="yellow"/>
        </w:rPr>
        <w:fldChar w:fldCharType="begin"/>
      </w:r>
      <w:r w:rsidR="006A00DF">
        <w:rPr>
          <w:rFonts w:ascii="Calibri" w:hAnsi="Calibri" w:cs="Arial"/>
        </w:rPr>
        <w:instrText xml:space="preserve"> REF _Ref505285179 \h </w:instrText>
      </w:r>
      <w:r w:rsidR="006A00DF">
        <w:rPr>
          <w:rFonts w:ascii="Calibri" w:hAnsi="Calibri" w:cs="Arial"/>
          <w:highlight w:val="yellow"/>
        </w:rPr>
      </w:r>
      <w:r w:rsidR="006A00DF">
        <w:rPr>
          <w:rFonts w:ascii="Calibri" w:hAnsi="Calibri" w:cs="Arial"/>
          <w:highlight w:val="yellow"/>
        </w:rPr>
        <w:fldChar w:fldCharType="separate"/>
      </w:r>
      <w:r w:rsidR="006A00DF">
        <w:t xml:space="preserve">Table </w:t>
      </w:r>
      <w:r w:rsidR="006A00DF">
        <w:rPr>
          <w:noProof/>
        </w:rPr>
        <w:t>1</w:t>
      </w:r>
      <w:r w:rsidR="006A00DF">
        <w:rPr>
          <w:rFonts w:ascii="Calibri" w:hAnsi="Calibri" w:cs="Arial"/>
          <w:highlight w:val="yellow"/>
        </w:rPr>
        <w:fldChar w:fldCharType="end"/>
      </w:r>
      <w:r w:rsidR="00DD19BA">
        <w:rPr>
          <w:rFonts w:ascii="Calibri" w:hAnsi="Calibri" w:cs="Arial"/>
        </w:rPr>
        <w:t>. See Appendix A for further details of this analysis.</w:t>
      </w:r>
      <w:r w:rsidR="00FB2C29">
        <w:rPr>
          <w:rFonts w:ascii="Calibri" w:hAnsi="Calibri" w:cs="Arial"/>
        </w:rPr>
        <w:t xml:space="preserve"> Whilst the trial took place across five countries, versions of the Sheffield Alcohol Policy Model, used to estimate the long-term costs and effects of the trialled strategies, </w:t>
      </w:r>
      <w:r>
        <w:rPr>
          <w:rFonts w:ascii="Calibri" w:hAnsi="Calibri" w:cs="Arial"/>
        </w:rPr>
        <w:t>were only available for three</w:t>
      </w:r>
      <w:r w:rsidR="00FB2C29">
        <w:rPr>
          <w:rFonts w:ascii="Calibri" w:hAnsi="Calibri" w:cs="Arial"/>
        </w:rPr>
        <w:t xml:space="preserve"> of these countries: England, Netherlands and Poland.</w:t>
      </w:r>
      <w:r w:rsidR="003778C8">
        <w:rPr>
          <w:rFonts w:ascii="Calibri" w:hAnsi="Calibri" w:cs="Arial"/>
        </w:rPr>
        <w:t xml:space="preserve"> Full details of these models have previously been published </w:t>
      </w:r>
      <w:r w:rsidR="003778C8">
        <w:rPr>
          <w:rFonts w:ascii="Calibri" w:hAnsi="Calibri" w:cs="Arial"/>
        </w:rPr>
        <w:fldChar w:fldCharType="begin" w:fldLock="1"/>
      </w:r>
      <w:r w:rsidR="00DF1F21">
        <w:rPr>
          <w:rFonts w:ascii="Calibri" w:hAnsi="Calibri" w:cs="Arial"/>
        </w:rPr>
        <w:instrText>ADDIN CSL_CITATION { "citationItems" : [ { "id" : "ITEM-1", "itemData" : { "DOI" : "10.1093/alcalc/ags103", "ISSN" : "1464-3502", "PMID" : "23015608", "abstract" : "To estimate the cost-effectiveness and resourcing implications of universal alcohol screening and brief intervention (SBI) programmes in primary care in England.", "author" : [ { "dropping-particle" : "", "family" : "Purshouse", "given" : "R", "non-dropping-particle" : "", "parse-names" : false, "suffix" : "" }, { "dropping-particle" : "", "family" : "Brennan", "given" : "Alan", "non-dropping-particle" : "", "parse-names" : false, "suffix" : "" }, { "dropping-particle" : "", "family" : "Rafia", "given" : "Rachid", "non-dropping-particle" : "", "parse-names" : false, "suffix" : "" }, { "dropping-particle" : "", "family" : "Latimer", "given" : "Nicholas R", "non-dropping-particle" : "", "parse-names" : false, "suffix" : "" }, { "dropping-particle" : "", "family" : "Archer", "given" : "Rachel J", "non-dropping-particle" : "", "parse-names" : false, "suffix" : "" }, { "dropping-particle" : "", "family" : "Angus", "given" : "Colin R", "non-dropping-particle" : "", "parse-names" : false, "suffix" : "" }, { "dropping-particle" : "", "family" : "Preston", "given" : "Louise R", "non-dropping-particle" : "", "parse-names" : false, "suffix" : "" }, { "dropping-particle" : "", "family" : "Meier", "given" : "Petra S", "non-dropping-particle" : "", "parse-names" : false, "suffix" : "" } ], "container-title" : "Alcohol and alcoholism", "id" : "ITEM-1", "issue" : "2", "issued" : { "date-parts" : [ [ "2013", "9", "25" ] ] }, "page" : "180-8", "title" : "Modelling the cost-effectiveness of alcohol screening and brief interventions in primary care in England.", "type" : "article-journal", "volume" : "48" }, "uris" : [ "http://www.mendeley.com/documents/?uuid=76ddf8db-0411-4a82-a25f-1bcdb3aa999a" ] }, { "id" : "ITEM-2", "itemData" : { "author" : [ { "dropping-particle" : "", "family" : "Angus", "given" : "C", "non-dropping-particle" : "", "parse-names" : false, "suffix" : "" }, { "dropping-particle" : "", "family" : "Scafato", "given" : "E", "non-dropping-particle" : "", "parse-names" : false, "suffix" : "" }, { "dropping-particle" : "", "family" : "Ghirini", "given" : "S", "non-dropping-particle" : "", "parse-names" : false, "suffix" : "" }, { "dropping-particle" : "", "family" : "Torbica", "given" : "A", "non-dropping-particle" : "", "parse-names" : false, "suffix" : "" }, { "dropping-particle" : "", "family" : "Ferre", "given" : "F", "non-dropping-particle" : "", "parse-names" : false, "suffix" : "" }, { "dropping-particle" : "", "family" : "Struzzo", "given" : "P", "non-dropping-particle" : "", "parse-names" : false, "suffix" : "" }, { "dropping-particle" : "", "family" : "Keurhorst", "given" : "M", "non-dropping-particle" : "", "parse-names" : false, "suffix" : "" }, { "dropping-particle" : "", "family" : "Laurant", "given" : "M", "non-dropping-particle" : "", "parse-names" : false, "suffix" : "" }, { "dropping-particle" : "", "family" : "S\u0142odownik", "given" : "L", "non-dropping-particle" : "", "parse-names" : false, "suffix" : "" }, { "dropping-particle" : "", "family" : "Okulicz-Kozaryn", "given" : "", "non-dropping-particle" : "", "parse-names" : false, "suffix" : "" }, { "dropping-particle" : "", "family" : "Brz\u00f3zka", "given" : "K", "non-dropping-particle" : "", "parse-names" : false, "suffix" : "" }, { "dropping-particle" : "", "family" : "Brennan", "given" : "A", "non-dropping-particle" : "", "parse-names" : false, "suffix" : "" } ], "id" : "ITEM-2", "issued" : { "date-parts" : [ [ "2013" ] ] }, "publisher-place" : "Sheffield", "title" : "Optimizing delivery of health care interventions (ODHIN): Cost-effectiveness - model report", "type" : "report" }, "uris" : [ "http://www.mendeley.com/documents/?uuid=de6cf69c-e250-4385-ad79-bc3159c3b95b" ] } ], "mendeley" : { "formattedCitation" : "(16,19)", "plainTextFormattedCitation" : "(16,19)", "previouslyFormattedCitation" : "(16,19)" }, "properties" : { "noteIndex" : 0 }, "schema" : "https://github.com/citation-style-language/schema/raw/master/csl-citation.json" }</w:instrText>
      </w:r>
      <w:r w:rsidR="003778C8">
        <w:rPr>
          <w:rFonts w:ascii="Calibri" w:hAnsi="Calibri" w:cs="Arial"/>
        </w:rPr>
        <w:fldChar w:fldCharType="separate"/>
      </w:r>
      <w:r w:rsidR="00DF1F21" w:rsidRPr="00DF1F21">
        <w:rPr>
          <w:rFonts w:ascii="Calibri" w:hAnsi="Calibri" w:cs="Arial"/>
          <w:noProof/>
        </w:rPr>
        <w:t>(16,19)</w:t>
      </w:r>
      <w:r w:rsidR="003778C8">
        <w:rPr>
          <w:rFonts w:ascii="Calibri" w:hAnsi="Calibri" w:cs="Arial"/>
        </w:rPr>
        <w:fldChar w:fldCharType="end"/>
      </w:r>
      <w:r w:rsidR="003778C8">
        <w:rPr>
          <w:rFonts w:ascii="Calibri" w:hAnsi="Calibri" w:cs="Arial"/>
        </w:rPr>
        <w:t>.</w:t>
      </w:r>
      <w:r w:rsidR="00FB2C29">
        <w:rPr>
          <w:rFonts w:ascii="Calibri" w:hAnsi="Calibri" w:cs="Arial"/>
        </w:rPr>
        <w:t xml:space="preserve"> The analysis presented here therefore focusses on these three countries.</w:t>
      </w:r>
      <w:r w:rsidR="00DD19BA">
        <w:rPr>
          <w:rFonts w:ascii="Calibri" w:hAnsi="Calibri" w:cs="Arial"/>
        </w:rPr>
        <w:t xml:space="preserve"> </w:t>
      </w:r>
    </w:p>
    <w:p w14:paraId="5D94ABD3" w14:textId="109B5D27" w:rsidR="00DD19BA" w:rsidRPr="00717FDC" w:rsidRDefault="00717FDC" w:rsidP="00D04DAC">
      <w:pPr>
        <w:spacing w:line="480" w:lineRule="auto"/>
        <w:rPr>
          <w:rFonts w:ascii="Calibri" w:hAnsi="Calibri" w:cs="Arial"/>
          <w:b/>
        </w:rPr>
      </w:pPr>
      <w:r>
        <w:rPr>
          <w:rFonts w:ascii="Calibri" w:hAnsi="Calibri" w:cs="Arial"/>
          <w:b/>
        </w:rPr>
        <w:t>TABLE 1 ABOUT HERE</w:t>
      </w:r>
    </w:p>
    <w:p w14:paraId="72D2CC4F" w14:textId="039DC94B" w:rsidR="000E3BF9" w:rsidRPr="008709AD" w:rsidRDefault="000E3BF9" w:rsidP="008709AD">
      <w:pPr>
        <w:spacing w:line="480" w:lineRule="auto"/>
        <w:jc w:val="both"/>
        <w:rPr>
          <w:rFonts w:ascii="Calibri" w:hAnsi="Calibri" w:cs="Arial"/>
        </w:rPr>
      </w:pPr>
      <w:r>
        <w:rPr>
          <w:rFonts w:ascii="Calibri" w:hAnsi="Calibri" w:cs="Arial"/>
        </w:rPr>
        <w:t xml:space="preserve">For each </w:t>
      </w:r>
      <w:r w:rsidR="008B3BAC">
        <w:rPr>
          <w:rFonts w:ascii="Calibri" w:hAnsi="Calibri" w:cs="Arial"/>
        </w:rPr>
        <w:t>country</w:t>
      </w:r>
      <w:r>
        <w:rPr>
          <w:rFonts w:ascii="Calibri" w:hAnsi="Calibri" w:cs="Arial"/>
        </w:rPr>
        <w:t xml:space="preserve"> data was also collected on the costs associated with </w:t>
      </w:r>
      <w:r w:rsidR="008B3BAC">
        <w:rPr>
          <w:rFonts w:ascii="Calibri" w:hAnsi="Calibri" w:cs="Arial"/>
        </w:rPr>
        <w:t xml:space="preserve">implementing </w:t>
      </w:r>
      <w:r>
        <w:rPr>
          <w:rFonts w:ascii="Calibri" w:hAnsi="Calibri" w:cs="Arial"/>
        </w:rPr>
        <w:t>each strategy</w:t>
      </w:r>
      <w:r w:rsidR="003B0191">
        <w:rPr>
          <w:rFonts w:ascii="Calibri" w:hAnsi="Calibri" w:cs="Arial"/>
        </w:rPr>
        <w:t>, as summarised in</w:t>
      </w:r>
      <w:r w:rsidR="008709AD">
        <w:rPr>
          <w:rFonts w:ascii="Calibri" w:hAnsi="Calibri" w:cs="Arial"/>
        </w:rPr>
        <w:t xml:space="preserve"> Appendix B</w:t>
      </w:r>
      <w:r w:rsidR="003B0191">
        <w:rPr>
          <w:rFonts w:ascii="Calibri" w:hAnsi="Calibri" w:cs="Arial"/>
        </w:rPr>
        <w:t xml:space="preserve">. </w:t>
      </w:r>
      <w:r w:rsidR="008709AD">
        <w:rPr>
          <w:rFonts w:ascii="Calibri" w:hAnsi="Calibri" w:cs="Arial"/>
        </w:rPr>
        <w:t>C</w:t>
      </w:r>
      <w:r w:rsidR="00A87E42">
        <w:rPr>
          <w:rFonts w:ascii="Calibri" w:hAnsi="Calibri" w:cs="Arial"/>
        </w:rPr>
        <w:t>osts specific to organising the trial itself</w:t>
      </w:r>
      <w:r>
        <w:rPr>
          <w:rFonts w:ascii="Calibri" w:hAnsi="Calibri" w:cs="Arial"/>
        </w:rPr>
        <w:t xml:space="preserve"> were excluded (</w:t>
      </w:r>
      <w:r w:rsidR="008709AD">
        <w:rPr>
          <w:rFonts w:ascii="Calibri" w:hAnsi="Calibri" w:cs="Arial"/>
        </w:rPr>
        <w:t>e.g.</w:t>
      </w:r>
      <w:r>
        <w:rPr>
          <w:rFonts w:ascii="Calibri" w:hAnsi="Calibri" w:cs="Arial"/>
        </w:rPr>
        <w:t xml:space="preserve"> the cost of printing the tally sheets used to record practitioners’ SBI activity). </w:t>
      </w:r>
      <w:r w:rsidR="003B0191">
        <w:rPr>
          <w:rFonts w:ascii="Calibri" w:hAnsi="Calibri" w:cs="Arial"/>
        </w:rPr>
        <w:t xml:space="preserve">Finally, full details of the structure of the financial incentives offered to </w:t>
      </w:r>
      <w:r w:rsidR="00843CF1">
        <w:rPr>
          <w:rFonts w:ascii="Calibri" w:hAnsi="Calibri" w:cs="Arial"/>
        </w:rPr>
        <w:t>providers</w:t>
      </w:r>
      <w:r w:rsidR="003B0191">
        <w:rPr>
          <w:rFonts w:ascii="Calibri" w:hAnsi="Calibri" w:cs="Arial"/>
        </w:rPr>
        <w:t xml:space="preserve"> in FR arms of the trial were collected (as each country set their own incentive structure </w:t>
      </w:r>
      <w:r w:rsidR="00843CF1">
        <w:rPr>
          <w:rFonts w:ascii="Calibri" w:hAnsi="Calibri" w:cs="Arial"/>
        </w:rPr>
        <w:t>using the</w:t>
      </w:r>
      <w:r w:rsidR="003B0191">
        <w:rPr>
          <w:rFonts w:ascii="Calibri" w:hAnsi="Calibri" w:cs="Arial"/>
        </w:rPr>
        <w:t xml:space="preserve"> budget</w:t>
      </w:r>
      <w:r w:rsidR="00843CF1">
        <w:rPr>
          <w:rFonts w:ascii="Calibri" w:hAnsi="Calibri" w:cs="Arial"/>
        </w:rPr>
        <w:t xml:space="preserve"> allocated</w:t>
      </w:r>
      <w:r w:rsidR="003B0191">
        <w:rPr>
          <w:rFonts w:ascii="Calibri" w:hAnsi="Calibri" w:cs="Arial"/>
        </w:rPr>
        <w:t xml:space="preserve"> within the trial).</w:t>
      </w:r>
      <w:r w:rsidR="008709AD">
        <w:rPr>
          <w:rFonts w:ascii="Calibri" w:hAnsi="Calibri" w:cs="Arial"/>
        </w:rPr>
        <w:t xml:space="preserve"> This data was used to estimate, for each strategy in each country, the long-term costs of implementation </w:t>
      </w:r>
      <w:r w:rsidR="001A66C9">
        <w:rPr>
          <w:rFonts w:ascii="Calibri" w:hAnsi="Calibri" w:cs="Arial"/>
        </w:rPr>
        <w:t xml:space="preserve">in primary care </w:t>
      </w:r>
      <w:r w:rsidR="008709AD">
        <w:rPr>
          <w:rFonts w:ascii="Calibri" w:hAnsi="Calibri" w:cs="Arial"/>
        </w:rPr>
        <w:t>at a national level using data on the total number of practitioners, practices and patients in each country. See Appendix B for full details.</w:t>
      </w:r>
      <w:r w:rsidRPr="008619D3">
        <w:t xml:space="preserve"> </w:t>
      </w:r>
    </w:p>
    <w:p w14:paraId="1BF4D9A7" w14:textId="77777777" w:rsidR="000E3BF9" w:rsidRDefault="000E3BF9" w:rsidP="00D04DAC">
      <w:pPr>
        <w:pStyle w:val="Subtitle"/>
        <w:spacing w:line="480" w:lineRule="auto"/>
        <w:rPr>
          <w:lang w:eastAsia="ar-SA"/>
        </w:rPr>
      </w:pPr>
      <w:r>
        <w:rPr>
          <w:lang w:eastAsia="ar-SA"/>
        </w:rPr>
        <w:t>Modelling health outcomes</w:t>
      </w:r>
    </w:p>
    <w:p w14:paraId="1B4EA553" w14:textId="2E56F349" w:rsidR="000E3BF9" w:rsidRDefault="000E3BF9" w:rsidP="00D04DAC">
      <w:pPr>
        <w:spacing w:line="480" w:lineRule="auto"/>
      </w:pPr>
      <w:r>
        <w:t xml:space="preserve">The SBI delivery outcomes collected in the trial were converted into long-term health outcomes, in terms of Quality-Adjusted Life Years (QALYs) </w:t>
      </w:r>
      <w:r w:rsidR="00A87E42">
        <w:t>and</w:t>
      </w:r>
      <w:r>
        <w:t xml:space="preserve"> healthcare costs associated with the treatment of alcohol-related health conditions, using the Sheffield Alcohol Policy Model (SAPM). SAPM is a causal epidemiological model which has previously been used to appraise pricing and SBI policies in England, the Netherlands and Poland </w:t>
      </w:r>
      <w:r w:rsidR="00730DEA">
        <w:fldChar w:fldCharType="begin" w:fldLock="1"/>
      </w:r>
      <w:r w:rsidR="00DF1F21">
        <w:instrText>ADDIN CSL_CITATION { "citationItems" : [ { "id" : "ITEM-1", "itemData" : { "DOI" : "10.1093/alcalc/ags103", "ISSN" : "1464-3502", "PMID" : "23015608", "abstract" : "To estimate the cost-effectiveness and resourcing implications of universal alcohol screening and brief intervention (SBI) programmes in primary care in England.", "author" : [ { "dropping-particle" : "", "family" : "Purshouse", "given" : "R", "non-dropping-particle" : "", "parse-names" : false, "suffix" : "" }, { "dropping-particle" : "", "family" : "Brennan", "given" : "Alan", "non-dropping-particle" : "", "parse-names" : false, "suffix" : "" }, { "dropping-particle" : "", "family" : "Rafia", "given" : "Rachid", "non-dropping-particle" : "", "parse-names" : false, "suffix" : "" }, { "dropping-particle" : "", "family" : "Latimer", "given" : "Nicholas R", "non-dropping-particle" : "", "parse-names" : false, "suffix" : "" }, { "dropping-particle" : "", "family" : "Archer", "given" : "Rachel J", "non-dropping-particle" : "", "parse-names" : false, "suffix" : "" }, { "dropping-particle" : "", "family" : "Angus", "given" : "Colin R", "non-dropping-particle" : "", "parse-names" : false, "suffix" : "" }, { "dropping-particle" : "", "family" : "Preston", "given" : "Louise R", "non-dropping-particle" : "", "parse-names" : false, "suffix" : "" }, { "dropping-particle" : "", "family" : "Meier", "given" : "Petra S", "non-dropping-particle" : "", "parse-names" : false, "suffix" : "" } ], "container-title" : "Alcohol and alcoholism", "id" : "ITEM-1", "issue" : "2", "issued" : { "date-parts" : [ [ "2013", "9", "25" ] ] }, "page" : "180-8", "title" : "Modelling the cost-effectiveness of alcohol screening and brief interventions in primary care in England.", "type" : "article-journal", "volume" : "48" }, "uris" : [ "http://www.mendeley.com/documents/?uuid=76ddf8db-0411-4a82-a25f-1bcdb3aa999a" ] }, { "id" : "ITEM-2", "itemData" : { "author" : [ { "dropping-particle" : "", "family" : "Angus", "given" : "C", "non-dropping-particle" : "", "parse-names" : false, "suffix" : "" }, { "dropping-particle" : "", "family" : "Scafato", "given" : "E", "non-dropping-particle" : "", "parse-names" : false, "suffix" : "" }, { "dropping-particle" : "", "family" : "Ghirini", "given" : "S", "non-dropping-particle" : "", "parse-names" : false, "suffix" : "" }, { "dropping-particle" : "", "family" : "Torbica", "given" : "A", "non-dropping-particle" : "", "parse-names" : false, "suffix" : "" }, { "dropping-particle" : "", "family" : "Ferre", "given" : "F", "non-dropping-particle" : "", "parse-names" : false, "suffix" : "" }, { "dropping-particle" : "", "family" : "Struzzo", "given" : "P", "non-dropping-particle" : "", "parse-names" : false, "suffix" : "" }, { "dropping-particle" : "", "family" : "Keurhorst", "given" : "M", "non-dropping-particle" : "", "parse-names" : false, "suffix" : "" }, { "dropping-particle" : "", "family" : "Laurant", "given" : "M", "non-dropping-particle" : "", "parse-names" : false, "suffix" : "" }, { "dropping-particle" : "", "family" : "S\u0142odownik", "given" : "L", "non-dropping-particle" : "", "parse-names" : false, "suffix" : "" }, { "dropping-particle" : "", "family" : "Okulicz-Kozaryn", "given" : "", "non-dropping-particle" : "", "parse-names" : false, "suffix" : "" }, { "dropping-particle" : "", "family" : "Brz\u00f3zka", "given" : "K", "non-dropping-particle" : "", "parse-names" : false, "suffix" : "" }, { "dropping-particle" : "", "family" : "Brennan", "given" : "A", "non-dropping-particle" : "", "parse-names" : false, "suffix" : "" } ], "id" : "ITEM-2", "issued" : { "date-parts" : [ [ "2013" ] ] }, "publisher-place" : "Sheffield", "title" : "Optimizing delivery of health care interventions (ODHIN): Cost-effectiveness - model report", "type" : "report" }, "uris" : [ "http://www.mendeley.com/documents/?uuid=de6cf69c-e250-4385-ad79-bc3159c3b95b" ] }, { "id" : "ITEM-3", "itemData" : { "DOI" : "10.1371/journal.pmed.1001963", "ISSN" : "1549-1676", "author" : [ { "dropping-particle" : "", "family" : "Meier", "given" : "Petra S.", "non-dropping-particle" : "", "parse-names" : false, "suffix" : "" }, { "dropping-particle" : "", "family" : "Holmes", "given" : "John", "non-dropping-particle" : "", "parse-names" : false, "suffix" : "" }, { "dropping-particle" : "", "family" : "Angus", "given" : "Colin", "non-dropping-particle" : "", "parse-names" : false, "suffix" : "" }, { "dropping-particle" : "", "family" : "Ally", "given" : "Abdallah K.", "non-dropping-particle" : "", "parse-names" : false, "suffix" : "" }, { "dropping-particle" : "", "family" : "Meng", "given" : "Yang", "non-dropping-particle" : "", "parse-names" : false, "suffix" : "" }, { "dropping-particle" : "", "family" : "Brennan", "given" : "Alan", "non-dropping-particle" : "", "parse-names" : false, "suffix" : "" } ], "container-title" : "PLOS Medicine", "editor" : [ { "dropping-particle" : "", "family" : "Basu", "given" : "Sanjay", "non-dropping-particle" : "", "parse-names" : false, "suffix" : "" } ], "id" : "ITEM-3", "issue" : "2", "issued" : { "date-parts" : [ [ "2016", "2", "23" ] ] }, "page" : "e1001963", "publisher" : "Public Library of Science", "title" : "Estimated Effects of Different Alcohol Taxation and Price Policies on Health Inequalities: A Mathematical Modelling Study", "type" : "article-journal", "volume" : "13" }, "uris" : [ "http://www.mendeley.com/documents/?uuid=874a2120-43fd-4d2e-9c20-c548f283c971" ] } ], "mendeley" : { "formattedCitation" : "(16,19,20)", "plainTextFormattedCitation" : "(16,19,20)", "previouslyFormattedCitation" : "(16,19,20)" }, "properties" : { "noteIndex" : 0 }, "schema" : "https://github.com/citation-style-language/schema/raw/master/csl-citation.json" }</w:instrText>
      </w:r>
      <w:r w:rsidR="00730DEA">
        <w:fldChar w:fldCharType="separate"/>
      </w:r>
      <w:r w:rsidR="00DF1F21" w:rsidRPr="00DF1F21">
        <w:rPr>
          <w:noProof/>
        </w:rPr>
        <w:t>(16,19,20)</w:t>
      </w:r>
      <w:r w:rsidR="00730DEA">
        <w:fldChar w:fldCharType="end"/>
      </w:r>
      <w:r w:rsidR="00426709">
        <w:t xml:space="preserve"> and whose findings have informed the development of primary care guidelines </w:t>
      </w:r>
      <w:r w:rsidR="00DF1F21">
        <w:t xml:space="preserve">for the treatment of alcohol problems </w:t>
      </w:r>
      <w:r w:rsidR="00426709">
        <w:t xml:space="preserve">in the UK and the Netherlands </w:t>
      </w:r>
      <w:r w:rsidR="00DF1F21">
        <w:fldChar w:fldCharType="begin" w:fldLock="1"/>
      </w:r>
      <w:r w:rsidR="00DF1F21">
        <w:instrText>ADDIN CSL_CITATION { "citationItems" : [ { "id" : "ITEM-1", "itemData" : { "author" : [ { "dropping-particle" : "", "family" : "National Institute of Health and Clinical Excellence (NICE)", "given" : "", "non-dropping-particle" : "", "parse-names" : false, "suffix" : "" } ], "id" : "ITEM-1", "issued" : { "date-parts" : [ [ "2010" ] ] }, "title" : "PH24 Alcohol-use disorders: preventing harmful drinking", "type" : "report" }, "uris" : [ "http://www.mendeley.com/documents/?uuid=c41099f5-2481-496c-9472-3999861c32f1" ] }, { "id" : "ITEM-2", "itemData" : { "author" : [ { "dropping-particle" : "", "family" : "Nederlands Huisartsen Genoodschap", "given" : "", "non-dropping-particle" : "", "parse-names" : false, "suffix" : "" } ], "id" : "ITEM-2", "issued" : { "date-parts" : [ [ "2014" ] ] }, "title" : "Problematisch alcoholgebruik", "type" : "report" }, "uris" : [ "http://www.mendeley.com/documents/?uuid=479892b6-fe16-4784-9dce-613f2a8f9013" ] } ], "mendeley" : { "formattedCitation" : "(21,22)", "plainTextFormattedCitation" : "(21,22)", "previouslyFormattedCitation" : "(21,22)" }, "properties" : { "noteIndex" : 0 }, "schema" : "https://github.com/citation-style-language/schema/raw/master/csl-citation.json" }</w:instrText>
      </w:r>
      <w:r w:rsidR="00DF1F21">
        <w:fldChar w:fldCharType="separate"/>
      </w:r>
      <w:r w:rsidR="00DF1F21" w:rsidRPr="00DF1F21">
        <w:rPr>
          <w:noProof/>
        </w:rPr>
        <w:t>(21,22)</w:t>
      </w:r>
      <w:r w:rsidR="00DF1F21">
        <w:fldChar w:fldCharType="end"/>
      </w:r>
      <w:r>
        <w:t xml:space="preserve">. The model synthesises published evidence and country-specific data on current alcohol consumption, mortality </w:t>
      </w:r>
      <w:r w:rsidR="004A7FBA">
        <w:t>and hospitalisation rates for 48</w:t>
      </w:r>
      <w:r>
        <w:t xml:space="preserve"> different alcohol-related health conditions, primary care usage, healthcare service utilisation costs</w:t>
      </w:r>
      <w:r w:rsidR="002843C7">
        <w:t xml:space="preserve"> and health-related quality of life data in order to estimate the proportion of the </w:t>
      </w:r>
      <w:r w:rsidR="005671DC">
        <w:t xml:space="preserve">total </w:t>
      </w:r>
      <w:r w:rsidR="002843C7">
        <w:t>adult population (18+</w:t>
      </w:r>
      <w:r w:rsidR="002D4AAF">
        <w:t xml:space="preserve"> years</w:t>
      </w:r>
      <w:r w:rsidR="002843C7">
        <w:t>) who would receive a brief intervention over a 10</w:t>
      </w:r>
      <w:r w:rsidR="002D4AAF">
        <w:t>-</w:t>
      </w:r>
      <w:r w:rsidR="002843C7">
        <w:t>year time horizon</w:t>
      </w:r>
      <w:r w:rsidR="00FB2C29">
        <w:t>. The model then estimates</w:t>
      </w:r>
      <w:r w:rsidR="002843C7">
        <w:t xml:space="preserve"> the resulting changes in alcohol consumption and subsequent changes in mortality, hospitalisations and healthcare costs. Health outcomes are reported at a 30</w:t>
      </w:r>
      <w:r w:rsidR="002D4AAF">
        <w:t>-</w:t>
      </w:r>
      <w:r w:rsidR="002843C7">
        <w:t xml:space="preserve">year time horizon in order to account for the time lags which exist between changes in alcohol consumption and changes in risk of alcohol-related harm </w:t>
      </w:r>
      <w:r w:rsidR="00730DEA">
        <w:fldChar w:fldCharType="begin" w:fldLock="1"/>
      </w:r>
      <w:r w:rsidR="00DF1F21">
        <w:instrText>ADDIN CSL_CITATION { "citationItems" : [ { "id" : "ITEM-1", "itemData" : { "DOI" : "10.1016/j.drugalcdep.2011.12.005", "ISSN" : "1879-0046", "PMID" : "22197480", "abstract" : "Changes in per capita alcohol consumption are temporally linked to changes in rates of alcohol-related harm. Methodological approaches for analysing this relationship have been suggested, however, the problem of time lags is not well-addressed. This study provides a review of time lag specifications, looking at (a) time to first effect on harm, (b) time to full effect and (c) the functional form of the effect accumulation from first to full effect to inform modelling of the relationship between changes in aggregate alcohol consumption and changes in rates of harm.", "author" : [ { "dropping-particle" : "", "family" : "Holmes", "given" : "John", "non-dropping-particle" : "", "parse-names" : false, "suffix" : "" }, { "dropping-particle" : "", "family" : "Meier", "given" : "Petra S", "non-dropping-particle" : "", "parse-names" : false, "suffix" : "" }, { "dropping-particle" : "", "family" : "Booth", "given" : "Andrew", "non-dropping-particle" : "", "parse-names" : false, "suffix" : "" }, { "dropping-particle" : "", "family" : "Guo", "given" : "Yelan", "non-dropping-particle" : "", "parse-names" : false, "suffix" : "" }, { "dropping-particle" : "", "family" : "Brennan", "given" : "Alan", "non-dropping-particle" : "", "parse-names" : false, "suffix" : "" } ], "container-title" : "Drug and alcohol dependence", "id" : "ITEM-1", "issue" : "1-3", "issued" : { "date-parts" : [ [ "2012", "6", "1" ] ] }, "page" : "7-14", "title" : "The temporal relationship between per capita alcohol consumption and harm: a systematic review of time lag specifications in aggregate time series analyses.", "type" : "article-journal", "volume" : "123" }, "uris" : [ "http://www.mendeley.com/documents/?uuid=9f7558a1-be79-4748-aaf5-baeb0c971340" ] } ], "mendeley" : { "formattedCitation" : "(23)", "plainTextFormattedCitation" : "(23)", "previouslyFormattedCitation" : "(23)" }, "properties" : { "noteIndex" : 0 }, "schema" : "https://github.com/citation-style-language/schema/raw/master/csl-citation.json" }</w:instrText>
      </w:r>
      <w:r w:rsidR="00730DEA">
        <w:fldChar w:fldCharType="separate"/>
      </w:r>
      <w:r w:rsidR="00DF1F21" w:rsidRPr="00DF1F21">
        <w:rPr>
          <w:noProof/>
        </w:rPr>
        <w:t>(23)</w:t>
      </w:r>
      <w:r w:rsidR="00730DEA">
        <w:fldChar w:fldCharType="end"/>
      </w:r>
      <w:r w:rsidR="00394DDD">
        <w:t xml:space="preserve">. Full methodological details of </w:t>
      </w:r>
      <w:r w:rsidR="002843C7">
        <w:t xml:space="preserve">SAPM have previously been published elsewhere </w:t>
      </w:r>
      <w:r w:rsidR="00730DEA">
        <w:fldChar w:fldCharType="begin" w:fldLock="1"/>
      </w:r>
      <w:r w:rsidR="00DF1F21">
        <w:instrText>ADDIN CSL_CITATION { "citationItems" : [ { "id" : "ITEM-1", "itemData" : { "author" : [ { "dropping-particle" : "", "family" : "Purshouse", "given" : "R", "non-dropping-particle" : "", "parse-names" : false, "suffix" : "" }, { "dropping-particle" : "", "family" : "Brennan", "given" : "A", "non-dropping-particle" : "", "parse-names" : false, "suffix" : "" }, { "dropping-particle" : "", "family" : "Latimer", "given" : "N", "non-dropping-particle" : "", "parse-names" : false, "suffix" : "" }, { "dropping-particle" : "", "family" : "Meng", "given" : "Y", "non-dropping-particle" : "", "parse-names" : false, "suffix" : "" }, { "dropping-particle" : "", "family" : "Rafia", "given" : "R", "non-dropping-particle" : "", "parse-names" : false, "suffix" : "" }, { "dropping-particle" : "", "family" : "Jackson", "given" : "R", "non-dropping-particle" : "", "parse-names" : false, "suffix" : "" }, { "dropping-particle" : "", "family" : "Meier", "given" : "PS", "non-dropping-particle" : "", "parse-names" : false, "suffix" : "" } ], "container-title" : "Report to the NICE Public Health Programme Development Group", "id" : "ITEM-1", "issued" : { "date-parts" : [ [ "2009" ] ] }, "publisher-place" : "Sheffield", "title" : "Modelling to assess the effectiveness and cost-effectiveness of public health related strategies and interventions to reduce alcohol attributable harm in England using the Sheffield Alcohol Policy Model version 2.0", "type" : "report" }, "uris" : [ "http://www.mendeley.com/documents/?uuid=e74019a4-9fc3-46ce-aaaa-0368a674f28b" ] }, { "id" : "ITEM-2", "itemData" : { "DOI" : "10.1002/hec.3105", "ISSN" : "1099-1050", "PMID" : "25270223", "abstract" : "This methodology paper sets out a mathematical description of the Sheffield Alcohol Policy Model version 2.0, a model to evaluate public health strategies for alcohol harm reduction in the UK. Policies that can be appraised include a minimum price per unit of alcohol, restrictions on price discounting, and broader public health measures. The model estimates the impact on consumers, health services, crime, employers, retailers and government tax revenues. The synthesis of public and commercial data sources to inform the model structure is described. A detailed algebraic description of the model is provided. This involves quantifying baseline levels of alcohol purchasing and consumption by age and gender subgroups, estimating the impact of policies on consumption, for example, using evidence on price elasticities of demand for alcohol, quantification of risk functions relating alcohol consumption to harms including 47 health conditions, crimes, absenteeism and unemployment, and finally monetary valuation of the consequences. The results framework, shown for a minimum price per unit of alcohol, has been used to provide policy appraisals for the UK government policy-makers. In discussion and online appendix, we explore issues around valuation and scope, limitations of evidence/data, how the framework can be adapted to other countries and decisions, and ongoing plans for further development. \u00a9 2014 The Authors. Health Economics published by John Wiley &amp; Sons Ltd.", "author" : [ { "dropping-particle" : "", "family" : "Brennan", "given" : "Alan", "non-dropping-particle" : "", "parse-names" : false, "suffix" : "" }, { "dropping-particle" : "", "family" : "Meier", "given" : "Petra", "non-dropping-particle" : "", "parse-names" : false, "suffix" : "" }, { "dropping-particle" : "", "family" : "Purshouse", "given" : "Robin", "non-dropping-particle" : "", "parse-names" : false, "suffix" : "" }, { "dropping-particle" : "", "family" : "Rafia", "given" : "Rachid", "non-dropping-particle" : "", "parse-names" : false, "suffix" : "" }, { "dropping-particle" : "", "family" : "Meng", "given" : "Yang", "non-dropping-particle" : "", "parse-names" : false, "suffix" : "" }, { "dropping-particle" : "", "family" : "Hill-Macmanus", "given" : "Daniel", "non-dropping-particle" : "", "parse-names" : false, "suffix" : "" }, { "dropping-particle" : "", "family" : "Angus", "given" : "Colin", "non-dropping-particle" : "", "parse-names" : false, "suffix" : "" }, { "dropping-particle" : "", "family" : "Holmes", "given" : "John", "non-dropping-particle" : "", "parse-names" : false, "suffix" : "" } ], "container-title" : "Health economics", "id" : "ITEM-2", "issue" : "10", "issued" : { "date-parts" : [ [ "2014", "9", "30" ] ] }, "title" : "The Sheffield Alcohol Policy Model - a mathematical description", "type" : "article-journal", "volume" : "24" }, "uris" : [ "http://www.mendeley.com/documents/?uuid=acd10b93-a7fd-4a22-81c6-acf9e68d3294" ] } ], "mendeley" : { "formattedCitation" : "(24,25)", "plainTextFormattedCitation" : "(24,25)", "previouslyFormattedCitation" : "(24,25)" }, "properties" : { "noteIndex" : 0 }, "schema" : "https://github.com/citation-style-language/schema/raw/master/csl-citation.json" }</w:instrText>
      </w:r>
      <w:r w:rsidR="00730DEA">
        <w:fldChar w:fldCharType="separate"/>
      </w:r>
      <w:r w:rsidR="00DF1F21" w:rsidRPr="00DF1F21">
        <w:rPr>
          <w:noProof/>
        </w:rPr>
        <w:t>(24,25)</w:t>
      </w:r>
      <w:r w:rsidR="00730DEA">
        <w:fldChar w:fldCharType="end"/>
      </w:r>
      <w:r w:rsidR="002843C7">
        <w:t>.</w:t>
      </w:r>
    </w:p>
    <w:p w14:paraId="332929D5" w14:textId="10157B87" w:rsidR="002843C7" w:rsidRDefault="002843C7" w:rsidP="00D04DAC">
      <w:pPr>
        <w:spacing w:line="480" w:lineRule="auto"/>
        <w:jc w:val="both"/>
      </w:pPr>
      <w:r>
        <w:rPr>
          <w:lang w:eastAsia="ar-SA"/>
        </w:rPr>
        <w:t>A key challenge in estimating the impact of the trial strategies on SBI delivery over a 10</w:t>
      </w:r>
      <w:r w:rsidR="002D4AAF">
        <w:rPr>
          <w:lang w:eastAsia="ar-SA"/>
        </w:rPr>
        <w:t>-</w:t>
      </w:r>
      <w:r>
        <w:rPr>
          <w:lang w:eastAsia="ar-SA"/>
        </w:rPr>
        <w:t>year period is that</w:t>
      </w:r>
      <w:r>
        <w:t xml:space="preserve">, whilst Training &amp; Support and eBI strategies are essentially ‘one-off’ policies, in the sense that practitioners are trained or introduced to the eBI tool at the outset and not subsequently re-trained, Financial Reimbursement </w:t>
      </w:r>
      <w:r w:rsidR="00AA2A30">
        <w:t>requires continuous investment</w:t>
      </w:r>
      <w:r>
        <w:t xml:space="preserve">. The follow-up measures are therefore not directly comparable across all strategies as practices allocated to TS and eBI strategies were essentially still under implementation conditions (e.g. practitioners could still refer patients to the eBI tool), whilst those allocated to FR strategies were not under implementation conditions, as no further payments were made after the 12-week implementation period. In order to overcome this issue, two separate </w:t>
      </w:r>
      <w:r w:rsidR="008B3BAC">
        <w:t xml:space="preserve">long-term </w:t>
      </w:r>
      <w:r>
        <w:t>analyses were conducted. First</w:t>
      </w:r>
      <w:r w:rsidR="002D4AAF">
        <w:t>,</w:t>
      </w:r>
      <w:r>
        <w:t xml:space="preserve"> a ‘</w:t>
      </w:r>
      <w:r w:rsidR="00FB2C29">
        <w:t>trial only’</w:t>
      </w:r>
      <w:r>
        <w:t xml:space="preserve"> analysis models exactly what was implemented in the trial (i.e. FR withdrawn after 12 weeks) and assumes that the </w:t>
      </w:r>
      <w:r w:rsidR="001A6F40">
        <w:t xml:space="preserve">effects </w:t>
      </w:r>
      <w:r>
        <w:t>observed at follow-up would be sustained in the long term. Second</w:t>
      </w:r>
      <w:r w:rsidR="002D4AAF">
        <w:t>,</w:t>
      </w:r>
      <w:r>
        <w:t xml:space="preserve"> a ‘full implementation</w:t>
      </w:r>
      <w:r w:rsidR="00FB2C29">
        <w:t>’</w:t>
      </w:r>
      <w:r>
        <w:t xml:space="preserve"> analysis models FR payments continuing for the full 10 years and assumes</w:t>
      </w:r>
      <w:r w:rsidR="00DD19BA">
        <w:t xml:space="preserve">, as observed in previous SBI studies (e.g. </w:t>
      </w:r>
      <w:r w:rsidR="00DD19BA">
        <w:fldChar w:fldCharType="begin" w:fldLock="1"/>
      </w:r>
      <w:r w:rsidR="00DF1F21">
        <w:instrText>ADDIN CSL_CITATION { "citationItems" : [ { "id" : "ITEM-1", "itemData" : { "DOI" : "10.1093/pubmed/fdt121", "ISSN" : "1741-3850", "PMID" : "24375203", "abstract" : "INTRODUCTION: Alcohol screening and brief intervention (ASBI) is effective but underprovided in primary care. Financial incentives may help address this. This study assesses the impact of a local pay-for-performance programme on delivery of ASBI in UK primary care. METHODS: Longitudinal study using data from 30 general practices in north-west London from 2008 to 2011 with logistic regression to examine disparities in ASBI delivery. RESULTS: Of 211 834 registered patients, 45 040 were targeted by the incentive (cardiovascular conditions or high risk; mental health conditions), of whom 65.7% were screened (up from a baseline of 4.8%, P &lt; 0.001), compared with 14.7% of non-targeted patients (P &lt; 0.001). Screening rates were lower after adjustment in younger patients, White patients, less deprived areas and in patients with mental health conditions (P &lt; 0.05). Of those screened, 11.5% were positive and 88.6% received BI. Men and White patients were significantly more likely to screen positive. Women and younger patients were less likely to receive BI. 30.1% of patients re-screened were now negative. However, patients with mental health conditions were less likely to re-screen negative than those with cardiovascular conditions. CONCLUSION: Financial incentives appear to be effective in increasing delivery of ASBI in primary care and may reduce hazardous and harmful drinking in some patients. The findings support universal rather than targeted screening.", "author" : [ { "dropping-particle" : "", "family" : "Hamilton", "given" : "F L", "non-dropping-particle" : "", "parse-names" : false, "suffix" : "" }, { "dropping-particle" : "", "family" : "Laverty", "given" : "A A", "non-dropping-particle" : "", "parse-names" : false, "suffix" : "" }, { "dropping-particle" : "", "family" : "Gluvajic", "given" : "D", "non-dropping-particle" : "", "parse-names" : false, "suffix" : "" }, { "dropping-particle" : "", "family" : "Huckvale", "given" : "K", "non-dropping-particle" : "", "parse-names" : false, "suffix" : "" }, { "dropping-particle" : "", "family" : "Car", "given" : "J", "non-dropping-particle" : "", "parse-names" : false, "suffix" : "" }, { "dropping-particle" : "", "family" : "Majeed", "given" : "A", "non-dropping-particle" : "", "parse-names" : false, "suffix" : "" }, { "dropping-particle" : "", "family" : "Millett", "given" : "C", "non-dropping-particle" : "", "parse-names" : false, "suffix" : "" } ], "container-title" : "Journal of public health (Oxford, England)", "id" : "ITEM-1", "issue" : "3", "issued" : { "date-parts" : [ [ "2014", "9", "26" ] ] }, "page" : "450-9", "title" : "Effect of financial incentives on delivery of alcohol screening and brief intervention (ASBI) in primary care: longitudinal study.", "type" : "article-journal", "volume" : "36" }, "uris" : [ "http://www.mendeley.com/documents/?uuid=f87a9ce4-b910-476b-89fe-cfd73363540b" ] } ], "mendeley" : { "formattedCitation" : "(26)", "plainTextFormattedCitation" : "(26)", "previouslyFormattedCitation" : "(26)" }, "properties" : { "noteIndex" : 0 }, "schema" : "https://github.com/citation-style-language/schema/raw/master/csl-citation.json" }</w:instrText>
      </w:r>
      <w:r w:rsidR="00DD19BA">
        <w:fldChar w:fldCharType="separate"/>
      </w:r>
      <w:r w:rsidR="00DF1F21" w:rsidRPr="00DF1F21">
        <w:rPr>
          <w:noProof/>
        </w:rPr>
        <w:t>(26)</w:t>
      </w:r>
      <w:r w:rsidR="00DD19BA">
        <w:fldChar w:fldCharType="end"/>
      </w:r>
      <w:r w:rsidR="00DD19BA">
        <w:t>),</w:t>
      </w:r>
      <w:r>
        <w:t xml:space="preserve"> that the </w:t>
      </w:r>
      <w:r w:rsidR="00FB2C29">
        <w:t>effect of these on provider behaviour is</w:t>
      </w:r>
      <w:r>
        <w:t xml:space="preserve"> maintained in the long term.  As a sensitivity analysis within the full implementation analysis, we also examine the impact of assuming that training must be re-delivered every </w:t>
      </w:r>
      <w:r w:rsidR="00A87E42">
        <w:t>five</w:t>
      </w:r>
      <w:r>
        <w:t xml:space="preserve">, or every </w:t>
      </w:r>
      <w:r w:rsidR="00A87E42">
        <w:t>two</w:t>
      </w:r>
      <w:r>
        <w:t>, years in order to achieve this persistence of effect.</w:t>
      </w:r>
    </w:p>
    <w:p w14:paraId="4D36B18F" w14:textId="2379E1E8" w:rsidR="002843C7" w:rsidRPr="000E3BF9" w:rsidRDefault="002843C7" w:rsidP="00D04DAC">
      <w:pPr>
        <w:spacing w:line="480" w:lineRule="auto"/>
        <w:jc w:val="both"/>
      </w:pPr>
      <w:r>
        <w:t xml:space="preserve">In order to incorporate the </w:t>
      </w:r>
      <w:r w:rsidR="002D4AAF">
        <w:t>three</w:t>
      </w:r>
      <w:r>
        <w:t xml:space="preserve"> SBI delivery measures recorded in the trial into SAPM, two modifications are required to the country-specific models. First, the probability that any individual who receives a screen</w:t>
      </w:r>
      <w:r w:rsidR="00AA2A30">
        <w:t>,</w:t>
      </w:r>
      <w:r>
        <w:t xml:space="preserve"> screens positive is estimated from their alcohol consumption and demographic characteristics using a logistic regression</w:t>
      </w:r>
      <w:r w:rsidR="004A7FBA">
        <w:t xml:space="preserve"> whose parameters are calibrated to</w:t>
      </w:r>
      <w:r>
        <w:t xml:space="preserve"> ensure that the modelled screen positive </w:t>
      </w:r>
      <w:r w:rsidR="001A6F40">
        <w:t xml:space="preserve">proportion </w:t>
      </w:r>
      <w:r>
        <w:t>matches that estimated from the trial data</w:t>
      </w:r>
      <w:r w:rsidR="004A7FBA">
        <w:t xml:space="preserve"> </w:t>
      </w:r>
      <w:r>
        <w:t xml:space="preserve">–see Appendix </w:t>
      </w:r>
      <w:r w:rsidR="00483399">
        <w:t>C</w:t>
      </w:r>
      <w:r w:rsidR="004A7FBA">
        <w:t xml:space="preserve"> for full details</w:t>
      </w:r>
      <w:r>
        <w:t xml:space="preserve">. Second, </w:t>
      </w:r>
      <w:r w:rsidR="004A7FBA">
        <w:t>the model was adapted</w:t>
      </w:r>
      <w:r>
        <w:t xml:space="preserve"> </w:t>
      </w:r>
      <w:r w:rsidR="004A7FBA">
        <w:t>to account for the fact that not all patients who screen positive actually receive an intervention in practice</w:t>
      </w:r>
      <w:r w:rsidR="003778C8">
        <w:t xml:space="preserve"> using data from the trial as reported in </w:t>
      </w:r>
      <w:r w:rsidR="003778C8">
        <w:fldChar w:fldCharType="begin"/>
      </w:r>
      <w:r w:rsidR="003778C8">
        <w:instrText xml:space="preserve"> REF _Ref505285179 \h </w:instrText>
      </w:r>
      <w:r w:rsidR="003778C8">
        <w:fldChar w:fldCharType="separate"/>
      </w:r>
      <w:r w:rsidR="003778C8">
        <w:t xml:space="preserve">Table </w:t>
      </w:r>
      <w:r w:rsidR="003778C8">
        <w:rPr>
          <w:noProof/>
        </w:rPr>
        <w:t>1</w:t>
      </w:r>
      <w:r w:rsidR="003778C8">
        <w:fldChar w:fldCharType="end"/>
      </w:r>
      <w:r w:rsidR="004A7FBA">
        <w:t xml:space="preserve">. </w:t>
      </w:r>
      <w:r w:rsidR="00DD19BA">
        <w:t xml:space="preserve">Receipt of an intervention is assumed to lead to a 12.3% reduction in mean alcohol consumption in line with evidence from a Cochrane review on the effectiveness of BIs in primary care </w:t>
      </w:r>
      <w:r w:rsidR="00730DEA">
        <w:fldChar w:fldCharType="begin" w:fldLock="1"/>
      </w:r>
      <w:r w:rsidR="003778C8">
        <w:instrText>ADDIN CSL_CITATION { "citationItems" : [ { "id" : "ITEM-1", "itemData" : { "PMID" : "17443541", "abstract" : "BACKGROUND: Many trials reported that brief interventions are effective in reducing excessive drinking. However, some trials have been criticised for being clinically unrepresentative and unable to inform clinical practice. OBJECTIVES: To assess the effectiveness of brief intervention, delivered in general practice or based primary care, to reduce alcohol consumption SEARCH STRATEGY: We searched the Cochrane Drug and Alcohol Group specialised register (February 2006), MEDLINE (1966 to February 2006), EMBASE (1980 to February 2006), CINAHL (1982 to February 2006), PsycINFO (1840 to February 2006), Science Citation Index (1970 to February 2006), Social Science Citation Index (1970 to February 2006), Alcohol and Alcohol Problems Science Database (1972 to 2003), reference lists of articles. SELECTION CRITERIA: Randomised controlled trials, patients presenting to primary care not specifically for alcohol treatment; brief intervention of up to four sessions. DATA COLLECTION AND ANALYSIS: Two authors independently abstracted data and assessed trial quality. Random effects meta-analyses, sub-group, sensitivity analyses, and meta-regression were conducted. MAIN RESULTS: The meta-analysis included 21 RCTs (7,286 participants), showing that participants receiving brief intervention reduced their alcohol consumption compared to the control group (mean difference: -41 grams/week, 95% CI: -57 to -25), although there was substantial heterogeneity between trials (I2 = 52%). Sub-group analysis (8 studies, 2307 participants) confirmed the benefit of brief intervention in men (mean difference: -57 grams/week, 95% CI: -89 to -25, I2 = 56%), but not in women (mean difference: -10 grams/week, 95% CI: -48 to 29, I2 = 45%). Meta-regression showed a non-significant trend of an increased reduction in alcohol consumption of 1.1, 95%CI: -0.05 to 2.2 grams/week, p=0.06, for each extra minute of treatment exposure, but no relationship between the reduction in alcohol consumption and the efficacy score of the trial. Extended intervention when compared with brief intervention was associated with a non-significantly greater reduction in alcohol consumption (mean difference = -28, 95%CI: -62 to 6 grams/week, I2 = 0%) AUTHORS' CONCLUSIONS: Brief interventions consistently produced reductions in alcohol consumption. When data were available by gender, the effect was clear in men at one year of follow up, but unproven in women. Longer duration of counselling probably has little additional \u2026", "author" : [ { "dropping-particle" : "", "family" : "Kaner", "given" : "E F S", "non-dropping-particle" : "", "parse-names" : false, "suffix" : "" }, { "dropping-particle" : "", "family" : "Beyer", "given" : "F", "non-dropping-particle" : "", "parse-names" : false, "suffix" : "" }, { "dropping-particle" : "", "family" : "Dickinson", "given" : "H O", "non-dropping-particle" : "", "parse-names" : false, "suffix" : "" }, { "dropping-particle" : "", "family" : "Pienaar", "given" : "E", "non-dropping-particle" : "", "parse-names" : false, "suffix" : "" }, { "dropping-particle" : "", "family" : "Campbell", "given" : "F", "non-dropping-particle" : "", "parse-names" : false, "suffix" : "" }, { "dropping-particle" : "", "family" : "Schlesinger", "given" : "C", "non-dropping-particle" : "", "parse-names" : false, "suffix" : "" }, { "dropping-particle" : "", "family" : "Heather", "given" : "N", "non-dropping-particle" : "", "parse-names" : false, "suffix" : "" }, { "dropping-particle" : "", "family" : "Saunders", "given" : "J", "non-dropping-particle" : "", "parse-names" : false, "suffix" : "" }, { "dropping-particle" : "", "family" : "Burnand", "given" : "B", "non-dropping-particle" : "", "parse-names" : false, "suffix" : "" } ], "container-title" : "Cochrane database of systematic reviews Online", "id" : "ITEM-1", "issue" : "2", "issued" : { "date-parts" : [ [ "2007" ] ] }, "page" : "CD004148", "publisher" : "Wiley Online Library", "title" : "Effectiveness of brief alcohol interventions in primary care populations.", "type" : "article-journal", "volume" : "4" }, "uris" : [ "http://www.mendeley.com/documents/?uuid=07bcc0cf-b676-458b-9266-9785e9e20e02" ] } ], "mendeley" : { "formattedCitation" : "(4)", "plainTextFormattedCitation" : "(4)", "previouslyFormattedCitation" : "(4)" }, "properties" : { "noteIndex" : 0 }, "schema" : "https://github.com/citation-style-language/schema/raw/master/csl-citation.json" }</w:instrText>
      </w:r>
      <w:r w:rsidR="00730DEA">
        <w:fldChar w:fldCharType="separate"/>
      </w:r>
      <w:r w:rsidR="00523420" w:rsidRPr="00523420">
        <w:rPr>
          <w:noProof/>
        </w:rPr>
        <w:t>(4)</w:t>
      </w:r>
      <w:r w:rsidR="00730DEA">
        <w:fldChar w:fldCharType="end"/>
      </w:r>
      <w:r w:rsidR="00DD19BA">
        <w:t>.</w:t>
      </w:r>
      <w:r>
        <w:t xml:space="preserve"> </w:t>
      </w:r>
      <w:r w:rsidR="00DD19BA">
        <w:t>T</w:t>
      </w:r>
      <w:r>
        <w:t xml:space="preserve">his reduction </w:t>
      </w:r>
      <w:r w:rsidR="00DD19BA">
        <w:t xml:space="preserve">is assumed to </w:t>
      </w:r>
      <w:r>
        <w:t xml:space="preserve">decay linearly back to age-adjusted pre-intervention consumption levels over the following 7 years </w:t>
      </w:r>
      <w:r w:rsidR="00FB2C29">
        <w:t xml:space="preserve">as suggested by long-term follow up evidence from a previous trial </w:t>
      </w:r>
      <w:r w:rsidR="00730DEA">
        <w:fldChar w:fldCharType="begin" w:fldLock="1"/>
      </w:r>
      <w:r w:rsidR="00DF1F21">
        <w:instrText>ADDIN CSL_CITATION { "citationItems" : [ { "id" : "ITEM-1", "itemData" : { "DOI" : "10.1111/j.1530-0277.2002.tb02429.x", "ISSN" : "0145-6008", "author" : [ { "dropping-particle" : "", "family" : "Fleming", "given" : "M", "non-dropping-particle" : "", "parse-names" : false, "suffix" : "" }, { "dropping-particle" : "", "family" : "Mundt", "given" : "M", "non-dropping-particle" : "", "parse-names" : false, "suffix" : "" }, { "dropping-particle" : "", "family" : "French", "given" : "M", "non-dropping-particle" : "", "parse-names" : false, "suffix" : "" }, { "dropping-particle" : "", "family" : "Manwell", "given" : "L", "non-dropping-particle" : "", "parse-names" : false, "suffix" : "" }, { "dropping-particle" : "", "family" : "Stauffacher", "given" : "E", "non-dropping-particle" : "", "parse-names" : false, "suffix" : "" }, { "dropping-particle" : "", "family" : "Barry", "given" : "KL", "non-dropping-particle" : "", "parse-names" : false, "suffix" : "" } ], "container-title" : "Alcoholism: Clinical and Experimental Research", "id" : "ITEM-1", "issue" : "1", "issued" : { "date-parts" : [ [ "2002", "1" ] ] }, "page" : "36-43", "title" : "Brief Physician Advice for Problem Drinkers: Long-Term Efficacy and Benefit-Cost Analysis", "type" : "article-journal", "volume" : "26" }, "uris" : [ "http://www.mendeley.com/documents/?uuid=b7062a29-b731-445f-966e-f766bab9dfd7" ] } ], "mendeley" : { "formattedCitation" : "(27)", "plainTextFormattedCitation" : "(27)", "previouslyFormattedCitation" : "(27)" }, "properties" : { "noteIndex" : 0 }, "schema" : "https://github.com/citation-style-language/schema/raw/master/csl-citation.json" }</w:instrText>
      </w:r>
      <w:r w:rsidR="00730DEA">
        <w:fldChar w:fldCharType="separate"/>
      </w:r>
      <w:r w:rsidR="00DF1F21" w:rsidRPr="00DF1F21">
        <w:rPr>
          <w:noProof/>
        </w:rPr>
        <w:t>(27)</w:t>
      </w:r>
      <w:r w:rsidR="00730DEA">
        <w:fldChar w:fldCharType="end"/>
      </w:r>
      <w:r w:rsidR="00FB2C29">
        <w:t>.</w:t>
      </w:r>
      <w:r w:rsidR="00DD19BA">
        <w:t xml:space="preserve"> </w:t>
      </w:r>
      <w:r w:rsidR="00FB2C29">
        <w:t>D</w:t>
      </w:r>
      <w:r w:rsidR="00DD19BA">
        <w:t>ue to the uncertainty in this persistence of effect</w:t>
      </w:r>
      <w:r w:rsidR="00AA2A30">
        <w:t>,</w:t>
      </w:r>
      <w:r w:rsidR="00DD19BA">
        <w:t xml:space="preserve"> we test a more conservative assumption of 3 years in a sensitivity analysis. </w:t>
      </w:r>
      <w:r>
        <w:t>It is assumed that no individuals are screened more than once over the 10</w:t>
      </w:r>
      <w:r w:rsidR="002D4AAF">
        <w:t>-</w:t>
      </w:r>
      <w:r>
        <w:t>year SBI implementation period.</w:t>
      </w:r>
    </w:p>
    <w:p w14:paraId="4646AB57" w14:textId="77777777" w:rsidR="000E3BF9" w:rsidRDefault="000E3BF9" w:rsidP="00D04DAC">
      <w:pPr>
        <w:pStyle w:val="Subtitle"/>
        <w:spacing w:line="480" w:lineRule="auto"/>
        <w:rPr>
          <w:lang w:eastAsia="ar-SA"/>
        </w:rPr>
      </w:pPr>
      <w:r>
        <w:rPr>
          <w:lang w:eastAsia="ar-SA"/>
        </w:rPr>
        <w:t>Health Economic analysis</w:t>
      </w:r>
    </w:p>
    <w:p w14:paraId="20281421" w14:textId="603FFF23" w:rsidR="002843C7" w:rsidRPr="002843C7" w:rsidRDefault="002843C7" w:rsidP="00D04DAC">
      <w:pPr>
        <w:spacing w:line="480" w:lineRule="auto"/>
      </w:pPr>
      <w:r>
        <w:t>For each of the three countries (England, Netherlands and Poland), for each of the eight strategies (control, TS, FR, eBI, TS+FR, TS+eBI, FR+eBI, TS+FR+eBI)</w:t>
      </w:r>
      <w:r w:rsidR="0080227F">
        <w:t>,</w:t>
      </w:r>
      <w:r>
        <w:t xml:space="preserve"> </w:t>
      </w:r>
      <w:r w:rsidR="00FB2C29">
        <w:t xml:space="preserve">we </w:t>
      </w:r>
      <w:r w:rsidR="00483399">
        <w:t>conducted</w:t>
      </w:r>
      <w:r w:rsidR="00FB2C29">
        <w:t xml:space="preserve"> three primary analyses. Firstly</w:t>
      </w:r>
      <w:r w:rsidR="0080227F">
        <w:t>,</w:t>
      </w:r>
      <w:r w:rsidR="00FB2C29">
        <w:t xml:space="preserve"> we model the number of BIs delivered and </w:t>
      </w:r>
      <w:r w:rsidR="0080227F">
        <w:t xml:space="preserve">the </w:t>
      </w:r>
      <w:r w:rsidR="00FB2C29">
        <w:t xml:space="preserve">associated implementation and delivery costs over the 9 month trial period. This produces a ‘within-trial’ estimate of the cost per additional BI delivered over control. Subsequently we present a full long-term cost-utility analysis for each of the two scenarios (‘trial only’ and ‘full implementation’) from the perspective of the health care system. Total QALYs accrued in each scenario are estimated from SAPM alongside estimates of the healthcare costs associated with alcohol. These are combined with the estimated costs of </w:t>
      </w:r>
      <w:r w:rsidR="00722373">
        <w:t>implementing</w:t>
      </w:r>
      <w:r w:rsidR="00FB2C29">
        <w:t xml:space="preserve"> the </w:t>
      </w:r>
      <w:r w:rsidR="00A87E42">
        <w:t>eight</w:t>
      </w:r>
      <w:r w:rsidR="00FB2C29">
        <w:t xml:space="preserve"> strategies and the </w:t>
      </w:r>
      <w:r w:rsidR="00722373">
        <w:t>costs associated with actual SBI delivery for each country to estimate the net cost of each strategy over 30 years. Within each country and scenario, these net costs and QALY gains are compared to give Incremental Cost-Effectiveness Ratios (ICERs) for every strategy.</w:t>
      </w:r>
      <w:r w:rsidR="00722373" w:rsidRPr="00722373">
        <w:t xml:space="preserve"> </w:t>
      </w:r>
      <w:r w:rsidR="00722373">
        <w:t>These are compared to national cost-effectiveness thresholds to determine the most cost-effective strategy for each country under each scenario. All costs are converted to 20</w:t>
      </w:r>
      <w:r w:rsidR="002E00E6">
        <w:t>16</w:t>
      </w:r>
      <w:r w:rsidR="00722373">
        <w:t xml:space="preserve"> Euros using OECD Purchasing Power Parities </w:t>
      </w:r>
      <w:r w:rsidR="00722373">
        <w:fldChar w:fldCharType="begin" w:fldLock="1"/>
      </w:r>
      <w:r w:rsidR="00DF1F21">
        <w:instrText>ADDIN CSL_CITATION { "citationItems" : [ { "id" : "ITEM-1", "itemData" : { "URL" : "http://www.oecd.org/std/prices-ppp/purchasingpowerparitiespppsdata.htm", "abstract" : "Latest statistics for Purchasing Power Parities (PPPs) and Comparative Price Level (CPL).", "accessed" : { "date-parts" : [ [ "2013", "7", "8" ] ] }, "author" : [ { "dropping-particle" : "", "family" : "OECD", "given" : "", "non-dropping-particle" : "", "parse-names" : false, "suffix" : "" } ], "id" : "ITEM-1", "issued" : { "date-parts" : [ [ "2013" ] ] }, "title" : "Purchasing Power Parities (PPPs) Data", "type" : "webpage" }, "uris" : [ "http://www.mendeley.com/documents/?uuid=faf7293b-4f49-4a4a-bdb1-b8ef82e402b6" ] } ], "mendeley" : { "formattedCitation" : "(28)", "plainTextFormattedCitation" : "(28)", "previouslyFormattedCitation" : "(28)" }, "properties" : { "noteIndex" : 0 }, "schema" : "https://github.com/citation-style-language/schema/raw/master/csl-citation.json" }</w:instrText>
      </w:r>
      <w:r w:rsidR="00722373">
        <w:fldChar w:fldCharType="separate"/>
      </w:r>
      <w:r w:rsidR="00DF1F21" w:rsidRPr="00DF1F21">
        <w:rPr>
          <w:noProof/>
        </w:rPr>
        <w:t>(28)</w:t>
      </w:r>
      <w:r w:rsidR="00722373">
        <w:fldChar w:fldCharType="end"/>
      </w:r>
      <w:r w:rsidR="00722373">
        <w:t xml:space="preserve"> and </w:t>
      </w:r>
      <w:r w:rsidR="00FB2C29">
        <w:t xml:space="preserve">all costs </w:t>
      </w:r>
      <w:r w:rsidR="00FB2C29" w:rsidRPr="008619D3">
        <w:t xml:space="preserve">and health benefits are discounted using locally-appropriate </w:t>
      </w:r>
      <w:r w:rsidR="00FB2C29">
        <w:t xml:space="preserve">discount </w:t>
      </w:r>
      <w:r w:rsidR="00FB2C29" w:rsidRPr="008619D3">
        <w:t>rates for each country</w:t>
      </w:r>
      <w:r w:rsidR="00483399">
        <w:t xml:space="preserve"> (see Appendix D</w:t>
      </w:r>
      <w:r w:rsidR="00722373">
        <w:t xml:space="preserve"> for full details)</w:t>
      </w:r>
      <w:r w:rsidR="00FB2C29" w:rsidRPr="008619D3">
        <w:t>.</w:t>
      </w:r>
    </w:p>
    <w:p w14:paraId="642441F9" w14:textId="77777777" w:rsidR="002E35F5" w:rsidRDefault="002E35F5" w:rsidP="00D04DAC">
      <w:pPr>
        <w:pStyle w:val="Heading2"/>
        <w:spacing w:line="480" w:lineRule="auto"/>
      </w:pPr>
      <w:r>
        <w:br w:type="page"/>
      </w:r>
    </w:p>
    <w:p w14:paraId="3C990291" w14:textId="789AC27E" w:rsidR="0013641F" w:rsidRDefault="0013641F" w:rsidP="00D04DAC">
      <w:pPr>
        <w:pStyle w:val="Heading2"/>
        <w:spacing w:line="480" w:lineRule="auto"/>
      </w:pPr>
      <w:r>
        <w:t>Results</w:t>
      </w:r>
    </w:p>
    <w:p w14:paraId="4467C217" w14:textId="36BD0638" w:rsidR="00EB35F4" w:rsidRDefault="00DD19BA" w:rsidP="00D04DAC">
      <w:pPr>
        <w:pStyle w:val="Subtitle"/>
        <w:spacing w:line="480" w:lineRule="auto"/>
      </w:pPr>
      <w:r>
        <w:t xml:space="preserve">Within-trial </w:t>
      </w:r>
      <w:r w:rsidR="00722373">
        <w:t>analysis</w:t>
      </w:r>
    </w:p>
    <w:p w14:paraId="62560B69" w14:textId="3B2480DC" w:rsidR="008B3BAC" w:rsidRDefault="00722373" w:rsidP="00483399">
      <w:pPr>
        <w:spacing w:line="480" w:lineRule="auto"/>
      </w:pPr>
      <w:r>
        <w:t xml:space="preserve">Results from the within-trial analysis in </w:t>
      </w:r>
      <w:r w:rsidR="006A00DF">
        <w:fldChar w:fldCharType="begin"/>
      </w:r>
      <w:r w:rsidR="006A00DF">
        <w:instrText xml:space="preserve"> REF _Ref505285432 \h </w:instrText>
      </w:r>
      <w:r w:rsidR="006A00DF">
        <w:fldChar w:fldCharType="separate"/>
      </w:r>
      <w:r w:rsidR="006A00DF">
        <w:t xml:space="preserve">Table </w:t>
      </w:r>
      <w:r w:rsidR="006A00DF">
        <w:rPr>
          <w:noProof/>
        </w:rPr>
        <w:t>2</w:t>
      </w:r>
      <w:r w:rsidR="006A00DF">
        <w:fldChar w:fldCharType="end"/>
      </w:r>
      <w:r w:rsidR="006A00DF">
        <w:t xml:space="preserve"> </w:t>
      </w:r>
      <w:r>
        <w:t xml:space="preserve">show that all strategies are estimated to increase the numbers of BIs delivered across the population in all countries. </w:t>
      </w:r>
      <w:r w:rsidR="008B3BAC">
        <w:t>TS+FR is the most effective strategy at increasing BI delivery, although it has one of the highest marginal costs for each additional BI delivered across all three countries</w:t>
      </w:r>
      <w:r>
        <w:t>.</w:t>
      </w:r>
      <w:r w:rsidR="008B3BAC">
        <w:t xml:space="preserve"> In contrast, eBI appears to offer the cheapest way to achieve delivery of additional BIs, although it is among the least effective strategies overall.</w:t>
      </w:r>
      <w:r>
        <w:t xml:space="preserve"> </w:t>
      </w:r>
      <w:bookmarkStart w:id="1" w:name="_Ref476343820"/>
    </w:p>
    <w:bookmarkEnd w:id="1"/>
    <w:p w14:paraId="4F1053F9" w14:textId="49B78A99" w:rsidR="008B3BAC" w:rsidRPr="00717FDC" w:rsidRDefault="00717FDC" w:rsidP="00D04DAC">
      <w:pPr>
        <w:spacing w:line="480" w:lineRule="auto"/>
        <w:rPr>
          <w:b/>
        </w:rPr>
      </w:pPr>
      <w:r>
        <w:rPr>
          <w:b/>
        </w:rPr>
        <w:t>TABLE 2</w:t>
      </w:r>
      <w:r w:rsidRPr="00717FDC">
        <w:rPr>
          <w:b/>
        </w:rPr>
        <w:t xml:space="preserve"> ABOUT HERE</w:t>
      </w:r>
    </w:p>
    <w:p w14:paraId="0FA0B8DD" w14:textId="65673159" w:rsidR="00D617C4" w:rsidRDefault="00722373" w:rsidP="00D04DAC">
      <w:pPr>
        <w:pStyle w:val="Subtitle"/>
        <w:spacing w:line="480" w:lineRule="auto"/>
      </w:pPr>
      <w:r>
        <w:t>Trial only</w:t>
      </w:r>
      <w:r w:rsidR="00D617C4">
        <w:t xml:space="preserve"> cost-effectiveness</w:t>
      </w:r>
      <w:r>
        <w:t xml:space="preserve"> analysis</w:t>
      </w:r>
    </w:p>
    <w:p w14:paraId="46E94F65" w14:textId="3564142D" w:rsidR="00BA43E9" w:rsidRPr="00D617C4" w:rsidRDefault="00D617C4" w:rsidP="00D04DAC">
      <w:pPr>
        <w:spacing w:line="480" w:lineRule="auto"/>
      </w:pPr>
      <w:r>
        <w:t xml:space="preserve">Results from the </w:t>
      </w:r>
      <w:r w:rsidR="00722373">
        <w:t>trial only</w:t>
      </w:r>
      <w:r>
        <w:t xml:space="preserve"> analysis in </w:t>
      </w:r>
      <w:r w:rsidR="00730DEA">
        <w:fldChar w:fldCharType="begin"/>
      </w:r>
      <w:r>
        <w:instrText xml:space="preserve"> REF _Ref404070644 \h </w:instrText>
      </w:r>
      <w:r w:rsidR="00DD19BA">
        <w:instrText xml:space="preserve"> \* MERGEFORMAT </w:instrText>
      </w:r>
      <w:r w:rsidR="00730DEA">
        <w:fldChar w:fldCharType="separate"/>
      </w:r>
      <w:r w:rsidR="006A00DF">
        <w:t xml:space="preserve">Table </w:t>
      </w:r>
      <w:r w:rsidR="006A00DF">
        <w:rPr>
          <w:noProof/>
        </w:rPr>
        <w:t>3</w:t>
      </w:r>
      <w:r w:rsidR="00730DEA">
        <w:fldChar w:fldCharType="end"/>
      </w:r>
      <w:r>
        <w:t xml:space="preserve"> show that TS+FR is the</w:t>
      </w:r>
      <w:r w:rsidR="00722373">
        <w:t xml:space="preserve"> strategy which produces the largest health benefits while remaining cost-effective </w:t>
      </w:r>
      <w:r>
        <w:t>across all three countries</w:t>
      </w:r>
      <w:r w:rsidR="00722373">
        <w:t>. The ICERS of</w:t>
      </w:r>
      <w:r>
        <w:t xml:space="preserve"> €3,25</w:t>
      </w:r>
      <w:r w:rsidR="008B3BAC">
        <w:t>7</w:t>
      </w:r>
      <w:r>
        <w:t>, €3,9</w:t>
      </w:r>
      <w:r w:rsidR="008B3BAC">
        <w:t>53</w:t>
      </w:r>
      <w:r>
        <w:t xml:space="preserve"> and €</w:t>
      </w:r>
      <w:r w:rsidR="008B3BAC">
        <w:t>8,319</w:t>
      </w:r>
      <w:r>
        <w:t xml:space="preserve"> in England, the Netherlands and Poland respectively compared to the next-best alternative</w:t>
      </w:r>
      <w:r w:rsidR="00722373">
        <w:t xml:space="preserve"> are all substantially lower than the respective thresholds of €22,918, €20,000 and €14,666 below which interventions are generally considered </w:t>
      </w:r>
      <w:r w:rsidR="00A87E42">
        <w:t>cost</w:t>
      </w:r>
      <w:r w:rsidR="00722373">
        <w:t>-effective</w:t>
      </w:r>
      <w:r>
        <w:t xml:space="preserve">. </w:t>
      </w:r>
      <w:r w:rsidR="00722373">
        <w:t xml:space="preserve">In both England and the Netherlands the FR </w:t>
      </w:r>
      <w:r w:rsidR="008B3BAC">
        <w:t>strategy</w:t>
      </w:r>
      <w:r w:rsidR="00722373">
        <w:t xml:space="preserve"> dominates control (i.e. </w:t>
      </w:r>
      <w:r w:rsidR="008B3BAC">
        <w:t xml:space="preserve">it </w:t>
      </w:r>
      <w:r w:rsidR="00722373">
        <w:t>produces greater health benefits while cost</w:t>
      </w:r>
      <w:r w:rsidR="008B3BAC">
        <w:t>ing</w:t>
      </w:r>
      <w:r w:rsidR="00722373">
        <w:t xml:space="preserve"> less)</w:t>
      </w:r>
      <w:r>
        <w:t>, although the scale of savings is very different between the two countries (€1</w:t>
      </w:r>
      <w:r w:rsidR="008B3BAC">
        <w:t>5</w:t>
      </w:r>
      <w:r>
        <w:t>0m and €7</w:t>
      </w:r>
      <w:r w:rsidR="008B3BAC">
        <w:t>.8</w:t>
      </w:r>
      <w:r>
        <w:t>m respectively)</w:t>
      </w:r>
      <w:r w:rsidR="00722373">
        <w:t>.</w:t>
      </w:r>
      <w:r>
        <w:t xml:space="preserve"> </w:t>
      </w:r>
      <w:r w:rsidR="008B3BAC">
        <w:t>Both TS and TS+FR strategies incur a net cost to the healthcare system in Poland, with the most effective strategy, TS+FR, costing €6.8m over 30 years compared to control.</w:t>
      </w:r>
      <w:r w:rsidR="005E78FE">
        <w:t xml:space="preserve"> Estimated health gains </w:t>
      </w:r>
      <w:r w:rsidR="008B3BAC">
        <w:t xml:space="preserve">under TS+FR </w:t>
      </w:r>
      <w:r w:rsidR="005E78FE">
        <w:t xml:space="preserve">are also larger in England, at </w:t>
      </w:r>
      <w:r w:rsidR="008B3BAC">
        <w:t>15,400</w:t>
      </w:r>
      <w:r w:rsidR="005E78FE">
        <w:t xml:space="preserve"> QALYs over 30 years compared to </w:t>
      </w:r>
      <w:r w:rsidR="008B3BAC">
        <w:t>2</w:t>
      </w:r>
      <w:r w:rsidR="005E78FE">
        <w:t xml:space="preserve">,400 </w:t>
      </w:r>
      <w:r w:rsidR="00E87B97">
        <w:t xml:space="preserve">in the Netherlands </w:t>
      </w:r>
      <w:r w:rsidR="005E78FE">
        <w:t>and 2,</w:t>
      </w:r>
      <w:r w:rsidR="008B3BAC">
        <w:t>6</w:t>
      </w:r>
      <w:r w:rsidR="005E78FE">
        <w:t xml:space="preserve">00 </w:t>
      </w:r>
      <w:r w:rsidR="00E87B97">
        <w:t>in</w:t>
      </w:r>
      <w:r w:rsidR="005E78FE">
        <w:t xml:space="preserve"> Poland.</w:t>
      </w:r>
      <w:r w:rsidR="00394DDD">
        <w:t xml:space="preserve"> </w:t>
      </w:r>
      <w:r w:rsidR="005E78FE">
        <w:t xml:space="preserve">Full results for all strategies can be found in Appendix </w:t>
      </w:r>
      <w:r w:rsidR="00E44D41">
        <w:t>E</w:t>
      </w:r>
      <w:r w:rsidR="005E78FE">
        <w:t>.</w:t>
      </w:r>
    </w:p>
    <w:p w14:paraId="1B3B89A3" w14:textId="79B25BEE" w:rsidR="00D617C4" w:rsidRPr="006A00DF" w:rsidRDefault="006A00DF" w:rsidP="006A00DF">
      <w:pPr>
        <w:rPr>
          <w:b/>
        </w:rPr>
      </w:pPr>
      <w:r>
        <w:rPr>
          <w:b/>
        </w:rPr>
        <w:t>TABLE 3 ABOUT HERE</w:t>
      </w:r>
    </w:p>
    <w:p w14:paraId="038D6A6F" w14:textId="77777777" w:rsidR="008B3BAC" w:rsidRDefault="008B3BAC" w:rsidP="00D04DAC">
      <w:pPr>
        <w:spacing w:line="480" w:lineRule="auto"/>
      </w:pPr>
    </w:p>
    <w:p w14:paraId="6338D2A1" w14:textId="77777777" w:rsidR="008B3BAC" w:rsidRPr="00EE084C" w:rsidRDefault="008B3BAC" w:rsidP="00D04DAC">
      <w:pPr>
        <w:spacing w:line="480" w:lineRule="auto"/>
      </w:pPr>
    </w:p>
    <w:p w14:paraId="561C004A" w14:textId="77777777" w:rsidR="005E78FE" w:rsidRPr="005E78FE" w:rsidRDefault="005E78FE" w:rsidP="00D04DAC">
      <w:pPr>
        <w:pStyle w:val="Subtitle"/>
        <w:spacing w:line="480" w:lineRule="auto"/>
      </w:pPr>
      <w:r>
        <w:t>Full implementation analysis</w:t>
      </w:r>
    </w:p>
    <w:p w14:paraId="0B43FB11" w14:textId="1AB6F631" w:rsidR="00722373" w:rsidRDefault="005E78FE" w:rsidP="00D04DAC">
      <w:pPr>
        <w:spacing w:line="480" w:lineRule="auto"/>
      </w:pPr>
      <w:r>
        <w:t>Assuming that the costs and impacts of FR are maintained at implementation levels across the modelled 10</w:t>
      </w:r>
      <w:r w:rsidR="000D4137">
        <w:t>-</w:t>
      </w:r>
      <w:r>
        <w:t xml:space="preserve">year implementation period leads to broadly similar results, shown in </w:t>
      </w:r>
      <w:r w:rsidR="00730DEA">
        <w:fldChar w:fldCharType="begin"/>
      </w:r>
      <w:r>
        <w:instrText xml:space="preserve"> REF _Ref404088877 \h </w:instrText>
      </w:r>
      <w:r w:rsidR="00DD19BA">
        <w:instrText xml:space="preserve"> \* MERGEFORMAT </w:instrText>
      </w:r>
      <w:r w:rsidR="00730DEA">
        <w:fldChar w:fldCharType="separate"/>
      </w:r>
      <w:r w:rsidR="006A00DF">
        <w:t xml:space="preserve">Table </w:t>
      </w:r>
      <w:r w:rsidR="006A00DF">
        <w:rPr>
          <w:noProof/>
        </w:rPr>
        <w:t>4</w:t>
      </w:r>
      <w:r w:rsidR="00730DEA">
        <w:fldChar w:fldCharType="end"/>
      </w:r>
      <w:r>
        <w:t>. TS+FR is still the optimal strategy in England and Poland, but the incremental analysis shows that it is no longer cost-effective in the Netherlands compared to TS alone</w:t>
      </w:r>
      <w:r w:rsidR="000F16F4">
        <w:t xml:space="preserve"> (ICER  €29,952)</w:t>
      </w:r>
      <w:r>
        <w:t xml:space="preserve">. As </w:t>
      </w:r>
      <w:r w:rsidR="00394DDD">
        <w:t>for</w:t>
      </w:r>
      <w:r>
        <w:t xml:space="preserve"> the within-trial analysis, the optimal strategies are estimated to be </w:t>
      </w:r>
      <w:r w:rsidR="00A87E42">
        <w:t>cost saving</w:t>
      </w:r>
      <w:r>
        <w:t xml:space="preserve"> in England and the Netherlands, but not Poland, and the health gains in England are significantly larger than in the other countries. Full results for all strategies can be found in Appendix </w:t>
      </w:r>
      <w:r w:rsidR="00694D00">
        <w:t>F</w:t>
      </w:r>
      <w:r>
        <w:t>.</w:t>
      </w:r>
    </w:p>
    <w:p w14:paraId="575262C6" w14:textId="22DA20C1" w:rsidR="00D617C4" w:rsidRPr="006A00DF" w:rsidRDefault="006A00DF" w:rsidP="00D04DAC">
      <w:pPr>
        <w:spacing w:line="480" w:lineRule="auto"/>
        <w:rPr>
          <w:b/>
        </w:rPr>
      </w:pPr>
      <w:bookmarkStart w:id="2" w:name="_Ref404089898"/>
      <w:r>
        <w:rPr>
          <w:b/>
        </w:rPr>
        <w:t>TABLE 4 ABOUT HERE</w:t>
      </w:r>
    </w:p>
    <w:p w14:paraId="0EA41AC0" w14:textId="77777777" w:rsidR="00D617C4" w:rsidRDefault="00D617C4" w:rsidP="00D04DAC">
      <w:pPr>
        <w:pStyle w:val="Subtitle"/>
        <w:spacing w:line="480" w:lineRule="auto"/>
      </w:pPr>
      <w:r>
        <w:t>Sensitivity analyses</w:t>
      </w:r>
    </w:p>
    <w:p w14:paraId="48A302E7" w14:textId="6920A53B" w:rsidR="00D617C4" w:rsidRDefault="00D617C4" w:rsidP="00D04DAC">
      <w:pPr>
        <w:spacing w:line="480" w:lineRule="auto"/>
        <w:jc w:val="both"/>
      </w:pPr>
      <w:r>
        <w:t>In order to investigate the uncertainty in our assumptions of continued effectiveness for strategies other than FR in the longer-term in the full implementation analysis, we tested the assumption that training had to be re-delivered every 5 or every 2 years in order to achieve this persistence of effect</w:t>
      </w:r>
      <w:r w:rsidR="00E44D41">
        <w:t xml:space="preserve"> (at the same cost as the original training, before discounting)</w:t>
      </w:r>
      <w:r>
        <w:t xml:space="preserve">. Full results for these alternative assumptions can be found </w:t>
      </w:r>
      <w:r w:rsidRPr="005E78FE">
        <w:t xml:space="preserve">in Appendix </w:t>
      </w:r>
      <w:r w:rsidR="00694D00">
        <w:t>G</w:t>
      </w:r>
      <w:r w:rsidRPr="005E78FE">
        <w:t>.</w:t>
      </w:r>
      <w:r w:rsidR="00722373">
        <w:t xml:space="preserve"> </w:t>
      </w:r>
    </w:p>
    <w:p w14:paraId="30B338E0" w14:textId="1E08A418" w:rsidR="00D617C4" w:rsidRDefault="00D617C4" w:rsidP="00D04DAC">
      <w:pPr>
        <w:spacing w:line="480" w:lineRule="auto"/>
      </w:pPr>
      <w:r>
        <w:t xml:space="preserve">These alternative assumptions </w:t>
      </w:r>
      <w:r w:rsidR="00E44D41">
        <w:t>lead to significant increases in the costs associated with implementing all strategies involving</w:t>
      </w:r>
      <w:r>
        <w:t xml:space="preserve"> Training &amp; Support. For example, the cost over 10 years of delivering TS in the Netherlands increased from €8.6m to €15.9m with retraining every 5 years and €36.9m with retraining every 2 years. However, these increased costs made little difference to the overall cost-effectiveness results and the overall conclusions of the analysis. The only significant change is that TS ceases to be cost-effective in the Netherlands if re</w:t>
      </w:r>
      <w:r w:rsidR="000D4137">
        <w:t>-training</w:t>
      </w:r>
      <w:r>
        <w:t xml:space="preserve"> is required every 2 years, with eBI referral becoming the most cost-effective option under this scenario.</w:t>
      </w:r>
      <w:bookmarkEnd w:id="2"/>
    </w:p>
    <w:p w14:paraId="43B891E0" w14:textId="248700D9" w:rsidR="008B3BAC" w:rsidRPr="00D617C4" w:rsidRDefault="008B3BAC" w:rsidP="00D04DAC">
      <w:pPr>
        <w:spacing w:line="480" w:lineRule="auto"/>
      </w:pPr>
      <w:r>
        <w:t>Finally, we tested the impact on the trial only analysis of assuming a shorter persistence of effect of BI receipt on alcohol consumption. Full results for</w:t>
      </w:r>
      <w:r w:rsidR="00E44D41">
        <w:t xml:space="preserve"> this can be f</w:t>
      </w:r>
      <w:r w:rsidR="00694D00">
        <w:t>ound in Appendix H</w:t>
      </w:r>
      <w:r>
        <w:t>.</w:t>
      </w:r>
      <w:r w:rsidR="00DB3391">
        <w:t xml:space="preserve"> As may be expected the overall cost-effectiveness is reduced for all strategies, however TS+FR remains the most cost-effective option for both England and the Netherlands, with ICERS of </w:t>
      </w:r>
      <w:r w:rsidR="00DB3391">
        <w:rPr>
          <w:rFonts w:ascii="Calibri" w:hAnsi="Calibri"/>
        </w:rPr>
        <w:t>€21,668 and €13,413 respectively</w:t>
      </w:r>
      <w:r w:rsidR="00DB3391">
        <w:t>. In contrast, this alternative assumption means that TS+FR is no longer estimated to be cost-effective in Poland, with TS alone offering the most cost-effective strategy with an ICER of €2,609</w:t>
      </w:r>
    </w:p>
    <w:p w14:paraId="415BA120" w14:textId="77777777" w:rsidR="002E35F5" w:rsidRDefault="002E35F5" w:rsidP="00D04DAC">
      <w:pPr>
        <w:pStyle w:val="Heading2"/>
        <w:spacing w:line="480" w:lineRule="auto"/>
      </w:pPr>
      <w:r>
        <w:br w:type="page"/>
      </w:r>
    </w:p>
    <w:p w14:paraId="6699C4DC" w14:textId="565CCE1A" w:rsidR="0013641F" w:rsidRDefault="0013641F" w:rsidP="00D04DAC">
      <w:pPr>
        <w:pStyle w:val="Heading2"/>
        <w:spacing w:line="480" w:lineRule="auto"/>
      </w:pPr>
      <w:r>
        <w:t>Discussion</w:t>
      </w:r>
    </w:p>
    <w:p w14:paraId="342223CF" w14:textId="2EE634FF" w:rsidR="00BA43E9" w:rsidRDefault="00BA36ED" w:rsidP="00D04DAC">
      <w:pPr>
        <w:spacing w:line="480" w:lineRule="auto"/>
      </w:pPr>
      <w:r>
        <w:t xml:space="preserve">The findings of this study highlight that current SBI delivery </w:t>
      </w:r>
      <w:r w:rsidR="00694D00">
        <w:t>rates</w:t>
      </w:r>
      <w:r w:rsidR="001A6F40">
        <w:t xml:space="preserve"> </w:t>
      </w:r>
      <w:r w:rsidR="00694D00">
        <w:t xml:space="preserve">in primary care </w:t>
      </w:r>
      <w:r>
        <w:t xml:space="preserve">are extremely low, </w:t>
      </w:r>
      <w:r w:rsidR="00694D00">
        <w:t>while demonstrating that several cost-effective strategies exist to increase these rates.</w:t>
      </w:r>
      <w:r>
        <w:t xml:space="preserve"> </w:t>
      </w:r>
      <w:r w:rsidR="00436009">
        <w:t>This analysis, which presents the first available estimates of the cost-effectiveness of strategies to increase these proportions,</w:t>
      </w:r>
      <w:r w:rsidR="00BA43E9">
        <w:t xml:space="preserve"> consistently show</w:t>
      </w:r>
      <w:r>
        <w:t>s</w:t>
      </w:r>
      <w:r w:rsidR="00BA43E9">
        <w:t xml:space="preserve"> that Training and Support or Training and Support in combination with Financial Reimbursement are effective and cost-effective strategies for increasing the</w:t>
      </w:r>
      <w:r>
        <w:t>se</w:t>
      </w:r>
      <w:r w:rsidR="00BA43E9">
        <w:t xml:space="preserve"> delivery </w:t>
      </w:r>
      <w:r w:rsidR="001A6F40">
        <w:t>proportions</w:t>
      </w:r>
      <w:r w:rsidR="00BA43E9">
        <w:t xml:space="preserve">. Modelling using only the trial data suggests that TS+FR is the most cost-effective strategy in all countries, whilst assuming that increased screening </w:t>
      </w:r>
      <w:r w:rsidR="001A6F40">
        <w:t xml:space="preserve">proportions </w:t>
      </w:r>
      <w:r w:rsidR="00BA43E9">
        <w:t xml:space="preserve">in practices receiving FR would be maintained if incentives continued to be paid makes TS+FR the optimal strategy in </w:t>
      </w:r>
      <w:r w:rsidR="000D4137">
        <w:t>two</w:t>
      </w:r>
      <w:r w:rsidR="00BA43E9">
        <w:t xml:space="preserve"> of the </w:t>
      </w:r>
      <w:r w:rsidR="000D4137">
        <w:t>three</w:t>
      </w:r>
      <w:r w:rsidR="00BA43E9">
        <w:t xml:space="preserve"> modelled countries, with TS alone the best option in the Netherlands. Sensitivity analyses show that these results are generally robust to </w:t>
      </w:r>
      <w:r w:rsidR="00B831A2">
        <w:t xml:space="preserve">more pessimistic </w:t>
      </w:r>
      <w:r w:rsidR="00BA43E9">
        <w:t xml:space="preserve">assumptions </w:t>
      </w:r>
      <w:r w:rsidR="00B831A2">
        <w:t xml:space="preserve">of </w:t>
      </w:r>
      <w:r w:rsidR="00BA43E9">
        <w:t>long-term effectiveness</w:t>
      </w:r>
      <w:r w:rsidR="00DB3391">
        <w:t>, although TS+FR may not to be cost-effective in Poland if the duration of effect of BIs is shorter than we have assumed in our base case</w:t>
      </w:r>
      <w:r w:rsidR="00BA43E9">
        <w:t>.</w:t>
      </w:r>
      <w:r w:rsidR="00436009">
        <w:t xml:space="preserve"> Whilst eBI </w:t>
      </w:r>
      <w:r w:rsidR="00984C07">
        <w:t xml:space="preserve">alone </w:t>
      </w:r>
      <w:r w:rsidR="00436009">
        <w:t xml:space="preserve">is </w:t>
      </w:r>
      <w:r w:rsidR="00DB3391">
        <w:t xml:space="preserve">the least costly way of increasing BI delivery, and is </w:t>
      </w:r>
      <w:r w:rsidR="00436009">
        <w:t>estimated to be cost-effective</w:t>
      </w:r>
      <w:r w:rsidR="00984C07">
        <w:t xml:space="preserve"> versus control</w:t>
      </w:r>
      <w:r w:rsidR="00436009">
        <w:t xml:space="preserve">, as suggested by studies in other settings </w:t>
      </w:r>
      <w:r w:rsidR="00436009">
        <w:fldChar w:fldCharType="begin" w:fldLock="1"/>
      </w:r>
      <w:r w:rsidR="003778C8">
        <w:instrText>ADDIN CSL_CITATION { "citationItems" : [ { "id" : "ITEM-1", "itemData" : { "DOI" : "10.1371/journal.pone.0014740", "ISSN" : "1932-6203", "author" : [ { "dropping-particle" : "", "family" : "Wallace", "given" : "Paul", "non-dropping-particle" : "", "parse-names" : false, "suffix" : "" }, { "dropping-particle" : "", "family" : "Murray", "given" : "Elizabeth", "non-dropping-particle" : "", "parse-names" : false, "suffix" : "" }, { "dropping-particle" : "", "family" : "McCambridge", "given" : "Jim", "non-dropping-particle" : "", "parse-names" : false, "suffix" : "" }, { "dropping-particle" : "", "family" : "Khadjesari", "given" : "Zarnie", "non-dropping-particle" : "", "parse-names" : false, "suffix" : "" }, { "dropping-particle" : "", "family" : "White", "given" : "Ian R.", "non-dropping-particle" : "", "parse-names" : false, "suffix" : "" }, { "dropping-particle" : "", "family" : "Thompson", "given" : "Simon G.", "non-dropping-particle" : "", "parse-names" : false, "suffix" : "" }, { "dropping-particle" : "", "family" : "Kalaitzaki", "given" : "Eleftheria", "non-dropping-particle" : "", "parse-names" : false, "suffix" : "" }, { "dropping-particle" : "", "family" : "Godfrey", "given" : "Christine", "non-dropping-particle" : "", "parse-names" : false, "suffix" : "" }, { "dropping-particle" : "", "family" : "Linke", "given" : "Stuart", "non-dropping-particle" : "", "parse-names" : false, "suffix" : "" } ], "container-title" : "PLoS ONE", "editor" : [ { "dropping-particle" : "", "family" : "Myer", "given" : "Landon", "non-dropping-particle" : "", "parse-names" : false, "suffix" : "" } ], "id" : "ITEM-1", "issue" : "3", "issued" : { "date-parts" : [ [ "2011", "3", "9" ] ] }, "page" : "e14740", "publisher" : "Public Library of Science", "title" : "On-line Randomized Controlled Trial of an Internet Based Psychologically Enhanced Intervention for People with Hazardous Alcohol Consumption", "type" : "article-journal", "volume" : "6" }, "uris" : [ "http://www.mendeley.com/documents/?uuid=e19a27a8-9f6a-3f29-8d2f-a569a2982e4c" ] }, { "id" : "ITEM-2", "itemData" : { "DOI" : "10.2196/jmir.2052", "ISSN" : "1438-8871", "PMID" : "23103771", "abstract" : "BACKGROUND Internet interventions with and without therapist support have been found to be effective treatment options for harmful alcohol users. Internet-based therapy (IT) leads to larger and longer-lasting positive effects than Internet-based self-help (IS), but it is also more costly to provide. OBJECTIVE To evaluate the cost effectiveness and cost utility of Internet-based interventions for harmful use of alcohol through the assessment of the incremental cost effectiveness of IT compared with IS. METHODS This study was performed in a substance abuse treatment center in Amsterdam, the Netherlands. We collected data over the years 2008-2009. A total of 136 participants were included, 70 (51%) were female, and mean age was 41.5 (SD 9.83) years. Reported alcohol consumption and Alcohol Use Disorders Identification Test (AUDIT) scores indicated harmful drinking behavior at baseline. We collected self-reported outcome data prospectively at baseline and 6 months after randomization. Cost data were extracted from the treatment center's cost records, and sex- and age-specific mean productivity cost data for the Netherlands. RESULTS The median incremental cost-effectiveness ratio was estimated at \u20ac3683 per additional treatment responder and \u20ac14,710 per quality-adjusted life-year (QALY) gained. At a willingness to pay \u20ac20,000 for 1 additional QALY, IT had a 60% likelihood of being more cost effective than IS. Sensitivity analyses attested to the robustness of the findings. CONCLUSIONS IT offers better value for money than IS and might therefore be considered as a treatment option, either as first-line treatment in a matched-care approach or as a second-line treatment in the context of a stepped-care approach. TRIAL REGISTRATION Netherlands Trial Register NTR-TC1155; http://www.trialregister.nl/trialreg/admin/rctview.asp?TC=1155 (Archived by WebCite at http://www.webcitation.org/6AqnV4eTU).", "author" : [ { "dropping-particle" : "", "family" : "Blankers", "given" : "Matthijs", "non-dropping-particle" : "", "parse-names" : false, "suffix" : "" }, { "dropping-particle" : "", "family" : "Nabitz", "given" : "Udo", "non-dropping-particle" : "", "parse-names" : false, "suffix" : "" }, { "dropping-particle" : "", "family" : "Smit", "given" : "Filip", "non-dropping-particle" : "", "parse-names" : false, "suffix" : "" }, { "dropping-particle" : "", "family" : "Koeter", "given" : "Maarten W J", "non-dropping-particle" : "", "parse-names" : false, "suffix" : "" }, { "dropping-particle" : "", "family" : "Schippers", "given" : "Gerard M", "non-dropping-particle" : "", "parse-names" : false, "suffix" : "" } ], "container-title" : "Journal of medical Internet research", "id" : "ITEM-2", "issue" : "5", "issued" : { "date-parts" : [ [ "2012", "10", "29" ] ] }, "page" : "e134", "title" : "Economic evaluation of internet-based interventions for harmful alcohol use alongside a pragmatic randomized controlled trial.", "type" : "article-journal", "volume" : "14" }, "uris" : [ "http://www.mendeley.com/documents/?uuid=33f6c7a7-1ed8-3cfc-bdf1-7729dd2b4c4f" ] } ], "mendeley" : { "formattedCitation" : "(13,15)", "plainTextFormattedCitation" : "(13,15)", "previouslyFormattedCitation" : "(13,15)" }, "properties" : { "noteIndex" : 0 }, "schema" : "https://github.com/citation-style-language/schema/raw/master/csl-citation.json" }</w:instrText>
      </w:r>
      <w:r w:rsidR="00436009">
        <w:fldChar w:fldCharType="separate"/>
      </w:r>
      <w:r w:rsidR="00523420" w:rsidRPr="00523420">
        <w:rPr>
          <w:noProof/>
        </w:rPr>
        <w:t>(13,15)</w:t>
      </w:r>
      <w:r w:rsidR="00436009">
        <w:fldChar w:fldCharType="end"/>
      </w:r>
      <w:r w:rsidR="00436009">
        <w:t>, this analysis shows that it is dominated by other strategies</w:t>
      </w:r>
      <w:r w:rsidR="00B831A2">
        <w:t xml:space="preserve"> (i.e. it is less effective and costs more)</w:t>
      </w:r>
      <w:r w:rsidR="00436009">
        <w:t xml:space="preserve">. </w:t>
      </w:r>
    </w:p>
    <w:p w14:paraId="1CC487A8" w14:textId="29A53E72" w:rsidR="00BA43E9" w:rsidRDefault="00BA43E9" w:rsidP="004B3936">
      <w:pPr>
        <w:spacing w:line="480" w:lineRule="auto"/>
        <w:jc w:val="both"/>
      </w:pPr>
      <w:r>
        <w:t xml:space="preserve">There are a number of limitations to the methods used in this study, including those limitations inherent to SAPM which have been widely discussed previously </w:t>
      </w:r>
      <w:r w:rsidR="00730DEA">
        <w:fldChar w:fldCharType="begin" w:fldLock="1"/>
      </w:r>
      <w:r w:rsidR="00DF1F21">
        <w:instrText>ADDIN CSL_CITATION { "citationItems" : [ { "id" : "ITEM-1", "itemData" : { "author" : [ { "dropping-particle" : "", "family" : "Purshouse", "given" : "R", "non-dropping-particle" : "", "parse-names" : false, "suffix" : "" }, { "dropping-particle" : "", "family" : "Brennan", "given" : "A", "non-dropping-particle" : "", "parse-names" : false, "suffix" : "" }, { "dropping-particle" : "", "family" : "Latimer", "given" : "N", "non-dropping-particle" : "", "parse-names" : false, "suffix" : "" }, { "dropping-particle" : "", "family" : "Meng", "given" : "Y", "non-dropping-particle" : "", "parse-names" : false, "suffix" : "" }, { "dropping-particle" : "", "family" : "Rafia", "given" : "R", "non-dropping-particle" : "", "parse-names" : false, "suffix" : "" }, { "dropping-particle" : "", "family" : "Jackson", "given" : "R", "non-dropping-particle" : "", "parse-names" : false, "suffix" : "" }, { "dropping-particle" : "", "family" : "Meier", "given" : "PS", "non-dropping-particle" : "", "parse-names" : false, "suffix" : "" } ], "container-title" : "Report to the NICE Public Health Programme Development Group", "id" : "ITEM-1", "issued" : { "date-parts" : [ [ "2009" ] ] }, "publisher-place" : "Sheffield", "title" : "Modelling to assess the effectiveness and cost-effectiveness of public health related strategies and interventions to reduce alcohol attributable harm in England using the Sheffield Alcohol Policy Model version 2.0", "type" : "report" }, "uris" : [ "http://www.mendeley.com/documents/?uuid=e74019a4-9fc3-46ce-aaaa-0368a674f28b" ] }, { "id" : "ITEM-2", "itemData" : { "DOI" : "10.1093/alcalc/ags103", "ISSN" : "1464-3502", "PMID" : "23015608", "abstract" : "To estimate the cost-effectiveness and resourcing implications of universal alcohol screening and brief intervention (SBI) programmes in primary care in England.", "author" : [ { "dropping-particle" : "", "family" : "Purshouse", "given" : "R", "non-dropping-particle" : "", "parse-names" : false, "suffix" : "" }, { "dropping-particle" : "", "family" : "Brennan", "given" : "Alan", "non-dropping-particle" : "", "parse-names" : false, "suffix" : "" }, { "dropping-particle" : "", "family" : "Rafia", "given" : "Rachid", "non-dropping-particle" : "", "parse-names" : false, "suffix" : "" }, { "dropping-particle" : "", "family" : "Latimer", "given" : "Nicholas R", "non-dropping-particle" : "", "parse-names" : false, "suffix" : "" }, { "dropping-particle" : "", "family" : "Archer", "given" : "Rachel J", "non-dropping-particle" : "", "parse-names" : false, "suffix" : "" }, { "dropping-particle" : "", "family" : "Angus", "given" : "Colin R", "non-dropping-particle" : "", "parse-names" : false, "suffix" : "" }, { "dropping-particle" : "", "family" : "Preston", "given" : "Louise R", "non-dropping-particle" : "", "parse-names" : false, "suffix" : "" }, { "dropping-particle" : "", "family" : "Meier", "given" : "Petra S", "non-dropping-particle" : "", "parse-names" : false, "suffix" : "" } ], "container-title" : "Alcohol and alcoholism", "id" : "ITEM-2", "issue" : "2", "issued" : { "date-parts" : [ [ "2013", "9", "25" ] ] }, "page" : "180-8", "title" : "Modelling the cost-effectiveness of alcohol screening and brief interventions in primary care in England.", "type" : "article-journal", "volume" : "48" }, "uris" : [ "http://www.mendeley.com/documents/?uuid=76ddf8db-0411-4a82-a25f-1bcdb3aa999a" ] }, { "id" : "ITEM-3", "itemData" : { "DOI" : "10.1186/1471-2296-15-26", "ISSN" : "1471-2296", "PMID" : "24502342", "abstract" : "BACKGROUND: As alcohol-related health problems continue to rise, the attention of policy-makers is increasingly turning to Screening and Brief Intervention (SBI) programmes. The effectiveness of such programmes in primary healthcare is well evidenced, but very few cost-effectiveness analyses have been conducted and none which specifically consider the Italian context. METHODS: The Sheffield Alcohol Policy Model has been used to model the cost-effectiveness of government pricing and public health policies in several countries including England. This study adapts the model using Italian data to evaluate a programme of screening and brief interventions in Italy. Results are reported as Incremental Cost-Effectiveness Ratios (ICERs) of SBI programmes versus a 'do-nothing' scenario. RESULTS: Model results show such programmes to be highly cost-effective, with estimated ICERs of \u20ac550/Quality Adjusted Life Year (QALY) gained for a programme of SBI at next GP registration and \u20ac590/QALY for SBI at next GP consultation. A range of sensitivity analyses suggest these results are robust under all but the most pessimistic assumptions. CONCLUSIONS: This study provides strong support for the promotion of a policy of screening and brief interventions throughout Italy, although policy makers should be aware of the resource implications of different implementation options.", "author" : [ { "dropping-particle" : "", "family" : "Angus", "given" : "Colin", "non-dropping-particle" : "", "parse-names" : false, "suffix" : "" }, { "dropping-particle" : "", "family" : "Scafato", "given" : "Emanuele", "non-dropping-particle" : "", "parse-names" : false, "suffix" : "" }, { "dropping-particle" : "", "family" : "Ghirini", "given" : "Silvia", "non-dropping-particle" : "", "parse-names" : false, "suffix" : "" }, { "dropping-particle" : "", "family" : "Torbica", "given" : "Aleksandra", "non-dropping-particle" : "", "parse-names" : false, "suffix" : "" }, { "dropping-particle" : "", "family" : "Ferre", "given" : "Francesca", "non-dropping-particle" : "", "parse-names" : false, "suffix" : "" }, { "dropping-particle" : "", "family" : "Struzzo", "given" : "Pierluigi", "non-dropping-particle" : "", "parse-names" : false, "suffix" : "" }, { "dropping-particle" : "", "family" : "Purshouse", "given" : "Robin", "non-dropping-particle" : "", "parse-names" : false, "suffix" : "" }, { "dropping-particle" : "", "family" : "Brennan", "given" : "Alan", "non-dropping-particle" : "", "parse-names" : false, "suffix" : "" } ], "container-title" : "BMC family practice", "id" : "ITEM-3", "issue" : "1", "issued" : { "date-parts" : [ [ "2014", "1" ] ] }, "page" : "26", "title" : "Cost-effectiveness of a programme of screening and brief interventions for alcohol in primary care in Italy.", "type" : "article-journal", "volume" : "15" }, "uris" : [ "http://www.mendeley.com/documents/?uuid=c13441db-abe4-44f7-8cab-1e7d2efff0e2" ] }, { "id" : "ITEM-4", "itemData" : { "author" : [ { "dropping-particle" : "", "family" : "Angus", "given" : "C", "non-dropping-particle" : "", "parse-names" : false, "suffix" : "" }, { "dropping-particle" : "", "family" : "Scafato", "given" : "E", "non-dropping-particle" : "", "parse-names" : false, "suffix" : "" }, { "dropping-particle" : "", "family" : "Ghirini", "given" : "S", "non-dropping-particle" : "", "parse-names" : false, "suffix" : "" }, { "dropping-particle" : "", "family" : "Torbica", "given" : "A", "non-dropping-particle" : "", "parse-names" : false, "suffix" : "" }, { "dropping-particle" : "", "family" : "Ferre", "given" : "F", "non-dropping-particle" : "", "parse-names" : false, "suffix" : "" }, { "dropping-particle" : "", "family" : "Struzzo", "given" : "P", "non-dropping-particle" : "", "parse-names" : false, "suffix" : "" }, { "dropping-particle" : "", "family" : "Keurhorst", "given" : "M", "non-dropping-particle" : "", "parse-names" : false, "suffix" : "" }, { "dropping-particle" : "", "family" : "Laurant", "given" : "M", "non-dropping-particle" : "", "parse-names" : false, "suffix" : "" }, { "dropping-particle" : "", "family" : "S\u0142odownik", "given" : "L", "non-dropping-particle" : "", "parse-names" : false, "suffix" : "" }, { "dropping-particle" : "", "family" : "Okulicz-Kozaryn", "given" : "", "non-dropping-particle" : "", "parse-names" : false, "suffix" : "" }, { "dropping-particle" : "", "family" : "Brz\u00f3zka", "given" : "K", "non-dropping-particle" : "", "parse-names" : false, "suffix" : "" }, { "dropping-particle" : "", "family" : "Brennan", "given" : "A", "non-dropping-particle" : "", "parse-names" : false, "suffix" : "" } ], "id" : "ITEM-4", "issued" : { "date-parts" : [ [ "2013" ] ] }, "publisher-place" : "Sheffield", "title" : "Optimizing delivery of health care interventions (ODHIN): Cost-effectiveness - model report", "type" : "report" }, "uris" : [ "http://www.mendeley.com/documents/?uuid=de6cf69c-e250-4385-ad79-bc3159c3b95b" ] } ], "mendeley" : { "formattedCitation" : "(16,17,19,24)", "plainTextFormattedCitation" : "(16,17,19,24)", "previouslyFormattedCitation" : "(16,17,19,24)" }, "properties" : { "noteIndex" : 0 }, "schema" : "https://github.com/citation-style-language/schema/raw/master/csl-citation.json" }</w:instrText>
      </w:r>
      <w:r w:rsidR="00730DEA">
        <w:fldChar w:fldCharType="separate"/>
      </w:r>
      <w:r w:rsidR="00DF1F21" w:rsidRPr="00DF1F21">
        <w:rPr>
          <w:noProof/>
        </w:rPr>
        <w:t>(16,17,19,24)</w:t>
      </w:r>
      <w:r w:rsidR="00730DEA">
        <w:fldChar w:fldCharType="end"/>
      </w:r>
      <w:r w:rsidR="003D7312">
        <w:t>, for example we do not model individuals who do not engage with primary care services, or explicitly model</w:t>
      </w:r>
      <w:r w:rsidR="004B3936">
        <w:t xml:space="preserve"> individual</w:t>
      </w:r>
      <w:r w:rsidR="003D7312">
        <w:t xml:space="preserve"> trajectories of alcohol consumption across the life course</w:t>
      </w:r>
      <w:r>
        <w:t xml:space="preserve">. There are also a number of assumptions relating to the trial </w:t>
      </w:r>
      <w:r w:rsidR="00A87E42">
        <w:t>data that</w:t>
      </w:r>
      <w:r>
        <w:t xml:space="preserve"> should be considered </w:t>
      </w:r>
      <w:r w:rsidR="00A87E42">
        <w:t>alongside</w:t>
      </w:r>
      <w:r>
        <w:t xml:space="preserve"> the results of this analysis. </w:t>
      </w:r>
      <w:r w:rsidR="003D7312">
        <w:t xml:space="preserve">These include </w:t>
      </w:r>
      <w:r>
        <w:t>assumption</w:t>
      </w:r>
      <w:r w:rsidR="003D7312">
        <w:t>s around the</w:t>
      </w:r>
      <w:r>
        <w:t xml:space="preserve"> ongoing effect </w:t>
      </w:r>
      <w:r w:rsidR="00DD19BA">
        <w:t xml:space="preserve">on provider behaviour </w:t>
      </w:r>
      <w:r>
        <w:t xml:space="preserve">of the </w:t>
      </w:r>
      <w:r w:rsidR="000D4137">
        <w:t>eight</w:t>
      </w:r>
      <w:r>
        <w:t xml:space="preserve"> strategies </w:t>
      </w:r>
      <w:r w:rsidR="006F4115">
        <w:t xml:space="preserve">after </w:t>
      </w:r>
      <w:r>
        <w:t xml:space="preserve">the 6-month follow-up in the trial. We have examined some of these assumptions in sensitivity analyses and it </w:t>
      </w:r>
      <w:r w:rsidR="00A87E42">
        <w:t>should</w:t>
      </w:r>
      <w:r>
        <w:t xml:space="preserve"> be noted that</w:t>
      </w:r>
      <w:r w:rsidR="00DD19BA">
        <w:t xml:space="preserve"> </w:t>
      </w:r>
      <w:r w:rsidR="006F4115">
        <w:t>other</w:t>
      </w:r>
      <w:r w:rsidR="00DD19BA">
        <w:t xml:space="preserve"> more pessimistic assumptions of long-term effects </w:t>
      </w:r>
      <w:r w:rsidR="00A87E42">
        <w:t>would</w:t>
      </w:r>
      <w:r w:rsidR="00DD19BA">
        <w:t xml:space="preserve"> lead to implementation levels somewhere between the ‘trial</w:t>
      </w:r>
      <w:r w:rsidR="00B831A2">
        <w:t>-only</w:t>
      </w:r>
      <w:r w:rsidR="00DD19BA">
        <w:t>’ and ‘full implementation’ analyses presented here. As both of these produce similar results</w:t>
      </w:r>
      <w:r w:rsidR="006F4115">
        <w:t>,</w:t>
      </w:r>
      <w:r w:rsidR="00DD19BA">
        <w:t xml:space="preserve"> it is unlikely that reduced long-term effects would alter our conclusions</w:t>
      </w:r>
      <w:r>
        <w:t>. A further consideration is that the trial did not collect data on the demographics (or alcohol consumption) of those patients who consulted with, but were not screened by</w:t>
      </w:r>
      <w:r w:rsidR="00D04DAC">
        <w:t>,</w:t>
      </w:r>
      <w:r>
        <w:t xml:space="preserve"> participating practitioners. It is therefore difficult to determine whether </w:t>
      </w:r>
      <w:r w:rsidR="00A87E42">
        <w:t xml:space="preserve">the </w:t>
      </w:r>
      <w:r>
        <w:t>increase</w:t>
      </w:r>
      <w:r w:rsidR="00A87E42">
        <w:t>d</w:t>
      </w:r>
      <w:r>
        <w:t xml:space="preserve"> </w:t>
      </w:r>
      <w:r w:rsidR="001A6F40">
        <w:t xml:space="preserve">proportion </w:t>
      </w:r>
      <w:r>
        <w:t xml:space="preserve">of patients screening positive were a consequence of practitioners screening patients from different </w:t>
      </w:r>
      <w:r w:rsidR="00694D00">
        <w:t>population</w:t>
      </w:r>
      <w:r>
        <w:t xml:space="preserve"> groups which have a higher prevalence of risky drinking behaviour, or practitioners screening the same number of patients in each </w:t>
      </w:r>
      <w:r w:rsidR="00694D00">
        <w:t>population</w:t>
      </w:r>
      <w:r>
        <w:t xml:space="preserve"> group but with more successful identification of risky drinkers within each group. We have assumed the latter, but the impact of this assumption on the model results is </w:t>
      </w:r>
      <w:r w:rsidR="00A87E42">
        <w:t>unclear,</w:t>
      </w:r>
      <w:r>
        <w:t xml:space="preserve"> as it will depend on the distribution of alcohol consumption and alcohol-related harms across the population in each country. </w:t>
      </w:r>
      <w:r w:rsidR="00B831A2">
        <w:t xml:space="preserve">We have used scenario analysis to explore key uncertainties in the model, however we have not been able to consider joint uncertainty across multiple input parameters, or attempt a full probabilistic analysis of uncertainty. Finally, </w:t>
      </w:r>
      <w:r w:rsidR="00694D00">
        <w:t xml:space="preserve">as the focus of BI delivery in Europe is generally on early identification of potentially harmful drinking we have not explicitly modelled referral of patients identified as having some form of Alcohol Use Disorder to specialist treatment. As treatment itself is highly likely to be cost-saving </w:t>
      </w:r>
      <w:r w:rsidR="00694D00">
        <w:fldChar w:fldCharType="begin" w:fldLock="1"/>
      </w:r>
      <w:r w:rsidR="00DF1F21">
        <w:instrText>ADDIN CSL_CITATION { "citationItems" : [ { "id" : "ITEM-1", "itemData" : { "DOI" : "10.1136/bmj.331.7516.544", "ISSN" : "1756-1833", "PMID" : "16150765", "abstract" : "OBJECTIVE To compare the cost effectiveness of social behaviour and network therapy, a new treatment for alcohol problems, with that of the proved motivational enhancement therapy. DESIGN Cost effectiveness analysis alongside a pragmatic randomised trial. SETTING Seven treatment sites around Birmingham, Cardiff, and Leeds. PARTICIPANTS 742 clients with alcohol problems; 617 (83.2%) were interviewed at 12 months and full economic data were obtained on 608 (98.5% of 617). Main economic measures Quality adjusted life years (QALYs), costs of trial treatments, and consequences for public sector resources (health care, other alcohol treatment, social services, and criminal justice services). RESULTS Both therapies saved about five times as much in expenditure on health, social, and criminal justice services as they cost. Neither net savings nor cost effectiveness differed significantly between the therapies, despite the average cost of social behaviour and network therapy (221 pounds sterling; 385 dollars; 320 euros) being significantly more than that of motivational enhancement therapy (129 pounds sterling). If a QALY were worth 30,000 pounds sterling, then the motivational therapy would have 58% chance of being more cost effective than the social therapy, and the social therapy would have 42% chance of being more cost effective than the motivational therapy. CONCLUSION Participants reported highly significant reductions in drinking and associated problems and costs. The novel social behaviour and network therapy did not differ significantly in cost effectiveness from the proved motivational enhancement therapy.", "author" : [ { "dropping-particle" : "", "family" : "UKATT Research Team", "given" : "UKATT Research", "non-dropping-particle" : "", "parse-names" : false, "suffix" : "" } ], "container-title" : "BMJ (Clinical research ed.)", "id" : "ITEM-1", "issue" : "7516", "issued" : { "date-parts" : [ [ "2005", "9", "10" ] ] }, "page" : "544", "publisher" : "British Medical Journal Publishing Group", "title" : "Cost effectiveness of treatment for alcohol problems: findings of the randomised UK alcohol treatment trial (UKATT).", "type" : "article-journal", "volume" : "331" }, "uris" : [ "http://www.mendeley.com/documents/?uuid=8f5a8aed-f5c8-357a-bd61-95b5f283b44e" ] }, { "id" : "ITEM-2", "itemData" : { "DOI" : "10.1177/02645505100570030908", "ISSN" : "0264-5505", "author" : [ { "dropping-particle" : "", "family" : "Fox", "given" : "Chris", "non-dropping-particle" : "", "parse-names" : false, "suffix" : "" } ], "container-title" : "Probation Journal", "id" : "ITEM-2", "issue" : "3", "issued" : { "date-parts" : [ [ "2010", "9", "24" ] ] }, "page" : "333-336", "publisher" : "SAGE PublicationsSage UK: London, England", "title" : "Final reports from the Drug Treatment Outcomes Research Study (DTORS)", "type" : "article-journal", "volume" : "57" }, "uris" : [ "http://www.mendeley.com/documents/?uuid=24d08142-ed69-3285-a0b4-98f2d63cb0a7" ] } ], "mendeley" : { "formattedCitation" : "(29,30)", "plainTextFormattedCitation" : "(29,30)", "previouslyFormattedCitation" : "(29,30)" }, "properties" : { "noteIndex" : 0 }, "schema" : "https://github.com/citation-style-language/schema/raw/master/csl-citation.json" }</w:instrText>
      </w:r>
      <w:r w:rsidR="00694D00">
        <w:fldChar w:fldCharType="separate"/>
      </w:r>
      <w:r w:rsidR="00DF1F21" w:rsidRPr="00DF1F21">
        <w:rPr>
          <w:noProof/>
        </w:rPr>
        <w:t>(29,30)</w:t>
      </w:r>
      <w:r w:rsidR="00694D00">
        <w:fldChar w:fldCharType="end"/>
      </w:r>
      <w:r w:rsidR="00694D00">
        <w:t xml:space="preserve"> this exclusion means our estimates are likely to underestimate the true cost-effectiveness of each strategy.</w:t>
      </w:r>
    </w:p>
    <w:p w14:paraId="3A94E823" w14:textId="5CABF337" w:rsidR="00BA36ED" w:rsidRDefault="00BA43E9" w:rsidP="00D04DAC">
      <w:pPr>
        <w:spacing w:line="480" w:lineRule="auto"/>
        <w:jc w:val="both"/>
      </w:pPr>
      <w:r>
        <w:t xml:space="preserve">The finding that SBI programmes themselves are cost-effective has been widely replicated in many studies across many countries (e.g. </w:t>
      </w:r>
      <w:r w:rsidR="00730DEA">
        <w:fldChar w:fldCharType="begin" w:fldLock="1"/>
      </w:r>
      <w:r w:rsidR="00DF1F21">
        <w:instrText>ADDIN CSL_CITATION { "citationItems" : [ { "id" : "ITEM-1", "itemData" : { "DOI" : "10.1111/add.13201", "ISSN" : "1360-0443", "PMID" : "26477518", "abstract" : "BACKGROUND AND AIMS: Screening and brief intervention (SBI) is a public health intervention that has been shown to be effective in reducing heavy alcohol consumption. The aim of this study is to estimate the cost-effectiveness of implementing universal alcohol SBI in primary care in Canada. DESIGN: We developed a microsimulation model of alcohol consumption and its effects on 18 alcohol-related causes of death. SETTING: The model simulates a Canadian population. PARTICIPANTS: The model simulates individuals and their alcohol consumption on a continuous scale starting from age 17 to death. INTERVENTIONS: The reference case assumes no SBI in Canada. The base case assumes screening was conducted using the Alcohol Use Disorders Identification Test (AUDIT) at a threshold score of 8. Additional analyses included evaluating SBI using the AUDIT at threshold scores between 4 and 8 or the Derived Alcohol Use Disorders Identification Test (AUDIT-C) at threshold scores between 3 and 7. MEASUREMENTS: The model estimates the direct health care costs, life years gained, and quality-adjusted life years (QALY) gained, which are then used to estimate the incremental cost effectiveness ratio (ICER) of SBI versus no SBI. FINDINGS: SBI with AUDIT (at a threshold score of 8) had an ICER of $8,729/QALY. Our results suggest that using AUDIT thresholds between 8 and 4, inclusive, would be cost-effective for the whole population, as well as for men and women individually. Our results suggest that the AUDIT-C would be cost-effective at thresholds of 7 to 3, inclusive, for men, women, and the whole population. CONCLUSIONS: In Canada, screening and brief intervention via AUDIT and AUDIT-C to reduce heavy alcohol consumption appears to be cost-effective for men and women at AUDIT thresholds of 8 and lower and at AUDIT-C thresholds of 7 and lower.", "author" : [ { "dropping-particle" : "", "family" : "Zur", "given" : "Richard M", "non-dropping-particle" : "", "parse-names" : false, "suffix" : "" }, { "dropping-particle" : "", "family" : "Zaric", "given" : "Gregory S", "non-dropping-particle" : "", "parse-names" : false, "suffix" : "" } ], "container-title" : "Addiction (Abingdon, England)", "id" : "ITEM-1", "issued" : { "date-parts" : [ [ "2015", "10", "19" ] ] }, "title" : "A Microsimulation Cost-Utility Analysis of Alcohol Screening and Brief Intervention to Reduce Heavy Alcohol Consumption in Canada.", "type" : "article-journal" }, "uris" : [ "http://www.mendeley.com/documents/?uuid=073eb57f-ae03-453f-aad9-0e4e955e1feb" ] }, { "id" : "ITEM-2", "itemData" : { "DOI" : "10.1787/9789264181069-en", "ISBN" : "9789264180857", "author" : [ { "dropping-particle" : "", "family" : "OECD", "given" : "", "non-dropping-particle" : "", "parse-names" : false, "suffix" : "" } ], "editor" : [ { "dropping-particle" : "", "family" : "Sassi", "given" : "Franco", "non-dropping-particle" : "", "parse-names" : false, "suffix" : "" } ], "id" : "ITEM-2", "issued" : { "date-parts" : [ [ "2015" ] ] }, "publisher" : "OECD Publishing", "title" : "Tackling Harmful Alcohol Use: Economics and Public Health Policy", "type" : "book" }, "uris" : [ "http://www.mendeley.com/documents/?uuid=4f6ecbaa-1a5b-406e-a6cc-1c411e397e2c" ] } ], "mendeley" : { "formattedCitation" : "(31,32)", "plainTextFormattedCitation" : "(31,32)", "previouslyFormattedCitation" : "(31,32)" }, "properties" : { "noteIndex" : 0 }, "schema" : "https://github.com/citation-style-language/schema/raw/master/csl-citation.json" }</w:instrText>
      </w:r>
      <w:r w:rsidR="00730DEA">
        <w:fldChar w:fldCharType="separate"/>
      </w:r>
      <w:r w:rsidR="00DF1F21" w:rsidRPr="00DF1F21">
        <w:rPr>
          <w:noProof/>
        </w:rPr>
        <w:t>(31,32)</w:t>
      </w:r>
      <w:r w:rsidR="00730DEA">
        <w:fldChar w:fldCharType="end"/>
      </w:r>
      <w:r>
        <w:t xml:space="preserve">), however the costs and health benefits of such programmes </w:t>
      </w:r>
      <w:r w:rsidR="00367A34">
        <w:t xml:space="preserve">between countries </w:t>
      </w:r>
      <w:r>
        <w:t xml:space="preserve">are likely to vary significantly </w:t>
      </w:r>
      <w:r w:rsidR="00730DEA">
        <w:fldChar w:fldCharType="begin" w:fldLock="1"/>
      </w:r>
      <w:r w:rsidR="00DF1F21">
        <w:instrText>ADDIN CSL_CITATION { "citationItems" : [ { "id" : "ITEM-1", "itemData" : { "author" : [ { "dropping-particle" : "", "family" : "Chisholm", "given" : "D", "non-dropping-particle" : "", "parse-names" : false, "suffix" : "" }, { "dropping-particle" : "", "family" : "Rehm", "given" : "J", "non-dropping-particle" : "", "parse-names" : false, "suffix" : "" }, { "dropping-particle" : "", "family" : "Ommeren", "given" : "M", "non-dropping-particle" : "van", "parse-names" : false, "suffix" : "" }, { "dropping-particle" : "", "family" : "Monteiro", "given" : "M", "non-dropping-particle" : "", "parse-names" : false, "suffix" : "" } ], "container-title" : "Journal of Studies on Alcohol", "id" : "ITEM-1", "issued" : { "date-parts" : [ [ "2004" ] ] }, "page" : "782-793", "title" : "Reducing the global burden of hazardous alcohol use: a comparative cost-effectiveness analysis", "type" : "article-journal", "volume" : "65" }, "uris" : [ "http://www.mendeley.com/documents/?uuid=6a2292be-0526-46d3-b723-65fed3c70dbf" ] } ], "mendeley" : { "formattedCitation" : "(33)", "plainTextFormattedCitation" : "(33)", "previouslyFormattedCitation" : "(33)" }, "properties" : { "noteIndex" : 0 }, "schema" : "https://github.com/citation-style-language/schema/raw/master/csl-citation.json" }</w:instrText>
      </w:r>
      <w:r w:rsidR="00730DEA">
        <w:fldChar w:fldCharType="separate"/>
      </w:r>
      <w:r w:rsidR="00DF1F21" w:rsidRPr="00DF1F21">
        <w:rPr>
          <w:noProof/>
        </w:rPr>
        <w:t>(33)</w:t>
      </w:r>
      <w:r w:rsidR="00730DEA">
        <w:fldChar w:fldCharType="end"/>
      </w:r>
      <w:r w:rsidR="00367A34">
        <w:t>. This is</w:t>
      </w:r>
      <w:r w:rsidR="00BA36ED">
        <w:t xml:space="preserve"> due to variation in underlying factors such as alcohol consumption, primary care usage, alcohol-related health and healthcare system costs</w:t>
      </w:r>
      <w:r w:rsidR="00367A34">
        <w:t xml:space="preserve"> as well as population</w:t>
      </w:r>
      <w:r w:rsidR="00BA36ED">
        <w:t xml:space="preserve"> </w:t>
      </w:r>
      <w:r w:rsidR="00730DEA">
        <w:fldChar w:fldCharType="begin" w:fldLock="1"/>
      </w:r>
      <w:r w:rsidR="003778C8">
        <w:instrText>ADDIN CSL_CITATION { "citationItems" : [ { "id" : "ITEM-1", "itemData" : { "author" : [ { "dropping-particle" : "", "family" : "Angus", "given" : "Colin", "non-dropping-particle" : "", "parse-names" : false, "suffix" : "" }, { "dropping-particle" : "", "family" : "Thomas", "given" : "Chloe", "non-dropping-particle" : "", "parse-names" : false, "suffix" : "" }, { "dropping-particle" : "", "family" : "Anderson", "given" : "Peter", "non-dropping-particle" : "", "parse-names" : false, "suffix" : "" }, { "dropping-particle" : "", "family" : "Meier", "given" : "Petra S.", "non-dropping-particle" : "", "parse-names" : false, "suffix" : "" }, { "dropping-particle" : "", "family" : "Brennan", "given" : "Alan", "non-dropping-particle" : "", "parse-names" : false, "suffix" : "" } ], "container-title" : "European journal of public health", "id" : "ITEM-1", "issued" : { "date-parts" : [ [ "2016" ] ] }, "title" : "Estimating the cost-effectiveness of brief interventions for heavy drinking in primary health care across Europe", "type" : "article-journal" }, "uris" : [ "http://www.mendeley.com/documents/?uuid=1fb7121d-5e8a-43e8-9a1f-ca7e03c48ca5" ] } ], "mendeley" : { "formattedCitation" : "(7)", "plainTextFormattedCitation" : "(7)", "previouslyFormattedCitation" : "(7)" }, "properties" : { "noteIndex" : 0 }, "schema" : "https://github.com/citation-style-language/schema/raw/master/csl-citation.json" }</w:instrText>
      </w:r>
      <w:r w:rsidR="00730DEA">
        <w:fldChar w:fldCharType="separate"/>
      </w:r>
      <w:r w:rsidR="00523420" w:rsidRPr="00523420">
        <w:rPr>
          <w:noProof/>
        </w:rPr>
        <w:t>(7)</w:t>
      </w:r>
      <w:r w:rsidR="00730DEA">
        <w:fldChar w:fldCharType="end"/>
      </w:r>
      <w:r>
        <w:t xml:space="preserve">. It is therefore perhaps unsurprising that the findings of this study suggest considerably variation </w:t>
      </w:r>
      <w:r w:rsidR="00BA36ED">
        <w:t xml:space="preserve">in both costs and benefits of each strategy between countries, particularly since the trial results </w:t>
      </w:r>
      <w:r w:rsidR="006C0452">
        <w:t xml:space="preserve">have </w:t>
      </w:r>
      <w:r w:rsidR="00BA36ED">
        <w:t>show</w:t>
      </w:r>
      <w:r w:rsidR="006C0452">
        <w:t>n</w:t>
      </w:r>
      <w:r w:rsidR="00BA36ED">
        <w:t xml:space="preserve"> there is additional variation between countries in terms of current screening. In spite of this heterogeneity</w:t>
      </w:r>
      <w:r w:rsidR="000D4137">
        <w:t>,</w:t>
      </w:r>
      <w:r w:rsidR="00BA36ED">
        <w:t xml:space="preserve"> </w:t>
      </w:r>
      <w:r w:rsidR="00A87E42">
        <w:t>several</w:t>
      </w:r>
      <w:r w:rsidR="00BA36ED">
        <w:t xml:space="preserve"> clear patterns in the </w:t>
      </w:r>
      <w:r w:rsidR="00A87E42">
        <w:t>results that</w:t>
      </w:r>
      <w:r w:rsidR="00BA36ED">
        <w:t xml:space="preserve"> suggest some findings from this study may be generalizable to other countries with </w:t>
      </w:r>
      <w:r w:rsidR="00A87E42">
        <w:t xml:space="preserve">different healthcare systems and </w:t>
      </w:r>
      <w:r w:rsidR="00BA36ED">
        <w:t>drinking</w:t>
      </w:r>
      <w:r w:rsidR="00394DDD">
        <w:t xml:space="preserve"> cultures</w:t>
      </w:r>
      <w:r w:rsidR="00BA36ED">
        <w:t>. Across all countries</w:t>
      </w:r>
      <w:r w:rsidR="000D4137">
        <w:t>,</w:t>
      </w:r>
      <w:r w:rsidR="00BA36ED">
        <w:t xml:space="preserve"> TS is a relatively low-cost but effective policy option, while the addition of FR roughly doubles the health benefits at substantial additional cost.</w:t>
      </w:r>
      <w:r w:rsidR="00B831A2">
        <w:t xml:space="preserve"> Across all countries, in spite of the relatively low cost of implementation and delivery of eBI programmes, these were consistently found to be less cost-effective than other strategies, perhaps related to a lack of familiarity or trust among practitioners of its efficacy </w:t>
      </w:r>
      <w:r w:rsidR="00B831A2">
        <w:fldChar w:fldCharType="begin" w:fldLock="1"/>
      </w:r>
      <w:r w:rsidR="00DF1F21">
        <w:instrText>ADDIN CSL_CITATION { "citationItems" : [ { "id" : "ITEM-1", "itemData" : { "DOI" : "10.1111/add.13476", "ISSN" : "09652140", "author" : [ { "dropping-particle" : "", "family" : "Anderson", "given" : "Peter", "non-dropping-particle" : "", "parse-names" : false, "suffix" : "" }, { "dropping-particle" : "", "family" : "Bendtsen", "given" : "Preben", "non-dropping-particle" : "", "parse-names" : false, "suffix" : "" }, { "dropping-particle" : "", "family" : "Spak", "given" : "Fredrik", "non-dropping-particle" : "", "parse-names" : false, "suffix" : "" }, { "dropping-particle" : "", "family" : "Reynolds", "given" : "Jillian", "non-dropping-particle" : "", "parse-names" : false, "suffix" : "" }, { "dropping-particle" : "", "family" : "Drummond", "given" : "Colin", "non-dropping-particle" : "", "parse-names" : false, "suffix" : "" }, { "dropping-particle" : "", "family" : "Segura", "given" : "Lidia", "non-dropping-particle" : "", "parse-names" : false, "suffix" : "" }, { "dropping-particle" : "", "family" : "Keurhorst", "given" : "Myrna N.", "non-dropping-particle" : "", "parse-names" : false, "suffix" : "" }, { "dropping-particle" : "", "family" : "Palacio-Vieira", "given" : "Jorge", "non-dropping-particle" : "", "parse-names" : false, "suffix" : "" }, { "dropping-particle" : "", "family" : "Wojnar", "given" : "Marcin", "non-dropping-particle" : "", "parse-names" : false, "suffix" : "" }, { "dropping-particle" : "", "family" : "Parkinson", "given" : "Kathryn", "non-dropping-particle" : "", "parse-names" : false, "suffix" : "" }, { "dropping-particle" : "", "family" : "Colom", "given" : "Joan", "non-dropping-particle" : "", "parse-names" : false, "suffix" : "" }, { "dropping-particle" : "", "family" : "K\u0142oda", "given" : "Karolina", "non-dropping-particle" : "", "parse-names" : false, "suffix" : "" }, { "dropping-particle" : "", "family" : "Deluca", "given" : "Paolo", "non-dropping-particle" : "", "parse-names" : false, "suffix" : "" }, { "dropping-particle" : "", "family" : "Baena", "given" : "Bego\u00f1a", "non-dropping-particle" : "", "parse-names" : false, "suffix" : "" }, { "dropping-particle" : "", "family" : "Newbury-Birch", "given" : "Dorothy", "non-dropping-particle" : "", "parse-names" : false, "suffix" : "" }, { "dropping-particle" : "", "family" : "Wallace", "given" : "Paul", "non-dropping-particle" : "", "parse-names" : false, "suffix" : "" }, { "dropping-particle" : "", "family" : "Heinen", "given" : "Maud", "non-dropping-particle" : "", "parse-names" : false, "suffix" : "" }, { "dropping-particle" : "", "family" : "Wolstenholme", "given" : "Amy", "non-dropping-particle" : "", "parse-names" : false, "suffix" : "" }, { "dropping-particle" : "", "family" : "VanSteenkiste", "given" : "Ben", "non-dropping-particle" : "", "parse-names" : false, "suffix" : "" }, { "dropping-particle" : "", "family" : "Mierzecki", "given" : "Artur", "non-dropping-particle" : "", "parse-names" : false, "suffix" : "" }, { "dropping-particle" : "", "family" : "Kozaryn", "given" : "Katarzyna Okulicz-", "non-dropping-particle" : "", "parse-names" : false, "suffix" : "" }, { "dropping-particle" : "", "family" : "Ronda", "given" : "Gaby", "non-dropping-particle" : "", "parse-names" : false, "suffix" : "" }, { "dropping-particle" : "", "family" : "Kaner", "given" : "Eileen", "non-dropping-particle" : "", "parse-names" : false, "suffix" : "" }, { "dropping-particle" : "", "family" : "Laurant", "given" : "Miranda G.H. H.", "non-dropping-particle" : "", "parse-names" : false, "suffix" : "" }, { "dropping-particle" : "", "family" : "Coulton", "given" : "Simon", "non-dropping-particle" : "", "parse-names" : false, "suffix" : "" }, { "dropping-particle" : "", "family" : "Gual", "given" : "Toni", "non-dropping-particle" : "", "parse-names" : false, "suffix" : "" }, { "dropping-particle" : "", "family" : "Steenkiste", "given" : "Ben", "non-dropping-particle" : "van", "parse-names" : false, "suffix" : "" }, { "dropping-particle" : "", "family" : "Mierzecki", "given" : "Artur", "non-dropping-particle" : "", "parse-names" : false, "suffix" : "" }, { "dropping-particle" : "", "family" : "Okulicz-Kozaryn", "given" : "Katarzyna", "non-dropping-particle" : "", "parse-names" : false, "suffix" : "" }, { "dropping-particle" : "", "family" : "Ronda", "given" : "Gaby", "non-dropping-particle" : "", "parse-names" : false, "suffix" : "" }, { "dropping-particle" : "", "family" : "Kaner", "given" : "Eileen", "non-dropping-particle" : "", "parse-names" : false, "suffix" : "" }, { "dropping-particle" : "", "family" : "Laurant", "given" : "Miranda G.H. H.", "non-dropping-particle" : "", "parse-names" : false, "suffix" : "" }, { "dropping-particle" : "", "family" : "Coulton", "given" : "Simon", "non-dropping-particle" : "", "parse-names" : false, "suffix" : "" }, { "dropping-particle" : "", "family" : "Gual", "given" : "Toni", "non-dropping-particle" : "", "parse-names" : false, "suffix" : "" } ], "container-title" : "Addiction", "id" : "ITEM-1", "issued" : { "date-parts" : [ [ "2016" ] ] }, "title" : "Improving the delivery of brief interventions for heavy drinking in primary health care: outcome results of the ODHIN five country cluster randomized factorial trial", "type" : "article-journal" }, "uris" : [ "http://www.mendeley.com/documents/?uuid=8dce1acd-c0ec-4856-b270-eb9b73576544" ] }, { "id" : "ITEM-2", "itemData" : { "DOI" : "10.1136/bmjopen-2015-010271", "ISSN" : "2044-6055", "PMID" : "27311902", "abstract" : "OBJECTIVES The objective of the present study was to explore whether the possibility of offering facilitated access to an alcohol electronic brief intervention (eBI) instead of delivering brief face-to-face advice increased the proportion of consulting adults who were screened and given brief advice. DESIGN The study was a 12-week implementation study. Sixty primary healthcare units (PHCUs) in 5 jurisdictions (Catalonia, England, the Netherlands, Poland and Sweden) were asked to screen adults who attended the PHCU for risky drinking. SETTING A total of 120 primary healthcare centres from 5 jurisdictions in Europe. PARTICIPANTS 746 individual providers (general practitioners, nurses or other professionals) participated in the study. PRIMARY OUTCOME Change in the proportion of patients screened and referred to eBI comparing a baseline 4-week preimplementation period with a 12-week implementation period. RESULTS The possibility of referring patients to the eBI was not found to be associated with any increase in the proportion of patients screened. However, it was associated with an increase in the proportion of screen-positive patients receiving brief advice from 70% to 80% for the screen-positive sample as a whole (p&lt;0.05), mainly driven by a significant increase in brief intervention rates in England from 87% to 96% (p&lt;0.01). The study indicated that staff displayed a low level of engagement in this new technology. Staff continued to offer face-to-face advice to a larger proportion of patients (54%) than referral to eBI (38%). In addition, low engagement was seen among the referred patients; on average, 18% of the patients logged on to the website with a mean log-on rate across the different countries between 0.58% and 36.95%. CONCLUSIONS Referral to eBI takes nearly as much time as brief oral advice and might require more introduction and training before staff are comfortable with referring to eBI. TRIAL REGISTRATION NUMBER NCT01501552; Post-results.", "author" : [ { "dropping-particle" : "", "family" : "Bendtsen", "given" : "Preben", "non-dropping-particle" : "", "parse-names" : false, "suffix" : "" }, { "dropping-particle" : "", "family" : "M\u00fcssener", "given" : "Ulrika", "non-dropping-particle" : "", "parse-names" : false, "suffix" : "" }, { "dropping-particle" : "", "family" : "Karlsson", "given" : "Nadine", "non-dropping-particle" : "", "parse-names" : false, "suffix" : "" }, { "dropping-particle" : "", "family" : "L\u00f3pez-Pelayo", "given" : "Hugo", "non-dropping-particle" : "", "parse-names" : false, "suffix" : "" }, { "dropping-particle" : "", "family" : "Palacio-Vieira", "given" : "Jorge", "non-dropping-particle" : "", "parse-names" : false, "suffix" : "" }, { "dropping-particle" : "", "family" : "Colom", "given" : "Joan", "non-dropping-particle" : "", "parse-names" : false, "suffix" : "" }, { "dropping-particle" : "", "family" : "Gual", "given" : "Antoni", "non-dropping-particle" : "", "parse-names" : false, "suffix" : "" }, { "dropping-particle" : "", "family" : "Reynolds", "given" : "Jillian", "non-dropping-particle" : "", "parse-names" : false, "suffix" : "" }, { "dropping-particle" : "", "family" : "Wallace", "given" : "Paul", "non-dropping-particle" : "", "parse-names" : false, "suffix" : "" }, { "dropping-particle" : "", "family" : "Segura", "given" : "Lidia", "non-dropping-particle" : "", "parse-names" : false, "suffix" : "" }, { "dropping-particle" : "", "family" : "Anderson", "given" : "Peter", "non-dropping-particle" : "", "parse-names" : false, "suffix" : "" } ], "container-title" : "BMJ open", "id" : "ITEM-2", "issue" : "6", "issued" : { "date-parts" : [ [ "2016", "6", "16" ] ] }, "page" : "e010271", "publisher" : "British Medical Journal Publishing Group", "title" : "Implementing referral to an electronic alcohol brief advice website in primary healthcare: results from the ODHIN implementation trial.", "type" : "article-journal", "volume" : "6" }, "uris" : [ "http://www.mendeley.com/documents/?uuid=6a919a00-3355-36d7-8bb1-8b6b627922b8" ] } ], "mendeley" : { "formattedCitation" : "(12,34)", "plainTextFormattedCitation" : "(12,34)", "previouslyFormattedCitation" : "(12,34)" }, "properties" : { "noteIndex" : 0 }, "schema" : "https://github.com/citation-style-language/schema/raw/master/csl-citation.json" }</w:instrText>
      </w:r>
      <w:r w:rsidR="00B831A2">
        <w:fldChar w:fldCharType="separate"/>
      </w:r>
      <w:r w:rsidR="00DF1F21" w:rsidRPr="00DF1F21">
        <w:rPr>
          <w:noProof/>
        </w:rPr>
        <w:t>(12,34)</w:t>
      </w:r>
      <w:r w:rsidR="00B831A2">
        <w:fldChar w:fldCharType="end"/>
      </w:r>
      <w:r w:rsidR="00B831A2">
        <w:t>.</w:t>
      </w:r>
    </w:p>
    <w:p w14:paraId="7D9A51B7" w14:textId="18442624" w:rsidR="00BA36ED" w:rsidRPr="00394DDD" w:rsidRDefault="00394DDD" w:rsidP="00D04DAC">
      <w:pPr>
        <w:spacing w:line="480" w:lineRule="auto"/>
        <w:jc w:val="both"/>
      </w:pPr>
      <w:r w:rsidRPr="00394DDD">
        <w:t>Whilst</w:t>
      </w:r>
      <w:r>
        <w:t xml:space="preserve"> these results provide strong support for training programmes and the introduction of financial incentives, further research should address the questions of how to design training and support programmes and financial incentive structures to achieve maximum engagement with practitioners. </w:t>
      </w:r>
      <w:r w:rsidR="00984C07">
        <w:t xml:space="preserve">One possibility, which could also potentially reduce training costs in the longer term, may be to embed </w:t>
      </w:r>
      <w:r w:rsidR="00561A03">
        <w:t xml:space="preserve">an </w:t>
      </w:r>
      <w:r w:rsidR="00984C07">
        <w:t xml:space="preserve">SBI </w:t>
      </w:r>
      <w:r w:rsidR="00561A03">
        <w:t>component</w:t>
      </w:r>
      <w:r w:rsidR="00984C07">
        <w:t xml:space="preserve"> </w:t>
      </w:r>
      <w:r w:rsidR="00561A03">
        <w:t>into</w:t>
      </w:r>
      <w:r w:rsidR="00984C07">
        <w:t xml:space="preserve"> routine training for primary care practitioners. </w:t>
      </w:r>
      <w:r>
        <w:t xml:space="preserve">Consideration for </w:t>
      </w:r>
      <w:r w:rsidR="00A87E42">
        <w:t>variation in</w:t>
      </w:r>
      <w:r>
        <w:t xml:space="preserve"> provider respon</w:t>
      </w:r>
      <w:r w:rsidR="00A87E42">
        <w:t>se</w:t>
      </w:r>
      <w:r>
        <w:t xml:space="preserve"> to different </w:t>
      </w:r>
      <w:r w:rsidR="00A87E42">
        <w:t>strategies</w:t>
      </w:r>
      <w:r>
        <w:t xml:space="preserve">, e.g. </w:t>
      </w:r>
      <w:r w:rsidR="00A87E42">
        <w:t xml:space="preserve">if </w:t>
      </w:r>
      <w:r>
        <w:t xml:space="preserve">training is more effective at encouraging practitioners who have not previously been delivering SBIs to start, or whether the effect is achieved through increasing delivery </w:t>
      </w:r>
      <w:r w:rsidR="001A6F40">
        <w:t xml:space="preserve">levels </w:t>
      </w:r>
      <w:r w:rsidR="00A87E42">
        <w:t xml:space="preserve">among practitioners </w:t>
      </w:r>
      <w:r>
        <w:t xml:space="preserve">who were already active, would also help in designing more effective, tailored approaches to increasing the delivery of Brief Interventions. Finally, relatively little is understood about the ways in which different subgroups of the population may respond to Brief Interventions and whether, as a result, greater effects on population health can be achieved through targeting </w:t>
      </w:r>
      <w:r w:rsidR="00C5469F">
        <w:t xml:space="preserve">interventions at </w:t>
      </w:r>
      <w:r>
        <w:t xml:space="preserve">certain </w:t>
      </w:r>
      <w:r w:rsidR="00561A03">
        <w:t>patient</w:t>
      </w:r>
      <w:r>
        <w:t xml:space="preserve"> groups.</w:t>
      </w:r>
    </w:p>
    <w:p w14:paraId="2267E296" w14:textId="1D8BF396" w:rsidR="00D04DAC" w:rsidRDefault="000B224F" w:rsidP="00D04DAC">
      <w:pPr>
        <w:spacing w:line="480" w:lineRule="auto"/>
        <w:jc w:val="both"/>
      </w:pPr>
      <w:r>
        <w:t>The findings of this study show that providing primary care providers with tailored training and support</w:t>
      </w:r>
      <w:r w:rsidR="00DB3391">
        <w:t>, financial incentives and the option to refer patients to an online intervention, either alone or in</w:t>
      </w:r>
      <w:r w:rsidR="00C5469F">
        <w:t xml:space="preserve"> combination, are likely to be</w:t>
      </w:r>
      <w:r w:rsidR="00DB3391">
        <w:t xml:space="preserve"> cost-effective option</w:t>
      </w:r>
      <w:r w:rsidR="00C5469F">
        <w:t>s</w:t>
      </w:r>
      <w:r w:rsidR="00DB3391">
        <w:t xml:space="preserve"> compared to providing no support or incentives to practitioners. </w:t>
      </w:r>
      <w:r w:rsidR="001B085C">
        <w:t xml:space="preserve">Policy makers may, however, be mindful of the potential ethical issues associated with offering financial incentives to healthcare practitioners </w:t>
      </w:r>
      <w:r w:rsidR="001B085C">
        <w:fldChar w:fldCharType="begin" w:fldLock="1"/>
      </w:r>
      <w:r w:rsidR="00DF1F21">
        <w:instrText>ADDIN CSL_CITATION { "citationItems" : [ { "id" : "ITEM-1", "itemData" : { "DOI" : "10.3399/bjgp12X630151", "ISSN" : "1478-5242", "PMID" : "22429440", "author" : [ { "dropping-particle" : "", "family" : "Kramer", "given" : "Graham", "non-dropping-particle" : "", "parse-names" : false, "suffix" : "" } ], "container-title" : "The British journal of general practice : the journal of the Royal College of General Practitioners", "id" : "ITEM-1", "issue" : "596", "issued" : { "date-parts" : [ [ "2012", "3" ] ] }, "page" : "e217-9", "publisher" : "Royal College of General Practitioners", "title" : "Payment for performance and the QOF: are we doing the right thing?", "type" : "article-journal", "volume" : "62" }, "uris" : [ "http://www.mendeley.com/documents/?uuid=9ca52d0e-5e52-3daa-807b-6605eee0a016" ] }, { "id" : "ITEM-2", "itemData" : { "author" : [ { "dropping-particle" : "", "family" : "Gravelle", "given" : "H.", "non-dropping-particle" : "", "parse-names" : false, "suffix" : "" }, { "dropping-particle" : "", "family" : "Sutton", "given" : "M.", "non-dropping-particle" : "", "parse-names" : false, "suffix" : "" }, { "dropping-particle" : "", "family" : "Ma", "given" : "A.", "non-dropping-particle" : "", "parse-names" : false, "suffix" : "" } ], "id" : "ITEM-2", "issued" : { "date-parts" : [ [ "2008" ] ] }, "number" : "034", "title" : "Doctor behaviour under a pay for performance contract: Further evidence from the Qaulity and Outcomes Framework", "type" : "report" }, "uris" : [ "http://www.mendeley.com/documents/?uuid=a8bc762c-c2d3-4ab4-bd05-22463e9985a1" ] } ], "mendeley" : { "formattedCitation" : "(35,36)", "plainTextFormattedCitation" : "(35,36)", "previouslyFormattedCitation" : "(35,36)" }, "properties" : { "noteIndex" : 0 }, "schema" : "https://github.com/citation-style-language/schema/raw/master/csl-citation.json" }</w:instrText>
      </w:r>
      <w:r w:rsidR="001B085C">
        <w:fldChar w:fldCharType="separate"/>
      </w:r>
      <w:r w:rsidR="00DF1F21" w:rsidRPr="00DF1F21">
        <w:rPr>
          <w:noProof/>
        </w:rPr>
        <w:t>(35,36)</w:t>
      </w:r>
      <w:r w:rsidR="001B085C">
        <w:fldChar w:fldCharType="end"/>
      </w:r>
      <w:r w:rsidR="001B085C">
        <w:t xml:space="preserve">. </w:t>
      </w:r>
      <w:r w:rsidR="00DB3391">
        <w:t>Training and support and financial incentives together may offer the most cost-effective strategy for increasing delivery</w:t>
      </w:r>
      <w:r>
        <w:t xml:space="preserve"> of Screening and Brief Interventions and </w:t>
      </w:r>
      <w:r w:rsidR="00394DDD">
        <w:t>so</w:t>
      </w:r>
      <w:r>
        <w:t xml:space="preserve"> reducing alcohol-related harm and associated cost</w:t>
      </w:r>
      <w:r w:rsidR="00394DDD">
        <w:t>s</w:t>
      </w:r>
      <w:r>
        <w:t xml:space="preserve"> to society</w:t>
      </w:r>
      <w:r w:rsidR="00DB3391">
        <w:t xml:space="preserve">, although this finding is sensitive to both the characteristics of the country and also assumptions around the long-term effects of BIs. </w:t>
      </w:r>
      <w:r>
        <w:t xml:space="preserve"> </w:t>
      </w:r>
    </w:p>
    <w:p w14:paraId="447E4844" w14:textId="77777777" w:rsidR="00D04DAC" w:rsidRPr="00D04DAC" w:rsidRDefault="00D04DAC" w:rsidP="00D04DAC">
      <w:pPr>
        <w:pStyle w:val="Heading2"/>
        <w:rPr>
          <w:lang w:val="en-US"/>
        </w:rPr>
      </w:pPr>
      <w:r w:rsidRPr="00D04DAC">
        <w:rPr>
          <w:lang w:val="en-US"/>
        </w:rPr>
        <w:t xml:space="preserve">Conflict of Interest </w:t>
      </w:r>
    </w:p>
    <w:p w14:paraId="066C6BCA" w14:textId="43596046" w:rsidR="00D04DAC" w:rsidRDefault="00D04DAC" w:rsidP="005A0C60">
      <w:pPr>
        <w:spacing w:line="480" w:lineRule="auto"/>
      </w:pPr>
      <w:r>
        <w:rPr>
          <w:lang w:val="en-US"/>
        </w:rPr>
        <w:t>CA has received funding related to commissioned research from Systembolaget</w:t>
      </w:r>
      <w:r w:rsidR="005A0C60">
        <w:rPr>
          <w:lang w:val="en-US"/>
        </w:rPr>
        <w:t xml:space="preserve"> and Alko</w:t>
      </w:r>
      <w:r>
        <w:rPr>
          <w:lang w:val="en-US"/>
        </w:rPr>
        <w:t xml:space="preserve">, the Swedish </w:t>
      </w:r>
      <w:r w:rsidR="005A0C60">
        <w:rPr>
          <w:lang w:val="en-US"/>
        </w:rPr>
        <w:t xml:space="preserve">and Finnish </w:t>
      </w:r>
      <w:r>
        <w:rPr>
          <w:lang w:val="en-US"/>
        </w:rPr>
        <w:t>government-owned alcohol retail monopol</w:t>
      </w:r>
      <w:r w:rsidR="005A0C60">
        <w:rPr>
          <w:lang w:val="en-US"/>
        </w:rPr>
        <w:t>ies</w:t>
      </w:r>
      <w:r>
        <w:rPr>
          <w:lang w:val="en-US"/>
        </w:rPr>
        <w:t xml:space="preserve">. </w:t>
      </w:r>
      <w:r w:rsidRPr="00C436EA">
        <w:t xml:space="preserve">PA </w:t>
      </w:r>
      <w:r>
        <w:t xml:space="preserve">has </w:t>
      </w:r>
      <w:r w:rsidRPr="00C436EA">
        <w:t xml:space="preserve">received </w:t>
      </w:r>
      <w:r>
        <w:t xml:space="preserve">fees from </w:t>
      </w:r>
      <w:r w:rsidRPr="00C436EA">
        <w:t xml:space="preserve">AB </w:t>
      </w:r>
      <w:r>
        <w:t>InBev</w:t>
      </w:r>
      <w:r w:rsidRPr="00C436EA">
        <w:t xml:space="preserve"> </w:t>
      </w:r>
      <w:r>
        <w:t xml:space="preserve">for public health comment on its goals to reduce the harmful use of alcohol, outside the submitted </w:t>
      </w:r>
      <w:r w:rsidRPr="001A6F40">
        <w:t>work. JL, ER, SP and AB have no interests to declare.</w:t>
      </w:r>
    </w:p>
    <w:p w14:paraId="53C8BE1B" w14:textId="77777777" w:rsidR="00D04DAC" w:rsidRDefault="00D04DAC" w:rsidP="00D04DAC">
      <w:pPr>
        <w:pStyle w:val="Heading2"/>
      </w:pPr>
      <w:r>
        <w:t>Funding</w:t>
      </w:r>
    </w:p>
    <w:p w14:paraId="144E6653" w14:textId="76F1B8B7" w:rsidR="002E35F5" w:rsidRDefault="002E35F5" w:rsidP="002E35F5">
      <w:pPr>
        <w:spacing w:line="480" w:lineRule="auto"/>
      </w:pPr>
      <w:r>
        <w:rPr>
          <w:lang w:val="en-US"/>
        </w:rPr>
        <w:t xml:space="preserve">This work was supported by </w:t>
      </w:r>
      <w:r w:rsidRPr="00D87B1E">
        <w:t xml:space="preserve">European Union’s Seventh Framework Program for research, technological development and demonstration </w:t>
      </w:r>
      <w:r>
        <w:t>[</w:t>
      </w:r>
      <w:r w:rsidRPr="00D87B1E">
        <w:t>grant agreement no. 259268</w:t>
      </w:r>
      <w:r>
        <w:t>].</w:t>
      </w:r>
      <w:r w:rsidRPr="005272C3">
        <w:t xml:space="preserve"> </w:t>
      </w:r>
      <w:r w:rsidRPr="00D87B1E">
        <w:t>The views expressed here reflect only the authors’ and the European Union is not liable for any use that may be made of the information contained therein.</w:t>
      </w:r>
    </w:p>
    <w:p w14:paraId="32484762" w14:textId="2E3B000A" w:rsidR="002E35F5" w:rsidRDefault="002E35F5" w:rsidP="00C5469F">
      <w:pPr>
        <w:pStyle w:val="Heading2"/>
        <w:spacing w:line="480" w:lineRule="auto"/>
        <w:rPr>
          <w:lang w:val="en-US"/>
        </w:rPr>
      </w:pPr>
      <w:r>
        <w:rPr>
          <w:lang w:val="en-US"/>
        </w:rPr>
        <w:t>Key Points</w:t>
      </w:r>
    </w:p>
    <w:p w14:paraId="287D44DF" w14:textId="28F24593" w:rsidR="002E35F5" w:rsidRDefault="00C5469F" w:rsidP="00C5469F">
      <w:pPr>
        <w:pStyle w:val="ListParagraph"/>
        <w:numPr>
          <w:ilvl w:val="0"/>
          <w:numId w:val="10"/>
        </w:numPr>
        <w:spacing w:line="480" w:lineRule="auto"/>
        <w:rPr>
          <w:lang w:val="en-US"/>
        </w:rPr>
      </w:pPr>
      <w:r>
        <w:rPr>
          <w:lang w:val="en-US"/>
        </w:rPr>
        <w:t>Current provision of Screening and Brief Advice in primary care is low across Europe</w:t>
      </w:r>
    </w:p>
    <w:p w14:paraId="7163F144" w14:textId="4BABA626" w:rsidR="00C5469F" w:rsidRDefault="00C5469F" w:rsidP="00C5469F">
      <w:pPr>
        <w:pStyle w:val="ListParagraph"/>
        <w:numPr>
          <w:ilvl w:val="0"/>
          <w:numId w:val="10"/>
        </w:numPr>
        <w:spacing w:line="480" w:lineRule="auto"/>
        <w:rPr>
          <w:lang w:val="en-US"/>
        </w:rPr>
      </w:pPr>
      <w:r>
        <w:rPr>
          <w:lang w:val="en-US"/>
        </w:rPr>
        <w:t>Training and Support, Financial Reimbursement and the opportunity to refer patients to an online tool, and all combinations of these strategies are likely to be cost-effective compared to current practice</w:t>
      </w:r>
    </w:p>
    <w:p w14:paraId="627643ED" w14:textId="409A9EF0" w:rsidR="00C5469F" w:rsidRDefault="00C5469F" w:rsidP="00C5469F">
      <w:pPr>
        <w:pStyle w:val="ListParagraph"/>
        <w:numPr>
          <w:ilvl w:val="0"/>
          <w:numId w:val="10"/>
        </w:numPr>
        <w:spacing w:line="480" w:lineRule="auto"/>
        <w:rPr>
          <w:lang w:val="en-US"/>
        </w:rPr>
      </w:pPr>
      <w:r>
        <w:rPr>
          <w:lang w:val="en-US"/>
        </w:rPr>
        <w:t>Training and Support in combination with Financial Reimbursement is the most effective strategy at increasing SBI delivery, but also the most costly and as a result may not be cost-effective in all countries</w:t>
      </w:r>
    </w:p>
    <w:p w14:paraId="1311DF91" w14:textId="7E0A478C" w:rsidR="00C5469F" w:rsidRPr="002E35F5" w:rsidRDefault="00C5469F" w:rsidP="00C5469F">
      <w:pPr>
        <w:pStyle w:val="ListParagraph"/>
        <w:numPr>
          <w:ilvl w:val="0"/>
          <w:numId w:val="10"/>
        </w:numPr>
        <w:spacing w:line="480" w:lineRule="auto"/>
        <w:rPr>
          <w:lang w:val="en-US"/>
        </w:rPr>
      </w:pPr>
      <w:r>
        <w:rPr>
          <w:lang w:val="en-US"/>
        </w:rPr>
        <w:t>Referring patients to an online Brief Intervention is a low-cost way of increasing SBI delivery, although the scale of increase may be modest and other, more costly options are likely to be more cost-effective overall</w:t>
      </w:r>
    </w:p>
    <w:p w14:paraId="72CF4C03" w14:textId="3D893526" w:rsidR="00BA43E9" w:rsidRDefault="00DB3391" w:rsidP="00D04DAC">
      <w:pPr>
        <w:pStyle w:val="Heading2"/>
      </w:pPr>
      <w:r>
        <w:br w:type="page"/>
      </w:r>
    </w:p>
    <w:p w14:paraId="15A4063B" w14:textId="77777777" w:rsidR="0013641F" w:rsidRDefault="0013641F" w:rsidP="00D04DAC">
      <w:pPr>
        <w:pStyle w:val="Heading2"/>
        <w:spacing w:line="480" w:lineRule="auto"/>
      </w:pPr>
      <w:r>
        <w:t>References</w:t>
      </w:r>
    </w:p>
    <w:p w14:paraId="70A095CC" w14:textId="3A83BBBB" w:rsidR="00DF1F21" w:rsidRPr="006864D9" w:rsidRDefault="00730DEA" w:rsidP="00DF1F21">
      <w:pPr>
        <w:widowControl w:val="0"/>
        <w:autoSpaceDE w:val="0"/>
        <w:autoSpaceDN w:val="0"/>
        <w:adjustRightInd w:val="0"/>
        <w:spacing w:line="480" w:lineRule="auto"/>
        <w:ind w:left="640" w:hanging="640"/>
        <w:rPr>
          <w:rFonts w:ascii="Calibri" w:hAnsi="Calibri" w:cs="Calibri"/>
          <w:noProof/>
          <w:szCs w:val="24"/>
          <w:lang w:val="fr-FR"/>
        </w:rPr>
      </w:pPr>
      <w:r>
        <w:fldChar w:fldCharType="begin" w:fldLock="1"/>
      </w:r>
      <w:r w:rsidR="0013641F">
        <w:instrText xml:space="preserve">ADDIN Mendeley Bibliography CSL_BIBLIOGRAPHY </w:instrText>
      </w:r>
      <w:r>
        <w:fldChar w:fldCharType="separate"/>
      </w:r>
      <w:r w:rsidR="00DF1F21" w:rsidRPr="00DF1F21">
        <w:rPr>
          <w:rFonts w:ascii="Calibri" w:hAnsi="Calibri" w:cs="Calibri"/>
          <w:noProof/>
          <w:szCs w:val="24"/>
        </w:rPr>
        <w:t xml:space="preserve">1. </w:t>
      </w:r>
      <w:r w:rsidR="00DF1F21" w:rsidRPr="00DF1F21">
        <w:rPr>
          <w:rFonts w:ascii="Calibri" w:hAnsi="Calibri" w:cs="Calibri"/>
          <w:noProof/>
          <w:szCs w:val="24"/>
        </w:rPr>
        <w:tab/>
        <w:t xml:space="preserve">GBD 2016 Risk Factors Collaborators. Global, regional, and national comparative risk assessment of 84 behavioural, environmental and occupational, and metabolic risks or clusters of risks, 1990-2016: a systematic analysis for the Global Burden of Disease Study 2016. </w:t>
      </w:r>
      <w:r w:rsidR="00DF1F21" w:rsidRPr="006864D9">
        <w:rPr>
          <w:rFonts w:ascii="Calibri" w:hAnsi="Calibri" w:cs="Calibri"/>
          <w:noProof/>
          <w:szCs w:val="24"/>
          <w:lang w:val="fr-FR"/>
        </w:rPr>
        <w:t>Lancet [Internet]. Elsevier; 2017;390(10100):1345–422. Available from: http://www.ncbi.nlm.nih.gov/pubmed/28919119</w:t>
      </w:r>
    </w:p>
    <w:p w14:paraId="5B9FA539" w14:textId="77777777" w:rsidR="00DF1F21" w:rsidRPr="00DF1F21" w:rsidRDefault="00DF1F21" w:rsidP="00DF1F21">
      <w:pPr>
        <w:widowControl w:val="0"/>
        <w:autoSpaceDE w:val="0"/>
        <w:autoSpaceDN w:val="0"/>
        <w:adjustRightInd w:val="0"/>
        <w:spacing w:line="480" w:lineRule="auto"/>
        <w:ind w:left="640" w:hanging="640"/>
        <w:rPr>
          <w:rFonts w:ascii="Calibri" w:hAnsi="Calibri" w:cs="Calibri"/>
          <w:noProof/>
          <w:szCs w:val="24"/>
        </w:rPr>
      </w:pPr>
      <w:r w:rsidRPr="006864D9">
        <w:rPr>
          <w:rFonts w:ascii="Calibri" w:hAnsi="Calibri" w:cs="Calibri"/>
          <w:noProof/>
          <w:szCs w:val="24"/>
          <w:lang w:val="fr-FR"/>
        </w:rPr>
        <w:t xml:space="preserve">2. </w:t>
      </w:r>
      <w:r w:rsidRPr="006864D9">
        <w:rPr>
          <w:rFonts w:ascii="Calibri" w:hAnsi="Calibri" w:cs="Calibri"/>
          <w:noProof/>
          <w:szCs w:val="24"/>
          <w:lang w:val="fr-FR"/>
        </w:rPr>
        <w:tab/>
        <w:t xml:space="preserve">Miguez-Burbano MJ, Jackson J, Room R, Babor T, Rehm J, Organization WH, et al. </w:t>
      </w:r>
      <w:r w:rsidRPr="00DF1F21">
        <w:rPr>
          <w:rFonts w:ascii="Calibri" w:hAnsi="Calibri" w:cs="Calibri"/>
          <w:noProof/>
          <w:szCs w:val="24"/>
        </w:rPr>
        <w:t>Alcohol and public health. Lancet (London, England) [Internet]. Elsevier; 2005;365(9468):1386–7. Available from: http://www.ncbi.nlm.nih.gov/pubmed/15836882</w:t>
      </w:r>
    </w:p>
    <w:p w14:paraId="16926E20" w14:textId="77777777" w:rsidR="00DF1F21" w:rsidRPr="00DF1F21" w:rsidRDefault="00DF1F21" w:rsidP="00DF1F21">
      <w:pPr>
        <w:widowControl w:val="0"/>
        <w:autoSpaceDE w:val="0"/>
        <w:autoSpaceDN w:val="0"/>
        <w:adjustRightInd w:val="0"/>
        <w:spacing w:line="480" w:lineRule="auto"/>
        <w:ind w:left="640" w:hanging="640"/>
        <w:rPr>
          <w:rFonts w:ascii="Calibri" w:hAnsi="Calibri" w:cs="Calibri"/>
          <w:noProof/>
          <w:szCs w:val="24"/>
        </w:rPr>
      </w:pPr>
      <w:r w:rsidRPr="00DF1F21">
        <w:rPr>
          <w:rFonts w:ascii="Calibri" w:hAnsi="Calibri" w:cs="Calibri"/>
          <w:noProof/>
          <w:szCs w:val="24"/>
        </w:rPr>
        <w:t xml:space="preserve">3. </w:t>
      </w:r>
      <w:r w:rsidRPr="00DF1F21">
        <w:rPr>
          <w:rFonts w:ascii="Calibri" w:hAnsi="Calibri" w:cs="Calibri"/>
          <w:noProof/>
          <w:szCs w:val="24"/>
        </w:rPr>
        <w:tab/>
        <w:t>World Health Organization. Global Strategy to reduce the harmful use of alcohol [Internet]. Geneva; 2010. Available from: http://www.who.int/substance_abuse/publications/global_strategy_reduce_harmful_use_alcohol/en/</w:t>
      </w:r>
    </w:p>
    <w:p w14:paraId="0A97831E" w14:textId="77777777" w:rsidR="00DF1F21" w:rsidRPr="00DF1F21" w:rsidRDefault="00DF1F21" w:rsidP="00DF1F21">
      <w:pPr>
        <w:widowControl w:val="0"/>
        <w:autoSpaceDE w:val="0"/>
        <w:autoSpaceDN w:val="0"/>
        <w:adjustRightInd w:val="0"/>
        <w:spacing w:line="480" w:lineRule="auto"/>
        <w:ind w:left="640" w:hanging="640"/>
        <w:rPr>
          <w:rFonts w:ascii="Calibri" w:hAnsi="Calibri" w:cs="Calibri"/>
          <w:noProof/>
          <w:szCs w:val="24"/>
        </w:rPr>
      </w:pPr>
      <w:r w:rsidRPr="00DF1F21">
        <w:rPr>
          <w:rFonts w:ascii="Calibri" w:hAnsi="Calibri" w:cs="Calibri"/>
          <w:noProof/>
          <w:szCs w:val="24"/>
        </w:rPr>
        <w:t xml:space="preserve">4. </w:t>
      </w:r>
      <w:r w:rsidRPr="00DF1F21">
        <w:rPr>
          <w:rFonts w:ascii="Calibri" w:hAnsi="Calibri" w:cs="Calibri"/>
          <w:noProof/>
          <w:szCs w:val="24"/>
        </w:rPr>
        <w:tab/>
        <w:t xml:space="preserve">Kaner EFS, Beyer F, Dickinson HO, Pienaar E, Campbell F, Schlesinger C, et al. Effectiveness of brief alcohol interventions in primary care populations. Cochrane database Syst Rev Online. Wiley Online Library; 2007;4(2):CD004148. </w:t>
      </w:r>
    </w:p>
    <w:p w14:paraId="718DBFEE" w14:textId="77777777" w:rsidR="00DF1F21" w:rsidRPr="00DF1F21" w:rsidRDefault="00DF1F21" w:rsidP="00DF1F21">
      <w:pPr>
        <w:widowControl w:val="0"/>
        <w:autoSpaceDE w:val="0"/>
        <w:autoSpaceDN w:val="0"/>
        <w:adjustRightInd w:val="0"/>
        <w:spacing w:line="480" w:lineRule="auto"/>
        <w:ind w:left="640" w:hanging="640"/>
        <w:rPr>
          <w:rFonts w:ascii="Calibri" w:hAnsi="Calibri" w:cs="Calibri"/>
          <w:noProof/>
          <w:szCs w:val="24"/>
        </w:rPr>
      </w:pPr>
      <w:r w:rsidRPr="00DF1F21">
        <w:rPr>
          <w:rFonts w:ascii="Calibri" w:hAnsi="Calibri" w:cs="Calibri"/>
          <w:noProof/>
          <w:szCs w:val="24"/>
        </w:rPr>
        <w:t xml:space="preserve">5. </w:t>
      </w:r>
      <w:r w:rsidRPr="00DF1F21">
        <w:rPr>
          <w:rFonts w:ascii="Calibri" w:hAnsi="Calibri" w:cs="Calibri"/>
          <w:noProof/>
          <w:szCs w:val="24"/>
        </w:rPr>
        <w:tab/>
        <w:t xml:space="preserve">O’Donnell A, Anderson P, Newbury-Birch D, Schulte B, Schmidt C, Reimer J, et al. The impact of brief alcohol interventions in primary healthcare: a systematic review of reviews. Alcohol Alcohol. 2013 Nov 13;49(1):66–78. </w:t>
      </w:r>
    </w:p>
    <w:p w14:paraId="660909D7" w14:textId="77777777" w:rsidR="00DF1F21" w:rsidRPr="00DF1F21" w:rsidRDefault="00DF1F21" w:rsidP="00DF1F21">
      <w:pPr>
        <w:widowControl w:val="0"/>
        <w:autoSpaceDE w:val="0"/>
        <w:autoSpaceDN w:val="0"/>
        <w:adjustRightInd w:val="0"/>
        <w:spacing w:line="480" w:lineRule="auto"/>
        <w:ind w:left="640" w:hanging="640"/>
        <w:rPr>
          <w:rFonts w:ascii="Calibri" w:hAnsi="Calibri" w:cs="Calibri"/>
          <w:noProof/>
          <w:szCs w:val="24"/>
        </w:rPr>
      </w:pPr>
      <w:r w:rsidRPr="00DF1F21">
        <w:rPr>
          <w:rFonts w:ascii="Calibri" w:hAnsi="Calibri" w:cs="Calibri"/>
          <w:noProof/>
          <w:szCs w:val="24"/>
        </w:rPr>
        <w:t xml:space="preserve">6. </w:t>
      </w:r>
      <w:r w:rsidRPr="00DF1F21">
        <w:rPr>
          <w:rFonts w:ascii="Calibri" w:hAnsi="Calibri" w:cs="Calibri"/>
          <w:noProof/>
          <w:szCs w:val="24"/>
        </w:rPr>
        <w:tab/>
        <w:t>Angus C, Latimer N, Preston L, Li J, Purshouse R. What are the Implications for Policy Makers? A Systematic Review of the Cost-Effectiveness of Screening and Brief Interventions for Alcohol Misuse in Primary Care. Front psychiatry [Internet]. 2014 Jan;5(AUG):114. Available from: http://www.pubmedcentral.nih.gov/articlerender.fcgi?artid=4150206&amp;tool=pmcentrez&amp;rendertype=abstract</w:t>
      </w:r>
    </w:p>
    <w:p w14:paraId="03CB6B07" w14:textId="77777777" w:rsidR="00DF1F21" w:rsidRPr="00DF1F21" w:rsidRDefault="00DF1F21" w:rsidP="00DF1F21">
      <w:pPr>
        <w:widowControl w:val="0"/>
        <w:autoSpaceDE w:val="0"/>
        <w:autoSpaceDN w:val="0"/>
        <w:adjustRightInd w:val="0"/>
        <w:spacing w:line="480" w:lineRule="auto"/>
        <w:ind w:left="640" w:hanging="640"/>
        <w:rPr>
          <w:rFonts w:ascii="Calibri" w:hAnsi="Calibri" w:cs="Calibri"/>
          <w:noProof/>
          <w:szCs w:val="24"/>
        </w:rPr>
      </w:pPr>
      <w:r w:rsidRPr="00DF1F21">
        <w:rPr>
          <w:rFonts w:ascii="Calibri" w:hAnsi="Calibri" w:cs="Calibri"/>
          <w:noProof/>
          <w:szCs w:val="24"/>
        </w:rPr>
        <w:t xml:space="preserve">7. </w:t>
      </w:r>
      <w:r w:rsidRPr="00DF1F21">
        <w:rPr>
          <w:rFonts w:ascii="Calibri" w:hAnsi="Calibri" w:cs="Calibri"/>
          <w:noProof/>
          <w:szCs w:val="24"/>
        </w:rPr>
        <w:tab/>
        <w:t xml:space="preserve">Angus C, Thomas C, Anderson P, Meier PS, Brennan A. Estimating the cost-effectiveness of brief interventions for heavy drinking in primary health care across Europe. Eur J Public Health. 2016; </w:t>
      </w:r>
    </w:p>
    <w:p w14:paraId="2DD5B0EE" w14:textId="77777777" w:rsidR="00DF1F21" w:rsidRPr="00DF1F21" w:rsidRDefault="00DF1F21" w:rsidP="00DF1F21">
      <w:pPr>
        <w:widowControl w:val="0"/>
        <w:autoSpaceDE w:val="0"/>
        <w:autoSpaceDN w:val="0"/>
        <w:adjustRightInd w:val="0"/>
        <w:spacing w:line="480" w:lineRule="auto"/>
        <w:ind w:left="640" w:hanging="640"/>
        <w:rPr>
          <w:rFonts w:ascii="Calibri" w:hAnsi="Calibri" w:cs="Calibri"/>
          <w:noProof/>
          <w:szCs w:val="24"/>
        </w:rPr>
      </w:pPr>
      <w:r w:rsidRPr="00DF1F21">
        <w:rPr>
          <w:rFonts w:ascii="Calibri" w:hAnsi="Calibri" w:cs="Calibri"/>
          <w:noProof/>
          <w:szCs w:val="24"/>
        </w:rPr>
        <w:t xml:space="preserve">8. </w:t>
      </w:r>
      <w:r w:rsidRPr="00DF1F21">
        <w:rPr>
          <w:rFonts w:ascii="Calibri" w:hAnsi="Calibri" w:cs="Calibri"/>
          <w:noProof/>
          <w:szCs w:val="24"/>
        </w:rPr>
        <w:tab/>
        <w:t>Bendtsen P, Anderson P, Wojnar M, Newbury-Birch D, Müssener U, Colom J, et al. Professional’s Attitudes Do Not Influence Screening and Brief Interventions Rates for Hazardous and Harmful Drinkers: Results from ODHIN Study. Alcohol Alcohol [Internet]. 2015;50(4):agv020-. Available from: http://www.ncbi.nlm.nih.gov/pubmed/25787012</w:t>
      </w:r>
    </w:p>
    <w:p w14:paraId="79F15593" w14:textId="77777777" w:rsidR="00DF1F21" w:rsidRPr="00DF1F21" w:rsidRDefault="00DF1F21" w:rsidP="00DF1F21">
      <w:pPr>
        <w:widowControl w:val="0"/>
        <w:autoSpaceDE w:val="0"/>
        <w:autoSpaceDN w:val="0"/>
        <w:adjustRightInd w:val="0"/>
        <w:spacing w:line="480" w:lineRule="auto"/>
        <w:ind w:left="640" w:hanging="640"/>
        <w:rPr>
          <w:rFonts w:ascii="Calibri" w:hAnsi="Calibri" w:cs="Calibri"/>
          <w:noProof/>
          <w:szCs w:val="24"/>
        </w:rPr>
      </w:pPr>
      <w:r w:rsidRPr="00DF1F21">
        <w:rPr>
          <w:rFonts w:ascii="Calibri" w:hAnsi="Calibri" w:cs="Calibri"/>
          <w:noProof/>
          <w:szCs w:val="24"/>
        </w:rPr>
        <w:t xml:space="preserve">9. </w:t>
      </w:r>
      <w:r w:rsidRPr="00DF1F21">
        <w:rPr>
          <w:rFonts w:ascii="Calibri" w:hAnsi="Calibri" w:cs="Calibri"/>
          <w:noProof/>
          <w:szCs w:val="24"/>
        </w:rPr>
        <w:tab/>
        <w:t>Brown J, West R, Angus C, Beard E, Brennan A, Drummond C, et al. Comparison of brief interventions in primary care on smoking and excessive alcohol consumption: A population survey in England. Br J Gen Pract [Internet]. British Journal of General Practice; 2016 Jan;66(642):e1–9. Available from: http://www.ncbi.nlm.nih.gov/pubmed/26719481</w:t>
      </w:r>
    </w:p>
    <w:p w14:paraId="3A6CF4AB" w14:textId="77777777" w:rsidR="00DF1F21" w:rsidRPr="00DF1F21" w:rsidRDefault="00DF1F21" w:rsidP="00DF1F21">
      <w:pPr>
        <w:widowControl w:val="0"/>
        <w:autoSpaceDE w:val="0"/>
        <w:autoSpaceDN w:val="0"/>
        <w:adjustRightInd w:val="0"/>
        <w:spacing w:line="480" w:lineRule="auto"/>
        <w:ind w:left="640" w:hanging="640"/>
        <w:rPr>
          <w:rFonts w:ascii="Calibri" w:hAnsi="Calibri" w:cs="Calibri"/>
          <w:noProof/>
          <w:szCs w:val="24"/>
        </w:rPr>
      </w:pPr>
      <w:r w:rsidRPr="00DF1F21">
        <w:rPr>
          <w:rFonts w:ascii="Calibri" w:hAnsi="Calibri" w:cs="Calibri"/>
          <w:noProof/>
          <w:szCs w:val="24"/>
        </w:rPr>
        <w:t xml:space="preserve">10. </w:t>
      </w:r>
      <w:r w:rsidRPr="00DF1F21">
        <w:rPr>
          <w:rFonts w:ascii="Calibri" w:hAnsi="Calibri" w:cs="Calibri"/>
          <w:noProof/>
          <w:szCs w:val="24"/>
        </w:rPr>
        <w:tab/>
        <w:t>Keurhorst M, van de Glind I, Bitarello do Amaral-Sabadini M, Anderson P, Kaner E, Newbury-Birch D, et al. Implementation strategies to enhance management of heavy alcohol consumption in primary health care: a meta-analysis. Addiction [Internet]. 2015 Dec;110(12):1877–900. Available from: http://www.ncbi.nlm.nih.gov/pubmed/26234486</w:t>
      </w:r>
    </w:p>
    <w:p w14:paraId="00F31F2A" w14:textId="77777777" w:rsidR="00DF1F21" w:rsidRPr="00DF1F21" w:rsidRDefault="00DF1F21" w:rsidP="00DF1F21">
      <w:pPr>
        <w:widowControl w:val="0"/>
        <w:autoSpaceDE w:val="0"/>
        <w:autoSpaceDN w:val="0"/>
        <w:adjustRightInd w:val="0"/>
        <w:spacing w:line="480" w:lineRule="auto"/>
        <w:ind w:left="640" w:hanging="640"/>
        <w:rPr>
          <w:rFonts w:ascii="Calibri" w:hAnsi="Calibri" w:cs="Calibri"/>
          <w:noProof/>
          <w:szCs w:val="24"/>
        </w:rPr>
      </w:pPr>
      <w:r w:rsidRPr="00DF1F21">
        <w:rPr>
          <w:rFonts w:ascii="Calibri" w:hAnsi="Calibri" w:cs="Calibri"/>
          <w:noProof/>
          <w:szCs w:val="24"/>
        </w:rPr>
        <w:t xml:space="preserve">11. </w:t>
      </w:r>
      <w:r w:rsidRPr="00DF1F21">
        <w:rPr>
          <w:rFonts w:ascii="Calibri" w:hAnsi="Calibri" w:cs="Calibri"/>
          <w:noProof/>
          <w:szCs w:val="24"/>
        </w:rPr>
        <w:tab/>
        <w:t>Donoghue K, Patton R, Phillips T, Deluca P, Drummond C. The effectiveness of electronic screening and brief intervention for reducing levels of alcohol consumption: a systematic review and meta-analysis. J Med Internet Res [Internet]. 2014;16(6):e142. Available from: http://www.ncbi.nlm.nih.gov/pubmed/24892426</w:t>
      </w:r>
    </w:p>
    <w:p w14:paraId="09FF35F9" w14:textId="77777777" w:rsidR="00DF1F21" w:rsidRPr="00DF1F21" w:rsidRDefault="00DF1F21" w:rsidP="00DF1F21">
      <w:pPr>
        <w:widowControl w:val="0"/>
        <w:autoSpaceDE w:val="0"/>
        <w:autoSpaceDN w:val="0"/>
        <w:adjustRightInd w:val="0"/>
        <w:spacing w:line="480" w:lineRule="auto"/>
        <w:ind w:left="640" w:hanging="640"/>
        <w:rPr>
          <w:rFonts w:ascii="Calibri" w:hAnsi="Calibri" w:cs="Calibri"/>
          <w:noProof/>
          <w:szCs w:val="24"/>
        </w:rPr>
      </w:pPr>
      <w:r w:rsidRPr="00DF1F21">
        <w:rPr>
          <w:rFonts w:ascii="Calibri" w:hAnsi="Calibri" w:cs="Calibri"/>
          <w:noProof/>
          <w:szCs w:val="24"/>
        </w:rPr>
        <w:t xml:space="preserve">12. </w:t>
      </w:r>
      <w:r w:rsidRPr="00DF1F21">
        <w:rPr>
          <w:rFonts w:ascii="Calibri" w:hAnsi="Calibri" w:cs="Calibri"/>
          <w:noProof/>
          <w:szCs w:val="24"/>
        </w:rPr>
        <w:tab/>
        <w:t>Anderson P, Bendtsen P, Spak F, Reynolds J, Drummond C, Segura L, et al. Improving the delivery of brief interventions for heavy drinking in primary health care: outcome results of the ODHIN five country cluster randomized factorial trial. Addiction [Internet]. 2016; Available from: http://doi.wiley.com/10.1111/add.13476</w:t>
      </w:r>
    </w:p>
    <w:p w14:paraId="1EC64F47" w14:textId="77777777" w:rsidR="00DF1F21" w:rsidRPr="00DF1F21" w:rsidRDefault="00DF1F21" w:rsidP="00DF1F21">
      <w:pPr>
        <w:widowControl w:val="0"/>
        <w:autoSpaceDE w:val="0"/>
        <w:autoSpaceDN w:val="0"/>
        <w:adjustRightInd w:val="0"/>
        <w:spacing w:line="480" w:lineRule="auto"/>
        <w:ind w:left="640" w:hanging="640"/>
        <w:rPr>
          <w:rFonts w:ascii="Calibri" w:hAnsi="Calibri" w:cs="Calibri"/>
          <w:noProof/>
          <w:szCs w:val="24"/>
        </w:rPr>
      </w:pPr>
      <w:r w:rsidRPr="00DF1F21">
        <w:rPr>
          <w:rFonts w:ascii="Calibri" w:hAnsi="Calibri" w:cs="Calibri"/>
          <w:noProof/>
          <w:szCs w:val="24"/>
        </w:rPr>
        <w:t xml:space="preserve">13. </w:t>
      </w:r>
      <w:r w:rsidRPr="00DF1F21">
        <w:rPr>
          <w:rFonts w:ascii="Calibri" w:hAnsi="Calibri" w:cs="Calibri"/>
          <w:noProof/>
          <w:szCs w:val="24"/>
        </w:rPr>
        <w:tab/>
        <w:t>Wallace P, Murray E, McCambridge J, Khadjesari Z, White IR, Thompson SG, et al. On-line Randomized Controlled Trial of an Internet Based Psychologically Enhanced Intervention for People with Hazardous Alcohol Consumption. Myer L, editor. PLoS One [Internet]. Public Library of Science; 2011 Mar 9;6(3):e14740. Available from: http://dx.plos.org/10.1371/journal.pone.0014740</w:t>
      </w:r>
    </w:p>
    <w:p w14:paraId="38DC1027" w14:textId="77777777" w:rsidR="00DF1F21" w:rsidRPr="00DF1F21" w:rsidRDefault="00DF1F21" w:rsidP="00DF1F21">
      <w:pPr>
        <w:widowControl w:val="0"/>
        <w:autoSpaceDE w:val="0"/>
        <w:autoSpaceDN w:val="0"/>
        <w:adjustRightInd w:val="0"/>
        <w:spacing w:line="480" w:lineRule="auto"/>
        <w:ind w:left="640" w:hanging="640"/>
        <w:rPr>
          <w:rFonts w:ascii="Calibri" w:hAnsi="Calibri" w:cs="Calibri"/>
          <w:noProof/>
          <w:szCs w:val="24"/>
        </w:rPr>
      </w:pPr>
      <w:r w:rsidRPr="00DF1F21">
        <w:rPr>
          <w:rFonts w:ascii="Calibri" w:hAnsi="Calibri" w:cs="Calibri"/>
          <w:noProof/>
          <w:szCs w:val="24"/>
        </w:rPr>
        <w:t xml:space="preserve">14. </w:t>
      </w:r>
      <w:r w:rsidRPr="00DF1F21">
        <w:rPr>
          <w:rFonts w:ascii="Calibri" w:hAnsi="Calibri" w:cs="Calibri"/>
          <w:noProof/>
          <w:szCs w:val="24"/>
        </w:rPr>
        <w:tab/>
        <w:t>Smit F, Lokkerbol J, Riper H, Majo MC, Boon B, Blankers M. Modeling the cost-effectiveness of health care systems for alcohol use disorders: How implementation of ehealth interventions improves cost-effectiveness. J Med Internet Res [Internet]. 2011;13(3):e56. Available from: http://www.ncbi.nlm.nih.gov/pubmed/21840836</w:t>
      </w:r>
    </w:p>
    <w:p w14:paraId="6D647095" w14:textId="77777777" w:rsidR="00DF1F21" w:rsidRPr="00DF1F21" w:rsidRDefault="00DF1F21" w:rsidP="00DF1F21">
      <w:pPr>
        <w:widowControl w:val="0"/>
        <w:autoSpaceDE w:val="0"/>
        <w:autoSpaceDN w:val="0"/>
        <w:adjustRightInd w:val="0"/>
        <w:spacing w:line="480" w:lineRule="auto"/>
        <w:ind w:left="640" w:hanging="640"/>
        <w:rPr>
          <w:rFonts w:ascii="Calibri" w:hAnsi="Calibri" w:cs="Calibri"/>
          <w:noProof/>
          <w:szCs w:val="24"/>
        </w:rPr>
      </w:pPr>
      <w:r w:rsidRPr="00DF1F21">
        <w:rPr>
          <w:rFonts w:ascii="Calibri" w:hAnsi="Calibri" w:cs="Calibri"/>
          <w:noProof/>
          <w:szCs w:val="24"/>
        </w:rPr>
        <w:t xml:space="preserve">15. </w:t>
      </w:r>
      <w:r w:rsidRPr="00DF1F21">
        <w:rPr>
          <w:rFonts w:ascii="Calibri" w:hAnsi="Calibri" w:cs="Calibri"/>
          <w:noProof/>
          <w:szCs w:val="24"/>
        </w:rPr>
        <w:tab/>
        <w:t>Blankers M, Nabitz U, Smit F, Koeter MWJ, Schippers GM. Economic evaluation of internet-based interventions for harmful alcohol use alongside a pragmatic randomized controlled trial. J Med Internet Res [Internet]. 2012 Oct 29;14(5):e134. Available from: http://www.ncbi.nlm.nih.gov/pubmed/23103771</w:t>
      </w:r>
    </w:p>
    <w:p w14:paraId="41400681" w14:textId="77777777" w:rsidR="00DF1F21" w:rsidRPr="006864D9" w:rsidRDefault="00DF1F21" w:rsidP="00DF1F21">
      <w:pPr>
        <w:widowControl w:val="0"/>
        <w:autoSpaceDE w:val="0"/>
        <w:autoSpaceDN w:val="0"/>
        <w:adjustRightInd w:val="0"/>
        <w:spacing w:line="480" w:lineRule="auto"/>
        <w:ind w:left="640" w:hanging="640"/>
        <w:rPr>
          <w:rFonts w:ascii="Calibri" w:hAnsi="Calibri" w:cs="Calibri"/>
          <w:noProof/>
          <w:szCs w:val="24"/>
          <w:lang w:val="it-IT"/>
        </w:rPr>
      </w:pPr>
      <w:r w:rsidRPr="00DF1F21">
        <w:rPr>
          <w:rFonts w:ascii="Calibri" w:hAnsi="Calibri" w:cs="Calibri"/>
          <w:noProof/>
          <w:szCs w:val="24"/>
        </w:rPr>
        <w:t xml:space="preserve">16. </w:t>
      </w:r>
      <w:r w:rsidRPr="00DF1F21">
        <w:rPr>
          <w:rFonts w:ascii="Calibri" w:hAnsi="Calibri" w:cs="Calibri"/>
          <w:noProof/>
          <w:szCs w:val="24"/>
        </w:rPr>
        <w:tab/>
        <w:t xml:space="preserve">Purshouse R, Brennan A, Rafia R, Latimer NR, Archer RJ, Angus CR, et al. Modelling the cost-effectiveness of alcohol screening and brief interventions in primary care in England. </w:t>
      </w:r>
      <w:r w:rsidRPr="006864D9">
        <w:rPr>
          <w:rFonts w:ascii="Calibri" w:hAnsi="Calibri" w:cs="Calibri"/>
          <w:noProof/>
          <w:szCs w:val="24"/>
          <w:lang w:val="it-IT"/>
        </w:rPr>
        <w:t xml:space="preserve">Alcohol Alcohol. 2013 Sep 25;48(2):180–8. </w:t>
      </w:r>
    </w:p>
    <w:p w14:paraId="50465ECD" w14:textId="77777777" w:rsidR="00DF1F21" w:rsidRPr="00DF1F21" w:rsidRDefault="00DF1F21" w:rsidP="00DF1F21">
      <w:pPr>
        <w:widowControl w:val="0"/>
        <w:autoSpaceDE w:val="0"/>
        <w:autoSpaceDN w:val="0"/>
        <w:adjustRightInd w:val="0"/>
        <w:spacing w:line="480" w:lineRule="auto"/>
        <w:ind w:left="640" w:hanging="640"/>
        <w:rPr>
          <w:rFonts w:ascii="Calibri" w:hAnsi="Calibri" w:cs="Calibri"/>
          <w:noProof/>
          <w:szCs w:val="24"/>
        </w:rPr>
      </w:pPr>
      <w:r w:rsidRPr="006864D9">
        <w:rPr>
          <w:rFonts w:ascii="Calibri" w:hAnsi="Calibri" w:cs="Calibri"/>
          <w:noProof/>
          <w:szCs w:val="24"/>
          <w:lang w:val="it-IT"/>
        </w:rPr>
        <w:t xml:space="preserve">17. </w:t>
      </w:r>
      <w:r w:rsidRPr="006864D9">
        <w:rPr>
          <w:rFonts w:ascii="Calibri" w:hAnsi="Calibri" w:cs="Calibri"/>
          <w:noProof/>
          <w:szCs w:val="24"/>
          <w:lang w:val="it-IT"/>
        </w:rPr>
        <w:tab/>
        <w:t xml:space="preserve">Angus C, Scafato E, Ghirini S, Torbica A, Ferre F, Struzzo P, et al. </w:t>
      </w:r>
      <w:r w:rsidRPr="00DF1F21">
        <w:rPr>
          <w:rFonts w:ascii="Calibri" w:hAnsi="Calibri" w:cs="Calibri"/>
          <w:noProof/>
          <w:szCs w:val="24"/>
        </w:rPr>
        <w:t>Cost-effectiveness of a programme of screening and brief interventions for alcohol in primary care in Italy. BMC Fam Pract [Internet]. 2014 Jan;15(1):26. Available from: http://www.biomedcentral.com/1471-2296/15/26</w:t>
      </w:r>
    </w:p>
    <w:p w14:paraId="36AFB371" w14:textId="77777777" w:rsidR="00DF1F21" w:rsidRPr="00DF1F21" w:rsidRDefault="00DF1F21" w:rsidP="00DF1F21">
      <w:pPr>
        <w:widowControl w:val="0"/>
        <w:autoSpaceDE w:val="0"/>
        <w:autoSpaceDN w:val="0"/>
        <w:adjustRightInd w:val="0"/>
        <w:spacing w:line="480" w:lineRule="auto"/>
        <w:ind w:left="640" w:hanging="640"/>
        <w:rPr>
          <w:rFonts w:ascii="Calibri" w:hAnsi="Calibri" w:cs="Calibri"/>
          <w:noProof/>
          <w:szCs w:val="24"/>
        </w:rPr>
      </w:pPr>
      <w:r w:rsidRPr="00DF1F21">
        <w:rPr>
          <w:rFonts w:ascii="Calibri" w:hAnsi="Calibri" w:cs="Calibri"/>
          <w:noProof/>
          <w:szCs w:val="24"/>
        </w:rPr>
        <w:t xml:space="preserve">18. </w:t>
      </w:r>
      <w:r w:rsidRPr="00DF1F21">
        <w:rPr>
          <w:rFonts w:ascii="Calibri" w:hAnsi="Calibri" w:cs="Calibri"/>
          <w:noProof/>
          <w:szCs w:val="24"/>
        </w:rPr>
        <w:tab/>
        <w:t xml:space="preserve">Keurhorst MN, Anderson P, Spak F, Bendtsen P, Segura L, Colom J, et al. Implementing training and support, financial reimbursement, and referral to an internet-based brief advice program to improve the early identification of hazardous and harmful alcohol consumption in primary care (ODHIN): study protocol for a cluster rando. Implement Sci. 2013 Jan;8:11. </w:t>
      </w:r>
    </w:p>
    <w:p w14:paraId="0D83CF25" w14:textId="77777777" w:rsidR="00DF1F21" w:rsidRPr="00DF1F21" w:rsidRDefault="00DF1F21" w:rsidP="00DF1F21">
      <w:pPr>
        <w:widowControl w:val="0"/>
        <w:autoSpaceDE w:val="0"/>
        <w:autoSpaceDN w:val="0"/>
        <w:adjustRightInd w:val="0"/>
        <w:spacing w:line="480" w:lineRule="auto"/>
        <w:ind w:left="640" w:hanging="640"/>
        <w:rPr>
          <w:rFonts w:ascii="Calibri" w:hAnsi="Calibri" w:cs="Calibri"/>
          <w:noProof/>
          <w:szCs w:val="24"/>
        </w:rPr>
      </w:pPr>
      <w:r w:rsidRPr="00DF1F21">
        <w:rPr>
          <w:rFonts w:ascii="Calibri" w:hAnsi="Calibri" w:cs="Calibri"/>
          <w:noProof/>
          <w:szCs w:val="24"/>
        </w:rPr>
        <w:t xml:space="preserve">19. </w:t>
      </w:r>
      <w:r w:rsidRPr="00DF1F21">
        <w:rPr>
          <w:rFonts w:ascii="Calibri" w:hAnsi="Calibri" w:cs="Calibri"/>
          <w:noProof/>
          <w:szCs w:val="24"/>
        </w:rPr>
        <w:tab/>
        <w:t>Angus C, Scafato E, Ghirini S, Torbica A, Ferre F, Struzzo P, et al. Optimizing delivery of health care interventions (ODHIN): Cost-effectiveness - model report [Internet]. Sheffield; 2013. Available from: http://www.odhinproject.eu/resources/documents/doc_download/66-deliverable-3-1-cost-effectiveness-model-report.html</w:t>
      </w:r>
    </w:p>
    <w:p w14:paraId="14AE70CC" w14:textId="77777777" w:rsidR="00DF1F21" w:rsidRPr="00DF1F21" w:rsidRDefault="00DF1F21" w:rsidP="00DF1F21">
      <w:pPr>
        <w:widowControl w:val="0"/>
        <w:autoSpaceDE w:val="0"/>
        <w:autoSpaceDN w:val="0"/>
        <w:adjustRightInd w:val="0"/>
        <w:spacing w:line="480" w:lineRule="auto"/>
        <w:ind w:left="640" w:hanging="640"/>
        <w:rPr>
          <w:rFonts w:ascii="Calibri" w:hAnsi="Calibri" w:cs="Calibri"/>
          <w:noProof/>
          <w:szCs w:val="24"/>
        </w:rPr>
      </w:pPr>
      <w:r w:rsidRPr="00DF1F21">
        <w:rPr>
          <w:rFonts w:ascii="Calibri" w:hAnsi="Calibri" w:cs="Calibri"/>
          <w:noProof/>
          <w:szCs w:val="24"/>
        </w:rPr>
        <w:t xml:space="preserve">20. </w:t>
      </w:r>
      <w:r w:rsidRPr="00DF1F21">
        <w:rPr>
          <w:rFonts w:ascii="Calibri" w:hAnsi="Calibri" w:cs="Calibri"/>
          <w:noProof/>
          <w:szCs w:val="24"/>
        </w:rPr>
        <w:tab/>
        <w:t>Meier PS, Holmes J, Angus C, Ally AK, Meng Y, Brennan A. Estimated Effects of Different Alcohol Taxation and Price Policies on Health Inequalities: A Mathematical Modelling Study. Basu S, editor. PLOS Med [Internet]. Public Library of Science; 2016 Feb 23;13(2):e1001963. Available from: http://journals.plos.org/plosmedicine/article?id=10.1371/journal.pmed.1001963</w:t>
      </w:r>
    </w:p>
    <w:p w14:paraId="0329F7FD" w14:textId="77777777" w:rsidR="00DF1F21" w:rsidRPr="00DF1F21" w:rsidRDefault="00DF1F21" w:rsidP="00DF1F21">
      <w:pPr>
        <w:widowControl w:val="0"/>
        <w:autoSpaceDE w:val="0"/>
        <w:autoSpaceDN w:val="0"/>
        <w:adjustRightInd w:val="0"/>
        <w:spacing w:line="480" w:lineRule="auto"/>
        <w:ind w:left="640" w:hanging="640"/>
        <w:rPr>
          <w:rFonts w:ascii="Calibri" w:hAnsi="Calibri" w:cs="Calibri"/>
          <w:noProof/>
          <w:szCs w:val="24"/>
        </w:rPr>
      </w:pPr>
      <w:r w:rsidRPr="00DF1F21">
        <w:rPr>
          <w:rFonts w:ascii="Calibri" w:hAnsi="Calibri" w:cs="Calibri"/>
          <w:noProof/>
          <w:szCs w:val="24"/>
        </w:rPr>
        <w:t xml:space="preserve">21. </w:t>
      </w:r>
      <w:r w:rsidRPr="00DF1F21">
        <w:rPr>
          <w:rFonts w:ascii="Calibri" w:hAnsi="Calibri" w:cs="Calibri"/>
          <w:noProof/>
          <w:szCs w:val="24"/>
        </w:rPr>
        <w:tab/>
        <w:t>National Institute of Health and Clinical Excellence (NICE). PH24 Alcohol-use disorders: preventing harmful drinking [Internet]. 2010. Available from: www.nice.org.uk/guidance/ph24</w:t>
      </w:r>
    </w:p>
    <w:p w14:paraId="7C1B4906" w14:textId="77777777" w:rsidR="00DF1F21" w:rsidRPr="00DF1F21" w:rsidRDefault="00DF1F21" w:rsidP="00DF1F21">
      <w:pPr>
        <w:widowControl w:val="0"/>
        <w:autoSpaceDE w:val="0"/>
        <w:autoSpaceDN w:val="0"/>
        <w:adjustRightInd w:val="0"/>
        <w:spacing w:line="480" w:lineRule="auto"/>
        <w:ind w:left="640" w:hanging="640"/>
        <w:rPr>
          <w:rFonts w:ascii="Calibri" w:hAnsi="Calibri" w:cs="Calibri"/>
          <w:noProof/>
          <w:szCs w:val="24"/>
        </w:rPr>
      </w:pPr>
      <w:r w:rsidRPr="006864D9">
        <w:rPr>
          <w:rFonts w:ascii="Calibri" w:hAnsi="Calibri" w:cs="Calibri"/>
          <w:noProof/>
          <w:szCs w:val="24"/>
          <w:lang w:val="nl-NL"/>
        </w:rPr>
        <w:t xml:space="preserve">22. </w:t>
      </w:r>
      <w:r w:rsidRPr="006864D9">
        <w:rPr>
          <w:rFonts w:ascii="Calibri" w:hAnsi="Calibri" w:cs="Calibri"/>
          <w:noProof/>
          <w:szCs w:val="24"/>
          <w:lang w:val="nl-NL"/>
        </w:rPr>
        <w:tab/>
        <w:t xml:space="preserve">Nederlands Huisartsen Genoodschap. Problematisch alcoholgebruik [Internet]. </w:t>
      </w:r>
      <w:r w:rsidRPr="00DF1F21">
        <w:rPr>
          <w:rFonts w:ascii="Calibri" w:hAnsi="Calibri" w:cs="Calibri"/>
          <w:noProof/>
          <w:szCs w:val="24"/>
        </w:rPr>
        <w:t>2014. Available from: https://www.nhg.org/standaarden/volledig/nhg-standaard-problematisch-alcoholgebruik</w:t>
      </w:r>
    </w:p>
    <w:p w14:paraId="3DCD5A27" w14:textId="77777777" w:rsidR="00DF1F21" w:rsidRPr="00DF1F21" w:rsidRDefault="00DF1F21" w:rsidP="00DF1F21">
      <w:pPr>
        <w:widowControl w:val="0"/>
        <w:autoSpaceDE w:val="0"/>
        <w:autoSpaceDN w:val="0"/>
        <w:adjustRightInd w:val="0"/>
        <w:spacing w:line="480" w:lineRule="auto"/>
        <w:ind w:left="640" w:hanging="640"/>
        <w:rPr>
          <w:rFonts w:ascii="Calibri" w:hAnsi="Calibri" w:cs="Calibri"/>
          <w:noProof/>
          <w:szCs w:val="24"/>
        </w:rPr>
      </w:pPr>
      <w:r w:rsidRPr="00DF1F21">
        <w:rPr>
          <w:rFonts w:ascii="Calibri" w:hAnsi="Calibri" w:cs="Calibri"/>
          <w:noProof/>
          <w:szCs w:val="24"/>
        </w:rPr>
        <w:t xml:space="preserve">23. </w:t>
      </w:r>
      <w:r w:rsidRPr="00DF1F21">
        <w:rPr>
          <w:rFonts w:ascii="Calibri" w:hAnsi="Calibri" w:cs="Calibri"/>
          <w:noProof/>
          <w:szCs w:val="24"/>
        </w:rPr>
        <w:tab/>
        <w:t xml:space="preserve">Holmes J, Meier PS, Booth A, Guo Y, Brennan A. The temporal relationship between per capita alcohol consumption and harm: a systematic review of time lag specifications in aggregate time series analyses. Drug Alcohol Depend. 2012 Jun 1;123(1–3):7–14. </w:t>
      </w:r>
    </w:p>
    <w:p w14:paraId="0A085506" w14:textId="77777777" w:rsidR="00DF1F21" w:rsidRPr="00DF1F21" w:rsidRDefault="00DF1F21" w:rsidP="00DF1F21">
      <w:pPr>
        <w:widowControl w:val="0"/>
        <w:autoSpaceDE w:val="0"/>
        <w:autoSpaceDN w:val="0"/>
        <w:adjustRightInd w:val="0"/>
        <w:spacing w:line="480" w:lineRule="auto"/>
        <w:ind w:left="640" w:hanging="640"/>
        <w:rPr>
          <w:rFonts w:ascii="Calibri" w:hAnsi="Calibri" w:cs="Calibri"/>
          <w:noProof/>
          <w:szCs w:val="24"/>
        </w:rPr>
      </w:pPr>
      <w:r w:rsidRPr="00DF1F21">
        <w:rPr>
          <w:rFonts w:ascii="Calibri" w:hAnsi="Calibri" w:cs="Calibri"/>
          <w:noProof/>
          <w:szCs w:val="24"/>
        </w:rPr>
        <w:t xml:space="preserve">24. </w:t>
      </w:r>
      <w:r w:rsidRPr="00DF1F21">
        <w:rPr>
          <w:rFonts w:ascii="Calibri" w:hAnsi="Calibri" w:cs="Calibri"/>
          <w:noProof/>
          <w:szCs w:val="24"/>
        </w:rPr>
        <w:tab/>
        <w:t xml:space="preserve">Purshouse R, Brennan A, Latimer N, Meng Y, Rafia R, Jackson R, et al. Modelling to assess the effectiveness and cost-effectiveness of public health related strategies and interventions to reduce alcohol attributable harm in England using the Sheffield Alcohol Policy Model version 2.0. Report to the NICE Public Health Programme Development Group. Sheffield; 2009. </w:t>
      </w:r>
    </w:p>
    <w:p w14:paraId="7CB28C43" w14:textId="77777777" w:rsidR="00DF1F21" w:rsidRPr="00DF1F21" w:rsidRDefault="00DF1F21" w:rsidP="00DF1F21">
      <w:pPr>
        <w:widowControl w:val="0"/>
        <w:autoSpaceDE w:val="0"/>
        <w:autoSpaceDN w:val="0"/>
        <w:adjustRightInd w:val="0"/>
        <w:spacing w:line="480" w:lineRule="auto"/>
        <w:ind w:left="640" w:hanging="640"/>
        <w:rPr>
          <w:rFonts w:ascii="Calibri" w:hAnsi="Calibri" w:cs="Calibri"/>
          <w:noProof/>
          <w:szCs w:val="24"/>
        </w:rPr>
      </w:pPr>
      <w:r w:rsidRPr="006864D9">
        <w:rPr>
          <w:rFonts w:ascii="Calibri" w:hAnsi="Calibri" w:cs="Calibri"/>
          <w:noProof/>
          <w:szCs w:val="24"/>
          <w:lang w:val="fr-FR"/>
        </w:rPr>
        <w:t xml:space="preserve">25. </w:t>
      </w:r>
      <w:r w:rsidRPr="006864D9">
        <w:rPr>
          <w:rFonts w:ascii="Calibri" w:hAnsi="Calibri" w:cs="Calibri"/>
          <w:noProof/>
          <w:szCs w:val="24"/>
          <w:lang w:val="fr-FR"/>
        </w:rPr>
        <w:tab/>
        <w:t xml:space="preserve">Brennan A, Meier P, Purshouse R, Rafia R, Meng Y, Hill-Macmanus D, et al. </w:t>
      </w:r>
      <w:r w:rsidRPr="00DF1F21">
        <w:rPr>
          <w:rFonts w:ascii="Calibri" w:hAnsi="Calibri" w:cs="Calibri"/>
          <w:noProof/>
          <w:szCs w:val="24"/>
        </w:rPr>
        <w:t xml:space="preserve">The Sheffield Alcohol Policy Model - a mathematical description. Health Econ. 2014 Sep 30;24(10). </w:t>
      </w:r>
    </w:p>
    <w:p w14:paraId="68BBD24F" w14:textId="77777777" w:rsidR="00DF1F21" w:rsidRPr="00DF1F21" w:rsidRDefault="00DF1F21" w:rsidP="00DF1F21">
      <w:pPr>
        <w:widowControl w:val="0"/>
        <w:autoSpaceDE w:val="0"/>
        <w:autoSpaceDN w:val="0"/>
        <w:adjustRightInd w:val="0"/>
        <w:spacing w:line="480" w:lineRule="auto"/>
        <w:ind w:left="640" w:hanging="640"/>
        <w:rPr>
          <w:rFonts w:ascii="Calibri" w:hAnsi="Calibri" w:cs="Calibri"/>
          <w:noProof/>
          <w:szCs w:val="24"/>
        </w:rPr>
      </w:pPr>
      <w:r w:rsidRPr="00DF1F21">
        <w:rPr>
          <w:rFonts w:ascii="Calibri" w:hAnsi="Calibri" w:cs="Calibri"/>
          <w:noProof/>
          <w:szCs w:val="24"/>
        </w:rPr>
        <w:t xml:space="preserve">26. </w:t>
      </w:r>
      <w:r w:rsidRPr="00DF1F21">
        <w:rPr>
          <w:rFonts w:ascii="Calibri" w:hAnsi="Calibri" w:cs="Calibri"/>
          <w:noProof/>
          <w:szCs w:val="24"/>
        </w:rPr>
        <w:tab/>
        <w:t>Hamilton FL, Laverty AA, Gluvajic D, Huckvale K, Car J, Majeed A, et al. Effect of financial incentives on delivery of alcohol screening and brief intervention (ASBI) in primary care: longitudinal study. J Public Health (Oxf) [Internet]. 2014 Sep 26;36(3):450–9. Available from: http://jpubhealth.oxfordjournals.org/content/early/2013/12/26/pubmed.fdt121.full</w:t>
      </w:r>
    </w:p>
    <w:p w14:paraId="0880172A" w14:textId="77777777" w:rsidR="00DF1F21" w:rsidRPr="00DF1F21" w:rsidRDefault="00DF1F21" w:rsidP="00DF1F21">
      <w:pPr>
        <w:widowControl w:val="0"/>
        <w:autoSpaceDE w:val="0"/>
        <w:autoSpaceDN w:val="0"/>
        <w:adjustRightInd w:val="0"/>
        <w:spacing w:line="480" w:lineRule="auto"/>
        <w:ind w:left="640" w:hanging="640"/>
        <w:rPr>
          <w:rFonts w:ascii="Calibri" w:hAnsi="Calibri" w:cs="Calibri"/>
          <w:noProof/>
          <w:szCs w:val="24"/>
        </w:rPr>
      </w:pPr>
      <w:r w:rsidRPr="00DF1F21">
        <w:rPr>
          <w:rFonts w:ascii="Calibri" w:hAnsi="Calibri" w:cs="Calibri"/>
          <w:noProof/>
          <w:szCs w:val="24"/>
        </w:rPr>
        <w:t xml:space="preserve">27. </w:t>
      </w:r>
      <w:r w:rsidRPr="00DF1F21">
        <w:rPr>
          <w:rFonts w:ascii="Calibri" w:hAnsi="Calibri" w:cs="Calibri"/>
          <w:noProof/>
          <w:szCs w:val="24"/>
        </w:rPr>
        <w:tab/>
        <w:t xml:space="preserve">Fleming M, Mundt M, French M, Manwell L, Stauffacher E, Barry K. Brief Physician Advice for Problem Drinkers: Long-Term Efficacy and Benefit-Cost Analysis. Alcohol Clin Exp Res. 2002 Jan;26(1):36–43. </w:t>
      </w:r>
    </w:p>
    <w:p w14:paraId="35056067" w14:textId="77777777" w:rsidR="00DF1F21" w:rsidRPr="00DF1F21" w:rsidRDefault="00DF1F21" w:rsidP="00DF1F21">
      <w:pPr>
        <w:widowControl w:val="0"/>
        <w:autoSpaceDE w:val="0"/>
        <w:autoSpaceDN w:val="0"/>
        <w:adjustRightInd w:val="0"/>
        <w:spacing w:line="480" w:lineRule="auto"/>
        <w:ind w:left="640" w:hanging="640"/>
        <w:rPr>
          <w:rFonts w:ascii="Calibri" w:hAnsi="Calibri" w:cs="Calibri"/>
          <w:noProof/>
          <w:szCs w:val="24"/>
        </w:rPr>
      </w:pPr>
      <w:r w:rsidRPr="00DF1F21">
        <w:rPr>
          <w:rFonts w:ascii="Calibri" w:hAnsi="Calibri" w:cs="Calibri"/>
          <w:noProof/>
          <w:szCs w:val="24"/>
        </w:rPr>
        <w:t xml:space="preserve">28. </w:t>
      </w:r>
      <w:r w:rsidRPr="00DF1F21">
        <w:rPr>
          <w:rFonts w:ascii="Calibri" w:hAnsi="Calibri" w:cs="Calibri"/>
          <w:noProof/>
          <w:szCs w:val="24"/>
        </w:rPr>
        <w:tab/>
        <w:t>OECD. Purchasing Power Parities (PPPs) Data [Internet]. 2013 [cited 2013 Jul 8]. Available from: http://www.oecd.org/std/prices-ppp/purchasingpowerparitiespppsdata.htm</w:t>
      </w:r>
    </w:p>
    <w:p w14:paraId="2A502776" w14:textId="77777777" w:rsidR="00DF1F21" w:rsidRPr="00DF1F21" w:rsidRDefault="00DF1F21" w:rsidP="00DF1F21">
      <w:pPr>
        <w:widowControl w:val="0"/>
        <w:autoSpaceDE w:val="0"/>
        <w:autoSpaceDN w:val="0"/>
        <w:adjustRightInd w:val="0"/>
        <w:spacing w:line="480" w:lineRule="auto"/>
        <w:ind w:left="640" w:hanging="640"/>
        <w:rPr>
          <w:rFonts w:ascii="Calibri" w:hAnsi="Calibri" w:cs="Calibri"/>
          <w:noProof/>
          <w:szCs w:val="24"/>
        </w:rPr>
      </w:pPr>
      <w:r w:rsidRPr="00DF1F21">
        <w:rPr>
          <w:rFonts w:ascii="Calibri" w:hAnsi="Calibri" w:cs="Calibri"/>
          <w:noProof/>
          <w:szCs w:val="24"/>
        </w:rPr>
        <w:t xml:space="preserve">29. </w:t>
      </w:r>
      <w:r w:rsidRPr="00DF1F21">
        <w:rPr>
          <w:rFonts w:ascii="Calibri" w:hAnsi="Calibri" w:cs="Calibri"/>
          <w:noProof/>
          <w:szCs w:val="24"/>
        </w:rPr>
        <w:tab/>
        <w:t>UKATT Research Team UR. Cost effectiveness of treatment for alcohol problems: findings of the randomised UK alcohol treatment trial (UKATT). BMJ [Internet]. British Medical Journal Publishing Group; 2005 Sep 10;331(7516):544. Available from: http://www.ncbi.nlm.nih.gov/pubmed/16150765</w:t>
      </w:r>
    </w:p>
    <w:p w14:paraId="60069DC0" w14:textId="77777777" w:rsidR="00DF1F21" w:rsidRPr="00DF1F21" w:rsidRDefault="00DF1F21" w:rsidP="00DF1F21">
      <w:pPr>
        <w:widowControl w:val="0"/>
        <w:autoSpaceDE w:val="0"/>
        <w:autoSpaceDN w:val="0"/>
        <w:adjustRightInd w:val="0"/>
        <w:spacing w:line="480" w:lineRule="auto"/>
        <w:ind w:left="640" w:hanging="640"/>
        <w:rPr>
          <w:rFonts w:ascii="Calibri" w:hAnsi="Calibri" w:cs="Calibri"/>
          <w:noProof/>
          <w:szCs w:val="24"/>
        </w:rPr>
      </w:pPr>
      <w:r w:rsidRPr="00DF1F21">
        <w:rPr>
          <w:rFonts w:ascii="Calibri" w:hAnsi="Calibri" w:cs="Calibri"/>
          <w:noProof/>
          <w:szCs w:val="24"/>
        </w:rPr>
        <w:t xml:space="preserve">30. </w:t>
      </w:r>
      <w:r w:rsidRPr="00DF1F21">
        <w:rPr>
          <w:rFonts w:ascii="Calibri" w:hAnsi="Calibri" w:cs="Calibri"/>
          <w:noProof/>
          <w:szCs w:val="24"/>
        </w:rPr>
        <w:tab/>
        <w:t>Fox C. Final reports from the Drug Treatment Outcomes Research Study (DTORS). Probat J [Internet]. SAGE PublicationsSage UK: London, England; 2010 Sep 24;57(3):333–6. Available from: http://journals.sagepub.com/doi/10.1177/02645505100570030908</w:t>
      </w:r>
    </w:p>
    <w:p w14:paraId="78DEBE51" w14:textId="77777777" w:rsidR="00DF1F21" w:rsidRPr="00DF1F21" w:rsidRDefault="00DF1F21" w:rsidP="00DF1F21">
      <w:pPr>
        <w:widowControl w:val="0"/>
        <w:autoSpaceDE w:val="0"/>
        <w:autoSpaceDN w:val="0"/>
        <w:adjustRightInd w:val="0"/>
        <w:spacing w:line="480" w:lineRule="auto"/>
        <w:ind w:left="640" w:hanging="640"/>
        <w:rPr>
          <w:rFonts w:ascii="Calibri" w:hAnsi="Calibri" w:cs="Calibri"/>
          <w:noProof/>
          <w:szCs w:val="24"/>
        </w:rPr>
      </w:pPr>
      <w:r w:rsidRPr="00DF1F21">
        <w:rPr>
          <w:rFonts w:ascii="Calibri" w:hAnsi="Calibri" w:cs="Calibri"/>
          <w:noProof/>
          <w:szCs w:val="24"/>
        </w:rPr>
        <w:t xml:space="preserve">31. </w:t>
      </w:r>
      <w:r w:rsidRPr="00DF1F21">
        <w:rPr>
          <w:rFonts w:ascii="Calibri" w:hAnsi="Calibri" w:cs="Calibri"/>
          <w:noProof/>
          <w:szCs w:val="24"/>
        </w:rPr>
        <w:tab/>
        <w:t>Zur RM, Zaric GS. A Microsimulation Cost-Utility Analysis of Alcohol Screening and Brief Intervention to Reduce Heavy Alcohol Consumption in Canada. Addiction [Internet]. 2015 Oct 19; Available from: http://www.ncbi.nlm.nih.gov/pubmed/26477518</w:t>
      </w:r>
    </w:p>
    <w:p w14:paraId="14381507" w14:textId="77777777" w:rsidR="00DF1F21" w:rsidRPr="00DF1F21" w:rsidRDefault="00DF1F21" w:rsidP="00DF1F21">
      <w:pPr>
        <w:widowControl w:val="0"/>
        <w:autoSpaceDE w:val="0"/>
        <w:autoSpaceDN w:val="0"/>
        <w:adjustRightInd w:val="0"/>
        <w:spacing w:line="480" w:lineRule="auto"/>
        <w:ind w:left="640" w:hanging="640"/>
        <w:rPr>
          <w:rFonts w:ascii="Calibri" w:hAnsi="Calibri" w:cs="Calibri"/>
          <w:noProof/>
          <w:szCs w:val="24"/>
        </w:rPr>
      </w:pPr>
      <w:r w:rsidRPr="00DF1F21">
        <w:rPr>
          <w:rFonts w:ascii="Calibri" w:hAnsi="Calibri" w:cs="Calibri"/>
          <w:noProof/>
          <w:szCs w:val="24"/>
        </w:rPr>
        <w:t xml:space="preserve">32. </w:t>
      </w:r>
      <w:r w:rsidRPr="00DF1F21">
        <w:rPr>
          <w:rFonts w:ascii="Calibri" w:hAnsi="Calibri" w:cs="Calibri"/>
          <w:noProof/>
          <w:szCs w:val="24"/>
        </w:rPr>
        <w:tab/>
        <w:t>OECD. Tackling Harmful Alcohol Use: Economics and Public Health Policy [Internet]. Sassi F, editor. OECD Publishing; 2015. Available from: http://www.oecd-ilibrary.org/social-issues-migration-health/tackling-harmful-alcohol-use_9789264181069-en</w:t>
      </w:r>
    </w:p>
    <w:p w14:paraId="468B5ABA" w14:textId="77777777" w:rsidR="00DF1F21" w:rsidRPr="00DF1F21" w:rsidRDefault="00DF1F21" w:rsidP="00DF1F21">
      <w:pPr>
        <w:widowControl w:val="0"/>
        <w:autoSpaceDE w:val="0"/>
        <w:autoSpaceDN w:val="0"/>
        <w:adjustRightInd w:val="0"/>
        <w:spacing w:line="480" w:lineRule="auto"/>
        <w:ind w:left="640" w:hanging="640"/>
        <w:rPr>
          <w:rFonts w:ascii="Calibri" w:hAnsi="Calibri" w:cs="Calibri"/>
          <w:noProof/>
          <w:szCs w:val="24"/>
        </w:rPr>
      </w:pPr>
      <w:r w:rsidRPr="00DF1F21">
        <w:rPr>
          <w:rFonts w:ascii="Calibri" w:hAnsi="Calibri" w:cs="Calibri"/>
          <w:noProof/>
          <w:szCs w:val="24"/>
        </w:rPr>
        <w:t xml:space="preserve">33. </w:t>
      </w:r>
      <w:r w:rsidRPr="00DF1F21">
        <w:rPr>
          <w:rFonts w:ascii="Calibri" w:hAnsi="Calibri" w:cs="Calibri"/>
          <w:noProof/>
          <w:szCs w:val="24"/>
        </w:rPr>
        <w:tab/>
        <w:t xml:space="preserve">Chisholm D, Rehm J, van Ommeren M, Monteiro M. Reducing the global burden of hazardous alcohol use: a comparative cost-effectiveness analysis. J Stud Alcohol. 2004;65:782–93. </w:t>
      </w:r>
    </w:p>
    <w:p w14:paraId="6B245959" w14:textId="77777777" w:rsidR="00DF1F21" w:rsidRPr="00DF1F21" w:rsidRDefault="00DF1F21" w:rsidP="00DF1F21">
      <w:pPr>
        <w:widowControl w:val="0"/>
        <w:autoSpaceDE w:val="0"/>
        <w:autoSpaceDN w:val="0"/>
        <w:adjustRightInd w:val="0"/>
        <w:spacing w:line="480" w:lineRule="auto"/>
        <w:ind w:left="640" w:hanging="640"/>
        <w:rPr>
          <w:rFonts w:ascii="Calibri" w:hAnsi="Calibri" w:cs="Calibri"/>
          <w:noProof/>
          <w:szCs w:val="24"/>
        </w:rPr>
      </w:pPr>
      <w:r w:rsidRPr="00DF1F21">
        <w:rPr>
          <w:rFonts w:ascii="Calibri" w:hAnsi="Calibri" w:cs="Calibri"/>
          <w:noProof/>
          <w:szCs w:val="24"/>
        </w:rPr>
        <w:t xml:space="preserve">34. </w:t>
      </w:r>
      <w:r w:rsidRPr="00DF1F21">
        <w:rPr>
          <w:rFonts w:ascii="Calibri" w:hAnsi="Calibri" w:cs="Calibri"/>
          <w:noProof/>
          <w:szCs w:val="24"/>
        </w:rPr>
        <w:tab/>
        <w:t>Bendtsen P, Müssener U, Karlsson N, López-Pelayo H, Palacio-Vieira J, Colom J, et al. Implementing referral to an electronic alcohol brief advice website in primary healthcare: results from the ODHIN implementation trial. BMJ Open [Internet]. British Medical Journal Publishing Group; 2016 Jun 16;6(6):e010271. Available from: http://www.ncbi.nlm.nih.gov/pubmed/27311902</w:t>
      </w:r>
    </w:p>
    <w:p w14:paraId="6C84ABFB" w14:textId="77777777" w:rsidR="00DF1F21" w:rsidRPr="00DF1F21" w:rsidRDefault="00DF1F21" w:rsidP="00DF1F21">
      <w:pPr>
        <w:widowControl w:val="0"/>
        <w:autoSpaceDE w:val="0"/>
        <w:autoSpaceDN w:val="0"/>
        <w:adjustRightInd w:val="0"/>
        <w:spacing w:line="480" w:lineRule="auto"/>
        <w:ind w:left="640" w:hanging="640"/>
        <w:rPr>
          <w:rFonts w:ascii="Calibri" w:hAnsi="Calibri" w:cs="Calibri"/>
          <w:noProof/>
          <w:szCs w:val="24"/>
        </w:rPr>
      </w:pPr>
      <w:r w:rsidRPr="00DF1F21">
        <w:rPr>
          <w:rFonts w:ascii="Calibri" w:hAnsi="Calibri" w:cs="Calibri"/>
          <w:noProof/>
          <w:szCs w:val="24"/>
        </w:rPr>
        <w:t xml:space="preserve">35. </w:t>
      </w:r>
      <w:r w:rsidRPr="00DF1F21">
        <w:rPr>
          <w:rFonts w:ascii="Calibri" w:hAnsi="Calibri" w:cs="Calibri"/>
          <w:noProof/>
          <w:szCs w:val="24"/>
        </w:rPr>
        <w:tab/>
        <w:t>Kramer G. Payment for performance and the QOF: are we doing the right thing? Br J Gen Pract [Internet]. Royal College of General Practitioners; 2012 Mar;62(596):e217-9. Available from: http://www.ncbi.nlm.nih.gov/pubmed/22429440</w:t>
      </w:r>
    </w:p>
    <w:p w14:paraId="38C6B7BE" w14:textId="77777777" w:rsidR="00DF1F21" w:rsidRPr="00DF1F21" w:rsidRDefault="00DF1F21" w:rsidP="00DF1F21">
      <w:pPr>
        <w:widowControl w:val="0"/>
        <w:autoSpaceDE w:val="0"/>
        <w:autoSpaceDN w:val="0"/>
        <w:adjustRightInd w:val="0"/>
        <w:spacing w:line="480" w:lineRule="auto"/>
        <w:ind w:left="640" w:hanging="640"/>
        <w:rPr>
          <w:rFonts w:ascii="Calibri" w:hAnsi="Calibri" w:cs="Calibri"/>
          <w:noProof/>
        </w:rPr>
      </w:pPr>
      <w:r w:rsidRPr="00DF1F21">
        <w:rPr>
          <w:rFonts w:ascii="Calibri" w:hAnsi="Calibri" w:cs="Calibri"/>
          <w:noProof/>
          <w:szCs w:val="24"/>
        </w:rPr>
        <w:t xml:space="preserve">36. </w:t>
      </w:r>
      <w:r w:rsidRPr="00DF1F21">
        <w:rPr>
          <w:rFonts w:ascii="Calibri" w:hAnsi="Calibri" w:cs="Calibri"/>
          <w:noProof/>
          <w:szCs w:val="24"/>
        </w:rPr>
        <w:tab/>
        <w:t>Gravelle H, Sutton M, Ma A. Doctor behaviour under a pay for performance contract: Further evidence from the Qaulity and Outcomes Framework [Internet]. 2008. Report No.: 034. Available from: https://ideas.repec.org/p/chy/respap/34cherp.html</w:t>
      </w:r>
    </w:p>
    <w:p w14:paraId="27DAF91B" w14:textId="05C38627" w:rsidR="00717FDC" w:rsidRDefault="00730DEA" w:rsidP="00D04DAC">
      <w:pPr>
        <w:widowControl w:val="0"/>
        <w:autoSpaceDE w:val="0"/>
        <w:autoSpaceDN w:val="0"/>
        <w:adjustRightInd w:val="0"/>
        <w:spacing w:line="480" w:lineRule="auto"/>
        <w:ind w:left="640" w:hanging="640"/>
      </w:pPr>
      <w:r>
        <w:fldChar w:fldCharType="end"/>
      </w:r>
      <w:r w:rsidR="00717FDC">
        <w:br w:type="page"/>
      </w:r>
    </w:p>
    <w:p w14:paraId="7413BC33" w14:textId="0D45F450" w:rsidR="00717FDC" w:rsidRDefault="00717FDC" w:rsidP="00717FDC">
      <w:pPr>
        <w:pStyle w:val="Caption"/>
        <w:keepNext/>
      </w:pPr>
      <w:bookmarkStart w:id="3" w:name="_Ref505285179"/>
      <w:r>
        <w:t xml:space="preserve">Table </w:t>
      </w:r>
      <w:r w:rsidR="006864D9">
        <w:rPr>
          <w:noProof/>
        </w:rPr>
        <w:fldChar w:fldCharType="begin"/>
      </w:r>
      <w:r w:rsidR="006864D9">
        <w:rPr>
          <w:noProof/>
        </w:rPr>
        <w:instrText xml:space="preserve"> SEQ Table \* ARABIC </w:instrText>
      </w:r>
      <w:r w:rsidR="006864D9">
        <w:rPr>
          <w:noProof/>
        </w:rPr>
        <w:fldChar w:fldCharType="separate"/>
      </w:r>
      <w:r w:rsidR="006A00DF">
        <w:rPr>
          <w:noProof/>
        </w:rPr>
        <w:t>1</w:t>
      </w:r>
      <w:r w:rsidR="006864D9">
        <w:rPr>
          <w:noProof/>
        </w:rPr>
        <w:fldChar w:fldCharType="end"/>
      </w:r>
      <w:bookmarkEnd w:id="3"/>
      <w:r w:rsidR="006A00DF">
        <w:t xml:space="preserve"> -</w:t>
      </w:r>
      <w:r>
        <w:t xml:space="preserve"> Baseline Screening and Brief Intervention rates and the impact on these as </w:t>
      </w:r>
      <w:r w:rsidR="006A00DF">
        <w:t>estimated from</w:t>
      </w:r>
      <w:r>
        <w:t xml:space="preserve"> the ODHIN trial</w:t>
      </w:r>
    </w:p>
    <w:tbl>
      <w:tblPr>
        <w:tblW w:w="9021" w:type="dxa"/>
        <w:tblLook w:val="04A0" w:firstRow="1" w:lastRow="0" w:firstColumn="1" w:lastColumn="0" w:noHBand="0" w:noVBand="1"/>
      </w:tblPr>
      <w:tblGrid>
        <w:gridCol w:w="1560"/>
        <w:gridCol w:w="1601"/>
        <w:gridCol w:w="2063"/>
        <w:gridCol w:w="1844"/>
        <w:gridCol w:w="1953"/>
      </w:tblGrid>
      <w:tr w:rsidR="00717FDC" w:rsidRPr="006A00DF" w14:paraId="43979F9A" w14:textId="77777777" w:rsidTr="00717FDC">
        <w:trPr>
          <w:trHeight w:val="699"/>
        </w:trPr>
        <w:tc>
          <w:tcPr>
            <w:tcW w:w="3161" w:type="dxa"/>
            <w:gridSpan w:val="2"/>
            <w:tcBorders>
              <w:top w:val="nil"/>
              <w:left w:val="nil"/>
              <w:bottom w:val="single" w:sz="4" w:space="0" w:color="auto"/>
              <w:right w:val="single" w:sz="4" w:space="0" w:color="000000"/>
            </w:tcBorders>
            <w:shd w:val="clear" w:color="auto" w:fill="auto"/>
            <w:noWrap/>
            <w:vAlign w:val="bottom"/>
            <w:hideMark/>
          </w:tcPr>
          <w:p w14:paraId="71166E6C" w14:textId="77777777" w:rsidR="00717FDC" w:rsidRPr="006A00DF" w:rsidRDefault="00717FDC" w:rsidP="006A00DF">
            <w:pPr>
              <w:spacing w:after="0" w:line="480" w:lineRule="auto"/>
              <w:jc w:val="center"/>
              <w:rPr>
                <w:rFonts w:ascii="Calibri" w:eastAsia="Times New Roman" w:hAnsi="Calibri" w:cs="Calibri"/>
                <w:color w:val="000000"/>
                <w:sz w:val="20"/>
                <w:lang w:eastAsia="en-GB"/>
              </w:rPr>
            </w:pPr>
            <w:r w:rsidRPr="006A00DF">
              <w:rPr>
                <w:rFonts w:ascii="Calibri" w:eastAsia="Times New Roman" w:hAnsi="Calibri" w:cs="Calibri"/>
                <w:color w:val="000000"/>
                <w:sz w:val="20"/>
                <w:lang w:eastAsia="en-GB"/>
              </w:rPr>
              <w:t> </w:t>
            </w:r>
          </w:p>
        </w:tc>
        <w:tc>
          <w:tcPr>
            <w:tcW w:w="2063" w:type="dxa"/>
            <w:tcBorders>
              <w:top w:val="single" w:sz="4" w:space="0" w:color="auto"/>
              <w:left w:val="nil"/>
              <w:bottom w:val="single" w:sz="4" w:space="0" w:color="auto"/>
              <w:right w:val="nil"/>
            </w:tcBorders>
            <w:shd w:val="clear" w:color="auto" w:fill="auto"/>
            <w:vAlign w:val="center"/>
            <w:hideMark/>
          </w:tcPr>
          <w:p w14:paraId="04971B7A" w14:textId="77777777" w:rsidR="00717FDC" w:rsidRPr="006A00DF" w:rsidRDefault="00717FDC" w:rsidP="006A00DF">
            <w:pPr>
              <w:spacing w:after="0" w:line="480" w:lineRule="auto"/>
              <w:jc w:val="center"/>
              <w:rPr>
                <w:rFonts w:ascii="Calibri" w:eastAsia="Times New Roman" w:hAnsi="Calibri" w:cs="Calibri"/>
                <w:b/>
                <w:bCs/>
                <w:color w:val="000000"/>
                <w:sz w:val="20"/>
                <w:szCs w:val="24"/>
                <w:lang w:eastAsia="en-GB"/>
              </w:rPr>
            </w:pPr>
            <w:r w:rsidRPr="006A00DF">
              <w:rPr>
                <w:rFonts w:ascii="Calibri" w:eastAsia="Times New Roman" w:hAnsi="Calibri" w:cs="Arial"/>
                <w:b/>
                <w:bCs/>
                <w:color w:val="000000"/>
                <w:sz w:val="20"/>
                <w:lang w:eastAsia="en-GB"/>
              </w:rPr>
              <w:t>Screening proportion</w:t>
            </w:r>
          </w:p>
        </w:tc>
        <w:tc>
          <w:tcPr>
            <w:tcW w:w="1844" w:type="dxa"/>
            <w:tcBorders>
              <w:top w:val="single" w:sz="4" w:space="0" w:color="auto"/>
              <w:left w:val="nil"/>
              <w:bottom w:val="single" w:sz="4" w:space="0" w:color="auto"/>
              <w:right w:val="nil"/>
            </w:tcBorders>
            <w:shd w:val="clear" w:color="000000" w:fill="F2F2F2"/>
            <w:vAlign w:val="center"/>
            <w:hideMark/>
          </w:tcPr>
          <w:p w14:paraId="3405BCB6" w14:textId="77777777" w:rsidR="00717FDC" w:rsidRPr="006A00DF" w:rsidRDefault="00717FDC" w:rsidP="006A00DF">
            <w:pPr>
              <w:spacing w:after="0" w:line="480" w:lineRule="auto"/>
              <w:jc w:val="center"/>
              <w:rPr>
                <w:rFonts w:ascii="Calibri" w:eastAsia="Times New Roman" w:hAnsi="Calibri" w:cs="Calibri"/>
                <w:b/>
                <w:bCs/>
                <w:color w:val="000000"/>
                <w:sz w:val="20"/>
                <w:szCs w:val="24"/>
                <w:lang w:eastAsia="en-GB"/>
              </w:rPr>
            </w:pPr>
            <w:r w:rsidRPr="006A00DF">
              <w:rPr>
                <w:rFonts w:ascii="Calibri" w:eastAsia="Times New Roman" w:hAnsi="Calibri" w:cs="Arial"/>
                <w:b/>
                <w:bCs/>
                <w:color w:val="000000"/>
                <w:sz w:val="20"/>
                <w:lang w:eastAsia="en-GB"/>
              </w:rPr>
              <w:t>Screen positive proportion</w:t>
            </w:r>
          </w:p>
        </w:tc>
        <w:tc>
          <w:tcPr>
            <w:tcW w:w="1953" w:type="dxa"/>
            <w:tcBorders>
              <w:top w:val="single" w:sz="4" w:space="0" w:color="auto"/>
              <w:left w:val="nil"/>
              <w:bottom w:val="single" w:sz="4" w:space="0" w:color="auto"/>
              <w:right w:val="single" w:sz="4" w:space="0" w:color="auto"/>
            </w:tcBorders>
            <w:shd w:val="clear" w:color="000000" w:fill="D9D9D9"/>
            <w:vAlign w:val="center"/>
            <w:hideMark/>
          </w:tcPr>
          <w:p w14:paraId="5B255E18" w14:textId="77777777" w:rsidR="00717FDC" w:rsidRPr="006A00DF" w:rsidRDefault="00717FDC" w:rsidP="006A00DF">
            <w:pPr>
              <w:spacing w:after="0" w:line="480" w:lineRule="auto"/>
              <w:jc w:val="center"/>
              <w:rPr>
                <w:rFonts w:ascii="Calibri" w:eastAsia="Times New Roman" w:hAnsi="Calibri" w:cs="Calibri"/>
                <w:b/>
                <w:bCs/>
                <w:color w:val="000000"/>
                <w:sz w:val="20"/>
                <w:szCs w:val="24"/>
                <w:lang w:eastAsia="en-GB"/>
              </w:rPr>
            </w:pPr>
            <w:r w:rsidRPr="006A00DF">
              <w:rPr>
                <w:rFonts w:ascii="Calibri" w:eastAsia="Times New Roman" w:hAnsi="Calibri" w:cs="Arial"/>
                <w:b/>
                <w:bCs/>
                <w:color w:val="000000"/>
                <w:sz w:val="20"/>
                <w:lang w:eastAsia="en-GB"/>
              </w:rPr>
              <w:t>Brief Intervention proportion</w:t>
            </w:r>
          </w:p>
        </w:tc>
      </w:tr>
      <w:tr w:rsidR="00717FDC" w:rsidRPr="006A00DF" w14:paraId="5A818656" w14:textId="77777777" w:rsidTr="00717FDC">
        <w:trPr>
          <w:trHeight w:val="270"/>
        </w:trPr>
        <w:tc>
          <w:tcPr>
            <w:tcW w:w="3161" w:type="dxa"/>
            <w:gridSpan w:val="2"/>
            <w:tcBorders>
              <w:top w:val="single" w:sz="4" w:space="0" w:color="auto"/>
              <w:left w:val="single" w:sz="4" w:space="0" w:color="auto"/>
              <w:bottom w:val="nil"/>
              <w:right w:val="single" w:sz="4" w:space="0" w:color="auto"/>
            </w:tcBorders>
            <w:shd w:val="clear" w:color="auto" w:fill="auto"/>
            <w:noWrap/>
            <w:vAlign w:val="bottom"/>
            <w:hideMark/>
          </w:tcPr>
          <w:p w14:paraId="2AD2AB77" w14:textId="77777777" w:rsidR="00717FDC" w:rsidRPr="006A00DF" w:rsidRDefault="00717FDC" w:rsidP="006A00DF">
            <w:pPr>
              <w:spacing w:after="0" w:line="480" w:lineRule="auto"/>
              <w:rPr>
                <w:rFonts w:ascii="Calibri" w:eastAsia="Times New Roman" w:hAnsi="Calibri" w:cs="Calibri"/>
                <w:b/>
                <w:bCs/>
                <w:color w:val="000000"/>
                <w:sz w:val="20"/>
                <w:lang w:eastAsia="en-GB"/>
              </w:rPr>
            </w:pPr>
            <w:r w:rsidRPr="006A00DF">
              <w:rPr>
                <w:rFonts w:ascii="Calibri" w:eastAsia="Times New Roman" w:hAnsi="Calibri" w:cs="Calibri"/>
                <w:b/>
                <w:bCs/>
                <w:color w:val="000000"/>
                <w:sz w:val="20"/>
                <w:lang w:eastAsia="en-GB"/>
              </w:rPr>
              <w:t>Baseline</w:t>
            </w:r>
          </w:p>
        </w:tc>
        <w:tc>
          <w:tcPr>
            <w:tcW w:w="2063" w:type="dxa"/>
            <w:tcBorders>
              <w:top w:val="single" w:sz="4" w:space="0" w:color="auto"/>
              <w:left w:val="single" w:sz="4" w:space="0" w:color="auto"/>
              <w:bottom w:val="single" w:sz="4" w:space="0" w:color="auto"/>
              <w:right w:val="nil"/>
            </w:tcBorders>
            <w:shd w:val="clear" w:color="auto" w:fill="auto"/>
            <w:noWrap/>
            <w:vAlign w:val="bottom"/>
            <w:hideMark/>
          </w:tcPr>
          <w:p w14:paraId="6F08C9DF" w14:textId="77777777" w:rsidR="00717FDC" w:rsidRPr="006A00DF" w:rsidRDefault="00717FDC" w:rsidP="006A00DF">
            <w:pPr>
              <w:spacing w:after="0" w:line="480" w:lineRule="auto"/>
              <w:rPr>
                <w:rFonts w:ascii="Calibri" w:eastAsia="Times New Roman" w:hAnsi="Calibri" w:cs="Calibri"/>
                <w:color w:val="000000"/>
                <w:sz w:val="20"/>
                <w:lang w:eastAsia="en-GB"/>
              </w:rPr>
            </w:pPr>
            <w:r w:rsidRPr="006A00DF">
              <w:rPr>
                <w:rFonts w:ascii="Calibri" w:eastAsia="Times New Roman" w:hAnsi="Calibri" w:cs="Calibri"/>
                <w:color w:val="000000"/>
                <w:sz w:val="20"/>
                <w:lang w:eastAsia="en-GB"/>
              </w:rPr>
              <w:t> </w:t>
            </w:r>
          </w:p>
        </w:tc>
        <w:tc>
          <w:tcPr>
            <w:tcW w:w="1844" w:type="dxa"/>
            <w:tcBorders>
              <w:top w:val="single" w:sz="4" w:space="0" w:color="auto"/>
              <w:left w:val="nil"/>
              <w:bottom w:val="single" w:sz="4" w:space="0" w:color="auto"/>
              <w:right w:val="nil"/>
            </w:tcBorders>
            <w:shd w:val="clear" w:color="auto" w:fill="auto"/>
            <w:noWrap/>
            <w:vAlign w:val="bottom"/>
            <w:hideMark/>
          </w:tcPr>
          <w:p w14:paraId="3F356174" w14:textId="77777777" w:rsidR="00717FDC" w:rsidRPr="006A00DF" w:rsidRDefault="00717FDC" w:rsidP="006A00DF">
            <w:pPr>
              <w:spacing w:after="0" w:line="480" w:lineRule="auto"/>
              <w:rPr>
                <w:rFonts w:ascii="Calibri" w:eastAsia="Times New Roman" w:hAnsi="Calibri" w:cs="Calibri"/>
                <w:color w:val="000000"/>
                <w:sz w:val="20"/>
                <w:lang w:eastAsia="en-GB"/>
              </w:rPr>
            </w:pPr>
          </w:p>
        </w:tc>
        <w:tc>
          <w:tcPr>
            <w:tcW w:w="1953" w:type="dxa"/>
            <w:tcBorders>
              <w:top w:val="single" w:sz="4" w:space="0" w:color="auto"/>
              <w:left w:val="nil"/>
              <w:bottom w:val="single" w:sz="4" w:space="0" w:color="auto"/>
              <w:right w:val="single" w:sz="4" w:space="0" w:color="auto"/>
            </w:tcBorders>
            <w:shd w:val="clear" w:color="auto" w:fill="auto"/>
            <w:noWrap/>
            <w:vAlign w:val="bottom"/>
            <w:hideMark/>
          </w:tcPr>
          <w:p w14:paraId="7DE87947" w14:textId="77777777" w:rsidR="00717FDC" w:rsidRPr="006A00DF" w:rsidRDefault="00717FDC" w:rsidP="006A00DF">
            <w:pPr>
              <w:spacing w:after="0" w:line="480" w:lineRule="auto"/>
              <w:rPr>
                <w:rFonts w:ascii="Calibri" w:eastAsia="Times New Roman" w:hAnsi="Calibri" w:cs="Calibri"/>
                <w:color w:val="000000"/>
                <w:sz w:val="20"/>
                <w:lang w:eastAsia="en-GB"/>
              </w:rPr>
            </w:pPr>
            <w:r w:rsidRPr="006A00DF">
              <w:rPr>
                <w:rFonts w:ascii="Calibri" w:eastAsia="Times New Roman" w:hAnsi="Calibri" w:cs="Calibri"/>
                <w:color w:val="000000"/>
                <w:sz w:val="20"/>
                <w:lang w:eastAsia="en-GB"/>
              </w:rPr>
              <w:t> </w:t>
            </w:r>
          </w:p>
        </w:tc>
      </w:tr>
      <w:tr w:rsidR="00717FDC" w:rsidRPr="006A00DF" w14:paraId="47293264" w14:textId="77777777" w:rsidTr="00717FDC">
        <w:trPr>
          <w:trHeight w:val="324"/>
        </w:trPr>
        <w:tc>
          <w:tcPr>
            <w:tcW w:w="1560"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360B80A9" w14:textId="77777777" w:rsidR="00717FDC" w:rsidRPr="006A00DF" w:rsidRDefault="00717FDC" w:rsidP="006A00DF">
            <w:pPr>
              <w:spacing w:after="0" w:line="480" w:lineRule="auto"/>
              <w:rPr>
                <w:rFonts w:ascii="Calibri" w:eastAsia="Times New Roman" w:hAnsi="Calibri" w:cs="Calibri"/>
                <w:b/>
                <w:bCs/>
                <w:color w:val="000000"/>
                <w:sz w:val="20"/>
                <w:lang w:eastAsia="en-GB"/>
              </w:rPr>
            </w:pPr>
            <w:r w:rsidRPr="006A00DF">
              <w:rPr>
                <w:rFonts w:ascii="Calibri" w:eastAsia="Times New Roman" w:hAnsi="Calibri" w:cs="Calibri"/>
                <w:b/>
                <w:bCs/>
                <w:color w:val="000000"/>
                <w:sz w:val="20"/>
                <w:lang w:eastAsia="en-GB"/>
              </w:rPr>
              <w:t>Country</w:t>
            </w:r>
          </w:p>
        </w:tc>
        <w:tc>
          <w:tcPr>
            <w:tcW w:w="1601" w:type="dxa"/>
            <w:tcBorders>
              <w:top w:val="single" w:sz="4" w:space="0" w:color="auto"/>
              <w:left w:val="nil"/>
              <w:bottom w:val="nil"/>
              <w:right w:val="single" w:sz="4" w:space="0" w:color="auto"/>
            </w:tcBorders>
            <w:shd w:val="clear" w:color="auto" w:fill="auto"/>
            <w:noWrap/>
            <w:vAlign w:val="bottom"/>
            <w:hideMark/>
          </w:tcPr>
          <w:p w14:paraId="7253B10D" w14:textId="77777777" w:rsidR="00717FDC" w:rsidRPr="006A00DF" w:rsidRDefault="00717FDC" w:rsidP="006A00DF">
            <w:pPr>
              <w:spacing w:after="0" w:line="480" w:lineRule="auto"/>
              <w:rPr>
                <w:rFonts w:ascii="Calibri" w:eastAsia="Times New Roman" w:hAnsi="Calibri" w:cs="Calibri"/>
                <w:b/>
                <w:bCs/>
                <w:color w:val="000000"/>
                <w:sz w:val="20"/>
                <w:lang w:eastAsia="en-GB"/>
              </w:rPr>
            </w:pPr>
            <w:r w:rsidRPr="006A00DF">
              <w:rPr>
                <w:rFonts w:ascii="Calibri" w:eastAsia="Times New Roman" w:hAnsi="Calibri" w:cs="Calibri"/>
                <w:b/>
                <w:bCs/>
                <w:color w:val="000000"/>
                <w:sz w:val="20"/>
                <w:lang w:eastAsia="en-GB"/>
              </w:rPr>
              <w:t>England</w:t>
            </w:r>
          </w:p>
        </w:tc>
        <w:tc>
          <w:tcPr>
            <w:tcW w:w="2063" w:type="dxa"/>
            <w:tcBorders>
              <w:top w:val="single" w:sz="4" w:space="0" w:color="auto"/>
              <w:left w:val="nil"/>
              <w:bottom w:val="nil"/>
              <w:right w:val="nil"/>
            </w:tcBorders>
            <w:shd w:val="clear" w:color="auto" w:fill="auto"/>
            <w:vAlign w:val="center"/>
            <w:hideMark/>
          </w:tcPr>
          <w:p w14:paraId="0FBC41E0" w14:textId="77777777" w:rsidR="00717FDC" w:rsidRPr="006A00DF" w:rsidRDefault="00717FDC" w:rsidP="006A00DF">
            <w:pPr>
              <w:spacing w:after="0" w:line="480" w:lineRule="auto"/>
              <w:jc w:val="center"/>
              <w:rPr>
                <w:rFonts w:ascii="Calibri" w:eastAsia="Times New Roman" w:hAnsi="Calibri" w:cs="Calibri"/>
                <w:color w:val="000000"/>
                <w:sz w:val="20"/>
                <w:szCs w:val="24"/>
                <w:lang w:eastAsia="en-GB"/>
              </w:rPr>
            </w:pPr>
            <w:r w:rsidRPr="006A00DF">
              <w:rPr>
                <w:rFonts w:ascii="Calibri" w:eastAsia="Times New Roman" w:hAnsi="Calibri" w:cs="Arial"/>
                <w:color w:val="000000"/>
                <w:sz w:val="20"/>
                <w:lang w:eastAsia="en-GB"/>
              </w:rPr>
              <w:t>4.6%</w:t>
            </w:r>
          </w:p>
        </w:tc>
        <w:tc>
          <w:tcPr>
            <w:tcW w:w="1844" w:type="dxa"/>
            <w:tcBorders>
              <w:top w:val="single" w:sz="4" w:space="0" w:color="auto"/>
              <w:left w:val="nil"/>
              <w:bottom w:val="nil"/>
              <w:right w:val="nil"/>
            </w:tcBorders>
            <w:shd w:val="clear" w:color="000000" w:fill="F2F2F2"/>
            <w:vAlign w:val="center"/>
            <w:hideMark/>
          </w:tcPr>
          <w:p w14:paraId="4437F57B" w14:textId="77777777" w:rsidR="00717FDC" w:rsidRPr="006A00DF" w:rsidRDefault="00717FDC" w:rsidP="006A00DF">
            <w:pPr>
              <w:spacing w:after="0" w:line="480" w:lineRule="auto"/>
              <w:jc w:val="center"/>
              <w:rPr>
                <w:rFonts w:ascii="Calibri" w:eastAsia="Times New Roman" w:hAnsi="Calibri" w:cs="Calibri"/>
                <w:color w:val="000000"/>
                <w:sz w:val="20"/>
                <w:szCs w:val="24"/>
                <w:lang w:eastAsia="en-GB"/>
              </w:rPr>
            </w:pPr>
            <w:r w:rsidRPr="006A00DF">
              <w:rPr>
                <w:rFonts w:ascii="Calibri" w:eastAsia="Times New Roman" w:hAnsi="Calibri" w:cs="Arial"/>
                <w:color w:val="000000"/>
                <w:sz w:val="20"/>
                <w:lang w:eastAsia="en-GB"/>
              </w:rPr>
              <w:t>48.9%</w:t>
            </w:r>
          </w:p>
        </w:tc>
        <w:tc>
          <w:tcPr>
            <w:tcW w:w="1953" w:type="dxa"/>
            <w:tcBorders>
              <w:top w:val="single" w:sz="4" w:space="0" w:color="auto"/>
              <w:left w:val="nil"/>
              <w:bottom w:val="nil"/>
              <w:right w:val="single" w:sz="4" w:space="0" w:color="auto"/>
            </w:tcBorders>
            <w:shd w:val="clear" w:color="000000" w:fill="D9D9D9"/>
            <w:vAlign w:val="center"/>
            <w:hideMark/>
          </w:tcPr>
          <w:p w14:paraId="31D157FC" w14:textId="77777777" w:rsidR="00717FDC" w:rsidRPr="006A00DF" w:rsidRDefault="00717FDC" w:rsidP="006A00DF">
            <w:pPr>
              <w:spacing w:after="0" w:line="480" w:lineRule="auto"/>
              <w:jc w:val="center"/>
              <w:rPr>
                <w:rFonts w:ascii="Calibri" w:eastAsia="Times New Roman" w:hAnsi="Calibri" w:cs="Calibri"/>
                <w:color w:val="000000"/>
                <w:sz w:val="20"/>
                <w:szCs w:val="24"/>
                <w:lang w:eastAsia="en-GB"/>
              </w:rPr>
            </w:pPr>
            <w:r w:rsidRPr="006A00DF">
              <w:rPr>
                <w:rFonts w:ascii="Calibri" w:eastAsia="Times New Roman" w:hAnsi="Calibri" w:cs="Arial"/>
                <w:color w:val="000000"/>
                <w:sz w:val="20"/>
                <w:lang w:eastAsia="en-GB"/>
              </w:rPr>
              <w:t>85.9%</w:t>
            </w:r>
          </w:p>
        </w:tc>
      </w:tr>
      <w:tr w:rsidR="00717FDC" w:rsidRPr="006A00DF" w14:paraId="559CED8E" w14:textId="77777777" w:rsidTr="00717FDC">
        <w:trPr>
          <w:trHeight w:val="324"/>
        </w:trPr>
        <w:tc>
          <w:tcPr>
            <w:tcW w:w="1560" w:type="dxa"/>
            <w:vMerge/>
            <w:tcBorders>
              <w:top w:val="single" w:sz="4" w:space="0" w:color="auto"/>
              <w:left w:val="single" w:sz="4" w:space="0" w:color="auto"/>
              <w:bottom w:val="single" w:sz="4" w:space="0" w:color="000000"/>
              <w:right w:val="nil"/>
            </w:tcBorders>
            <w:vAlign w:val="center"/>
            <w:hideMark/>
          </w:tcPr>
          <w:p w14:paraId="127F09FC" w14:textId="77777777" w:rsidR="00717FDC" w:rsidRPr="006A00DF" w:rsidRDefault="00717FDC" w:rsidP="006A00DF">
            <w:pPr>
              <w:spacing w:after="0" w:line="480" w:lineRule="auto"/>
              <w:rPr>
                <w:rFonts w:ascii="Calibri" w:eastAsia="Times New Roman" w:hAnsi="Calibri" w:cs="Calibri"/>
                <w:b/>
                <w:bCs/>
                <w:color w:val="000000"/>
                <w:sz w:val="20"/>
                <w:lang w:eastAsia="en-GB"/>
              </w:rPr>
            </w:pPr>
          </w:p>
        </w:tc>
        <w:tc>
          <w:tcPr>
            <w:tcW w:w="1601" w:type="dxa"/>
            <w:tcBorders>
              <w:top w:val="nil"/>
              <w:left w:val="nil"/>
              <w:bottom w:val="nil"/>
              <w:right w:val="single" w:sz="4" w:space="0" w:color="auto"/>
            </w:tcBorders>
            <w:shd w:val="clear" w:color="auto" w:fill="auto"/>
            <w:noWrap/>
            <w:vAlign w:val="bottom"/>
            <w:hideMark/>
          </w:tcPr>
          <w:p w14:paraId="2EAED25A" w14:textId="77777777" w:rsidR="00717FDC" w:rsidRPr="006A00DF" w:rsidRDefault="00717FDC" w:rsidP="006A00DF">
            <w:pPr>
              <w:spacing w:after="0" w:line="480" w:lineRule="auto"/>
              <w:rPr>
                <w:rFonts w:ascii="Calibri" w:eastAsia="Times New Roman" w:hAnsi="Calibri" w:cs="Calibri"/>
                <w:b/>
                <w:bCs/>
                <w:color w:val="000000"/>
                <w:sz w:val="20"/>
                <w:lang w:eastAsia="en-GB"/>
              </w:rPr>
            </w:pPr>
            <w:r w:rsidRPr="006A00DF">
              <w:rPr>
                <w:rFonts w:ascii="Calibri" w:eastAsia="Times New Roman" w:hAnsi="Calibri" w:cs="Calibri"/>
                <w:b/>
                <w:bCs/>
                <w:color w:val="000000"/>
                <w:sz w:val="20"/>
                <w:lang w:eastAsia="en-GB"/>
              </w:rPr>
              <w:t>Netherlands</w:t>
            </w:r>
          </w:p>
        </w:tc>
        <w:tc>
          <w:tcPr>
            <w:tcW w:w="2063" w:type="dxa"/>
            <w:tcBorders>
              <w:top w:val="nil"/>
              <w:left w:val="nil"/>
              <w:bottom w:val="nil"/>
              <w:right w:val="nil"/>
            </w:tcBorders>
            <w:shd w:val="clear" w:color="auto" w:fill="auto"/>
            <w:vAlign w:val="center"/>
            <w:hideMark/>
          </w:tcPr>
          <w:p w14:paraId="03C89D51" w14:textId="77777777" w:rsidR="00717FDC" w:rsidRPr="006A00DF" w:rsidRDefault="00717FDC" w:rsidP="006A00DF">
            <w:pPr>
              <w:spacing w:after="0" w:line="480" w:lineRule="auto"/>
              <w:jc w:val="center"/>
              <w:rPr>
                <w:rFonts w:ascii="Calibri" w:eastAsia="Times New Roman" w:hAnsi="Calibri" w:cs="Calibri"/>
                <w:color w:val="000000"/>
                <w:sz w:val="20"/>
                <w:szCs w:val="24"/>
                <w:lang w:eastAsia="en-GB"/>
              </w:rPr>
            </w:pPr>
            <w:r w:rsidRPr="006A00DF">
              <w:rPr>
                <w:rFonts w:ascii="Calibri" w:eastAsia="Times New Roman" w:hAnsi="Calibri" w:cs="Arial"/>
                <w:color w:val="000000"/>
                <w:sz w:val="20"/>
                <w:lang w:eastAsia="en-GB"/>
              </w:rPr>
              <w:t>5.3%</w:t>
            </w:r>
          </w:p>
        </w:tc>
        <w:tc>
          <w:tcPr>
            <w:tcW w:w="1844" w:type="dxa"/>
            <w:tcBorders>
              <w:top w:val="nil"/>
              <w:left w:val="nil"/>
              <w:bottom w:val="nil"/>
              <w:right w:val="nil"/>
            </w:tcBorders>
            <w:shd w:val="clear" w:color="000000" w:fill="F2F2F2"/>
            <w:vAlign w:val="center"/>
            <w:hideMark/>
          </w:tcPr>
          <w:p w14:paraId="4247DF01" w14:textId="77777777" w:rsidR="00717FDC" w:rsidRPr="006A00DF" w:rsidRDefault="00717FDC" w:rsidP="006A00DF">
            <w:pPr>
              <w:spacing w:after="0" w:line="480" w:lineRule="auto"/>
              <w:jc w:val="center"/>
              <w:rPr>
                <w:rFonts w:ascii="Calibri" w:eastAsia="Times New Roman" w:hAnsi="Calibri" w:cs="Calibri"/>
                <w:color w:val="000000"/>
                <w:sz w:val="20"/>
                <w:szCs w:val="24"/>
                <w:lang w:eastAsia="en-GB"/>
              </w:rPr>
            </w:pPr>
            <w:r w:rsidRPr="006A00DF">
              <w:rPr>
                <w:rFonts w:ascii="Calibri" w:eastAsia="Times New Roman" w:hAnsi="Calibri" w:cs="Arial"/>
                <w:color w:val="000000"/>
                <w:sz w:val="20"/>
                <w:lang w:eastAsia="en-GB"/>
              </w:rPr>
              <w:t>44.4%</w:t>
            </w:r>
          </w:p>
        </w:tc>
        <w:tc>
          <w:tcPr>
            <w:tcW w:w="1953" w:type="dxa"/>
            <w:tcBorders>
              <w:top w:val="nil"/>
              <w:left w:val="nil"/>
              <w:bottom w:val="nil"/>
              <w:right w:val="single" w:sz="4" w:space="0" w:color="auto"/>
            </w:tcBorders>
            <w:shd w:val="clear" w:color="000000" w:fill="D9D9D9"/>
            <w:vAlign w:val="center"/>
            <w:hideMark/>
          </w:tcPr>
          <w:p w14:paraId="5A42F424" w14:textId="77777777" w:rsidR="00717FDC" w:rsidRPr="006A00DF" w:rsidRDefault="00717FDC" w:rsidP="006A00DF">
            <w:pPr>
              <w:spacing w:after="0" w:line="480" w:lineRule="auto"/>
              <w:jc w:val="center"/>
              <w:rPr>
                <w:rFonts w:ascii="Calibri" w:eastAsia="Times New Roman" w:hAnsi="Calibri" w:cs="Calibri"/>
                <w:color w:val="000000"/>
                <w:sz w:val="20"/>
                <w:szCs w:val="24"/>
                <w:lang w:eastAsia="en-GB"/>
              </w:rPr>
            </w:pPr>
            <w:r w:rsidRPr="006A00DF">
              <w:rPr>
                <w:rFonts w:ascii="Calibri" w:eastAsia="Times New Roman" w:hAnsi="Calibri" w:cs="Arial"/>
                <w:color w:val="000000"/>
                <w:sz w:val="20"/>
                <w:lang w:eastAsia="en-GB"/>
              </w:rPr>
              <w:t>70.4%</w:t>
            </w:r>
          </w:p>
        </w:tc>
      </w:tr>
      <w:tr w:rsidR="00717FDC" w:rsidRPr="006A00DF" w14:paraId="22F00202" w14:textId="77777777" w:rsidTr="00717FDC">
        <w:trPr>
          <w:trHeight w:val="324"/>
        </w:trPr>
        <w:tc>
          <w:tcPr>
            <w:tcW w:w="1560" w:type="dxa"/>
            <w:vMerge/>
            <w:tcBorders>
              <w:top w:val="single" w:sz="4" w:space="0" w:color="auto"/>
              <w:left w:val="single" w:sz="4" w:space="0" w:color="auto"/>
              <w:bottom w:val="single" w:sz="4" w:space="0" w:color="000000"/>
              <w:right w:val="nil"/>
            </w:tcBorders>
            <w:vAlign w:val="center"/>
            <w:hideMark/>
          </w:tcPr>
          <w:p w14:paraId="005250AF" w14:textId="77777777" w:rsidR="00717FDC" w:rsidRPr="006A00DF" w:rsidRDefault="00717FDC" w:rsidP="006A00DF">
            <w:pPr>
              <w:spacing w:after="0" w:line="480" w:lineRule="auto"/>
              <w:rPr>
                <w:rFonts w:ascii="Calibri" w:eastAsia="Times New Roman" w:hAnsi="Calibri" w:cs="Calibri"/>
                <w:b/>
                <w:bCs/>
                <w:color w:val="000000"/>
                <w:sz w:val="20"/>
                <w:lang w:eastAsia="en-GB"/>
              </w:rPr>
            </w:pPr>
          </w:p>
        </w:tc>
        <w:tc>
          <w:tcPr>
            <w:tcW w:w="1601" w:type="dxa"/>
            <w:tcBorders>
              <w:top w:val="nil"/>
              <w:left w:val="nil"/>
              <w:bottom w:val="single" w:sz="4" w:space="0" w:color="auto"/>
              <w:right w:val="single" w:sz="4" w:space="0" w:color="auto"/>
            </w:tcBorders>
            <w:shd w:val="clear" w:color="auto" w:fill="auto"/>
            <w:noWrap/>
            <w:vAlign w:val="bottom"/>
            <w:hideMark/>
          </w:tcPr>
          <w:p w14:paraId="70EDF2DB" w14:textId="77777777" w:rsidR="00717FDC" w:rsidRPr="006A00DF" w:rsidRDefault="00717FDC" w:rsidP="006A00DF">
            <w:pPr>
              <w:spacing w:after="0" w:line="480" w:lineRule="auto"/>
              <w:rPr>
                <w:rFonts w:ascii="Calibri" w:eastAsia="Times New Roman" w:hAnsi="Calibri" w:cs="Calibri"/>
                <w:b/>
                <w:bCs/>
                <w:color w:val="000000"/>
                <w:sz w:val="20"/>
                <w:lang w:eastAsia="en-GB"/>
              </w:rPr>
            </w:pPr>
            <w:r w:rsidRPr="006A00DF">
              <w:rPr>
                <w:rFonts w:ascii="Calibri" w:eastAsia="Times New Roman" w:hAnsi="Calibri" w:cs="Calibri"/>
                <w:b/>
                <w:bCs/>
                <w:color w:val="000000"/>
                <w:sz w:val="20"/>
                <w:lang w:eastAsia="en-GB"/>
              </w:rPr>
              <w:t>Poland</w:t>
            </w:r>
          </w:p>
        </w:tc>
        <w:tc>
          <w:tcPr>
            <w:tcW w:w="2063" w:type="dxa"/>
            <w:tcBorders>
              <w:top w:val="nil"/>
              <w:left w:val="nil"/>
              <w:bottom w:val="single" w:sz="4" w:space="0" w:color="auto"/>
              <w:right w:val="nil"/>
            </w:tcBorders>
            <w:shd w:val="clear" w:color="auto" w:fill="auto"/>
            <w:vAlign w:val="center"/>
            <w:hideMark/>
          </w:tcPr>
          <w:p w14:paraId="738ABEFB" w14:textId="77777777" w:rsidR="00717FDC" w:rsidRPr="006A00DF" w:rsidRDefault="00717FDC" w:rsidP="006A00DF">
            <w:pPr>
              <w:spacing w:after="0" w:line="480" w:lineRule="auto"/>
              <w:jc w:val="center"/>
              <w:rPr>
                <w:rFonts w:ascii="Calibri" w:eastAsia="Times New Roman" w:hAnsi="Calibri" w:cs="Calibri"/>
                <w:color w:val="000000"/>
                <w:sz w:val="20"/>
                <w:szCs w:val="24"/>
                <w:lang w:eastAsia="en-GB"/>
              </w:rPr>
            </w:pPr>
            <w:r w:rsidRPr="006A00DF">
              <w:rPr>
                <w:rFonts w:ascii="Calibri" w:eastAsia="Times New Roman" w:hAnsi="Calibri" w:cs="Arial"/>
                <w:color w:val="000000"/>
                <w:sz w:val="20"/>
                <w:lang w:eastAsia="en-GB"/>
              </w:rPr>
              <w:t>2.0%</w:t>
            </w:r>
          </w:p>
        </w:tc>
        <w:tc>
          <w:tcPr>
            <w:tcW w:w="1844" w:type="dxa"/>
            <w:tcBorders>
              <w:top w:val="nil"/>
              <w:left w:val="nil"/>
              <w:bottom w:val="single" w:sz="4" w:space="0" w:color="auto"/>
              <w:right w:val="nil"/>
            </w:tcBorders>
            <w:shd w:val="clear" w:color="000000" w:fill="F2F2F2"/>
            <w:vAlign w:val="center"/>
            <w:hideMark/>
          </w:tcPr>
          <w:p w14:paraId="2CCDA257" w14:textId="77777777" w:rsidR="00717FDC" w:rsidRPr="006A00DF" w:rsidRDefault="00717FDC" w:rsidP="006A00DF">
            <w:pPr>
              <w:spacing w:after="0" w:line="480" w:lineRule="auto"/>
              <w:jc w:val="center"/>
              <w:rPr>
                <w:rFonts w:ascii="Calibri" w:eastAsia="Times New Roman" w:hAnsi="Calibri" w:cs="Calibri"/>
                <w:color w:val="000000"/>
                <w:sz w:val="20"/>
                <w:szCs w:val="24"/>
                <w:lang w:eastAsia="en-GB"/>
              </w:rPr>
            </w:pPr>
            <w:r w:rsidRPr="006A00DF">
              <w:rPr>
                <w:rFonts w:ascii="Calibri" w:eastAsia="Times New Roman" w:hAnsi="Calibri" w:cs="Arial"/>
                <w:color w:val="000000"/>
                <w:sz w:val="20"/>
                <w:lang w:eastAsia="en-GB"/>
              </w:rPr>
              <w:t>41.2%</w:t>
            </w:r>
          </w:p>
        </w:tc>
        <w:tc>
          <w:tcPr>
            <w:tcW w:w="1953" w:type="dxa"/>
            <w:tcBorders>
              <w:top w:val="nil"/>
              <w:left w:val="nil"/>
              <w:bottom w:val="single" w:sz="4" w:space="0" w:color="auto"/>
              <w:right w:val="single" w:sz="4" w:space="0" w:color="auto"/>
            </w:tcBorders>
            <w:shd w:val="clear" w:color="000000" w:fill="D9D9D9"/>
            <w:vAlign w:val="center"/>
            <w:hideMark/>
          </w:tcPr>
          <w:p w14:paraId="67D9A085" w14:textId="77777777" w:rsidR="00717FDC" w:rsidRPr="006A00DF" w:rsidRDefault="00717FDC" w:rsidP="006A00DF">
            <w:pPr>
              <w:spacing w:after="0" w:line="480" w:lineRule="auto"/>
              <w:jc w:val="center"/>
              <w:rPr>
                <w:rFonts w:ascii="Calibri" w:eastAsia="Times New Roman" w:hAnsi="Calibri" w:cs="Calibri"/>
                <w:color w:val="000000"/>
                <w:sz w:val="20"/>
                <w:szCs w:val="24"/>
                <w:lang w:eastAsia="en-GB"/>
              </w:rPr>
            </w:pPr>
            <w:r w:rsidRPr="006A00DF">
              <w:rPr>
                <w:rFonts w:ascii="Calibri" w:eastAsia="Times New Roman" w:hAnsi="Calibri" w:cs="Arial"/>
                <w:color w:val="000000"/>
                <w:sz w:val="20"/>
                <w:lang w:eastAsia="en-GB"/>
              </w:rPr>
              <w:t>95.8%</w:t>
            </w:r>
          </w:p>
        </w:tc>
      </w:tr>
      <w:tr w:rsidR="00717FDC" w:rsidRPr="006A00DF" w14:paraId="45832069" w14:textId="77777777" w:rsidTr="00717FDC">
        <w:trPr>
          <w:trHeight w:val="300"/>
        </w:trPr>
        <w:tc>
          <w:tcPr>
            <w:tcW w:w="3161" w:type="dxa"/>
            <w:gridSpan w:val="2"/>
            <w:tcBorders>
              <w:top w:val="nil"/>
              <w:left w:val="single" w:sz="4" w:space="0" w:color="auto"/>
              <w:bottom w:val="nil"/>
              <w:right w:val="single" w:sz="4" w:space="0" w:color="000000"/>
            </w:tcBorders>
            <w:shd w:val="clear" w:color="auto" w:fill="auto"/>
            <w:noWrap/>
            <w:vAlign w:val="bottom"/>
            <w:hideMark/>
          </w:tcPr>
          <w:p w14:paraId="6C89CB95" w14:textId="77777777" w:rsidR="00717FDC" w:rsidRPr="006A00DF" w:rsidRDefault="00717FDC" w:rsidP="006A00DF">
            <w:pPr>
              <w:spacing w:after="0" w:line="480" w:lineRule="auto"/>
              <w:rPr>
                <w:rFonts w:ascii="Calibri" w:eastAsia="Times New Roman" w:hAnsi="Calibri" w:cs="Calibri"/>
                <w:b/>
                <w:bCs/>
                <w:color w:val="000000"/>
                <w:sz w:val="20"/>
                <w:lang w:eastAsia="en-GB"/>
              </w:rPr>
            </w:pPr>
            <w:r w:rsidRPr="006A00DF">
              <w:rPr>
                <w:rFonts w:ascii="Calibri" w:eastAsia="Times New Roman" w:hAnsi="Calibri" w:cs="Calibri"/>
                <w:b/>
                <w:bCs/>
                <w:color w:val="000000"/>
                <w:sz w:val="20"/>
                <w:lang w:eastAsia="en-GB"/>
              </w:rPr>
              <w:t>Change between baseline and implementation</w:t>
            </w:r>
          </w:p>
        </w:tc>
        <w:tc>
          <w:tcPr>
            <w:tcW w:w="2063" w:type="dxa"/>
            <w:tcBorders>
              <w:top w:val="nil"/>
              <w:left w:val="nil"/>
              <w:bottom w:val="nil"/>
              <w:right w:val="nil"/>
            </w:tcBorders>
            <w:shd w:val="clear" w:color="auto" w:fill="auto"/>
            <w:noWrap/>
            <w:vAlign w:val="center"/>
            <w:hideMark/>
          </w:tcPr>
          <w:p w14:paraId="7D54108E" w14:textId="77777777" w:rsidR="00717FDC" w:rsidRPr="006A00DF" w:rsidRDefault="00717FDC" w:rsidP="006A00DF">
            <w:pPr>
              <w:spacing w:after="0" w:line="480" w:lineRule="auto"/>
              <w:jc w:val="center"/>
              <w:rPr>
                <w:rFonts w:ascii="Calibri" w:eastAsia="Times New Roman" w:hAnsi="Calibri" w:cs="Calibri"/>
                <w:color w:val="000000"/>
                <w:sz w:val="20"/>
                <w:lang w:eastAsia="en-GB"/>
              </w:rPr>
            </w:pPr>
            <w:r w:rsidRPr="006A00DF">
              <w:rPr>
                <w:rFonts w:ascii="Calibri" w:eastAsia="Times New Roman" w:hAnsi="Calibri" w:cs="Calibri"/>
                <w:color w:val="000000"/>
                <w:sz w:val="20"/>
                <w:lang w:eastAsia="en-GB"/>
              </w:rPr>
              <w:t> </w:t>
            </w:r>
          </w:p>
        </w:tc>
        <w:tc>
          <w:tcPr>
            <w:tcW w:w="1844" w:type="dxa"/>
            <w:tcBorders>
              <w:top w:val="nil"/>
              <w:left w:val="nil"/>
              <w:bottom w:val="nil"/>
              <w:right w:val="nil"/>
            </w:tcBorders>
            <w:shd w:val="clear" w:color="auto" w:fill="auto"/>
            <w:noWrap/>
            <w:vAlign w:val="center"/>
            <w:hideMark/>
          </w:tcPr>
          <w:p w14:paraId="1D0C1A7D" w14:textId="77777777" w:rsidR="00717FDC" w:rsidRPr="006A00DF" w:rsidRDefault="00717FDC" w:rsidP="006A00DF">
            <w:pPr>
              <w:spacing w:after="0" w:line="480" w:lineRule="auto"/>
              <w:jc w:val="center"/>
              <w:rPr>
                <w:rFonts w:ascii="Calibri" w:eastAsia="Times New Roman" w:hAnsi="Calibri" w:cs="Calibri"/>
                <w:color w:val="000000"/>
                <w:sz w:val="20"/>
                <w:lang w:eastAsia="en-GB"/>
              </w:rPr>
            </w:pPr>
          </w:p>
        </w:tc>
        <w:tc>
          <w:tcPr>
            <w:tcW w:w="1953" w:type="dxa"/>
            <w:tcBorders>
              <w:top w:val="nil"/>
              <w:left w:val="nil"/>
              <w:bottom w:val="nil"/>
              <w:right w:val="single" w:sz="4" w:space="0" w:color="auto"/>
            </w:tcBorders>
            <w:shd w:val="clear" w:color="auto" w:fill="auto"/>
            <w:noWrap/>
            <w:vAlign w:val="center"/>
            <w:hideMark/>
          </w:tcPr>
          <w:p w14:paraId="7460ED79" w14:textId="77777777" w:rsidR="00717FDC" w:rsidRPr="006A00DF" w:rsidRDefault="00717FDC" w:rsidP="006A00DF">
            <w:pPr>
              <w:spacing w:after="0" w:line="480" w:lineRule="auto"/>
              <w:jc w:val="center"/>
              <w:rPr>
                <w:rFonts w:ascii="Calibri" w:eastAsia="Times New Roman" w:hAnsi="Calibri" w:cs="Calibri"/>
                <w:color w:val="000000"/>
                <w:sz w:val="20"/>
                <w:lang w:eastAsia="en-GB"/>
              </w:rPr>
            </w:pPr>
            <w:r w:rsidRPr="006A00DF">
              <w:rPr>
                <w:rFonts w:ascii="Calibri" w:eastAsia="Times New Roman" w:hAnsi="Calibri" w:cs="Calibri"/>
                <w:color w:val="000000"/>
                <w:sz w:val="20"/>
                <w:lang w:eastAsia="en-GB"/>
              </w:rPr>
              <w:t> </w:t>
            </w:r>
          </w:p>
        </w:tc>
      </w:tr>
      <w:tr w:rsidR="00717FDC" w:rsidRPr="006A00DF" w14:paraId="592517D0" w14:textId="77777777" w:rsidTr="00717FDC">
        <w:trPr>
          <w:trHeight w:val="300"/>
        </w:trPr>
        <w:tc>
          <w:tcPr>
            <w:tcW w:w="1560"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527F33E2" w14:textId="77777777" w:rsidR="00717FDC" w:rsidRPr="006A00DF" w:rsidRDefault="00717FDC" w:rsidP="006A00DF">
            <w:pPr>
              <w:spacing w:after="0" w:line="480" w:lineRule="auto"/>
              <w:rPr>
                <w:rFonts w:ascii="Calibri" w:eastAsia="Times New Roman" w:hAnsi="Calibri" w:cs="Calibri"/>
                <w:b/>
                <w:bCs/>
                <w:color w:val="000000"/>
                <w:sz w:val="20"/>
                <w:lang w:eastAsia="en-GB"/>
              </w:rPr>
            </w:pPr>
            <w:r w:rsidRPr="006A00DF">
              <w:rPr>
                <w:rFonts w:ascii="Calibri" w:eastAsia="Times New Roman" w:hAnsi="Calibri" w:cs="Calibri"/>
                <w:b/>
                <w:bCs/>
                <w:color w:val="000000"/>
                <w:sz w:val="20"/>
                <w:lang w:eastAsia="en-GB"/>
              </w:rPr>
              <w:t>Strategy</w:t>
            </w:r>
          </w:p>
        </w:tc>
        <w:tc>
          <w:tcPr>
            <w:tcW w:w="1601" w:type="dxa"/>
            <w:tcBorders>
              <w:top w:val="single" w:sz="4" w:space="0" w:color="auto"/>
              <w:left w:val="nil"/>
              <w:bottom w:val="nil"/>
              <w:right w:val="single" w:sz="4" w:space="0" w:color="auto"/>
            </w:tcBorders>
            <w:shd w:val="clear" w:color="auto" w:fill="auto"/>
            <w:noWrap/>
            <w:vAlign w:val="center"/>
            <w:hideMark/>
          </w:tcPr>
          <w:p w14:paraId="74F659D6" w14:textId="77777777" w:rsidR="00717FDC" w:rsidRPr="006A00DF" w:rsidRDefault="00717FDC" w:rsidP="006A00DF">
            <w:pPr>
              <w:spacing w:after="0" w:line="480" w:lineRule="auto"/>
              <w:jc w:val="both"/>
              <w:rPr>
                <w:rFonts w:ascii="Calibri" w:eastAsia="Times New Roman" w:hAnsi="Calibri" w:cs="Calibri"/>
                <w:b/>
                <w:bCs/>
                <w:color w:val="000000"/>
                <w:sz w:val="20"/>
                <w:lang w:eastAsia="en-GB"/>
              </w:rPr>
            </w:pPr>
            <w:r w:rsidRPr="006A00DF">
              <w:rPr>
                <w:rFonts w:ascii="Calibri" w:eastAsia="Times New Roman" w:hAnsi="Calibri" w:cs="Calibri"/>
                <w:b/>
                <w:bCs/>
                <w:color w:val="000000"/>
                <w:sz w:val="20"/>
                <w:lang w:eastAsia="en-GB"/>
              </w:rPr>
              <w:t>Control</w:t>
            </w:r>
          </w:p>
        </w:tc>
        <w:tc>
          <w:tcPr>
            <w:tcW w:w="2063" w:type="dxa"/>
            <w:tcBorders>
              <w:top w:val="single" w:sz="4" w:space="0" w:color="auto"/>
              <w:left w:val="nil"/>
              <w:bottom w:val="nil"/>
              <w:right w:val="nil"/>
            </w:tcBorders>
            <w:shd w:val="clear" w:color="auto" w:fill="auto"/>
            <w:noWrap/>
            <w:vAlign w:val="center"/>
            <w:hideMark/>
          </w:tcPr>
          <w:p w14:paraId="29E166CC" w14:textId="77777777" w:rsidR="00717FDC" w:rsidRPr="006A00DF" w:rsidRDefault="00717FDC" w:rsidP="006A00DF">
            <w:pPr>
              <w:spacing w:after="0" w:line="480" w:lineRule="auto"/>
              <w:jc w:val="center"/>
              <w:rPr>
                <w:rFonts w:ascii="Calibri" w:eastAsia="Times New Roman" w:hAnsi="Calibri" w:cs="Calibri"/>
                <w:color w:val="FF0000"/>
                <w:sz w:val="20"/>
                <w:lang w:eastAsia="en-GB"/>
              </w:rPr>
            </w:pPr>
            <w:r w:rsidRPr="006A00DF">
              <w:rPr>
                <w:rFonts w:ascii="Calibri" w:eastAsia="Times New Roman" w:hAnsi="Calibri" w:cs="Calibri"/>
                <w:color w:val="FF0000"/>
                <w:sz w:val="20"/>
                <w:lang w:eastAsia="en-GB"/>
              </w:rPr>
              <w:t>-45.8%</w:t>
            </w:r>
          </w:p>
        </w:tc>
        <w:tc>
          <w:tcPr>
            <w:tcW w:w="1844" w:type="dxa"/>
            <w:tcBorders>
              <w:top w:val="single" w:sz="4" w:space="0" w:color="auto"/>
              <w:left w:val="nil"/>
              <w:bottom w:val="nil"/>
              <w:right w:val="nil"/>
            </w:tcBorders>
            <w:shd w:val="clear" w:color="000000" w:fill="F2F2F2"/>
            <w:noWrap/>
            <w:vAlign w:val="center"/>
            <w:hideMark/>
          </w:tcPr>
          <w:p w14:paraId="473163EB" w14:textId="77777777" w:rsidR="00717FDC" w:rsidRPr="006A00DF" w:rsidRDefault="00717FDC" w:rsidP="006A00DF">
            <w:pPr>
              <w:spacing w:after="0" w:line="480" w:lineRule="auto"/>
              <w:jc w:val="center"/>
              <w:rPr>
                <w:rFonts w:ascii="Calibri" w:eastAsia="Times New Roman" w:hAnsi="Calibri" w:cs="Calibri"/>
                <w:color w:val="FF0000"/>
                <w:sz w:val="20"/>
                <w:lang w:eastAsia="en-GB"/>
              </w:rPr>
            </w:pPr>
            <w:r w:rsidRPr="006A00DF">
              <w:rPr>
                <w:rFonts w:ascii="Calibri" w:eastAsia="Times New Roman" w:hAnsi="Calibri" w:cs="Calibri"/>
                <w:color w:val="FF0000"/>
                <w:sz w:val="20"/>
                <w:lang w:eastAsia="en-GB"/>
              </w:rPr>
              <w:t>-7.1%</w:t>
            </w:r>
          </w:p>
        </w:tc>
        <w:tc>
          <w:tcPr>
            <w:tcW w:w="1953" w:type="dxa"/>
            <w:tcBorders>
              <w:top w:val="single" w:sz="4" w:space="0" w:color="auto"/>
              <w:left w:val="nil"/>
              <w:bottom w:val="nil"/>
              <w:right w:val="single" w:sz="4" w:space="0" w:color="auto"/>
            </w:tcBorders>
            <w:shd w:val="clear" w:color="000000" w:fill="D9D9D9"/>
            <w:noWrap/>
            <w:vAlign w:val="center"/>
            <w:hideMark/>
          </w:tcPr>
          <w:p w14:paraId="4CD316F8" w14:textId="77777777" w:rsidR="00717FDC" w:rsidRPr="006A00DF" w:rsidRDefault="00717FDC" w:rsidP="006A00DF">
            <w:pPr>
              <w:spacing w:after="0" w:line="480" w:lineRule="auto"/>
              <w:jc w:val="center"/>
              <w:rPr>
                <w:rFonts w:ascii="Calibri" w:eastAsia="Times New Roman" w:hAnsi="Calibri" w:cs="Calibri"/>
                <w:color w:val="000000"/>
                <w:sz w:val="20"/>
                <w:lang w:eastAsia="en-GB"/>
              </w:rPr>
            </w:pPr>
            <w:r w:rsidRPr="006A00DF">
              <w:rPr>
                <w:rFonts w:ascii="Calibri" w:eastAsia="Times New Roman" w:hAnsi="Calibri" w:cs="Calibri"/>
                <w:color w:val="000000"/>
                <w:sz w:val="20"/>
                <w:lang w:eastAsia="en-GB"/>
              </w:rPr>
              <w:t>0.2%</w:t>
            </w:r>
          </w:p>
        </w:tc>
      </w:tr>
      <w:tr w:rsidR="00717FDC" w:rsidRPr="006A00DF" w14:paraId="4E24E5F7" w14:textId="77777777" w:rsidTr="00717FDC">
        <w:trPr>
          <w:trHeight w:val="300"/>
        </w:trPr>
        <w:tc>
          <w:tcPr>
            <w:tcW w:w="1560" w:type="dxa"/>
            <w:vMerge/>
            <w:tcBorders>
              <w:top w:val="single" w:sz="4" w:space="0" w:color="auto"/>
              <w:left w:val="single" w:sz="4" w:space="0" w:color="auto"/>
              <w:bottom w:val="single" w:sz="4" w:space="0" w:color="000000"/>
              <w:right w:val="nil"/>
            </w:tcBorders>
            <w:vAlign w:val="center"/>
            <w:hideMark/>
          </w:tcPr>
          <w:p w14:paraId="7F0F59BB" w14:textId="77777777" w:rsidR="00717FDC" w:rsidRPr="006A00DF" w:rsidRDefault="00717FDC" w:rsidP="006A00DF">
            <w:pPr>
              <w:spacing w:after="0" w:line="480" w:lineRule="auto"/>
              <w:rPr>
                <w:rFonts w:ascii="Calibri" w:eastAsia="Times New Roman" w:hAnsi="Calibri" w:cs="Calibri"/>
                <w:b/>
                <w:bCs/>
                <w:color w:val="000000"/>
                <w:sz w:val="20"/>
                <w:lang w:eastAsia="en-GB"/>
              </w:rPr>
            </w:pPr>
          </w:p>
        </w:tc>
        <w:tc>
          <w:tcPr>
            <w:tcW w:w="1601" w:type="dxa"/>
            <w:tcBorders>
              <w:top w:val="nil"/>
              <w:left w:val="nil"/>
              <w:bottom w:val="nil"/>
              <w:right w:val="single" w:sz="4" w:space="0" w:color="auto"/>
            </w:tcBorders>
            <w:shd w:val="clear" w:color="auto" w:fill="auto"/>
            <w:noWrap/>
            <w:vAlign w:val="center"/>
            <w:hideMark/>
          </w:tcPr>
          <w:p w14:paraId="0AF24C9A" w14:textId="77777777" w:rsidR="00717FDC" w:rsidRPr="006A00DF" w:rsidRDefault="00717FDC" w:rsidP="006A00DF">
            <w:pPr>
              <w:spacing w:after="0" w:line="480" w:lineRule="auto"/>
              <w:jc w:val="both"/>
              <w:rPr>
                <w:rFonts w:ascii="Calibri" w:eastAsia="Times New Roman" w:hAnsi="Calibri" w:cs="Calibri"/>
                <w:b/>
                <w:bCs/>
                <w:color w:val="000000"/>
                <w:sz w:val="20"/>
                <w:lang w:eastAsia="en-GB"/>
              </w:rPr>
            </w:pPr>
            <w:r w:rsidRPr="006A00DF">
              <w:rPr>
                <w:rFonts w:ascii="Calibri" w:eastAsia="Times New Roman" w:hAnsi="Calibri" w:cs="Calibri"/>
                <w:b/>
                <w:bCs/>
                <w:color w:val="000000"/>
                <w:sz w:val="20"/>
                <w:lang w:eastAsia="en-GB"/>
              </w:rPr>
              <w:t>TS</w:t>
            </w:r>
          </w:p>
        </w:tc>
        <w:tc>
          <w:tcPr>
            <w:tcW w:w="2063" w:type="dxa"/>
            <w:tcBorders>
              <w:top w:val="nil"/>
              <w:left w:val="nil"/>
              <w:bottom w:val="nil"/>
              <w:right w:val="nil"/>
            </w:tcBorders>
            <w:shd w:val="clear" w:color="auto" w:fill="auto"/>
            <w:noWrap/>
            <w:vAlign w:val="center"/>
            <w:hideMark/>
          </w:tcPr>
          <w:p w14:paraId="0C71788E" w14:textId="77777777" w:rsidR="00717FDC" w:rsidRPr="006A00DF" w:rsidRDefault="00717FDC" w:rsidP="006A00DF">
            <w:pPr>
              <w:spacing w:after="0" w:line="480" w:lineRule="auto"/>
              <w:jc w:val="center"/>
              <w:rPr>
                <w:rFonts w:ascii="Calibri" w:eastAsia="Times New Roman" w:hAnsi="Calibri" w:cs="Calibri"/>
                <w:color w:val="000000"/>
                <w:sz w:val="20"/>
                <w:lang w:eastAsia="en-GB"/>
              </w:rPr>
            </w:pPr>
            <w:r w:rsidRPr="006A00DF">
              <w:rPr>
                <w:rFonts w:ascii="Calibri" w:eastAsia="Times New Roman" w:hAnsi="Calibri" w:cs="Calibri"/>
                <w:color w:val="000000"/>
                <w:sz w:val="20"/>
                <w:lang w:eastAsia="en-GB"/>
              </w:rPr>
              <w:t>59.8%</w:t>
            </w:r>
          </w:p>
        </w:tc>
        <w:tc>
          <w:tcPr>
            <w:tcW w:w="1844" w:type="dxa"/>
            <w:tcBorders>
              <w:top w:val="nil"/>
              <w:left w:val="nil"/>
              <w:bottom w:val="nil"/>
              <w:right w:val="nil"/>
            </w:tcBorders>
            <w:shd w:val="clear" w:color="000000" w:fill="F2F2F2"/>
            <w:noWrap/>
            <w:vAlign w:val="center"/>
            <w:hideMark/>
          </w:tcPr>
          <w:p w14:paraId="782A936F" w14:textId="77777777" w:rsidR="00717FDC" w:rsidRPr="006A00DF" w:rsidRDefault="00717FDC" w:rsidP="006A00DF">
            <w:pPr>
              <w:spacing w:after="0" w:line="480" w:lineRule="auto"/>
              <w:jc w:val="center"/>
              <w:rPr>
                <w:rFonts w:ascii="Calibri" w:eastAsia="Times New Roman" w:hAnsi="Calibri" w:cs="Calibri"/>
                <w:color w:val="FF0000"/>
                <w:sz w:val="20"/>
                <w:lang w:eastAsia="en-GB"/>
              </w:rPr>
            </w:pPr>
            <w:r w:rsidRPr="006A00DF">
              <w:rPr>
                <w:rFonts w:ascii="Calibri" w:eastAsia="Times New Roman" w:hAnsi="Calibri" w:cs="Calibri"/>
                <w:color w:val="FF0000"/>
                <w:sz w:val="20"/>
                <w:lang w:eastAsia="en-GB"/>
              </w:rPr>
              <w:t>-7.4%</w:t>
            </w:r>
          </w:p>
        </w:tc>
        <w:tc>
          <w:tcPr>
            <w:tcW w:w="1953" w:type="dxa"/>
            <w:tcBorders>
              <w:top w:val="nil"/>
              <w:left w:val="nil"/>
              <w:bottom w:val="nil"/>
              <w:right w:val="single" w:sz="4" w:space="0" w:color="auto"/>
            </w:tcBorders>
            <w:shd w:val="clear" w:color="000000" w:fill="D9D9D9"/>
            <w:noWrap/>
            <w:vAlign w:val="center"/>
            <w:hideMark/>
          </w:tcPr>
          <w:p w14:paraId="1466FDD7" w14:textId="77777777" w:rsidR="00717FDC" w:rsidRPr="006A00DF" w:rsidRDefault="00717FDC" w:rsidP="006A00DF">
            <w:pPr>
              <w:spacing w:after="0" w:line="480" w:lineRule="auto"/>
              <w:jc w:val="center"/>
              <w:rPr>
                <w:rFonts w:ascii="Calibri" w:eastAsia="Times New Roman" w:hAnsi="Calibri" w:cs="Calibri"/>
                <w:color w:val="000000"/>
                <w:sz w:val="20"/>
                <w:lang w:eastAsia="en-GB"/>
              </w:rPr>
            </w:pPr>
            <w:r w:rsidRPr="006A00DF">
              <w:rPr>
                <w:rFonts w:ascii="Calibri" w:eastAsia="Times New Roman" w:hAnsi="Calibri" w:cs="Calibri"/>
                <w:color w:val="000000"/>
                <w:sz w:val="20"/>
                <w:lang w:eastAsia="en-GB"/>
              </w:rPr>
              <w:t>21.2%</w:t>
            </w:r>
          </w:p>
        </w:tc>
      </w:tr>
      <w:tr w:rsidR="00717FDC" w:rsidRPr="006A00DF" w14:paraId="75A84ED5" w14:textId="77777777" w:rsidTr="00717FDC">
        <w:trPr>
          <w:trHeight w:val="300"/>
        </w:trPr>
        <w:tc>
          <w:tcPr>
            <w:tcW w:w="1560" w:type="dxa"/>
            <w:vMerge/>
            <w:tcBorders>
              <w:top w:val="single" w:sz="4" w:space="0" w:color="auto"/>
              <w:left w:val="single" w:sz="4" w:space="0" w:color="auto"/>
              <w:bottom w:val="single" w:sz="4" w:space="0" w:color="000000"/>
              <w:right w:val="nil"/>
            </w:tcBorders>
            <w:vAlign w:val="center"/>
            <w:hideMark/>
          </w:tcPr>
          <w:p w14:paraId="78970BCB" w14:textId="77777777" w:rsidR="00717FDC" w:rsidRPr="006A00DF" w:rsidRDefault="00717FDC" w:rsidP="006A00DF">
            <w:pPr>
              <w:spacing w:after="0" w:line="480" w:lineRule="auto"/>
              <w:rPr>
                <w:rFonts w:ascii="Calibri" w:eastAsia="Times New Roman" w:hAnsi="Calibri" w:cs="Calibri"/>
                <w:b/>
                <w:bCs/>
                <w:color w:val="000000"/>
                <w:sz w:val="20"/>
                <w:lang w:eastAsia="en-GB"/>
              </w:rPr>
            </w:pPr>
          </w:p>
        </w:tc>
        <w:tc>
          <w:tcPr>
            <w:tcW w:w="1601" w:type="dxa"/>
            <w:tcBorders>
              <w:top w:val="nil"/>
              <w:left w:val="nil"/>
              <w:bottom w:val="nil"/>
              <w:right w:val="single" w:sz="4" w:space="0" w:color="auto"/>
            </w:tcBorders>
            <w:shd w:val="clear" w:color="auto" w:fill="auto"/>
            <w:noWrap/>
            <w:vAlign w:val="center"/>
            <w:hideMark/>
          </w:tcPr>
          <w:p w14:paraId="55AC6D7F" w14:textId="77777777" w:rsidR="00717FDC" w:rsidRPr="006A00DF" w:rsidRDefault="00717FDC" w:rsidP="006A00DF">
            <w:pPr>
              <w:spacing w:after="0" w:line="480" w:lineRule="auto"/>
              <w:jc w:val="both"/>
              <w:rPr>
                <w:rFonts w:ascii="Calibri" w:eastAsia="Times New Roman" w:hAnsi="Calibri" w:cs="Calibri"/>
                <w:b/>
                <w:bCs/>
                <w:color w:val="000000"/>
                <w:sz w:val="20"/>
                <w:lang w:eastAsia="en-GB"/>
              </w:rPr>
            </w:pPr>
            <w:r w:rsidRPr="006A00DF">
              <w:rPr>
                <w:rFonts w:ascii="Calibri" w:eastAsia="Times New Roman" w:hAnsi="Calibri" w:cs="Calibri"/>
                <w:b/>
                <w:bCs/>
                <w:color w:val="000000"/>
                <w:sz w:val="20"/>
                <w:lang w:eastAsia="en-GB"/>
              </w:rPr>
              <w:t>FR</w:t>
            </w:r>
          </w:p>
        </w:tc>
        <w:tc>
          <w:tcPr>
            <w:tcW w:w="2063" w:type="dxa"/>
            <w:tcBorders>
              <w:top w:val="nil"/>
              <w:left w:val="nil"/>
              <w:bottom w:val="nil"/>
              <w:right w:val="nil"/>
            </w:tcBorders>
            <w:shd w:val="clear" w:color="auto" w:fill="auto"/>
            <w:noWrap/>
            <w:vAlign w:val="center"/>
            <w:hideMark/>
          </w:tcPr>
          <w:p w14:paraId="52F179A0" w14:textId="77777777" w:rsidR="00717FDC" w:rsidRPr="006A00DF" w:rsidRDefault="00717FDC" w:rsidP="006A00DF">
            <w:pPr>
              <w:spacing w:after="0" w:line="480" w:lineRule="auto"/>
              <w:jc w:val="center"/>
              <w:rPr>
                <w:rFonts w:ascii="Calibri" w:eastAsia="Times New Roman" w:hAnsi="Calibri" w:cs="Calibri"/>
                <w:color w:val="000000"/>
                <w:sz w:val="20"/>
                <w:lang w:eastAsia="en-GB"/>
              </w:rPr>
            </w:pPr>
            <w:r w:rsidRPr="006A00DF">
              <w:rPr>
                <w:rFonts w:ascii="Calibri" w:eastAsia="Times New Roman" w:hAnsi="Calibri" w:cs="Calibri"/>
                <w:color w:val="000000"/>
                <w:sz w:val="20"/>
                <w:lang w:eastAsia="en-GB"/>
              </w:rPr>
              <w:t>90.7%</w:t>
            </w:r>
          </w:p>
        </w:tc>
        <w:tc>
          <w:tcPr>
            <w:tcW w:w="1844" w:type="dxa"/>
            <w:tcBorders>
              <w:top w:val="nil"/>
              <w:left w:val="nil"/>
              <w:bottom w:val="nil"/>
              <w:right w:val="nil"/>
            </w:tcBorders>
            <w:shd w:val="clear" w:color="000000" w:fill="F2F2F2"/>
            <w:noWrap/>
            <w:vAlign w:val="center"/>
            <w:hideMark/>
          </w:tcPr>
          <w:p w14:paraId="14D3DCD3" w14:textId="77777777" w:rsidR="00717FDC" w:rsidRPr="006A00DF" w:rsidRDefault="00717FDC" w:rsidP="006A00DF">
            <w:pPr>
              <w:spacing w:after="0" w:line="480" w:lineRule="auto"/>
              <w:jc w:val="center"/>
              <w:rPr>
                <w:rFonts w:ascii="Calibri" w:eastAsia="Times New Roman" w:hAnsi="Calibri" w:cs="Calibri"/>
                <w:color w:val="FF0000"/>
                <w:sz w:val="20"/>
                <w:lang w:eastAsia="en-GB"/>
              </w:rPr>
            </w:pPr>
            <w:r w:rsidRPr="006A00DF">
              <w:rPr>
                <w:rFonts w:ascii="Calibri" w:eastAsia="Times New Roman" w:hAnsi="Calibri" w:cs="Calibri"/>
                <w:color w:val="FF0000"/>
                <w:sz w:val="20"/>
                <w:lang w:eastAsia="en-GB"/>
              </w:rPr>
              <w:t>-12.5%</w:t>
            </w:r>
          </w:p>
        </w:tc>
        <w:tc>
          <w:tcPr>
            <w:tcW w:w="1953" w:type="dxa"/>
            <w:tcBorders>
              <w:top w:val="nil"/>
              <w:left w:val="nil"/>
              <w:bottom w:val="nil"/>
              <w:right w:val="single" w:sz="4" w:space="0" w:color="auto"/>
            </w:tcBorders>
            <w:shd w:val="clear" w:color="000000" w:fill="D9D9D9"/>
            <w:noWrap/>
            <w:vAlign w:val="center"/>
            <w:hideMark/>
          </w:tcPr>
          <w:p w14:paraId="1ECB3B22" w14:textId="77777777" w:rsidR="00717FDC" w:rsidRPr="006A00DF" w:rsidRDefault="00717FDC" w:rsidP="006A00DF">
            <w:pPr>
              <w:spacing w:after="0" w:line="480" w:lineRule="auto"/>
              <w:jc w:val="center"/>
              <w:rPr>
                <w:rFonts w:ascii="Calibri" w:eastAsia="Times New Roman" w:hAnsi="Calibri" w:cs="Calibri"/>
                <w:color w:val="000000"/>
                <w:sz w:val="20"/>
                <w:lang w:eastAsia="en-GB"/>
              </w:rPr>
            </w:pPr>
            <w:r w:rsidRPr="006A00DF">
              <w:rPr>
                <w:rFonts w:ascii="Calibri" w:eastAsia="Times New Roman" w:hAnsi="Calibri" w:cs="Calibri"/>
                <w:color w:val="000000"/>
                <w:sz w:val="20"/>
                <w:lang w:eastAsia="en-GB"/>
              </w:rPr>
              <w:t>18.2%</w:t>
            </w:r>
          </w:p>
        </w:tc>
      </w:tr>
      <w:tr w:rsidR="00717FDC" w:rsidRPr="006A00DF" w14:paraId="3E79276E" w14:textId="77777777" w:rsidTr="00717FDC">
        <w:trPr>
          <w:trHeight w:val="300"/>
        </w:trPr>
        <w:tc>
          <w:tcPr>
            <w:tcW w:w="1560" w:type="dxa"/>
            <w:vMerge/>
            <w:tcBorders>
              <w:top w:val="single" w:sz="4" w:space="0" w:color="auto"/>
              <w:left w:val="single" w:sz="4" w:space="0" w:color="auto"/>
              <w:bottom w:val="single" w:sz="4" w:space="0" w:color="000000"/>
              <w:right w:val="nil"/>
            </w:tcBorders>
            <w:vAlign w:val="center"/>
            <w:hideMark/>
          </w:tcPr>
          <w:p w14:paraId="54E52628" w14:textId="77777777" w:rsidR="00717FDC" w:rsidRPr="006A00DF" w:rsidRDefault="00717FDC" w:rsidP="006A00DF">
            <w:pPr>
              <w:spacing w:after="0" w:line="480" w:lineRule="auto"/>
              <w:rPr>
                <w:rFonts w:ascii="Calibri" w:eastAsia="Times New Roman" w:hAnsi="Calibri" w:cs="Calibri"/>
                <w:b/>
                <w:bCs/>
                <w:color w:val="000000"/>
                <w:sz w:val="20"/>
                <w:lang w:eastAsia="en-GB"/>
              </w:rPr>
            </w:pPr>
          </w:p>
        </w:tc>
        <w:tc>
          <w:tcPr>
            <w:tcW w:w="1601" w:type="dxa"/>
            <w:tcBorders>
              <w:top w:val="nil"/>
              <w:left w:val="nil"/>
              <w:bottom w:val="nil"/>
              <w:right w:val="single" w:sz="4" w:space="0" w:color="auto"/>
            </w:tcBorders>
            <w:shd w:val="clear" w:color="auto" w:fill="auto"/>
            <w:noWrap/>
            <w:vAlign w:val="center"/>
            <w:hideMark/>
          </w:tcPr>
          <w:p w14:paraId="75F5B235" w14:textId="77777777" w:rsidR="00717FDC" w:rsidRPr="006A00DF" w:rsidRDefault="00717FDC" w:rsidP="006A00DF">
            <w:pPr>
              <w:spacing w:after="0" w:line="480" w:lineRule="auto"/>
              <w:jc w:val="both"/>
              <w:rPr>
                <w:rFonts w:ascii="Calibri" w:eastAsia="Times New Roman" w:hAnsi="Calibri" w:cs="Calibri"/>
                <w:b/>
                <w:bCs/>
                <w:color w:val="000000"/>
                <w:sz w:val="20"/>
                <w:lang w:eastAsia="en-GB"/>
              </w:rPr>
            </w:pPr>
            <w:r w:rsidRPr="006A00DF">
              <w:rPr>
                <w:rFonts w:ascii="Calibri" w:eastAsia="Times New Roman" w:hAnsi="Calibri" w:cs="Calibri"/>
                <w:b/>
                <w:bCs/>
                <w:color w:val="000000"/>
                <w:sz w:val="20"/>
                <w:lang w:eastAsia="en-GB"/>
              </w:rPr>
              <w:t>eBI</w:t>
            </w:r>
          </w:p>
        </w:tc>
        <w:tc>
          <w:tcPr>
            <w:tcW w:w="2063" w:type="dxa"/>
            <w:tcBorders>
              <w:top w:val="nil"/>
              <w:left w:val="nil"/>
              <w:bottom w:val="nil"/>
              <w:right w:val="nil"/>
            </w:tcBorders>
            <w:shd w:val="clear" w:color="auto" w:fill="auto"/>
            <w:noWrap/>
            <w:vAlign w:val="center"/>
            <w:hideMark/>
          </w:tcPr>
          <w:p w14:paraId="6DC287BF" w14:textId="77777777" w:rsidR="00717FDC" w:rsidRPr="006A00DF" w:rsidRDefault="00717FDC" w:rsidP="006A00DF">
            <w:pPr>
              <w:spacing w:after="0" w:line="480" w:lineRule="auto"/>
              <w:jc w:val="center"/>
              <w:rPr>
                <w:rFonts w:ascii="Calibri" w:eastAsia="Times New Roman" w:hAnsi="Calibri" w:cs="Calibri"/>
                <w:color w:val="000000"/>
                <w:sz w:val="20"/>
                <w:lang w:eastAsia="en-GB"/>
              </w:rPr>
            </w:pPr>
            <w:r w:rsidRPr="006A00DF">
              <w:rPr>
                <w:rFonts w:ascii="Calibri" w:eastAsia="Times New Roman" w:hAnsi="Calibri" w:cs="Calibri"/>
                <w:color w:val="000000"/>
                <w:sz w:val="20"/>
                <w:lang w:eastAsia="en-GB"/>
              </w:rPr>
              <w:t>12.5%</w:t>
            </w:r>
          </w:p>
        </w:tc>
        <w:tc>
          <w:tcPr>
            <w:tcW w:w="1844" w:type="dxa"/>
            <w:tcBorders>
              <w:top w:val="nil"/>
              <w:left w:val="nil"/>
              <w:bottom w:val="nil"/>
              <w:right w:val="nil"/>
            </w:tcBorders>
            <w:shd w:val="clear" w:color="000000" w:fill="F2F2F2"/>
            <w:noWrap/>
            <w:vAlign w:val="center"/>
            <w:hideMark/>
          </w:tcPr>
          <w:p w14:paraId="5ADEAB30" w14:textId="77777777" w:rsidR="00717FDC" w:rsidRPr="006A00DF" w:rsidRDefault="00717FDC" w:rsidP="006A00DF">
            <w:pPr>
              <w:spacing w:after="0" w:line="480" w:lineRule="auto"/>
              <w:jc w:val="center"/>
              <w:rPr>
                <w:rFonts w:ascii="Calibri" w:eastAsia="Times New Roman" w:hAnsi="Calibri" w:cs="Calibri"/>
                <w:color w:val="000000"/>
                <w:sz w:val="20"/>
                <w:lang w:eastAsia="en-GB"/>
              </w:rPr>
            </w:pPr>
            <w:r w:rsidRPr="006A00DF">
              <w:rPr>
                <w:rFonts w:ascii="Calibri" w:eastAsia="Times New Roman" w:hAnsi="Calibri" w:cs="Calibri"/>
                <w:color w:val="000000"/>
                <w:sz w:val="20"/>
                <w:lang w:eastAsia="en-GB"/>
              </w:rPr>
              <w:t>3.8%</w:t>
            </w:r>
          </w:p>
        </w:tc>
        <w:tc>
          <w:tcPr>
            <w:tcW w:w="1953" w:type="dxa"/>
            <w:tcBorders>
              <w:top w:val="nil"/>
              <w:left w:val="nil"/>
              <w:bottom w:val="nil"/>
              <w:right w:val="single" w:sz="4" w:space="0" w:color="auto"/>
            </w:tcBorders>
            <w:shd w:val="clear" w:color="000000" w:fill="D9D9D9"/>
            <w:noWrap/>
            <w:vAlign w:val="center"/>
            <w:hideMark/>
          </w:tcPr>
          <w:p w14:paraId="2B5A3392" w14:textId="77777777" w:rsidR="00717FDC" w:rsidRPr="006A00DF" w:rsidRDefault="00717FDC" w:rsidP="006A00DF">
            <w:pPr>
              <w:spacing w:after="0" w:line="480" w:lineRule="auto"/>
              <w:jc w:val="center"/>
              <w:rPr>
                <w:rFonts w:ascii="Calibri" w:eastAsia="Times New Roman" w:hAnsi="Calibri" w:cs="Calibri"/>
                <w:color w:val="000000"/>
                <w:sz w:val="20"/>
                <w:lang w:eastAsia="en-GB"/>
              </w:rPr>
            </w:pPr>
            <w:r w:rsidRPr="006A00DF">
              <w:rPr>
                <w:rFonts w:ascii="Calibri" w:eastAsia="Times New Roman" w:hAnsi="Calibri" w:cs="Calibri"/>
                <w:color w:val="000000"/>
                <w:sz w:val="20"/>
                <w:lang w:eastAsia="en-GB"/>
              </w:rPr>
              <w:t>14.0%</w:t>
            </w:r>
          </w:p>
        </w:tc>
      </w:tr>
      <w:tr w:rsidR="00717FDC" w:rsidRPr="006A00DF" w14:paraId="197950B3" w14:textId="77777777" w:rsidTr="00717FDC">
        <w:trPr>
          <w:trHeight w:val="300"/>
        </w:trPr>
        <w:tc>
          <w:tcPr>
            <w:tcW w:w="1560" w:type="dxa"/>
            <w:vMerge/>
            <w:tcBorders>
              <w:top w:val="single" w:sz="4" w:space="0" w:color="auto"/>
              <w:left w:val="single" w:sz="4" w:space="0" w:color="auto"/>
              <w:bottom w:val="single" w:sz="4" w:space="0" w:color="000000"/>
              <w:right w:val="nil"/>
            </w:tcBorders>
            <w:vAlign w:val="center"/>
            <w:hideMark/>
          </w:tcPr>
          <w:p w14:paraId="48EA7410" w14:textId="77777777" w:rsidR="00717FDC" w:rsidRPr="006A00DF" w:rsidRDefault="00717FDC" w:rsidP="006A00DF">
            <w:pPr>
              <w:spacing w:after="0" w:line="480" w:lineRule="auto"/>
              <w:rPr>
                <w:rFonts w:ascii="Calibri" w:eastAsia="Times New Roman" w:hAnsi="Calibri" w:cs="Calibri"/>
                <w:b/>
                <w:bCs/>
                <w:color w:val="000000"/>
                <w:sz w:val="20"/>
                <w:lang w:eastAsia="en-GB"/>
              </w:rPr>
            </w:pPr>
          </w:p>
        </w:tc>
        <w:tc>
          <w:tcPr>
            <w:tcW w:w="1601" w:type="dxa"/>
            <w:tcBorders>
              <w:top w:val="nil"/>
              <w:left w:val="nil"/>
              <w:bottom w:val="nil"/>
              <w:right w:val="single" w:sz="4" w:space="0" w:color="auto"/>
            </w:tcBorders>
            <w:shd w:val="clear" w:color="auto" w:fill="auto"/>
            <w:noWrap/>
            <w:vAlign w:val="center"/>
            <w:hideMark/>
          </w:tcPr>
          <w:p w14:paraId="65736021" w14:textId="77777777" w:rsidR="00717FDC" w:rsidRPr="006A00DF" w:rsidRDefault="00717FDC" w:rsidP="006A00DF">
            <w:pPr>
              <w:spacing w:after="0" w:line="480" w:lineRule="auto"/>
              <w:jc w:val="both"/>
              <w:rPr>
                <w:rFonts w:ascii="Calibri" w:eastAsia="Times New Roman" w:hAnsi="Calibri" w:cs="Calibri"/>
                <w:b/>
                <w:bCs/>
                <w:color w:val="000000"/>
                <w:sz w:val="20"/>
                <w:lang w:eastAsia="en-GB"/>
              </w:rPr>
            </w:pPr>
            <w:r w:rsidRPr="006A00DF">
              <w:rPr>
                <w:rFonts w:ascii="Calibri" w:eastAsia="Times New Roman" w:hAnsi="Calibri" w:cs="Calibri"/>
                <w:b/>
                <w:bCs/>
                <w:color w:val="000000"/>
                <w:sz w:val="20"/>
                <w:lang w:eastAsia="en-GB"/>
              </w:rPr>
              <w:t>TS+FR</w:t>
            </w:r>
          </w:p>
        </w:tc>
        <w:tc>
          <w:tcPr>
            <w:tcW w:w="2063" w:type="dxa"/>
            <w:tcBorders>
              <w:top w:val="nil"/>
              <w:left w:val="nil"/>
              <w:bottom w:val="nil"/>
              <w:right w:val="nil"/>
            </w:tcBorders>
            <w:shd w:val="clear" w:color="auto" w:fill="auto"/>
            <w:noWrap/>
            <w:vAlign w:val="center"/>
            <w:hideMark/>
          </w:tcPr>
          <w:p w14:paraId="163BB56C" w14:textId="77777777" w:rsidR="00717FDC" w:rsidRPr="006A00DF" w:rsidRDefault="00717FDC" w:rsidP="006A00DF">
            <w:pPr>
              <w:spacing w:after="0" w:line="480" w:lineRule="auto"/>
              <w:jc w:val="center"/>
              <w:rPr>
                <w:rFonts w:ascii="Calibri" w:eastAsia="Times New Roman" w:hAnsi="Calibri" w:cs="Calibri"/>
                <w:color w:val="000000"/>
                <w:sz w:val="20"/>
                <w:lang w:eastAsia="en-GB"/>
              </w:rPr>
            </w:pPr>
            <w:r w:rsidRPr="006A00DF">
              <w:rPr>
                <w:rFonts w:ascii="Calibri" w:eastAsia="Times New Roman" w:hAnsi="Calibri" w:cs="Calibri"/>
                <w:color w:val="000000"/>
                <w:sz w:val="20"/>
                <w:lang w:eastAsia="en-GB"/>
              </w:rPr>
              <w:t>129.5%</w:t>
            </w:r>
          </w:p>
        </w:tc>
        <w:tc>
          <w:tcPr>
            <w:tcW w:w="1844" w:type="dxa"/>
            <w:tcBorders>
              <w:top w:val="nil"/>
              <w:left w:val="nil"/>
              <w:bottom w:val="nil"/>
              <w:right w:val="nil"/>
            </w:tcBorders>
            <w:shd w:val="clear" w:color="000000" w:fill="F2F2F2"/>
            <w:noWrap/>
            <w:vAlign w:val="center"/>
            <w:hideMark/>
          </w:tcPr>
          <w:p w14:paraId="0BABA523" w14:textId="77777777" w:rsidR="00717FDC" w:rsidRPr="006A00DF" w:rsidRDefault="00717FDC" w:rsidP="006A00DF">
            <w:pPr>
              <w:spacing w:after="0" w:line="480" w:lineRule="auto"/>
              <w:jc w:val="center"/>
              <w:rPr>
                <w:rFonts w:ascii="Calibri" w:eastAsia="Times New Roman" w:hAnsi="Calibri" w:cs="Calibri"/>
                <w:color w:val="FF0000"/>
                <w:sz w:val="20"/>
                <w:lang w:eastAsia="en-GB"/>
              </w:rPr>
            </w:pPr>
            <w:r w:rsidRPr="006A00DF">
              <w:rPr>
                <w:rFonts w:ascii="Calibri" w:eastAsia="Times New Roman" w:hAnsi="Calibri" w:cs="Calibri"/>
                <w:color w:val="FF0000"/>
                <w:sz w:val="20"/>
                <w:lang w:eastAsia="en-GB"/>
              </w:rPr>
              <w:t>-15.8%</w:t>
            </w:r>
          </w:p>
        </w:tc>
        <w:tc>
          <w:tcPr>
            <w:tcW w:w="1953" w:type="dxa"/>
            <w:tcBorders>
              <w:top w:val="nil"/>
              <w:left w:val="nil"/>
              <w:bottom w:val="nil"/>
              <w:right w:val="single" w:sz="4" w:space="0" w:color="auto"/>
            </w:tcBorders>
            <w:shd w:val="clear" w:color="000000" w:fill="D9D9D9"/>
            <w:noWrap/>
            <w:vAlign w:val="center"/>
            <w:hideMark/>
          </w:tcPr>
          <w:p w14:paraId="52EAEC55" w14:textId="77777777" w:rsidR="00717FDC" w:rsidRPr="006A00DF" w:rsidRDefault="00717FDC" w:rsidP="006A00DF">
            <w:pPr>
              <w:spacing w:after="0" w:line="480" w:lineRule="auto"/>
              <w:jc w:val="center"/>
              <w:rPr>
                <w:rFonts w:ascii="Calibri" w:eastAsia="Times New Roman" w:hAnsi="Calibri" w:cs="Calibri"/>
                <w:color w:val="000000"/>
                <w:sz w:val="20"/>
                <w:lang w:eastAsia="en-GB"/>
              </w:rPr>
            </w:pPr>
            <w:r w:rsidRPr="006A00DF">
              <w:rPr>
                <w:rFonts w:ascii="Calibri" w:eastAsia="Times New Roman" w:hAnsi="Calibri" w:cs="Calibri"/>
                <w:color w:val="000000"/>
                <w:sz w:val="20"/>
                <w:lang w:eastAsia="en-GB"/>
              </w:rPr>
              <w:t>24.8%</w:t>
            </w:r>
          </w:p>
        </w:tc>
      </w:tr>
      <w:tr w:rsidR="00717FDC" w:rsidRPr="006A00DF" w14:paraId="5A49581E" w14:textId="77777777" w:rsidTr="00717FDC">
        <w:trPr>
          <w:trHeight w:val="300"/>
        </w:trPr>
        <w:tc>
          <w:tcPr>
            <w:tcW w:w="1560" w:type="dxa"/>
            <w:vMerge/>
            <w:tcBorders>
              <w:top w:val="single" w:sz="4" w:space="0" w:color="auto"/>
              <w:left w:val="single" w:sz="4" w:space="0" w:color="auto"/>
              <w:bottom w:val="single" w:sz="4" w:space="0" w:color="000000"/>
              <w:right w:val="nil"/>
            </w:tcBorders>
            <w:vAlign w:val="center"/>
            <w:hideMark/>
          </w:tcPr>
          <w:p w14:paraId="5E199202" w14:textId="77777777" w:rsidR="00717FDC" w:rsidRPr="006A00DF" w:rsidRDefault="00717FDC" w:rsidP="006A00DF">
            <w:pPr>
              <w:spacing w:after="0" w:line="480" w:lineRule="auto"/>
              <w:rPr>
                <w:rFonts w:ascii="Calibri" w:eastAsia="Times New Roman" w:hAnsi="Calibri" w:cs="Calibri"/>
                <w:b/>
                <w:bCs/>
                <w:color w:val="000000"/>
                <w:sz w:val="20"/>
                <w:lang w:eastAsia="en-GB"/>
              </w:rPr>
            </w:pPr>
          </w:p>
        </w:tc>
        <w:tc>
          <w:tcPr>
            <w:tcW w:w="1601" w:type="dxa"/>
            <w:tcBorders>
              <w:top w:val="nil"/>
              <w:left w:val="nil"/>
              <w:bottom w:val="nil"/>
              <w:right w:val="single" w:sz="4" w:space="0" w:color="auto"/>
            </w:tcBorders>
            <w:shd w:val="clear" w:color="auto" w:fill="auto"/>
            <w:noWrap/>
            <w:vAlign w:val="center"/>
            <w:hideMark/>
          </w:tcPr>
          <w:p w14:paraId="16032C4C" w14:textId="77777777" w:rsidR="00717FDC" w:rsidRPr="006A00DF" w:rsidRDefault="00717FDC" w:rsidP="006A00DF">
            <w:pPr>
              <w:spacing w:after="0" w:line="480" w:lineRule="auto"/>
              <w:jc w:val="both"/>
              <w:rPr>
                <w:rFonts w:ascii="Calibri" w:eastAsia="Times New Roman" w:hAnsi="Calibri" w:cs="Calibri"/>
                <w:b/>
                <w:bCs/>
                <w:color w:val="000000"/>
                <w:sz w:val="20"/>
                <w:lang w:eastAsia="en-GB"/>
              </w:rPr>
            </w:pPr>
            <w:r w:rsidRPr="006A00DF">
              <w:rPr>
                <w:rFonts w:ascii="Calibri" w:eastAsia="Times New Roman" w:hAnsi="Calibri" w:cs="Calibri"/>
                <w:b/>
                <w:bCs/>
                <w:color w:val="000000"/>
                <w:sz w:val="20"/>
                <w:lang w:eastAsia="en-GB"/>
              </w:rPr>
              <w:t>TS+eBI</w:t>
            </w:r>
          </w:p>
        </w:tc>
        <w:tc>
          <w:tcPr>
            <w:tcW w:w="2063" w:type="dxa"/>
            <w:tcBorders>
              <w:top w:val="nil"/>
              <w:left w:val="nil"/>
              <w:bottom w:val="nil"/>
              <w:right w:val="nil"/>
            </w:tcBorders>
            <w:shd w:val="clear" w:color="auto" w:fill="auto"/>
            <w:noWrap/>
            <w:vAlign w:val="center"/>
            <w:hideMark/>
          </w:tcPr>
          <w:p w14:paraId="12C723B9" w14:textId="77777777" w:rsidR="00717FDC" w:rsidRPr="006A00DF" w:rsidRDefault="00717FDC" w:rsidP="006A00DF">
            <w:pPr>
              <w:spacing w:after="0" w:line="480" w:lineRule="auto"/>
              <w:jc w:val="center"/>
              <w:rPr>
                <w:rFonts w:ascii="Calibri" w:eastAsia="Times New Roman" w:hAnsi="Calibri" w:cs="Calibri"/>
                <w:color w:val="000000"/>
                <w:sz w:val="20"/>
                <w:lang w:eastAsia="en-GB"/>
              </w:rPr>
            </w:pPr>
            <w:r w:rsidRPr="006A00DF">
              <w:rPr>
                <w:rFonts w:ascii="Calibri" w:eastAsia="Times New Roman" w:hAnsi="Calibri" w:cs="Calibri"/>
                <w:color w:val="000000"/>
                <w:sz w:val="20"/>
                <w:lang w:eastAsia="en-GB"/>
              </w:rPr>
              <w:t>28.0%</w:t>
            </w:r>
          </w:p>
        </w:tc>
        <w:tc>
          <w:tcPr>
            <w:tcW w:w="1844" w:type="dxa"/>
            <w:tcBorders>
              <w:top w:val="nil"/>
              <w:left w:val="nil"/>
              <w:bottom w:val="nil"/>
              <w:right w:val="nil"/>
            </w:tcBorders>
            <w:shd w:val="clear" w:color="000000" w:fill="F2F2F2"/>
            <w:noWrap/>
            <w:vAlign w:val="center"/>
            <w:hideMark/>
          </w:tcPr>
          <w:p w14:paraId="7CB227F3" w14:textId="77777777" w:rsidR="00717FDC" w:rsidRPr="006A00DF" w:rsidRDefault="00717FDC" w:rsidP="006A00DF">
            <w:pPr>
              <w:spacing w:after="0" w:line="480" w:lineRule="auto"/>
              <w:jc w:val="center"/>
              <w:rPr>
                <w:rFonts w:ascii="Calibri" w:eastAsia="Times New Roman" w:hAnsi="Calibri" w:cs="Calibri"/>
                <w:color w:val="FF0000"/>
                <w:sz w:val="20"/>
                <w:lang w:eastAsia="en-GB"/>
              </w:rPr>
            </w:pPr>
            <w:r w:rsidRPr="006A00DF">
              <w:rPr>
                <w:rFonts w:ascii="Calibri" w:eastAsia="Times New Roman" w:hAnsi="Calibri" w:cs="Calibri"/>
                <w:color w:val="FF0000"/>
                <w:sz w:val="20"/>
                <w:lang w:eastAsia="en-GB"/>
              </w:rPr>
              <w:t>-4.0%</w:t>
            </w:r>
          </w:p>
        </w:tc>
        <w:tc>
          <w:tcPr>
            <w:tcW w:w="1953" w:type="dxa"/>
            <w:tcBorders>
              <w:top w:val="nil"/>
              <w:left w:val="nil"/>
              <w:bottom w:val="nil"/>
              <w:right w:val="single" w:sz="4" w:space="0" w:color="auto"/>
            </w:tcBorders>
            <w:shd w:val="clear" w:color="000000" w:fill="D9D9D9"/>
            <w:noWrap/>
            <w:vAlign w:val="center"/>
            <w:hideMark/>
          </w:tcPr>
          <w:p w14:paraId="59B39AE0" w14:textId="77777777" w:rsidR="00717FDC" w:rsidRPr="006A00DF" w:rsidRDefault="00717FDC" w:rsidP="006A00DF">
            <w:pPr>
              <w:spacing w:after="0" w:line="480" w:lineRule="auto"/>
              <w:jc w:val="center"/>
              <w:rPr>
                <w:rFonts w:ascii="Calibri" w:eastAsia="Times New Roman" w:hAnsi="Calibri" w:cs="Calibri"/>
                <w:color w:val="000000"/>
                <w:sz w:val="20"/>
                <w:lang w:eastAsia="en-GB"/>
              </w:rPr>
            </w:pPr>
            <w:r w:rsidRPr="006A00DF">
              <w:rPr>
                <w:rFonts w:ascii="Calibri" w:eastAsia="Times New Roman" w:hAnsi="Calibri" w:cs="Calibri"/>
                <w:color w:val="000000"/>
                <w:sz w:val="20"/>
                <w:lang w:eastAsia="en-GB"/>
              </w:rPr>
              <w:t>17.8%</w:t>
            </w:r>
          </w:p>
        </w:tc>
      </w:tr>
      <w:tr w:rsidR="00717FDC" w:rsidRPr="006A00DF" w14:paraId="28CCA7FD" w14:textId="77777777" w:rsidTr="00717FDC">
        <w:trPr>
          <w:trHeight w:val="300"/>
        </w:trPr>
        <w:tc>
          <w:tcPr>
            <w:tcW w:w="1560" w:type="dxa"/>
            <w:vMerge/>
            <w:tcBorders>
              <w:top w:val="single" w:sz="4" w:space="0" w:color="auto"/>
              <w:left w:val="single" w:sz="4" w:space="0" w:color="auto"/>
              <w:bottom w:val="single" w:sz="4" w:space="0" w:color="000000"/>
              <w:right w:val="nil"/>
            </w:tcBorders>
            <w:vAlign w:val="center"/>
            <w:hideMark/>
          </w:tcPr>
          <w:p w14:paraId="4AC66172" w14:textId="77777777" w:rsidR="00717FDC" w:rsidRPr="006A00DF" w:rsidRDefault="00717FDC" w:rsidP="006A00DF">
            <w:pPr>
              <w:spacing w:after="0" w:line="480" w:lineRule="auto"/>
              <w:rPr>
                <w:rFonts w:ascii="Calibri" w:eastAsia="Times New Roman" w:hAnsi="Calibri" w:cs="Calibri"/>
                <w:b/>
                <w:bCs/>
                <w:color w:val="000000"/>
                <w:sz w:val="20"/>
                <w:lang w:eastAsia="en-GB"/>
              </w:rPr>
            </w:pPr>
          </w:p>
        </w:tc>
        <w:tc>
          <w:tcPr>
            <w:tcW w:w="1601" w:type="dxa"/>
            <w:tcBorders>
              <w:top w:val="nil"/>
              <w:left w:val="nil"/>
              <w:bottom w:val="nil"/>
              <w:right w:val="single" w:sz="4" w:space="0" w:color="auto"/>
            </w:tcBorders>
            <w:shd w:val="clear" w:color="auto" w:fill="auto"/>
            <w:noWrap/>
            <w:vAlign w:val="center"/>
            <w:hideMark/>
          </w:tcPr>
          <w:p w14:paraId="3795377E" w14:textId="77777777" w:rsidR="00717FDC" w:rsidRPr="006A00DF" w:rsidRDefault="00717FDC" w:rsidP="006A00DF">
            <w:pPr>
              <w:spacing w:after="0" w:line="480" w:lineRule="auto"/>
              <w:jc w:val="both"/>
              <w:rPr>
                <w:rFonts w:ascii="Calibri" w:eastAsia="Times New Roman" w:hAnsi="Calibri" w:cs="Calibri"/>
                <w:b/>
                <w:bCs/>
                <w:color w:val="000000"/>
                <w:sz w:val="20"/>
                <w:lang w:eastAsia="en-GB"/>
              </w:rPr>
            </w:pPr>
            <w:r w:rsidRPr="006A00DF">
              <w:rPr>
                <w:rFonts w:ascii="Calibri" w:eastAsia="Times New Roman" w:hAnsi="Calibri" w:cs="Calibri"/>
                <w:b/>
                <w:bCs/>
                <w:color w:val="000000"/>
                <w:sz w:val="20"/>
                <w:lang w:eastAsia="en-GB"/>
              </w:rPr>
              <w:t>FR+eBI</w:t>
            </w:r>
          </w:p>
        </w:tc>
        <w:tc>
          <w:tcPr>
            <w:tcW w:w="2063" w:type="dxa"/>
            <w:tcBorders>
              <w:top w:val="nil"/>
              <w:left w:val="nil"/>
              <w:bottom w:val="nil"/>
              <w:right w:val="nil"/>
            </w:tcBorders>
            <w:shd w:val="clear" w:color="auto" w:fill="auto"/>
            <w:noWrap/>
            <w:vAlign w:val="center"/>
            <w:hideMark/>
          </w:tcPr>
          <w:p w14:paraId="727EB7E2" w14:textId="77777777" w:rsidR="00717FDC" w:rsidRPr="006A00DF" w:rsidRDefault="00717FDC" w:rsidP="006A00DF">
            <w:pPr>
              <w:spacing w:after="0" w:line="480" w:lineRule="auto"/>
              <w:jc w:val="center"/>
              <w:rPr>
                <w:rFonts w:ascii="Calibri" w:eastAsia="Times New Roman" w:hAnsi="Calibri" w:cs="Calibri"/>
                <w:color w:val="000000"/>
                <w:sz w:val="20"/>
                <w:lang w:eastAsia="en-GB"/>
              </w:rPr>
            </w:pPr>
            <w:r w:rsidRPr="006A00DF">
              <w:rPr>
                <w:rFonts w:ascii="Calibri" w:eastAsia="Times New Roman" w:hAnsi="Calibri" w:cs="Calibri"/>
                <w:color w:val="000000"/>
                <w:sz w:val="20"/>
                <w:lang w:eastAsia="en-GB"/>
              </w:rPr>
              <w:t>43.1%</w:t>
            </w:r>
          </w:p>
        </w:tc>
        <w:tc>
          <w:tcPr>
            <w:tcW w:w="1844" w:type="dxa"/>
            <w:tcBorders>
              <w:top w:val="nil"/>
              <w:left w:val="nil"/>
              <w:bottom w:val="nil"/>
              <w:right w:val="nil"/>
            </w:tcBorders>
            <w:shd w:val="clear" w:color="000000" w:fill="F2F2F2"/>
            <w:noWrap/>
            <w:vAlign w:val="center"/>
            <w:hideMark/>
          </w:tcPr>
          <w:p w14:paraId="02615483" w14:textId="77777777" w:rsidR="00717FDC" w:rsidRPr="006A00DF" w:rsidRDefault="00717FDC" w:rsidP="006A00DF">
            <w:pPr>
              <w:spacing w:after="0" w:line="480" w:lineRule="auto"/>
              <w:jc w:val="center"/>
              <w:rPr>
                <w:rFonts w:ascii="Calibri" w:eastAsia="Times New Roman" w:hAnsi="Calibri" w:cs="Calibri"/>
                <w:color w:val="FF0000"/>
                <w:sz w:val="20"/>
                <w:lang w:eastAsia="en-GB"/>
              </w:rPr>
            </w:pPr>
            <w:r w:rsidRPr="006A00DF">
              <w:rPr>
                <w:rFonts w:ascii="Calibri" w:eastAsia="Times New Roman" w:hAnsi="Calibri" w:cs="Calibri"/>
                <w:color w:val="FF0000"/>
                <w:sz w:val="20"/>
                <w:lang w:eastAsia="en-GB"/>
              </w:rPr>
              <w:t>-6.3%</w:t>
            </w:r>
          </w:p>
        </w:tc>
        <w:tc>
          <w:tcPr>
            <w:tcW w:w="1953" w:type="dxa"/>
            <w:tcBorders>
              <w:top w:val="nil"/>
              <w:left w:val="nil"/>
              <w:bottom w:val="nil"/>
              <w:right w:val="single" w:sz="4" w:space="0" w:color="auto"/>
            </w:tcBorders>
            <w:shd w:val="clear" w:color="000000" w:fill="D9D9D9"/>
            <w:noWrap/>
            <w:vAlign w:val="center"/>
            <w:hideMark/>
          </w:tcPr>
          <w:p w14:paraId="6AF3DF5B" w14:textId="77777777" w:rsidR="00717FDC" w:rsidRPr="006A00DF" w:rsidRDefault="00717FDC" w:rsidP="006A00DF">
            <w:pPr>
              <w:spacing w:after="0" w:line="480" w:lineRule="auto"/>
              <w:jc w:val="center"/>
              <w:rPr>
                <w:rFonts w:ascii="Calibri" w:eastAsia="Times New Roman" w:hAnsi="Calibri" w:cs="Calibri"/>
                <w:color w:val="000000"/>
                <w:sz w:val="20"/>
                <w:lang w:eastAsia="en-GB"/>
              </w:rPr>
            </w:pPr>
            <w:r w:rsidRPr="006A00DF">
              <w:rPr>
                <w:rFonts w:ascii="Calibri" w:eastAsia="Times New Roman" w:hAnsi="Calibri" w:cs="Calibri"/>
                <w:color w:val="000000"/>
                <w:sz w:val="20"/>
                <w:lang w:eastAsia="en-GB"/>
              </w:rPr>
              <w:t>14.9%</w:t>
            </w:r>
          </w:p>
        </w:tc>
      </w:tr>
      <w:tr w:rsidR="00717FDC" w:rsidRPr="006A00DF" w14:paraId="5D9A7786" w14:textId="77777777" w:rsidTr="00717FDC">
        <w:trPr>
          <w:trHeight w:val="300"/>
        </w:trPr>
        <w:tc>
          <w:tcPr>
            <w:tcW w:w="1560" w:type="dxa"/>
            <w:vMerge/>
            <w:tcBorders>
              <w:top w:val="single" w:sz="4" w:space="0" w:color="auto"/>
              <w:left w:val="single" w:sz="4" w:space="0" w:color="auto"/>
              <w:bottom w:val="single" w:sz="4" w:space="0" w:color="000000"/>
              <w:right w:val="nil"/>
            </w:tcBorders>
            <w:vAlign w:val="center"/>
            <w:hideMark/>
          </w:tcPr>
          <w:p w14:paraId="4E555E1D" w14:textId="77777777" w:rsidR="00717FDC" w:rsidRPr="006A00DF" w:rsidRDefault="00717FDC" w:rsidP="006A00DF">
            <w:pPr>
              <w:spacing w:after="0" w:line="480" w:lineRule="auto"/>
              <w:rPr>
                <w:rFonts w:ascii="Calibri" w:eastAsia="Times New Roman" w:hAnsi="Calibri" w:cs="Calibri"/>
                <w:b/>
                <w:bCs/>
                <w:color w:val="000000"/>
                <w:sz w:val="20"/>
                <w:lang w:eastAsia="en-GB"/>
              </w:rPr>
            </w:pPr>
          </w:p>
        </w:tc>
        <w:tc>
          <w:tcPr>
            <w:tcW w:w="1601" w:type="dxa"/>
            <w:tcBorders>
              <w:top w:val="nil"/>
              <w:left w:val="nil"/>
              <w:bottom w:val="single" w:sz="4" w:space="0" w:color="auto"/>
              <w:right w:val="single" w:sz="4" w:space="0" w:color="auto"/>
            </w:tcBorders>
            <w:shd w:val="clear" w:color="auto" w:fill="auto"/>
            <w:noWrap/>
            <w:vAlign w:val="center"/>
            <w:hideMark/>
          </w:tcPr>
          <w:p w14:paraId="3C086A22" w14:textId="77777777" w:rsidR="00717FDC" w:rsidRPr="006A00DF" w:rsidRDefault="00717FDC" w:rsidP="006A00DF">
            <w:pPr>
              <w:spacing w:after="0" w:line="480" w:lineRule="auto"/>
              <w:jc w:val="both"/>
              <w:rPr>
                <w:rFonts w:ascii="Calibri" w:eastAsia="Times New Roman" w:hAnsi="Calibri" w:cs="Calibri"/>
                <w:b/>
                <w:bCs/>
                <w:color w:val="000000"/>
                <w:sz w:val="20"/>
                <w:lang w:eastAsia="en-GB"/>
              </w:rPr>
            </w:pPr>
            <w:r w:rsidRPr="006A00DF">
              <w:rPr>
                <w:rFonts w:ascii="Calibri" w:eastAsia="Times New Roman" w:hAnsi="Calibri" w:cs="Calibri"/>
                <w:b/>
                <w:bCs/>
                <w:color w:val="000000"/>
                <w:sz w:val="20"/>
                <w:lang w:eastAsia="en-GB"/>
              </w:rPr>
              <w:t>TS+FR+eBI</w:t>
            </w:r>
          </w:p>
        </w:tc>
        <w:tc>
          <w:tcPr>
            <w:tcW w:w="2063" w:type="dxa"/>
            <w:tcBorders>
              <w:top w:val="nil"/>
              <w:left w:val="nil"/>
              <w:bottom w:val="single" w:sz="4" w:space="0" w:color="auto"/>
              <w:right w:val="nil"/>
            </w:tcBorders>
            <w:shd w:val="clear" w:color="auto" w:fill="auto"/>
            <w:noWrap/>
            <w:vAlign w:val="center"/>
            <w:hideMark/>
          </w:tcPr>
          <w:p w14:paraId="29DC6DE6" w14:textId="77777777" w:rsidR="00717FDC" w:rsidRPr="006A00DF" w:rsidRDefault="00717FDC" w:rsidP="006A00DF">
            <w:pPr>
              <w:spacing w:after="0" w:line="480" w:lineRule="auto"/>
              <w:jc w:val="center"/>
              <w:rPr>
                <w:rFonts w:ascii="Calibri" w:eastAsia="Times New Roman" w:hAnsi="Calibri" w:cs="Calibri"/>
                <w:color w:val="000000"/>
                <w:sz w:val="20"/>
                <w:lang w:eastAsia="en-GB"/>
              </w:rPr>
            </w:pPr>
            <w:r w:rsidRPr="006A00DF">
              <w:rPr>
                <w:rFonts w:ascii="Calibri" w:eastAsia="Times New Roman" w:hAnsi="Calibri" w:cs="Calibri"/>
                <w:color w:val="000000"/>
                <w:sz w:val="20"/>
                <w:lang w:eastAsia="en-GB"/>
              </w:rPr>
              <w:t>68.2%</w:t>
            </w:r>
          </w:p>
        </w:tc>
        <w:tc>
          <w:tcPr>
            <w:tcW w:w="1844" w:type="dxa"/>
            <w:tcBorders>
              <w:top w:val="nil"/>
              <w:left w:val="nil"/>
              <w:bottom w:val="single" w:sz="4" w:space="0" w:color="auto"/>
              <w:right w:val="nil"/>
            </w:tcBorders>
            <w:shd w:val="clear" w:color="000000" w:fill="F2F2F2"/>
            <w:noWrap/>
            <w:vAlign w:val="center"/>
            <w:hideMark/>
          </w:tcPr>
          <w:p w14:paraId="0870D857" w14:textId="77777777" w:rsidR="00717FDC" w:rsidRPr="006A00DF" w:rsidRDefault="00717FDC" w:rsidP="006A00DF">
            <w:pPr>
              <w:spacing w:after="0" w:line="480" w:lineRule="auto"/>
              <w:jc w:val="center"/>
              <w:rPr>
                <w:rFonts w:ascii="Calibri" w:eastAsia="Times New Roman" w:hAnsi="Calibri" w:cs="Calibri"/>
                <w:color w:val="FF0000"/>
                <w:sz w:val="20"/>
                <w:lang w:eastAsia="en-GB"/>
              </w:rPr>
            </w:pPr>
            <w:r w:rsidRPr="006A00DF">
              <w:rPr>
                <w:rFonts w:ascii="Calibri" w:eastAsia="Times New Roman" w:hAnsi="Calibri" w:cs="Calibri"/>
                <w:color w:val="FF0000"/>
                <w:sz w:val="20"/>
                <w:lang w:eastAsia="en-GB"/>
              </w:rPr>
              <w:t>-20.6%</w:t>
            </w:r>
          </w:p>
        </w:tc>
        <w:tc>
          <w:tcPr>
            <w:tcW w:w="1953" w:type="dxa"/>
            <w:tcBorders>
              <w:top w:val="nil"/>
              <w:left w:val="nil"/>
              <w:bottom w:val="single" w:sz="4" w:space="0" w:color="auto"/>
              <w:right w:val="single" w:sz="4" w:space="0" w:color="auto"/>
            </w:tcBorders>
            <w:shd w:val="clear" w:color="000000" w:fill="D9D9D9"/>
            <w:noWrap/>
            <w:vAlign w:val="center"/>
            <w:hideMark/>
          </w:tcPr>
          <w:p w14:paraId="6C283587" w14:textId="77777777" w:rsidR="00717FDC" w:rsidRPr="006A00DF" w:rsidRDefault="00717FDC" w:rsidP="006A00DF">
            <w:pPr>
              <w:spacing w:after="0" w:line="480" w:lineRule="auto"/>
              <w:jc w:val="center"/>
              <w:rPr>
                <w:rFonts w:ascii="Calibri" w:eastAsia="Times New Roman" w:hAnsi="Calibri" w:cs="Calibri"/>
                <w:color w:val="000000"/>
                <w:sz w:val="20"/>
                <w:lang w:eastAsia="en-GB"/>
              </w:rPr>
            </w:pPr>
            <w:r w:rsidRPr="006A00DF">
              <w:rPr>
                <w:rFonts w:ascii="Calibri" w:eastAsia="Times New Roman" w:hAnsi="Calibri" w:cs="Calibri"/>
                <w:color w:val="000000"/>
                <w:sz w:val="20"/>
                <w:lang w:eastAsia="en-GB"/>
              </w:rPr>
              <w:t>22.9%</w:t>
            </w:r>
          </w:p>
        </w:tc>
      </w:tr>
      <w:tr w:rsidR="00717FDC" w:rsidRPr="006A00DF" w14:paraId="1946C83A" w14:textId="77777777" w:rsidTr="00717FDC">
        <w:trPr>
          <w:trHeight w:val="300"/>
        </w:trPr>
        <w:tc>
          <w:tcPr>
            <w:tcW w:w="3161" w:type="dxa"/>
            <w:gridSpan w:val="2"/>
            <w:tcBorders>
              <w:top w:val="nil"/>
              <w:left w:val="single" w:sz="4" w:space="0" w:color="auto"/>
              <w:bottom w:val="nil"/>
              <w:right w:val="single" w:sz="4" w:space="0" w:color="000000"/>
            </w:tcBorders>
            <w:shd w:val="clear" w:color="auto" w:fill="auto"/>
            <w:noWrap/>
            <w:vAlign w:val="bottom"/>
            <w:hideMark/>
          </w:tcPr>
          <w:p w14:paraId="09E836B6" w14:textId="77777777" w:rsidR="00717FDC" w:rsidRPr="006A00DF" w:rsidRDefault="00717FDC" w:rsidP="006A00DF">
            <w:pPr>
              <w:spacing w:after="0" w:line="480" w:lineRule="auto"/>
              <w:rPr>
                <w:rFonts w:ascii="Calibri" w:eastAsia="Times New Roman" w:hAnsi="Calibri" w:cs="Calibri"/>
                <w:b/>
                <w:bCs/>
                <w:color w:val="000000"/>
                <w:sz w:val="20"/>
                <w:lang w:eastAsia="en-GB"/>
              </w:rPr>
            </w:pPr>
            <w:r w:rsidRPr="006A00DF">
              <w:rPr>
                <w:rFonts w:ascii="Calibri" w:eastAsia="Times New Roman" w:hAnsi="Calibri" w:cs="Calibri"/>
                <w:b/>
                <w:bCs/>
                <w:color w:val="000000"/>
                <w:sz w:val="20"/>
                <w:lang w:eastAsia="en-GB"/>
              </w:rPr>
              <w:t>Change between baseline and follow-up</w:t>
            </w:r>
          </w:p>
        </w:tc>
        <w:tc>
          <w:tcPr>
            <w:tcW w:w="2063" w:type="dxa"/>
            <w:tcBorders>
              <w:top w:val="nil"/>
              <w:left w:val="nil"/>
              <w:bottom w:val="nil"/>
              <w:right w:val="nil"/>
            </w:tcBorders>
            <w:shd w:val="clear" w:color="auto" w:fill="auto"/>
            <w:noWrap/>
            <w:vAlign w:val="center"/>
            <w:hideMark/>
          </w:tcPr>
          <w:p w14:paraId="2C878E3A" w14:textId="77777777" w:rsidR="00717FDC" w:rsidRPr="006A00DF" w:rsidRDefault="00717FDC" w:rsidP="006A00DF">
            <w:pPr>
              <w:spacing w:after="0" w:line="480" w:lineRule="auto"/>
              <w:jc w:val="center"/>
              <w:rPr>
                <w:rFonts w:ascii="Calibri" w:eastAsia="Times New Roman" w:hAnsi="Calibri" w:cs="Calibri"/>
                <w:color w:val="000000"/>
                <w:sz w:val="20"/>
                <w:lang w:eastAsia="en-GB"/>
              </w:rPr>
            </w:pPr>
            <w:r w:rsidRPr="006A00DF">
              <w:rPr>
                <w:rFonts w:ascii="Calibri" w:eastAsia="Times New Roman" w:hAnsi="Calibri" w:cs="Calibri"/>
                <w:color w:val="000000"/>
                <w:sz w:val="20"/>
                <w:lang w:eastAsia="en-GB"/>
              </w:rPr>
              <w:t> </w:t>
            </w:r>
          </w:p>
        </w:tc>
        <w:tc>
          <w:tcPr>
            <w:tcW w:w="1844" w:type="dxa"/>
            <w:tcBorders>
              <w:top w:val="nil"/>
              <w:left w:val="nil"/>
              <w:bottom w:val="nil"/>
              <w:right w:val="nil"/>
            </w:tcBorders>
            <w:shd w:val="clear" w:color="auto" w:fill="auto"/>
            <w:noWrap/>
            <w:vAlign w:val="center"/>
            <w:hideMark/>
          </w:tcPr>
          <w:p w14:paraId="6768240E" w14:textId="77777777" w:rsidR="00717FDC" w:rsidRPr="006A00DF" w:rsidRDefault="00717FDC" w:rsidP="006A00DF">
            <w:pPr>
              <w:spacing w:after="0" w:line="480" w:lineRule="auto"/>
              <w:jc w:val="center"/>
              <w:rPr>
                <w:rFonts w:ascii="Calibri" w:eastAsia="Times New Roman" w:hAnsi="Calibri" w:cs="Calibri"/>
                <w:color w:val="000000"/>
                <w:sz w:val="20"/>
                <w:lang w:eastAsia="en-GB"/>
              </w:rPr>
            </w:pPr>
          </w:p>
        </w:tc>
        <w:tc>
          <w:tcPr>
            <w:tcW w:w="1953" w:type="dxa"/>
            <w:tcBorders>
              <w:top w:val="nil"/>
              <w:left w:val="nil"/>
              <w:bottom w:val="nil"/>
              <w:right w:val="single" w:sz="4" w:space="0" w:color="auto"/>
            </w:tcBorders>
            <w:shd w:val="clear" w:color="auto" w:fill="auto"/>
            <w:noWrap/>
            <w:vAlign w:val="center"/>
            <w:hideMark/>
          </w:tcPr>
          <w:p w14:paraId="213C16E3" w14:textId="77777777" w:rsidR="00717FDC" w:rsidRPr="006A00DF" w:rsidRDefault="00717FDC" w:rsidP="006A00DF">
            <w:pPr>
              <w:spacing w:after="0" w:line="480" w:lineRule="auto"/>
              <w:jc w:val="center"/>
              <w:rPr>
                <w:rFonts w:ascii="Calibri" w:eastAsia="Times New Roman" w:hAnsi="Calibri" w:cs="Calibri"/>
                <w:color w:val="000000"/>
                <w:sz w:val="20"/>
                <w:lang w:eastAsia="en-GB"/>
              </w:rPr>
            </w:pPr>
            <w:r w:rsidRPr="006A00DF">
              <w:rPr>
                <w:rFonts w:ascii="Calibri" w:eastAsia="Times New Roman" w:hAnsi="Calibri" w:cs="Calibri"/>
                <w:color w:val="000000"/>
                <w:sz w:val="20"/>
                <w:lang w:eastAsia="en-GB"/>
              </w:rPr>
              <w:t> </w:t>
            </w:r>
          </w:p>
        </w:tc>
      </w:tr>
      <w:tr w:rsidR="00717FDC" w:rsidRPr="006A00DF" w14:paraId="798DA256" w14:textId="77777777" w:rsidTr="00717FDC">
        <w:trPr>
          <w:trHeight w:val="288"/>
        </w:trPr>
        <w:tc>
          <w:tcPr>
            <w:tcW w:w="1560"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4B7C10AB" w14:textId="77777777" w:rsidR="00717FDC" w:rsidRPr="006A00DF" w:rsidRDefault="00717FDC" w:rsidP="006A00DF">
            <w:pPr>
              <w:spacing w:after="0" w:line="480" w:lineRule="auto"/>
              <w:rPr>
                <w:rFonts w:ascii="Calibri" w:eastAsia="Times New Roman" w:hAnsi="Calibri" w:cs="Calibri"/>
                <w:b/>
                <w:bCs/>
                <w:color w:val="000000"/>
                <w:sz w:val="20"/>
                <w:lang w:eastAsia="en-GB"/>
              </w:rPr>
            </w:pPr>
            <w:r w:rsidRPr="006A00DF">
              <w:rPr>
                <w:rFonts w:ascii="Calibri" w:eastAsia="Times New Roman" w:hAnsi="Calibri" w:cs="Calibri"/>
                <w:b/>
                <w:bCs/>
                <w:color w:val="000000"/>
                <w:sz w:val="20"/>
                <w:lang w:eastAsia="en-GB"/>
              </w:rPr>
              <w:t>Strategy</w:t>
            </w:r>
          </w:p>
        </w:tc>
        <w:tc>
          <w:tcPr>
            <w:tcW w:w="1601" w:type="dxa"/>
            <w:tcBorders>
              <w:top w:val="single" w:sz="4" w:space="0" w:color="auto"/>
              <w:left w:val="nil"/>
              <w:bottom w:val="nil"/>
              <w:right w:val="single" w:sz="4" w:space="0" w:color="auto"/>
            </w:tcBorders>
            <w:shd w:val="clear" w:color="auto" w:fill="auto"/>
            <w:noWrap/>
            <w:vAlign w:val="center"/>
            <w:hideMark/>
          </w:tcPr>
          <w:p w14:paraId="7198416A" w14:textId="77777777" w:rsidR="00717FDC" w:rsidRPr="006A00DF" w:rsidRDefault="00717FDC" w:rsidP="006A00DF">
            <w:pPr>
              <w:spacing w:after="0" w:line="480" w:lineRule="auto"/>
              <w:jc w:val="both"/>
              <w:rPr>
                <w:rFonts w:ascii="Calibri" w:eastAsia="Times New Roman" w:hAnsi="Calibri" w:cs="Calibri"/>
                <w:b/>
                <w:bCs/>
                <w:color w:val="000000"/>
                <w:sz w:val="20"/>
                <w:lang w:eastAsia="en-GB"/>
              </w:rPr>
            </w:pPr>
            <w:r w:rsidRPr="006A00DF">
              <w:rPr>
                <w:rFonts w:ascii="Calibri" w:eastAsia="Times New Roman" w:hAnsi="Calibri" w:cs="Calibri"/>
                <w:b/>
                <w:bCs/>
                <w:color w:val="000000"/>
                <w:sz w:val="20"/>
                <w:lang w:eastAsia="en-GB"/>
              </w:rPr>
              <w:t>Control</w:t>
            </w:r>
          </w:p>
        </w:tc>
        <w:tc>
          <w:tcPr>
            <w:tcW w:w="2063" w:type="dxa"/>
            <w:tcBorders>
              <w:top w:val="single" w:sz="4" w:space="0" w:color="auto"/>
              <w:left w:val="nil"/>
              <w:bottom w:val="nil"/>
              <w:right w:val="nil"/>
            </w:tcBorders>
            <w:shd w:val="clear" w:color="auto" w:fill="auto"/>
            <w:noWrap/>
            <w:vAlign w:val="center"/>
            <w:hideMark/>
          </w:tcPr>
          <w:p w14:paraId="791282C7" w14:textId="77777777" w:rsidR="00717FDC" w:rsidRPr="006A00DF" w:rsidRDefault="00717FDC" w:rsidP="006A00DF">
            <w:pPr>
              <w:spacing w:after="0" w:line="480" w:lineRule="auto"/>
              <w:jc w:val="center"/>
              <w:rPr>
                <w:rFonts w:ascii="Calibri" w:eastAsia="Times New Roman" w:hAnsi="Calibri" w:cs="Calibri"/>
                <w:color w:val="FF0000"/>
                <w:sz w:val="20"/>
                <w:lang w:eastAsia="en-GB"/>
              </w:rPr>
            </w:pPr>
            <w:r w:rsidRPr="006A00DF">
              <w:rPr>
                <w:rFonts w:ascii="Calibri" w:eastAsia="Times New Roman" w:hAnsi="Calibri" w:cs="Calibri"/>
                <w:color w:val="FF0000"/>
                <w:sz w:val="20"/>
                <w:lang w:eastAsia="en-GB"/>
              </w:rPr>
              <w:t>-37.5%</w:t>
            </w:r>
          </w:p>
        </w:tc>
        <w:tc>
          <w:tcPr>
            <w:tcW w:w="1844" w:type="dxa"/>
            <w:tcBorders>
              <w:top w:val="single" w:sz="4" w:space="0" w:color="auto"/>
              <w:left w:val="nil"/>
              <w:bottom w:val="nil"/>
              <w:right w:val="nil"/>
            </w:tcBorders>
            <w:shd w:val="clear" w:color="000000" w:fill="F2F2F2"/>
            <w:noWrap/>
            <w:vAlign w:val="center"/>
            <w:hideMark/>
          </w:tcPr>
          <w:p w14:paraId="5630157C" w14:textId="77777777" w:rsidR="00717FDC" w:rsidRPr="006A00DF" w:rsidRDefault="00717FDC" w:rsidP="006A00DF">
            <w:pPr>
              <w:spacing w:after="0" w:line="480" w:lineRule="auto"/>
              <w:jc w:val="center"/>
              <w:rPr>
                <w:rFonts w:ascii="Calibri" w:eastAsia="Times New Roman" w:hAnsi="Calibri" w:cs="Calibri"/>
                <w:color w:val="FF0000"/>
                <w:sz w:val="20"/>
                <w:lang w:eastAsia="en-GB"/>
              </w:rPr>
            </w:pPr>
            <w:r w:rsidRPr="006A00DF">
              <w:rPr>
                <w:rFonts w:ascii="Calibri" w:eastAsia="Times New Roman" w:hAnsi="Calibri" w:cs="Calibri"/>
                <w:color w:val="FF0000"/>
                <w:sz w:val="20"/>
                <w:lang w:eastAsia="en-GB"/>
              </w:rPr>
              <w:t>-8.4%</w:t>
            </w:r>
          </w:p>
        </w:tc>
        <w:tc>
          <w:tcPr>
            <w:tcW w:w="1953" w:type="dxa"/>
            <w:tcBorders>
              <w:top w:val="single" w:sz="4" w:space="0" w:color="auto"/>
              <w:left w:val="nil"/>
              <w:bottom w:val="nil"/>
              <w:right w:val="single" w:sz="4" w:space="0" w:color="auto"/>
            </w:tcBorders>
            <w:shd w:val="clear" w:color="000000" w:fill="D9D9D9"/>
            <w:noWrap/>
            <w:vAlign w:val="center"/>
            <w:hideMark/>
          </w:tcPr>
          <w:p w14:paraId="0DB5265E" w14:textId="77777777" w:rsidR="00717FDC" w:rsidRPr="006A00DF" w:rsidRDefault="00717FDC" w:rsidP="006A00DF">
            <w:pPr>
              <w:spacing w:after="0" w:line="480" w:lineRule="auto"/>
              <w:jc w:val="center"/>
              <w:rPr>
                <w:rFonts w:ascii="Calibri" w:eastAsia="Times New Roman" w:hAnsi="Calibri" w:cs="Calibri"/>
                <w:color w:val="FF0000"/>
                <w:sz w:val="20"/>
                <w:lang w:eastAsia="en-GB"/>
              </w:rPr>
            </w:pPr>
            <w:r w:rsidRPr="006A00DF">
              <w:rPr>
                <w:rFonts w:ascii="Calibri" w:eastAsia="Times New Roman" w:hAnsi="Calibri" w:cs="Calibri"/>
                <w:color w:val="FF0000"/>
                <w:sz w:val="20"/>
                <w:lang w:eastAsia="en-GB"/>
              </w:rPr>
              <w:t>-22.1%</w:t>
            </w:r>
          </w:p>
        </w:tc>
      </w:tr>
      <w:tr w:rsidR="00717FDC" w:rsidRPr="006A00DF" w14:paraId="23310454" w14:textId="77777777" w:rsidTr="00717FDC">
        <w:trPr>
          <w:trHeight w:val="288"/>
        </w:trPr>
        <w:tc>
          <w:tcPr>
            <w:tcW w:w="1560" w:type="dxa"/>
            <w:vMerge/>
            <w:tcBorders>
              <w:top w:val="single" w:sz="4" w:space="0" w:color="auto"/>
              <w:left w:val="single" w:sz="4" w:space="0" w:color="auto"/>
              <w:bottom w:val="single" w:sz="4" w:space="0" w:color="000000"/>
              <w:right w:val="nil"/>
            </w:tcBorders>
            <w:vAlign w:val="center"/>
            <w:hideMark/>
          </w:tcPr>
          <w:p w14:paraId="4999B44E" w14:textId="77777777" w:rsidR="00717FDC" w:rsidRPr="006A00DF" w:rsidRDefault="00717FDC" w:rsidP="006A00DF">
            <w:pPr>
              <w:spacing w:after="0" w:line="480" w:lineRule="auto"/>
              <w:rPr>
                <w:rFonts w:ascii="Calibri" w:eastAsia="Times New Roman" w:hAnsi="Calibri" w:cs="Calibri"/>
                <w:b/>
                <w:bCs/>
                <w:color w:val="000000"/>
                <w:sz w:val="20"/>
                <w:lang w:eastAsia="en-GB"/>
              </w:rPr>
            </w:pPr>
          </w:p>
        </w:tc>
        <w:tc>
          <w:tcPr>
            <w:tcW w:w="1601" w:type="dxa"/>
            <w:tcBorders>
              <w:top w:val="nil"/>
              <w:left w:val="nil"/>
              <w:bottom w:val="nil"/>
              <w:right w:val="single" w:sz="4" w:space="0" w:color="auto"/>
            </w:tcBorders>
            <w:shd w:val="clear" w:color="auto" w:fill="auto"/>
            <w:noWrap/>
            <w:vAlign w:val="center"/>
            <w:hideMark/>
          </w:tcPr>
          <w:p w14:paraId="28A6DFF1" w14:textId="77777777" w:rsidR="00717FDC" w:rsidRPr="006A00DF" w:rsidRDefault="00717FDC" w:rsidP="006A00DF">
            <w:pPr>
              <w:spacing w:after="0" w:line="480" w:lineRule="auto"/>
              <w:jc w:val="both"/>
              <w:rPr>
                <w:rFonts w:ascii="Calibri" w:eastAsia="Times New Roman" w:hAnsi="Calibri" w:cs="Calibri"/>
                <w:b/>
                <w:bCs/>
                <w:color w:val="000000"/>
                <w:sz w:val="20"/>
                <w:lang w:eastAsia="en-GB"/>
              </w:rPr>
            </w:pPr>
            <w:r w:rsidRPr="006A00DF">
              <w:rPr>
                <w:rFonts w:ascii="Calibri" w:eastAsia="Times New Roman" w:hAnsi="Calibri" w:cs="Calibri"/>
                <w:b/>
                <w:bCs/>
                <w:color w:val="000000"/>
                <w:sz w:val="20"/>
                <w:lang w:eastAsia="en-GB"/>
              </w:rPr>
              <w:t>TS</w:t>
            </w:r>
          </w:p>
        </w:tc>
        <w:tc>
          <w:tcPr>
            <w:tcW w:w="2063" w:type="dxa"/>
            <w:tcBorders>
              <w:top w:val="nil"/>
              <w:left w:val="nil"/>
              <w:bottom w:val="nil"/>
              <w:right w:val="nil"/>
            </w:tcBorders>
            <w:shd w:val="clear" w:color="auto" w:fill="auto"/>
            <w:noWrap/>
            <w:vAlign w:val="center"/>
            <w:hideMark/>
          </w:tcPr>
          <w:p w14:paraId="24E9DE98" w14:textId="77777777" w:rsidR="00717FDC" w:rsidRPr="006A00DF" w:rsidRDefault="00717FDC" w:rsidP="006A00DF">
            <w:pPr>
              <w:spacing w:after="0" w:line="480" w:lineRule="auto"/>
              <w:jc w:val="center"/>
              <w:rPr>
                <w:rFonts w:ascii="Calibri" w:eastAsia="Times New Roman" w:hAnsi="Calibri" w:cs="Calibri"/>
                <w:color w:val="FF0000"/>
                <w:sz w:val="20"/>
                <w:lang w:eastAsia="en-GB"/>
              </w:rPr>
            </w:pPr>
            <w:r w:rsidRPr="006A00DF">
              <w:rPr>
                <w:rFonts w:ascii="Calibri" w:eastAsia="Times New Roman" w:hAnsi="Calibri" w:cs="Calibri"/>
                <w:color w:val="FF0000"/>
                <w:sz w:val="20"/>
                <w:lang w:eastAsia="en-GB"/>
              </w:rPr>
              <w:t>-9.5%</w:t>
            </w:r>
          </w:p>
        </w:tc>
        <w:tc>
          <w:tcPr>
            <w:tcW w:w="1844" w:type="dxa"/>
            <w:tcBorders>
              <w:top w:val="nil"/>
              <w:left w:val="nil"/>
              <w:bottom w:val="nil"/>
              <w:right w:val="nil"/>
            </w:tcBorders>
            <w:shd w:val="clear" w:color="000000" w:fill="F2F2F2"/>
            <w:noWrap/>
            <w:vAlign w:val="center"/>
            <w:hideMark/>
          </w:tcPr>
          <w:p w14:paraId="3B0D2FFB" w14:textId="77777777" w:rsidR="00717FDC" w:rsidRPr="006A00DF" w:rsidRDefault="00717FDC" w:rsidP="006A00DF">
            <w:pPr>
              <w:spacing w:after="0" w:line="480" w:lineRule="auto"/>
              <w:jc w:val="center"/>
              <w:rPr>
                <w:rFonts w:ascii="Calibri" w:eastAsia="Times New Roman" w:hAnsi="Calibri" w:cs="Calibri"/>
                <w:color w:val="FF0000"/>
                <w:sz w:val="20"/>
                <w:lang w:eastAsia="en-GB"/>
              </w:rPr>
            </w:pPr>
            <w:r w:rsidRPr="006A00DF">
              <w:rPr>
                <w:rFonts w:ascii="Calibri" w:eastAsia="Times New Roman" w:hAnsi="Calibri" w:cs="Calibri"/>
                <w:color w:val="FF0000"/>
                <w:sz w:val="20"/>
                <w:lang w:eastAsia="en-GB"/>
              </w:rPr>
              <w:t>-17.6%</w:t>
            </w:r>
          </w:p>
        </w:tc>
        <w:tc>
          <w:tcPr>
            <w:tcW w:w="1953" w:type="dxa"/>
            <w:tcBorders>
              <w:top w:val="nil"/>
              <w:left w:val="nil"/>
              <w:bottom w:val="nil"/>
              <w:right w:val="single" w:sz="4" w:space="0" w:color="auto"/>
            </w:tcBorders>
            <w:shd w:val="clear" w:color="000000" w:fill="D9D9D9"/>
            <w:noWrap/>
            <w:vAlign w:val="center"/>
            <w:hideMark/>
          </w:tcPr>
          <w:p w14:paraId="03F683F5" w14:textId="77777777" w:rsidR="00717FDC" w:rsidRPr="006A00DF" w:rsidRDefault="00717FDC" w:rsidP="006A00DF">
            <w:pPr>
              <w:spacing w:after="0" w:line="480" w:lineRule="auto"/>
              <w:jc w:val="center"/>
              <w:rPr>
                <w:rFonts w:ascii="Calibri" w:eastAsia="Times New Roman" w:hAnsi="Calibri" w:cs="Calibri"/>
                <w:color w:val="000000"/>
                <w:sz w:val="20"/>
                <w:lang w:eastAsia="en-GB"/>
              </w:rPr>
            </w:pPr>
            <w:r w:rsidRPr="006A00DF">
              <w:rPr>
                <w:rFonts w:ascii="Calibri" w:eastAsia="Times New Roman" w:hAnsi="Calibri" w:cs="Calibri"/>
                <w:color w:val="000000"/>
                <w:sz w:val="20"/>
                <w:lang w:eastAsia="en-GB"/>
              </w:rPr>
              <w:t>7.5%</w:t>
            </w:r>
          </w:p>
        </w:tc>
      </w:tr>
      <w:tr w:rsidR="00717FDC" w:rsidRPr="006A00DF" w14:paraId="7ACBA320" w14:textId="77777777" w:rsidTr="00717FDC">
        <w:trPr>
          <w:trHeight w:val="288"/>
        </w:trPr>
        <w:tc>
          <w:tcPr>
            <w:tcW w:w="1560" w:type="dxa"/>
            <w:vMerge/>
            <w:tcBorders>
              <w:top w:val="single" w:sz="4" w:space="0" w:color="auto"/>
              <w:left w:val="single" w:sz="4" w:space="0" w:color="auto"/>
              <w:bottom w:val="single" w:sz="4" w:space="0" w:color="000000"/>
              <w:right w:val="nil"/>
            </w:tcBorders>
            <w:vAlign w:val="center"/>
            <w:hideMark/>
          </w:tcPr>
          <w:p w14:paraId="2A7FD871" w14:textId="77777777" w:rsidR="00717FDC" w:rsidRPr="006A00DF" w:rsidRDefault="00717FDC" w:rsidP="006A00DF">
            <w:pPr>
              <w:spacing w:after="0" w:line="480" w:lineRule="auto"/>
              <w:rPr>
                <w:rFonts w:ascii="Calibri" w:eastAsia="Times New Roman" w:hAnsi="Calibri" w:cs="Calibri"/>
                <w:b/>
                <w:bCs/>
                <w:color w:val="000000"/>
                <w:sz w:val="20"/>
                <w:lang w:eastAsia="en-GB"/>
              </w:rPr>
            </w:pPr>
          </w:p>
        </w:tc>
        <w:tc>
          <w:tcPr>
            <w:tcW w:w="1601" w:type="dxa"/>
            <w:tcBorders>
              <w:top w:val="nil"/>
              <w:left w:val="nil"/>
              <w:bottom w:val="nil"/>
              <w:right w:val="single" w:sz="4" w:space="0" w:color="auto"/>
            </w:tcBorders>
            <w:shd w:val="clear" w:color="auto" w:fill="auto"/>
            <w:noWrap/>
            <w:vAlign w:val="center"/>
            <w:hideMark/>
          </w:tcPr>
          <w:p w14:paraId="059F3D4C" w14:textId="77777777" w:rsidR="00717FDC" w:rsidRPr="006A00DF" w:rsidRDefault="00717FDC" w:rsidP="006A00DF">
            <w:pPr>
              <w:spacing w:after="0" w:line="480" w:lineRule="auto"/>
              <w:jc w:val="both"/>
              <w:rPr>
                <w:rFonts w:ascii="Calibri" w:eastAsia="Times New Roman" w:hAnsi="Calibri" w:cs="Calibri"/>
                <w:b/>
                <w:bCs/>
                <w:color w:val="000000"/>
                <w:sz w:val="20"/>
                <w:lang w:eastAsia="en-GB"/>
              </w:rPr>
            </w:pPr>
            <w:r w:rsidRPr="006A00DF">
              <w:rPr>
                <w:rFonts w:ascii="Calibri" w:eastAsia="Times New Roman" w:hAnsi="Calibri" w:cs="Calibri"/>
                <w:b/>
                <w:bCs/>
                <w:color w:val="000000"/>
                <w:sz w:val="20"/>
                <w:lang w:eastAsia="en-GB"/>
              </w:rPr>
              <w:t>FR</w:t>
            </w:r>
          </w:p>
        </w:tc>
        <w:tc>
          <w:tcPr>
            <w:tcW w:w="2063" w:type="dxa"/>
            <w:tcBorders>
              <w:top w:val="nil"/>
              <w:left w:val="nil"/>
              <w:bottom w:val="nil"/>
              <w:right w:val="nil"/>
            </w:tcBorders>
            <w:shd w:val="clear" w:color="auto" w:fill="auto"/>
            <w:noWrap/>
            <w:vAlign w:val="center"/>
            <w:hideMark/>
          </w:tcPr>
          <w:p w14:paraId="48FF42B5" w14:textId="77777777" w:rsidR="00717FDC" w:rsidRPr="006A00DF" w:rsidRDefault="00717FDC" w:rsidP="006A00DF">
            <w:pPr>
              <w:spacing w:after="0" w:line="480" w:lineRule="auto"/>
              <w:jc w:val="center"/>
              <w:rPr>
                <w:rFonts w:ascii="Calibri" w:eastAsia="Times New Roman" w:hAnsi="Calibri" w:cs="Calibri"/>
                <w:color w:val="FF0000"/>
                <w:sz w:val="20"/>
                <w:lang w:eastAsia="en-GB"/>
              </w:rPr>
            </w:pPr>
            <w:r w:rsidRPr="006A00DF">
              <w:rPr>
                <w:rFonts w:ascii="Calibri" w:eastAsia="Times New Roman" w:hAnsi="Calibri" w:cs="Calibri"/>
                <w:color w:val="FF0000"/>
                <w:sz w:val="20"/>
                <w:lang w:eastAsia="en-GB"/>
              </w:rPr>
              <w:t>-7.6%</w:t>
            </w:r>
          </w:p>
        </w:tc>
        <w:tc>
          <w:tcPr>
            <w:tcW w:w="1844" w:type="dxa"/>
            <w:tcBorders>
              <w:top w:val="nil"/>
              <w:left w:val="nil"/>
              <w:bottom w:val="nil"/>
              <w:right w:val="nil"/>
            </w:tcBorders>
            <w:shd w:val="clear" w:color="000000" w:fill="F2F2F2"/>
            <w:noWrap/>
            <w:vAlign w:val="center"/>
            <w:hideMark/>
          </w:tcPr>
          <w:p w14:paraId="03AEF924" w14:textId="77777777" w:rsidR="00717FDC" w:rsidRPr="006A00DF" w:rsidRDefault="00717FDC" w:rsidP="006A00DF">
            <w:pPr>
              <w:spacing w:after="0" w:line="480" w:lineRule="auto"/>
              <w:jc w:val="center"/>
              <w:rPr>
                <w:rFonts w:ascii="Calibri" w:eastAsia="Times New Roman" w:hAnsi="Calibri" w:cs="Calibri"/>
                <w:color w:val="FF0000"/>
                <w:sz w:val="20"/>
                <w:lang w:eastAsia="en-GB"/>
              </w:rPr>
            </w:pPr>
            <w:r w:rsidRPr="006A00DF">
              <w:rPr>
                <w:rFonts w:ascii="Calibri" w:eastAsia="Times New Roman" w:hAnsi="Calibri" w:cs="Calibri"/>
                <w:color w:val="FF0000"/>
                <w:sz w:val="20"/>
                <w:lang w:eastAsia="en-GB"/>
              </w:rPr>
              <w:t>-16.8%</w:t>
            </w:r>
          </w:p>
        </w:tc>
        <w:tc>
          <w:tcPr>
            <w:tcW w:w="1953" w:type="dxa"/>
            <w:tcBorders>
              <w:top w:val="nil"/>
              <w:left w:val="nil"/>
              <w:bottom w:val="nil"/>
              <w:right w:val="single" w:sz="4" w:space="0" w:color="auto"/>
            </w:tcBorders>
            <w:shd w:val="clear" w:color="000000" w:fill="D9D9D9"/>
            <w:noWrap/>
            <w:vAlign w:val="center"/>
            <w:hideMark/>
          </w:tcPr>
          <w:p w14:paraId="6A989651" w14:textId="77777777" w:rsidR="00717FDC" w:rsidRPr="006A00DF" w:rsidRDefault="00717FDC" w:rsidP="006A00DF">
            <w:pPr>
              <w:spacing w:after="0" w:line="480" w:lineRule="auto"/>
              <w:jc w:val="center"/>
              <w:rPr>
                <w:rFonts w:ascii="Calibri" w:eastAsia="Times New Roman" w:hAnsi="Calibri" w:cs="Calibri"/>
                <w:color w:val="000000"/>
                <w:sz w:val="20"/>
                <w:lang w:eastAsia="en-GB"/>
              </w:rPr>
            </w:pPr>
            <w:r w:rsidRPr="006A00DF">
              <w:rPr>
                <w:rFonts w:ascii="Calibri" w:eastAsia="Times New Roman" w:hAnsi="Calibri" w:cs="Calibri"/>
                <w:color w:val="000000"/>
                <w:sz w:val="20"/>
                <w:lang w:eastAsia="en-GB"/>
              </w:rPr>
              <w:t>3.8%</w:t>
            </w:r>
          </w:p>
        </w:tc>
      </w:tr>
      <w:tr w:rsidR="00717FDC" w:rsidRPr="006A00DF" w14:paraId="7E210CE3" w14:textId="77777777" w:rsidTr="00717FDC">
        <w:trPr>
          <w:trHeight w:val="288"/>
        </w:trPr>
        <w:tc>
          <w:tcPr>
            <w:tcW w:w="1560" w:type="dxa"/>
            <w:vMerge/>
            <w:tcBorders>
              <w:top w:val="single" w:sz="4" w:space="0" w:color="auto"/>
              <w:left w:val="single" w:sz="4" w:space="0" w:color="auto"/>
              <w:bottom w:val="single" w:sz="4" w:space="0" w:color="000000"/>
              <w:right w:val="nil"/>
            </w:tcBorders>
            <w:vAlign w:val="center"/>
            <w:hideMark/>
          </w:tcPr>
          <w:p w14:paraId="713DEC92" w14:textId="77777777" w:rsidR="00717FDC" w:rsidRPr="006A00DF" w:rsidRDefault="00717FDC" w:rsidP="006A00DF">
            <w:pPr>
              <w:spacing w:after="0" w:line="480" w:lineRule="auto"/>
              <w:rPr>
                <w:rFonts w:ascii="Calibri" w:eastAsia="Times New Roman" w:hAnsi="Calibri" w:cs="Calibri"/>
                <w:b/>
                <w:bCs/>
                <w:color w:val="000000"/>
                <w:sz w:val="20"/>
                <w:lang w:eastAsia="en-GB"/>
              </w:rPr>
            </w:pPr>
          </w:p>
        </w:tc>
        <w:tc>
          <w:tcPr>
            <w:tcW w:w="1601" w:type="dxa"/>
            <w:tcBorders>
              <w:top w:val="nil"/>
              <w:left w:val="nil"/>
              <w:bottom w:val="nil"/>
              <w:right w:val="single" w:sz="4" w:space="0" w:color="auto"/>
            </w:tcBorders>
            <w:shd w:val="clear" w:color="auto" w:fill="auto"/>
            <w:noWrap/>
            <w:vAlign w:val="center"/>
            <w:hideMark/>
          </w:tcPr>
          <w:p w14:paraId="6FA9973F" w14:textId="77777777" w:rsidR="00717FDC" w:rsidRPr="006A00DF" w:rsidRDefault="00717FDC" w:rsidP="006A00DF">
            <w:pPr>
              <w:spacing w:after="0" w:line="480" w:lineRule="auto"/>
              <w:jc w:val="both"/>
              <w:rPr>
                <w:rFonts w:ascii="Calibri" w:eastAsia="Times New Roman" w:hAnsi="Calibri" w:cs="Calibri"/>
                <w:b/>
                <w:bCs/>
                <w:color w:val="000000"/>
                <w:sz w:val="20"/>
                <w:lang w:eastAsia="en-GB"/>
              </w:rPr>
            </w:pPr>
            <w:r w:rsidRPr="006A00DF">
              <w:rPr>
                <w:rFonts w:ascii="Calibri" w:eastAsia="Times New Roman" w:hAnsi="Calibri" w:cs="Calibri"/>
                <w:b/>
                <w:bCs/>
                <w:color w:val="000000"/>
                <w:sz w:val="20"/>
                <w:lang w:eastAsia="en-GB"/>
              </w:rPr>
              <w:t>eBI</w:t>
            </w:r>
          </w:p>
        </w:tc>
        <w:tc>
          <w:tcPr>
            <w:tcW w:w="2063" w:type="dxa"/>
            <w:tcBorders>
              <w:top w:val="nil"/>
              <w:left w:val="nil"/>
              <w:bottom w:val="nil"/>
              <w:right w:val="nil"/>
            </w:tcBorders>
            <w:shd w:val="clear" w:color="auto" w:fill="auto"/>
            <w:noWrap/>
            <w:vAlign w:val="center"/>
            <w:hideMark/>
          </w:tcPr>
          <w:p w14:paraId="581C2F9D" w14:textId="77777777" w:rsidR="00717FDC" w:rsidRPr="006A00DF" w:rsidRDefault="00717FDC" w:rsidP="006A00DF">
            <w:pPr>
              <w:spacing w:after="0" w:line="480" w:lineRule="auto"/>
              <w:jc w:val="center"/>
              <w:rPr>
                <w:rFonts w:ascii="Calibri" w:eastAsia="Times New Roman" w:hAnsi="Calibri" w:cs="Calibri"/>
                <w:color w:val="FF0000"/>
                <w:sz w:val="20"/>
                <w:lang w:eastAsia="en-GB"/>
              </w:rPr>
            </w:pPr>
            <w:r w:rsidRPr="006A00DF">
              <w:rPr>
                <w:rFonts w:ascii="Calibri" w:eastAsia="Times New Roman" w:hAnsi="Calibri" w:cs="Calibri"/>
                <w:color w:val="FF0000"/>
                <w:sz w:val="20"/>
                <w:lang w:eastAsia="en-GB"/>
              </w:rPr>
              <w:t>-20.0%</w:t>
            </w:r>
          </w:p>
        </w:tc>
        <w:tc>
          <w:tcPr>
            <w:tcW w:w="1844" w:type="dxa"/>
            <w:tcBorders>
              <w:top w:val="nil"/>
              <w:left w:val="nil"/>
              <w:bottom w:val="nil"/>
              <w:right w:val="nil"/>
            </w:tcBorders>
            <w:shd w:val="clear" w:color="000000" w:fill="F2F2F2"/>
            <w:noWrap/>
            <w:vAlign w:val="center"/>
            <w:hideMark/>
          </w:tcPr>
          <w:p w14:paraId="4C5B913F" w14:textId="77777777" w:rsidR="00717FDC" w:rsidRPr="006A00DF" w:rsidRDefault="00717FDC" w:rsidP="006A00DF">
            <w:pPr>
              <w:spacing w:after="0" w:line="480" w:lineRule="auto"/>
              <w:jc w:val="center"/>
              <w:rPr>
                <w:rFonts w:ascii="Calibri" w:eastAsia="Times New Roman" w:hAnsi="Calibri" w:cs="Calibri"/>
                <w:color w:val="FF0000"/>
                <w:sz w:val="20"/>
                <w:lang w:eastAsia="en-GB"/>
              </w:rPr>
            </w:pPr>
            <w:r w:rsidRPr="006A00DF">
              <w:rPr>
                <w:rFonts w:ascii="Calibri" w:eastAsia="Times New Roman" w:hAnsi="Calibri" w:cs="Calibri"/>
                <w:color w:val="FF0000"/>
                <w:sz w:val="20"/>
                <w:lang w:eastAsia="en-GB"/>
              </w:rPr>
              <w:t>-1.4%</w:t>
            </w:r>
          </w:p>
        </w:tc>
        <w:tc>
          <w:tcPr>
            <w:tcW w:w="1953" w:type="dxa"/>
            <w:tcBorders>
              <w:top w:val="nil"/>
              <w:left w:val="nil"/>
              <w:bottom w:val="nil"/>
              <w:right w:val="single" w:sz="4" w:space="0" w:color="auto"/>
            </w:tcBorders>
            <w:shd w:val="clear" w:color="000000" w:fill="D9D9D9"/>
            <w:noWrap/>
            <w:vAlign w:val="center"/>
            <w:hideMark/>
          </w:tcPr>
          <w:p w14:paraId="6FDFF759" w14:textId="77777777" w:rsidR="00717FDC" w:rsidRPr="006A00DF" w:rsidRDefault="00717FDC" w:rsidP="006A00DF">
            <w:pPr>
              <w:spacing w:after="0" w:line="480" w:lineRule="auto"/>
              <w:jc w:val="center"/>
              <w:rPr>
                <w:rFonts w:ascii="Calibri" w:eastAsia="Times New Roman" w:hAnsi="Calibri" w:cs="Calibri"/>
                <w:color w:val="000000"/>
                <w:sz w:val="20"/>
                <w:lang w:eastAsia="en-GB"/>
              </w:rPr>
            </w:pPr>
            <w:r w:rsidRPr="006A00DF">
              <w:rPr>
                <w:rFonts w:ascii="Calibri" w:eastAsia="Times New Roman" w:hAnsi="Calibri" w:cs="Calibri"/>
                <w:color w:val="000000"/>
                <w:sz w:val="20"/>
                <w:lang w:eastAsia="en-GB"/>
              </w:rPr>
              <w:t>1.2%</w:t>
            </w:r>
          </w:p>
        </w:tc>
      </w:tr>
      <w:tr w:rsidR="00717FDC" w:rsidRPr="006A00DF" w14:paraId="237A9F53" w14:textId="77777777" w:rsidTr="00717FDC">
        <w:trPr>
          <w:trHeight w:val="288"/>
        </w:trPr>
        <w:tc>
          <w:tcPr>
            <w:tcW w:w="1560" w:type="dxa"/>
            <w:vMerge/>
            <w:tcBorders>
              <w:top w:val="single" w:sz="4" w:space="0" w:color="auto"/>
              <w:left w:val="single" w:sz="4" w:space="0" w:color="auto"/>
              <w:bottom w:val="single" w:sz="4" w:space="0" w:color="000000"/>
              <w:right w:val="nil"/>
            </w:tcBorders>
            <w:vAlign w:val="center"/>
            <w:hideMark/>
          </w:tcPr>
          <w:p w14:paraId="54F84E89" w14:textId="77777777" w:rsidR="00717FDC" w:rsidRPr="006A00DF" w:rsidRDefault="00717FDC" w:rsidP="006A00DF">
            <w:pPr>
              <w:spacing w:after="0" w:line="480" w:lineRule="auto"/>
              <w:rPr>
                <w:rFonts w:ascii="Calibri" w:eastAsia="Times New Roman" w:hAnsi="Calibri" w:cs="Calibri"/>
                <w:b/>
                <w:bCs/>
                <w:color w:val="000000"/>
                <w:sz w:val="20"/>
                <w:lang w:eastAsia="en-GB"/>
              </w:rPr>
            </w:pPr>
          </w:p>
        </w:tc>
        <w:tc>
          <w:tcPr>
            <w:tcW w:w="1601" w:type="dxa"/>
            <w:tcBorders>
              <w:top w:val="nil"/>
              <w:left w:val="nil"/>
              <w:bottom w:val="nil"/>
              <w:right w:val="single" w:sz="4" w:space="0" w:color="auto"/>
            </w:tcBorders>
            <w:shd w:val="clear" w:color="auto" w:fill="auto"/>
            <w:noWrap/>
            <w:vAlign w:val="center"/>
            <w:hideMark/>
          </w:tcPr>
          <w:p w14:paraId="54E9B12A" w14:textId="77777777" w:rsidR="00717FDC" w:rsidRPr="006A00DF" w:rsidRDefault="00717FDC" w:rsidP="006A00DF">
            <w:pPr>
              <w:spacing w:after="0" w:line="480" w:lineRule="auto"/>
              <w:jc w:val="both"/>
              <w:rPr>
                <w:rFonts w:ascii="Calibri" w:eastAsia="Times New Roman" w:hAnsi="Calibri" w:cs="Calibri"/>
                <w:b/>
                <w:bCs/>
                <w:color w:val="000000"/>
                <w:sz w:val="20"/>
                <w:lang w:eastAsia="en-GB"/>
              </w:rPr>
            </w:pPr>
            <w:r w:rsidRPr="006A00DF">
              <w:rPr>
                <w:rFonts w:ascii="Calibri" w:eastAsia="Times New Roman" w:hAnsi="Calibri" w:cs="Calibri"/>
                <w:b/>
                <w:bCs/>
                <w:color w:val="000000"/>
                <w:sz w:val="20"/>
                <w:lang w:eastAsia="en-GB"/>
              </w:rPr>
              <w:t>TS+FR</w:t>
            </w:r>
          </w:p>
        </w:tc>
        <w:tc>
          <w:tcPr>
            <w:tcW w:w="2063" w:type="dxa"/>
            <w:tcBorders>
              <w:top w:val="nil"/>
              <w:left w:val="nil"/>
              <w:bottom w:val="nil"/>
              <w:right w:val="nil"/>
            </w:tcBorders>
            <w:shd w:val="clear" w:color="auto" w:fill="auto"/>
            <w:noWrap/>
            <w:vAlign w:val="center"/>
            <w:hideMark/>
          </w:tcPr>
          <w:p w14:paraId="243E7878" w14:textId="77777777" w:rsidR="00717FDC" w:rsidRPr="006A00DF" w:rsidRDefault="00717FDC" w:rsidP="006A00DF">
            <w:pPr>
              <w:spacing w:after="0" w:line="480" w:lineRule="auto"/>
              <w:jc w:val="center"/>
              <w:rPr>
                <w:rFonts w:ascii="Calibri" w:eastAsia="Times New Roman" w:hAnsi="Calibri" w:cs="Calibri"/>
                <w:color w:val="000000"/>
                <w:sz w:val="20"/>
                <w:lang w:eastAsia="en-GB"/>
              </w:rPr>
            </w:pPr>
            <w:r w:rsidRPr="006A00DF">
              <w:rPr>
                <w:rFonts w:ascii="Calibri" w:eastAsia="Times New Roman" w:hAnsi="Calibri" w:cs="Calibri"/>
                <w:color w:val="000000"/>
                <w:sz w:val="20"/>
                <w:lang w:eastAsia="en-GB"/>
              </w:rPr>
              <w:t>3.2%</w:t>
            </w:r>
          </w:p>
        </w:tc>
        <w:tc>
          <w:tcPr>
            <w:tcW w:w="1844" w:type="dxa"/>
            <w:tcBorders>
              <w:top w:val="nil"/>
              <w:left w:val="nil"/>
              <w:bottom w:val="nil"/>
              <w:right w:val="nil"/>
            </w:tcBorders>
            <w:shd w:val="clear" w:color="000000" w:fill="F2F2F2"/>
            <w:noWrap/>
            <w:vAlign w:val="center"/>
            <w:hideMark/>
          </w:tcPr>
          <w:p w14:paraId="0BA04FC4" w14:textId="77777777" w:rsidR="00717FDC" w:rsidRPr="006A00DF" w:rsidRDefault="00717FDC" w:rsidP="006A00DF">
            <w:pPr>
              <w:spacing w:after="0" w:line="480" w:lineRule="auto"/>
              <w:jc w:val="center"/>
              <w:rPr>
                <w:rFonts w:ascii="Calibri" w:eastAsia="Times New Roman" w:hAnsi="Calibri" w:cs="Calibri"/>
                <w:color w:val="FF0000"/>
                <w:sz w:val="20"/>
                <w:lang w:eastAsia="en-GB"/>
              </w:rPr>
            </w:pPr>
            <w:r w:rsidRPr="006A00DF">
              <w:rPr>
                <w:rFonts w:ascii="Calibri" w:eastAsia="Times New Roman" w:hAnsi="Calibri" w:cs="Calibri"/>
                <w:color w:val="FF0000"/>
                <w:sz w:val="20"/>
                <w:lang w:eastAsia="en-GB"/>
              </w:rPr>
              <w:t>-27.8%</w:t>
            </w:r>
          </w:p>
        </w:tc>
        <w:tc>
          <w:tcPr>
            <w:tcW w:w="1953" w:type="dxa"/>
            <w:tcBorders>
              <w:top w:val="nil"/>
              <w:left w:val="nil"/>
              <w:bottom w:val="nil"/>
              <w:right w:val="single" w:sz="4" w:space="0" w:color="auto"/>
            </w:tcBorders>
            <w:shd w:val="clear" w:color="000000" w:fill="D9D9D9"/>
            <w:noWrap/>
            <w:vAlign w:val="center"/>
            <w:hideMark/>
          </w:tcPr>
          <w:p w14:paraId="2020C036" w14:textId="77777777" w:rsidR="00717FDC" w:rsidRPr="006A00DF" w:rsidRDefault="00717FDC" w:rsidP="006A00DF">
            <w:pPr>
              <w:spacing w:after="0" w:line="480" w:lineRule="auto"/>
              <w:jc w:val="center"/>
              <w:rPr>
                <w:rFonts w:ascii="Calibri" w:eastAsia="Times New Roman" w:hAnsi="Calibri" w:cs="Calibri"/>
                <w:color w:val="000000"/>
                <w:sz w:val="20"/>
                <w:lang w:eastAsia="en-GB"/>
              </w:rPr>
            </w:pPr>
            <w:r w:rsidRPr="006A00DF">
              <w:rPr>
                <w:rFonts w:ascii="Calibri" w:eastAsia="Times New Roman" w:hAnsi="Calibri" w:cs="Calibri"/>
                <w:color w:val="000000"/>
                <w:sz w:val="20"/>
                <w:lang w:eastAsia="en-GB"/>
              </w:rPr>
              <w:t>10.0%</w:t>
            </w:r>
          </w:p>
        </w:tc>
      </w:tr>
      <w:tr w:rsidR="00717FDC" w:rsidRPr="006A00DF" w14:paraId="6728C74A" w14:textId="77777777" w:rsidTr="00717FDC">
        <w:trPr>
          <w:trHeight w:val="288"/>
        </w:trPr>
        <w:tc>
          <w:tcPr>
            <w:tcW w:w="1560" w:type="dxa"/>
            <w:vMerge/>
            <w:tcBorders>
              <w:top w:val="single" w:sz="4" w:space="0" w:color="auto"/>
              <w:left w:val="single" w:sz="4" w:space="0" w:color="auto"/>
              <w:bottom w:val="single" w:sz="4" w:space="0" w:color="000000"/>
              <w:right w:val="nil"/>
            </w:tcBorders>
            <w:vAlign w:val="center"/>
            <w:hideMark/>
          </w:tcPr>
          <w:p w14:paraId="323F0679" w14:textId="77777777" w:rsidR="00717FDC" w:rsidRPr="006A00DF" w:rsidRDefault="00717FDC" w:rsidP="006A00DF">
            <w:pPr>
              <w:spacing w:after="0" w:line="480" w:lineRule="auto"/>
              <w:rPr>
                <w:rFonts w:ascii="Calibri" w:eastAsia="Times New Roman" w:hAnsi="Calibri" w:cs="Calibri"/>
                <w:b/>
                <w:bCs/>
                <w:color w:val="000000"/>
                <w:sz w:val="20"/>
                <w:lang w:eastAsia="en-GB"/>
              </w:rPr>
            </w:pPr>
          </w:p>
        </w:tc>
        <w:tc>
          <w:tcPr>
            <w:tcW w:w="1601" w:type="dxa"/>
            <w:tcBorders>
              <w:top w:val="nil"/>
              <w:left w:val="nil"/>
              <w:bottom w:val="nil"/>
              <w:right w:val="single" w:sz="4" w:space="0" w:color="auto"/>
            </w:tcBorders>
            <w:shd w:val="clear" w:color="auto" w:fill="auto"/>
            <w:noWrap/>
            <w:vAlign w:val="center"/>
            <w:hideMark/>
          </w:tcPr>
          <w:p w14:paraId="36E82933" w14:textId="77777777" w:rsidR="00717FDC" w:rsidRPr="006A00DF" w:rsidRDefault="00717FDC" w:rsidP="006A00DF">
            <w:pPr>
              <w:spacing w:after="0" w:line="480" w:lineRule="auto"/>
              <w:jc w:val="both"/>
              <w:rPr>
                <w:rFonts w:ascii="Calibri" w:eastAsia="Times New Roman" w:hAnsi="Calibri" w:cs="Calibri"/>
                <w:b/>
                <w:bCs/>
                <w:color w:val="000000"/>
                <w:sz w:val="20"/>
                <w:lang w:eastAsia="en-GB"/>
              </w:rPr>
            </w:pPr>
            <w:r w:rsidRPr="006A00DF">
              <w:rPr>
                <w:rFonts w:ascii="Calibri" w:eastAsia="Times New Roman" w:hAnsi="Calibri" w:cs="Calibri"/>
                <w:b/>
                <w:bCs/>
                <w:color w:val="000000"/>
                <w:sz w:val="20"/>
                <w:lang w:eastAsia="en-GB"/>
              </w:rPr>
              <w:t>TS+eBI</w:t>
            </w:r>
          </w:p>
        </w:tc>
        <w:tc>
          <w:tcPr>
            <w:tcW w:w="2063" w:type="dxa"/>
            <w:tcBorders>
              <w:top w:val="nil"/>
              <w:left w:val="nil"/>
              <w:bottom w:val="nil"/>
              <w:right w:val="nil"/>
            </w:tcBorders>
            <w:shd w:val="clear" w:color="auto" w:fill="auto"/>
            <w:noWrap/>
            <w:vAlign w:val="center"/>
            <w:hideMark/>
          </w:tcPr>
          <w:p w14:paraId="038149D2" w14:textId="77777777" w:rsidR="00717FDC" w:rsidRPr="006A00DF" w:rsidRDefault="00717FDC" w:rsidP="006A00DF">
            <w:pPr>
              <w:spacing w:after="0" w:line="480" w:lineRule="auto"/>
              <w:jc w:val="center"/>
              <w:rPr>
                <w:rFonts w:ascii="Calibri" w:eastAsia="Times New Roman" w:hAnsi="Calibri" w:cs="Calibri"/>
                <w:color w:val="FF0000"/>
                <w:sz w:val="20"/>
                <w:lang w:eastAsia="en-GB"/>
              </w:rPr>
            </w:pPr>
            <w:r w:rsidRPr="006A00DF">
              <w:rPr>
                <w:rFonts w:ascii="Calibri" w:eastAsia="Times New Roman" w:hAnsi="Calibri" w:cs="Calibri"/>
                <w:color w:val="FF0000"/>
                <w:sz w:val="20"/>
                <w:lang w:eastAsia="en-GB"/>
              </w:rPr>
              <w:t>-8.3%</w:t>
            </w:r>
          </w:p>
        </w:tc>
        <w:tc>
          <w:tcPr>
            <w:tcW w:w="1844" w:type="dxa"/>
            <w:tcBorders>
              <w:top w:val="nil"/>
              <w:left w:val="nil"/>
              <w:bottom w:val="nil"/>
              <w:right w:val="nil"/>
            </w:tcBorders>
            <w:shd w:val="clear" w:color="000000" w:fill="F2F2F2"/>
            <w:noWrap/>
            <w:vAlign w:val="center"/>
            <w:hideMark/>
          </w:tcPr>
          <w:p w14:paraId="11F9AAEC" w14:textId="77777777" w:rsidR="00717FDC" w:rsidRPr="006A00DF" w:rsidRDefault="00717FDC" w:rsidP="006A00DF">
            <w:pPr>
              <w:spacing w:after="0" w:line="480" w:lineRule="auto"/>
              <w:jc w:val="center"/>
              <w:rPr>
                <w:rFonts w:ascii="Calibri" w:eastAsia="Times New Roman" w:hAnsi="Calibri" w:cs="Calibri"/>
                <w:color w:val="FF0000"/>
                <w:sz w:val="20"/>
                <w:lang w:eastAsia="en-GB"/>
              </w:rPr>
            </w:pPr>
            <w:r w:rsidRPr="006A00DF">
              <w:rPr>
                <w:rFonts w:ascii="Calibri" w:eastAsia="Times New Roman" w:hAnsi="Calibri" w:cs="Calibri"/>
                <w:color w:val="FF0000"/>
                <w:sz w:val="20"/>
                <w:lang w:eastAsia="en-GB"/>
              </w:rPr>
              <w:t>-18.7%</w:t>
            </w:r>
          </w:p>
        </w:tc>
        <w:tc>
          <w:tcPr>
            <w:tcW w:w="1953" w:type="dxa"/>
            <w:tcBorders>
              <w:top w:val="nil"/>
              <w:left w:val="nil"/>
              <w:bottom w:val="nil"/>
              <w:right w:val="single" w:sz="4" w:space="0" w:color="auto"/>
            </w:tcBorders>
            <w:shd w:val="clear" w:color="000000" w:fill="D9D9D9"/>
            <w:noWrap/>
            <w:vAlign w:val="center"/>
            <w:hideMark/>
          </w:tcPr>
          <w:p w14:paraId="321EEAF7" w14:textId="77777777" w:rsidR="00717FDC" w:rsidRPr="006A00DF" w:rsidRDefault="00717FDC" w:rsidP="006A00DF">
            <w:pPr>
              <w:spacing w:after="0" w:line="480" w:lineRule="auto"/>
              <w:jc w:val="center"/>
              <w:rPr>
                <w:rFonts w:ascii="Calibri" w:eastAsia="Times New Roman" w:hAnsi="Calibri" w:cs="Calibri"/>
                <w:color w:val="000000"/>
                <w:sz w:val="20"/>
                <w:lang w:eastAsia="en-GB"/>
              </w:rPr>
            </w:pPr>
            <w:r w:rsidRPr="006A00DF">
              <w:rPr>
                <w:rFonts w:ascii="Calibri" w:eastAsia="Times New Roman" w:hAnsi="Calibri" w:cs="Calibri"/>
                <w:color w:val="000000"/>
                <w:sz w:val="20"/>
                <w:lang w:eastAsia="en-GB"/>
              </w:rPr>
              <w:t>3.1%</w:t>
            </w:r>
          </w:p>
        </w:tc>
      </w:tr>
      <w:tr w:rsidR="00717FDC" w:rsidRPr="006A00DF" w14:paraId="2D0E4B76" w14:textId="77777777" w:rsidTr="00717FDC">
        <w:trPr>
          <w:trHeight w:val="288"/>
        </w:trPr>
        <w:tc>
          <w:tcPr>
            <w:tcW w:w="1560" w:type="dxa"/>
            <w:vMerge/>
            <w:tcBorders>
              <w:top w:val="single" w:sz="4" w:space="0" w:color="auto"/>
              <w:left w:val="single" w:sz="4" w:space="0" w:color="auto"/>
              <w:bottom w:val="single" w:sz="4" w:space="0" w:color="000000"/>
              <w:right w:val="nil"/>
            </w:tcBorders>
            <w:vAlign w:val="center"/>
            <w:hideMark/>
          </w:tcPr>
          <w:p w14:paraId="22725F9D" w14:textId="77777777" w:rsidR="00717FDC" w:rsidRPr="006A00DF" w:rsidRDefault="00717FDC" w:rsidP="006A00DF">
            <w:pPr>
              <w:spacing w:after="0" w:line="480" w:lineRule="auto"/>
              <w:rPr>
                <w:rFonts w:ascii="Calibri" w:eastAsia="Times New Roman" w:hAnsi="Calibri" w:cs="Calibri"/>
                <w:b/>
                <w:bCs/>
                <w:color w:val="000000"/>
                <w:sz w:val="20"/>
                <w:lang w:eastAsia="en-GB"/>
              </w:rPr>
            </w:pPr>
          </w:p>
        </w:tc>
        <w:tc>
          <w:tcPr>
            <w:tcW w:w="1601" w:type="dxa"/>
            <w:tcBorders>
              <w:top w:val="nil"/>
              <w:left w:val="nil"/>
              <w:bottom w:val="nil"/>
              <w:right w:val="single" w:sz="4" w:space="0" w:color="auto"/>
            </w:tcBorders>
            <w:shd w:val="clear" w:color="auto" w:fill="auto"/>
            <w:noWrap/>
            <w:vAlign w:val="center"/>
            <w:hideMark/>
          </w:tcPr>
          <w:p w14:paraId="18CADBEF" w14:textId="77777777" w:rsidR="00717FDC" w:rsidRPr="006A00DF" w:rsidRDefault="00717FDC" w:rsidP="006A00DF">
            <w:pPr>
              <w:spacing w:after="0" w:line="480" w:lineRule="auto"/>
              <w:jc w:val="both"/>
              <w:rPr>
                <w:rFonts w:ascii="Calibri" w:eastAsia="Times New Roman" w:hAnsi="Calibri" w:cs="Calibri"/>
                <w:b/>
                <w:bCs/>
                <w:color w:val="000000"/>
                <w:sz w:val="20"/>
                <w:lang w:eastAsia="en-GB"/>
              </w:rPr>
            </w:pPr>
            <w:r w:rsidRPr="006A00DF">
              <w:rPr>
                <w:rFonts w:ascii="Calibri" w:eastAsia="Times New Roman" w:hAnsi="Calibri" w:cs="Calibri"/>
                <w:b/>
                <w:bCs/>
                <w:color w:val="000000"/>
                <w:sz w:val="20"/>
                <w:lang w:eastAsia="en-GB"/>
              </w:rPr>
              <w:t>FR+eBI</w:t>
            </w:r>
          </w:p>
        </w:tc>
        <w:tc>
          <w:tcPr>
            <w:tcW w:w="2063" w:type="dxa"/>
            <w:tcBorders>
              <w:top w:val="nil"/>
              <w:left w:val="nil"/>
              <w:bottom w:val="nil"/>
              <w:right w:val="nil"/>
            </w:tcBorders>
            <w:shd w:val="clear" w:color="auto" w:fill="auto"/>
            <w:noWrap/>
            <w:vAlign w:val="center"/>
            <w:hideMark/>
          </w:tcPr>
          <w:p w14:paraId="396427C2" w14:textId="77777777" w:rsidR="00717FDC" w:rsidRPr="006A00DF" w:rsidRDefault="00717FDC" w:rsidP="006A00DF">
            <w:pPr>
              <w:spacing w:after="0" w:line="480" w:lineRule="auto"/>
              <w:jc w:val="center"/>
              <w:rPr>
                <w:rFonts w:ascii="Calibri" w:eastAsia="Times New Roman" w:hAnsi="Calibri" w:cs="Calibri"/>
                <w:color w:val="FF0000"/>
                <w:sz w:val="20"/>
                <w:lang w:eastAsia="en-GB"/>
              </w:rPr>
            </w:pPr>
            <w:r w:rsidRPr="006A00DF">
              <w:rPr>
                <w:rFonts w:ascii="Calibri" w:eastAsia="Times New Roman" w:hAnsi="Calibri" w:cs="Calibri"/>
                <w:color w:val="FF0000"/>
                <w:sz w:val="20"/>
                <w:lang w:eastAsia="en-GB"/>
              </w:rPr>
              <w:t>-20.1%</w:t>
            </w:r>
          </w:p>
        </w:tc>
        <w:tc>
          <w:tcPr>
            <w:tcW w:w="1844" w:type="dxa"/>
            <w:tcBorders>
              <w:top w:val="nil"/>
              <w:left w:val="nil"/>
              <w:bottom w:val="nil"/>
              <w:right w:val="nil"/>
            </w:tcBorders>
            <w:shd w:val="clear" w:color="000000" w:fill="F2F2F2"/>
            <w:noWrap/>
            <w:vAlign w:val="center"/>
            <w:hideMark/>
          </w:tcPr>
          <w:p w14:paraId="5255FF56" w14:textId="77777777" w:rsidR="00717FDC" w:rsidRPr="006A00DF" w:rsidRDefault="00717FDC" w:rsidP="006A00DF">
            <w:pPr>
              <w:spacing w:after="0" w:line="480" w:lineRule="auto"/>
              <w:jc w:val="center"/>
              <w:rPr>
                <w:rFonts w:ascii="Calibri" w:eastAsia="Times New Roman" w:hAnsi="Calibri" w:cs="Calibri"/>
                <w:color w:val="FF0000"/>
                <w:sz w:val="20"/>
                <w:lang w:eastAsia="en-GB"/>
              </w:rPr>
            </w:pPr>
            <w:r w:rsidRPr="006A00DF">
              <w:rPr>
                <w:rFonts w:ascii="Calibri" w:eastAsia="Times New Roman" w:hAnsi="Calibri" w:cs="Calibri"/>
                <w:color w:val="FF0000"/>
                <w:sz w:val="20"/>
                <w:lang w:eastAsia="en-GB"/>
              </w:rPr>
              <w:t>-13.4%</w:t>
            </w:r>
          </w:p>
        </w:tc>
        <w:tc>
          <w:tcPr>
            <w:tcW w:w="1953" w:type="dxa"/>
            <w:tcBorders>
              <w:top w:val="nil"/>
              <w:left w:val="nil"/>
              <w:bottom w:val="nil"/>
              <w:right w:val="single" w:sz="4" w:space="0" w:color="auto"/>
            </w:tcBorders>
            <w:shd w:val="clear" w:color="000000" w:fill="D9D9D9"/>
            <w:noWrap/>
            <w:vAlign w:val="center"/>
            <w:hideMark/>
          </w:tcPr>
          <w:p w14:paraId="4831797B" w14:textId="77777777" w:rsidR="00717FDC" w:rsidRPr="006A00DF" w:rsidRDefault="00717FDC" w:rsidP="006A00DF">
            <w:pPr>
              <w:spacing w:after="0" w:line="480" w:lineRule="auto"/>
              <w:jc w:val="center"/>
              <w:rPr>
                <w:rFonts w:ascii="Calibri" w:eastAsia="Times New Roman" w:hAnsi="Calibri" w:cs="Calibri"/>
                <w:color w:val="000000"/>
                <w:sz w:val="20"/>
                <w:lang w:eastAsia="en-GB"/>
              </w:rPr>
            </w:pPr>
            <w:r w:rsidRPr="006A00DF">
              <w:rPr>
                <w:rFonts w:ascii="Calibri" w:eastAsia="Times New Roman" w:hAnsi="Calibri" w:cs="Calibri"/>
                <w:color w:val="000000"/>
                <w:sz w:val="20"/>
                <w:lang w:eastAsia="en-GB"/>
              </w:rPr>
              <w:t>3.8%</w:t>
            </w:r>
          </w:p>
        </w:tc>
      </w:tr>
      <w:tr w:rsidR="00717FDC" w:rsidRPr="006A00DF" w14:paraId="4FE5870F" w14:textId="77777777" w:rsidTr="00717FDC">
        <w:trPr>
          <w:trHeight w:val="288"/>
        </w:trPr>
        <w:tc>
          <w:tcPr>
            <w:tcW w:w="1560" w:type="dxa"/>
            <w:vMerge/>
            <w:tcBorders>
              <w:top w:val="single" w:sz="4" w:space="0" w:color="auto"/>
              <w:left w:val="single" w:sz="4" w:space="0" w:color="auto"/>
              <w:bottom w:val="single" w:sz="4" w:space="0" w:color="000000"/>
              <w:right w:val="nil"/>
            </w:tcBorders>
            <w:vAlign w:val="center"/>
            <w:hideMark/>
          </w:tcPr>
          <w:p w14:paraId="1871B74D" w14:textId="77777777" w:rsidR="00717FDC" w:rsidRPr="006A00DF" w:rsidRDefault="00717FDC" w:rsidP="006A00DF">
            <w:pPr>
              <w:spacing w:after="0" w:line="480" w:lineRule="auto"/>
              <w:rPr>
                <w:rFonts w:ascii="Calibri" w:eastAsia="Times New Roman" w:hAnsi="Calibri" w:cs="Calibri"/>
                <w:b/>
                <w:bCs/>
                <w:color w:val="000000"/>
                <w:sz w:val="20"/>
                <w:lang w:eastAsia="en-GB"/>
              </w:rPr>
            </w:pPr>
          </w:p>
        </w:tc>
        <w:tc>
          <w:tcPr>
            <w:tcW w:w="1601" w:type="dxa"/>
            <w:tcBorders>
              <w:top w:val="nil"/>
              <w:left w:val="nil"/>
              <w:bottom w:val="single" w:sz="4" w:space="0" w:color="auto"/>
              <w:right w:val="single" w:sz="4" w:space="0" w:color="auto"/>
            </w:tcBorders>
            <w:shd w:val="clear" w:color="auto" w:fill="auto"/>
            <w:noWrap/>
            <w:vAlign w:val="center"/>
            <w:hideMark/>
          </w:tcPr>
          <w:p w14:paraId="5D91B8BF" w14:textId="77777777" w:rsidR="00717FDC" w:rsidRPr="006A00DF" w:rsidRDefault="00717FDC" w:rsidP="006A00DF">
            <w:pPr>
              <w:spacing w:after="0" w:line="480" w:lineRule="auto"/>
              <w:jc w:val="both"/>
              <w:rPr>
                <w:rFonts w:ascii="Calibri" w:eastAsia="Times New Roman" w:hAnsi="Calibri" w:cs="Calibri"/>
                <w:b/>
                <w:bCs/>
                <w:color w:val="000000"/>
                <w:sz w:val="20"/>
                <w:lang w:eastAsia="en-GB"/>
              </w:rPr>
            </w:pPr>
            <w:r w:rsidRPr="006A00DF">
              <w:rPr>
                <w:rFonts w:ascii="Calibri" w:eastAsia="Times New Roman" w:hAnsi="Calibri" w:cs="Calibri"/>
                <w:b/>
                <w:bCs/>
                <w:color w:val="000000"/>
                <w:sz w:val="20"/>
                <w:lang w:eastAsia="en-GB"/>
              </w:rPr>
              <w:t>TS+FR+eBI</w:t>
            </w:r>
          </w:p>
        </w:tc>
        <w:tc>
          <w:tcPr>
            <w:tcW w:w="2063" w:type="dxa"/>
            <w:tcBorders>
              <w:top w:val="nil"/>
              <w:left w:val="nil"/>
              <w:bottom w:val="single" w:sz="4" w:space="0" w:color="auto"/>
              <w:right w:val="nil"/>
            </w:tcBorders>
            <w:shd w:val="clear" w:color="auto" w:fill="auto"/>
            <w:noWrap/>
            <w:vAlign w:val="center"/>
            <w:hideMark/>
          </w:tcPr>
          <w:p w14:paraId="3A6964EF" w14:textId="77777777" w:rsidR="00717FDC" w:rsidRPr="006A00DF" w:rsidRDefault="00717FDC" w:rsidP="006A00DF">
            <w:pPr>
              <w:spacing w:after="0" w:line="480" w:lineRule="auto"/>
              <w:jc w:val="center"/>
              <w:rPr>
                <w:rFonts w:ascii="Calibri" w:eastAsia="Times New Roman" w:hAnsi="Calibri" w:cs="Calibri"/>
                <w:color w:val="000000"/>
                <w:sz w:val="20"/>
                <w:lang w:eastAsia="en-GB"/>
              </w:rPr>
            </w:pPr>
            <w:r w:rsidRPr="006A00DF">
              <w:rPr>
                <w:rFonts w:ascii="Calibri" w:eastAsia="Times New Roman" w:hAnsi="Calibri" w:cs="Calibri"/>
                <w:color w:val="000000"/>
                <w:sz w:val="20"/>
                <w:lang w:eastAsia="en-GB"/>
              </w:rPr>
              <w:t>10.7%</w:t>
            </w:r>
          </w:p>
        </w:tc>
        <w:tc>
          <w:tcPr>
            <w:tcW w:w="1844" w:type="dxa"/>
            <w:tcBorders>
              <w:top w:val="nil"/>
              <w:left w:val="nil"/>
              <w:bottom w:val="single" w:sz="4" w:space="0" w:color="auto"/>
              <w:right w:val="nil"/>
            </w:tcBorders>
            <w:shd w:val="clear" w:color="000000" w:fill="F2F2F2"/>
            <w:noWrap/>
            <w:vAlign w:val="center"/>
            <w:hideMark/>
          </w:tcPr>
          <w:p w14:paraId="7851EDBA" w14:textId="77777777" w:rsidR="00717FDC" w:rsidRPr="006A00DF" w:rsidRDefault="00717FDC" w:rsidP="006A00DF">
            <w:pPr>
              <w:spacing w:after="0" w:line="480" w:lineRule="auto"/>
              <w:jc w:val="center"/>
              <w:rPr>
                <w:rFonts w:ascii="Calibri" w:eastAsia="Times New Roman" w:hAnsi="Calibri" w:cs="Calibri"/>
                <w:color w:val="FF0000"/>
                <w:sz w:val="20"/>
                <w:lang w:eastAsia="en-GB"/>
              </w:rPr>
            </w:pPr>
            <w:r w:rsidRPr="006A00DF">
              <w:rPr>
                <w:rFonts w:ascii="Calibri" w:eastAsia="Times New Roman" w:hAnsi="Calibri" w:cs="Calibri"/>
                <w:color w:val="FF0000"/>
                <w:sz w:val="20"/>
                <w:lang w:eastAsia="en-GB"/>
              </w:rPr>
              <w:t>-35.3%</w:t>
            </w:r>
          </w:p>
        </w:tc>
        <w:tc>
          <w:tcPr>
            <w:tcW w:w="1953" w:type="dxa"/>
            <w:tcBorders>
              <w:top w:val="nil"/>
              <w:left w:val="nil"/>
              <w:bottom w:val="single" w:sz="4" w:space="0" w:color="auto"/>
              <w:right w:val="single" w:sz="4" w:space="0" w:color="auto"/>
            </w:tcBorders>
            <w:shd w:val="clear" w:color="000000" w:fill="D9D9D9"/>
            <w:noWrap/>
            <w:vAlign w:val="center"/>
            <w:hideMark/>
          </w:tcPr>
          <w:p w14:paraId="7A19EEA7" w14:textId="77777777" w:rsidR="00717FDC" w:rsidRPr="006A00DF" w:rsidRDefault="00717FDC" w:rsidP="006A00DF">
            <w:pPr>
              <w:spacing w:after="0" w:line="480" w:lineRule="auto"/>
              <w:jc w:val="center"/>
              <w:rPr>
                <w:rFonts w:ascii="Calibri" w:eastAsia="Times New Roman" w:hAnsi="Calibri" w:cs="Calibri"/>
                <w:color w:val="000000"/>
                <w:sz w:val="20"/>
                <w:lang w:eastAsia="en-GB"/>
              </w:rPr>
            </w:pPr>
            <w:r w:rsidRPr="006A00DF">
              <w:rPr>
                <w:rFonts w:ascii="Calibri" w:eastAsia="Times New Roman" w:hAnsi="Calibri" w:cs="Calibri"/>
                <w:color w:val="000000"/>
                <w:sz w:val="20"/>
                <w:lang w:eastAsia="en-GB"/>
              </w:rPr>
              <w:t>4.4%</w:t>
            </w:r>
          </w:p>
        </w:tc>
      </w:tr>
    </w:tbl>
    <w:p w14:paraId="38FE3706" w14:textId="38FF15BF" w:rsidR="005E78FE" w:rsidRDefault="005E78FE" w:rsidP="00D04DAC">
      <w:pPr>
        <w:widowControl w:val="0"/>
        <w:autoSpaceDE w:val="0"/>
        <w:autoSpaceDN w:val="0"/>
        <w:adjustRightInd w:val="0"/>
        <w:spacing w:line="480" w:lineRule="auto"/>
        <w:ind w:left="640" w:hanging="640"/>
      </w:pPr>
    </w:p>
    <w:p w14:paraId="75CA71E4" w14:textId="2EBB5A58" w:rsidR="00717FDC" w:rsidRDefault="00717FDC" w:rsidP="00717FDC">
      <w:pPr>
        <w:pStyle w:val="Caption"/>
        <w:keepNext/>
        <w:spacing w:line="480" w:lineRule="auto"/>
      </w:pPr>
      <w:bookmarkStart w:id="4" w:name="_Ref505285432"/>
      <w:r>
        <w:t xml:space="preserve">Table </w:t>
      </w:r>
      <w:r w:rsidR="006864D9">
        <w:rPr>
          <w:noProof/>
        </w:rPr>
        <w:fldChar w:fldCharType="begin"/>
      </w:r>
      <w:r w:rsidR="006864D9">
        <w:rPr>
          <w:noProof/>
        </w:rPr>
        <w:instrText xml:space="preserve"> SEQ Table \* ARABIC </w:instrText>
      </w:r>
      <w:r w:rsidR="006864D9">
        <w:rPr>
          <w:noProof/>
        </w:rPr>
        <w:fldChar w:fldCharType="separate"/>
      </w:r>
      <w:r w:rsidR="006A00DF">
        <w:rPr>
          <w:noProof/>
        </w:rPr>
        <w:t>2</w:t>
      </w:r>
      <w:r w:rsidR="006864D9">
        <w:rPr>
          <w:noProof/>
        </w:rPr>
        <w:fldChar w:fldCharType="end"/>
      </w:r>
      <w:bookmarkEnd w:id="4"/>
      <w:r>
        <w:t xml:space="preserve"> – Estimated additional Brief Interventions delivered and associated costs compared to control over trial period</w:t>
      </w:r>
    </w:p>
    <w:tbl>
      <w:tblPr>
        <w:tblStyle w:val="TableGrid"/>
        <w:tblW w:w="0" w:type="auto"/>
        <w:tblLayout w:type="fixed"/>
        <w:tblLook w:val="04A0" w:firstRow="1" w:lastRow="0" w:firstColumn="1" w:lastColumn="0" w:noHBand="0" w:noVBand="1"/>
      </w:tblPr>
      <w:tblGrid>
        <w:gridCol w:w="1166"/>
        <w:gridCol w:w="1210"/>
        <w:gridCol w:w="1418"/>
        <w:gridCol w:w="1092"/>
        <w:gridCol w:w="1176"/>
        <w:gridCol w:w="1417"/>
        <w:gridCol w:w="1134"/>
      </w:tblGrid>
      <w:tr w:rsidR="00717FDC" w:rsidRPr="00722373" w14:paraId="3A451116" w14:textId="77777777" w:rsidTr="00717FDC">
        <w:trPr>
          <w:trHeight w:val="300"/>
        </w:trPr>
        <w:tc>
          <w:tcPr>
            <w:tcW w:w="1166" w:type="dxa"/>
            <w:vMerge w:val="restart"/>
            <w:noWrap/>
            <w:hideMark/>
          </w:tcPr>
          <w:p w14:paraId="728029DE" w14:textId="77777777" w:rsidR="00717FDC" w:rsidRPr="00722373" w:rsidRDefault="00717FDC" w:rsidP="00717FDC">
            <w:pPr>
              <w:spacing w:line="480" w:lineRule="auto"/>
            </w:pPr>
          </w:p>
        </w:tc>
        <w:tc>
          <w:tcPr>
            <w:tcW w:w="3720" w:type="dxa"/>
            <w:gridSpan w:val="3"/>
            <w:hideMark/>
          </w:tcPr>
          <w:p w14:paraId="39D3152C" w14:textId="77777777" w:rsidR="00717FDC" w:rsidRPr="00722373" w:rsidRDefault="00717FDC" w:rsidP="00717FDC">
            <w:pPr>
              <w:spacing w:line="480" w:lineRule="auto"/>
              <w:jc w:val="center"/>
              <w:rPr>
                <w:b/>
                <w:bCs/>
              </w:rPr>
            </w:pPr>
            <w:r w:rsidRPr="00722373">
              <w:rPr>
                <w:b/>
                <w:bCs/>
              </w:rPr>
              <w:t>Additional BIs delivered</w:t>
            </w:r>
          </w:p>
        </w:tc>
        <w:tc>
          <w:tcPr>
            <w:tcW w:w="3727" w:type="dxa"/>
            <w:gridSpan w:val="3"/>
            <w:hideMark/>
          </w:tcPr>
          <w:p w14:paraId="71E005A2" w14:textId="77777777" w:rsidR="00717FDC" w:rsidRPr="005D6529" w:rsidRDefault="00717FDC" w:rsidP="00717FDC">
            <w:pPr>
              <w:spacing w:line="480" w:lineRule="auto"/>
              <w:jc w:val="center"/>
              <w:rPr>
                <w:b/>
                <w:bCs/>
                <w:vertAlign w:val="superscript"/>
              </w:rPr>
            </w:pPr>
            <w:r w:rsidRPr="00722373">
              <w:rPr>
                <w:b/>
                <w:bCs/>
              </w:rPr>
              <w:t>Cost per additional BI</w:t>
            </w:r>
          </w:p>
        </w:tc>
      </w:tr>
      <w:tr w:rsidR="00717FDC" w:rsidRPr="00722373" w14:paraId="194EFDC6" w14:textId="77777777" w:rsidTr="00717FDC">
        <w:trPr>
          <w:trHeight w:val="300"/>
        </w:trPr>
        <w:tc>
          <w:tcPr>
            <w:tcW w:w="1166" w:type="dxa"/>
            <w:vMerge/>
            <w:hideMark/>
          </w:tcPr>
          <w:p w14:paraId="06AD4EF0" w14:textId="77777777" w:rsidR="00717FDC" w:rsidRPr="00722373" w:rsidRDefault="00717FDC" w:rsidP="00717FDC">
            <w:pPr>
              <w:spacing w:line="480" w:lineRule="auto"/>
            </w:pPr>
          </w:p>
        </w:tc>
        <w:tc>
          <w:tcPr>
            <w:tcW w:w="1210" w:type="dxa"/>
            <w:hideMark/>
          </w:tcPr>
          <w:p w14:paraId="41BA0DC7" w14:textId="77777777" w:rsidR="00717FDC" w:rsidRPr="00722373" w:rsidRDefault="00717FDC" w:rsidP="00717FDC">
            <w:pPr>
              <w:spacing w:line="480" w:lineRule="auto"/>
              <w:rPr>
                <w:b/>
                <w:bCs/>
              </w:rPr>
            </w:pPr>
            <w:r w:rsidRPr="00722373">
              <w:rPr>
                <w:b/>
                <w:bCs/>
              </w:rPr>
              <w:t>England</w:t>
            </w:r>
          </w:p>
        </w:tc>
        <w:tc>
          <w:tcPr>
            <w:tcW w:w="1418" w:type="dxa"/>
            <w:shd w:val="clear" w:color="auto" w:fill="F2F2F2" w:themeFill="background1" w:themeFillShade="F2"/>
            <w:hideMark/>
          </w:tcPr>
          <w:p w14:paraId="19AF54CD" w14:textId="77777777" w:rsidR="00717FDC" w:rsidRPr="00722373" w:rsidRDefault="00717FDC" w:rsidP="00717FDC">
            <w:pPr>
              <w:spacing w:line="480" w:lineRule="auto"/>
              <w:jc w:val="center"/>
              <w:rPr>
                <w:b/>
                <w:bCs/>
              </w:rPr>
            </w:pPr>
            <w:r w:rsidRPr="00722373">
              <w:rPr>
                <w:b/>
                <w:bCs/>
              </w:rPr>
              <w:t>Netherlands</w:t>
            </w:r>
          </w:p>
        </w:tc>
        <w:tc>
          <w:tcPr>
            <w:tcW w:w="1092" w:type="dxa"/>
            <w:shd w:val="clear" w:color="auto" w:fill="D9D9D9" w:themeFill="background1" w:themeFillShade="D9"/>
            <w:noWrap/>
            <w:hideMark/>
          </w:tcPr>
          <w:p w14:paraId="7654F737" w14:textId="77777777" w:rsidR="00717FDC" w:rsidRPr="00722373" w:rsidRDefault="00717FDC" w:rsidP="00717FDC">
            <w:pPr>
              <w:spacing w:line="480" w:lineRule="auto"/>
              <w:jc w:val="center"/>
              <w:rPr>
                <w:b/>
                <w:bCs/>
              </w:rPr>
            </w:pPr>
            <w:r w:rsidRPr="00722373">
              <w:rPr>
                <w:b/>
                <w:bCs/>
              </w:rPr>
              <w:t>Poland</w:t>
            </w:r>
          </w:p>
        </w:tc>
        <w:tc>
          <w:tcPr>
            <w:tcW w:w="1176" w:type="dxa"/>
            <w:hideMark/>
          </w:tcPr>
          <w:p w14:paraId="349CE268" w14:textId="77777777" w:rsidR="00717FDC" w:rsidRPr="00722373" w:rsidRDefault="00717FDC" w:rsidP="00717FDC">
            <w:pPr>
              <w:spacing w:line="480" w:lineRule="auto"/>
              <w:jc w:val="center"/>
              <w:rPr>
                <w:b/>
                <w:bCs/>
              </w:rPr>
            </w:pPr>
            <w:r w:rsidRPr="00722373">
              <w:rPr>
                <w:b/>
                <w:bCs/>
              </w:rPr>
              <w:t>England</w:t>
            </w:r>
          </w:p>
        </w:tc>
        <w:tc>
          <w:tcPr>
            <w:tcW w:w="1417" w:type="dxa"/>
            <w:shd w:val="clear" w:color="auto" w:fill="F2F2F2" w:themeFill="background1" w:themeFillShade="F2"/>
            <w:hideMark/>
          </w:tcPr>
          <w:p w14:paraId="01A67924" w14:textId="77777777" w:rsidR="00717FDC" w:rsidRPr="00722373" w:rsidRDefault="00717FDC" w:rsidP="00717FDC">
            <w:pPr>
              <w:spacing w:line="480" w:lineRule="auto"/>
              <w:jc w:val="center"/>
              <w:rPr>
                <w:b/>
                <w:bCs/>
              </w:rPr>
            </w:pPr>
            <w:r w:rsidRPr="00722373">
              <w:rPr>
                <w:b/>
                <w:bCs/>
              </w:rPr>
              <w:t>Netherlands</w:t>
            </w:r>
          </w:p>
        </w:tc>
        <w:tc>
          <w:tcPr>
            <w:tcW w:w="1134" w:type="dxa"/>
            <w:shd w:val="clear" w:color="auto" w:fill="D9D9D9" w:themeFill="background1" w:themeFillShade="D9"/>
            <w:noWrap/>
            <w:hideMark/>
          </w:tcPr>
          <w:p w14:paraId="6A8206E2" w14:textId="77777777" w:rsidR="00717FDC" w:rsidRPr="00722373" w:rsidRDefault="00717FDC" w:rsidP="00717FDC">
            <w:pPr>
              <w:spacing w:line="480" w:lineRule="auto"/>
              <w:jc w:val="center"/>
              <w:rPr>
                <w:b/>
                <w:bCs/>
              </w:rPr>
            </w:pPr>
            <w:r w:rsidRPr="00722373">
              <w:rPr>
                <w:b/>
                <w:bCs/>
              </w:rPr>
              <w:t>Poland</w:t>
            </w:r>
          </w:p>
        </w:tc>
      </w:tr>
      <w:tr w:rsidR="00717FDC" w:rsidRPr="00722373" w14:paraId="2A3985F0" w14:textId="77777777" w:rsidTr="00717FDC">
        <w:trPr>
          <w:trHeight w:val="300"/>
        </w:trPr>
        <w:tc>
          <w:tcPr>
            <w:tcW w:w="1166" w:type="dxa"/>
            <w:noWrap/>
            <w:hideMark/>
          </w:tcPr>
          <w:p w14:paraId="066A4291" w14:textId="77777777" w:rsidR="00717FDC" w:rsidRPr="00722373" w:rsidRDefault="00717FDC" w:rsidP="00717FDC">
            <w:pPr>
              <w:spacing w:line="480" w:lineRule="auto"/>
              <w:rPr>
                <w:b/>
                <w:bCs/>
              </w:rPr>
            </w:pPr>
            <w:r w:rsidRPr="00722373">
              <w:rPr>
                <w:b/>
                <w:bCs/>
              </w:rPr>
              <w:t>TS</w:t>
            </w:r>
          </w:p>
        </w:tc>
        <w:tc>
          <w:tcPr>
            <w:tcW w:w="1210" w:type="dxa"/>
            <w:noWrap/>
            <w:vAlign w:val="center"/>
            <w:hideMark/>
          </w:tcPr>
          <w:p w14:paraId="3588598B" w14:textId="77777777" w:rsidR="00717FDC" w:rsidRPr="00722373" w:rsidRDefault="00717FDC" w:rsidP="00717FDC">
            <w:pPr>
              <w:spacing w:line="480" w:lineRule="auto"/>
              <w:jc w:val="center"/>
            </w:pPr>
            <w:r>
              <w:rPr>
                <w:rFonts w:ascii="Calibri" w:hAnsi="Calibri"/>
                <w:color w:val="000000"/>
              </w:rPr>
              <w:t>399,247</w:t>
            </w:r>
          </w:p>
        </w:tc>
        <w:tc>
          <w:tcPr>
            <w:tcW w:w="1418" w:type="dxa"/>
            <w:shd w:val="clear" w:color="auto" w:fill="F2F2F2" w:themeFill="background1" w:themeFillShade="F2"/>
            <w:noWrap/>
            <w:vAlign w:val="center"/>
            <w:hideMark/>
          </w:tcPr>
          <w:p w14:paraId="4ADFEB0F" w14:textId="77777777" w:rsidR="00717FDC" w:rsidRPr="00722373" w:rsidRDefault="00717FDC" w:rsidP="00717FDC">
            <w:pPr>
              <w:spacing w:line="480" w:lineRule="auto"/>
              <w:jc w:val="center"/>
            </w:pPr>
            <w:r>
              <w:rPr>
                <w:rFonts w:ascii="Calibri" w:hAnsi="Calibri"/>
                <w:color w:val="000000"/>
              </w:rPr>
              <w:t>209,344</w:t>
            </w:r>
          </w:p>
        </w:tc>
        <w:tc>
          <w:tcPr>
            <w:tcW w:w="1092" w:type="dxa"/>
            <w:shd w:val="clear" w:color="auto" w:fill="D9D9D9" w:themeFill="background1" w:themeFillShade="D9"/>
            <w:noWrap/>
            <w:vAlign w:val="center"/>
            <w:hideMark/>
          </w:tcPr>
          <w:p w14:paraId="0B4975D2" w14:textId="77777777" w:rsidR="00717FDC" w:rsidRPr="00722373" w:rsidRDefault="00717FDC" w:rsidP="00717FDC">
            <w:pPr>
              <w:spacing w:line="480" w:lineRule="auto"/>
              <w:jc w:val="center"/>
            </w:pPr>
            <w:r>
              <w:rPr>
                <w:rFonts w:ascii="Calibri" w:hAnsi="Calibri"/>
                <w:color w:val="000000"/>
              </w:rPr>
              <w:t>72,615</w:t>
            </w:r>
          </w:p>
        </w:tc>
        <w:tc>
          <w:tcPr>
            <w:tcW w:w="1176" w:type="dxa"/>
            <w:noWrap/>
            <w:vAlign w:val="center"/>
            <w:hideMark/>
          </w:tcPr>
          <w:p w14:paraId="1C39A4D3" w14:textId="77777777" w:rsidR="00717FDC" w:rsidRPr="00722373" w:rsidRDefault="00717FDC" w:rsidP="00717FDC">
            <w:pPr>
              <w:spacing w:line="480" w:lineRule="auto"/>
              <w:jc w:val="center"/>
            </w:pPr>
            <w:r>
              <w:rPr>
                <w:rFonts w:ascii="Calibri" w:hAnsi="Calibri"/>
                <w:color w:val="000000"/>
              </w:rPr>
              <w:t>€ 38</w:t>
            </w:r>
          </w:p>
        </w:tc>
        <w:tc>
          <w:tcPr>
            <w:tcW w:w="1417" w:type="dxa"/>
            <w:shd w:val="clear" w:color="auto" w:fill="F2F2F2" w:themeFill="background1" w:themeFillShade="F2"/>
            <w:noWrap/>
            <w:vAlign w:val="center"/>
            <w:hideMark/>
          </w:tcPr>
          <w:p w14:paraId="6A74FA95" w14:textId="77777777" w:rsidR="00717FDC" w:rsidRPr="00722373" w:rsidRDefault="00717FDC" w:rsidP="00717FDC">
            <w:pPr>
              <w:spacing w:line="480" w:lineRule="auto"/>
              <w:jc w:val="center"/>
            </w:pPr>
            <w:r>
              <w:rPr>
                <w:rFonts w:ascii="Calibri" w:hAnsi="Calibri"/>
                <w:color w:val="000000"/>
              </w:rPr>
              <w:t>€ 33</w:t>
            </w:r>
          </w:p>
        </w:tc>
        <w:tc>
          <w:tcPr>
            <w:tcW w:w="1134" w:type="dxa"/>
            <w:shd w:val="clear" w:color="auto" w:fill="D9D9D9" w:themeFill="background1" w:themeFillShade="D9"/>
            <w:noWrap/>
            <w:vAlign w:val="center"/>
            <w:hideMark/>
          </w:tcPr>
          <w:p w14:paraId="24BE0E5B" w14:textId="77777777" w:rsidR="00717FDC" w:rsidRPr="00722373" w:rsidRDefault="00717FDC" w:rsidP="00717FDC">
            <w:pPr>
              <w:spacing w:line="480" w:lineRule="auto"/>
              <w:jc w:val="center"/>
            </w:pPr>
            <w:r>
              <w:rPr>
                <w:rFonts w:ascii="Calibri" w:hAnsi="Calibri"/>
                <w:color w:val="000000"/>
              </w:rPr>
              <w:t>€ 18</w:t>
            </w:r>
          </w:p>
        </w:tc>
      </w:tr>
      <w:tr w:rsidR="00717FDC" w:rsidRPr="00722373" w14:paraId="0560EC21" w14:textId="77777777" w:rsidTr="00717FDC">
        <w:trPr>
          <w:trHeight w:val="300"/>
        </w:trPr>
        <w:tc>
          <w:tcPr>
            <w:tcW w:w="1166" w:type="dxa"/>
            <w:noWrap/>
            <w:hideMark/>
          </w:tcPr>
          <w:p w14:paraId="7BD40999" w14:textId="77777777" w:rsidR="00717FDC" w:rsidRPr="00722373" w:rsidRDefault="00717FDC" w:rsidP="00717FDC">
            <w:pPr>
              <w:spacing w:line="480" w:lineRule="auto"/>
              <w:rPr>
                <w:b/>
                <w:bCs/>
              </w:rPr>
            </w:pPr>
            <w:r w:rsidRPr="00722373">
              <w:rPr>
                <w:b/>
                <w:bCs/>
              </w:rPr>
              <w:t>FR</w:t>
            </w:r>
          </w:p>
        </w:tc>
        <w:tc>
          <w:tcPr>
            <w:tcW w:w="1210" w:type="dxa"/>
            <w:noWrap/>
            <w:vAlign w:val="center"/>
            <w:hideMark/>
          </w:tcPr>
          <w:p w14:paraId="10812261" w14:textId="77777777" w:rsidR="00717FDC" w:rsidRPr="00722373" w:rsidRDefault="00717FDC" w:rsidP="00717FDC">
            <w:pPr>
              <w:spacing w:line="480" w:lineRule="auto"/>
              <w:jc w:val="center"/>
            </w:pPr>
            <w:r>
              <w:rPr>
                <w:rFonts w:ascii="Calibri" w:hAnsi="Calibri"/>
                <w:color w:val="000000"/>
              </w:rPr>
              <w:t>433,430</w:t>
            </w:r>
          </w:p>
        </w:tc>
        <w:tc>
          <w:tcPr>
            <w:tcW w:w="1418" w:type="dxa"/>
            <w:shd w:val="clear" w:color="auto" w:fill="F2F2F2" w:themeFill="background1" w:themeFillShade="F2"/>
            <w:noWrap/>
            <w:vAlign w:val="center"/>
            <w:hideMark/>
          </w:tcPr>
          <w:p w14:paraId="45109704" w14:textId="77777777" w:rsidR="00717FDC" w:rsidRPr="00722373" w:rsidRDefault="00717FDC" w:rsidP="00717FDC">
            <w:pPr>
              <w:spacing w:line="480" w:lineRule="auto"/>
              <w:jc w:val="center"/>
            </w:pPr>
            <w:r>
              <w:rPr>
                <w:rFonts w:ascii="Calibri" w:hAnsi="Calibri"/>
                <w:color w:val="000000"/>
              </w:rPr>
              <w:t>302,798</w:t>
            </w:r>
          </w:p>
        </w:tc>
        <w:tc>
          <w:tcPr>
            <w:tcW w:w="1092" w:type="dxa"/>
            <w:shd w:val="clear" w:color="auto" w:fill="D9D9D9" w:themeFill="background1" w:themeFillShade="D9"/>
            <w:noWrap/>
            <w:vAlign w:val="center"/>
            <w:hideMark/>
          </w:tcPr>
          <w:p w14:paraId="287E3BA3" w14:textId="77777777" w:rsidR="00717FDC" w:rsidRPr="00722373" w:rsidRDefault="00717FDC" w:rsidP="00717FDC">
            <w:pPr>
              <w:spacing w:line="480" w:lineRule="auto"/>
              <w:jc w:val="center"/>
            </w:pPr>
            <w:r>
              <w:rPr>
                <w:rFonts w:ascii="Calibri" w:hAnsi="Calibri"/>
                <w:color w:val="000000"/>
              </w:rPr>
              <w:t>103,166</w:t>
            </w:r>
          </w:p>
        </w:tc>
        <w:tc>
          <w:tcPr>
            <w:tcW w:w="1176" w:type="dxa"/>
            <w:noWrap/>
            <w:vAlign w:val="center"/>
            <w:hideMark/>
          </w:tcPr>
          <w:p w14:paraId="0DC2A520" w14:textId="77777777" w:rsidR="00717FDC" w:rsidRPr="00722373" w:rsidRDefault="00717FDC" w:rsidP="00717FDC">
            <w:pPr>
              <w:spacing w:line="480" w:lineRule="auto"/>
              <w:jc w:val="center"/>
            </w:pPr>
            <w:r>
              <w:rPr>
                <w:rFonts w:ascii="Calibri" w:hAnsi="Calibri"/>
                <w:color w:val="000000"/>
              </w:rPr>
              <w:t>€ 40</w:t>
            </w:r>
          </w:p>
        </w:tc>
        <w:tc>
          <w:tcPr>
            <w:tcW w:w="1417" w:type="dxa"/>
            <w:shd w:val="clear" w:color="auto" w:fill="F2F2F2" w:themeFill="background1" w:themeFillShade="F2"/>
            <w:noWrap/>
            <w:vAlign w:val="center"/>
            <w:hideMark/>
          </w:tcPr>
          <w:p w14:paraId="7F4565FB" w14:textId="77777777" w:rsidR="00717FDC" w:rsidRPr="00722373" w:rsidRDefault="00717FDC" w:rsidP="00717FDC">
            <w:pPr>
              <w:spacing w:line="480" w:lineRule="auto"/>
              <w:jc w:val="center"/>
            </w:pPr>
            <w:r>
              <w:rPr>
                <w:rFonts w:ascii="Calibri" w:hAnsi="Calibri"/>
                <w:color w:val="000000"/>
              </w:rPr>
              <w:t>€ 29</w:t>
            </w:r>
          </w:p>
        </w:tc>
        <w:tc>
          <w:tcPr>
            <w:tcW w:w="1134" w:type="dxa"/>
            <w:shd w:val="clear" w:color="auto" w:fill="D9D9D9" w:themeFill="background1" w:themeFillShade="D9"/>
            <w:noWrap/>
            <w:vAlign w:val="center"/>
            <w:hideMark/>
          </w:tcPr>
          <w:p w14:paraId="24665894" w14:textId="77777777" w:rsidR="00717FDC" w:rsidRPr="00722373" w:rsidRDefault="00717FDC" w:rsidP="00717FDC">
            <w:pPr>
              <w:spacing w:line="480" w:lineRule="auto"/>
              <w:jc w:val="center"/>
            </w:pPr>
            <w:r>
              <w:rPr>
                <w:rFonts w:ascii="Calibri" w:hAnsi="Calibri"/>
                <w:color w:val="000000"/>
              </w:rPr>
              <w:t>€ 16</w:t>
            </w:r>
          </w:p>
        </w:tc>
      </w:tr>
      <w:tr w:rsidR="00717FDC" w:rsidRPr="00722373" w14:paraId="53A62C60" w14:textId="77777777" w:rsidTr="00717FDC">
        <w:trPr>
          <w:trHeight w:val="300"/>
        </w:trPr>
        <w:tc>
          <w:tcPr>
            <w:tcW w:w="1166" w:type="dxa"/>
            <w:noWrap/>
            <w:hideMark/>
          </w:tcPr>
          <w:p w14:paraId="724F509A" w14:textId="77777777" w:rsidR="00717FDC" w:rsidRPr="00722373" w:rsidRDefault="00717FDC" w:rsidP="00717FDC">
            <w:pPr>
              <w:spacing w:line="480" w:lineRule="auto"/>
              <w:rPr>
                <w:b/>
                <w:bCs/>
              </w:rPr>
            </w:pPr>
            <w:r w:rsidRPr="00722373">
              <w:rPr>
                <w:b/>
                <w:bCs/>
              </w:rPr>
              <w:t>eBI</w:t>
            </w:r>
          </w:p>
        </w:tc>
        <w:tc>
          <w:tcPr>
            <w:tcW w:w="1210" w:type="dxa"/>
            <w:noWrap/>
            <w:vAlign w:val="center"/>
            <w:hideMark/>
          </w:tcPr>
          <w:p w14:paraId="67D42100" w14:textId="77777777" w:rsidR="00717FDC" w:rsidRPr="00722373" w:rsidRDefault="00717FDC" w:rsidP="00717FDC">
            <w:pPr>
              <w:spacing w:line="480" w:lineRule="auto"/>
              <w:jc w:val="center"/>
            </w:pPr>
            <w:r>
              <w:rPr>
                <w:rFonts w:ascii="Calibri" w:hAnsi="Calibri"/>
                <w:color w:val="000000"/>
              </w:rPr>
              <w:t>290,112</w:t>
            </w:r>
          </w:p>
        </w:tc>
        <w:tc>
          <w:tcPr>
            <w:tcW w:w="1418" w:type="dxa"/>
            <w:shd w:val="clear" w:color="auto" w:fill="F2F2F2" w:themeFill="background1" w:themeFillShade="F2"/>
            <w:noWrap/>
            <w:vAlign w:val="center"/>
            <w:hideMark/>
          </w:tcPr>
          <w:p w14:paraId="5002DCFC" w14:textId="77777777" w:rsidR="00717FDC" w:rsidRPr="00722373" w:rsidRDefault="00717FDC" w:rsidP="00717FDC">
            <w:pPr>
              <w:spacing w:line="480" w:lineRule="auto"/>
              <w:jc w:val="center"/>
            </w:pPr>
            <w:r>
              <w:rPr>
                <w:rFonts w:ascii="Calibri" w:hAnsi="Calibri"/>
                <w:color w:val="000000"/>
              </w:rPr>
              <w:t>202,927</w:t>
            </w:r>
          </w:p>
        </w:tc>
        <w:tc>
          <w:tcPr>
            <w:tcW w:w="1092" w:type="dxa"/>
            <w:shd w:val="clear" w:color="auto" w:fill="D9D9D9" w:themeFill="background1" w:themeFillShade="D9"/>
            <w:noWrap/>
            <w:vAlign w:val="center"/>
            <w:hideMark/>
          </w:tcPr>
          <w:p w14:paraId="18E47D2D" w14:textId="77777777" w:rsidR="00717FDC" w:rsidRPr="00722373" w:rsidRDefault="00717FDC" w:rsidP="00717FDC">
            <w:pPr>
              <w:spacing w:line="480" w:lineRule="auto"/>
              <w:jc w:val="center"/>
            </w:pPr>
            <w:r>
              <w:rPr>
                <w:rFonts w:ascii="Calibri" w:hAnsi="Calibri"/>
                <w:color w:val="000000"/>
              </w:rPr>
              <w:t>96,203</w:t>
            </w:r>
          </w:p>
        </w:tc>
        <w:tc>
          <w:tcPr>
            <w:tcW w:w="1176" w:type="dxa"/>
            <w:noWrap/>
            <w:vAlign w:val="center"/>
            <w:hideMark/>
          </w:tcPr>
          <w:p w14:paraId="10A2E1B8" w14:textId="77777777" w:rsidR="00717FDC" w:rsidRPr="00722373" w:rsidRDefault="00717FDC" w:rsidP="00717FDC">
            <w:pPr>
              <w:spacing w:line="480" w:lineRule="auto"/>
              <w:jc w:val="center"/>
            </w:pPr>
            <w:r>
              <w:rPr>
                <w:rFonts w:ascii="Calibri" w:hAnsi="Calibri"/>
                <w:color w:val="000000"/>
              </w:rPr>
              <w:t>€ 25</w:t>
            </w:r>
          </w:p>
        </w:tc>
        <w:tc>
          <w:tcPr>
            <w:tcW w:w="1417" w:type="dxa"/>
            <w:shd w:val="clear" w:color="auto" w:fill="F2F2F2" w:themeFill="background1" w:themeFillShade="F2"/>
            <w:noWrap/>
            <w:vAlign w:val="center"/>
            <w:hideMark/>
          </w:tcPr>
          <w:p w14:paraId="53BA166D" w14:textId="77777777" w:rsidR="00717FDC" w:rsidRPr="00722373" w:rsidRDefault="00717FDC" w:rsidP="00717FDC">
            <w:pPr>
              <w:spacing w:line="480" w:lineRule="auto"/>
              <w:jc w:val="center"/>
            </w:pPr>
            <w:r>
              <w:rPr>
                <w:rFonts w:ascii="Calibri" w:hAnsi="Calibri"/>
                <w:color w:val="000000"/>
              </w:rPr>
              <w:t>€ 17</w:t>
            </w:r>
          </w:p>
        </w:tc>
        <w:tc>
          <w:tcPr>
            <w:tcW w:w="1134" w:type="dxa"/>
            <w:shd w:val="clear" w:color="auto" w:fill="D9D9D9" w:themeFill="background1" w:themeFillShade="D9"/>
            <w:noWrap/>
            <w:vAlign w:val="center"/>
            <w:hideMark/>
          </w:tcPr>
          <w:p w14:paraId="24FB317C" w14:textId="77777777" w:rsidR="00717FDC" w:rsidRPr="00722373" w:rsidRDefault="00717FDC" w:rsidP="00717FDC">
            <w:pPr>
              <w:spacing w:line="480" w:lineRule="auto"/>
              <w:jc w:val="center"/>
            </w:pPr>
            <w:r>
              <w:rPr>
                <w:rFonts w:ascii="Calibri" w:hAnsi="Calibri"/>
                <w:color w:val="000000"/>
              </w:rPr>
              <w:t>€ 5</w:t>
            </w:r>
          </w:p>
        </w:tc>
      </w:tr>
      <w:tr w:rsidR="00717FDC" w:rsidRPr="00722373" w14:paraId="67EB2609" w14:textId="77777777" w:rsidTr="00717FDC">
        <w:trPr>
          <w:trHeight w:val="300"/>
        </w:trPr>
        <w:tc>
          <w:tcPr>
            <w:tcW w:w="1166" w:type="dxa"/>
            <w:noWrap/>
            <w:hideMark/>
          </w:tcPr>
          <w:p w14:paraId="29013FE9" w14:textId="77777777" w:rsidR="00717FDC" w:rsidRPr="00722373" w:rsidRDefault="00717FDC" w:rsidP="00717FDC">
            <w:pPr>
              <w:spacing w:line="480" w:lineRule="auto"/>
              <w:rPr>
                <w:b/>
                <w:bCs/>
              </w:rPr>
            </w:pPr>
            <w:r w:rsidRPr="00722373">
              <w:rPr>
                <w:b/>
                <w:bCs/>
              </w:rPr>
              <w:t>TS+FR</w:t>
            </w:r>
          </w:p>
        </w:tc>
        <w:tc>
          <w:tcPr>
            <w:tcW w:w="1210" w:type="dxa"/>
            <w:noWrap/>
            <w:vAlign w:val="center"/>
            <w:hideMark/>
          </w:tcPr>
          <w:p w14:paraId="2FFD89BD" w14:textId="77777777" w:rsidR="00717FDC" w:rsidRPr="00722373" w:rsidRDefault="00717FDC" w:rsidP="00717FDC">
            <w:pPr>
              <w:spacing w:line="480" w:lineRule="auto"/>
              <w:jc w:val="center"/>
            </w:pPr>
            <w:r>
              <w:rPr>
                <w:rFonts w:ascii="Calibri" w:hAnsi="Calibri"/>
                <w:color w:val="000000"/>
              </w:rPr>
              <w:t>517,849</w:t>
            </w:r>
          </w:p>
        </w:tc>
        <w:tc>
          <w:tcPr>
            <w:tcW w:w="1418" w:type="dxa"/>
            <w:shd w:val="clear" w:color="auto" w:fill="F2F2F2" w:themeFill="background1" w:themeFillShade="F2"/>
            <w:noWrap/>
            <w:vAlign w:val="center"/>
            <w:hideMark/>
          </w:tcPr>
          <w:p w14:paraId="2C99E510" w14:textId="77777777" w:rsidR="00717FDC" w:rsidRPr="00722373" w:rsidRDefault="00717FDC" w:rsidP="00717FDC">
            <w:pPr>
              <w:spacing w:line="480" w:lineRule="auto"/>
              <w:jc w:val="center"/>
            </w:pPr>
            <w:r>
              <w:rPr>
                <w:rFonts w:ascii="Calibri" w:hAnsi="Calibri"/>
                <w:color w:val="000000"/>
              </w:rPr>
              <w:t>451,470</w:t>
            </w:r>
          </w:p>
        </w:tc>
        <w:tc>
          <w:tcPr>
            <w:tcW w:w="1092" w:type="dxa"/>
            <w:shd w:val="clear" w:color="auto" w:fill="D9D9D9" w:themeFill="background1" w:themeFillShade="D9"/>
            <w:noWrap/>
            <w:vAlign w:val="center"/>
            <w:hideMark/>
          </w:tcPr>
          <w:p w14:paraId="26F562A4" w14:textId="77777777" w:rsidR="00717FDC" w:rsidRPr="00722373" w:rsidRDefault="00717FDC" w:rsidP="00717FDC">
            <w:pPr>
              <w:spacing w:line="480" w:lineRule="auto"/>
              <w:jc w:val="center"/>
            </w:pPr>
            <w:r>
              <w:rPr>
                <w:rFonts w:ascii="Calibri" w:hAnsi="Calibri"/>
                <w:color w:val="000000"/>
              </w:rPr>
              <w:t>116,390</w:t>
            </w:r>
          </w:p>
        </w:tc>
        <w:tc>
          <w:tcPr>
            <w:tcW w:w="1176" w:type="dxa"/>
            <w:noWrap/>
            <w:vAlign w:val="center"/>
            <w:hideMark/>
          </w:tcPr>
          <w:p w14:paraId="2ED60086" w14:textId="77777777" w:rsidR="00717FDC" w:rsidRPr="00722373" w:rsidRDefault="00717FDC" w:rsidP="00717FDC">
            <w:pPr>
              <w:spacing w:line="480" w:lineRule="auto"/>
              <w:jc w:val="center"/>
            </w:pPr>
            <w:r>
              <w:rPr>
                <w:rFonts w:ascii="Calibri" w:hAnsi="Calibri"/>
                <w:color w:val="000000"/>
              </w:rPr>
              <w:t>€ 41</w:t>
            </w:r>
          </w:p>
        </w:tc>
        <w:tc>
          <w:tcPr>
            <w:tcW w:w="1417" w:type="dxa"/>
            <w:shd w:val="clear" w:color="auto" w:fill="F2F2F2" w:themeFill="background1" w:themeFillShade="F2"/>
            <w:noWrap/>
            <w:vAlign w:val="center"/>
            <w:hideMark/>
          </w:tcPr>
          <w:p w14:paraId="62DEF170" w14:textId="77777777" w:rsidR="00717FDC" w:rsidRPr="00722373" w:rsidRDefault="00717FDC" w:rsidP="00717FDC">
            <w:pPr>
              <w:spacing w:line="480" w:lineRule="auto"/>
              <w:jc w:val="center"/>
            </w:pPr>
            <w:r>
              <w:rPr>
                <w:rFonts w:ascii="Calibri" w:hAnsi="Calibri"/>
                <w:color w:val="000000"/>
              </w:rPr>
              <w:t>€ 24</w:t>
            </w:r>
          </w:p>
        </w:tc>
        <w:tc>
          <w:tcPr>
            <w:tcW w:w="1134" w:type="dxa"/>
            <w:shd w:val="clear" w:color="auto" w:fill="D9D9D9" w:themeFill="background1" w:themeFillShade="D9"/>
            <w:noWrap/>
            <w:vAlign w:val="center"/>
            <w:hideMark/>
          </w:tcPr>
          <w:p w14:paraId="1DE150F2" w14:textId="77777777" w:rsidR="00717FDC" w:rsidRPr="00722373" w:rsidRDefault="00717FDC" w:rsidP="00717FDC">
            <w:pPr>
              <w:spacing w:line="480" w:lineRule="auto"/>
              <w:jc w:val="center"/>
            </w:pPr>
            <w:r>
              <w:rPr>
                <w:rFonts w:ascii="Calibri" w:hAnsi="Calibri"/>
                <w:color w:val="000000"/>
              </w:rPr>
              <w:t>€ 19</w:t>
            </w:r>
          </w:p>
        </w:tc>
      </w:tr>
      <w:tr w:rsidR="00717FDC" w:rsidRPr="00722373" w14:paraId="3145EDB4" w14:textId="77777777" w:rsidTr="00717FDC">
        <w:trPr>
          <w:trHeight w:val="300"/>
        </w:trPr>
        <w:tc>
          <w:tcPr>
            <w:tcW w:w="1166" w:type="dxa"/>
            <w:noWrap/>
            <w:hideMark/>
          </w:tcPr>
          <w:p w14:paraId="431F041B" w14:textId="77777777" w:rsidR="00717FDC" w:rsidRPr="00722373" w:rsidRDefault="00717FDC" w:rsidP="00717FDC">
            <w:pPr>
              <w:spacing w:line="480" w:lineRule="auto"/>
              <w:rPr>
                <w:b/>
                <w:bCs/>
              </w:rPr>
            </w:pPr>
            <w:r w:rsidRPr="00722373">
              <w:rPr>
                <w:b/>
                <w:bCs/>
              </w:rPr>
              <w:t>TS+eBI</w:t>
            </w:r>
          </w:p>
        </w:tc>
        <w:tc>
          <w:tcPr>
            <w:tcW w:w="1210" w:type="dxa"/>
            <w:noWrap/>
            <w:vAlign w:val="center"/>
            <w:hideMark/>
          </w:tcPr>
          <w:p w14:paraId="17ED5BAC" w14:textId="77777777" w:rsidR="00717FDC" w:rsidRPr="00722373" w:rsidRDefault="00717FDC" w:rsidP="00717FDC">
            <w:pPr>
              <w:spacing w:line="480" w:lineRule="auto"/>
              <w:jc w:val="center"/>
            </w:pPr>
            <w:r>
              <w:rPr>
                <w:rFonts w:ascii="Calibri" w:hAnsi="Calibri"/>
                <w:color w:val="000000"/>
              </w:rPr>
              <w:t>266,193</w:t>
            </w:r>
          </w:p>
        </w:tc>
        <w:tc>
          <w:tcPr>
            <w:tcW w:w="1418" w:type="dxa"/>
            <w:shd w:val="clear" w:color="auto" w:fill="F2F2F2" w:themeFill="background1" w:themeFillShade="F2"/>
            <w:noWrap/>
            <w:vAlign w:val="center"/>
            <w:hideMark/>
          </w:tcPr>
          <w:p w14:paraId="07E2A37D" w14:textId="77777777" w:rsidR="00717FDC" w:rsidRPr="00722373" w:rsidRDefault="00717FDC" w:rsidP="00717FDC">
            <w:pPr>
              <w:spacing w:line="480" w:lineRule="auto"/>
              <w:jc w:val="center"/>
            </w:pPr>
            <w:r>
              <w:rPr>
                <w:rFonts w:ascii="Calibri" w:hAnsi="Calibri"/>
                <w:color w:val="000000"/>
              </w:rPr>
              <w:t>180,936</w:t>
            </w:r>
          </w:p>
        </w:tc>
        <w:tc>
          <w:tcPr>
            <w:tcW w:w="1092" w:type="dxa"/>
            <w:shd w:val="clear" w:color="auto" w:fill="D9D9D9" w:themeFill="background1" w:themeFillShade="D9"/>
            <w:noWrap/>
            <w:vAlign w:val="center"/>
            <w:hideMark/>
          </w:tcPr>
          <w:p w14:paraId="1CA6A943" w14:textId="77777777" w:rsidR="00717FDC" w:rsidRPr="00722373" w:rsidRDefault="00717FDC" w:rsidP="00717FDC">
            <w:pPr>
              <w:spacing w:line="480" w:lineRule="auto"/>
              <w:jc w:val="center"/>
            </w:pPr>
            <w:r>
              <w:rPr>
                <w:rFonts w:ascii="Calibri" w:hAnsi="Calibri"/>
                <w:color w:val="000000"/>
              </w:rPr>
              <w:t>29,294</w:t>
            </w:r>
          </w:p>
        </w:tc>
        <w:tc>
          <w:tcPr>
            <w:tcW w:w="1176" w:type="dxa"/>
            <w:noWrap/>
            <w:vAlign w:val="center"/>
            <w:hideMark/>
          </w:tcPr>
          <w:p w14:paraId="40B82151" w14:textId="77777777" w:rsidR="00717FDC" w:rsidRPr="00722373" w:rsidRDefault="00717FDC" w:rsidP="00717FDC">
            <w:pPr>
              <w:spacing w:line="480" w:lineRule="auto"/>
              <w:jc w:val="center"/>
            </w:pPr>
            <w:r>
              <w:rPr>
                <w:rFonts w:ascii="Calibri" w:hAnsi="Calibri"/>
                <w:color w:val="000000"/>
              </w:rPr>
              <w:t>€ 31</w:t>
            </w:r>
          </w:p>
        </w:tc>
        <w:tc>
          <w:tcPr>
            <w:tcW w:w="1417" w:type="dxa"/>
            <w:shd w:val="clear" w:color="auto" w:fill="F2F2F2" w:themeFill="background1" w:themeFillShade="F2"/>
            <w:noWrap/>
            <w:vAlign w:val="center"/>
            <w:hideMark/>
          </w:tcPr>
          <w:p w14:paraId="72E3002E" w14:textId="77777777" w:rsidR="00717FDC" w:rsidRPr="00722373" w:rsidRDefault="00717FDC" w:rsidP="00717FDC">
            <w:pPr>
              <w:spacing w:line="480" w:lineRule="auto"/>
              <w:jc w:val="center"/>
            </w:pPr>
            <w:r>
              <w:rPr>
                <w:rFonts w:ascii="Calibri" w:hAnsi="Calibri"/>
                <w:color w:val="000000"/>
              </w:rPr>
              <w:t>€ 21</w:t>
            </w:r>
          </w:p>
        </w:tc>
        <w:tc>
          <w:tcPr>
            <w:tcW w:w="1134" w:type="dxa"/>
            <w:shd w:val="clear" w:color="auto" w:fill="D9D9D9" w:themeFill="background1" w:themeFillShade="D9"/>
            <w:noWrap/>
            <w:vAlign w:val="center"/>
            <w:hideMark/>
          </w:tcPr>
          <w:p w14:paraId="098AEA29" w14:textId="77777777" w:rsidR="00717FDC" w:rsidRPr="00722373" w:rsidRDefault="00717FDC" w:rsidP="00717FDC">
            <w:pPr>
              <w:spacing w:line="480" w:lineRule="auto"/>
              <w:jc w:val="center"/>
            </w:pPr>
            <w:r>
              <w:rPr>
                <w:rFonts w:ascii="Calibri" w:hAnsi="Calibri"/>
                <w:color w:val="000000"/>
              </w:rPr>
              <w:t>€ 7</w:t>
            </w:r>
          </w:p>
        </w:tc>
      </w:tr>
      <w:tr w:rsidR="00717FDC" w:rsidRPr="00722373" w14:paraId="49640856" w14:textId="77777777" w:rsidTr="00717FDC">
        <w:trPr>
          <w:trHeight w:val="300"/>
        </w:trPr>
        <w:tc>
          <w:tcPr>
            <w:tcW w:w="1166" w:type="dxa"/>
            <w:noWrap/>
            <w:hideMark/>
          </w:tcPr>
          <w:p w14:paraId="62BCDED1" w14:textId="77777777" w:rsidR="00717FDC" w:rsidRPr="00722373" w:rsidRDefault="00717FDC" w:rsidP="00717FDC">
            <w:pPr>
              <w:spacing w:line="480" w:lineRule="auto"/>
              <w:rPr>
                <w:b/>
                <w:bCs/>
              </w:rPr>
            </w:pPr>
            <w:r w:rsidRPr="00722373">
              <w:rPr>
                <w:b/>
                <w:bCs/>
              </w:rPr>
              <w:t>FR+eBI</w:t>
            </w:r>
          </w:p>
        </w:tc>
        <w:tc>
          <w:tcPr>
            <w:tcW w:w="1210" w:type="dxa"/>
            <w:noWrap/>
            <w:vAlign w:val="center"/>
            <w:hideMark/>
          </w:tcPr>
          <w:p w14:paraId="02BCDC42" w14:textId="77777777" w:rsidR="00717FDC" w:rsidRPr="00722373" w:rsidRDefault="00717FDC" w:rsidP="00717FDC">
            <w:pPr>
              <w:spacing w:line="480" w:lineRule="auto"/>
              <w:jc w:val="center"/>
            </w:pPr>
            <w:r>
              <w:rPr>
                <w:rFonts w:ascii="Calibri" w:hAnsi="Calibri"/>
                <w:color w:val="000000"/>
              </w:rPr>
              <w:t>315,354</w:t>
            </w:r>
          </w:p>
        </w:tc>
        <w:tc>
          <w:tcPr>
            <w:tcW w:w="1418" w:type="dxa"/>
            <w:shd w:val="clear" w:color="auto" w:fill="F2F2F2" w:themeFill="background1" w:themeFillShade="F2"/>
            <w:noWrap/>
            <w:vAlign w:val="center"/>
            <w:hideMark/>
          </w:tcPr>
          <w:p w14:paraId="225A8BC5" w14:textId="77777777" w:rsidR="00717FDC" w:rsidRPr="00722373" w:rsidRDefault="00717FDC" w:rsidP="00717FDC">
            <w:pPr>
              <w:spacing w:line="480" w:lineRule="auto"/>
              <w:jc w:val="center"/>
            </w:pPr>
            <w:r>
              <w:rPr>
                <w:rFonts w:ascii="Calibri" w:hAnsi="Calibri"/>
                <w:color w:val="000000"/>
              </w:rPr>
              <w:t>206,759</w:t>
            </w:r>
          </w:p>
        </w:tc>
        <w:tc>
          <w:tcPr>
            <w:tcW w:w="1092" w:type="dxa"/>
            <w:shd w:val="clear" w:color="auto" w:fill="D9D9D9" w:themeFill="background1" w:themeFillShade="D9"/>
            <w:noWrap/>
            <w:vAlign w:val="center"/>
            <w:hideMark/>
          </w:tcPr>
          <w:p w14:paraId="06B0DC77" w14:textId="77777777" w:rsidR="00717FDC" w:rsidRPr="00722373" w:rsidRDefault="00717FDC" w:rsidP="00717FDC">
            <w:pPr>
              <w:spacing w:line="480" w:lineRule="auto"/>
              <w:jc w:val="center"/>
            </w:pPr>
            <w:r>
              <w:rPr>
                <w:rFonts w:ascii="Calibri" w:hAnsi="Calibri"/>
                <w:color w:val="000000"/>
              </w:rPr>
              <w:t>12,411</w:t>
            </w:r>
          </w:p>
        </w:tc>
        <w:tc>
          <w:tcPr>
            <w:tcW w:w="1176" w:type="dxa"/>
            <w:noWrap/>
            <w:vAlign w:val="center"/>
            <w:hideMark/>
          </w:tcPr>
          <w:p w14:paraId="4A0667D1" w14:textId="77777777" w:rsidR="00717FDC" w:rsidRPr="00722373" w:rsidRDefault="00717FDC" w:rsidP="00717FDC">
            <w:pPr>
              <w:spacing w:line="480" w:lineRule="auto"/>
              <w:jc w:val="center"/>
            </w:pPr>
            <w:r>
              <w:rPr>
                <w:rFonts w:ascii="Calibri" w:hAnsi="Calibri"/>
                <w:color w:val="000000"/>
              </w:rPr>
              <w:t>€ 27</w:t>
            </w:r>
          </w:p>
        </w:tc>
        <w:tc>
          <w:tcPr>
            <w:tcW w:w="1417" w:type="dxa"/>
            <w:shd w:val="clear" w:color="auto" w:fill="F2F2F2" w:themeFill="background1" w:themeFillShade="F2"/>
            <w:noWrap/>
            <w:vAlign w:val="center"/>
            <w:hideMark/>
          </w:tcPr>
          <w:p w14:paraId="72C9ABAB" w14:textId="77777777" w:rsidR="00717FDC" w:rsidRPr="00722373" w:rsidRDefault="00717FDC" w:rsidP="00717FDC">
            <w:pPr>
              <w:spacing w:line="480" w:lineRule="auto"/>
              <w:jc w:val="center"/>
            </w:pPr>
            <w:r>
              <w:rPr>
                <w:rFonts w:ascii="Calibri" w:hAnsi="Calibri"/>
                <w:color w:val="000000"/>
              </w:rPr>
              <w:t>€ 22</w:t>
            </w:r>
          </w:p>
        </w:tc>
        <w:tc>
          <w:tcPr>
            <w:tcW w:w="1134" w:type="dxa"/>
            <w:shd w:val="clear" w:color="auto" w:fill="D9D9D9" w:themeFill="background1" w:themeFillShade="D9"/>
            <w:noWrap/>
            <w:vAlign w:val="center"/>
            <w:hideMark/>
          </w:tcPr>
          <w:p w14:paraId="3DCBAACB" w14:textId="77777777" w:rsidR="00717FDC" w:rsidRPr="00722373" w:rsidRDefault="00717FDC" w:rsidP="00717FDC">
            <w:pPr>
              <w:spacing w:line="480" w:lineRule="auto"/>
              <w:jc w:val="center"/>
            </w:pPr>
            <w:r>
              <w:rPr>
                <w:rFonts w:ascii="Calibri" w:hAnsi="Calibri"/>
                <w:color w:val="000000"/>
              </w:rPr>
              <w:t>€ 15</w:t>
            </w:r>
          </w:p>
        </w:tc>
      </w:tr>
      <w:tr w:rsidR="00717FDC" w:rsidRPr="00722373" w14:paraId="3D2113BD" w14:textId="77777777" w:rsidTr="00717FDC">
        <w:trPr>
          <w:trHeight w:val="300"/>
        </w:trPr>
        <w:tc>
          <w:tcPr>
            <w:tcW w:w="1166" w:type="dxa"/>
            <w:noWrap/>
            <w:hideMark/>
          </w:tcPr>
          <w:p w14:paraId="1DA095E0" w14:textId="77777777" w:rsidR="00717FDC" w:rsidRPr="00722373" w:rsidRDefault="00717FDC" w:rsidP="00717FDC">
            <w:pPr>
              <w:spacing w:line="480" w:lineRule="auto"/>
              <w:rPr>
                <w:b/>
                <w:bCs/>
              </w:rPr>
            </w:pPr>
            <w:r w:rsidRPr="00722373">
              <w:rPr>
                <w:b/>
                <w:bCs/>
              </w:rPr>
              <w:t>TS+FR+eBI</w:t>
            </w:r>
          </w:p>
        </w:tc>
        <w:tc>
          <w:tcPr>
            <w:tcW w:w="1210" w:type="dxa"/>
            <w:noWrap/>
            <w:vAlign w:val="center"/>
            <w:hideMark/>
          </w:tcPr>
          <w:p w14:paraId="34A2628E" w14:textId="77777777" w:rsidR="00717FDC" w:rsidRPr="00722373" w:rsidRDefault="00717FDC" w:rsidP="00717FDC">
            <w:pPr>
              <w:spacing w:line="480" w:lineRule="auto"/>
              <w:jc w:val="center"/>
            </w:pPr>
            <w:r>
              <w:rPr>
                <w:rFonts w:ascii="Calibri" w:hAnsi="Calibri"/>
                <w:color w:val="000000"/>
              </w:rPr>
              <w:t>306,728</w:t>
            </w:r>
          </w:p>
        </w:tc>
        <w:tc>
          <w:tcPr>
            <w:tcW w:w="1418" w:type="dxa"/>
            <w:shd w:val="clear" w:color="auto" w:fill="F2F2F2" w:themeFill="background1" w:themeFillShade="F2"/>
            <w:noWrap/>
            <w:vAlign w:val="center"/>
            <w:hideMark/>
          </w:tcPr>
          <w:p w14:paraId="54ABB38E" w14:textId="77777777" w:rsidR="00717FDC" w:rsidRPr="00722373" w:rsidRDefault="00717FDC" w:rsidP="00717FDC">
            <w:pPr>
              <w:spacing w:line="480" w:lineRule="auto"/>
              <w:jc w:val="center"/>
            </w:pPr>
            <w:r>
              <w:rPr>
                <w:rFonts w:ascii="Calibri" w:hAnsi="Calibri"/>
                <w:color w:val="000000"/>
              </w:rPr>
              <w:t>363,923</w:t>
            </w:r>
          </w:p>
        </w:tc>
        <w:tc>
          <w:tcPr>
            <w:tcW w:w="1092" w:type="dxa"/>
            <w:shd w:val="clear" w:color="auto" w:fill="D9D9D9" w:themeFill="background1" w:themeFillShade="D9"/>
            <w:noWrap/>
            <w:vAlign w:val="center"/>
            <w:hideMark/>
          </w:tcPr>
          <w:p w14:paraId="5A1443D9" w14:textId="77777777" w:rsidR="00717FDC" w:rsidRPr="00722373" w:rsidRDefault="00717FDC" w:rsidP="00717FDC">
            <w:pPr>
              <w:spacing w:line="480" w:lineRule="auto"/>
              <w:jc w:val="center"/>
            </w:pPr>
            <w:r>
              <w:rPr>
                <w:rFonts w:ascii="Calibri" w:hAnsi="Calibri"/>
                <w:color w:val="000000"/>
              </w:rPr>
              <w:t>98,261</w:t>
            </w:r>
          </w:p>
        </w:tc>
        <w:tc>
          <w:tcPr>
            <w:tcW w:w="1176" w:type="dxa"/>
            <w:noWrap/>
            <w:vAlign w:val="center"/>
            <w:hideMark/>
          </w:tcPr>
          <w:p w14:paraId="567BBFEF" w14:textId="77777777" w:rsidR="00717FDC" w:rsidRPr="00722373" w:rsidRDefault="00717FDC" w:rsidP="00717FDC">
            <w:pPr>
              <w:spacing w:line="480" w:lineRule="auto"/>
              <w:jc w:val="center"/>
            </w:pPr>
            <w:r>
              <w:rPr>
                <w:rFonts w:ascii="Calibri" w:hAnsi="Calibri"/>
                <w:color w:val="000000"/>
              </w:rPr>
              <w:t>€ 37</w:t>
            </w:r>
          </w:p>
        </w:tc>
        <w:tc>
          <w:tcPr>
            <w:tcW w:w="1417" w:type="dxa"/>
            <w:shd w:val="clear" w:color="auto" w:fill="F2F2F2" w:themeFill="background1" w:themeFillShade="F2"/>
            <w:noWrap/>
            <w:vAlign w:val="center"/>
            <w:hideMark/>
          </w:tcPr>
          <w:p w14:paraId="647F2770" w14:textId="77777777" w:rsidR="00717FDC" w:rsidRPr="00722373" w:rsidRDefault="00717FDC" w:rsidP="00717FDC">
            <w:pPr>
              <w:spacing w:line="480" w:lineRule="auto"/>
              <w:jc w:val="center"/>
            </w:pPr>
            <w:r>
              <w:rPr>
                <w:rFonts w:ascii="Calibri" w:hAnsi="Calibri"/>
                <w:color w:val="000000"/>
              </w:rPr>
              <w:t>€ 20</w:t>
            </w:r>
          </w:p>
        </w:tc>
        <w:tc>
          <w:tcPr>
            <w:tcW w:w="1134" w:type="dxa"/>
            <w:shd w:val="clear" w:color="auto" w:fill="D9D9D9" w:themeFill="background1" w:themeFillShade="D9"/>
            <w:noWrap/>
            <w:vAlign w:val="center"/>
            <w:hideMark/>
          </w:tcPr>
          <w:p w14:paraId="7D18D7F0" w14:textId="77777777" w:rsidR="00717FDC" w:rsidRPr="00722373" w:rsidRDefault="00717FDC" w:rsidP="00717FDC">
            <w:pPr>
              <w:spacing w:line="480" w:lineRule="auto"/>
              <w:jc w:val="center"/>
            </w:pPr>
            <w:r>
              <w:rPr>
                <w:rFonts w:ascii="Calibri" w:hAnsi="Calibri"/>
                <w:color w:val="000000"/>
              </w:rPr>
              <w:t>€ 10</w:t>
            </w:r>
          </w:p>
        </w:tc>
      </w:tr>
    </w:tbl>
    <w:p w14:paraId="34E950B8" w14:textId="4D5390E8" w:rsidR="006A00DF" w:rsidRDefault="006A00DF" w:rsidP="00D04DAC">
      <w:pPr>
        <w:widowControl w:val="0"/>
        <w:autoSpaceDE w:val="0"/>
        <w:autoSpaceDN w:val="0"/>
        <w:adjustRightInd w:val="0"/>
        <w:spacing w:line="480" w:lineRule="auto"/>
        <w:ind w:left="640" w:hanging="640"/>
      </w:pPr>
      <w:r>
        <w:br w:type="page"/>
      </w:r>
    </w:p>
    <w:p w14:paraId="06759DF9" w14:textId="0E1DD620" w:rsidR="006A00DF" w:rsidRDefault="006A00DF" w:rsidP="006A00DF">
      <w:pPr>
        <w:pStyle w:val="Caption"/>
        <w:keepNext/>
        <w:spacing w:line="480" w:lineRule="auto"/>
      </w:pPr>
      <w:bookmarkStart w:id="5" w:name="_Ref404070644"/>
      <w:r>
        <w:t xml:space="preserve">Table </w:t>
      </w:r>
      <w:r w:rsidR="006864D9">
        <w:rPr>
          <w:noProof/>
        </w:rPr>
        <w:fldChar w:fldCharType="begin"/>
      </w:r>
      <w:r w:rsidR="006864D9">
        <w:rPr>
          <w:noProof/>
        </w:rPr>
        <w:instrText xml:space="preserve"> SEQ Table \* ARABIC </w:instrText>
      </w:r>
      <w:r w:rsidR="006864D9">
        <w:rPr>
          <w:noProof/>
        </w:rPr>
        <w:fldChar w:fldCharType="separate"/>
      </w:r>
      <w:r>
        <w:rPr>
          <w:noProof/>
        </w:rPr>
        <w:t>3</w:t>
      </w:r>
      <w:r w:rsidR="006864D9">
        <w:rPr>
          <w:noProof/>
        </w:rPr>
        <w:fldChar w:fldCharType="end"/>
      </w:r>
      <w:bookmarkEnd w:id="5"/>
      <w:r>
        <w:t xml:space="preserve"> – Trial-only analysis results for cost-effective strategies</w:t>
      </w:r>
    </w:p>
    <w:tbl>
      <w:tblPr>
        <w:tblW w:w="9418" w:type="dxa"/>
        <w:tblInd w:w="-176" w:type="dxa"/>
        <w:tblLook w:val="04A0" w:firstRow="1" w:lastRow="0" w:firstColumn="1" w:lastColumn="0" w:noHBand="0" w:noVBand="1"/>
      </w:tblPr>
      <w:tblGrid>
        <w:gridCol w:w="1418"/>
        <w:gridCol w:w="1303"/>
        <w:gridCol w:w="1291"/>
        <w:gridCol w:w="947"/>
        <w:gridCol w:w="1321"/>
        <w:gridCol w:w="1321"/>
        <w:gridCol w:w="2028"/>
      </w:tblGrid>
      <w:tr w:rsidR="006A00DF" w:rsidRPr="00A61E97" w14:paraId="6ED1A2EA" w14:textId="77777777" w:rsidTr="007E7442">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A0596" w14:textId="77777777" w:rsidR="006A00DF" w:rsidRPr="00A61E97" w:rsidRDefault="006A00DF" w:rsidP="007E7442">
            <w:pPr>
              <w:spacing w:after="0" w:line="480" w:lineRule="auto"/>
              <w:jc w:val="center"/>
              <w:rPr>
                <w:rFonts w:ascii="Calibri" w:eastAsia="Times New Roman" w:hAnsi="Calibri" w:cs="Times New Roman"/>
                <w:b/>
                <w:color w:val="000000"/>
                <w:lang w:eastAsia="en-GB"/>
              </w:rPr>
            </w:pPr>
            <w:r w:rsidRPr="00A61E97">
              <w:rPr>
                <w:rFonts w:ascii="Calibri" w:eastAsia="Times New Roman" w:hAnsi="Calibri" w:cs="Times New Roman"/>
                <w:b/>
                <w:color w:val="000000"/>
                <w:lang w:eastAsia="en-GB"/>
              </w:rPr>
              <w:t>Country</w:t>
            </w:r>
          </w:p>
        </w:tc>
        <w:tc>
          <w:tcPr>
            <w:tcW w:w="1303" w:type="dxa"/>
            <w:tcBorders>
              <w:top w:val="single" w:sz="4" w:space="0" w:color="auto"/>
              <w:left w:val="nil"/>
              <w:bottom w:val="single" w:sz="4" w:space="0" w:color="auto"/>
              <w:right w:val="single" w:sz="4" w:space="0" w:color="auto"/>
            </w:tcBorders>
            <w:shd w:val="clear" w:color="auto" w:fill="auto"/>
            <w:noWrap/>
            <w:vAlign w:val="bottom"/>
            <w:hideMark/>
          </w:tcPr>
          <w:p w14:paraId="71F54B2B" w14:textId="77777777" w:rsidR="006A00DF" w:rsidRPr="00A61E97" w:rsidRDefault="006A00DF" w:rsidP="007E7442">
            <w:pPr>
              <w:spacing w:after="0" w:line="480" w:lineRule="auto"/>
              <w:rPr>
                <w:rFonts w:ascii="Calibri" w:eastAsia="Times New Roman" w:hAnsi="Calibri" w:cs="Times New Roman"/>
                <w:b/>
                <w:color w:val="000000"/>
                <w:lang w:eastAsia="en-GB"/>
              </w:rPr>
            </w:pPr>
            <w:r w:rsidRPr="00A61E97">
              <w:rPr>
                <w:rFonts w:ascii="Calibri" w:eastAsia="Times New Roman" w:hAnsi="Calibri" w:cs="Times New Roman"/>
                <w:b/>
                <w:color w:val="000000"/>
                <w:lang w:eastAsia="en-GB"/>
              </w:rPr>
              <w:t>Strategy</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14:paraId="6A519E3D" w14:textId="77777777" w:rsidR="006A00DF" w:rsidRPr="00A61E97" w:rsidRDefault="006A00DF" w:rsidP="007E7442">
            <w:pPr>
              <w:spacing w:after="0" w:line="480" w:lineRule="auto"/>
              <w:jc w:val="center"/>
              <w:rPr>
                <w:rFonts w:ascii="Calibri" w:eastAsia="Times New Roman" w:hAnsi="Calibri" w:cs="Times New Roman"/>
                <w:b/>
                <w:color w:val="000000"/>
                <w:lang w:eastAsia="en-GB"/>
              </w:rPr>
            </w:pPr>
            <w:r w:rsidRPr="00A61E97">
              <w:rPr>
                <w:rFonts w:ascii="Calibri" w:eastAsia="Times New Roman" w:hAnsi="Calibri" w:cs="Times New Roman"/>
                <w:b/>
                <w:color w:val="000000"/>
                <w:lang w:eastAsia="en-GB"/>
              </w:rPr>
              <w:t>Net cost of programme (€m)</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14:paraId="58308079" w14:textId="77777777" w:rsidR="006A00DF" w:rsidRPr="00A61E97" w:rsidRDefault="006A00DF" w:rsidP="007E7442">
            <w:pPr>
              <w:spacing w:after="0" w:line="480" w:lineRule="auto"/>
              <w:jc w:val="center"/>
              <w:rPr>
                <w:rFonts w:ascii="Calibri" w:eastAsia="Times New Roman" w:hAnsi="Calibri" w:cs="Times New Roman"/>
                <w:b/>
                <w:color w:val="000000"/>
                <w:lang w:eastAsia="en-GB"/>
              </w:rPr>
            </w:pPr>
            <w:r w:rsidRPr="00A61E97">
              <w:rPr>
                <w:rFonts w:ascii="Calibri" w:eastAsia="Times New Roman" w:hAnsi="Calibri" w:cs="Times New Roman"/>
                <w:b/>
                <w:color w:val="000000"/>
                <w:lang w:eastAsia="en-GB"/>
              </w:rPr>
              <w:t>Net QALY gain vs. no SBIs (,000s)</w:t>
            </w:r>
          </w:p>
        </w:tc>
        <w:tc>
          <w:tcPr>
            <w:tcW w:w="1250" w:type="dxa"/>
            <w:tcBorders>
              <w:top w:val="single" w:sz="4" w:space="0" w:color="auto"/>
              <w:left w:val="nil"/>
              <w:bottom w:val="single" w:sz="4" w:space="0" w:color="auto"/>
              <w:right w:val="single" w:sz="4" w:space="0" w:color="auto"/>
            </w:tcBorders>
            <w:shd w:val="clear" w:color="auto" w:fill="auto"/>
            <w:noWrap/>
            <w:vAlign w:val="bottom"/>
            <w:hideMark/>
          </w:tcPr>
          <w:p w14:paraId="57BD7487" w14:textId="77777777" w:rsidR="006A00DF" w:rsidRPr="00A61E97" w:rsidRDefault="006A00DF" w:rsidP="007E7442">
            <w:pPr>
              <w:spacing w:after="0" w:line="480" w:lineRule="auto"/>
              <w:jc w:val="center"/>
              <w:rPr>
                <w:rFonts w:ascii="Calibri" w:eastAsia="Times New Roman" w:hAnsi="Calibri" w:cs="Times New Roman"/>
                <w:b/>
                <w:color w:val="000000"/>
                <w:lang w:eastAsia="en-GB"/>
              </w:rPr>
            </w:pPr>
            <w:r w:rsidRPr="00A61E97">
              <w:rPr>
                <w:rFonts w:ascii="Calibri" w:eastAsia="Times New Roman" w:hAnsi="Calibri" w:cs="Times New Roman"/>
                <w:b/>
                <w:color w:val="000000"/>
                <w:lang w:eastAsia="en-GB"/>
              </w:rPr>
              <w:t>Incremental cost (€m)</w:t>
            </w:r>
          </w:p>
        </w:tc>
        <w:tc>
          <w:tcPr>
            <w:tcW w:w="1250" w:type="dxa"/>
            <w:tcBorders>
              <w:top w:val="single" w:sz="4" w:space="0" w:color="auto"/>
              <w:left w:val="nil"/>
              <w:bottom w:val="single" w:sz="4" w:space="0" w:color="auto"/>
              <w:right w:val="single" w:sz="4" w:space="0" w:color="auto"/>
            </w:tcBorders>
            <w:shd w:val="clear" w:color="auto" w:fill="auto"/>
            <w:noWrap/>
            <w:vAlign w:val="bottom"/>
            <w:hideMark/>
          </w:tcPr>
          <w:p w14:paraId="1A2C3F54" w14:textId="77777777" w:rsidR="006A00DF" w:rsidRPr="00A61E97" w:rsidRDefault="006A00DF" w:rsidP="007E7442">
            <w:pPr>
              <w:spacing w:after="0" w:line="480" w:lineRule="auto"/>
              <w:jc w:val="center"/>
              <w:rPr>
                <w:rFonts w:ascii="Calibri" w:eastAsia="Times New Roman" w:hAnsi="Calibri" w:cs="Times New Roman"/>
                <w:b/>
                <w:color w:val="000000"/>
                <w:lang w:eastAsia="en-GB"/>
              </w:rPr>
            </w:pPr>
            <w:r w:rsidRPr="00A61E97">
              <w:rPr>
                <w:rFonts w:ascii="Calibri" w:eastAsia="Times New Roman" w:hAnsi="Calibri" w:cs="Times New Roman"/>
                <w:b/>
                <w:color w:val="000000"/>
                <w:lang w:eastAsia="en-GB"/>
              </w:rPr>
              <w:t>Incremental QALYs (,000s)</w:t>
            </w:r>
          </w:p>
        </w:tc>
        <w:tc>
          <w:tcPr>
            <w:tcW w:w="2028" w:type="dxa"/>
            <w:tcBorders>
              <w:top w:val="single" w:sz="4" w:space="0" w:color="auto"/>
              <w:left w:val="nil"/>
              <w:bottom w:val="single" w:sz="4" w:space="0" w:color="auto"/>
              <w:right w:val="single" w:sz="4" w:space="0" w:color="auto"/>
            </w:tcBorders>
            <w:shd w:val="clear" w:color="auto" w:fill="auto"/>
            <w:noWrap/>
            <w:vAlign w:val="bottom"/>
            <w:hideMark/>
          </w:tcPr>
          <w:p w14:paraId="2E863CA7" w14:textId="77777777" w:rsidR="006A00DF" w:rsidRPr="00A61E97" w:rsidRDefault="006A00DF" w:rsidP="007E7442">
            <w:pPr>
              <w:spacing w:after="0" w:line="480" w:lineRule="auto"/>
              <w:jc w:val="center"/>
              <w:rPr>
                <w:rFonts w:ascii="Calibri" w:eastAsia="Times New Roman" w:hAnsi="Calibri" w:cs="Times New Roman"/>
                <w:b/>
                <w:color w:val="000000"/>
                <w:lang w:eastAsia="en-GB"/>
              </w:rPr>
            </w:pPr>
            <w:r w:rsidRPr="00A61E97">
              <w:rPr>
                <w:rFonts w:ascii="Calibri" w:eastAsia="Times New Roman" w:hAnsi="Calibri" w:cs="Times New Roman"/>
                <w:b/>
                <w:color w:val="000000"/>
                <w:lang w:eastAsia="en-GB"/>
              </w:rPr>
              <w:t>ICER (per QALY)</w:t>
            </w:r>
          </w:p>
        </w:tc>
      </w:tr>
      <w:tr w:rsidR="006A00DF" w:rsidRPr="00A61E97" w14:paraId="18342BDC" w14:textId="77777777" w:rsidTr="007E7442">
        <w:trPr>
          <w:trHeight w:val="300"/>
        </w:trPr>
        <w:tc>
          <w:tcPr>
            <w:tcW w:w="1418"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7B63D973" w14:textId="77777777" w:rsidR="006A00DF" w:rsidRPr="00A61E97" w:rsidRDefault="006A00DF" w:rsidP="007E7442">
            <w:pPr>
              <w:spacing w:after="0" w:line="480" w:lineRule="auto"/>
              <w:jc w:val="center"/>
              <w:rPr>
                <w:rFonts w:ascii="Calibri" w:eastAsia="Times New Roman" w:hAnsi="Calibri" w:cs="Times New Roman"/>
                <w:color w:val="000000"/>
                <w:lang w:eastAsia="en-GB"/>
              </w:rPr>
            </w:pPr>
            <w:r w:rsidRPr="00A61E97">
              <w:rPr>
                <w:rFonts w:ascii="Calibri" w:eastAsia="Times New Roman" w:hAnsi="Calibri" w:cs="Times New Roman"/>
                <w:color w:val="000000"/>
                <w:lang w:eastAsia="en-GB"/>
              </w:rPr>
              <w:t>England</w:t>
            </w:r>
          </w:p>
        </w:tc>
        <w:tc>
          <w:tcPr>
            <w:tcW w:w="1303" w:type="dxa"/>
            <w:tcBorders>
              <w:top w:val="nil"/>
              <w:left w:val="nil"/>
              <w:bottom w:val="single" w:sz="4" w:space="0" w:color="auto"/>
              <w:right w:val="single" w:sz="4" w:space="0" w:color="auto"/>
            </w:tcBorders>
            <w:shd w:val="clear" w:color="000000" w:fill="D9D9D9"/>
            <w:noWrap/>
            <w:vAlign w:val="center"/>
            <w:hideMark/>
          </w:tcPr>
          <w:p w14:paraId="409A0717" w14:textId="77777777" w:rsidR="006A00DF" w:rsidRPr="00A61E97" w:rsidRDefault="006A00DF" w:rsidP="007E7442">
            <w:pPr>
              <w:spacing w:after="0" w:line="480" w:lineRule="auto"/>
              <w:rPr>
                <w:rFonts w:ascii="Calibri" w:eastAsia="Times New Roman" w:hAnsi="Calibri" w:cs="Times New Roman"/>
                <w:color w:val="000000"/>
                <w:lang w:eastAsia="en-GB"/>
              </w:rPr>
            </w:pPr>
            <w:r>
              <w:rPr>
                <w:rFonts w:ascii="Calibri" w:hAnsi="Calibri"/>
                <w:color w:val="000000"/>
              </w:rPr>
              <w:t>Control</w:t>
            </w:r>
          </w:p>
        </w:tc>
        <w:tc>
          <w:tcPr>
            <w:tcW w:w="1222" w:type="dxa"/>
            <w:tcBorders>
              <w:top w:val="nil"/>
              <w:left w:val="nil"/>
              <w:bottom w:val="single" w:sz="4" w:space="0" w:color="auto"/>
              <w:right w:val="single" w:sz="4" w:space="0" w:color="auto"/>
            </w:tcBorders>
            <w:shd w:val="clear" w:color="000000" w:fill="D9D9D9"/>
            <w:noWrap/>
            <w:vAlign w:val="center"/>
            <w:hideMark/>
          </w:tcPr>
          <w:p w14:paraId="700ED000" w14:textId="77777777" w:rsidR="006A00DF" w:rsidRPr="00A61E97" w:rsidRDefault="006A00DF" w:rsidP="007E7442">
            <w:pPr>
              <w:spacing w:after="0" w:line="480" w:lineRule="auto"/>
              <w:jc w:val="center"/>
              <w:rPr>
                <w:rFonts w:ascii="Calibri" w:eastAsia="Times New Roman" w:hAnsi="Calibri" w:cs="Times New Roman"/>
                <w:color w:val="FF0000"/>
                <w:lang w:eastAsia="en-GB"/>
              </w:rPr>
            </w:pPr>
            <w:r>
              <w:rPr>
                <w:rFonts w:ascii="Calibri" w:hAnsi="Calibri"/>
                <w:color w:val="FF0000"/>
              </w:rPr>
              <w:t>-35.5</w:t>
            </w:r>
          </w:p>
        </w:tc>
        <w:tc>
          <w:tcPr>
            <w:tcW w:w="947" w:type="dxa"/>
            <w:tcBorders>
              <w:top w:val="nil"/>
              <w:left w:val="nil"/>
              <w:bottom w:val="single" w:sz="4" w:space="0" w:color="auto"/>
              <w:right w:val="single" w:sz="4" w:space="0" w:color="auto"/>
            </w:tcBorders>
            <w:shd w:val="clear" w:color="000000" w:fill="D9D9D9"/>
            <w:noWrap/>
            <w:vAlign w:val="center"/>
            <w:hideMark/>
          </w:tcPr>
          <w:p w14:paraId="034E7741" w14:textId="77777777" w:rsidR="006A00DF" w:rsidRPr="00A61E97" w:rsidRDefault="006A00DF" w:rsidP="007E7442">
            <w:pPr>
              <w:spacing w:after="0" w:line="480" w:lineRule="auto"/>
              <w:jc w:val="center"/>
              <w:rPr>
                <w:rFonts w:ascii="Calibri" w:eastAsia="Times New Roman" w:hAnsi="Calibri" w:cs="Times New Roman"/>
                <w:color w:val="000000"/>
                <w:lang w:eastAsia="en-GB"/>
              </w:rPr>
            </w:pPr>
            <w:r>
              <w:rPr>
                <w:rFonts w:ascii="Calibri" w:hAnsi="Calibri"/>
              </w:rPr>
              <w:t>4.6</w:t>
            </w:r>
          </w:p>
        </w:tc>
        <w:tc>
          <w:tcPr>
            <w:tcW w:w="4528" w:type="dxa"/>
            <w:gridSpan w:val="3"/>
            <w:tcBorders>
              <w:top w:val="single" w:sz="4" w:space="0" w:color="auto"/>
              <w:left w:val="nil"/>
              <w:bottom w:val="single" w:sz="4" w:space="0" w:color="auto"/>
              <w:right w:val="single" w:sz="4" w:space="0" w:color="000000"/>
            </w:tcBorders>
            <w:shd w:val="clear" w:color="000000" w:fill="000000"/>
            <w:noWrap/>
            <w:vAlign w:val="bottom"/>
            <w:hideMark/>
          </w:tcPr>
          <w:p w14:paraId="7441B7C6" w14:textId="77777777" w:rsidR="006A00DF" w:rsidRPr="00A61E97" w:rsidRDefault="006A00DF" w:rsidP="007E7442">
            <w:pPr>
              <w:spacing w:after="0" w:line="480" w:lineRule="auto"/>
              <w:jc w:val="center"/>
              <w:rPr>
                <w:rFonts w:ascii="Calibri" w:eastAsia="Times New Roman" w:hAnsi="Calibri" w:cs="Times New Roman"/>
                <w:color w:val="000000"/>
                <w:lang w:eastAsia="en-GB"/>
              </w:rPr>
            </w:pPr>
            <w:r w:rsidRPr="00A61E97">
              <w:rPr>
                <w:rFonts w:ascii="Calibri" w:eastAsia="Times New Roman" w:hAnsi="Calibri" w:cs="Times New Roman"/>
                <w:color w:val="000000"/>
                <w:lang w:eastAsia="en-GB"/>
              </w:rPr>
              <w:t> </w:t>
            </w:r>
          </w:p>
        </w:tc>
      </w:tr>
      <w:tr w:rsidR="006A00DF" w:rsidRPr="00A61E97" w14:paraId="2E66AA63" w14:textId="77777777" w:rsidTr="007E7442">
        <w:trPr>
          <w:trHeight w:val="300"/>
        </w:trPr>
        <w:tc>
          <w:tcPr>
            <w:tcW w:w="1418" w:type="dxa"/>
            <w:vMerge/>
            <w:tcBorders>
              <w:top w:val="nil"/>
              <w:left w:val="single" w:sz="4" w:space="0" w:color="auto"/>
              <w:bottom w:val="single" w:sz="4" w:space="0" w:color="auto"/>
              <w:right w:val="single" w:sz="4" w:space="0" w:color="auto"/>
            </w:tcBorders>
            <w:vAlign w:val="center"/>
            <w:hideMark/>
          </w:tcPr>
          <w:p w14:paraId="248343F5" w14:textId="77777777" w:rsidR="006A00DF" w:rsidRPr="00A61E97" w:rsidRDefault="006A00DF" w:rsidP="007E7442">
            <w:pPr>
              <w:spacing w:after="0" w:line="480" w:lineRule="auto"/>
              <w:rPr>
                <w:rFonts w:ascii="Calibri" w:eastAsia="Times New Roman" w:hAnsi="Calibri" w:cs="Times New Roman"/>
                <w:color w:val="000000"/>
                <w:lang w:eastAsia="en-GB"/>
              </w:rPr>
            </w:pPr>
          </w:p>
        </w:tc>
        <w:tc>
          <w:tcPr>
            <w:tcW w:w="1303" w:type="dxa"/>
            <w:tcBorders>
              <w:top w:val="nil"/>
              <w:left w:val="nil"/>
              <w:bottom w:val="single" w:sz="4" w:space="0" w:color="auto"/>
              <w:right w:val="single" w:sz="4" w:space="0" w:color="auto"/>
            </w:tcBorders>
            <w:shd w:val="clear" w:color="000000" w:fill="D9D9D9"/>
            <w:noWrap/>
            <w:vAlign w:val="center"/>
            <w:hideMark/>
          </w:tcPr>
          <w:p w14:paraId="5AD2C7D9" w14:textId="77777777" w:rsidR="006A00DF" w:rsidRPr="00A61E97" w:rsidRDefault="006A00DF" w:rsidP="007E7442">
            <w:pPr>
              <w:spacing w:after="0" w:line="480" w:lineRule="auto"/>
              <w:rPr>
                <w:rFonts w:ascii="Calibri" w:eastAsia="Times New Roman" w:hAnsi="Calibri" w:cs="Times New Roman"/>
                <w:color w:val="000000"/>
                <w:lang w:eastAsia="en-GB"/>
              </w:rPr>
            </w:pPr>
            <w:r>
              <w:rPr>
                <w:rFonts w:ascii="Calibri" w:hAnsi="Calibri"/>
                <w:color w:val="000000"/>
              </w:rPr>
              <w:t>FR</w:t>
            </w:r>
          </w:p>
        </w:tc>
        <w:tc>
          <w:tcPr>
            <w:tcW w:w="1222" w:type="dxa"/>
            <w:tcBorders>
              <w:top w:val="nil"/>
              <w:left w:val="nil"/>
              <w:bottom w:val="single" w:sz="4" w:space="0" w:color="auto"/>
              <w:right w:val="single" w:sz="4" w:space="0" w:color="auto"/>
            </w:tcBorders>
            <w:shd w:val="clear" w:color="000000" w:fill="D9D9D9"/>
            <w:noWrap/>
            <w:vAlign w:val="center"/>
            <w:hideMark/>
          </w:tcPr>
          <w:p w14:paraId="6349B25C" w14:textId="77777777" w:rsidR="006A00DF" w:rsidRPr="00A61E97" w:rsidRDefault="006A00DF" w:rsidP="007E7442">
            <w:pPr>
              <w:spacing w:after="0" w:line="480" w:lineRule="auto"/>
              <w:jc w:val="center"/>
              <w:rPr>
                <w:rFonts w:ascii="Calibri" w:eastAsia="Times New Roman" w:hAnsi="Calibri" w:cs="Times New Roman"/>
                <w:color w:val="FF0000"/>
                <w:lang w:eastAsia="en-GB"/>
              </w:rPr>
            </w:pPr>
            <w:r>
              <w:rPr>
                <w:rFonts w:ascii="Calibri" w:hAnsi="Calibri"/>
                <w:color w:val="FF0000"/>
              </w:rPr>
              <w:t>-150.0</w:t>
            </w:r>
          </w:p>
        </w:tc>
        <w:tc>
          <w:tcPr>
            <w:tcW w:w="947" w:type="dxa"/>
            <w:tcBorders>
              <w:top w:val="nil"/>
              <w:left w:val="nil"/>
              <w:bottom w:val="single" w:sz="4" w:space="0" w:color="auto"/>
              <w:right w:val="single" w:sz="4" w:space="0" w:color="auto"/>
            </w:tcBorders>
            <w:shd w:val="clear" w:color="000000" w:fill="D9D9D9"/>
            <w:noWrap/>
            <w:vAlign w:val="center"/>
            <w:hideMark/>
          </w:tcPr>
          <w:p w14:paraId="1D4C6E28" w14:textId="77777777" w:rsidR="006A00DF" w:rsidRPr="00A61E97" w:rsidRDefault="006A00DF" w:rsidP="007E7442">
            <w:pPr>
              <w:spacing w:after="0" w:line="480" w:lineRule="auto"/>
              <w:jc w:val="center"/>
              <w:rPr>
                <w:rFonts w:ascii="Calibri" w:eastAsia="Times New Roman" w:hAnsi="Calibri" w:cs="Times New Roman"/>
                <w:color w:val="000000"/>
                <w:lang w:eastAsia="en-GB"/>
              </w:rPr>
            </w:pPr>
            <w:r>
              <w:rPr>
                <w:rFonts w:ascii="Calibri" w:hAnsi="Calibri"/>
              </w:rPr>
              <w:t>18.5</w:t>
            </w:r>
          </w:p>
        </w:tc>
        <w:tc>
          <w:tcPr>
            <w:tcW w:w="1250" w:type="dxa"/>
            <w:tcBorders>
              <w:top w:val="nil"/>
              <w:left w:val="nil"/>
              <w:bottom w:val="single" w:sz="4" w:space="0" w:color="auto"/>
              <w:right w:val="single" w:sz="4" w:space="0" w:color="auto"/>
            </w:tcBorders>
            <w:shd w:val="clear" w:color="000000" w:fill="D9D9D9"/>
            <w:noWrap/>
            <w:vAlign w:val="center"/>
            <w:hideMark/>
          </w:tcPr>
          <w:p w14:paraId="182ABC3E" w14:textId="77777777" w:rsidR="006A00DF" w:rsidRPr="00A61E97" w:rsidRDefault="006A00DF" w:rsidP="007E7442">
            <w:pPr>
              <w:spacing w:after="0" w:line="480" w:lineRule="auto"/>
              <w:jc w:val="center"/>
              <w:rPr>
                <w:rFonts w:ascii="Calibri" w:eastAsia="Times New Roman" w:hAnsi="Calibri" w:cs="Times New Roman"/>
                <w:color w:val="000000"/>
                <w:lang w:eastAsia="en-GB"/>
              </w:rPr>
            </w:pPr>
            <w:r>
              <w:rPr>
                <w:rFonts w:ascii="Calibri" w:hAnsi="Calibri"/>
                <w:color w:val="FF0000"/>
              </w:rPr>
              <w:t>-114.5</w:t>
            </w:r>
          </w:p>
        </w:tc>
        <w:tc>
          <w:tcPr>
            <w:tcW w:w="1250" w:type="dxa"/>
            <w:tcBorders>
              <w:top w:val="nil"/>
              <w:left w:val="nil"/>
              <w:bottom w:val="single" w:sz="4" w:space="0" w:color="auto"/>
              <w:right w:val="single" w:sz="4" w:space="0" w:color="auto"/>
            </w:tcBorders>
            <w:shd w:val="clear" w:color="000000" w:fill="D9D9D9"/>
            <w:noWrap/>
            <w:vAlign w:val="center"/>
            <w:hideMark/>
          </w:tcPr>
          <w:p w14:paraId="3A84437B" w14:textId="77777777" w:rsidR="006A00DF" w:rsidRPr="00A61E97" w:rsidRDefault="006A00DF" w:rsidP="007E7442">
            <w:pPr>
              <w:spacing w:after="0" w:line="480" w:lineRule="auto"/>
              <w:jc w:val="center"/>
              <w:rPr>
                <w:rFonts w:ascii="Calibri" w:eastAsia="Times New Roman" w:hAnsi="Calibri" w:cs="Times New Roman"/>
                <w:color w:val="000000"/>
                <w:lang w:eastAsia="en-GB"/>
              </w:rPr>
            </w:pPr>
            <w:r>
              <w:rPr>
                <w:rFonts w:ascii="Calibri" w:hAnsi="Calibri"/>
                <w:color w:val="000000"/>
              </w:rPr>
              <w:t>13.8</w:t>
            </w:r>
          </w:p>
        </w:tc>
        <w:tc>
          <w:tcPr>
            <w:tcW w:w="2028" w:type="dxa"/>
            <w:tcBorders>
              <w:top w:val="nil"/>
              <w:left w:val="nil"/>
              <w:bottom w:val="single" w:sz="4" w:space="0" w:color="auto"/>
              <w:right w:val="single" w:sz="8" w:space="0" w:color="auto"/>
            </w:tcBorders>
            <w:shd w:val="clear" w:color="000000" w:fill="D9D9D9"/>
            <w:noWrap/>
            <w:vAlign w:val="center"/>
            <w:hideMark/>
          </w:tcPr>
          <w:p w14:paraId="7F1D9EEB" w14:textId="77777777" w:rsidR="006A00DF" w:rsidRPr="00A61E97" w:rsidRDefault="006A00DF" w:rsidP="007E7442">
            <w:pPr>
              <w:spacing w:after="0" w:line="480" w:lineRule="auto"/>
              <w:jc w:val="center"/>
              <w:rPr>
                <w:rFonts w:ascii="Calibri" w:eastAsia="Times New Roman" w:hAnsi="Calibri" w:cs="Times New Roman"/>
                <w:color w:val="000000"/>
                <w:lang w:eastAsia="en-GB"/>
              </w:rPr>
            </w:pPr>
            <w:r>
              <w:rPr>
                <w:rFonts w:ascii="Calibri" w:hAnsi="Calibri"/>
                <w:color w:val="000000"/>
              </w:rPr>
              <w:t>Dominates</w:t>
            </w:r>
          </w:p>
        </w:tc>
      </w:tr>
      <w:tr w:rsidR="006A00DF" w:rsidRPr="00A61E97" w14:paraId="22CFBF27" w14:textId="77777777" w:rsidTr="007E7442">
        <w:trPr>
          <w:trHeight w:val="300"/>
        </w:trPr>
        <w:tc>
          <w:tcPr>
            <w:tcW w:w="1418" w:type="dxa"/>
            <w:vMerge/>
            <w:tcBorders>
              <w:top w:val="nil"/>
              <w:left w:val="single" w:sz="4" w:space="0" w:color="auto"/>
              <w:bottom w:val="single" w:sz="4" w:space="0" w:color="auto"/>
              <w:right w:val="single" w:sz="4" w:space="0" w:color="auto"/>
            </w:tcBorders>
            <w:vAlign w:val="center"/>
            <w:hideMark/>
          </w:tcPr>
          <w:p w14:paraId="33A36C1C" w14:textId="77777777" w:rsidR="006A00DF" w:rsidRPr="00A61E97" w:rsidRDefault="006A00DF" w:rsidP="007E7442">
            <w:pPr>
              <w:spacing w:after="0" w:line="480" w:lineRule="auto"/>
              <w:rPr>
                <w:rFonts w:ascii="Calibri" w:eastAsia="Times New Roman" w:hAnsi="Calibri" w:cs="Times New Roman"/>
                <w:color w:val="000000"/>
                <w:lang w:eastAsia="en-GB"/>
              </w:rPr>
            </w:pPr>
          </w:p>
        </w:tc>
        <w:tc>
          <w:tcPr>
            <w:tcW w:w="1303" w:type="dxa"/>
            <w:tcBorders>
              <w:top w:val="nil"/>
              <w:left w:val="nil"/>
              <w:bottom w:val="single" w:sz="4" w:space="0" w:color="auto"/>
              <w:right w:val="single" w:sz="4" w:space="0" w:color="auto"/>
            </w:tcBorders>
            <w:shd w:val="clear" w:color="000000" w:fill="D9D9D9"/>
            <w:noWrap/>
            <w:vAlign w:val="center"/>
            <w:hideMark/>
          </w:tcPr>
          <w:p w14:paraId="1F774757" w14:textId="77777777" w:rsidR="006A00DF" w:rsidRPr="00A61E97" w:rsidRDefault="006A00DF" w:rsidP="007E7442">
            <w:pPr>
              <w:spacing w:after="0" w:line="480" w:lineRule="auto"/>
              <w:rPr>
                <w:rFonts w:ascii="Calibri" w:eastAsia="Times New Roman" w:hAnsi="Calibri" w:cs="Times New Roman"/>
                <w:color w:val="000000"/>
                <w:lang w:eastAsia="en-GB"/>
              </w:rPr>
            </w:pPr>
            <w:r>
              <w:rPr>
                <w:rFonts w:ascii="Calibri" w:hAnsi="Calibri"/>
                <w:color w:val="000000"/>
              </w:rPr>
              <w:t>TS+FR</w:t>
            </w:r>
          </w:p>
        </w:tc>
        <w:tc>
          <w:tcPr>
            <w:tcW w:w="1222" w:type="dxa"/>
            <w:tcBorders>
              <w:top w:val="nil"/>
              <w:left w:val="nil"/>
              <w:bottom w:val="single" w:sz="4" w:space="0" w:color="auto"/>
              <w:right w:val="single" w:sz="4" w:space="0" w:color="auto"/>
            </w:tcBorders>
            <w:shd w:val="clear" w:color="000000" w:fill="D9D9D9"/>
            <w:noWrap/>
            <w:vAlign w:val="center"/>
            <w:hideMark/>
          </w:tcPr>
          <w:p w14:paraId="3DF88DED" w14:textId="77777777" w:rsidR="006A00DF" w:rsidRPr="00A61E97" w:rsidRDefault="006A00DF" w:rsidP="007E7442">
            <w:pPr>
              <w:spacing w:after="0" w:line="480" w:lineRule="auto"/>
              <w:jc w:val="center"/>
              <w:rPr>
                <w:rFonts w:ascii="Calibri" w:eastAsia="Times New Roman" w:hAnsi="Calibri" w:cs="Times New Roman"/>
                <w:color w:val="FF0000"/>
                <w:lang w:eastAsia="en-GB"/>
              </w:rPr>
            </w:pPr>
            <w:r>
              <w:rPr>
                <w:rFonts w:ascii="Calibri" w:hAnsi="Calibri"/>
                <w:color w:val="FF0000"/>
              </w:rPr>
              <w:t>-145.1</w:t>
            </w:r>
          </w:p>
        </w:tc>
        <w:tc>
          <w:tcPr>
            <w:tcW w:w="947" w:type="dxa"/>
            <w:tcBorders>
              <w:top w:val="nil"/>
              <w:left w:val="nil"/>
              <w:bottom w:val="single" w:sz="4" w:space="0" w:color="auto"/>
              <w:right w:val="single" w:sz="4" w:space="0" w:color="auto"/>
            </w:tcBorders>
            <w:shd w:val="clear" w:color="000000" w:fill="D9D9D9"/>
            <w:noWrap/>
            <w:vAlign w:val="center"/>
            <w:hideMark/>
          </w:tcPr>
          <w:p w14:paraId="03699538" w14:textId="77777777" w:rsidR="006A00DF" w:rsidRPr="00A61E97" w:rsidRDefault="006A00DF" w:rsidP="007E7442">
            <w:pPr>
              <w:spacing w:after="0" w:line="480" w:lineRule="auto"/>
              <w:jc w:val="center"/>
              <w:rPr>
                <w:rFonts w:ascii="Calibri" w:eastAsia="Times New Roman" w:hAnsi="Calibri" w:cs="Times New Roman"/>
                <w:color w:val="000000"/>
                <w:lang w:eastAsia="en-GB"/>
              </w:rPr>
            </w:pPr>
            <w:r>
              <w:rPr>
                <w:rFonts w:ascii="Calibri" w:hAnsi="Calibri"/>
              </w:rPr>
              <w:t>20.0</w:t>
            </w:r>
          </w:p>
        </w:tc>
        <w:tc>
          <w:tcPr>
            <w:tcW w:w="1250" w:type="dxa"/>
            <w:tcBorders>
              <w:top w:val="nil"/>
              <w:left w:val="nil"/>
              <w:bottom w:val="single" w:sz="4" w:space="0" w:color="auto"/>
              <w:right w:val="single" w:sz="4" w:space="0" w:color="auto"/>
            </w:tcBorders>
            <w:shd w:val="clear" w:color="000000" w:fill="D9D9D9"/>
            <w:noWrap/>
            <w:vAlign w:val="center"/>
            <w:hideMark/>
          </w:tcPr>
          <w:p w14:paraId="048E29D6" w14:textId="77777777" w:rsidR="006A00DF" w:rsidRPr="00A61E97" w:rsidRDefault="006A00DF" w:rsidP="007E7442">
            <w:pPr>
              <w:spacing w:after="0" w:line="480" w:lineRule="auto"/>
              <w:jc w:val="center"/>
              <w:rPr>
                <w:rFonts w:ascii="Calibri" w:eastAsia="Times New Roman" w:hAnsi="Calibri" w:cs="Times New Roman"/>
                <w:color w:val="000000"/>
                <w:lang w:eastAsia="en-GB"/>
              </w:rPr>
            </w:pPr>
            <w:r>
              <w:rPr>
                <w:rFonts w:ascii="Calibri" w:hAnsi="Calibri"/>
                <w:color w:val="000000"/>
              </w:rPr>
              <w:t>4.8</w:t>
            </w:r>
          </w:p>
        </w:tc>
        <w:tc>
          <w:tcPr>
            <w:tcW w:w="1250" w:type="dxa"/>
            <w:tcBorders>
              <w:top w:val="nil"/>
              <w:left w:val="nil"/>
              <w:bottom w:val="single" w:sz="4" w:space="0" w:color="auto"/>
              <w:right w:val="single" w:sz="4" w:space="0" w:color="auto"/>
            </w:tcBorders>
            <w:shd w:val="clear" w:color="000000" w:fill="D9D9D9"/>
            <w:noWrap/>
            <w:vAlign w:val="center"/>
            <w:hideMark/>
          </w:tcPr>
          <w:p w14:paraId="5CE7BBD3" w14:textId="77777777" w:rsidR="006A00DF" w:rsidRPr="00A61E97" w:rsidRDefault="006A00DF" w:rsidP="007E7442">
            <w:pPr>
              <w:spacing w:after="0" w:line="480" w:lineRule="auto"/>
              <w:jc w:val="center"/>
              <w:rPr>
                <w:rFonts w:ascii="Calibri" w:eastAsia="Times New Roman" w:hAnsi="Calibri" w:cs="Times New Roman"/>
                <w:color w:val="000000"/>
                <w:lang w:eastAsia="en-GB"/>
              </w:rPr>
            </w:pPr>
            <w:r>
              <w:rPr>
                <w:rFonts w:ascii="Calibri" w:hAnsi="Calibri"/>
                <w:color w:val="000000"/>
              </w:rPr>
              <w:t>1.5</w:t>
            </w:r>
          </w:p>
        </w:tc>
        <w:tc>
          <w:tcPr>
            <w:tcW w:w="2028" w:type="dxa"/>
            <w:tcBorders>
              <w:top w:val="nil"/>
              <w:left w:val="nil"/>
              <w:bottom w:val="single" w:sz="4" w:space="0" w:color="auto"/>
              <w:right w:val="single" w:sz="8" w:space="0" w:color="auto"/>
            </w:tcBorders>
            <w:shd w:val="clear" w:color="000000" w:fill="D9D9D9"/>
            <w:noWrap/>
            <w:vAlign w:val="center"/>
            <w:hideMark/>
          </w:tcPr>
          <w:p w14:paraId="411D79A0" w14:textId="77777777" w:rsidR="006A00DF" w:rsidRPr="00A61E97" w:rsidRDefault="006A00DF" w:rsidP="007E7442">
            <w:pPr>
              <w:spacing w:after="0" w:line="480" w:lineRule="auto"/>
              <w:jc w:val="center"/>
              <w:rPr>
                <w:rFonts w:ascii="Calibri" w:eastAsia="Times New Roman" w:hAnsi="Calibri" w:cs="Times New Roman"/>
                <w:color w:val="000000"/>
                <w:lang w:eastAsia="en-GB"/>
              </w:rPr>
            </w:pPr>
            <w:r>
              <w:rPr>
                <w:rFonts w:ascii="Calibri" w:hAnsi="Calibri"/>
                <w:color w:val="000000"/>
                <w:sz w:val="20"/>
                <w:szCs w:val="20"/>
              </w:rPr>
              <w:t>€ 3,257</w:t>
            </w:r>
          </w:p>
        </w:tc>
      </w:tr>
      <w:tr w:rsidR="006A00DF" w:rsidRPr="00A61E97" w14:paraId="261B0422" w14:textId="77777777" w:rsidTr="007E7442">
        <w:trPr>
          <w:trHeight w:val="300"/>
        </w:trPr>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E4EE59" w14:textId="77777777" w:rsidR="006A00DF" w:rsidRPr="00A61E97" w:rsidRDefault="006A00DF" w:rsidP="007E7442">
            <w:pPr>
              <w:spacing w:after="0" w:line="480" w:lineRule="auto"/>
              <w:jc w:val="center"/>
              <w:rPr>
                <w:rFonts w:ascii="Calibri" w:eastAsia="Times New Roman" w:hAnsi="Calibri" w:cs="Times New Roman"/>
                <w:color w:val="000000"/>
                <w:lang w:eastAsia="en-GB"/>
              </w:rPr>
            </w:pPr>
            <w:r w:rsidRPr="00A61E97">
              <w:rPr>
                <w:rFonts w:ascii="Calibri" w:eastAsia="Times New Roman" w:hAnsi="Calibri" w:cs="Times New Roman"/>
                <w:color w:val="000000"/>
                <w:lang w:eastAsia="en-GB"/>
              </w:rPr>
              <w:t>Netherlands</w:t>
            </w:r>
          </w:p>
        </w:tc>
        <w:tc>
          <w:tcPr>
            <w:tcW w:w="1303" w:type="dxa"/>
            <w:tcBorders>
              <w:top w:val="nil"/>
              <w:left w:val="nil"/>
              <w:bottom w:val="single" w:sz="4" w:space="0" w:color="auto"/>
              <w:right w:val="single" w:sz="4" w:space="0" w:color="auto"/>
            </w:tcBorders>
            <w:shd w:val="clear" w:color="auto" w:fill="auto"/>
            <w:noWrap/>
            <w:vAlign w:val="center"/>
            <w:hideMark/>
          </w:tcPr>
          <w:p w14:paraId="67988221" w14:textId="77777777" w:rsidR="006A00DF" w:rsidRPr="00A61E97" w:rsidRDefault="006A00DF" w:rsidP="007E7442">
            <w:pPr>
              <w:spacing w:after="0" w:line="480" w:lineRule="auto"/>
              <w:rPr>
                <w:rFonts w:ascii="Calibri" w:eastAsia="Times New Roman" w:hAnsi="Calibri" w:cs="Times New Roman"/>
                <w:color w:val="000000"/>
                <w:lang w:eastAsia="en-GB"/>
              </w:rPr>
            </w:pPr>
            <w:r>
              <w:rPr>
                <w:rFonts w:ascii="Calibri" w:hAnsi="Calibri"/>
                <w:color w:val="000000"/>
              </w:rPr>
              <w:t>Control</w:t>
            </w:r>
          </w:p>
        </w:tc>
        <w:tc>
          <w:tcPr>
            <w:tcW w:w="1222" w:type="dxa"/>
            <w:tcBorders>
              <w:top w:val="nil"/>
              <w:left w:val="nil"/>
              <w:bottom w:val="single" w:sz="4" w:space="0" w:color="auto"/>
              <w:right w:val="single" w:sz="4" w:space="0" w:color="auto"/>
            </w:tcBorders>
            <w:shd w:val="clear" w:color="auto" w:fill="auto"/>
            <w:noWrap/>
            <w:vAlign w:val="center"/>
            <w:hideMark/>
          </w:tcPr>
          <w:p w14:paraId="60C515DC" w14:textId="77777777" w:rsidR="006A00DF" w:rsidRPr="00A61E97" w:rsidRDefault="006A00DF" w:rsidP="007E7442">
            <w:pPr>
              <w:spacing w:after="0" w:line="480" w:lineRule="auto"/>
              <w:jc w:val="center"/>
              <w:rPr>
                <w:rFonts w:ascii="Calibri" w:eastAsia="Times New Roman" w:hAnsi="Calibri" w:cs="Times New Roman"/>
                <w:color w:val="FF0000"/>
                <w:lang w:eastAsia="en-GB"/>
              </w:rPr>
            </w:pPr>
            <w:r>
              <w:rPr>
                <w:rFonts w:ascii="Calibri" w:hAnsi="Calibri"/>
                <w:color w:val="FF0000"/>
              </w:rPr>
              <w:t>-4.0</w:t>
            </w:r>
          </w:p>
        </w:tc>
        <w:tc>
          <w:tcPr>
            <w:tcW w:w="947" w:type="dxa"/>
            <w:tcBorders>
              <w:top w:val="nil"/>
              <w:left w:val="nil"/>
              <w:bottom w:val="single" w:sz="4" w:space="0" w:color="auto"/>
              <w:right w:val="single" w:sz="4" w:space="0" w:color="auto"/>
            </w:tcBorders>
            <w:shd w:val="clear" w:color="auto" w:fill="auto"/>
            <w:noWrap/>
            <w:vAlign w:val="center"/>
            <w:hideMark/>
          </w:tcPr>
          <w:p w14:paraId="03E48C04" w14:textId="77777777" w:rsidR="006A00DF" w:rsidRPr="00A61E97" w:rsidRDefault="006A00DF" w:rsidP="007E7442">
            <w:pPr>
              <w:spacing w:after="0" w:line="480" w:lineRule="auto"/>
              <w:jc w:val="center"/>
              <w:rPr>
                <w:rFonts w:ascii="Calibri" w:eastAsia="Times New Roman" w:hAnsi="Calibri" w:cs="Times New Roman"/>
                <w:color w:val="000000"/>
                <w:lang w:eastAsia="en-GB"/>
              </w:rPr>
            </w:pPr>
            <w:r>
              <w:rPr>
                <w:rFonts w:ascii="Calibri" w:hAnsi="Calibri"/>
                <w:color w:val="000000"/>
              </w:rPr>
              <w:t>1.0</w:t>
            </w:r>
          </w:p>
        </w:tc>
        <w:tc>
          <w:tcPr>
            <w:tcW w:w="4528" w:type="dxa"/>
            <w:gridSpan w:val="3"/>
            <w:tcBorders>
              <w:top w:val="single" w:sz="4" w:space="0" w:color="auto"/>
              <w:left w:val="nil"/>
              <w:bottom w:val="single" w:sz="4" w:space="0" w:color="auto"/>
              <w:right w:val="single" w:sz="4" w:space="0" w:color="000000"/>
            </w:tcBorders>
            <w:shd w:val="clear" w:color="000000" w:fill="000000"/>
            <w:noWrap/>
            <w:vAlign w:val="bottom"/>
            <w:hideMark/>
          </w:tcPr>
          <w:p w14:paraId="71DC28ED" w14:textId="77777777" w:rsidR="006A00DF" w:rsidRPr="00A61E97" w:rsidRDefault="006A00DF" w:rsidP="007E7442">
            <w:pPr>
              <w:spacing w:after="0" w:line="480" w:lineRule="auto"/>
              <w:jc w:val="center"/>
              <w:rPr>
                <w:rFonts w:ascii="Calibri" w:eastAsia="Times New Roman" w:hAnsi="Calibri" w:cs="Times New Roman"/>
                <w:color w:val="000000"/>
                <w:lang w:eastAsia="en-GB"/>
              </w:rPr>
            </w:pPr>
            <w:r w:rsidRPr="00A61E97">
              <w:rPr>
                <w:rFonts w:ascii="Calibri" w:eastAsia="Times New Roman" w:hAnsi="Calibri" w:cs="Times New Roman"/>
                <w:color w:val="000000"/>
                <w:lang w:eastAsia="en-GB"/>
              </w:rPr>
              <w:t> </w:t>
            </w:r>
          </w:p>
        </w:tc>
      </w:tr>
      <w:tr w:rsidR="006A00DF" w:rsidRPr="00A61E97" w14:paraId="227EB395" w14:textId="77777777" w:rsidTr="007E7442">
        <w:trPr>
          <w:trHeight w:val="300"/>
        </w:trPr>
        <w:tc>
          <w:tcPr>
            <w:tcW w:w="1418" w:type="dxa"/>
            <w:vMerge/>
            <w:tcBorders>
              <w:top w:val="nil"/>
              <w:left w:val="single" w:sz="4" w:space="0" w:color="auto"/>
              <w:bottom w:val="single" w:sz="4" w:space="0" w:color="auto"/>
              <w:right w:val="single" w:sz="4" w:space="0" w:color="auto"/>
            </w:tcBorders>
            <w:vAlign w:val="center"/>
            <w:hideMark/>
          </w:tcPr>
          <w:p w14:paraId="757A65E3" w14:textId="77777777" w:rsidR="006A00DF" w:rsidRPr="00A61E97" w:rsidRDefault="006A00DF" w:rsidP="007E7442">
            <w:pPr>
              <w:spacing w:after="0" w:line="480" w:lineRule="auto"/>
              <w:rPr>
                <w:rFonts w:ascii="Calibri" w:eastAsia="Times New Roman" w:hAnsi="Calibri" w:cs="Times New Roman"/>
                <w:color w:val="000000"/>
                <w:lang w:eastAsia="en-GB"/>
              </w:rPr>
            </w:pPr>
          </w:p>
        </w:tc>
        <w:tc>
          <w:tcPr>
            <w:tcW w:w="1303" w:type="dxa"/>
            <w:tcBorders>
              <w:top w:val="nil"/>
              <w:left w:val="nil"/>
              <w:bottom w:val="single" w:sz="4" w:space="0" w:color="auto"/>
              <w:right w:val="single" w:sz="4" w:space="0" w:color="auto"/>
            </w:tcBorders>
            <w:shd w:val="clear" w:color="auto" w:fill="auto"/>
            <w:noWrap/>
            <w:vAlign w:val="center"/>
            <w:hideMark/>
          </w:tcPr>
          <w:p w14:paraId="73A3B7FD" w14:textId="77777777" w:rsidR="006A00DF" w:rsidRPr="00A61E97" w:rsidRDefault="006A00DF" w:rsidP="007E7442">
            <w:pPr>
              <w:spacing w:after="0" w:line="480" w:lineRule="auto"/>
              <w:rPr>
                <w:rFonts w:ascii="Calibri" w:eastAsia="Times New Roman" w:hAnsi="Calibri" w:cs="Times New Roman"/>
                <w:color w:val="000000"/>
                <w:lang w:eastAsia="en-GB"/>
              </w:rPr>
            </w:pPr>
            <w:r>
              <w:rPr>
                <w:rFonts w:ascii="Calibri" w:hAnsi="Calibri"/>
                <w:color w:val="000000"/>
              </w:rPr>
              <w:t>FR</w:t>
            </w:r>
          </w:p>
        </w:tc>
        <w:tc>
          <w:tcPr>
            <w:tcW w:w="1222" w:type="dxa"/>
            <w:tcBorders>
              <w:top w:val="nil"/>
              <w:left w:val="nil"/>
              <w:bottom w:val="single" w:sz="4" w:space="0" w:color="auto"/>
              <w:right w:val="single" w:sz="4" w:space="0" w:color="auto"/>
            </w:tcBorders>
            <w:shd w:val="clear" w:color="auto" w:fill="auto"/>
            <w:noWrap/>
            <w:vAlign w:val="center"/>
            <w:hideMark/>
          </w:tcPr>
          <w:p w14:paraId="6AD64EEE" w14:textId="77777777" w:rsidR="006A00DF" w:rsidRPr="00A61E97" w:rsidRDefault="006A00DF" w:rsidP="007E7442">
            <w:pPr>
              <w:spacing w:after="0" w:line="480" w:lineRule="auto"/>
              <w:jc w:val="center"/>
              <w:rPr>
                <w:rFonts w:ascii="Calibri" w:eastAsia="Times New Roman" w:hAnsi="Calibri" w:cs="Times New Roman"/>
                <w:color w:val="FF0000"/>
                <w:lang w:eastAsia="en-GB"/>
              </w:rPr>
            </w:pPr>
            <w:r>
              <w:rPr>
                <w:rFonts w:ascii="Calibri" w:hAnsi="Calibri"/>
                <w:color w:val="FF0000"/>
              </w:rPr>
              <w:t>-7.8</w:t>
            </w:r>
          </w:p>
        </w:tc>
        <w:tc>
          <w:tcPr>
            <w:tcW w:w="947" w:type="dxa"/>
            <w:tcBorders>
              <w:top w:val="nil"/>
              <w:left w:val="nil"/>
              <w:bottom w:val="single" w:sz="4" w:space="0" w:color="auto"/>
              <w:right w:val="single" w:sz="4" w:space="0" w:color="auto"/>
            </w:tcBorders>
            <w:shd w:val="clear" w:color="auto" w:fill="auto"/>
            <w:noWrap/>
            <w:vAlign w:val="center"/>
            <w:hideMark/>
          </w:tcPr>
          <w:p w14:paraId="3A9F0190" w14:textId="77777777" w:rsidR="006A00DF" w:rsidRPr="00A61E97" w:rsidRDefault="006A00DF" w:rsidP="007E7442">
            <w:pPr>
              <w:spacing w:after="0" w:line="480" w:lineRule="auto"/>
              <w:jc w:val="center"/>
              <w:rPr>
                <w:rFonts w:ascii="Calibri" w:eastAsia="Times New Roman" w:hAnsi="Calibri" w:cs="Times New Roman"/>
                <w:color w:val="000000"/>
                <w:lang w:eastAsia="en-GB"/>
              </w:rPr>
            </w:pPr>
            <w:r>
              <w:rPr>
                <w:rFonts w:ascii="Calibri" w:hAnsi="Calibri"/>
                <w:color w:val="000000"/>
              </w:rPr>
              <w:t>2.3</w:t>
            </w:r>
          </w:p>
        </w:tc>
        <w:tc>
          <w:tcPr>
            <w:tcW w:w="1250" w:type="dxa"/>
            <w:tcBorders>
              <w:top w:val="nil"/>
              <w:left w:val="nil"/>
              <w:bottom w:val="single" w:sz="4" w:space="0" w:color="auto"/>
              <w:right w:val="single" w:sz="4" w:space="0" w:color="auto"/>
            </w:tcBorders>
            <w:shd w:val="clear" w:color="auto" w:fill="auto"/>
            <w:noWrap/>
            <w:vAlign w:val="center"/>
            <w:hideMark/>
          </w:tcPr>
          <w:p w14:paraId="010BC9F5" w14:textId="77777777" w:rsidR="006A00DF" w:rsidRPr="00A61E97" w:rsidRDefault="006A00DF" w:rsidP="007E7442">
            <w:pPr>
              <w:spacing w:after="0" w:line="480" w:lineRule="auto"/>
              <w:jc w:val="center"/>
              <w:rPr>
                <w:rFonts w:ascii="Calibri" w:eastAsia="Times New Roman" w:hAnsi="Calibri" w:cs="Times New Roman"/>
                <w:color w:val="000000"/>
                <w:lang w:eastAsia="en-GB"/>
              </w:rPr>
            </w:pPr>
            <w:r>
              <w:rPr>
                <w:rFonts w:ascii="Calibri" w:hAnsi="Calibri"/>
                <w:color w:val="FF0000"/>
              </w:rPr>
              <w:t>-3.9</w:t>
            </w:r>
          </w:p>
        </w:tc>
        <w:tc>
          <w:tcPr>
            <w:tcW w:w="1250" w:type="dxa"/>
            <w:tcBorders>
              <w:top w:val="nil"/>
              <w:left w:val="nil"/>
              <w:bottom w:val="single" w:sz="4" w:space="0" w:color="auto"/>
              <w:right w:val="single" w:sz="4" w:space="0" w:color="auto"/>
            </w:tcBorders>
            <w:shd w:val="clear" w:color="auto" w:fill="auto"/>
            <w:noWrap/>
            <w:vAlign w:val="center"/>
            <w:hideMark/>
          </w:tcPr>
          <w:p w14:paraId="3C4F6AE9" w14:textId="77777777" w:rsidR="006A00DF" w:rsidRPr="00A61E97" w:rsidRDefault="006A00DF" w:rsidP="007E7442">
            <w:pPr>
              <w:spacing w:after="0" w:line="480" w:lineRule="auto"/>
              <w:jc w:val="center"/>
              <w:rPr>
                <w:rFonts w:ascii="Calibri" w:eastAsia="Times New Roman" w:hAnsi="Calibri" w:cs="Times New Roman"/>
                <w:color w:val="000000"/>
                <w:lang w:eastAsia="en-GB"/>
              </w:rPr>
            </w:pPr>
            <w:r>
              <w:rPr>
                <w:rFonts w:ascii="Calibri" w:hAnsi="Calibri"/>
                <w:color w:val="000000"/>
              </w:rPr>
              <w:t>1.3</w:t>
            </w:r>
          </w:p>
        </w:tc>
        <w:tc>
          <w:tcPr>
            <w:tcW w:w="2028" w:type="dxa"/>
            <w:tcBorders>
              <w:top w:val="nil"/>
              <w:left w:val="nil"/>
              <w:bottom w:val="single" w:sz="4" w:space="0" w:color="auto"/>
              <w:right w:val="single" w:sz="8" w:space="0" w:color="auto"/>
            </w:tcBorders>
            <w:shd w:val="clear" w:color="auto" w:fill="auto"/>
            <w:noWrap/>
            <w:vAlign w:val="center"/>
            <w:hideMark/>
          </w:tcPr>
          <w:p w14:paraId="4DC53B3F" w14:textId="77777777" w:rsidR="006A00DF" w:rsidRPr="00A61E97" w:rsidRDefault="006A00DF" w:rsidP="007E7442">
            <w:pPr>
              <w:spacing w:after="0" w:line="480" w:lineRule="auto"/>
              <w:jc w:val="center"/>
              <w:rPr>
                <w:rFonts w:ascii="Calibri" w:eastAsia="Times New Roman" w:hAnsi="Calibri" w:cs="Times New Roman"/>
                <w:color w:val="000000"/>
                <w:lang w:eastAsia="en-GB"/>
              </w:rPr>
            </w:pPr>
            <w:r>
              <w:rPr>
                <w:rFonts w:ascii="Calibri" w:hAnsi="Calibri"/>
                <w:color w:val="000000"/>
              </w:rPr>
              <w:t>Dominates</w:t>
            </w:r>
          </w:p>
        </w:tc>
      </w:tr>
      <w:tr w:rsidR="006A00DF" w:rsidRPr="00A61E97" w14:paraId="1EC129E3" w14:textId="77777777" w:rsidTr="007E7442">
        <w:trPr>
          <w:trHeight w:val="300"/>
        </w:trPr>
        <w:tc>
          <w:tcPr>
            <w:tcW w:w="1418" w:type="dxa"/>
            <w:vMerge/>
            <w:tcBorders>
              <w:top w:val="nil"/>
              <w:left w:val="single" w:sz="4" w:space="0" w:color="auto"/>
              <w:bottom w:val="single" w:sz="4" w:space="0" w:color="auto"/>
              <w:right w:val="single" w:sz="4" w:space="0" w:color="auto"/>
            </w:tcBorders>
            <w:vAlign w:val="center"/>
            <w:hideMark/>
          </w:tcPr>
          <w:p w14:paraId="71BC30D8" w14:textId="77777777" w:rsidR="006A00DF" w:rsidRPr="00A61E97" w:rsidRDefault="006A00DF" w:rsidP="007E7442">
            <w:pPr>
              <w:spacing w:after="0" w:line="480" w:lineRule="auto"/>
              <w:rPr>
                <w:rFonts w:ascii="Calibri" w:eastAsia="Times New Roman" w:hAnsi="Calibri" w:cs="Times New Roman"/>
                <w:color w:val="000000"/>
                <w:lang w:eastAsia="en-GB"/>
              </w:rPr>
            </w:pPr>
          </w:p>
        </w:tc>
        <w:tc>
          <w:tcPr>
            <w:tcW w:w="1303" w:type="dxa"/>
            <w:tcBorders>
              <w:top w:val="nil"/>
              <w:left w:val="nil"/>
              <w:bottom w:val="single" w:sz="4" w:space="0" w:color="auto"/>
              <w:right w:val="single" w:sz="4" w:space="0" w:color="auto"/>
            </w:tcBorders>
            <w:shd w:val="clear" w:color="auto" w:fill="auto"/>
            <w:noWrap/>
            <w:vAlign w:val="center"/>
            <w:hideMark/>
          </w:tcPr>
          <w:p w14:paraId="5BAAC6E1" w14:textId="77777777" w:rsidR="006A00DF" w:rsidRPr="00A61E97" w:rsidRDefault="006A00DF" w:rsidP="007E7442">
            <w:pPr>
              <w:spacing w:after="0" w:line="480" w:lineRule="auto"/>
              <w:rPr>
                <w:rFonts w:ascii="Calibri" w:eastAsia="Times New Roman" w:hAnsi="Calibri" w:cs="Times New Roman"/>
                <w:color w:val="000000"/>
                <w:lang w:eastAsia="en-GB"/>
              </w:rPr>
            </w:pPr>
            <w:r>
              <w:rPr>
                <w:rFonts w:ascii="Calibri" w:hAnsi="Calibri"/>
                <w:color w:val="000000"/>
              </w:rPr>
              <w:t>TS+FR</w:t>
            </w:r>
          </w:p>
        </w:tc>
        <w:tc>
          <w:tcPr>
            <w:tcW w:w="1222" w:type="dxa"/>
            <w:tcBorders>
              <w:top w:val="nil"/>
              <w:left w:val="nil"/>
              <w:bottom w:val="single" w:sz="4" w:space="0" w:color="auto"/>
              <w:right w:val="single" w:sz="4" w:space="0" w:color="auto"/>
            </w:tcBorders>
            <w:shd w:val="clear" w:color="auto" w:fill="auto"/>
            <w:noWrap/>
            <w:vAlign w:val="center"/>
            <w:hideMark/>
          </w:tcPr>
          <w:p w14:paraId="419C7BAE" w14:textId="77777777" w:rsidR="006A00DF" w:rsidRPr="00A61E97" w:rsidRDefault="006A00DF" w:rsidP="007E7442">
            <w:pPr>
              <w:spacing w:after="0" w:line="480" w:lineRule="auto"/>
              <w:jc w:val="center"/>
              <w:rPr>
                <w:rFonts w:ascii="Calibri" w:eastAsia="Times New Roman" w:hAnsi="Calibri" w:cs="Times New Roman"/>
                <w:color w:val="FF0000"/>
                <w:lang w:eastAsia="en-GB"/>
              </w:rPr>
            </w:pPr>
            <w:r>
              <w:rPr>
                <w:rFonts w:ascii="Calibri" w:hAnsi="Calibri"/>
                <w:color w:val="FF0000"/>
              </w:rPr>
              <w:t>-3.4</w:t>
            </w:r>
          </w:p>
        </w:tc>
        <w:tc>
          <w:tcPr>
            <w:tcW w:w="947" w:type="dxa"/>
            <w:tcBorders>
              <w:top w:val="nil"/>
              <w:left w:val="nil"/>
              <w:bottom w:val="single" w:sz="4" w:space="0" w:color="auto"/>
              <w:right w:val="single" w:sz="4" w:space="0" w:color="auto"/>
            </w:tcBorders>
            <w:shd w:val="clear" w:color="auto" w:fill="auto"/>
            <w:noWrap/>
            <w:vAlign w:val="center"/>
            <w:hideMark/>
          </w:tcPr>
          <w:p w14:paraId="2B41A92A" w14:textId="77777777" w:rsidR="006A00DF" w:rsidRPr="00A61E97" w:rsidRDefault="006A00DF" w:rsidP="007E7442">
            <w:pPr>
              <w:spacing w:after="0" w:line="480" w:lineRule="auto"/>
              <w:jc w:val="center"/>
              <w:rPr>
                <w:rFonts w:ascii="Calibri" w:eastAsia="Times New Roman" w:hAnsi="Calibri" w:cs="Times New Roman"/>
                <w:color w:val="000000"/>
                <w:lang w:eastAsia="en-GB"/>
              </w:rPr>
            </w:pPr>
            <w:r>
              <w:rPr>
                <w:rFonts w:ascii="Calibri" w:hAnsi="Calibri"/>
                <w:color w:val="000000"/>
              </w:rPr>
              <w:t>3.4</w:t>
            </w:r>
          </w:p>
        </w:tc>
        <w:tc>
          <w:tcPr>
            <w:tcW w:w="1250" w:type="dxa"/>
            <w:tcBorders>
              <w:top w:val="nil"/>
              <w:left w:val="nil"/>
              <w:bottom w:val="single" w:sz="4" w:space="0" w:color="auto"/>
              <w:right w:val="single" w:sz="4" w:space="0" w:color="auto"/>
            </w:tcBorders>
            <w:shd w:val="clear" w:color="auto" w:fill="auto"/>
            <w:noWrap/>
            <w:vAlign w:val="center"/>
            <w:hideMark/>
          </w:tcPr>
          <w:p w14:paraId="110379C4" w14:textId="77777777" w:rsidR="006A00DF" w:rsidRPr="00A61E97" w:rsidRDefault="006A00DF" w:rsidP="007E7442">
            <w:pPr>
              <w:spacing w:after="0" w:line="480" w:lineRule="auto"/>
              <w:jc w:val="center"/>
              <w:rPr>
                <w:rFonts w:ascii="Calibri" w:eastAsia="Times New Roman" w:hAnsi="Calibri" w:cs="Times New Roman"/>
                <w:color w:val="000000"/>
                <w:lang w:eastAsia="en-GB"/>
              </w:rPr>
            </w:pPr>
            <w:r>
              <w:rPr>
                <w:rFonts w:ascii="Calibri" w:hAnsi="Calibri"/>
                <w:color w:val="000000"/>
              </w:rPr>
              <w:t>4.5</w:t>
            </w:r>
          </w:p>
        </w:tc>
        <w:tc>
          <w:tcPr>
            <w:tcW w:w="1250" w:type="dxa"/>
            <w:tcBorders>
              <w:top w:val="nil"/>
              <w:left w:val="nil"/>
              <w:bottom w:val="single" w:sz="4" w:space="0" w:color="auto"/>
              <w:right w:val="single" w:sz="4" w:space="0" w:color="auto"/>
            </w:tcBorders>
            <w:shd w:val="clear" w:color="auto" w:fill="auto"/>
            <w:noWrap/>
            <w:vAlign w:val="center"/>
            <w:hideMark/>
          </w:tcPr>
          <w:p w14:paraId="4D630EF2" w14:textId="77777777" w:rsidR="006A00DF" w:rsidRPr="00A61E97" w:rsidRDefault="006A00DF" w:rsidP="007E7442">
            <w:pPr>
              <w:spacing w:after="0" w:line="480" w:lineRule="auto"/>
              <w:jc w:val="center"/>
              <w:rPr>
                <w:rFonts w:ascii="Calibri" w:eastAsia="Times New Roman" w:hAnsi="Calibri" w:cs="Times New Roman"/>
                <w:color w:val="000000"/>
                <w:lang w:eastAsia="en-GB"/>
              </w:rPr>
            </w:pPr>
            <w:r>
              <w:rPr>
                <w:rFonts w:ascii="Calibri" w:hAnsi="Calibri"/>
                <w:color w:val="000000"/>
              </w:rPr>
              <w:t>1.1</w:t>
            </w:r>
          </w:p>
        </w:tc>
        <w:tc>
          <w:tcPr>
            <w:tcW w:w="2028" w:type="dxa"/>
            <w:tcBorders>
              <w:top w:val="nil"/>
              <w:left w:val="nil"/>
              <w:bottom w:val="single" w:sz="4" w:space="0" w:color="auto"/>
              <w:right w:val="single" w:sz="8" w:space="0" w:color="auto"/>
            </w:tcBorders>
            <w:shd w:val="clear" w:color="auto" w:fill="auto"/>
            <w:noWrap/>
            <w:vAlign w:val="center"/>
            <w:hideMark/>
          </w:tcPr>
          <w:p w14:paraId="6C414356" w14:textId="77777777" w:rsidR="006A00DF" w:rsidRPr="00A61E97" w:rsidRDefault="006A00DF" w:rsidP="007E7442">
            <w:pPr>
              <w:spacing w:after="0" w:line="480" w:lineRule="auto"/>
              <w:jc w:val="center"/>
              <w:rPr>
                <w:rFonts w:ascii="Calibri" w:eastAsia="Times New Roman" w:hAnsi="Calibri" w:cs="Times New Roman"/>
                <w:color w:val="000000"/>
                <w:lang w:eastAsia="en-GB"/>
              </w:rPr>
            </w:pPr>
            <w:r>
              <w:rPr>
                <w:rFonts w:ascii="Calibri" w:hAnsi="Calibri"/>
                <w:color w:val="000000"/>
                <w:sz w:val="20"/>
                <w:szCs w:val="20"/>
              </w:rPr>
              <w:t>€ 3,953</w:t>
            </w:r>
          </w:p>
        </w:tc>
      </w:tr>
      <w:tr w:rsidR="006A00DF" w:rsidRPr="00A61E97" w14:paraId="37E96147" w14:textId="77777777" w:rsidTr="007E7442">
        <w:trPr>
          <w:trHeight w:val="300"/>
        </w:trPr>
        <w:tc>
          <w:tcPr>
            <w:tcW w:w="1418" w:type="dxa"/>
            <w:vMerge w:val="restart"/>
            <w:tcBorders>
              <w:top w:val="nil"/>
              <w:left w:val="single" w:sz="4" w:space="0" w:color="auto"/>
              <w:right w:val="single" w:sz="4" w:space="0" w:color="auto"/>
            </w:tcBorders>
            <w:shd w:val="clear" w:color="000000" w:fill="D9D9D9"/>
            <w:noWrap/>
            <w:vAlign w:val="center"/>
            <w:hideMark/>
          </w:tcPr>
          <w:p w14:paraId="7370B5D0" w14:textId="77777777" w:rsidR="006A00DF" w:rsidRPr="00A61E97" w:rsidRDefault="006A00DF" w:rsidP="007E7442">
            <w:pPr>
              <w:spacing w:after="0" w:line="480" w:lineRule="auto"/>
              <w:jc w:val="center"/>
              <w:rPr>
                <w:rFonts w:ascii="Calibri" w:eastAsia="Times New Roman" w:hAnsi="Calibri" w:cs="Times New Roman"/>
                <w:color w:val="000000"/>
                <w:lang w:eastAsia="en-GB"/>
              </w:rPr>
            </w:pPr>
            <w:r w:rsidRPr="00A61E97">
              <w:rPr>
                <w:rFonts w:ascii="Calibri" w:eastAsia="Times New Roman" w:hAnsi="Calibri" w:cs="Times New Roman"/>
                <w:color w:val="000000"/>
                <w:lang w:eastAsia="en-GB"/>
              </w:rPr>
              <w:t>Poland</w:t>
            </w:r>
          </w:p>
        </w:tc>
        <w:tc>
          <w:tcPr>
            <w:tcW w:w="1303" w:type="dxa"/>
            <w:tcBorders>
              <w:top w:val="nil"/>
              <w:left w:val="nil"/>
              <w:bottom w:val="single" w:sz="4" w:space="0" w:color="auto"/>
              <w:right w:val="single" w:sz="4" w:space="0" w:color="auto"/>
            </w:tcBorders>
            <w:shd w:val="clear" w:color="000000" w:fill="D9D9D9"/>
            <w:noWrap/>
            <w:vAlign w:val="center"/>
            <w:hideMark/>
          </w:tcPr>
          <w:p w14:paraId="45FBF049" w14:textId="77777777" w:rsidR="006A00DF" w:rsidRPr="00A61E97" w:rsidRDefault="006A00DF" w:rsidP="007E7442">
            <w:pPr>
              <w:spacing w:after="0" w:line="480" w:lineRule="auto"/>
              <w:rPr>
                <w:rFonts w:ascii="Calibri" w:eastAsia="Times New Roman" w:hAnsi="Calibri" w:cs="Times New Roman"/>
                <w:color w:val="000000"/>
                <w:lang w:eastAsia="en-GB"/>
              </w:rPr>
            </w:pPr>
            <w:r>
              <w:rPr>
                <w:rFonts w:ascii="Calibri" w:hAnsi="Calibri"/>
                <w:color w:val="000000"/>
              </w:rPr>
              <w:t>Control</w:t>
            </w:r>
          </w:p>
        </w:tc>
        <w:tc>
          <w:tcPr>
            <w:tcW w:w="1222" w:type="dxa"/>
            <w:tcBorders>
              <w:top w:val="nil"/>
              <w:left w:val="nil"/>
              <w:bottom w:val="single" w:sz="4" w:space="0" w:color="auto"/>
              <w:right w:val="single" w:sz="4" w:space="0" w:color="auto"/>
            </w:tcBorders>
            <w:shd w:val="clear" w:color="000000" w:fill="D9D9D9"/>
            <w:noWrap/>
            <w:vAlign w:val="center"/>
            <w:hideMark/>
          </w:tcPr>
          <w:p w14:paraId="6D3E06F2" w14:textId="77777777" w:rsidR="006A00DF" w:rsidRPr="00A61E97" w:rsidRDefault="006A00DF" w:rsidP="007E7442">
            <w:pPr>
              <w:spacing w:after="0" w:line="480" w:lineRule="auto"/>
              <w:jc w:val="center"/>
              <w:rPr>
                <w:rFonts w:ascii="Calibri" w:eastAsia="Times New Roman" w:hAnsi="Calibri" w:cs="Times New Roman"/>
                <w:color w:val="000000"/>
                <w:lang w:eastAsia="en-GB"/>
              </w:rPr>
            </w:pPr>
            <w:r>
              <w:rPr>
                <w:rFonts w:ascii="Calibri" w:hAnsi="Calibri"/>
                <w:color w:val="000000"/>
              </w:rPr>
              <w:t>0.8</w:t>
            </w:r>
          </w:p>
        </w:tc>
        <w:tc>
          <w:tcPr>
            <w:tcW w:w="947" w:type="dxa"/>
            <w:tcBorders>
              <w:top w:val="nil"/>
              <w:left w:val="nil"/>
              <w:bottom w:val="single" w:sz="4" w:space="0" w:color="auto"/>
              <w:right w:val="single" w:sz="4" w:space="0" w:color="auto"/>
            </w:tcBorders>
            <w:shd w:val="clear" w:color="000000" w:fill="D9D9D9"/>
            <w:noWrap/>
            <w:vAlign w:val="center"/>
            <w:hideMark/>
          </w:tcPr>
          <w:p w14:paraId="7F9D575D" w14:textId="77777777" w:rsidR="006A00DF" w:rsidRPr="00A61E97" w:rsidRDefault="006A00DF" w:rsidP="007E7442">
            <w:pPr>
              <w:spacing w:after="0" w:line="480" w:lineRule="auto"/>
              <w:jc w:val="center"/>
              <w:rPr>
                <w:rFonts w:ascii="Calibri" w:eastAsia="Times New Roman" w:hAnsi="Calibri" w:cs="Times New Roman"/>
                <w:color w:val="000000"/>
                <w:lang w:eastAsia="en-GB"/>
              </w:rPr>
            </w:pPr>
            <w:r>
              <w:rPr>
                <w:rFonts w:ascii="Calibri" w:hAnsi="Calibri"/>
                <w:color w:val="000000"/>
              </w:rPr>
              <w:t>0.1</w:t>
            </w:r>
          </w:p>
        </w:tc>
        <w:tc>
          <w:tcPr>
            <w:tcW w:w="4528" w:type="dxa"/>
            <w:gridSpan w:val="3"/>
            <w:tcBorders>
              <w:top w:val="single" w:sz="4" w:space="0" w:color="auto"/>
              <w:left w:val="nil"/>
              <w:bottom w:val="single" w:sz="4" w:space="0" w:color="auto"/>
              <w:right w:val="single" w:sz="4" w:space="0" w:color="000000"/>
            </w:tcBorders>
            <w:shd w:val="clear" w:color="000000" w:fill="000000"/>
            <w:noWrap/>
            <w:vAlign w:val="bottom"/>
            <w:hideMark/>
          </w:tcPr>
          <w:p w14:paraId="522D88E4" w14:textId="77777777" w:rsidR="006A00DF" w:rsidRPr="00A61E97" w:rsidRDefault="006A00DF" w:rsidP="007E7442">
            <w:pPr>
              <w:spacing w:after="0" w:line="480" w:lineRule="auto"/>
              <w:jc w:val="center"/>
              <w:rPr>
                <w:rFonts w:ascii="Calibri" w:eastAsia="Times New Roman" w:hAnsi="Calibri" w:cs="Times New Roman"/>
                <w:color w:val="000000"/>
                <w:lang w:eastAsia="en-GB"/>
              </w:rPr>
            </w:pPr>
            <w:r w:rsidRPr="00A61E97">
              <w:rPr>
                <w:rFonts w:ascii="Calibri" w:eastAsia="Times New Roman" w:hAnsi="Calibri" w:cs="Times New Roman"/>
                <w:color w:val="000000"/>
                <w:lang w:eastAsia="en-GB"/>
              </w:rPr>
              <w:t> </w:t>
            </w:r>
          </w:p>
        </w:tc>
      </w:tr>
      <w:tr w:rsidR="006A00DF" w:rsidRPr="00A61E97" w14:paraId="05572107" w14:textId="77777777" w:rsidTr="007E7442">
        <w:trPr>
          <w:trHeight w:val="300"/>
        </w:trPr>
        <w:tc>
          <w:tcPr>
            <w:tcW w:w="1418" w:type="dxa"/>
            <w:vMerge/>
            <w:tcBorders>
              <w:left w:val="single" w:sz="4" w:space="0" w:color="auto"/>
              <w:right w:val="single" w:sz="4" w:space="0" w:color="auto"/>
            </w:tcBorders>
            <w:vAlign w:val="center"/>
            <w:hideMark/>
          </w:tcPr>
          <w:p w14:paraId="0F45C174" w14:textId="77777777" w:rsidR="006A00DF" w:rsidRPr="00A61E97" w:rsidRDefault="006A00DF" w:rsidP="007E7442">
            <w:pPr>
              <w:spacing w:after="0" w:line="480" w:lineRule="auto"/>
              <w:rPr>
                <w:rFonts w:ascii="Calibri" w:eastAsia="Times New Roman" w:hAnsi="Calibri" w:cs="Times New Roman"/>
                <w:color w:val="000000"/>
                <w:lang w:eastAsia="en-GB"/>
              </w:rPr>
            </w:pPr>
          </w:p>
        </w:tc>
        <w:tc>
          <w:tcPr>
            <w:tcW w:w="1303" w:type="dxa"/>
            <w:tcBorders>
              <w:top w:val="nil"/>
              <w:left w:val="nil"/>
              <w:bottom w:val="single" w:sz="4" w:space="0" w:color="auto"/>
              <w:right w:val="single" w:sz="4" w:space="0" w:color="auto"/>
            </w:tcBorders>
            <w:shd w:val="clear" w:color="000000" w:fill="D9D9D9"/>
            <w:noWrap/>
            <w:vAlign w:val="center"/>
            <w:hideMark/>
          </w:tcPr>
          <w:p w14:paraId="021B3EC2" w14:textId="77777777" w:rsidR="006A00DF" w:rsidRPr="00A61E97" w:rsidRDefault="006A00DF" w:rsidP="007E7442">
            <w:pPr>
              <w:spacing w:after="0" w:line="480" w:lineRule="auto"/>
              <w:rPr>
                <w:rFonts w:ascii="Calibri" w:eastAsia="Times New Roman" w:hAnsi="Calibri" w:cs="Times New Roman"/>
                <w:color w:val="000000"/>
                <w:lang w:eastAsia="en-GB"/>
              </w:rPr>
            </w:pPr>
            <w:r>
              <w:rPr>
                <w:rFonts w:ascii="Calibri" w:hAnsi="Calibri"/>
                <w:color w:val="000000"/>
              </w:rPr>
              <w:t>TS</w:t>
            </w:r>
          </w:p>
        </w:tc>
        <w:tc>
          <w:tcPr>
            <w:tcW w:w="1222" w:type="dxa"/>
            <w:tcBorders>
              <w:top w:val="nil"/>
              <w:left w:val="nil"/>
              <w:bottom w:val="single" w:sz="4" w:space="0" w:color="auto"/>
              <w:right w:val="single" w:sz="4" w:space="0" w:color="auto"/>
            </w:tcBorders>
            <w:shd w:val="clear" w:color="000000" w:fill="D9D9D9"/>
            <w:noWrap/>
            <w:vAlign w:val="center"/>
            <w:hideMark/>
          </w:tcPr>
          <w:p w14:paraId="6A43541E" w14:textId="77777777" w:rsidR="006A00DF" w:rsidRPr="00A61E97" w:rsidRDefault="006A00DF" w:rsidP="007E7442">
            <w:pPr>
              <w:spacing w:after="0" w:line="480" w:lineRule="auto"/>
              <w:jc w:val="center"/>
              <w:rPr>
                <w:rFonts w:ascii="Calibri" w:eastAsia="Times New Roman" w:hAnsi="Calibri" w:cs="Times New Roman"/>
                <w:color w:val="000000"/>
                <w:lang w:eastAsia="en-GB"/>
              </w:rPr>
            </w:pPr>
            <w:r>
              <w:rPr>
                <w:rFonts w:ascii="Calibri" w:hAnsi="Calibri"/>
                <w:color w:val="000000"/>
              </w:rPr>
              <w:t>3.3</w:t>
            </w:r>
          </w:p>
        </w:tc>
        <w:tc>
          <w:tcPr>
            <w:tcW w:w="947" w:type="dxa"/>
            <w:tcBorders>
              <w:top w:val="nil"/>
              <w:left w:val="nil"/>
              <w:bottom w:val="single" w:sz="4" w:space="0" w:color="auto"/>
              <w:right w:val="single" w:sz="4" w:space="0" w:color="auto"/>
            </w:tcBorders>
            <w:shd w:val="clear" w:color="000000" w:fill="D9D9D9"/>
            <w:noWrap/>
            <w:vAlign w:val="center"/>
            <w:hideMark/>
          </w:tcPr>
          <w:p w14:paraId="33FEF338" w14:textId="77777777" w:rsidR="006A00DF" w:rsidRPr="00A61E97" w:rsidRDefault="006A00DF" w:rsidP="007E7442">
            <w:pPr>
              <w:spacing w:after="0" w:line="480" w:lineRule="auto"/>
              <w:jc w:val="center"/>
              <w:rPr>
                <w:rFonts w:ascii="Calibri" w:eastAsia="Times New Roman" w:hAnsi="Calibri" w:cs="Times New Roman"/>
                <w:color w:val="000000"/>
                <w:lang w:eastAsia="en-GB"/>
              </w:rPr>
            </w:pPr>
            <w:r>
              <w:rPr>
                <w:rFonts w:ascii="Calibri" w:hAnsi="Calibri"/>
                <w:color w:val="000000"/>
              </w:rPr>
              <w:t>2.2</w:t>
            </w:r>
          </w:p>
        </w:tc>
        <w:tc>
          <w:tcPr>
            <w:tcW w:w="1250" w:type="dxa"/>
            <w:tcBorders>
              <w:top w:val="nil"/>
              <w:left w:val="nil"/>
              <w:bottom w:val="single" w:sz="4" w:space="0" w:color="auto"/>
              <w:right w:val="single" w:sz="4" w:space="0" w:color="auto"/>
            </w:tcBorders>
            <w:shd w:val="clear" w:color="000000" w:fill="D9D9D9"/>
            <w:noWrap/>
            <w:vAlign w:val="center"/>
            <w:hideMark/>
          </w:tcPr>
          <w:p w14:paraId="56C58089" w14:textId="77777777" w:rsidR="006A00DF" w:rsidRPr="00A61E97" w:rsidRDefault="006A00DF" w:rsidP="007E7442">
            <w:pPr>
              <w:spacing w:after="0" w:line="480" w:lineRule="auto"/>
              <w:jc w:val="center"/>
              <w:rPr>
                <w:rFonts w:ascii="Calibri" w:eastAsia="Times New Roman" w:hAnsi="Calibri" w:cs="Times New Roman"/>
                <w:color w:val="000000"/>
                <w:lang w:eastAsia="en-GB"/>
              </w:rPr>
            </w:pPr>
            <w:r>
              <w:rPr>
                <w:rFonts w:ascii="Calibri" w:hAnsi="Calibri"/>
                <w:color w:val="000000"/>
              </w:rPr>
              <w:t>2.5</w:t>
            </w:r>
          </w:p>
        </w:tc>
        <w:tc>
          <w:tcPr>
            <w:tcW w:w="1250" w:type="dxa"/>
            <w:tcBorders>
              <w:top w:val="nil"/>
              <w:left w:val="nil"/>
              <w:bottom w:val="single" w:sz="4" w:space="0" w:color="auto"/>
              <w:right w:val="single" w:sz="4" w:space="0" w:color="auto"/>
            </w:tcBorders>
            <w:shd w:val="clear" w:color="000000" w:fill="D9D9D9"/>
            <w:noWrap/>
            <w:vAlign w:val="center"/>
            <w:hideMark/>
          </w:tcPr>
          <w:p w14:paraId="71E0F5C3" w14:textId="77777777" w:rsidR="006A00DF" w:rsidRPr="00A61E97" w:rsidRDefault="006A00DF" w:rsidP="007E7442">
            <w:pPr>
              <w:spacing w:after="0" w:line="480" w:lineRule="auto"/>
              <w:jc w:val="center"/>
              <w:rPr>
                <w:rFonts w:ascii="Calibri" w:eastAsia="Times New Roman" w:hAnsi="Calibri" w:cs="Times New Roman"/>
                <w:color w:val="000000"/>
                <w:lang w:eastAsia="en-GB"/>
              </w:rPr>
            </w:pPr>
            <w:r>
              <w:rPr>
                <w:rFonts w:ascii="Calibri" w:hAnsi="Calibri"/>
                <w:color w:val="000000"/>
              </w:rPr>
              <w:t>2.1</w:t>
            </w:r>
          </w:p>
        </w:tc>
        <w:tc>
          <w:tcPr>
            <w:tcW w:w="2028" w:type="dxa"/>
            <w:tcBorders>
              <w:top w:val="nil"/>
              <w:left w:val="nil"/>
              <w:bottom w:val="single" w:sz="4" w:space="0" w:color="auto"/>
              <w:right w:val="single" w:sz="8" w:space="0" w:color="auto"/>
            </w:tcBorders>
            <w:shd w:val="clear" w:color="000000" w:fill="D9D9D9"/>
            <w:noWrap/>
            <w:vAlign w:val="center"/>
            <w:hideMark/>
          </w:tcPr>
          <w:p w14:paraId="5E412C8E" w14:textId="77777777" w:rsidR="006A00DF" w:rsidRPr="00A61E97" w:rsidRDefault="006A00DF" w:rsidP="007E7442">
            <w:pPr>
              <w:spacing w:after="0" w:line="480" w:lineRule="auto"/>
              <w:jc w:val="center"/>
              <w:rPr>
                <w:rFonts w:ascii="Calibri" w:eastAsia="Times New Roman" w:hAnsi="Calibri" w:cs="Times New Roman"/>
                <w:color w:val="000000"/>
                <w:lang w:eastAsia="en-GB"/>
              </w:rPr>
            </w:pPr>
            <w:r>
              <w:rPr>
                <w:rFonts w:ascii="Calibri" w:hAnsi="Calibri"/>
                <w:color w:val="000000"/>
                <w:sz w:val="20"/>
                <w:szCs w:val="20"/>
              </w:rPr>
              <w:t>€ 1,168</w:t>
            </w:r>
          </w:p>
        </w:tc>
      </w:tr>
      <w:tr w:rsidR="006A00DF" w:rsidRPr="00A61E97" w14:paraId="126456EC" w14:textId="77777777" w:rsidTr="007E7442">
        <w:trPr>
          <w:trHeight w:val="300"/>
        </w:trPr>
        <w:tc>
          <w:tcPr>
            <w:tcW w:w="1418"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A9AAA0F" w14:textId="77777777" w:rsidR="006A00DF" w:rsidRPr="00A61E97" w:rsidRDefault="006A00DF" w:rsidP="007E7442">
            <w:pPr>
              <w:spacing w:after="0" w:line="480" w:lineRule="auto"/>
              <w:rPr>
                <w:rFonts w:ascii="Calibri" w:eastAsia="Times New Roman" w:hAnsi="Calibri" w:cs="Times New Roman"/>
                <w:color w:val="000000"/>
                <w:lang w:eastAsia="en-GB"/>
              </w:rPr>
            </w:pPr>
          </w:p>
        </w:tc>
        <w:tc>
          <w:tcPr>
            <w:tcW w:w="1303" w:type="dxa"/>
            <w:tcBorders>
              <w:top w:val="single" w:sz="4" w:space="0" w:color="auto"/>
              <w:left w:val="nil"/>
              <w:bottom w:val="single" w:sz="4" w:space="0" w:color="auto"/>
              <w:right w:val="single" w:sz="4" w:space="0" w:color="auto"/>
            </w:tcBorders>
            <w:shd w:val="clear" w:color="000000" w:fill="D9D9D9"/>
            <w:noWrap/>
            <w:vAlign w:val="center"/>
          </w:tcPr>
          <w:p w14:paraId="1A7AFB36" w14:textId="77777777" w:rsidR="006A00DF" w:rsidRPr="00A61E97" w:rsidRDefault="006A00DF" w:rsidP="007E7442">
            <w:pPr>
              <w:spacing w:after="0" w:line="480" w:lineRule="auto"/>
              <w:rPr>
                <w:rFonts w:ascii="Calibri" w:eastAsia="Times New Roman" w:hAnsi="Calibri" w:cs="Times New Roman"/>
                <w:color w:val="000000"/>
                <w:lang w:eastAsia="en-GB"/>
              </w:rPr>
            </w:pPr>
            <w:r>
              <w:rPr>
                <w:rFonts w:ascii="Calibri" w:hAnsi="Calibri"/>
                <w:color w:val="000000"/>
              </w:rPr>
              <w:t>TS+FR</w:t>
            </w:r>
          </w:p>
        </w:tc>
        <w:tc>
          <w:tcPr>
            <w:tcW w:w="1222" w:type="dxa"/>
            <w:tcBorders>
              <w:top w:val="single" w:sz="4" w:space="0" w:color="auto"/>
              <w:left w:val="nil"/>
              <w:bottom w:val="single" w:sz="4" w:space="0" w:color="auto"/>
              <w:right w:val="single" w:sz="4" w:space="0" w:color="auto"/>
            </w:tcBorders>
            <w:shd w:val="clear" w:color="000000" w:fill="D9D9D9"/>
            <w:noWrap/>
            <w:vAlign w:val="center"/>
          </w:tcPr>
          <w:p w14:paraId="7B040089" w14:textId="77777777" w:rsidR="006A00DF" w:rsidRPr="00A61E97" w:rsidRDefault="006A00DF" w:rsidP="007E7442">
            <w:pPr>
              <w:spacing w:after="0" w:line="480" w:lineRule="auto"/>
              <w:jc w:val="center"/>
              <w:rPr>
                <w:rFonts w:ascii="Calibri" w:eastAsia="Times New Roman" w:hAnsi="Calibri" w:cs="Times New Roman"/>
                <w:color w:val="000000"/>
                <w:lang w:eastAsia="en-GB"/>
              </w:rPr>
            </w:pPr>
            <w:r>
              <w:rPr>
                <w:rFonts w:ascii="Calibri" w:hAnsi="Calibri"/>
                <w:color w:val="000000"/>
              </w:rPr>
              <w:t>7.6</w:t>
            </w:r>
          </w:p>
        </w:tc>
        <w:tc>
          <w:tcPr>
            <w:tcW w:w="947" w:type="dxa"/>
            <w:tcBorders>
              <w:top w:val="single" w:sz="4" w:space="0" w:color="auto"/>
              <w:left w:val="nil"/>
              <w:bottom w:val="single" w:sz="4" w:space="0" w:color="auto"/>
              <w:right w:val="single" w:sz="4" w:space="0" w:color="auto"/>
            </w:tcBorders>
            <w:shd w:val="clear" w:color="000000" w:fill="D9D9D9"/>
            <w:noWrap/>
            <w:vAlign w:val="center"/>
          </w:tcPr>
          <w:p w14:paraId="63957144" w14:textId="77777777" w:rsidR="006A00DF" w:rsidRPr="00A61E97" w:rsidRDefault="006A00DF" w:rsidP="007E7442">
            <w:pPr>
              <w:spacing w:after="0" w:line="480" w:lineRule="auto"/>
              <w:jc w:val="center"/>
              <w:rPr>
                <w:rFonts w:ascii="Calibri" w:eastAsia="Times New Roman" w:hAnsi="Calibri" w:cs="Times New Roman"/>
                <w:color w:val="000000"/>
                <w:lang w:eastAsia="en-GB"/>
              </w:rPr>
            </w:pPr>
            <w:r>
              <w:rPr>
                <w:rFonts w:ascii="Calibri" w:hAnsi="Calibri"/>
                <w:color w:val="000000"/>
              </w:rPr>
              <w:t>2.7</w:t>
            </w:r>
          </w:p>
        </w:tc>
        <w:tc>
          <w:tcPr>
            <w:tcW w:w="1250" w:type="dxa"/>
            <w:tcBorders>
              <w:top w:val="single" w:sz="4" w:space="0" w:color="auto"/>
              <w:left w:val="nil"/>
              <w:bottom w:val="single" w:sz="4" w:space="0" w:color="auto"/>
              <w:right w:val="single" w:sz="4" w:space="0" w:color="auto"/>
            </w:tcBorders>
            <w:shd w:val="clear" w:color="000000" w:fill="D9D9D9"/>
            <w:noWrap/>
            <w:vAlign w:val="center"/>
          </w:tcPr>
          <w:p w14:paraId="77273450" w14:textId="77777777" w:rsidR="006A00DF" w:rsidRPr="00A61E97" w:rsidRDefault="006A00DF" w:rsidP="007E7442">
            <w:pPr>
              <w:spacing w:after="0" w:line="480" w:lineRule="auto"/>
              <w:jc w:val="center"/>
              <w:rPr>
                <w:rFonts w:ascii="Calibri" w:eastAsia="Times New Roman" w:hAnsi="Calibri" w:cs="Times New Roman"/>
                <w:color w:val="000000"/>
                <w:lang w:eastAsia="en-GB"/>
              </w:rPr>
            </w:pPr>
            <w:r>
              <w:rPr>
                <w:rFonts w:ascii="Calibri" w:hAnsi="Calibri"/>
                <w:color w:val="000000"/>
              </w:rPr>
              <w:t>4.2</w:t>
            </w:r>
          </w:p>
        </w:tc>
        <w:tc>
          <w:tcPr>
            <w:tcW w:w="1250" w:type="dxa"/>
            <w:tcBorders>
              <w:top w:val="single" w:sz="4" w:space="0" w:color="auto"/>
              <w:left w:val="nil"/>
              <w:bottom w:val="single" w:sz="4" w:space="0" w:color="auto"/>
              <w:right w:val="single" w:sz="4" w:space="0" w:color="auto"/>
            </w:tcBorders>
            <w:shd w:val="clear" w:color="000000" w:fill="D9D9D9"/>
            <w:noWrap/>
            <w:vAlign w:val="center"/>
          </w:tcPr>
          <w:p w14:paraId="360ECF82" w14:textId="77777777" w:rsidR="006A00DF" w:rsidRPr="00A61E97" w:rsidRDefault="006A00DF" w:rsidP="007E7442">
            <w:pPr>
              <w:spacing w:after="0" w:line="480" w:lineRule="auto"/>
              <w:jc w:val="center"/>
              <w:rPr>
                <w:rFonts w:ascii="Calibri" w:eastAsia="Times New Roman" w:hAnsi="Calibri" w:cs="Times New Roman"/>
                <w:color w:val="000000"/>
                <w:lang w:eastAsia="en-GB"/>
              </w:rPr>
            </w:pPr>
            <w:r>
              <w:rPr>
                <w:rFonts w:ascii="Calibri" w:hAnsi="Calibri"/>
                <w:color w:val="000000"/>
              </w:rPr>
              <w:t>0.5</w:t>
            </w:r>
          </w:p>
        </w:tc>
        <w:tc>
          <w:tcPr>
            <w:tcW w:w="2028" w:type="dxa"/>
            <w:tcBorders>
              <w:top w:val="single" w:sz="4" w:space="0" w:color="auto"/>
              <w:left w:val="nil"/>
              <w:bottom w:val="single" w:sz="4" w:space="0" w:color="auto"/>
              <w:right w:val="single" w:sz="4" w:space="0" w:color="auto"/>
            </w:tcBorders>
            <w:shd w:val="clear" w:color="000000" w:fill="D9D9D9"/>
            <w:noWrap/>
            <w:vAlign w:val="center"/>
          </w:tcPr>
          <w:p w14:paraId="713B7E2C" w14:textId="77777777" w:rsidR="006A00DF" w:rsidRPr="00A61E97" w:rsidRDefault="006A00DF" w:rsidP="007E7442">
            <w:pPr>
              <w:spacing w:after="0" w:line="480" w:lineRule="auto"/>
              <w:jc w:val="center"/>
              <w:rPr>
                <w:rFonts w:ascii="Calibri" w:eastAsia="Times New Roman" w:hAnsi="Calibri" w:cs="Times New Roman"/>
                <w:color w:val="000000"/>
                <w:lang w:eastAsia="en-GB"/>
              </w:rPr>
            </w:pPr>
            <w:r>
              <w:rPr>
                <w:rFonts w:ascii="Calibri" w:hAnsi="Calibri"/>
                <w:color w:val="000000"/>
                <w:sz w:val="20"/>
                <w:szCs w:val="20"/>
              </w:rPr>
              <w:t>€ 8,319</w:t>
            </w:r>
          </w:p>
        </w:tc>
      </w:tr>
    </w:tbl>
    <w:p w14:paraId="53628ADA" w14:textId="73203794" w:rsidR="006A00DF" w:rsidRDefault="006A00DF" w:rsidP="00D04DAC">
      <w:pPr>
        <w:widowControl w:val="0"/>
        <w:autoSpaceDE w:val="0"/>
        <w:autoSpaceDN w:val="0"/>
        <w:adjustRightInd w:val="0"/>
        <w:spacing w:line="480" w:lineRule="auto"/>
        <w:ind w:left="640" w:hanging="640"/>
      </w:pPr>
      <w:r>
        <w:br w:type="page"/>
      </w:r>
    </w:p>
    <w:p w14:paraId="62DE82AC" w14:textId="19C331F0" w:rsidR="006A00DF" w:rsidRDefault="006A00DF" w:rsidP="006A00DF">
      <w:pPr>
        <w:pStyle w:val="Caption"/>
        <w:keepNext/>
        <w:spacing w:line="480" w:lineRule="auto"/>
      </w:pPr>
      <w:bookmarkStart w:id="6" w:name="_Ref404088877"/>
      <w:r>
        <w:t xml:space="preserve">Table </w:t>
      </w:r>
      <w:r w:rsidR="006864D9">
        <w:rPr>
          <w:noProof/>
        </w:rPr>
        <w:fldChar w:fldCharType="begin"/>
      </w:r>
      <w:r w:rsidR="006864D9">
        <w:rPr>
          <w:noProof/>
        </w:rPr>
        <w:instrText xml:space="preserve"> SEQ Table \* ARABIC </w:instrText>
      </w:r>
      <w:r w:rsidR="006864D9">
        <w:rPr>
          <w:noProof/>
        </w:rPr>
        <w:fldChar w:fldCharType="separate"/>
      </w:r>
      <w:r>
        <w:rPr>
          <w:noProof/>
        </w:rPr>
        <w:t>4</w:t>
      </w:r>
      <w:r w:rsidR="006864D9">
        <w:rPr>
          <w:noProof/>
        </w:rPr>
        <w:fldChar w:fldCharType="end"/>
      </w:r>
      <w:bookmarkEnd w:id="6"/>
      <w:r>
        <w:t xml:space="preserve"> – Full implementation analysis results for cost-effective strategies</w:t>
      </w:r>
    </w:p>
    <w:tbl>
      <w:tblPr>
        <w:tblW w:w="8372" w:type="dxa"/>
        <w:tblInd w:w="93" w:type="dxa"/>
        <w:tblLook w:val="04A0" w:firstRow="1" w:lastRow="0" w:firstColumn="1" w:lastColumn="0" w:noHBand="0" w:noVBand="1"/>
      </w:tblPr>
      <w:tblGrid>
        <w:gridCol w:w="1316"/>
        <w:gridCol w:w="979"/>
        <w:gridCol w:w="1291"/>
        <w:gridCol w:w="960"/>
        <w:gridCol w:w="1321"/>
        <w:gridCol w:w="1321"/>
        <w:gridCol w:w="1184"/>
      </w:tblGrid>
      <w:tr w:rsidR="006A00DF" w:rsidRPr="00B22599" w14:paraId="540383ED" w14:textId="77777777" w:rsidTr="007E7442">
        <w:trPr>
          <w:trHeight w:val="300"/>
        </w:trPr>
        <w:tc>
          <w:tcPr>
            <w:tcW w:w="1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7F3BA" w14:textId="77777777" w:rsidR="006A00DF" w:rsidRPr="00B22599" w:rsidRDefault="006A00DF" w:rsidP="007E7442">
            <w:pPr>
              <w:spacing w:after="0" w:line="480" w:lineRule="auto"/>
              <w:rPr>
                <w:rFonts w:ascii="Calibri" w:eastAsia="Times New Roman" w:hAnsi="Calibri" w:cs="Times New Roman"/>
                <w:b/>
                <w:color w:val="000000"/>
                <w:lang w:eastAsia="en-GB"/>
              </w:rPr>
            </w:pPr>
            <w:r w:rsidRPr="00B22599">
              <w:rPr>
                <w:rFonts w:ascii="Calibri" w:eastAsia="Times New Roman" w:hAnsi="Calibri" w:cs="Times New Roman"/>
                <w:b/>
                <w:color w:val="000000"/>
                <w:lang w:eastAsia="en-GB"/>
              </w:rPr>
              <w:t>Country</w:t>
            </w:r>
          </w:p>
        </w:tc>
        <w:tc>
          <w:tcPr>
            <w:tcW w:w="979" w:type="dxa"/>
            <w:tcBorders>
              <w:top w:val="single" w:sz="4" w:space="0" w:color="auto"/>
              <w:left w:val="nil"/>
              <w:bottom w:val="single" w:sz="4" w:space="0" w:color="auto"/>
              <w:right w:val="single" w:sz="4" w:space="0" w:color="auto"/>
            </w:tcBorders>
            <w:shd w:val="clear" w:color="auto" w:fill="auto"/>
            <w:noWrap/>
            <w:vAlign w:val="bottom"/>
            <w:hideMark/>
          </w:tcPr>
          <w:p w14:paraId="1C5DE7FC" w14:textId="77777777" w:rsidR="006A00DF" w:rsidRPr="00B22599" w:rsidRDefault="006A00DF" w:rsidP="007E7442">
            <w:pPr>
              <w:spacing w:after="0" w:line="480" w:lineRule="auto"/>
              <w:rPr>
                <w:rFonts w:ascii="Calibri" w:eastAsia="Times New Roman" w:hAnsi="Calibri" w:cs="Times New Roman"/>
                <w:b/>
                <w:color w:val="000000"/>
                <w:lang w:eastAsia="en-GB"/>
              </w:rPr>
            </w:pPr>
            <w:r w:rsidRPr="00B22599">
              <w:rPr>
                <w:rFonts w:ascii="Calibri" w:eastAsia="Times New Roman" w:hAnsi="Calibri" w:cs="Times New Roman"/>
                <w:b/>
                <w:color w:val="000000"/>
                <w:lang w:eastAsia="en-GB"/>
              </w:rPr>
              <w:t>Strategy</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14:paraId="599977FA" w14:textId="77777777" w:rsidR="006A00DF" w:rsidRPr="00B22599" w:rsidRDefault="006A00DF" w:rsidP="007E7442">
            <w:pPr>
              <w:spacing w:after="0" w:line="480" w:lineRule="auto"/>
              <w:rPr>
                <w:rFonts w:ascii="Calibri" w:eastAsia="Times New Roman" w:hAnsi="Calibri" w:cs="Times New Roman"/>
                <w:b/>
                <w:color w:val="000000"/>
                <w:lang w:eastAsia="en-GB"/>
              </w:rPr>
            </w:pPr>
            <w:r w:rsidRPr="00B22599">
              <w:rPr>
                <w:rFonts w:ascii="Calibri" w:eastAsia="Times New Roman" w:hAnsi="Calibri" w:cs="Times New Roman"/>
                <w:b/>
                <w:color w:val="000000"/>
                <w:lang w:eastAsia="en-GB"/>
              </w:rPr>
              <w:t>Net cost of programme (€m)</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F9C8BF5" w14:textId="77777777" w:rsidR="006A00DF" w:rsidRPr="00B22599" w:rsidRDefault="006A00DF" w:rsidP="007E7442">
            <w:pPr>
              <w:spacing w:after="0" w:line="480" w:lineRule="auto"/>
              <w:rPr>
                <w:rFonts w:ascii="Calibri" w:eastAsia="Times New Roman" w:hAnsi="Calibri" w:cs="Times New Roman"/>
                <w:b/>
                <w:color w:val="000000"/>
                <w:lang w:eastAsia="en-GB"/>
              </w:rPr>
            </w:pPr>
            <w:r w:rsidRPr="00B22599">
              <w:rPr>
                <w:rFonts w:ascii="Calibri" w:eastAsia="Times New Roman" w:hAnsi="Calibri" w:cs="Times New Roman"/>
                <w:b/>
                <w:color w:val="000000"/>
                <w:lang w:eastAsia="en-GB"/>
              </w:rPr>
              <w:t>Net QALY gain vs. no SBIs (,000s)</w:t>
            </w:r>
          </w:p>
        </w:tc>
        <w:tc>
          <w:tcPr>
            <w:tcW w:w="1321" w:type="dxa"/>
            <w:tcBorders>
              <w:top w:val="single" w:sz="4" w:space="0" w:color="auto"/>
              <w:left w:val="nil"/>
              <w:bottom w:val="single" w:sz="4" w:space="0" w:color="auto"/>
              <w:right w:val="single" w:sz="4" w:space="0" w:color="auto"/>
            </w:tcBorders>
            <w:shd w:val="clear" w:color="auto" w:fill="auto"/>
            <w:noWrap/>
            <w:vAlign w:val="bottom"/>
            <w:hideMark/>
          </w:tcPr>
          <w:p w14:paraId="63B2238C" w14:textId="77777777" w:rsidR="006A00DF" w:rsidRPr="00B22599" w:rsidRDefault="006A00DF" w:rsidP="007E7442">
            <w:pPr>
              <w:spacing w:after="0" w:line="480" w:lineRule="auto"/>
              <w:rPr>
                <w:rFonts w:ascii="Calibri" w:eastAsia="Times New Roman" w:hAnsi="Calibri" w:cs="Times New Roman"/>
                <w:b/>
                <w:color w:val="000000"/>
                <w:lang w:eastAsia="en-GB"/>
              </w:rPr>
            </w:pPr>
            <w:r w:rsidRPr="00B22599">
              <w:rPr>
                <w:rFonts w:ascii="Calibri" w:eastAsia="Times New Roman" w:hAnsi="Calibri" w:cs="Times New Roman"/>
                <w:b/>
                <w:color w:val="000000"/>
                <w:lang w:eastAsia="en-GB"/>
              </w:rPr>
              <w:t>Incremental cost (€m)</w:t>
            </w:r>
          </w:p>
        </w:tc>
        <w:tc>
          <w:tcPr>
            <w:tcW w:w="1321" w:type="dxa"/>
            <w:tcBorders>
              <w:top w:val="single" w:sz="4" w:space="0" w:color="auto"/>
              <w:left w:val="nil"/>
              <w:bottom w:val="single" w:sz="4" w:space="0" w:color="auto"/>
              <w:right w:val="single" w:sz="4" w:space="0" w:color="auto"/>
            </w:tcBorders>
            <w:shd w:val="clear" w:color="auto" w:fill="auto"/>
            <w:noWrap/>
            <w:vAlign w:val="bottom"/>
            <w:hideMark/>
          </w:tcPr>
          <w:p w14:paraId="440AA147" w14:textId="77777777" w:rsidR="006A00DF" w:rsidRPr="00B22599" w:rsidRDefault="006A00DF" w:rsidP="007E7442">
            <w:pPr>
              <w:spacing w:after="0" w:line="480" w:lineRule="auto"/>
              <w:rPr>
                <w:rFonts w:ascii="Calibri" w:eastAsia="Times New Roman" w:hAnsi="Calibri" w:cs="Times New Roman"/>
                <w:b/>
                <w:color w:val="000000"/>
                <w:lang w:eastAsia="en-GB"/>
              </w:rPr>
            </w:pPr>
            <w:r w:rsidRPr="00B22599">
              <w:rPr>
                <w:rFonts w:ascii="Calibri" w:eastAsia="Times New Roman" w:hAnsi="Calibri" w:cs="Times New Roman"/>
                <w:b/>
                <w:color w:val="000000"/>
                <w:lang w:eastAsia="en-GB"/>
              </w:rPr>
              <w:t>Incremental QALYs (,000s)</w:t>
            </w:r>
          </w:p>
        </w:tc>
        <w:tc>
          <w:tcPr>
            <w:tcW w:w="1184" w:type="dxa"/>
            <w:tcBorders>
              <w:top w:val="single" w:sz="4" w:space="0" w:color="auto"/>
              <w:left w:val="nil"/>
              <w:bottom w:val="single" w:sz="4" w:space="0" w:color="auto"/>
              <w:right w:val="single" w:sz="4" w:space="0" w:color="auto"/>
            </w:tcBorders>
            <w:shd w:val="clear" w:color="auto" w:fill="auto"/>
            <w:noWrap/>
            <w:vAlign w:val="bottom"/>
            <w:hideMark/>
          </w:tcPr>
          <w:p w14:paraId="66D9FE74" w14:textId="77777777" w:rsidR="006A00DF" w:rsidRPr="00B22599" w:rsidRDefault="006A00DF" w:rsidP="007E7442">
            <w:pPr>
              <w:spacing w:after="0" w:line="480" w:lineRule="auto"/>
              <w:rPr>
                <w:rFonts w:ascii="Calibri" w:eastAsia="Times New Roman" w:hAnsi="Calibri" w:cs="Times New Roman"/>
                <w:b/>
                <w:color w:val="000000"/>
                <w:lang w:eastAsia="en-GB"/>
              </w:rPr>
            </w:pPr>
            <w:r w:rsidRPr="00B22599">
              <w:rPr>
                <w:rFonts w:ascii="Calibri" w:eastAsia="Times New Roman" w:hAnsi="Calibri" w:cs="Times New Roman"/>
                <w:b/>
                <w:color w:val="000000"/>
                <w:lang w:eastAsia="en-GB"/>
              </w:rPr>
              <w:t>ICER (per QALY)</w:t>
            </w:r>
          </w:p>
        </w:tc>
      </w:tr>
      <w:tr w:rsidR="006A00DF" w:rsidRPr="00B22599" w14:paraId="21D8E16D" w14:textId="77777777" w:rsidTr="007E7442">
        <w:trPr>
          <w:trHeight w:val="300"/>
        </w:trPr>
        <w:tc>
          <w:tcPr>
            <w:tcW w:w="1316"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25E9087F" w14:textId="77777777" w:rsidR="006A00DF" w:rsidRPr="00B22599" w:rsidRDefault="006A00DF" w:rsidP="007E7442">
            <w:pPr>
              <w:spacing w:after="0" w:line="480" w:lineRule="auto"/>
              <w:jc w:val="center"/>
              <w:rPr>
                <w:rFonts w:ascii="Calibri" w:eastAsia="Times New Roman" w:hAnsi="Calibri" w:cs="Times New Roman"/>
                <w:color w:val="000000"/>
                <w:lang w:eastAsia="en-GB"/>
              </w:rPr>
            </w:pPr>
            <w:r w:rsidRPr="00B22599">
              <w:rPr>
                <w:rFonts w:ascii="Calibri" w:eastAsia="Times New Roman" w:hAnsi="Calibri" w:cs="Times New Roman"/>
                <w:color w:val="000000"/>
                <w:lang w:eastAsia="en-GB"/>
              </w:rPr>
              <w:t>England</w:t>
            </w:r>
          </w:p>
        </w:tc>
        <w:tc>
          <w:tcPr>
            <w:tcW w:w="979" w:type="dxa"/>
            <w:tcBorders>
              <w:top w:val="nil"/>
              <w:left w:val="nil"/>
              <w:bottom w:val="single" w:sz="4" w:space="0" w:color="auto"/>
              <w:right w:val="single" w:sz="4" w:space="0" w:color="auto"/>
            </w:tcBorders>
            <w:shd w:val="clear" w:color="000000" w:fill="D9D9D9"/>
            <w:noWrap/>
            <w:vAlign w:val="bottom"/>
            <w:hideMark/>
          </w:tcPr>
          <w:p w14:paraId="77F7AB1A" w14:textId="77777777" w:rsidR="006A00DF" w:rsidRPr="00B22599" w:rsidRDefault="006A00DF" w:rsidP="007E7442">
            <w:pPr>
              <w:spacing w:after="0" w:line="480" w:lineRule="auto"/>
              <w:rPr>
                <w:rFonts w:ascii="Calibri" w:eastAsia="Times New Roman" w:hAnsi="Calibri" w:cs="Times New Roman"/>
                <w:color w:val="000000"/>
                <w:lang w:eastAsia="en-GB"/>
              </w:rPr>
            </w:pPr>
            <w:r w:rsidRPr="00B22599">
              <w:rPr>
                <w:rFonts w:ascii="Calibri" w:eastAsia="Times New Roman" w:hAnsi="Calibri" w:cs="Times New Roman"/>
                <w:color w:val="000000"/>
                <w:lang w:eastAsia="en-GB"/>
              </w:rPr>
              <w:t>Control</w:t>
            </w:r>
          </w:p>
        </w:tc>
        <w:tc>
          <w:tcPr>
            <w:tcW w:w="1291" w:type="dxa"/>
            <w:tcBorders>
              <w:top w:val="nil"/>
              <w:left w:val="nil"/>
              <w:bottom w:val="single" w:sz="4" w:space="0" w:color="auto"/>
              <w:right w:val="single" w:sz="4" w:space="0" w:color="auto"/>
            </w:tcBorders>
            <w:shd w:val="clear" w:color="000000" w:fill="D9D9D9"/>
            <w:noWrap/>
            <w:vAlign w:val="center"/>
            <w:hideMark/>
          </w:tcPr>
          <w:p w14:paraId="736C02C6" w14:textId="77777777" w:rsidR="006A00DF" w:rsidRPr="002105F5" w:rsidRDefault="006A00DF" w:rsidP="007E7442">
            <w:pPr>
              <w:spacing w:after="0" w:line="480" w:lineRule="auto"/>
              <w:jc w:val="center"/>
              <w:rPr>
                <w:rFonts w:ascii="Calibri" w:hAnsi="Calibri"/>
                <w:color w:val="FF0000"/>
              </w:rPr>
            </w:pPr>
            <w:r w:rsidRPr="002105F5">
              <w:rPr>
                <w:rFonts w:ascii="Calibri" w:hAnsi="Calibri"/>
                <w:color w:val="FF0000"/>
              </w:rPr>
              <w:t>-35.4</w:t>
            </w:r>
          </w:p>
        </w:tc>
        <w:tc>
          <w:tcPr>
            <w:tcW w:w="960" w:type="dxa"/>
            <w:tcBorders>
              <w:top w:val="nil"/>
              <w:left w:val="nil"/>
              <w:bottom w:val="single" w:sz="4" w:space="0" w:color="auto"/>
              <w:right w:val="single" w:sz="4" w:space="0" w:color="auto"/>
            </w:tcBorders>
            <w:shd w:val="clear" w:color="000000" w:fill="D9D9D9"/>
            <w:noWrap/>
            <w:vAlign w:val="center"/>
            <w:hideMark/>
          </w:tcPr>
          <w:p w14:paraId="11B3495D" w14:textId="77777777" w:rsidR="006A00DF" w:rsidRDefault="006A00DF" w:rsidP="007E7442">
            <w:pPr>
              <w:spacing w:after="0" w:line="480" w:lineRule="auto"/>
              <w:jc w:val="center"/>
              <w:rPr>
                <w:rFonts w:ascii="Calibri" w:hAnsi="Calibri"/>
                <w:color w:val="000000"/>
              </w:rPr>
            </w:pPr>
            <w:r>
              <w:rPr>
                <w:rFonts w:ascii="Calibri" w:hAnsi="Calibri"/>
                <w:color w:val="000000"/>
              </w:rPr>
              <w:t>4.6</w:t>
            </w:r>
          </w:p>
        </w:tc>
        <w:tc>
          <w:tcPr>
            <w:tcW w:w="3826" w:type="dxa"/>
            <w:gridSpan w:val="3"/>
            <w:tcBorders>
              <w:top w:val="single" w:sz="4" w:space="0" w:color="auto"/>
              <w:left w:val="nil"/>
              <w:bottom w:val="single" w:sz="4" w:space="0" w:color="auto"/>
              <w:right w:val="single" w:sz="4" w:space="0" w:color="000000"/>
            </w:tcBorders>
            <w:shd w:val="clear" w:color="000000" w:fill="000000"/>
            <w:noWrap/>
            <w:vAlign w:val="center"/>
            <w:hideMark/>
          </w:tcPr>
          <w:p w14:paraId="261229C3" w14:textId="77777777" w:rsidR="006A00DF" w:rsidRPr="00B22599" w:rsidRDefault="006A00DF" w:rsidP="007E7442">
            <w:pPr>
              <w:spacing w:after="0" w:line="480" w:lineRule="auto"/>
              <w:jc w:val="center"/>
              <w:rPr>
                <w:rFonts w:ascii="Calibri" w:eastAsia="Times New Roman" w:hAnsi="Calibri" w:cs="Times New Roman"/>
                <w:color w:val="000000"/>
                <w:lang w:eastAsia="en-GB"/>
              </w:rPr>
            </w:pPr>
          </w:p>
        </w:tc>
      </w:tr>
      <w:tr w:rsidR="006A00DF" w:rsidRPr="00B22599" w14:paraId="270FC932" w14:textId="77777777" w:rsidTr="007E7442">
        <w:trPr>
          <w:trHeight w:val="300"/>
        </w:trPr>
        <w:tc>
          <w:tcPr>
            <w:tcW w:w="1316" w:type="dxa"/>
            <w:vMerge/>
            <w:tcBorders>
              <w:top w:val="nil"/>
              <w:left w:val="single" w:sz="4" w:space="0" w:color="auto"/>
              <w:bottom w:val="single" w:sz="4" w:space="0" w:color="auto"/>
              <w:right w:val="single" w:sz="4" w:space="0" w:color="auto"/>
            </w:tcBorders>
            <w:vAlign w:val="center"/>
            <w:hideMark/>
          </w:tcPr>
          <w:p w14:paraId="184CE64C" w14:textId="77777777" w:rsidR="006A00DF" w:rsidRPr="00B22599" w:rsidRDefault="006A00DF" w:rsidP="007E7442">
            <w:pPr>
              <w:spacing w:after="0" w:line="480" w:lineRule="auto"/>
              <w:rPr>
                <w:rFonts w:ascii="Calibri" w:eastAsia="Times New Roman" w:hAnsi="Calibri" w:cs="Times New Roman"/>
                <w:color w:val="000000"/>
                <w:lang w:eastAsia="en-GB"/>
              </w:rPr>
            </w:pPr>
          </w:p>
        </w:tc>
        <w:tc>
          <w:tcPr>
            <w:tcW w:w="979" w:type="dxa"/>
            <w:tcBorders>
              <w:top w:val="nil"/>
              <w:left w:val="nil"/>
              <w:bottom w:val="single" w:sz="4" w:space="0" w:color="auto"/>
              <w:right w:val="single" w:sz="4" w:space="0" w:color="auto"/>
            </w:tcBorders>
            <w:shd w:val="clear" w:color="000000" w:fill="D9D9D9"/>
            <w:noWrap/>
            <w:vAlign w:val="bottom"/>
            <w:hideMark/>
          </w:tcPr>
          <w:p w14:paraId="592BA0F6" w14:textId="77777777" w:rsidR="006A00DF" w:rsidRPr="00B22599" w:rsidRDefault="006A00DF" w:rsidP="007E7442">
            <w:pPr>
              <w:spacing w:after="0" w:line="480" w:lineRule="auto"/>
              <w:rPr>
                <w:rFonts w:ascii="Calibri" w:eastAsia="Times New Roman" w:hAnsi="Calibri" w:cs="Times New Roman"/>
                <w:color w:val="000000"/>
                <w:lang w:eastAsia="en-GB"/>
              </w:rPr>
            </w:pPr>
            <w:r w:rsidRPr="00B22599">
              <w:rPr>
                <w:rFonts w:ascii="Calibri" w:eastAsia="Times New Roman" w:hAnsi="Calibri" w:cs="Times New Roman"/>
                <w:color w:val="000000"/>
                <w:lang w:eastAsia="en-GB"/>
              </w:rPr>
              <w:t>TS+FR</w:t>
            </w:r>
          </w:p>
        </w:tc>
        <w:tc>
          <w:tcPr>
            <w:tcW w:w="1291" w:type="dxa"/>
            <w:tcBorders>
              <w:top w:val="nil"/>
              <w:left w:val="nil"/>
              <w:bottom w:val="single" w:sz="4" w:space="0" w:color="auto"/>
              <w:right w:val="single" w:sz="4" w:space="0" w:color="auto"/>
            </w:tcBorders>
            <w:shd w:val="clear" w:color="000000" w:fill="D9D9D9"/>
            <w:noWrap/>
            <w:vAlign w:val="center"/>
            <w:hideMark/>
          </w:tcPr>
          <w:p w14:paraId="79CAF5C6" w14:textId="77777777" w:rsidR="006A00DF" w:rsidRPr="002105F5" w:rsidRDefault="006A00DF" w:rsidP="007E7442">
            <w:pPr>
              <w:spacing w:after="0" w:line="480" w:lineRule="auto"/>
              <w:jc w:val="center"/>
              <w:rPr>
                <w:rFonts w:ascii="Calibri" w:hAnsi="Calibri"/>
                <w:color w:val="FF0000"/>
              </w:rPr>
            </w:pPr>
            <w:r w:rsidRPr="002105F5">
              <w:rPr>
                <w:rFonts w:ascii="Calibri" w:hAnsi="Calibri"/>
                <w:color w:val="FF0000"/>
              </w:rPr>
              <w:t>-233.8</w:t>
            </w:r>
          </w:p>
        </w:tc>
        <w:tc>
          <w:tcPr>
            <w:tcW w:w="960" w:type="dxa"/>
            <w:tcBorders>
              <w:top w:val="nil"/>
              <w:left w:val="nil"/>
              <w:bottom w:val="single" w:sz="4" w:space="0" w:color="auto"/>
              <w:right w:val="single" w:sz="4" w:space="0" w:color="auto"/>
            </w:tcBorders>
            <w:shd w:val="clear" w:color="000000" w:fill="D9D9D9"/>
            <w:noWrap/>
            <w:vAlign w:val="center"/>
            <w:hideMark/>
          </w:tcPr>
          <w:p w14:paraId="7A43A928" w14:textId="77777777" w:rsidR="006A00DF" w:rsidRDefault="006A00DF" w:rsidP="007E7442">
            <w:pPr>
              <w:spacing w:after="0" w:line="480" w:lineRule="auto"/>
              <w:jc w:val="center"/>
              <w:rPr>
                <w:rFonts w:ascii="Calibri" w:hAnsi="Calibri"/>
                <w:color w:val="000000"/>
              </w:rPr>
            </w:pPr>
            <w:r>
              <w:rPr>
                <w:rFonts w:ascii="Calibri" w:hAnsi="Calibri"/>
                <w:color w:val="000000"/>
              </w:rPr>
              <w:t>38.0</w:t>
            </w:r>
          </w:p>
        </w:tc>
        <w:tc>
          <w:tcPr>
            <w:tcW w:w="1321" w:type="dxa"/>
            <w:tcBorders>
              <w:top w:val="nil"/>
              <w:left w:val="nil"/>
              <w:bottom w:val="single" w:sz="4" w:space="0" w:color="auto"/>
              <w:right w:val="single" w:sz="4" w:space="0" w:color="auto"/>
            </w:tcBorders>
            <w:shd w:val="clear" w:color="000000" w:fill="D9D9D9"/>
            <w:noWrap/>
            <w:vAlign w:val="center"/>
            <w:hideMark/>
          </w:tcPr>
          <w:p w14:paraId="10BD6A08" w14:textId="77777777" w:rsidR="006A00DF" w:rsidRPr="00B22599" w:rsidRDefault="006A00DF" w:rsidP="007E7442">
            <w:pPr>
              <w:spacing w:after="0" w:line="480" w:lineRule="auto"/>
              <w:jc w:val="center"/>
              <w:rPr>
                <w:rFonts w:ascii="Calibri" w:eastAsia="Times New Roman" w:hAnsi="Calibri" w:cs="Times New Roman"/>
                <w:color w:val="000000"/>
                <w:lang w:eastAsia="en-GB"/>
              </w:rPr>
            </w:pPr>
            <w:r w:rsidRPr="002105F5">
              <w:rPr>
                <w:rFonts w:ascii="Calibri" w:eastAsia="Times New Roman" w:hAnsi="Calibri" w:cs="Times New Roman"/>
                <w:color w:val="FF0000"/>
                <w:lang w:eastAsia="en-GB"/>
              </w:rPr>
              <w:t>-198.4</w:t>
            </w:r>
          </w:p>
        </w:tc>
        <w:tc>
          <w:tcPr>
            <w:tcW w:w="1321" w:type="dxa"/>
            <w:tcBorders>
              <w:top w:val="nil"/>
              <w:left w:val="nil"/>
              <w:bottom w:val="single" w:sz="4" w:space="0" w:color="auto"/>
              <w:right w:val="single" w:sz="4" w:space="0" w:color="auto"/>
            </w:tcBorders>
            <w:shd w:val="clear" w:color="000000" w:fill="D9D9D9"/>
            <w:noWrap/>
            <w:vAlign w:val="center"/>
            <w:hideMark/>
          </w:tcPr>
          <w:p w14:paraId="4D996A2E" w14:textId="77777777" w:rsidR="006A00DF" w:rsidRPr="00B22599" w:rsidRDefault="006A00DF" w:rsidP="007E7442">
            <w:pPr>
              <w:spacing w:after="0" w:line="48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33.4</w:t>
            </w:r>
          </w:p>
        </w:tc>
        <w:tc>
          <w:tcPr>
            <w:tcW w:w="1184" w:type="dxa"/>
            <w:tcBorders>
              <w:top w:val="nil"/>
              <w:left w:val="nil"/>
              <w:bottom w:val="single" w:sz="4" w:space="0" w:color="auto"/>
              <w:right w:val="single" w:sz="8" w:space="0" w:color="auto"/>
            </w:tcBorders>
            <w:shd w:val="clear" w:color="000000" w:fill="D9D9D9"/>
            <w:noWrap/>
            <w:vAlign w:val="center"/>
            <w:hideMark/>
          </w:tcPr>
          <w:p w14:paraId="118B462C" w14:textId="77777777" w:rsidR="006A00DF" w:rsidRPr="00B22599" w:rsidRDefault="006A00DF" w:rsidP="007E7442">
            <w:pPr>
              <w:spacing w:after="0" w:line="480" w:lineRule="auto"/>
              <w:jc w:val="center"/>
              <w:rPr>
                <w:rFonts w:ascii="Calibri" w:eastAsia="Times New Roman" w:hAnsi="Calibri" w:cs="Times New Roman"/>
                <w:color w:val="000000"/>
                <w:lang w:eastAsia="en-GB"/>
              </w:rPr>
            </w:pPr>
            <w:r w:rsidRPr="00B22599">
              <w:rPr>
                <w:rFonts w:ascii="Calibri" w:eastAsia="Times New Roman" w:hAnsi="Calibri" w:cs="Times New Roman"/>
                <w:color w:val="000000"/>
                <w:lang w:eastAsia="en-GB"/>
              </w:rPr>
              <w:t>Dominates</w:t>
            </w:r>
          </w:p>
        </w:tc>
      </w:tr>
      <w:tr w:rsidR="006A00DF" w:rsidRPr="00B22599" w14:paraId="1C628514" w14:textId="77777777" w:rsidTr="007E7442">
        <w:trPr>
          <w:trHeight w:val="300"/>
        </w:trPr>
        <w:tc>
          <w:tcPr>
            <w:tcW w:w="13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A65A62" w14:textId="77777777" w:rsidR="006A00DF" w:rsidRPr="00B22599" w:rsidRDefault="006A00DF" w:rsidP="007E7442">
            <w:pPr>
              <w:spacing w:after="0" w:line="480" w:lineRule="auto"/>
              <w:jc w:val="center"/>
              <w:rPr>
                <w:rFonts w:ascii="Calibri" w:eastAsia="Times New Roman" w:hAnsi="Calibri" w:cs="Times New Roman"/>
                <w:color w:val="000000"/>
                <w:lang w:eastAsia="en-GB"/>
              </w:rPr>
            </w:pPr>
            <w:r w:rsidRPr="00B22599">
              <w:rPr>
                <w:rFonts w:ascii="Calibri" w:eastAsia="Times New Roman" w:hAnsi="Calibri" w:cs="Times New Roman"/>
                <w:color w:val="000000"/>
                <w:lang w:eastAsia="en-GB"/>
              </w:rPr>
              <w:t>Netherlands</w:t>
            </w:r>
          </w:p>
        </w:tc>
        <w:tc>
          <w:tcPr>
            <w:tcW w:w="979" w:type="dxa"/>
            <w:tcBorders>
              <w:top w:val="nil"/>
              <w:left w:val="nil"/>
              <w:bottom w:val="single" w:sz="4" w:space="0" w:color="auto"/>
              <w:right w:val="single" w:sz="4" w:space="0" w:color="auto"/>
            </w:tcBorders>
            <w:shd w:val="clear" w:color="auto" w:fill="auto"/>
            <w:noWrap/>
            <w:vAlign w:val="bottom"/>
            <w:hideMark/>
          </w:tcPr>
          <w:p w14:paraId="3FE62590" w14:textId="77777777" w:rsidR="006A00DF" w:rsidRPr="00B22599" w:rsidRDefault="006A00DF" w:rsidP="007E7442">
            <w:pPr>
              <w:spacing w:after="0" w:line="480" w:lineRule="auto"/>
              <w:rPr>
                <w:rFonts w:ascii="Calibri" w:eastAsia="Times New Roman" w:hAnsi="Calibri" w:cs="Times New Roman"/>
                <w:color w:val="000000"/>
                <w:lang w:eastAsia="en-GB"/>
              </w:rPr>
            </w:pPr>
            <w:r w:rsidRPr="00B22599">
              <w:rPr>
                <w:rFonts w:ascii="Calibri" w:eastAsia="Times New Roman" w:hAnsi="Calibri" w:cs="Times New Roman"/>
                <w:color w:val="000000"/>
                <w:lang w:eastAsia="en-GB"/>
              </w:rPr>
              <w:t>Control</w:t>
            </w:r>
          </w:p>
        </w:tc>
        <w:tc>
          <w:tcPr>
            <w:tcW w:w="1291" w:type="dxa"/>
            <w:tcBorders>
              <w:top w:val="nil"/>
              <w:left w:val="nil"/>
              <w:bottom w:val="single" w:sz="4" w:space="0" w:color="auto"/>
              <w:right w:val="single" w:sz="4" w:space="0" w:color="auto"/>
            </w:tcBorders>
            <w:shd w:val="clear" w:color="auto" w:fill="auto"/>
            <w:noWrap/>
            <w:vAlign w:val="center"/>
            <w:hideMark/>
          </w:tcPr>
          <w:p w14:paraId="7B3BD57C" w14:textId="77777777" w:rsidR="006A00DF" w:rsidRPr="002105F5" w:rsidRDefault="006A00DF" w:rsidP="007E7442">
            <w:pPr>
              <w:spacing w:after="0" w:line="480" w:lineRule="auto"/>
              <w:jc w:val="center"/>
              <w:rPr>
                <w:rFonts w:ascii="Calibri" w:hAnsi="Calibri"/>
                <w:color w:val="FF0000"/>
              </w:rPr>
            </w:pPr>
            <w:r w:rsidRPr="002105F5">
              <w:rPr>
                <w:rFonts w:ascii="Calibri" w:hAnsi="Calibri"/>
                <w:color w:val="FF0000"/>
              </w:rPr>
              <w:t>-4.0</w:t>
            </w:r>
          </w:p>
        </w:tc>
        <w:tc>
          <w:tcPr>
            <w:tcW w:w="960" w:type="dxa"/>
            <w:tcBorders>
              <w:top w:val="nil"/>
              <w:left w:val="nil"/>
              <w:bottom w:val="single" w:sz="4" w:space="0" w:color="auto"/>
              <w:right w:val="single" w:sz="4" w:space="0" w:color="auto"/>
            </w:tcBorders>
            <w:shd w:val="clear" w:color="auto" w:fill="auto"/>
            <w:noWrap/>
            <w:vAlign w:val="center"/>
            <w:hideMark/>
          </w:tcPr>
          <w:p w14:paraId="4179DD86" w14:textId="77777777" w:rsidR="006A00DF" w:rsidRDefault="006A00DF" w:rsidP="007E7442">
            <w:pPr>
              <w:spacing w:after="0" w:line="480" w:lineRule="auto"/>
              <w:jc w:val="center"/>
              <w:rPr>
                <w:rFonts w:ascii="Calibri" w:hAnsi="Calibri"/>
                <w:color w:val="000000"/>
              </w:rPr>
            </w:pPr>
            <w:r>
              <w:rPr>
                <w:rFonts w:ascii="Calibri" w:hAnsi="Calibri"/>
                <w:color w:val="000000"/>
              </w:rPr>
              <w:t>1.0</w:t>
            </w:r>
          </w:p>
        </w:tc>
        <w:tc>
          <w:tcPr>
            <w:tcW w:w="3826" w:type="dxa"/>
            <w:gridSpan w:val="3"/>
            <w:tcBorders>
              <w:top w:val="single" w:sz="4" w:space="0" w:color="auto"/>
              <w:left w:val="nil"/>
              <w:bottom w:val="single" w:sz="4" w:space="0" w:color="auto"/>
              <w:right w:val="single" w:sz="4" w:space="0" w:color="000000"/>
            </w:tcBorders>
            <w:shd w:val="clear" w:color="000000" w:fill="000000"/>
            <w:noWrap/>
            <w:vAlign w:val="center"/>
            <w:hideMark/>
          </w:tcPr>
          <w:p w14:paraId="7B3431AC" w14:textId="77777777" w:rsidR="006A00DF" w:rsidRPr="00B22599" w:rsidRDefault="006A00DF" w:rsidP="007E7442">
            <w:pPr>
              <w:spacing w:after="0" w:line="480" w:lineRule="auto"/>
              <w:jc w:val="center"/>
              <w:rPr>
                <w:rFonts w:ascii="Calibri" w:eastAsia="Times New Roman" w:hAnsi="Calibri" w:cs="Times New Roman"/>
                <w:color w:val="000000"/>
                <w:lang w:eastAsia="en-GB"/>
              </w:rPr>
            </w:pPr>
          </w:p>
        </w:tc>
      </w:tr>
      <w:tr w:rsidR="006A00DF" w:rsidRPr="00B22599" w14:paraId="0E18DB48" w14:textId="77777777" w:rsidTr="007E7442">
        <w:trPr>
          <w:trHeight w:val="300"/>
        </w:trPr>
        <w:tc>
          <w:tcPr>
            <w:tcW w:w="1316" w:type="dxa"/>
            <w:vMerge/>
            <w:tcBorders>
              <w:top w:val="nil"/>
              <w:left w:val="single" w:sz="4" w:space="0" w:color="auto"/>
              <w:bottom w:val="single" w:sz="4" w:space="0" w:color="auto"/>
              <w:right w:val="single" w:sz="4" w:space="0" w:color="auto"/>
            </w:tcBorders>
            <w:vAlign w:val="center"/>
            <w:hideMark/>
          </w:tcPr>
          <w:p w14:paraId="0A9811D5" w14:textId="77777777" w:rsidR="006A00DF" w:rsidRPr="00B22599" w:rsidRDefault="006A00DF" w:rsidP="007E7442">
            <w:pPr>
              <w:spacing w:after="0" w:line="480" w:lineRule="auto"/>
              <w:rPr>
                <w:rFonts w:ascii="Calibri" w:eastAsia="Times New Roman" w:hAnsi="Calibri" w:cs="Times New Roman"/>
                <w:color w:val="000000"/>
                <w:lang w:eastAsia="en-GB"/>
              </w:rPr>
            </w:pPr>
          </w:p>
        </w:tc>
        <w:tc>
          <w:tcPr>
            <w:tcW w:w="979" w:type="dxa"/>
            <w:tcBorders>
              <w:top w:val="nil"/>
              <w:left w:val="nil"/>
              <w:bottom w:val="single" w:sz="4" w:space="0" w:color="auto"/>
              <w:right w:val="single" w:sz="4" w:space="0" w:color="auto"/>
            </w:tcBorders>
            <w:shd w:val="clear" w:color="auto" w:fill="auto"/>
            <w:noWrap/>
            <w:vAlign w:val="bottom"/>
            <w:hideMark/>
          </w:tcPr>
          <w:p w14:paraId="06F0C963" w14:textId="77777777" w:rsidR="006A00DF" w:rsidRPr="00B22599" w:rsidRDefault="006A00DF" w:rsidP="007E7442">
            <w:pPr>
              <w:spacing w:after="0" w:line="480" w:lineRule="auto"/>
              <w:rPr>
                <w:rFonts w:ascii="Calibri" w:eastAsia="Times New Roman" w:hAnsi="Calibri" w:cs="Times New Roman"/>
                <w:color w:val="000000"/>
                <w:lang w:eastAsia="en-GB"/>
              </w:rPr>
            </w:pPr>
            <w:r w:rsidRPr="00B22599">
              <w:rPr>
                <w:rFonts w:ascii="Calibri" w:eastAsia="Times New Roman" w:hAnsi="Calibri" w:cs="Times New Roman"/>
                <w:color w:val="000000"/>
                <w:lang w:eastAsia="en-GB"/>
              </w:rPr>
              <w:t>eBI</w:t>
            </w:r>
          </w:p>
        </w:tc>
        <w:tc>
          <w:tcPr>
            <w:tcW w:w="1291" w:type="dxa"/>
            <w:tcBorders>
              <w:top w:val="nil"/>
              <w:left w:val="nil"/>
              <w:bottom w:val="single" w:sz="4" w:space="0" w:color="auto"/>
              <w:right w:val="single" w:sz="4" w:space="0" w:color="auto"/>
            </w:tcBorders>
            <w:shd w:val="clear" w:color="auto" w:fill="auto"/>
            <w:noWrap/>
            <w:vAlign w:val="center"/>
            <w:hideMark/>
          </w:tcPr>
          <w:p w14:paraId="5E6A867F" w14:textId="77777777" w:rsidR="006A00DF" w:rsidRPr="002105F5" w:rsidRDefault="006A00DF" w:rsidP="007E7442">
            <w:pPr>
              <w:spacing w:after="0" w:line="480" w:lineRule="auto"/>
              <w:jc w:val="center"/>
              <w:rPr>
                <w:rFonts w:ascii="Calibri" w:hAnsi="Calibri"/>
                <w:color w:val="FF0000"/>
              </w:rPr>
            </w:pPr>
            <w:r w:rsidRPr="002105F5">
              <w:rPr>
                <w:rFonts w:ascii="Calibri" w:hAnsi="Calibri"/>
                <w:color w:val="FF0000"/>
              </w:rPr>
              <w:t>-7.9</w:t>
            </w:r>
          </w:p>
        </w:tc>
        <w:tc>
          <w:tcPr>
            <w:tcW w:w="960" w:type="dxa"/>
            <w:tcBorders>
              <w:top w:val="nil"/>
              <w:left w:val="nil"/>
              <w:bottom w:val="single" w:sz="4" w:space="0" w:color="auto"/>
              <w:right w:val="single" w:sz="4" w:space="0" w:color="auto"/>
            </w:tcBorders>
            <w:shd w:val="clear" w:color="auto" w:fill="auto"/>
            <w:noWrap/>
            <w:vAlign w:val="center"/>
            <w:hideMark/>
          </w:tcPr>
          <w:p w14:paraId="37B6A46F" w14:textId="77777777" w:rsidR="006A00DF" w:rsidRDefault="006A00DF" w:rsidP="007E7442">
            <w:pPr>
              <w:spacing w:after="0" w:line="480" w:lineRule="auto"/>
              <w:jc w:val="center"/>
              <w:rPr>
                <w:rFonts w:ascii="Calibri" w:hAnsi="Calibri"/>
                <w:color w:val="000000"/>
              </w:rPr>
            </w:pPr>
            <w:r>
              <w:rPr>
                <w:rFonts w:ascii="Calibri" w:hAnsi="Calibri"/>
                <w:color w:val="000000"/>
              </w:rPr>
              <w:t>1.3</w:t>
            </w:r>
          </w:p>
        </w:tc>
        <w:tc>
          <w:tcPr>
            <w:tcW w:w="1321" w:type="dxa"/>
            <w:tcBorders>
              <w:top w:val="nil"/>
              <w:left w:val="nil"/>
              <w:bottom w:val="single" w:sz="4" w:space="0" w:color="auto"/>
              <w:right w:val="single" w:sz="4" w:space="0" w:color="auto"/>
            </w:tcBorders>
            <w:shd w:val="clear" w:color="auto" w:fill="auto"/>
            <w:noWrap/>
            <w:vAlign w:val="center"/>
            <w:hideMark/>
          </w:tcPr>
          <w:p w14:paraId="74CEF82F" w14:textId="77777777" w:rsidR="006A00DF" w:rsidRPr="00B22599" w:rsidRDefault="006A00DF" w:rsidP="007E7442">
            <w:pPr>
              <w:spacing w:after="0" w:line="480" w:lineRule="auto"/>
              <w:jc w:val="center"/>
              <w:rPr>
                <w:rFonts w:ascii="Calibri" w:eastAsia="Times New Roman" w:hAnsi="Calibri" w:cs="Times New Roman"/>
                <w:color w:val="000000"/>
                <w:lang w:eastAsia="en-GB"/>
              </w:rPr>
            </w:pPr>
            <w:r w:rsidRPr="00B22599">
              <w:rPr>
                <w:rFonts w:ascii="Calibri" w:eastAsia="Times New Roman" w:hAnsi="Calibri" w:cs="Times New Roman"/>
                <w:color w:val="FF0000"/>
                <w:lang w:eastAsia="en-GB"/>
              </w:rPr>
              <w:t>-3.9</w:t>
            </w:r>
          </w:p>
        </w:tc>
        <w:tc>
          <w:tcPr>
            <w:tcW w:w="1321" w:type="dxa"/>
            <w:tcBorders>
              <w:top w:val="nil"/>
              <w:left w:val="nil"/>
              <w:bottom w:val="single" w:sz="4" w:space="0" w:color="auto"/>
              <w:right w:val="single" w:sz="4" w:space="0" w:color="auto"/>
            </w:tcBorders>
            <w:shd w:val="clear" w:color="auto" w:fill="auto"/>
            <w:noWrap/>
            <w:vAlign w:val="center"/>
            <w:hideMark/>
          </w:tcPr>
          <w:p w14:paraId="43141650" w14:textId="77777777" w:rsidR="006A00DF" w:rsidRPr="00B22599" w:rsidRDefault="006A00DF" w:rsidP="007E7442">
            <w:pPr>
              <w:spacing w:after="0" w:line="48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0.4</w:t>
            </w:r>
          </w:p>
        </w:tc>
        <w:tc>
          <w:tcPr>
            <w:tcW w:w="1184" w:type="dxa"/>
            <w:tcBorders>
              <w:top w:val="nil"/>
              <w:left w:val="nil"/>
              <w:bottom w:val="single" w:sz="4" w:space="0" w:color="auto"/>
              <w:right w:val="single" w:sz="8" w:space="0" w:color="auto"/>
            </w:tcBorders>
            <w:shd w:val="clear" w:color="auto" w:fill="auto"/>
            <w:noWrap/>
            <w:vAlign w:val="center"/>
            <w:hideMark/>
          </w:tcPr>
          <w:p w14:paraId="74A8E2FC" w14:textId="77777777" w:rsidR="006A00DF" w:rsidRPr="00B22599" w:rsidRDefault="006A00DF" w:rsidP="007E7442">
            <w:pPr>
              <w:spacing w:after="0" w:line="480" w:lineRule="auto"/>
              <w:jc w:val="center"/>
              <w:rPr>
                <w:rFonts w:ascii="Calibri" w:eastAsia="Times New Roman" w:hAnsi="Calibri" w:cs="Times New Roman"/>
                <w:color w:val="000000"/>
                <w:lang w:eastAsia="en-GB"/>
              </w:rPr>
            </w:pPr>
            <w:r w:rsidRPr="00B22599">
              <w:rPr>
                <w:rFonts w:ascii="Calibri" w:eastAsia="Times New Roman" w:hAnsi="Calibri" w:cs="Times New Roman"/>
                <w:color w:val="000000"/>
                <w:lang w:eastAsia="en-GB"/>
              </w:rPr>
              <w:t>Dominates</w:t>
            </w:r>
          </w:p>
        </w:tc>
      </w:tr>
      <w:tr w:rsidR="006A00DF" w:rsidRPr="00B22599" w14:paraId="10ADF4B2" w14:textId="77777777" w:rsidTr="007E7442">
        <w:trPr>
          <w:trHeight w:val="300"/>
        </w:trPr>
        <w:tc>
          <w:tcPr>
            <w:tcW w:w="1316" w:type="dxa"/>
            <w:vMerge/>
            <w:tcBorders>
              <w:top w:val="nil"/>
              <w:left w:val="single" w:sz="4" w:space="0" w:color="auto"/>
              <w:bottom w:val="single" w:sz="4" w:space="0" w:color="auto"/>
              <w:right w:val="single" w:sz="4" w:space="0" w:color="auto"/>
            </w:tcBorders>
            <w:vAlign w:val="center"/>
            <w:hideMark/>
          </w:tcPr>
          <w:p w14:paraId="6AA104D6" w14:textId="77777777" w:rsidR="006A00DF" w:rsidRPr="00B22599" w:rsidRDefault="006A00DF" w:rsidP="007E7442">
            <w:pPr>
              <w:spacing w:after="0" w:line="480" w:lineRule="auto"/>
              <w:rPr>
                <w:rFonts w:ascii="Calibri" w:eastAsia="Times New Roman" w:hAnsi="Calibri" w:cs="Times New Roman"/>
                <w:color w:val="000000"/>
                <w:lang w:eastAsia="en-GB"/>
              </w:rPr>
            </w:pPr>
          </w:p>
        </w:tc>
        <w:tc>
          <w:tcPr>
            <w:tcW w:w="979" w:type="dxa"/>
            <w:tcBorders>
              <w:top w:val="nil"/>
              <w:left w:val="nil"/>
              <w:bottom w:val="single" w:sz="4" w:space="0" w:color="auto"/>
              <w:right w:val="single" w:sz="4" w:space="0" w:color="auto"/>
            </w:tcBorders>
            <w:shd w:val="clear" w:color="auto" w:fill="auto"/>
            <w:noWrap/>
            <w:vAlign w:val="bottom"/>
            <w:hideMark/>
          </w:tcPr>
          <w:p w14:paraId="3E4381F9" w14:textId="77777777" w:rsidR="006A00DF" w:rsidRPr="00B22599" w:rsidRDefault="006A00DF" w:rsidP="007E7442">
            <w:pPr>
              <w:spacing w:after="0" w:line="480" w:lineRule="auto"/>
              <w:rPr>
                <w:rFonts w:ascii="Calibri" w:eastAsia="Times New Roman" w:hAnsi="Calibri" w:cs="Times New Roman"/>
                <w:color w:val="000000"/>
                <w:lang w:eastAsia="en-GB"/>
              </w:rPr>
            </w:pPr>
            <w:r w:rsidRPr="00B22599">
              <w:rPr>
                <w:rFonts w:ascii="Calibri" w:eastAsia="Times New Roman" w:hAnsi="Calibri" w:cs="Times New Roman"/>
                <w:color w:val="000000"/>
                <w:lang w:eastAsia="en-GB"/>
              </w:rPr>
              <w:t>TS</w:t>
            </w:r>
          </w:p>
        </w:tc>
        <w:tc>
          <w:tcPr>
            <w:tcW w:w="1291" w:type="dxa"/>
            <w:tcBorders>
              <w:top w:val="nil"/>
              <w:left w:val="nil"/>
              <w:bottom w:val="single" w:sz="4" w:space="0" w:color="auto"/>
              <w:right w:val="single" w:sz="4" w:space="0" w:color="auto"/>
            </w:tcBorders>
            <w:shd w:val="clear" w:color="auto" w:fill="auto"/>
            <w:noWrap/>
            <w:vAlign w:val="center"/>
            <w:hideMark/>
          </w:tcPr>
          <w:p w14:paraId="3EDE0D71" w14:textId="77777777" w:rsidR="006A00DF" w:rsidRPr="002105F5" w:rsidRDefault="006A00DF" w:rsidP="007E7442">
            <w:pPr>
              <w:spacing w:after="0" w:line="480" w:lineRule="auto"/>
              <w:jc w:val="center"/>
              <w:rPr>
                <w:rFonts w:ascii="Calibri" w:hAnsi="Calibri"/>
                <w:color w:val="FF0000"/>
              </w:rPr>
            </w:pPr>
            <w:r w:rsidRPr="002105F5">
              <w:rPr>
                <w:rFonts w:ascii="Calibri" w:hAnsi="Calibri"/>
                <w:color w:val="FF0000"/>
              </w:rPr>
              <w:t>-3.9</w:t>
            </w:r>
          </w:p>
        </w:tc>
        <w:tc>
          <w:tcPr>
            <w:tcW w:w="960" w:type="dxa"/>
            <w:tcBorders>
              <w:top w:val="nil"/>
              <w:left w:val="nil"/>
              <w:bottom w:val="single" w:sz="4" w:space="0" w:color="auto"/>
              <w:right w:val="single" w:sz="4" w:space="0" w:color="auto"/>
            </w:tcBorders>
            <w:shd w:val="clear" w:color="auto" w:fill="auto"/>
            <w:noWrap/>
            <w:vAlign w:val="center"/>
            <w:hideMark/>
          </w:tcPr>
          <w:p w14:paraId="67B675AD" w14:textId="77777777" w:rsidR="006A00DF" w:rsidRDefault="006A00DF" w:rsidP="007E7442">
            <w:pPr>
              <w:spacing w:after="0" w:line="480" w:lineRule="auto"/>
              <w:jc w:val="center"/>
              <w:rPr>
                <w:rFonts w:ascii="Calibri" w:hAnsi="Calibri"/>
                <w:color w:val="000000"/>
              </w:rPr>
            </w:pPr>
            <w:r>
              <w:rPr>
                <w:rFonts w:ascii="Calibri" w:hAnsi="Calibri"/>
                <w:color w:val="000000"/>
              </w:rPr>
              <w:t>2.5</w:t>
            </w:r>
          </w:p>
        </w:tc>
        <w:tc>
          <w:tcPr>
            <w:tcW w:w="1321" w:type="dxa"/>
            <w:tcBorders>
              <w:top w:val="nil"/>
              <w:left w:val="nil"/>
              <w:bottom w:val="single" w:sz="4" w:space="0" w:color="auto"/>
              <w:right w:val="single" w:sz="4" w:space="0" w:color="auto"/>
            </w:tcBorders>
            <w:shd w:val="clear" w:color="auto" w:fill="auto"/>
            <w:noWrap/>
            <w:vAlign w:val="center"/>
            <w:hideMark/>
          </w:tcPr>
          <w:p w14:paraId="5DCD4E94" w14:textId="77777777" w:rsidR="006A00DF" w:rsidRPr="00B22599" w:rsidRDefault="006A00DF" w:rsidP="007E7442">
            <w:pPr>
              <w:spacing w:after="0" w:line="48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4.0</w:t>
            </w:r>
          </w:p>
        </w:tc>
        <w:tc>
          <w:tcPr>
            <w:tcW w:w="1321" w:type="dxa"/>
            <w:tcBorders>
              <w:top w:val="nil"/>
              <w:left w:val="nil"/>
              <w:bottom w:val="single" w:sz="4" w:space="0" w:color="auto"/>
              <w:right w:val="single" w:sz="4" w:space="0" w:color="auto"/>
            </w:tcBorders>
            <w:shd w:val="clear" w:color="auto" w:fill="auto"/>
            <w:noWrap/>
            <w:vAlign w:val="center"/>
            <w:hideMark/>
          </w:tcPr>
          <w:p w14:paraId="284C70B7" w14:textId="77777777" w:rsidR="006A00DF" w:rsidRPr="00B22599" w:rsidRDefault="006A00DF" w:rsidP="007E7442">
            <w:pPr>
              <w:spacing w:after="0" w:line="48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w:t>
            </w:r>
          </w:p>
        </w:tc>
        <w:tc>
          <w:tcPr>
            <w:tcW w:w="1184" w:type="dxa"/>
            <w:tcBorders>
              <w:top w:val="nil"/>
              <w:left w:val="nil"/>
              <w:bottom w:val="single" w:sz="4" w:space="0" w:color="auto"/>
              <w:right w:val="single" w:sz="8" w:space="0" w:color="auto"/>
            </w:tcBorders>
            <w:shd w:val="clear" w:color="auto" w:fill="auto"/>
            <w:noWrap/>
            <w:vAlign w:val="center"/>
            <w:hideMark/>
          </w:tcPr>
          <w:p w14:paraId="178CD401" w14:textId="77777777" w:rsidR="006A00DF" w:rsidRPr="00B22599" w:rsidRDefault="006A00DF" w:rsidP="007E7442">
            <w:pPr>
              <w:spacing w:after="0" w:line="480" w:lineRule="auto"/>
              <w:jc w:val="center"/>
              <w:rPr>
                <w:rFonts w:ascii="Calibri" w:eastAsia="Times New Roman" w:hAnsi="Calibri" w:cs="Times New Roman"/>
                <w:color w:val="000000"/>
                <w:lang w:eastAsia="en-GB"/>
              </w:rPr>
            </w:pPr>
            <w:r w:rsidRPr="00B22599">
              <w:rPr>
                <w:rFonts w:ascii="Calibri" w:eastAsia="Times New Roman" w:hAnsi="Calibri" w:cs="Times New Roman"/>
                <w:color w:val="000000"/>
                <w:lang w:eastAsia="en-GB"/>
              </w:rPr>
              <w:t>€ 3,386</w:t>
            </w:r>
          </w:p>
        </w:tc>
      </w:tr>
      <w:tr w:rsidR="006A00DF" w:rsidRPr="00B22599" w14:paraId="5010F1C2" w14:textId="77777777" w:rsidTr="007E7442">
        <w:trPr>
          <w:trHeight w:val="300"/>
        </w:trPr>
        <w:tc>
          <w:tcPr>
            <w:tcW w:w="1316"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7C910B54" w14:textId="77777777" w:rsidR="006A00DF" w:rsidRPr="00B22599" w:rsidRDefault="006A00DF" w:rsidP="007E7442">
            <w:pPr>
              <w:spacing w:after="0" w:line="480" w:lineRule="auto"/>
              <w:jc w:val="center"/>
              <w:rPr>
                <w:rFonts w:ascii="Calibri" w:eastAsia="Times New Roman" w:hAnsi="Calibri" w:cs="Times New Roman"/>
                <w:color w:val="000000"/>
                <w:lang w:eastAsia="en-GB"/>
              </w:rPr>
            </w:pPr>
            <w:r w:rsidRPr="00B22599">
              <w:rPr>
                <w:rFonts w:ascii="Calibri" w:eastAsia="Times New Roman" w:hAnsi="Calibri" w:cs="Times New Roman"/>
                <w:color w:val="000000"/>
                <w:lang w:eastAsia="en-GB"/>
              </w:rPr>
              <w:t>Poland</w:t>
            </w:r>
          </w:p>
        </w:tc>
        <w:tc>
          <w:tcPr>
            <w:tcW w:w="979" w:type="dxa"/>
            <w:tcBorders>
              <w:top w:val="nil"/>
              <w:left w:val="nil"/>
              <w:bottom w:val="single" w:sz="4" w:space="0" w:color="auto"/>
              <w:right w:val="single" w:sz="4" w:space="0" w:color="auto"/>
            </w:tcBorders>
            <w:shd w:val="clear" w:color="000000" w:fill="D9D9D9"/>
            <w:noWrap/>
            <w:vAlign w:val="bottom"/>
            <w:hideMark/>
          </w:tcPr>
          <w:p w14:paraId="636C9E55" w14:textId="77777777" w:rsidR="006A00DF" w:rsidRPr="00B22599" w:rsidRDefault="006A00DF" w:rsidP="007E7442">
            <w:pPr>
              <w:spacing w:after="0" w:line="480" w:lineRule="auto"/>
              <w:rPr>
                <w:rFonts w:ascii="Calibri" w:eastAsia="Times New Roman" w:hAnsi="Calibri" w:cs="Times New Roman"/>
                <w:color w:val="000000"/>
                <w:lang w:eastAsia="en-GB"/>
              </w:rPr>
            </w:pPr>
            <w:r w:rsidRPr="00B22599">
              <w:rPr>
                <w:rFonts w:ascii="Calibri" w:eastAsia="Times New Roman" w:hAnsi="Calibri" w:cs="Times New Roman"/>
                <w:color w:val="000000"/>
                <w:lang w:eastAsia="en-GB"/>
              </w:rPr>
              <w:t>Control</w:t>
            </w:r>
          </w:p>
        </w:tc>
        <w:tc>
          <w:tcPr>
            <w:tcW w:w="1291" w:type="dxa"/>
            <w:tcBorders>
              <w:top w:val="nil"/>
              <w:left w:val="nil"/>
              <w:bottom w:val="single" w:sz="4" w:space="0" w:color="auto"/>
              <w:right w:val="single" w:sz="4" w:space="0" w:color="auto"/>
            </w:tcBorders>
            <w:shd w:val="clear" w:color="000000" w:fill="D9D9D9"/>
            <w:noWrap/>
            <w:vAlign w:val="center"/>
            <w:hideMark/>
          </w:tcPr>
          <w:p w14:paraId="590316CB" w14:textId="77777777" w:rsidR="006A00DF" w:rsidRDefault="006A00DF" w:rsidP="007E7442">
            <w:pPr>
              <w:spacing w:after="0" w:line="480" w:lineRule="auto"/>
              <w:jc w:val="center"/>
              <w:rPr>
                <w:rFonts w:ascii="Calibri" w:hAnsi="Calibri"/>
                <w:color w:val="000000"/>
              </w:rPr>
            </w:pPr>
            <w:r>
              <w:rPr>
                <w:rFonts w:ascii="Calibri" w:hAnsi="Calibri"/>
                <w:color w:val="000000"/>
              </w:rPr>
              <w:t>0.8</w:t>
            </w:r>
          </w:p>
        </w:tc>
        <w:tc>
          <w:tcPr>
            <w:tcW w:w="960" w:type="dxa"/>
            <w:tcBorders>
              <w:top w:val="nil"/>
              <w:left w:val="nil"/>
              <w:bottom w:val="single" w:sz="4" w:space="0" w:color="auto"/>
              <w:right w:val="single" w:sz="4" w:space="0" w:color="auto"/>
            </w:tcBorders>
            <w:shd w:val="clear" w:color="000000" w:fill="D9D9D9"/>
            <w:noWrap/>
            <w:vAlign w:val="center"/>
            <w:hideMark/>
          </w:tcPr>
          <w:p w14:paraId="668E4382" w14:textId="77777777" w:rsidR="006A00DF" w:rsidRDefault="006A00DF" w:rsidP="007E7442">
            <w:pPr>
              <w:spacing w:after="0" w:line="480" w:lineRule="auto"/>
              <w:jc w:val="center"/>
              <w:rPr>
                <w:rFonts w:ascii="Calibri" w:hAnsi="Calibri"/>
                <w:color w:val="000000"/>
              </w:rPr>
            </w:pPr>
            <w:r>
              <w:rPr>
                <w:rFonts w:ascii="Calibri" w:hAnsi="Calibri"/>
                <w:color w:val="000000"/>
              </w:rPr>
              <w:t>0.1</w:t>
            </w:r>
          </w:p>
        </w:tc>
        <w:tc>
          <w:tcPr>
            <w:tcW w:w="3826" w:type="dxa"/>
            <w:gridSpan w:val="3"/>
            <w:tcBorders>
              <w:top w:val="single" w:sz="4" w:space="0" w:color="auto"/>
              <w:left w:val="nil"/>
              <w:bottom w:val="single" w:sz="4" w:space="0" w:color="auto"/>
              <w:right w:val="single" w:sz="4" w:space="0" w:color="000000"/>
            </w:tcBorders>
            <w:shd w:val="clear" w:color="000000" w:fill="000000"/>
            <w:noWrap/>
            <w:vAlign w:val="center"/>
            <w:hideMark/>
          </w:tcPr>
          <w:p w14:paraId="7AC0C34A" w14:textId="77777777" w:rsidR="006A00DF" w:rsidRPr="00B22599" w:rsidRDefault="006A00DF" w:rsidP="007E7442">
            <w:pPr>
              <w:spacing w:after="0" w:line="480" w:lineRule="auto"/>
              <w:jc w:val="center"/>
              <w:rPr>
                <w:rFonts w:ascii="Calibri" w:eastAsia="Times New Roman" w:hAnsi="Calibri" w:cs="Times New Roman"/>
                <w:color w:val="000000"/>
                <w:lang w:eastAsia="en-GB"/>
              </w:rPr>
            </w:pPr>
          </w:p>
        </w:tc>
      </w:tr>
      <w:tr w:rsidR="006A00DF" w:rsidRPr="00B22599" w14:paraId="1947763F" w14:textId="77777777" w:rsidTr="007E7442">
        <w:trPr>
          <w:trHeight w:val="300"/>
        </w:trPr>
        <w:tc>
          <w:tcPr>
            <w:tcW w:w="1316" w:type="dxa"/>
            <w:vMerge/>
            <w:tcBorders>
              <w:top w:val="nil"/>
              <w:left w:val="single" w:sz="4" w:space="0" w:color="auto"/>
              <w:bottom w:val="single" w:sz="4" w:space="0" w:color="000000"/>
              <w:right w:val="single" w:sz="4" w:space="0" w:color="auto"/>
            </w:tcBorders>
            <w:vAlign w:val="center"/>
            <w:hideMark/>
          </w:tcPr>
          <w:p w14:paraId="35176D54" w14:textId="77777777" w:rsidR="006A00DF" w:rsidRPr="00B22599" w:rsidRDefault="006A00DF" w:rsidP="007E7442">
            <w:pPr>
              <w:spacing w:after="0" w:line="480" w:lineRule="auto"/>
              <w:rPr>
                <w:rFonts w:ascii="Calibri" w:eastAsia="Times New Roman" w:hAnsi="Calibri" w:cs="Times New Roman"/>
                <w:color w:val="000000"/>
                <w:lang w:eastAsia="en-GB"/>
              </w:rPr>
            </w:pPr>
          </w:p>
        </w:tc>
        <w:tc>
          <w:tcPr>
            <w:tcW w:w="979" w:type="dxa"/>
            <w:tcBorders>
              <w:top w:val="nil"/>
              <w:left w:val="nil"/>
              <w:bottom w:val="single" w:sz="4" w:space="0" w:color="auto"/>
              <w:right w:val="single" w:sz="4" w:space="0" w:color="auto"/>
            </w:tcBorders>
            <w:shd w:val="clear" w:color="000000" w:fill="D9D9D9"/>
            <w:noWrap/>
            <w:vAlign w:val="bottom"/>
            <w:hideMark/>
          </w:tcPr>
          <w:p w14:paraId="5EC9FECA" w14:textId="77777777" w:rsidR="006A00DF" w:rsidRPr="00B22599" w:rsidRDefault="006A00DF" w:rsidP="007E7442">
            <w:pPr>
              <w:spacing w:after="0" w:line="480" w:lineRule="auto"/>
              <w:rPr>
                <w:rFonts w:ascii="Calibri" w:eastAsia="Times New Roman" w:hAnsi="Calibri" w:cs="Times New Roman"/>
                <w:color w:val="000000"/>
                <w:lang w:eastAsia="en-GB"/>
              </w:rPr>
            </w:pPr>
            <w:r w:rsidRPr="00B22599">
              <w:rPr>
                <w:rFonts w:ascii="Calibri" w:eastAsia="Times New Roman" w:hAnsi="Calibri" w:cs="Times New Roman"/>
                <w:color w:val="000000"/>
                <w:lang w:eastAsia="en-GB"/>
              </w:rPr>
              <w:t>TS</w:t>
            </w:r>
          </w:p>
        </w:tc>
        <w:tc>
          <w:tcPr>
            <w:tcW w:w="1291" w:type="dxa"/>
            <w:tcBorders>
              <w:top w:val="nil"/>
              <w:left w:val="nil"/>
              <w:bottom w:val="single" w:sz="4" w:space="0" w:color="auto"/>
              <w:right w:val="single" w:sz="4" w:space="0" w:color="auto"/>
            </w:tcBorders>
            <w:shd w:val="clear" w:color="000000" w:fill="D9D9D9"/>
            <w:noWrap/>
            <w:vAlign w:val="center"/>
            <w:hideMark/>
          </w:tcPr>
          <w:p w14:paraId="06406BF8" w14:textId="77777777" w:rsidR="006A00DF" w:rsidRDefault="006A00DF" w:rsidP="007E7442">
            <w:pPr>
              <w:spacing w:after="0" w:line="480" w:lineRule="auto"/>
              <w:jc w:val="center"/>
              <w:rPr>
                <w:rFonts w:ascii="Calibri" w:hAnsi="Calibri"/>
                <w:color w:val="000000"/>
              </w:rPr>
            </w:pPr>
            <w:r>
              <w:rPr>
                <w:rFonts w:ascii="Calibri" w:hAnsi="Calibri"/>
                <w:color w:val="000000"/>
              </w:rPr>
              <w:t>3.3</w:t>
            </w:r>
          </w:p>
        </w:tc>
        <w:tc>
          <w:tcPr>
            <w:tcW w:w="960" w:type="dxa"/>
            <w:tcBorders>
              <w:top w:val="nil"/>
              <w:left w:val="nil"/>
              <w:bottom w:val="single" w:sz="4" w:space="0" w:color="auto"/>
              <w:right w:val="single" w:sz="4" w:space="0" w:color="auto"/>
            </w:tcBorders>
            <w:shd w:val="clear" w:color="000000" w:fill="D9D9D9"/>
            <w:noWrap/>
            <w:vAlign w:val="center"/>
            <w:hideMark/>
          </w:tcPr>
          <w:p w14:paraId="707AC1BD" w14:textId="77777777" w:rsidR="006A00DF" w:rsidRDefault="006A00DF" w:rsidP="007E7442">
            <w:pPr>
              <w:spacing w:after="0" w:line="480" w:lineRule="auto"/>
              <w:jc w:val="center"/>
              <w:rPr>
                <w:rFonts w:ascii="Calibri" w:hAnsi="Calibri"/>
                <w:color w:val="000000"/>
              </w:rPr>
            </w:pPr>
            <w:r>
              <w:rPr>
                <w:rFonts w:ascii="Calibri" w:hAnsi="Calibri"/>
                <w:color w:val="000000"/>
              </w:rPr>
              <w:t>2.2</w:t>
            </w:r>
          </w:p>
        </w:tc>
        <w:tc>
          <w:tcPr>
            <w:tcW w:w="1321" w:type="dxa"/>
            <w:tcBorders>
              <w:top w:val="nil"/>
              <w:left w:val="nil"/>
              <w:bottom w:val="single" w:sz="4" w:space="0" w:color="auto"/>
              <w:right w:val="single" w:sz="4" w:space="0" w:color="auto"/>
            </w:tcBorders>
            <w:shd w:val="clear" w:color="000000" w:fill="D9D9D9"/>
            <w:noWrap/>
            <w:vAlign w:val="center"/>
            <w:hideMark/>
          </w:tcPr>
          <w:p w14:paraId="306755CA" w14:textId="77777777" w:rsidR="006A00DF" w:rsidRPr="00B22599" w:rsidRDefault="006A00DF" w:rsidP="007E7442">
            <w:pPr>
              <w:spacing w:after="0" w:line="48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2.5</w:t>
            </w:r>
          </w:p>
        </w:tc>
        <w:tc>
          <w:tcPr>
            <w:tcW w:w="1321" w:type="dxa"/>
            <w:tcBorders>
              <w:top w:val="nil"/>
              <w:left w:val="nil"/>
              <w:bottom w:val="single" w:sz="4" w:space="0" w:color="auto"/>
              <w:right w:val="single" w:sz="4" w:space="0" w:color="auto"/>
            </w:tcBorders>
            <w:shd w:val="clear" w:color="000000" w:fill="D9D9D9"/>
            <w:noWrap/>
            <w:vAlign w:val="center"/>
            <w:hideMark/>
          </w:tcPr>
          <w:p w14:paraId="0752F00B" w14:textId="77777777" w:rsidR="006A00DF" w:rsidRPr="00B22599" w:rsidRDefault="006A00DF" w:rsidP="007E7442">
            <w:pPr>
              <w:spacing w:after="0" w:line="48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2.1</w:t>
            </w:r>
          </w:p>
        </w:tc>
        <w:tc>
          <w:tcPr>
            <w:tcW w:w="1184" w:type="dxa"/>
            <w:tcBorders>
              <w:top w:val="nil"/>
              <w:left w:val="nil"/>
              <w:bottom w:val="single" w:sz="4" w:space="0" w:color="auto"/>
              <w:right w:val="single" w:sz="8" w:space="0" w:color="auto"/>
            </w:tcBorders>
            <w:shd w:val="clear" w:color="000000" w:fill="D9D9D9"/>
            <w:noWrap/>
            <w:vAlign w:val="center"/>
            <w:hideMark/>
          </w:tcPr>
          <w:p w14:paraId="13CF7851" w14:textId="77777777" w:rsidR="006A00DF" w:rsidRPr="00B22599" w:rsidRDefault="006A00DF" w:rsidP="007E7442">
            <w:pPr>
              <w:spacing w:after="0" w:line="480" w:lineRule="auto"/>
              <w:jc w:val="center"/>
              <w:rPr>
                <w:rFonts w:ascii="Calibri" w:eastAsia="Times New Roman" w:hAnsi="Calibri" w:cs="Times New Roman"/>
                <w:color w:val="000000"/>
                <w:lang w:eastAsia="en-GB"/>
              </w:rPr>
            </w:pPr>
            <w:r w:rsidRPr="00B22599">
              <w:rPr>
                <w:rFonts w:ascii="Calibri" w:eastAsia="Times New Roman" w:hAnsi="Calibri" w:cs="Times New Roman"/>
                <w:color w:val="000000"/>
                <w:lang w:eastAsia="en-GB"/>
              </w:rPr>
              <w:t>€ 1,168</w:t>
            </w:r>
          </w:p>
        </w:tc>
      </w:tr>
      <w:tr w:rsidR="006A00DF" w:rsidRPr="00B22599" w14:paraId="77DBDC42" w14:textId="77777777" w:rsidTr="007E7442">
        <w:trPr>
          <w:trHeight w:val="300"/>
        </w:trPr>
        <w:tc>
          <w:tcPr>
            <w:tcW w:w="1316" w:type="dxa"/>
            <w:vMerge/>
            <w:tcBorders>
              <w:top w:val="nil"/>
              <w:left w:val="single" w:sz="4" w:space="0" w:color="auto"/>
              <w:bottom w:val="single" w:sz="4" w:space="0" w:color="000000"/>
              <w:right w:val="single" w:sz="4" w:space="0" w:color="auto"/>
            </w:tcBorders>
            <w:vAlign w:val="center"/>
            <w:hideMark/>
          </w:tcPr>
          <w:p w14:paraId="659018EA" w14:textId="77777777" w:rsidR="006A00DF" w:rsidRPr="00B22599" w:rsidRDefault="006A00DF" w:rsidP="007E7442">
            <w:pPr>
              <w:spacing w:after="0" w:line="480" w:lineRule="auto"/>
              <w:rPr>
                <w:rFonts w:ascii="Calibri" w:eastAsia="Times New Roman" w:hAnsi="Calibri" w:cs="Times New Roman"/>
                <w:color w:val="000000"/>
                <w:lang w:eastAsia="en-GB"/>
              </w:rPr>
            </w:pPr>
          </w:p>
        </w:tc>
        <w:tc>
          <w:tcPr>
            <w:tcW w:w="979" w:type="dxa"/>
            <w:tcBorders>
              <w:top w:val="nil"/>
              <w:left w:val="nil"/>
              <w:bottom w:val="single" w:sz="4" w:space="0" w:color="auto"/>
              <w:right w:val="single" w:sz="4" w:space="0" w:color="auto"/>
            </w:tcBorders>
            <w:shd w:val="clear" w:color="000000" w:fill="D9D9D9"/>
            <w:noWrap/>
            <w:vAlign w:val="bottom"/>
            <w:hideMark/>
          </w:tcPr>
          <w:p w14:paraId="6418B487" w14:textId="77777777" w:rsidR="006A00DF" w:rsidRPr="00B22599" w:rsidRDefault="006A00DF" w:rsidP="007E7442">
            <w:pPr>
              <w:spacing w:after="0" w:line="480" w:lineRule="auto"/>
              <w:rPr>
                <w:rFonts w:ascii="Calibri" w:eastAsia="Times New Roman" w:hAnsi="Calibri" w:cs="Times New Roman"/>
                <w:color w:val="000000"/>
                <w:lang w:eastAsia="en-GB"/>
              </w:rPr>
            </w:pPr>
            <w:r w:rsidRPr="00B22599">
              <w:rPr>
                <w:rFonts w:ascii="Calibri" w:eastAsia="Times New Roman" w:hAnsi="Calibri" w:cs="Times New Roman"/>
                <w:color w:val="000000"/>
                <w:lang w:eastAsia="en-GB"/>
              </w:rPr>
              <w:t>TS+FR</w:t>
            </w:r>
          </w:p>
        </w:tc>
        <w:tc>
          <w:tcPr>
            <w:tcW w:w="1291" w:type="dxa"/>
            <w:tcBorders>
              <w:top w:val="nil"/>
              <w:left w:val="nil"/>
              <w:bottom w:val="single" w:sz="4" w:space="0" w:color="auto"/>
              <w:right w:val="single" w:sz="4" w:space="0" w:color="auto"/>
            </w:tcBorders>
            <w:shd w:val="clear" w:color="000000" w:fill="D9D9D9"/>
            <w:noWrap/>
            <w:vAlign w:val="center"/>
            <w:hideMark/>
          </w:tcPr>
          <w:p w14:paraId="22D291FC" w14:textId="77777777" w:rsidR="006A00DF" w:rsidRDefault="006A00DF" w:rsidP="007E7442">
            <w:pPr>
              <w:spacing w:after="0" w:line="480" w:lineRule="auto"/>
              <w:jc w:val="center"/>
              <w:rPr>
                <w:rFonts w:ascii="Calibri" w:hAnsi="Calibri"/>
                <w:color w:val="000000"/>
              </w:rPr>
            </w:pPr>
            <w:r>
              <w:rPr>
                <w:rFonts w:ascii="Calibri" w:hAnsi="Calibri"/>
                <w:color w:val="000000"/>
              </w:rPr>
              <w:t>18.5</w:t>
            </w:r>
          </w:p>
        </w:tc>
        <w:tc>
          <w:tcPr>
            <w:tcW w:w="960" w:type="dxa"/>
            <w:tcBorders>
              <w:top w:val="nil"/>
              <w:left w:val="nil"/>
              <w:bottom w:val="single" w:sz="4" w:space="0" w:color="auto"/>
              <w:right w:val="single" w:sz="4" w:space="0" w:color="auto"/>
            </w:tcBorders>
            <w:shd w:val="clear" w:color="000000" w:fill="D9D9D9"/>
            <w:noWrap/>
            <w:vAlign w:val="center"/>
            <w:hideMark/>
          </w:tcPr>
          <w:p w14:paraId="03373C74" w14:textId="77777777" w:rsidR="006A00DF" w:rsidRDefault="006A00DF" w:rsidP="007E7442">
            <w:pPr>
              <w:spacing w:after="0" w:line="480" w:lineRule="auto"/>
              <w:jc w:val="center"/>
              <w:rPr>
                <w:rFonts w:ascii="Calibri" w:hAnsi="Calibri"/>
                <w:color w:val="000000"/>
              </w:rPr>
            </w:pPr>
            <w:r>
              <w:rPr>
                <w:rFonts w:ascii="Calibri" w:hAnsi="Calibri"/>
                <w:color w:val="000000"/>
              </w:rPr>
              <w:t>5.5</w:t>
            </w:r>
          </w:p>
        </w:tc>
        <w:tc>
          <w:tcPr>
            <w:tcW w:w="1321" w:type="dxa"/>
            <w:tcBorders>
              <w:top w:val="nil"/>
              <w:left w:val="nil"/>
              <w:bottom w:val="single" w:sz="4" w:space="0" w:color="auto"/>
              <w:right w:val="single" w:sz="4" w:space="0" w:color="auto"/>
            </w:tcBorders>
            <w:shd w:val="clear" w:color="000000" w:fill="D9D9D9"/>
            <w:noWrap/>
            <w:vAlign w:val="center"/>
            <w:hideMark/>
          </w:tcPr>
          <w:p w14:paraId="7916E1B0" w14:textId="77777777" w:rsidR="006A00DF" w:rsidRPr="00B22599" w:rsidRDefault="006A00DF" w:rsidP="007E7442">
            <w:pPr>
              <w:spacing w:after="0" w:line="48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15.2</w:t>
            </w:r>
          </w:p>
        </w:tc>
        <w:tc>
          <w:tcPr>
            <w:tcW w:w="1321" w:type="dxa"/>
            <w:tcBorders>
              <w:top w:val="nil"/>
              <w:left w:val="nil"/>
              <w:bottom w:val="single" w:sz="4" w:space="0" w:color="auto"/>
              <w:right w:val="single" w:sz="4" w:space="0" w:color="auto"/>
            </w:tcBorders>
            <w:shd w:val="clear" w:color="000000" w:fill="D9D9D9"/>
            <w:noWrap/>
            <w:vAlign w:val="center"/>
            <w:hideMark/>
          </w:tcPr>
          <w:p w14:paraId="7DDD1BF1" w14:textId="77777777" w:rsidR="006A00DF" w:rsidRPr="00B22599" w:rsidRDefault="006A00DF" w:rsidP="007E7442">
            <w:pPr>
              <w:spacing w:after="0" w:line="48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3.3</w:t>
            </w:r>
          </w:p>
        </w:tc>
        <w:tc>
          <w:tcPr>
            <w:tcW w:w="1184" w:type="dxa"/>
            <w:tcBorders>
              <w:top w:val="nil"/>
              <w:left w:val="nil"/>
              <w:bottom w:val="single" w:sz="4" w:space="0" w:color="auto"/>
              <w:right w:val="single" w:sz="8" w:space="0" w:color="auto"/>
            </w:tcBorders>
            <w:shd w:val="clear" w:color="000000" w:fill="D9D9D9"/>
            <w:noWrap/>
            <w:vAlign w:val="center"/>
            <w:hideMark/>
          </w:tcPr>
          <w:p w14:paraId="2685D8D3" w14:textId="77777777" w:rsidR="006A00DF" w:rsidRPr="00B22599" w:rsidRDefault="006A00DF" w:rsidP="007E7442">
            <w:pPr>
              <w:spacing w:after="0" w:line="480" w:lineRule="auto"/>
              <w:jc w:val="center"/>
              <w:rPr>
                <w:rFonts w:ascii="Calibri" w:eastAsia="Times New Roman" w:hAnsi="Calibri" w:cs="Times New Roman"/>
                <w:color w:val="000000"/>
                <w:lang w:eastAsia="en-GB"/>
              </w:rPr>
            </w:pPr>
            <w:r w:rsidRPr="00B22599">
              <w:rPr>
                <w:rFonts w:ascii="Calibri" w:eastAsia="Times New Roman" w:hAnsi="Calibri" w:cs="Times New Roman"/>
                <w:color w:val="000000"/>
                <w:lang w:eastAsia="en-GB"/>
              </w:rPr>
              <w:t>€ 4,632</w:t>
            </w:r>
          </w:p>
        </w:tc>
      </w:tr>
    </w:tbl>
    <w:p w14:paraId="36011710" w14:textId="77777777" w:rsidR="006A00DF" w:rsidRPr="005E78FE" w:rsidRDefault="006A00DF" w:rsidP="00D04DAC">
      <w:pPr>
        <w:widowControl w:val="0"/>
        <w:autoSpaceDE w:val="0"/>
        <w:autoSpaceDN w:val="0"/>
        <w:adjustRightInd w:val="0"/>
        <w:spacing w:line="480" w:lineRule="auto"/>
        <w:ind w:left="640" w:hanging="640"/>
      </w:pPr>
    </w:p>
    <w:sectPr w:rsidR="006A00DF" w:rsidRPr="005E78FE" w:rsidSect="00E364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FE6DD" w14:textId="77777777" w:rsidR="007E7442" w:rsidRDefault="007E7442" w:rsidP="009B400B">
      <w:pPr>
        <w:spacing w:after="0" w:line="240" w:lineRule="auto"/>
      </w:pPr>
      <w:r>
        <w:separator/>
      </w:r>
    </w:p>
  </w:endnote>
  <w:endnote w:type="continuationSeparator" w:id="0">
    <w:p w14:paraId="2E839F37" w14:textId="77777777" w:rsidR="007E7442" w:rsidRDefault="007E7442" w:rsidP="009B4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B1D75" w14:textId="77777777" w:rsidR="007E7442" w:rsidRDefault="007E7442" w:rsidP="009B400B">
      <w:pPr>
        <w:spacing w:after="0" w:line="240" w:lineRule="auto"/>
      </w:pPr>
      <w:r>
        <w:separator/>
      </w:r>
    </w:p>
  </w:footnote>
  <w:footnote w:type="continuationSeparator" w:id="0">
    <w:p w14:paraId="5578520B" w14:textId="77777777" w:rsidR="007E7442" w:rsidRDefault="007E7442" w:rsidP="009B400B">
      <w:pPr>
        <w:spacing w:after="0" w:line="240" w:lineRule="auto"/>
      </w:pPr>
      <w:r>
        <w:continuationSeparator/>
      </w:r>
    </w:p>
  </w:footnote>
  <w:footnote w:id="1">
    <w:p w14:paraId="0E264BBC" w14:textId="77777777" w:rsidR="007E7442" w:rsidRPr="00C05FC9" w:rsidRDefault="007E7442" w:rsidP="000E3BF9">
      <w:pPr>
        <w:pStyle w:val="FootnoteText"/>
      </w:pPr>
      <w:r w:rsidRPr="00C05FC9">
        <w:rPr>
          <w:rStyle w:val="FootnoteReference"/>
        </w:rPr>
        <w:footnoteRef/>
      </w:r>
      <w:r w:rsidRPr="00C05FC9">
        <w:t xml:space="preserve"> A small number of patients in Catalonia were screened using an alternative screening tool, ALRIS</w:t>
      </w:r>
      <w:r>
        <w:t>, although practitioners were encouraged to use AUDIT-C wherever possible.</w:t>
      </w:r>
    </w:p>
  </w:footnote>
  <w:footnote w:id="2">
    <w:p w14:paraId="04BC7859" w14:textId="3E14DBBC" w:rsidR="007E7442" w:rsidRDefault="007E7442">
      <w:pPr>
        <w:pStyle w:val="FootnoteText"/>
      </w:pPr>
      <w:r>
        <w:rPr>
          <w:rStyle w:val="FootnoteReference"/>
        </w:rPr>
        <w:footnoteRef/>
      </w:r>
      <w:r>
        <w:t xml:space="preserve"> </w:t>
      </w:r>
      <w:r w:rsidRPr="008506B9">
        <w:t>Screen positives were defined in Catalonia and England as men and women who scored ≥5 on AUDIT-C and in Poland, Netherlands and Sweden as men who scored ≥5 and women who scored ≥4 on AUDIT-C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B7390"/>
    <w:multiLevelType w:val="multilevel"/>
    <w:tmpl w:val="74707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F7CC2"/>
    <w:multiLevelType w:val="hybridMultilevel"/>
    <w:tmpl w:val="D99AA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0132A"/>
    <w:multiLevelType w:val="multilevel"/>
    <w:tmpl w:val="DF6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D80F2E"/>
    <w:multiLevelType w:val="multilevel"/>
    <w:tmpl w:val="EF02D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974506"/>
    <w:multiLevelType w:val="hybridMultilevel"/>
    <w:tmpl w:val="90C8B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AD051A"/>
    <w:multiLevelType w:val="hybridMultilevel"/>
    <w:tmpl w:val="E2B019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522863"/>
    <w:multiLevelType w:val="hybridMultilevel"/>
    <w:tmpl w:val="14EE2DE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585924AE"/>
    <w:multiLevelType w:val="multilevel"/>
    <w:tmpl w:val="CF4E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D66900"/>
    <w:multiLevelType w:val="multilevel"/>
    <w:tmpl w:val="CC742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0D2C10"/>
    <w:multiLevelType w:val="hybridMultilevel"/>
    <w:tmpl w:val="37B6A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3"/>
  </w:num>
  <w:num w:numId="5">
    <w:abstractNumId w:val="2"/>
  </w:num>
  <w:num w:numId="6">
    <w:abstractNumId w:val="7"/>
  </w:num>
  <w:num w:numId="7">
    <w:abstractNumId w:val="0"/>
  </w:num>
  <w:num w:numId="8">
    <w:abstractNumId w:val="8"/>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trackRevisions/>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1EC"/>
    <w:rsid w:val="00027783"/>
    <w:rsid w:val="00091767"/>
    <w:rsid w:val="000B224F"/>
    <w:rsid w:val="000D4137"/>
    <w:rsid w:val="000E3BF9"/>
    <w:rsid w:val="000F16F4"/>
    <w:rsid w:val="0012282E"/>
    <w:rsid w:val="0013641F"/>
    <w:rsid w:val="001633FD"/>
    <w:rsid w:val="001A66C9"/>
    <w:rsid w:val="001A6F40"/>
    <w:rsid w:val="001B085C"/>
    <w:rsid w:val="001C37B0"/>
    <w:rsid w:val="001C3A7E"/>
    <w:rsid w:val="001E5740"/>
    <w:rsid w:val="00226FC7"/>
    <w:rsid w:val="002376C2"/>
    <w:rsid w:val="00256968"/>
    <w:rsid w:val="002843C7"/>
    <w:rsid w:val="002A5EDA"/>
    <w:rsid w:val="002D4AAF"/>
    <w:rsid w:val="002E00E6"/>
    <w:rsid w:val="002E35F5"/>
    <w:rsid w:val="002E42B6"/>
    <w:rsid w:val="002F72EB"/>
    <w:rsid w:val="00351F42"/>
    <w:rsid w:val="0036320C"/>
    <w:rsid w:val="00367A34"/>
    <w:rsid w:val="003778C8"/>
    <w:rsid w:val="00394DDD"/>
    <w:rsid w:val="003A00F9"/>
    <w:rsid w:val="003B0191"/>
    <w:rsid w:val="003D250D"/>
    <w:rsid w:val="003D4B7D"/>
    <w:rsid w:val="003D7312"/>
    <w:rsid w:val="003F45B4"/>
    <w:rsid w:val="004221EC"/>
    <w:rsid w:val="00426709"/>
    <w:rsid w:val="00436009"/>
    <w:rsid w:val="00455DAC"/>
    <w:rsid w:val="00461D36"/>
    <w:rsid w:val="00483399"/>
    <w:rsid w:val="00486EDC"/>
    <w:rsid w:val="00491E05"/>
    <w:rsid w:val="00497A04"/>
    <w:rsid w:val="004A7FBA"/>
    <w:rsid w:val="004B3936"/>
    <w:rsid w:val="004D041D"/>
    <w:rsid w:val="004F4CED"/>
    <w:rsid w:val="00523420"/>
    <w:rsid w:val="00526761"/>
    <w:rsid w:val="00540AEA"/>
    <w:rsid w:val="0054577C"/>
    <w:rsid w:val="00561A03"/>
    <w:rsid w:val="005671DC"/>
    <w:rsid w:val="00594CD3"/>
    <w:rsid w:val="005A0C60"/>
    <w:rsid w:val="005A1ACD"/>
    <w:rsid w:val="005B51FC"/>
    <w:rsid w:val="005D6529"/>
    <w:rsid w:val="005E78FE"/>
    <w:rsid w:val="00623CB4"/>
    <w:rsid w:val="006604B0"/>
    <w:rsid w:val="00681A80"/>
    <w:rsid w:val="006864D9"/>
    <w:rsid w:val="00694D00"/>
    <w:rsid w:val="006A00DF"/>
    <w:rsid w:val="006C0452"/>
    <w:rsid w:val="006C3CF9"/>
    <w:rsid w:val="006D2B52"/>
    <w:rsid w:val="006D722C"/>
    <w:rsid w:val="006F4115"/>
    <w:rsid w:val="00710E27"/>
    <w:rsid w:val="00717FDC"/>
    <w:rsid w:val="00722373"/>
    <w:rsid w:val="00730DEA"/>
    <w:rsid w:val="00734EBF"/>
    <w:rsid w:val="00780A5D"/>
    <w:rsid w:val="007B4A90"/>
    <w:rsid w:val="007C2C0A"/>
    <w:rsid w:val="007C7B6D"/>
    <w:rsid w:val="007E7442"/>
    <w:rsid w:val="0080227F"/>
    <w:rsid w:val="008048F9"/>
    <w:rsid w:val="008214DD"/>
    <w:rsid w:val="00843CF1"/>
    <w:rsid w:val="00845AC2"/>
    <w:rsid w:val="008709AD"/>
    <w:rsid w:val="00872EE4"/>
    <w:rsid w:val="00875B0E"/>
    <w:rsid w:val="008869E4"/>
    <w:rsid w:val="008915B5"/>
    <w:rsid w:val="008B1327"/>
    <w:rsid w:val="008B3BAC"/>
    <w:rsid w:val="008C3E8F"/>
    <w:rsid w:val="008E4131"/>
    <w:rsid w:val="008E4ED7"/>
    <w:rsid w:val="00914E56"/>
    <w:rsid w:val="0091797C"/>
    <w:rsid w:val="00921D09"/>
    <w:rsid w:val="00941D06"/>
    <w:rsid w:val="00956ADD"/>
    <w:rsid w:val="00984C07"/>
    <w:rsid w:val="009971BA"/>
    <w:rsid w:val="009A03DC"/>
    <w:rsid w:val="009B400B"/>
    <w:rsid w:val="009D5B55"/>
    <w:rsid w:val="009F21E8"/>
    <w:rsid w:val="009F4CA6"/>
    <w:rsid w:val="00A1188C"/>
    <w:rsid w:val="00A24B61"/>
    <w:rsid w:val="00A35C36"/>
    <w:rsid w:val="00A3669B"/>
    <w:rsid w:val="00A71EFF"/>
    <w:rsid w:val="00A87E42"/>
    <w:rsid w:val="00A90028"/>
    <w:rsid w:val="00AA2A30"/>
    <w:rsid w:val="00AE7C70"/>
    <w:rsid w:val="00B65B58"/>
    <w:rsid w:val="00B831A2"/>
    <w:rsid w:val="00B914BE"/>
    <w:rsid w:val="00BA36ED"/>
    <w:rsid w:val="00BA43E9"/>
    <w:rsid w:val="00BD60A4"/>
    <w:rsid w:val="00BE39B0"/>
    <w:rsid w:val="00BF149C"/>
    <w:rsid w:val="00C5469F"/>
    <w:rsid w:val="00CE0250"/>
    <w:rsid w:val="00CF206F"/>
    <w:rsid w:val="00D00078"/>
    <w:rsid w:val="00D04DAC"/>
    <w:rsid w:val="00D42469"/>
    <w:rsid w:val="00D617C4"/>
    <w:rsid w:val="00D95687"/>
    <w:rsid w:val="00DB3391"/>
    <w:rsid w:val="00DD19BA"/>
    <w:rsid w:val="00DF1F21"/>
    <w:rsid w:val="00E35624"/>
    <w:rsid w:val="00E36485"/>
    <w:rsid w:val="00E44D41"/>
    <w:rsid w:val="00E87B97"/>
    <w:rsid w:val="00EA0A4B"/>
    <w:rsid w:val="00EB35F4"/>
    <w:rsid w:val="00EC67ED"/>
    <w:rsid w:val="00EC6C3E"/>
    <w:rsid w:val="00EE084C"/>
    <w:rsid w:val="00F2049D"/>
    <w:rsid w:val="00F310A6"/>
    <w:rsid w:val="00F83721"/>
    <w:rsid w:val="00F862CE"/>
    <w:rsid w:val="00FA4EAB"/>
    <w:rsid w:val="00FB2C29"/>
    <w:rsid w:val="00FB785A"/>
    <w:rsid w:val="00FE2DC7"/>
    <w:rsid w:val="00FF4C2E"/>
  </w:rsids>
  <m:mathPr>
    <m:mathFont m:val="Cambria Math"/>
    <m:brkBin m:val="before"/>
    <m:brkBinSub m:val="--"/>
    <m:smallFrac/>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B64DB04"/>
  <w15:docId w15:val="{057FEFD9-4600-459D-B7DA-1D8CEB489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485"/>
  </w:style>
  <w:style w:type="paragraph" w:styleId="Heading1">
    <w:name w:val="heading 1"/>
    <w:basedOn w:val="Normal"/>
    <w:next w:val="Normal"/>
    <w:link w:val="Heading1Char"/>
    <w:uiPriority w:val="9"/>
    <w:qFormat/>
    <w:rsid w:val="004221EC"/>
    <w:pPr>
      <w:keepNext/>
      <w:keepLines/>
      <w:spacing w:before="480" w:after="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uiPriority w:val="9"/>
    <w:unhideWhenUsed/>
    <w:qFormat/>
    <w:rsid w:val="004221EC"/>
    <w:pPr>
      <w:keepNext/>
      <w:keepLines/>
      <w:spacing w:before="200" w:after="0"/>
      <w:outlineLvl w:val="1"/>
    </w:pPr>
    <w:rPr>
      <w:rFonts w:asciiTheme="majorHAnsi" w:eastAsiaTheme="majorEastAsia" w:hAnsiTheme="majorHAnsi" w:cstheme="majorBidi"/>
      <w:b/>
      <w:bCs/>
      <w:color w:val="000000" w:themeColor="text1"/>
      <w:sz w:val="26"/>
      <w:szCs w:val="26"/>
    </w:rPr>
  </w:style>
  <w:style w:type="paragraph" w:styleId="Heading4">
    <w:name w:val="heading 4"/>
    <w:basedOn w:val="Normal"/>
    <w:next w:val="Normal"/>
    <w:link w:val="Heading4Char"/>
    <w:uiPriority w:val="9"/>
    <w:semiHidden/>
    <w:unhideWhenUsed/>
    <w:qFormat/>
    <w:rsid w:val="00226FC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1EC"/>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uiPriority w:val="9"/>
    <w:rsid w:val="004221EC"/>
    <w:rPr>
      <w:rFonts w:asciiTheme="majorHAnsi" w:eastAsiaTheme="majorEastAsia" w:hAnsiTheme="majorHAnsi" w:cstheme="majorBidi"/>
      <w:b/>
      <w:bCs/>
      <w:color w:val="000000" w:themeColor="text1"/>
      <w:sz w:val="26"/>
      <w:szCs w:val="26"/>
    </w:rPr>
  </w:style>
  <w:style w:type="paragraph" w:styleId="Title">
    <w:name w:val="Title"/>
    <w:basedOn w:val="Normal"/>
    <w:next w:val="Normal"/>
    <w:link w:val="TitleChar"/>
    <w:uiPriority w:val="10"/>
    <w:qFormat/>
    <w:rsid w:val="004221EC"/>
    <w:pP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uiPriority w:val="10"/>
    <w:rsid w:val="004221EC"/>
    <w:rPr>
      <w:rFonts w:asciiTheme="majorHAnsi" w:eastAsiaTheme="majorEastAsia" w:hAnsiTheme="majorHAnsi" w:cstheme="majorBidi"/>
      <w:color w:val="000000" w:themeColor="text1"/>
      <w:spacing w:val="5"/>
      <w:kern w:val="28"/>
      <w:sz w:val="52"/>
      <w:szCs w:val="52"/>
    </w:rPr>
  </w:style>
  <w:style w:type="character" w:customStyle="1" w:styleId="apple-converted-space">
    <w:name w:val="apple-converted-space"/>
    <w:basedOn w:val="DefaultParagraphFont"/>
    <w:rsid w:val="00BF149C"/>
  </w:style>
  <w:style w:type="character" w:styleId="Strong">
    <w:name w:val="Strong"/>
    <w:basedOn w:val="DefaultParagraphFont"/>
    <w:uiPriority w:val="22"/>
    <w:qFormat/>
    <w:rsid w:val="00BF149C"/>
    <w:rPr>
      <w:b/>
      <w:bCs/>
    </w:rPr>
  </w:style>
  <w:style w:type="character" w:styleId="CommentReference">
    <w:name w:val="annotation reference"/>
    <w:basedOn w:val="DefaultParagraphFont"/>
    <w:uiPriority w:val="99"/>
    <w:semiHidden/>
    <w:unhideWhenUsed/>
    <w:rsid w:val="009B400B"/>
    <w:rPr>
      <w:sz w:val="16"/>
      <w:szCs w:val="16"/>
    </w:rPr>
  </w:style>
  <w:style w:type="paragraph" w:styleId="CommentText">
    <w:name w:val="annotation text"/>
    <w:basedOn w:val="Normal"/>
    <w:link w:val="CommentTextChar"/>
    <w:uiPriority w:val="99"/>
    <w:semiHidden/>
    <w:unhideWhenUsed/>
    <w:rsid w:val="009B400B"/>
    <w:pPr>
      <w:spacing w:line="240" w:lineRule="auto"/>
    </w:pPr>
    <w:rPr>
      <w:sz w:val="20"/>
      <w:szCs w:val="20"/>
    </w:rPr>
  </w:style>
  <w:style w:type="character" w:customStyle="1" w:styleId="CommentTextChar">
    <w:name w:val="Comment Text Char"/>
    <w:basedOn w:val="DefaultParagraphFont"/>
    <w:link w:val="CommentText"/>
    <w:uiPriority w:val="99"/>
    <w:semiHidden/>
    <w:rsid w:val="009B400B"/>
    <w:rPr>
      <w:sz w:val="20"/>
      <w:szCs w:val="20"/>
    </w:rPr>
  </w:style>
  <w:style w:type="paragraph" w:styleId="CommentSubject">
    <w:name w:val="annotation subject"/>
    <w:basedOn w:val="CommentText"/>
    <w:next w:val="CommentText"/>
    <w:link w:val="CommentSubjectChar"/>
    <w:uiPriority w:val="99"/>
    <w:semiHidden/>
    <w:unhideWhenUsed/>
    <w:rsid w:val="009B400B"/>
    <w:rPr>
      <w:b/>
      <w:bCs/>
    </w:rPr>
  </w:style>
  <w:style w:type="character" w:customStyle="1" w:styleId="CommentSubjectChar">
    <w:name w:val="Comment Subject Char"/>
    <w:basedOn w:val="CommentTextChar"/>
    <w:link w:val="CommentSubject"/>
    <w:uiPriority w:val="99"/>
    <w:semiHidden/>
    <w:rsid w:val="009B400B"/>
    <w:rPr>
      <w:b/>
      <w:bCs/>
      <w:sz w:val="20"/>
      <w:szCs w:val="20"/>
    </w:rPr>
  </w:style>
  <w:style w:type="paragraph" w:styleId="BalloonText">
    <w:name w:val="Balloon Text"/>
    <w:basedOn w:val="Normal"/>
    <w:link w:val="BalloonTextChar"/>
    <w:uiPriority w:val="99"/>
    <w:semiHidden/>
    <w:unhideWhenUsed/>
    <w:rsid w:val="009B4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00B"/>
    <w:rPr>
      <w:rFonts w:ascii="Tahoma" w:hAnsi="Tahoma" w:cs="Tahoma"/>
      <w:sz w:val="16"/>
      <w:szCs w:val="16"/>
    </w:rPr>
  </w:style>
  <w:style w:type="paragraph" w:styleId="ListParagraph">
    <w:name w:val="List Paragraph"/>
    <w:basedOn w:val="Normal"/>
    <w:uiPriority w:val="34"/>
    <w:qFormat/>
    <w:rsid w:val="009B400B"/>
    <w:pPr>
      <w:ind w:left="720"/>
      <w:contextualSpacing/>
    </w:pPr>
  </w:style>
  <w:style w:type="paragraph" w:styleId="FootnoteText">
    <w:name w:val="footnote text"/>
    <w:basedOn w:val="Normal"/>
    <w:link w:val="FootnoteTextChar"/>
    <w:unhideWhenUsed/>
    <w:rsid w:val="009B400B"/>
    <w:pPr>
      <w:spacing w:after="0" w:line="240" w:lineRule="auto"/>
    </w:pPr>
    <w:rPr>
      <w:sz w:val="20"/>
      <w:szCs w:val="20"/>
    </w:rPr>
  </w:style>
  <w:style w:type="character" w:customStyle="1" w:styleId="FootnoteTextChar">
    <w:name w:val="Footnote Text Char"/>
    <w:basedOn w:val="DefaultParagraphFont"/>
    <w:link w:val="FootnoteText"/>
    <w:rsid w:val="009B400B"/>
    <w:rPr>
      <w:sz w:val="20"/>
      <w:szCs w:val="20"/>
    </w:rPr>
  </w:style>
  <w:style w:type="character" w:styleId="FootnoteReference">
    <w:name w:val="footnote reference"/>
    <w:basedOn w:val="DefaultParagraphFont"/>
    <w:unhideWhenUsed/>
    <w:rsid w:val="009B400B"/>
    <w:rPr>
      <w:vertAlign w:val="superscript"/>
    </w:rPr>
  </w:style>
  <w:style w:type="paragraph" w:styleId="Subtitle">
    <w:name w:val="Subtitle"/>
    <w:basedOn w:val="Normal"/>
    <w:next w:val="Normal"/>
    <w:link w:val="SubtitleChar"/>
    <w:uiPriority w:val="11"/>
    <w:qFormat/>
    <w:rsid w:val="0013641F"/>
    <w:pPr>
      <w:numPr>
        <w:ilvl w:val="1"/>
      </w:numPr>
    </w:pPr>
    <w:rPr>
      <w:rFonts w:asciiTheme="majorHAnsi" w:eastAsiaTheme="majorEastAsia" w:hAnsiTheme="majorHAnsi" w:cstheme="majorBidi"/>
      <w:i/>
      <w:iCs/>
      <w:color w:val="000000" w:themeColor="text1"/>
      <w:sz w:val="24"/>
      <w:szCs w:val="24"/>
    </w:rPr>
  </w:style>
  <w:style w:type="character" w:customStyle="1" w:styleId="SubtitleChar">
    <w:name w:val="Subtitle Char"/>
    <w:basedOn w:val="DefaultParagraphFont"/>
    <w:link w:val="Subtitle"/>
    <w:uiPriority w:val="11"/>
    <w:rsid w:val="0013641F"/>
    <w:rPr>
      <w:rFonts w:asciiTheme="majorHAnsi" w:eastAsiaTheme="majorEastAsia" w:hAnsiTheme="majorHAnsi" w:cstheme="majorBidi"/>
      <w:i/>
      <w:iCs/>
      <w:color w:val="000000" w:themeColor="text1"/>
      <w:sz w:val="24"/>
      <w:szCs w:val="24"/>
    </w:rPr>
  </w:style>
  <w:style w:type="paragraph" w:styleId="Caption">
    <w:name w:val="caption"/>
    <w:basedOn w:val="Normal"/>
    <w:next w:val="Normal"/>
    <w:unhideWhenUsed/>
    <w:qFormat/>
    <w:rsid w:val="000E3BF9"/>
    <w:pPr>
      <w:spacing w:line="240" w:lineRule="auto"/>
    </w:pPr>
    <w:rPr>
      <w:rFonts w:ascii="Arial" w:hAnsi="Arial"/>
      <w:bCs/>
      <w:i/>
      <w:szCs w:val="18"/>
    </w:rPr>
  </w:style>
  <w:style w:type="table" w:styleId="TableGrid">
    <w:name w:val="Table Grid"/>
    <w:basedOn w:val="TableNormal"/>
    <w:uiPriority w:val="59"/>
    <w:rsid w:val="00D61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226FC7"/>
    <w:rPr>
      <w:rFonts w:asciiTheme="majorHAnsi" w:eastAsiaTheme="majorEastAsia" w:hAnsiTheme="majorHAnsi" w:cstheme="majorBidi"/>
      <w:i/>
      <w:iCs/>
      <w:color w:val="365F91" w:themeColor="accent1" w:themeShade="BF"/>
    </w:rPr>
  </w:style>
  <w:style w:type="character" w:styleId="Hyperlink">
    <w:name w:val="Hyperlink"/>
    <w:basedOn w:val="DefaultParagraphFont"/>
    <w:uiPriority w:val="99"/>
    <w:semiHidden/>
    <w:unhideWhenUsed/>
    <w:rsid w:val="00226FC7"/>
    <w:rPr>
      <w:strike w:val="0"/>
      <w:dstrike w:val="0"/>
      <w:color w:val="004480"/>
      <w:u w:val="none"/>
      <w:effect w:val="none"/>
    </w:rPr>
  </w:style>
  <w:style w:type="character" w:customStyle="1" w:styleId="closebtn1">
    <w:name w:val="closebtn1"/>
    <w:basedOn w:val="DefaultParagraphFont"/>
    <w:rsid w:val="00226FC7"/>
    <w:rPr>
      <w:b/>
      <w:bCs/>
      <w:strike w:val="0"/>
      <w:dstrike w:val="0"/>
      <w:color w:val="333333"/>
      <w:sz w:val="17"/>
      <w:szCs w:val="17"/>
      <w:u w:val="none"/>
      <w:effect w:val="none"/>
      <w:bdr w:val="single" w:sz="12" w:space="4" w:color="AAAAAA" w:frame="1"/>
      <w:shd w:val="clear" w:color="auto" w:fill="FFFFFF"/>
    </w:rPr>
  </w:style>
  <w:style w:type="character" w:customStyle="1" w:styleId="hiddenreadable">
    <w:name w:val="hiddenreadable"/>
    <w:basedOn w:val="DefaultParagraphFont"/>
    <w:rsid w:val="00226FC7"/>
  </w:style>
  <w:style w:type="character" w:customStyle="1" w:styleId="ref-title">
    <w:name w:val="ref-title"/>
    <w:basedOn w:val="DefaultParagraphFont"/>
    <w:rsid w:val="008E4ED7"/>
  </w:style>
  <w:style w:type="character" w:customStyle="1" w:styleId="ref-journal">
    <w:name w:val="ref-journal"/>
    <w:basedOn w:val="DefaultParagraphFont"/>
    <w:rsid w:val="008E4ED7"/>
  </w:style>
  <w:style w:type="character" w:customStyle="1" w:styleId="ref-vol">
    <w:name w:val="ref-vol"/>
    <w:basedOn w:val="DefaultParagraphFont"/>
    <w:rsid w:val="008E4ED7"/>
  </w:style>
  <w:style w:type="paragraph" w:styleId="HTMLPreformatted">
    <w:name w:val="HTML Preformatted"/>
    <w:basedOn w:val="Normal"/>
    <w:link w:val="HTMLPreformattedChar"/>
    <w:uiPriority w:val="99"/>
    <w:unhideWhenUsed/>
    <w:rsid w:val="001E5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PreformattedChar">
    <w:name w:val="HTML Preformatted Char"/>
    <w:basedOn w:val="DefaultParagraphFont"/>
    <w:link w:val="HTMLPreformatted"/>
    <w:uiPriority w:val="99"/>
    <w:rsid w:val="001E5740"/>
    <w:rPr>
      <w:rFonts w:ascii="Courier New" w:eastAsia="Times New Roman" w:hAnsi="Courier New" w:cs="Courier New"/>
      <w:sz w:val="20"/>
      <w:szCs w:val="20"/>
      <w:lang w:val="es-ES" w:eastAsia="es-ES"/>
    </w:rPr>
  </w:style>
  <w:style w:type="character" w:customStyle="1" w:styleId="highlight">
    <w:name w:val="highlight"/>
    <w:basedOn w:val="DefaultParagraphFont"/>
    <w:rsid w:val="008915B5"/>
  </w:style>
  <w:style w:type="paragraph" w:styleId="Revision">
    <w:name w:val="Revision"/>
    <w:hidden/>
    <w:uiPriority w:val="99"/>
    <w:semiHidden/>
    <w:rsid w:val="007223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59010">
      <w:bodyDiv w:val="1"/>
      <w:marLeft w:val="0"/>
      <w:marRight w:val="0"/>
      <w:marTop w:val="0"/>
      <w:marBottom w:val="0"/>
      <w:divBdr>
        <w:top w:val="none" w:sz="0" w:space="0" w:color="auto"/>
        <w:left w:val="none" w:sz="0" w:space="0" w:color="auto"/>
        <w:bottom w:val="none" w:sz="0" w:space="0" w:color="auto"/>
        <w:right w:val="none" w:sz="0" w:space="0" w:color="auto"/>
      </w:divBdr>
    </w:div>
    <w:div w:id="296683769">
      <w:bodyDiv w:val="1"/>
      <w:marLeft w:val="0"/>
      <w:marRight w:val="0"/>
      <w:marTop w:val="0"/>
      <w:marBottom w:val="0"/>
      <w:divBdr>
        <w:top w:val="none" w:sz="0" w:space="0" w:color="auto"/>
        <w:left w:val="none" w:sz="0" w:space="0" w:color="auto"/>
        <w:bottom w:val="none" w:sz="0" w:space="0" w:color="auto"/>
        <w:right w:val="none" w:sz="0" w:space="0" w:color="auto"/>
      </w:divBdr>
      <w:divsChild>
        <w:div w:id="1658263747">
          <w:marLeft w:val="0"/>
          <w:marRight w:val="0"/>
          <w:marTop w:val="100"/>
          <w:marBottom w:val="100"/>
          <w:divBdr>
            <w:top w:val="none" w:sz="0" w:space="0" w:color="auto"/>
            <w:left w:val="none" w:sz="0" w:space="0" w:color="auto"/>
            <w:bottom w:val="none" w:sz="0" w:space="0" w:color="auto"/>
            <w:right w:val="none" w:sz="0" w:space="0" w:color="auto"/>
          </w:divBdr>
          <w:divsChild>
            <w:div w:id="1502814580">
              <w:marLeft w:val="0"/>
              <w:marRight w:val="0"/>
              <w:marTop w:val="0"/>
              <w:marBottom w:val="0"/>
              <w:divBdr>
                <w:top w:val="none" w:sz="0" w:space="0" w:color="auto"/>
                <w:left w:val="none" w:sz="0" w:space="0" w:color="auto"/>
                <w:bottom w:val="none" w:sz="0" w:space="0" w:color="auto"/>
                <w:right w:val="none" w:sz="0" w:space="0" w:color="auto"/>
              </w:divBdr>
              <w:divsChild>
                <w:div w:id="1840535223">
                  <w:marLeft w:val="105"/>
                  <w:marRight w:val="105"/>
                  <w:marTop w:val="150"/>
                  <w:marBottom w:val="150"/>
                  <w:divBdr>
                    <w:top w:val="none" w:sz="0" w:space="0" w:color="auto"/>
                    <w:left w:val="none" w:sz="0" w:space="0" w:color="auto"/>
                    <w:bottom w:val="none" w:sz="0" w:space="0" w:color="auto"/>
                    <w:right w:val="none" w:sz="0" w:space="0" w:color="auto"/>
                  </w:divBdr>
                  <w:divsChild>
                    <w:div w:id="1621109212">
                      <w:marLeft w:val="0"/>
                      <w:marRight w:val="0"/>
                      <w:marTop w:val="0"/>
                      <w:marBottom w:val="0"/>
                      <w:divBdr>
                        <w:top w:val="none" w:sz="0" w:space="0" w:color="auto"/>
                        <w:left w:val="none" w:sz="0" w:space="0" w:color="auto"/>
                        <w:bottom w:val="none" w:sz="0" w:space="0" w:color="auto"/>
                        <w:right w:val="none" w:sz="0" w:space="0" w:color="auto"/>
                      </w:divBdr>
                      <w:divsChild>
                        <w:div w:id="817918139">
                          <w:marLeft w:val="0"/>
                          <w:marRight w:val="0"/>
                          <w:marTop w:val="0"/>
                          <w:marBottom w:val="0"/>
                          <w:divBdr>
                            <w:top w:val="none" w:sz="0" w:space="0" w:color="auto"/>
                            <w:left w:val="none" w:sz="0" w:space="0" w:color="auto"/>
                            <w:bottom w:val="none" w:sz="0" w:space="0" w:color="auto"/>
                            <w:right w:val="none" w:sz="0" w:space="0" w:color="auto"/>
                          </w:divBdr>
                          <w:divsChild>
                            <w:div w:id="431781297">
                              <w:marLeft w:val="0"/>
                              <w:marRight w:val="0"/>
                              <w:marTop w:val="0"/>
                              <w:marBottom w:val="0"/>
                              <w:divBdr>
                                <w:top w:val="none" w:sz="0" w:space="0" w:color="auto"/>
                                <w:left w:val="none" w:sz="0" w:space="0" w:color="auto"/>
                                <w:bottom w:val="none" w:sz="0" w:space="0" w:color="auto"/>
                                <w:right w:val="none" w:sz="0" w:space="0" w:color="auto"/>
                              </w:divBdr>
                              <w:divsChild>
                                <w:div w:id="1510102907">
                                  <w:marLeft w:val="105"/>
                                  <w:marRight w:val="105"/>
                                  <w:marTop w:val="150"/>
                                  <w:marBottom w:val="150"/>
                                  <w:divBdr>
                                    <w:top w:val="none" w:sz="0" w:space="0" w:color="auto"/>
                                    <w:left w:val="none" w:sz="0" w:space="0" w:color="auto"/>
                                    <w:bottom w:val="none" w:sz="0" w:space="0" w:color="auto"/>
                                    <w:right w:val="none" w:sz="0" w:space="0" w:color="auto"/>
                                  </w:divBdr>
                                  <w:divsChild>
                                    <w:div w:id="410852817">
                                      <w:marLeft w:val="0"/>
                                      <w:marRight w:val="0"/>
                                      <w:marTop w:val="0"/>
                                      <w:marBottom w:val="0"/>
                                      <w:divBdr>
                                        <w:top w:val="none" w:sz="0" w:space="0" w:color="auto"/>
                                        <w:left w:val="none" w:sz="0" w:space="0" w:color="auto"/>
                                        <w:bottom w:val="none" w:sz="0" w:space="0" w:color="auto"/>
                                        <w:right w:val="none" w:sz="0" w:space="0" w:color="auto"/>
                                      </w:divBdr>
                                      <w:divsChild>
                                        <w:div w:id="1140345588">
                                          <w:marLeft w:val="0"/>
                                          <w:marRight w:val="0"/>
                                          <w:marTop w:val="0"/>
                                          <w:marBottom w:val="0"/>
                                          <w:divBdr>
                                            <w:top w:val="none" w:sz="0" w:space="0" w:color="auto"/>
                                            <w:left w:val="none" w:sz="0" w:space="0" w:color="auto"/>
                                            <w:bottom w:val="none" w:sz="0" w:space="0" w:color="auto"/>
                                            <w:right w:val="none" w:sz="0" w:space="0" w:color="auto"/>
                                          </w:divBdr>
                                          <w:divsChild>
                                            <w:div w:id="1941450110">
                                              <w:marLeft w:val="0"/>
                                              <w:marRight w:val="0"/>
                                              <w:marTop w:val="0"/>
                                              <w:marBottom w:val="0"/>
                                              <w:divBdr>
                                                <w:top w:val="none" w:sz="0" w:space="0" w:color="auto"/>
                                                <w:left w:val="none" w:sz="0" w:space="0" w:color="auto"/>
                                                <w:bottom w:val="none" w:sz="0" w:space="0" w:color="auto"/>
                                                <w:right w:val="none" w:sz="0" w:space="0" w:color="auto"/>
                                              </w:divBdr>
                                              <w:divsChild>
                                                <w:div w:id="663581924">
                                                  <w:marLeft w:val="0"/>
                                                  <w:marRight w:val="0"/>
                                                  <w:marTop w:val="0"/>
                                                  <w:marBottom w:val="0"/>
                                                  <w:divBdr>
                                                    <w:top w:val="none" w:sz="0" w:space="0" w:color="auto"/>
                                                    <w:left w:val="none" w:sz="0" w:space="0" w:color="auto"/>
                                                    <w:bottom w:val="none" w:sz="0" w:space="0" w:color="auto"/>
                                                    <w:right w:val="none" w:sz="0" w:space="0" w:color="auto"/>
                                                  </w:divBdr>
                                                  <w:divsChild>
                                                    <w:div w:id="334043118">
                                                      <w:marLeft w:val="105"/>
                                                      <w:marRight w:val="105"/>
                                                      <w:marTop w:val="150"/>
                                                      <w:marBottom w:val="150"/>
                                                      <w:divBdr>
                                                        <w:top w:val="none" w:sz="0" w:space="0" w:color="auto"/>
                                                        <w:left w:val="none" w:sz="0" w:space="0" w:color="auto"/>
                                                        <w:bottom w:val="none" w:sz="0" w:space="0" w:color="auto"/>
                                                        <w:right w:val="none" w:sz="0" w:space="0" w:color="auto"/>
                                                      </w:divBdr>
                                                      <w:divsChild>
                                                        <w:div w:id="1853253009">
                                                          <w:marLeft w:val="0"/>
                                                          <w:marRight w:val="0"/>
                                                          <w:marTop w:val="0"/>
                                                          <w:marBottom w:val="0"/>
                                                          <w:divBdr>
                                                            <w:top w:val="none" w:sz="0" w:space="0" w:color="auto"/>
                                                            <w:left w:val="none" w:sz="0" w:space="0" w:color="auto"/>
                                                            <w:bottom w:val="none" w:sz="0" w:space="0" w:color="auto"/>
                                                            <w:right w:val="none" w:sz="0" w:space="0" w:color="auto"/>
                                                          </w:divBdr>
                                                          <w:divsChild>
                                                            <w:div w:id="1450389747">
                                                              <w:marLeft w:val="0"/>
                                                              <w:marRight w:val="0"/>
                                                              <w:marTop w:val="0"/>
                                                              <w:marBottom w:val="0"/>
                                                              <w:divBdr>
                                                                <w:top w:val="none" w:sz="0" w:space="0" w:color="auto"/>
                                                                <w:left w:val="none" w:sz="0" w:space="0" w:color="auto"/>
                                                                <w:bottom w:val="none" w:sz="0" w:space="0" w:color="auto"/>
                                                                <w:right w:val="none" w:sz="0" w:space="0" w:color="auto"/>
                                                              </w:divBdr>
                                                              <w:divsChild>
                                                                <w:div w:id="769162488">
                                                                  <w:marLeft w:val="0"/>
                                                                  <w:marRight w:val="0"/>
                                                                  <w:marTop w:val="0"/>
                                                                  <w:marBottom w:val="0"/>
                                                                  <w:divBdr>
                                                                    <w:top w:val="none" w:sz="0" w:space="0" w:color="auto"/>
                                                                    <w:left w:val="none" w:sz="0" w:space="0" w:color="auto"/>
                                                                    <w:bottom w:val="none" w:sz="0" w:space="0" w:color="auto"/>
                                                                    <w:right w:val="none" w:sz="0" w:space="0" w:color="auto"/>
                                                                  </w:divBdr>
                                                                  <w:divsChild>
                                                                    <w:div w:id="92749656">
                                                                      <w:marLeft w:val="0"/>
                                                                      <w:marRight w:val="0"/>
                                                                      <w:marTop w:val="0"/>
                                                                      <w:marBottom w:val="0"/>
                                                                      <w:divBdr>
                                                                        <w:top w:val="none" w:sz="0" w:space="0" w:color="auto"/>
                                                                        <w:left w:val="none" w:sz="0" w:space="0" w:color="auto"/>
                                                                        <w:bottom w:val="none" w:sz="0" w:space="0" w:color="auto"/>
                                                                        <w:right w:val="none" w:sz="0" w:space="0" w:color="auto"/>
                                                                      </w:divBdr>
                                                                      <w:divsChild>
                                                                        <w:div w:id="1434714873">
                                                                          <w:marLeft w:val="0"/>
                                                                          <w:marRight w:val="0"/>
                                                                          <w:marTop w:val="0"/>
                                                                          <w:marBottom w:val="0"/>
                                                                          <w:divBdr>
                                                                            <w:top w:val="none" w:sz="0" w:space="0" w:color="auto"/>
                                                                            <w:left w:val="none" w:sz="0" w:space="0" w:color="auto"/>
                                                                            <w:bottom w:val="none" w:sz="0" w:space="0" w:color="auto"/>
                                                                            <w:right w:val="none" w:sz="0" w:space="0" w:color="auto"/>
                                                                          </w:divBdr>
                                                                          <w:divsChild>
                                                                            <w:div w:id="421268039">
                                                                              <w:marLeft w:val="105"/>
                                                                              <w:marRight w:val="105"/>
                                                                              <w:marTop w:val="150"/>
                                                                              <w:marBottom w:val="150"/>
                                                                              <w:divBdr>
                                                                                <w:top w:val="none" w:sz="0" w:space="0" w:color="auto"/>
                                                                                <w:left w:val="none" w:sz="0" w:space="0" w:color="auto"/>
                                                                                <w:bottom w:val="none" w:sz="0" w:space="0" w:color="auto"/>
                                                                                <w:right w:val="none" w:sz="0" w:space="0" w:color="auto"/>
                                                                              </w:divBdr>
                                                                              <w:divsChild>
                                                                                <w:div w:id="1195192711">
                                                                                  <w:marLeft w:val="0"/>
                                                                                  <w:marRight w:val="0"/>
                                                                                  <w:marTop w:val="0"/>
                                                                                  <w:marBottom w:val="0"/>
                                                                                  <w:divBdr>
                                                                                    <w:top w:val="none" w:sz="0" w:space="0" w:color="auto"/>
                                                                                    <w:left w:val="none" w:sz="0" w:space="0" w:color="auto"/>
                                                                                    <w:bottom w:val="none" w:sz="0" w:space="0" w:color="auto"/>
                                                                                    <w:right w:val="none" w:sz="0" w:space="0" w:color="auto"/>
                                                                                  </w:divBdr>
                                                                                  <w:divsChild>
                                                                                    <w:div w:id="380178645">
                                                                                      <w:marLeft w:val="0"/>
                                                                                      <w:marRight w:val="0"/>
                                                                                      <w:marTop w:val="0"/>
                                                                                      <w:marBottom w:val="0"/>
                                                                                      <w:divBdr>
                                                                                        <w:top w:val="none" w:sz="0" w:space="0" w:color="auto"/>
                                                                                        <w:left w:val="none" w:sz="0" w:space="0" w:color="auto"/>
                                                                                        <w:bottom w:val="none" w:sz="0" w:space="0" w:color="auto"/>
                                                                                        <w:right w:val="none" w:sz="0" w:space="0" w:color="auto"/>
                                                                                      </w:divBdr>
                                                                                      <w:divsChild>
                                                                                        <w:div w:id="1303001169">
                                                                                          <w:marLeft w:val="0"/>
                                                                                          <w:marRight w:val="0"/>
                                                                                          <w:marTop w:val="0"/>
                                                                                          <w:marBottom w:val="0"/>
                                                                                          <w:divBdr>
                                                                                            <w:top w:val="none" w:sz="0" w:space="0" w:color="auto"/>
                                                                                            <w:left w:val="none" w:sz="0" w:space="0" w:color="auto"/>
                                                                                            <w:bottom w:val="none" w:sz="0" w:space="0" w:color="auto"/>
                                                                                            <w:right w:val="none" w:sz="0" w:space="0" w:color="auto"/>
                                                                                          </w:divBdr>
                                                                                          <w:divsChild>
                                                                                            <w:div w:id="1439181999">
                                                                                              <w:marLeft w:val="0"/>
                                                                                              <w:marRight w:val="0"/>
                                                                                              <w:marTop w:val="0"/>
                                                                                              <w:marBottom w:val="0"/>
                                                                                              <w:divBdr>
                                                                                                <w:top w:val="none" w:sz="0" w:space="0" w:color="auto"/>
                                                                                                <w:left w:val="none" w:sz="0" w:space="0" w:color="auto"/>
                                                                                                <w:bottom w:val="none" w:sz="0" w:space="0" w:color="auto"/>
                                                                                                <w:right w:val="none" w:sz="0" w:space="0" w:color="auto"/>
                                                                                              </w:divBdr>
                                                                                              <w:divsChild>
                                                                                                <w:div w:id="1339574106">
                                                                                                  <w:marLeft w:val="0"/>
                                                                                                  <w:marRight w:val="0"/>
                                                                                                  <w:marTop w:val="0"/>
                                                                                                  <w:marBottom w:val="0"/>
                                                                                                  <w:divBdr>
                                                                                                    <w:top w:val="none" w:sz="0" w:space="0" w:color="auto"/>
                                                                                                    <w:left w:val="none" w:sz="0" w:space="0" w:color="auto"/>
                                                                                                    <w:bottom w:val="none" w:sz="0" w:space="0" w:color="auto"/>
                                                                                                    <w:right w:val="none" w:sz="0" w:space="0" w:color="auto"/>
                                                                                                  </w:divBdr>
                                                                                                  <w:divsChild>
                                                                                                    <w:div w:id="752244227">
                                                                                                      <w:marLeft w:val="0"/>
                                                                                                      <w:marRight w:val="0"/>
                                                                                                      <w:marTop w:val="0"/>
                                                                                                      <w:marBottom w:val="0"/>
                                                                                                      <w:divBdr>
                                                                                                        <w:top w:val="none" w:sz="0" w:space="0" w:color="auto"/>
                                                                                                        <w:left w:val="none" w:sz="0" w:space="0" w:color="auto"/>
                                                                                                        <w:bottom w:val="none" w:sz="0" w:space="0" w:color="auto"/>
                                                                                                        <w:right w:val="none" w:sz="0" w:space="0" w:color="auto"/>
                                                                                                      </w:divBdr>
                                                                                                      <w:divsChild>
                                                                                                        <w:div w:id="1174295672">
                                                                                                          <w:marLeft w:val="0"/>
                                                                                                          <w:marRight w:val="0"/>
                                                                                                          <w:marTop w:val="0"/>
                                                                                                          <w:marBottom w:val="0"/>
                                                                                                          <w:divBdr>
                                                                                                            <w:top w:val="none" w:sz="0" w:space="0" w:color="auto"/>
                                                                                                            <w:left w:val="none" w:sz="0" w:space="0" w:color="auto"/>
                                                                                                            <w:bottom w:val="none" w:sz="0" w:space="0" w:color="auto"/>
                                                                                                            <w:right w:val="none" w:sz="0" w:space="0" w:color="auto"/>
                                                                                                          </w:divBdr>
                                                                                                          <w:divsChild>
                                                                                                            <w:div w:id="2046102324">
                                                                                                              <w:marLeft w:val="0"/>
                                                                                                              <w:marRight w:val="0"/>
                                                                                                              <w:marTop w:val="0"/>
                                                                                                              <w:marBottom w:val="0"/>
                                                                                                              <w:divBdr>
                                                                                                                <w:top w:val="none" w:sz="0" w:space="0" w:color="auto"/>
                                                                                                                <w:left w:val="none" w:sz="0" w:space="0" w:color="auto"/>
                                                                                                                <w:bottom w:val="none" w:sz="0" w:space="0" w:color="auto"/>
                                                                                                                <w:right w:val="none" w:sz="0" w:space="0" w:color="auto"/>
                                                                                                              </w:divBdr>
                                                                                                              <w:divsChild>
                                                                                                                <w:div w:id="1282882678">
                                                                                                                  <w:marLeft w:val="0"/>
                                                                                                                  <w:marRight w:val="0"/>
                                                                                                                  <w:marTop w:val="0"/>
                                                                                                                  <w:marBottom w:val="0"/>
                                                                                                                  <w:divBdr>
                                                                                                                    <w:top w:val="none" w:sz="0" w:space="0" w:color="auto"/>
                                                                                                                    <w:left w:val="none" w:sz="0" w:space="0" w:color="auto"/>
                                                                                                                    <w:bottom w:val="none" w:sz="0" w:space="0" w:color="auto"/>
                                                                                                                    <w:right w:val="none" w:sz="0" w:space="0" w:color="auto"/>
                                                                                                                  </w:divBdr>
                                                                                                                </w:div>
                                                                                                                <w:div w:id="1941136598">
                                                                                                                  <w:marLeft w:val="0"/>
                                                                                                                  <w:marRight w:val="0"/>
                                                                                                                  <w:marTop w:val="0"/>
                                                                                                                  <w:marBottom w:val="0"/>
                                                                                                                  <w:divBdr>
                                                                                                                    <w:top w:val="none" w:sz="0" w:space="0" w:color="auto"/>
                                                                                                                    <w:left w:val="none" w:sz="0" w:space="0" w:color="auto"/>
                                                                                                                    <w:bottom w:val="none" w:sz="0" w:space="0" w:color="auto"/>
                                                                                                                    <w:right w:val="none" w:sz="0" w:space="0" w:color="auto"/>
                                                                                                                  </w:divBdr>
                                                                                                                </w:div>
                                                                                                              </w:divsChild>
                                                                                                            </w:div>
                                                                                                            <w:div w:id="996038080">
                                                                                                              <w:marLeft w:val="0"/>
                                                                                                              <w:marRight w:val="0"/>
                                                                                                              <w:marTop w:val="0"/>
                                                                                                              <w:marBottom w:val="0"/>
                                                                                                              <w:divBdr>
                                                                                                                <w:top w:val="none" w:sz="0" w:space="0" w:color="auto"/>
                                                                                                                <w:left w:val="none" w:sz="0" w:space="0" w:color="auto"/>
                                                                                                                <w:bottom w:val="none" w:sz="0" w:space="0" w:color="auto"/>
                                                                                                                <w:right w:val="none" w:sz="0" w:space="0" w:color="auto"/>
                                                                                                              </w:divBdr>
                                                                                                              <w:divsChild>
                                                                                                                <w:div w:id="1718315478">
                                                                                                                  <w:marLeft w:val="0"/>
                                                                                                                  <w:marRight w:val="0"/>
                                                                                                                  <w:marTop w:val="0"/>
                                                                                                                  <w:marBottom w:val="0"/>
                                                                                                                  <w:divBdr>
                                                                                                                    <w:top w:val="none" w:sz="0" w:space="0" w:color="auto"/>
                                                                                                                    <w:left w:val="none" w:sz="0" w:space="0" w:color="auto"/>
                                                                                                                    <w:bottom w:val="none" w:sz="0" w:space="0" w:color="auto"/>
                                                                                                                    <w:right w:val="none" w:sz="0" w:space="0" w:color="auto"/>
                                                                                                                  </w:divBdr>
                                                                                                                </w:div>
                                                                                                                <w:div w:id="194368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2895">
                                                                                                          <w:marLeft w:val="0"/>
                                                                                                          <w:marRight w:val="0"/>
                                                                                                          <w:marTop w:val="0"/>
                                                                                                          <w:marBottom w:val="0"/>
                                                                                                          <w:divBdr>
                                                                                                            <w:top w:val="none" w:sz="0" w:space="0" w:color="auto"/>
                                                                                                            <w:left w:val="none" w:sz="0" w:space="0" w:color="auto"/>
                                                                                                            <w:bottom w:val="none" w:sz="0" w:space="0" w:color="auto"/>
                                                                                                            <w:right w:val="none" w:sz="0" w:space="0" w:color="auto"/>
                                                                                                          </w:divBdr>
                                                                                                          <w:divsChild>
                                                                                                            <w:div w:id="2145077419">
                                                                                                              <w:marLeft w:val="0"/>
                                                                                                              <w:marRight w:val="0"/>
                                                                                                              <w:marTop w:val="0"/>
                                                                                                              <w:marBottom w:val="0"/>
                                                                                                              <w:divBdr>
                                                                                                                <w:top w:val="none" w:sz="0" w:space="0" w:color="auto"/>
                                                                                                                <w:left w:val="none" w:sz="0" w:space="0" w:color="auto"/>
                                                                                                                <w:bottom w:val="none" w:sz="0" w:space="0" w:color="auto"/>
                                                                                                                <w:right w:val="none" w:sz="0" w:space="0" w:color="auto"/>
                                                                                                              </w:divBdr>
                                                                                                              <w:divsChild>
                                                                                                                <w:div w:id="790365257">
                                                                                                                  <w:marLeft w:val="0"/>
                                                                                                                  <w:marRight w:val="0"/>
                                                                                                                  <w:marTop w:val="0"/>
                                                                                                                  <w:marBottom w:val="0"/>
                                                                                                                  <w:divBdr>
                                                                                                                    <w:top w:val="none" w:sz="0" w:space="0" w:color="auto"/>
                                                                                                                    <w:left w:val="none" w:sz="0" w:space="0" w:color="auto"/>
                                                                                                                    <w:bottom w:val="none" w:sz="0" w:space="0" w:color="auto"/>
                                                                                                                    <w:right w:val="none" w:sz="0" w:space="0" w:color="auto"/>
                                                                                                                  </w:divBdr>
                                                                                                                </w:div>
                                                                                                                <w:div w:id="123116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4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2556569">
      <w:bodyDiv w:val="1"/>
      <w:marLeft w:val="0"/>
      <w:marRight w:val="0"/>
      <w:marTop w:val="0"/>
      <w:marBottom w:val="0"/>
      <w:divBdr>
        <w:top w:val="none" w:sz="0" w:space="0" w:color="auto"/>
        <w:left w:val="none" w:sz="0" w:space="0" w:color="auto"/>
        <w:bottom w:val="none" w:sz="0" w:space="0" w:color="auto"/>
        <w:right w:val="none" w:sz="0" w:space="0" w:color="auto"/>
      </w:divBdr>
    </w:div>
    <w:div w:id="686097896">
      <w:bodyDiv w:val="1"/>
      <w:marLeft w:val="0"/>
      <w:marRight w:val="0"/>
      <w:marTop w:val="0"/>
      <w:marBottom w:val="0"/>
      <w:divBdr>
        <w:top w:val="none" w:sz="0" w:space="0" w:color="auto"/>
        <w:left w:val="none" w:sz="0" w:space="0" w:color="auto"/>
        <w:bottom w:val="none" w:sz="0" w:space="0" w:color="auto"/>
        <w:right w:val="none" w:sz="0" w:space="0" w:color="auto"/>
      </w:divBdr>
    </w:div>
    <w:div w:id="766727434">
      <w:bodyDiv w:val="1"/>
      <w:marLeft w:val="0"/>
      <w:marRight w:val="0"/>
      <w:marTop w:val="0"/>
      <w:marBottom w:val="0"/>
      <w:divBdr>
        <w:top w:val="none" w:sz="0" w:space="0" w:color="auto"/>
        <w:left w:val="none" w:sz="0" w:space="0" w:color="auto"/>
        <w:bottom w:val="none" w:sz="0" w:space="0" w:color="auto"/>
        <w:right w:val="none" w:sz="0" w:space="0" w:color="auto"/>
      </w:divBdr>
    </w:div>
    <w:div w:id="1111633553">
      <w:bodyDiv w:val="1"/>
      <w:marLeft w:val="0"/>
      <w:marRight w:val="0"/>
      <w:marTop w:val="0"/>
      <w:marBottom w:val="0"/>
      <w:divBdr>
        <w:top w:val="none" w:sz="0" w:space="0" w:color="auto"/>
        <w:left w:val="none" w:sz="0" w:space="0" w:color="auto"/>
        <w:bottom w:val="none" w:sz="0" w:space="0" w:color="auto"/>
        <w:right w:val="none" w:sz="0" w:space="0" w:color="auto"/>
      </w:divBdr>
    </w:div>
    <w:div w:id="1182621293">
      <w:bodyDiv w:val="1"/>
      <w:marLeft w:val="0"/>
      <w:marRight w:val="0"/>
      <w:marTop w:val="0"/>
      <w:marBottom w:val="0"/>
      <w:divBdr>
        <w:top w:val="none" w:sz="0" w:space="0" w:color="auto"/>
        <w:left w:val="none" w:sz="0" w:space="0" w:color="auto"/>
        <w:bottom w:val="none" w:sz="0" w:space="0" w:color="auto"/>
        <w:right w:val="none" w:sz="0" w:space="0" w:color="auto"/>
      </w:divBdr>
    </w:div>
    <w:div w:id="1284656456">
      <w:bodyDiv w:val="1"/>
      <w:marLeft w:val="0"/>
      <w:marRight w:val="0"/>
      <w:marTop w:val="0"/>
      <w:marBottom w:val="0"/>
      <w:divBdr>
        <w:top w:val="none" w:sz="0" w:space="0" w:color="auto"/>
        <w:left w:val="none" w:sz="0" w:space="0" w:color="auto"/>
        <w:bottom w:val="none" w:sz="0" w:space="0" w:color="auto"/>
        <w:right w:val="none" w:sz="0" w:space="0" w:color="auto"/>
      </w:divBdr>
    </w:div>
    <w:div w:id="1865482745">
      <w:bodyDiv w:val="1"/>
      <w:marLeft w:val="0"/>
      <w:marRight w:val="0"/>
      <w:marTop w:val="0"/>
      <w:marBottom w:val="0"/>
      <w:divBdr>
        <w:top w:val="none" w:sz="0" w:space="0" w:color="auto"/>
        <w:left w:val="none" w:sz="0" w:space="0" w:color="auto"/>
        <w:bottom w:val="none" w:sz="0" w:space="0" w:color="auto"/>
        <w:right w:val="none" w:sz="0" w:space="0" w:color="auto"/>
      </w:divBdr>
    </w:div>
    <w:div w:id="212680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925E9-ACFF-4671-A6E6-75B09D6A1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5787</Words>
  <Characters>164652</Characters>
  <Application>Microsoft Office Word</Application>
  <DocSecurity>0</DocSecurity>
  <Lines>1372</Lines>
  <Paragraphs>340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University of York</Company>
  <LinksUpToDate>false</LinksUpToDate>
  <CharactersWithSpaces>170099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Angus</dc:creator>
  <cp:lastModifiedBy>Orchard, J.</cp:lastModifiedBy>
  <cp:revision>2</cp:revision>
  <dcterms:created xsi:type="dcterms:W3CDTF">2018-09-10T15:56:00Z</dcterms:created>
  <dcterms:modified xsi:type="dcterms:W3CDTF">2018-09-10T15:56:00Z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8th edition</vt:lpwstr>
  </property>
  <property fmtid="{D5CDD505-2E9C-101B-9397-08002B2CF9AE}" pid="19" name="Mendeley Recent Style Id 8_1">
    <vt:lpwstr>http://www.zotero.org/styles/the-lancet</vt:lpwstr>
  </property>
  <property fmtid="{D5CDD505-2E9C-101B-9397-08002B2CF9AE}" pid="20" name="Mendeley Recent Style Name 8_1">
    <vt:lpwstr>The Lancet</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Citation Style_1">
    <vt:lpwstr>http://www.zotero.org/styles/vancouver</vt:lpwstr>
  </property>
  <property fmtid="{D5CDD505-2E9C-101B-9397-08002B2CF9AE}" pid="24" name="Mendeley Unique User Id_1">
    <vt:lpwstr>dbb8de04-5f14-3ebc-ad58-3b0322b8d91f</vt:lpwstr>
  </property>
</Properties>
</file>