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08081473"/>
        <w:docPartObj>
          <w:docPartGallery w:val="Cover Pages"/>
          <w:docPartUnique/>
        </w:docPartObj>
      </w:sdtPr>
      <w:sdtEndPr/>
      <w:sdtContent>
        <w:p w14:paraId="4982306E" w14:textId="252E8E0A" w:rsidR="00461FDD" w:rsidRPr="00C73D75" w:rsidRDefault="00461FDD" w:rsidP="00E94812">
          <w:pPr>
            <w:spacing w:line="480" w:lineRule="auto"/>
            <w:rPr>
              <w:b/>
            </w:rPr>
          </w:pPr>
          <w:r w:rsidRPr="006B044F">
            <w:rPr>
              <w:b/>
            </w:rPr>
            <w:t>1. TITLE</w:t>
          </w:r>
        </w:p>
        <w:p w14:paraId="77B839C3" w14:textId="71687CEC" w:rsidR="00391C87" w:rsidRPr="006B044F" w:rsidRDefault="00391C87" w:rsidP="00E94812">
          <w:pPr>
            <w:spacing w:line="480" w:lineRule="auto"/>
          </w:pPr>
          <w:r w:rsidRPr="006B044F">
            <w:t xml:space="preserve">Quantifying pesticide </w:t>
          </w:r>
          <w:r w:rsidR="001403FB" w:rsidRPr="00C73D75">
            <w:t>deposits</w:t>
          </w:r>
          <w:r w:rsidR="001403FB" w:rsidRPr="006B044F">
            <w:t xml:space="preserve"> </w:t>
          </w:r>
          <w:r w:rsidRPr="006B044F">
            <w:t>and spray patterns at micro-scales on apple</w:t>
          </w:r>
          <w:r w:rsidR="00461FDD" w:rsidRPr="006B044F">
            <w:t xml:space="preserve"> (</w:t>
          </w:r>
          <w:r w:rsidR="00461FDD" w:rsidRPr="006B044F">
            <w:rPr>
              <w:i/>
            </w:rPr>
            <w:t>Malus domesticus</w:t>
          </w:r>
          <w:r w:rsidR="00461FDD" w:rsidRPr="006B044F">
            <w:t>)</w:t>
          </w:r>
          <w:r w:rsidRPr="006B044F">
            <w:t xml:space="preserve"> leaves</w:t>
          </w:r>
          <w:r w:rsidR="003A3EE1" w:rsidRPr="006B044F">
            <w:t xml:space="preserve"> with a view to arthropod exposure</w:t>
          </w:r>
        </w:p>
        <w:p w14:paraId="060F720B" w14:textId="11DDFE0A" w:rsidR="00461FDD" w:rsidRPr="006B044F" w:rsidRDefault="00461FDD" w:rsidP="00873767">
          <w:pPr>
            <w:spacing w:line="480" w:lineRule="auto"/>
          </w:pPr>
          <w:r w:rsidRPr="006B044F">
            <w:rPr>
              <w:b/>
            </w:rPr>
            <w:t>2. RUNNING TITLE</w:t>
          </w:r>
          <w:r w:rsidRPr="006B044F">
            <w:t xml:space="preserve"> </w:t>
          </w:r>
          <w:r w:rsidR="00773EF2" w:rsidRPr="006B044F">
            <w:t>Quantifying pesticide residues and spray patterns at micro-scales</w:t>
          </w:r>
          <w:r w:rsidR="00773EF2" w:rsidRPr="006B044F" w:rsidDel="00773EF2">
            <w:t xml:space="preserve"> </w:t>
          </w:r>
        </w:p>
        <w:p w14:paraId="1DE34E99" w14:textId="0F1387D1" w:rsidR="00461FDD" w:rsidRPr="006B044F" w:rsidRDefault="00461FDD" w:rsidP="00E94812">
          <w:pPr>
            <w:spacing w:line="480" w:lineRule="auto"/>
            <w:rPr>
              <w:b/>
            </w:rPr>
          </w:pPr>
          <w:r w:rsidRPr="006B044F">
            <w:rPr>
              <w:b/>
            </w:rPr>
            <w:t>3. AUTHORS</w:t>
          </w:r>
        </w:p>
        <w:p w14:paraId="4773486F" w14:textId="77777777" w:rsidR="00532271" w:rsidRPr="006B044F" w:rsidRDefault="00461FDD" w:rsidP="00E94812">
          <w:pPr>
            <w:spacing w:line="480" w:lineRule="auto"/>
          </w:pPr>
          <w:r w:rsidRPr="006B044F">
            <w:t>Joanna T</w:t>
          </w:r>
          <w:r w:rsidR="00391C87" w:rsidRPr="006B044F">
            <w:t xml:space="preserve"> Witton</w:t>
          </w:r>
        </w:p>
        <w:p w14:paraId="65B356A5" w14:textId="527D5D96" w:rsidR="00532271" w:rsidRPr="006B044F" w:rsidRDefault="00532271" w:rsidP="00E94812">
          <w:pPr>
            <w:spacing w:line="480" w:lineRule="auto"/>
          </w:pPr>
          <w:r w:rsidRPr="006B044F">
            <w:t>Environment Department, University of York, Heslington, York</w:t>
          </w:r>
          <w:r w:rsidR="00A13051" w:rsidRPr="006B044F">
            <w:t>, YO10 5NG</w:t>
          </w:r>
          <w:r w:rsidRPr="006B044F">
            <w:t>, United Kingdom</w:t>
          </w:r>
        </w:p>
        <w:p w14:paraId="16607ABF" w14:textId="1C6072B6" w:rsidR="00532271" w:rsidRPr="006B044F" w:rsidRDefault="00532271" w:rsidP="00E94812">
          <w:pPr>
            <w:spacing w:line="480" w:lineRule="auto"/>
          </w:pPr>
          <w:r w:rsidRPr="006B044F">
            <w:t xml:space="preserve">Corresponding author: </w:t>
          </w:r>
          <w:hyperlink r:id="rId9" w:history="1">
            <w:r w:rsidRPr="00C73D75">
              <w:rPr>
                <w:rStyle w:val="Hyperlink"/>
                <w:color w:val="auto"/>
              </w:rPr>
              <w:t>joanna.witton@york.ac.uk</w:t>
            </w:r>
          </w:hyperlink>
        </w:p>
        <w:p w14:paraId="744185A4" w14:textId="13E6559C" w:rsidR="00532271" w:rsidRPr="006B044F" w:rsidRDefault="00532271" w:rsidP="00E94812">
          <w:pPr>
            <w:spacing w:line="480" w:lineRule="auto"/>
          </w:pPr>
          <w:r w:rsidRPr="006B044F">
            <w:t xml:space="preserve">ORCID 0000-0003-3751-4294 </w:t>
          </w:r>
        </w:p>
        <w:p w14:paraId="066EF706" w14:textId="77777777" w:rsidR="00216225" w:rsidRPr="006B044F" w:rsidRDefault="00216225" w:rsidP="00E94812">
          <w:pPr>
            <w:spacing w:line="480" w:lineRule="auto"/>
          </w:pPr>
        </w:p>
        <w:p w14:paraId="65B793A7" w14:textId="2E6AF901" w:rsidR="00532271" w:rsidRPr="006B044F" w:rsidRDefault="00C503DF" w:rsidP="00E94812">
          <w:pPr>
            <w:spacing w:line="480" w:lineRule="auto"/>
          </w:pPr>
          <w:r w:rsidRPr="006B044F">
            <w:t>Matthew</w:t>
          </w:r>
          <w:r w:rsidR="00216225" w:rsidRPr="006B044F">
            <w:t xml:space="preserve"> D</w:t>
          </w:r>
          <w:r w:rsidRPr="006B044F">
            <w:t xml:space="preserve"> Pickering </w:t>
          </w:r>
        </w:p>
        <w:p w14:paraId="21AD8B10" w14:textId="469CD285" w:rsidR="00532271" w:rsidRPr="006B044F" w:rsidRDefault="00532271" w:rsidP="00532271">
          <w:pPr>
            <w:spacing w:line="480" w:lineRule="auto"/>
          </w:pPr>
          <w:bookmarkStart w:id="0" w:name="_Hlk509830718"/>
          <w:r w:rsidRPr="006B044F">
            <w:t>Environment Department, University of York, Heslington, York</w:t>
          </w:r>
          <w:r w:rsidR="00A13051" w:rsidRPr="006B044F">
            <w:t>, YO10 5NG</w:t>
          </w:r>
          <w:r w:rsidRPr="006B044F">
            <w:t>, United Kingdom</w:t>
          </w:r>
          <w:bookmarkEnd w:id="0"/>
        </w:p>
        <w:p w14:paraId="11B8D9A1" w14:textId="4495DB0F" w:rsidR="00532271" w:rsidRPr="006B044F" w:rsidRDefault="00532271" w:rsidP="00E94812">
          <w:pPr>
            <w:spacing w:line="480" w:lineRule="auto"/>
          </w:pPr>
          <w:r w:rsidRPr="006B044F">
            <w:t xml:space="preserve">matthew.pickering@york.ac.uk </w:t>
          </w:r>
          <w:r w:rsidR="00C503DF" w:rsidRPr="006B044F">
            <w:t xml:space="preserve"> </w:t>
          </w:r>
        </w:p>
        <w:p w14:paraId="4401A54B" w14:textId="32249914" w:rsidR="00CD4578" w:rsidRPr="006B044F" w:rsidRDefault="00CD4578" w:rsidP="00E94812">
          <w:pPr>
            <w:spacing w:line="480" w:lineRule="auto"/>
          </w:pPr>
          <w:r w:rsidRPr="006B044F">
            <w:t>ORCID 0000-0002-6234-2108</w:t>
          </w:r>
        </w:p>
        <w:p w14:paraId="6BAA6FDC" w14:textId="77777777" w:rsidR="00940F6F" w:rsidRPr="006B044F" w:rsidRDefault="00831F0C" w:rsidP="00E94812">
          <w:pPr>
            <w:spacing w:line="480" w:lineRule="auto"/>
          </w:pPr>
          <w:r w:rsidRPr="006B044F">
            <w:t>Tania Alvarez</w:t>
          </w:r>
        </w:p>
        <w:p w14:paraId="666E33E9" w14:textId="1CED7688" w:rsidR="00940F6F" w:rsidRPr="006B044F" w:rsidRDefault="00940F6F" w:rsidP="00E94812">
          <w:pPr>
            <w:spacing w:line="480" w:lineRule="auto"/>
          </w:pPr>
          <w:r w:rsidRPr="006B044F">
            <w:t xml:space="preserve">EcoRisk Solutions Ltd., The Kernel, Walnut Hill, Surlingham, Norwich, Norfolk, </w:t>
          </w:r>
          <w:r w:rsidR="005361A0" w:rsidRPr="006B044F">
            <w:t xml:space="preserve">NR14 7DQ, </w:t>
          </w:r>
          <w:r w:rsidR="00220797" w:rsidRPr="006B044F">
            <w:t>United Kingdom</w:t>
          </w:r>
        </w:p>
        <w:p w14:paraId="3FAA9414" w14:textId="599B970D" w:rsidR="00532271" w:rsidRPr="006B044F" w:rsidRDefault="00940F6F" w:rsidP="00E94812">
          <w:pPr>
            <w:spacing w:line="480" w:lineRule="auto"/>
          </w:pPr>
          <w:r w:rsidRPr="006B044F">
            <w:t>tania.alvarez@ecorisksolutions.co.uk</w:t>
          </w:r>
          <w:r w:rsidR="00831F0C" w:rsidRPr="006B044F">
            <w:t xml:space="preserve"> </w:t>
          </w:r>
        </w:p>
        <w:p w14:paraId="40FEB9B2" w14:textId="77777777" w:rsidR="00216225" w:rsidRPr="006B044F" w:rsidRDefault="00216225" w:rsidP="00E94812">
          <w:pPr>
            <w:spacing w:line="480" w:lineRule="auto"/>
          </w:pPr>
        </w:p>
        <w:p w14:paraId="021E64BC" w14:textId="77777777" w:rsidR="00220797" w:rsidRPr="006B044F" w:rsidRDefault="00C503DF" w:rsidP="00E94812">
          <w:pPr>
            <w:spacing w:line="480" w:lineRule="auto"/>
          </w:pPr>
          <w:r w:rsidRPr="006B044F">
            <w:t xml:space="preserve">Melissa Reed </w:t>
          </w:r>
        </w:p>
        <w:p w14:paraId="5162838D" w14:textId="387A3E00" w:rsidR="00220797" w:rsidRPr="006B044F" w:rsidRDefault="00220797" w:rsidP="00E94812">
          <w:pPr>
            <w:spacing w:line="480" w:lineRule="auto"/>
          </w:pPr>
          <w:r w:rsidRPr="006B044F">
            <w:lastRenderedPageBreak/>
            <w:t xml:space="preserve">Chemicals Regulation Division, Health and Safety Executive, Mallard House, 3 Peasholme Green, York, </w:t>
          </w:r>
          <w:r w:rsidR="00705A3F" w:rsidRPr="006B044F">
            <w:t xml:space="preserve">YO1 7PX, </w:t>
          </w:r>
          <w:r w:rsidRPr="006B044F">
            <w:t>United Kingdom</w:t>
          </w:r>
        </w:p>
        <w:p w14:paraId="54F115F1" w14:textId="2EB4A92C" w:rsidR="00532271" w:rsidRPr="006B044F" w:rsidRDefault="00220797" w:rsidP="00E94812">
          <w:pPr>
            <w:spacing w:line="480" w:lineRule="auto"/>
          </w:pPr>
          <w:r w:rsidRPr="006B044F">
            <w:t>melissa.reed@hse.gov.uk</w:t>
          </w:r>
        </w:p>
        <w:p w14:paraId="7CB3B58E" w14:textId="77777777" w:rsidR="00220797" w:rsidRPr="006B044F" w:rsidRDefault="00C503DF" w:rsidP="00E94812">
          <w:pPr>
            <w:spacing w:line="480" w:lineRule="auto"/>
          </w:pPr>
          <w:r w:rsidRPr="006B044F">
            <w:t xml:space="preserve">Gabriel Weyman </w:t>
          </w:r>
        </w:p>
        <w:p w14:paraId="2379FEAC" w14:textId="53F41144" w:rsidR="00220797" w:rsidRPr="006B044F" w:rsidRDefault="00220797" w:rsidP="00E94812">
          <w:pPr>
            <w:spacing w:line="480" w:lineRule="auto"/>
          </w:pPr>
          <w:r w:rsidRPr="006B044F">
            <w:t xml:space="preserve">ADAMA Agricultural Solutions Ltd., 15 Thatcham Business Village, Colthrop Way, Thatcham, Berkshire, </w:t>
          </w:r>
          <w:r w:rsidR="00705A3F" w:rsidRPr="006B044F">
            <w:t xml:space="preserve">RG19 4LW, </w:t>
          </w:r>
          <w:r w:rsidRPr="006B044F">
            <w:t>United Kingdom</w:t>
          </w:r>
        </w:p>
        <w:p w14:paraId="68D52E09" w14:textId="0F0320A1" w:rsidR="00532271" w:rsidRPr="006B044F" w:rsidRDefault="007D437F" w:rsidP="00E94812">
          <w:pPr>
            <w:spacing w:line="480" w:lineRule="auto"/>
          </w:pPr>
          <w:r w:rsidRPr="006B044F">
            <w:t>g</w:t>
          </w:r>
          <w:r w:rsidR="00220797" w:rsidRPr="006B044F">
            <w:t>abe.weyman@adama.com</w:t>
          </w:r>
        </w:p>
        <w:p w14:paraId="789A0E08" w14:textId="77777777" w:rsidR="00220797" w:rsidRPr="006B044F" w:rsidRDefault="00461FDD" w:rsidP="00E94812">
          <w:pPr>
            <w:spacing w:line="480" w:lineRule="auto"/>
          </w:pPr>
          <w:r w:rsidRPr="006B044F">
            <w:t>Mark E</w:t>
          </w:r>
          <w:r w:rsidR="00C503DF" w:rsidRPr="006B044F">
            <w:t xml:space="preserve"> Hodson </w:t>
          </w:r>
        </w:p>
        <w:p w14:paraId="7E092153" w14:textId="40DC7937" w:rsidR="00220797" w:rsidRPr="006B044F" w:rsidRDefault="00220797" w:rsidP="00E94812">
          <w:pPr>
            <w:spacing w:line="480" w:lineRule="auto"/>
          </w:pPr>
          <w:r w:rsidRPr="006B044F">
            <w:t>Environment Department, University of York, Heslington, York</w:t>
          </w:r>
          <w:r w:rsidR="00A13051" w:rsidRPr="006B044F">
            <w:t>, YO10 5NG</w:t>
          </w:r>
          <w:r w:rsidRPr="006B044F">
            <w:t>, United Kingdom</w:t>
          </w:r>
          <w:r w:rsidRPr="006B044F" w:rsidDel="00220797">
            <w:t xml:space="preserve"> </w:t>
          </w:r>
        </w:p>
        <w:p w14:paraId="17E2412C" w14:textId="73A6FF87" w:rsidR="00532271" w:rsidRPr="006B044F" w:rsidRDefault="00745174" w:rsidP="00E94812">
          <w:pPr>
            <w:spacing w:line="480" w:lineRule="auto"/>
          </w:pPr>
          <w:hyperlink r:id="rId10" w:history="1">
            <w:r w:rsidR="00705A3F" w:rsidRPr="00C73D75">
              <w:rPr>
                <w:rStyle w:val="Hyperlink"/>
                <w:color w:val="auto"/>
              </w:rPr>
              <w:t>mark.hodson@york.ac.uk</w:t>
            </w:r>
          </w:hyperlink>
        </w:p>
        <w:p w14:paraId="5E1D2676" w14:textId="69470495" w:rsidR="00705A3F" w:rsidRPr="006B044F" w:rsidRDefault="00705A3F" w:rsidP="00E94812">
          <w:pPr>
            <w:spacing w:line="480" w:lineRule="auto"/>
          </w:pPr>
          <w:r w:rsidRPr="006B044F">
            <w:t>ORCID 0000-0002-8166-1526</w:t>
          </w:r>
        </w:p>
        <w:p w14:paraId="3F150C75" w14:textId="77777777" w:rsidR="00220797" w:rsidRPr="006B044F" w:rsidRDefault="00C503DF" w:rsidP="00E94812">
          <w:pPr>
            <w:spacing w:line="480" w:lineRule="auto"/>
          </w:pPr>
          <w:r w:rsidRPr="006B044F">
            <w:t xml:space="preserve">Roman Ashauer </w:t>
          </w:r>
        </w:p>
        <w:p w14:paraId="3C01F81B" w14:textId="380E03A1" w:rsidR="00220797" w:rsidRPr="006B044F" w:rsidRDefault="00220797" w:rsidP="00E94812">
          <w:pPr>
            <w:spacing w:line="480" w:lineRule="auto"/>
          </w:pPr>
          <w:r w:rsidRPr="006B044F">
            <w:t>Environment Department, University of York, Heslington, York</w:t>
          </w:r>
          <w:r w:rsidR="00A13051" w:rsidRPr="006B044F">
            <w:t>, YO10 5NG</w:t>
          </w:r>
          <w:r w:rsidRPr="006B044F">
            <w:t>, United Kingdom</w:t>
          </w:r>
          <w:r w:rsidRPr="006B044F" w:rsidDel="00220797">
            <w:t xml:space="preserve"> </w:t>
          </w:r>
        </w:p>
        <w:p w14:paraId="718CEC77" w14:textId="0ECF911F" w:rsidR="00C503DF" w:rsidRPr="006B044F" w:rsidRDefault="00745174" w:rsidP="00E94812">
          <w:pPr>
            <w:spacing w:line="480" w:lineRule="auto"/>
          </w:pPr>
          <w:hyperlink r:id="rId11" w:history="1">
            <w:r w:rsidR="006471DF" w:rsidRPr="00C73D75">
              <w:rPr>
                <w:rStyle w:val="Hyperlink"/>
                <w:color w:val="auto"/>
              </w:rPr>
              <w:t>roman.ashauer@york.ac.uk</w:t>
            </w:r>
          </w:hyperlink>
        </w:p>
        <w:p w14:paraId="58FB9816" w14:textId="6C1662CA" w:rsidR="006471DF" w:rsidRPr="006B044F" w:rsidRDefault="006471DF" w:rsidP="00E94812">
          <w:pPr>
            <w:spacing w:line="480" w:lineRule="auto"/>
          </w:pPr>
          <w:r w:rsidRPr="006B044F">
            <w:t>ORCID 0000-0002-9579-8793</w:t>
          </w:r>
        </w:p>
        <w:p w14:paraId="7DACC1DB" w14:textId="24AA8F0C" w:rsidR="00461FDD" w:rsidRPr="006B044F" w:rsidRDefault="00461FDD" w:rsidP="00E94812">
          <w:pPr>
            <w:spacing w:line="480" w:lineRule="auto"/>
            <w:rPr>
              <w:b/>
            </w:rPr>
          </w:pPr>
          <w:r w:rsidRPr="006B044F">
            <w:rPr>
              <w:b/>
            </w:rPr>
            <w:t>4. ADDRESS WHERE WORK WAS UNDERTAKEN</w:t>
          </w:r>
        </w:p>
        <w:p w14:paraId="46589089" w14:textId="47408955" w:rsidR="00C503DF" w:rsidRPr="006B044F" w:rsidRDefault="00C503DF" w:rsidP="00E94812">
          <w:pPr>
            <w:spacing w:line="480" w:lineRule="auto"/>
          </w:pPr>
          <w:r w:rsidRPr="006B044F">
            <w:t>Environment Department, University of York, Wentworth Way, York, YO10 5NG, UK</w:t>
          </w:r>
        </w:p>
        <w:p w14:paraId="3272B121" w14:textId="33BCE510" w:rsidR="00C503DF" w:rsidRPr="006B044F" w:rsidRDefault="00461FDD" w:rsidP="00E94812">
          <w:pPr>
            <w:spacing w:line="480" w:lineRule="auto"/>
            <w:rPr>
              <w:b/>
            </w:rPr>
          </w:pPr>
          <w:r w:rsidRPr="006B044F">
            <w:rPr>
              <w:b/>
            </w:rPr>
            <w:t xml:space="preserve">5. </w:t>
          </w:r>
          <w:r w:rsidR="00C503DF" w:rsidRPr="006B044F">
            <w:rPr>
              <w:b/>
            </w:rPr>
            <w:t>ABSTRACT</w:t>
          </w:r>
          <w:r w:rsidR="004F5438" w:rsidRPr="006B044F">
            <w:rPr>
              <w:b/>
            </w:rPr>
            <w:t xml:space="preserve"> </w:t>
          </w:r>
          <w:r w:rsidRPr="006B044F">
            <w:rPr>
              <w:b/>
            </w:rPr>
            <w:t>AND KEYWORDS</w:t>
          </w:r>
        </w:p>
        <w:p w14:paraId="75021707" w14:textId="77777777" w:rsidR="00C503DF" w:rsidRPr="006B044F" w:rsidRDefault="00C503DF" w:rsidP="00E94812">
          <w:pPr>
            <w:spacing w:line="480" w:lineRule="auto"/>
          </w:pPr>
          <w:r w:rsidRPr="006B044F">
            <w:t>BACKGROUND</w:t>
          </w:r>
        </w:p>
        <w:p w14:paraId="6C3A51CA" w14:textId="74A67C49" w:rsidR="00C503DF" w:rsidRPr="006B044F" w:rsidRDefault="00C503DF" w:rsidP="00E94812">
          <w:pPr>
            <w:spacing w:line="480" w:lineRule="auto"/>
          </w:pPr>
          <w:r w:rsidRPr="006B044F">
            <w:lastRenderedPageBreak/>
            <w:t xml:space="preserve">Pesticides used in commercial crop systems </w:t>
          </w:r>
          <w:r w:rsidR="003A3EE1" w:rsidRPr="006B044F">
            <w:t>can</w:t>
          </w:r>
          <w:r w:rsidRPr="006B044F">
            <w:t xml:space="preserve"> adversely affect non-target </w:t>
          </w:r>
          <w:r w:rsidR="003A3EE1" w:rsidRPr="006B044F">
            <w:t>arthropod</w:t>
          </w:r>
          <w:r w:rsidRPr="006B044F">
            <w:t xml:space="preserve"> populations. </w:t>
          </w:r>
          <w:r w:rsidR="004638BF" w:rsidRPr="006B044F">
            <w:t xml:space="preserve">The spatial </w:t>
          </w:r>
          <w:r w:rsidR="00115663" w:rsidRPr="006B044F">
            <w:t>distribution</w:t>
          </w:r>
          <w:r w:rsidR="005E3F26" w:rsidRPr="006B044F">
            <w:t xml:space="preserve"> of pesticide residues</w:t>
          </w:r>
          <w:r w:rsidR="00341FCB" w:rsidRPr="006B044F">
            <w:t xml:space="preserve"> </w:t>
          </w:r>
          <w:r w:rsidR="005E3F26" w:rsidRPr="006B044F">
            <w:t>is</w:t>
          </w:r>
          <w:r w:rsidR="00DE1055" w:rsidRPr="006B044F">
            <w:t xml:space="preserve"> rarely</w:t>
          </w:r>
          <w:r w:rsidR="005E3F26" w:rsidRPr="006B044F">
            <w:t xml:space="preserve"> studied</w:t>
          </w:r>
          <w:r w:rsidR="0035660B" w:rsidRPr="006B044F">
            <w:t xml:space="preserve"> </w:t>
          </w:r>
          <w:r w:rsidR="003A3EE1" w:rsidRPr="006B044F">
            <w:t>at</w:t>
          </w:r>
          <w:r w:rsidR="00E24684" w:rsidRPr="006B044F">
            <w:t xml:space="preserve"> scales relevant to these populations</w:t>
          </w:r>
          <w:r w:rsidR="0035660B" w:rsidRPr="006B044F">
            <w:t xml:space="preserve">. </w:t>
          </w:r>
          <w:bookmarkStart w:id="1" w:name="_Hlk517271859"/>
          <w:bookmarkStart w:id="2" w:name="_Hlk517430601"/>
          <w:r w:rsidR="0035660B" w:rsidRPr="006B044F">
            <w:t>Here we combine two</w:t>
          </w:r>
          <w:r w:rsidRPr="006B044F">
            <w:t xml:space="preserve"> methods for assessing pesticide spray</w:t>
          </w:r>
          <w:r w:rsidR="00D63471" w:rsidRPr="006B044F">
            <w:t xml:space="preserve"> deposits </w:t>
          </w:r>
          <w:bookmarkEnd w:id="1"/>
          <w:r w:rsidRPr="006B044F">
            <w:t xml:space="preserve">at spatial scales relevant to non-target arthropods found in apple orchards. </w:t>
          </w:r>
          <w:bookmarkStart w:id="3" w:name="_Hlk517271983"/>
          <w:r w:rsidR="00341FCB" w:rsidRPr="006B044F">
            <w:t xml:space="preserve">Pesticide </w:t>
          </w:r>
          <w:r w:rsidR="00403075" w:rsidRPr="00C73D75">
            <w:t>residue</w:t>
          </w:r>
          <w:r w:rsidR="00E750B3" w:rsidRPr="00C73D75">
            <w:t>s</w:t>
          </w:r>
          <w:r w:rsidR="00341FCB" w:rsidRPr="006B044F">
            <w:t xml:space="preserve"> were determined on individual apple leaves </w:t>
          </w:r>
          <w:bookmarkEnd w:id="3"/>
          <w:r w:rsidR="00341FCB" w:rsidRPr="006B044F">
            <w:t>through conventional residue analysis</w:t>
          </w:r>
          <w:r w:rsidR="00461FDD" w:rsidRPr="006B044F">
            <w:t>;</w:t>
          </w:r>
          <w:r w:rsidRPr="006B044F">
            <w:t xml:space="preserve"> wat</w:t>
          </w:r>
          <w:r w:rsidR="003A3EE1" w:rsidRPr="006B044F">
            <w:t>er sensitive p</w:t>
          </w:r>
          <w:r w:rsidR="00461FDD" w:rsidRPr="006B044F">
            <w:t>aper was used to investigate</w:t>
          </w:r>
          <w:r w:rsidRPr="006B044F">
            <w:t xml:space="preserve"> spatial distribution</w:t>
          </w:r>
          <w:r w:rsidR="00461FDD" w:rsidRPr="006B044F">
            <w:t>s in</w:t>
          </w:r>
          <w:r w:rsidRPr="006B044F">
            <w:t xml:space="preserve"> </w:t>
          </w:r>
          <w:r w:rsidR="00403075" w:rsidRPr="006B044F">
            <w:t>deposit</w:t>
          </w:r>
          <w:r w:rsidR="0035660B" w:rsidRPr="006B044F">
            <w:t>s</w:t>
          </w:r>
          <w:r w:rsidRPr="006B044F">
            <w:t xml:space="preserve"> at the </w:t>
          </w:r>
          <w:r w:rsidR="00461FDD" w:rsidRPr="006B044F">
            <w:t xml:space="preserve">micro scale. We </w:t>
          </w:r>
          <w:r w:rsidR="00403075" w:rsidRPr="006B044F">
            <w:t xml:space="preserve">also </w:t>
          </w:r>
          <w:r w:rsidR="0035660B" w:rsidRPr="006B044F">
            <w:t>evaluated how accurately</w:t>
          </w:r>
          <w:r w:rsidRPr="006B044F">
            <w:t xml:space="preserve"> a</w:t>
          </w:r>
          <w:r w:rsidR="0035660B" w:rsidRPr="006B044F">
            <w:t xml:space="preserve"> digital image analysis program estimate</w:t>
          </w:r>
          <w:r w:rsidR="003A3EE1" w:rsidRPr="006B044F">
            <w:t>d</w:t>
          </w:r>
          <w:r w:rsidRPr="006B044F">
            <w:t xml:space="preserve"> pesticide residues</w:t>
          </w:r>
          <w:r w:rsidR="00341FCB" w:rsidRPr="006B044F">
            <w:t>.</w:t>
          </w:r>
          <w:bookmarkEnd w:id="2"/>
        </w:p>
        <w:p w14:paraId="1460A21B" w14:textId="77777777" w:rsidR="00C503DF" w:rsidRPr="006B044F" w:rsidRDefault="00C503DF" w:rsidP="00E94812">
          <w:pPr>
            <w:spacing w:line="480" w:lineRule="auto"/>
          </w:pPr>
          <w:r w:rsidRPr="006B044F">
            <w:t>RESULTS</w:t>
          </w:r>
        </w:p>
        <w:p w14:paraId="5A3792B0" w14:textId="31FAF3BB" w:rsidR="00834F9A" w:rsidRPr="006B044F" w:rsidRDefault="00461FDD" w:rsidP="00E94812">
          <w:pPr>
            <w:spacing w:line="480" w:lineRule="auto"/>
          </w:pPr>
          <w:bookmarkStart w:id="4" w:name="_Hlk517271747"/>
          <w:r w:rsidRPr="006B044F">
            <w:t>We found</w:t>
          </w:r>
          <w:r w:rsidR="00A5455D" w:rsidRPr="006B044F">
            <w:t xml:space="preserve"> mean</w:t>
          </w:r>
          <w:r w:rsidRPr="006B044F">
            <w:t xml:space="preserve"> </w:t>
          </w:r>
          <w:r w:rsidR="00834F9A" w:rsidRPr="006B044F">
            <w:t xml:space="preserve">pesticide </w:t>
          </w:r>
          <w:r w:rsidR="00E750B3" w:rsidRPr="00C73D75">
            <w:t xml:space="preserve">spray </w:t>
          </w:r>
          <w:r w:rsidR="00834F9A" w:rsidRPr="006B044F">
            <w:t xml:space="preserve">coverage </w:t>
          </w:r>
          <w:r w:rsidR="00062E05" w:rsidRPr="006B044F">
            <w:t xml:space="preserve">on water sensitive paper </w:t>
          </w:r>
          <w:r w:rsidR="00403075" w:rsidRPr="006B044F">
            <w:t xml:space="preserve">varied </w:t>
          </w:r>
          <w:r w:rsidR="00A5455D" w:rsidRPr="006B044F">
            <w:t>by</w:t>
          </w:r>
          <w:r w:rsidR="00062E05" w:rsidRPr="006B044F">
            <w:t xml:space="preserve"> </w:t>
          </w:r>
          <w:r w:rsidR="00A5455D" w:rsidRPr="006B044F">
            <w:t>up to</w:t>
          </w:r>
          <w:r w:rsidR="00062E05" w:rsidRPr="006B044F">
            <w:t xml:space="preserve"> 6.1%</w:t>
          </w:r>
          <w:r w:rsidR="00834F9A" w:rsidRPr="006B044F">
            <w:t xml:space="preserve"> </w:t>
          </w:r>
          <w:r w:rsidR="00705A3F" w:rsidRPr="006B044F">
            <w:t>(95%</w:t>
          </w:r>
          <w:bookmarkEnd w:id="4"/>
          <w:r w:rsidR="00705A3F" w:rsidRPr="006B044F">
            <w:t xml:space="preserve"> CIs </w:t>
          </w:r>
          <w:r w:rsidR="00B65AC4" w:rsidRPr="006B044F">
            <w:t xml:space="preserve">[9.4%; 2.7%]) </w:t>
          </w:r>
          <w:r w:rsidR="00834F9A" w:rsidRPr="006B044F">
            <w:t xml:space="preserve">within </w:t>
          </w:r>
          <w:r w:rsidR="00341FCB" w:rsidRPr="006B044F">
            <w:t>an</w:t>
          </w:r>
          <w:r w:rsidR="00834F9A" w:rsidRPr="006B044F">
            <w:t xml:space="preserve"> apple orchard, and leaf residues varied by </w:t>
          </w:r>
          <w:r w:rsidR="00A5455D" w:rsidRPr="006B044F">
            <w:t>up to 0.95 mg kg</w:t>
          </w:r>
          <w:r w:rsidR="00A5455D" w:rsidRPr="006B044F">
            <w:rPr>
              <w:vertAlign w:val="superscript"/>
            </w:rPr>
            <w:t>-1</w:t>
          </w:r>
          <w:r w:rsidR="00A5455D" w:rsidRPr="006B044F">
            <w:t xml:space="preserve"> (95% CIs 0.54 – 1.36 mg kg</w:t>
          </w:r>
          <w:r w:rsidR="00A5455D" w:rsidRPr="006B044F">
            <w:rPr>
              <w:vertAlign w:val="superscript"/>
            </w:rPr>
            <w:t>-1</w:t>
          </w:r>
          <w:r w:rsidR="00A5455D" w:rsidRPr="006B044F">
            <w:t xml:space="preserve">) </w:t>
          </w:r>
          <w:r w:rsidR="00834F9A" w:rsidRPr="006B044F">
            <w:t xml:space="preserve">within </w:t>
          </w:r>
          <w:r w:rsidR="003A3EE1" w:rsidRPr="006B044F">
            <w:t>a tree</w:t>
          </w:r>
          <w:r w:rsidR="00834F9A" w:rsidRPr="006B044F">
            <w:t xml:space="preserve">. </w:t>
          </w:r>
          <w:r w:rsidR="00A5455D" w:rsidRPr="006B044F">
            <w:t>L</w:t>
          </w:r>
          <w:r w:rsidR="00834F9A" w:rsidRPr="006B044F">
            <w:t xml:space="preserve">eaf residues </w:t>
          </w:r>
          <w:r w:rsidR="0071663B" w:rsidRPr="006B044F">
            <w:t xml:space="preserve">based on </w:t>
          </w:r>
          <w:r w:rsidR="00DC1634" w:rsidRPr="006B044F">
            <w:t>analytical chemistry</w:t>
          </w:r>
          <w:r w:rsidR="0071663B" w:rsidRPr="006B044F">
            <w:t xml:space="preserve"> </w:t>
          </w:r>
          <w:r w:rsidR="00834F9A" w:rsidRPr="006B044F">
            <w:t xml:space="preserve">were </w:t>
          </w:r>
          <w:r w:rsidRPr="006B044F">
            <w:t>six times lower than</w:t>
          </w:r>
          <w:r w:rsidR="00834F9A" w:rsidRPr="006B044F">
            <w:t xml:space="preserve"> pesticide deposition estimated through image analysis</w:t>
          </w:r>
          <w:r w:rsidR="00DC1634" w:rsidRPr="006B044F">
            <w:t xml:space="preserve"> of water sensitive paper</w:t>
          </w:r>
          <w:r w:rsidR="00834F9A" w:rsidRPr="006B044F">
            <w:t>, though</w:t>
          </w:r>
          <w:r w:rsidR="00403075" w:rsidRPr="006B044F">
            <w:t xml:space="preserve"> these</w:t>
          </w:r>
          <w:r w:rsidR="00834F9A" w:rsidRPr="006B044F">
            <w:t xml:space="preserve"> </w:t>
          </w:r>
          <w:r w:rsidR="005E3F26" w:rsidRPr="006B044F">
            <w:t>correlated strongly</w:t>
          </w:r>
          <w:r w:rsidR="00DC1634" w:rsidRPr="006B044F">
            <w:t>.</w:t>
          </w:r>
          <w:r w:rsidR="00F93EA2" w:rsidRPr="006B044F">
            <w:t xml:space="preserve"> </w:t>
          </w:r>
          <w:r w:rsidR="00DC1634" w:rsidRPr="006B044F">
            <w:t>T</w:t>
          </w:r>
          <w:r w:rsidR="00F93EA2" w:rsidRPr="006B044F">
            <w:t>his</w:t>
          </w:r>
          <w:r w:rsidR="00DC1634" w:rsidRPr="006B044F">
            <w:t xml:space="preserve"> correlation</w:t>
          </w:r>
          <w:r w:rsidR="003A3EE1" w:rsidRPr="006B044F">
            <w:t xml:space="preserve"> allow</w:t>
          </w:r>
          <w:r w:rsidR="00F93EA2" w:rsidRPr="006B044F">
            <w:t>ed</w:t>
          </w:r>
          <w:r w:rsidR="003A3EE1" w:rsidRPr="006B044F">
            <w:t xml:space="preserve"> estimation of </w:t>
          </w:r>
          <w:r w:rsidR="00F93EA2" w:rsidRPr="006B044F">
            <w:t>actua</w:t>
          </w:r>
          <w:r w:rsidR="003A3EE1" w:rsidRPr="006B044F">
            <w:t>l residues by application of a correction factor.</w:t>
          </w:r>
          <w:r w:rsidR="00834F9A" w:rsidRPr="006B044F">
            <w:t xml:space="preserve"> </w:t>
          </w:r>
        </w:p>
        <w:p w14:paraId="21036293" w14:textId="77777777" w:rsidR="00C503DF" w:rsidRPr="006B044F" w:rsidRDefault="00C503DF" w:rsidP="00E94812">
          <w:pPr>
            <w:spacing w:line="480" w:lineRule="auto"/>
          </w:pPr>
          <w:r w:rsidRPr="006B044F">
            <w:t>CONCLUSION</w:t>
          </w:r>
        </w:p>
      </w:sdtContent>
    </w:sdt>
    <w:bookmarkStart w:id="5" w:name="_Toc469323083" w:displacedByCustomXml="prev"/>
    <w:p w14:paraId="19E965D1" w14:textId="0365267A" w:rsidR="00341FCB" w:rsidRPr="006B044F" w:rsidRDefault="005B6E07" w:rsidP="00E94812">
      <w:pPr>
        <w:spacing w:line="480" w:lineRule="auto"/>
      </w:pPr>
      <w:bookmarkStart w:id="6" w:name="_Hlk517272296"/>
      <w:r w:rsidRPr="006B044F">
        <w:t>Our method</w:t>
      </w:r>
      <w:r w:rsidR="00341FCB" w:rsidRPr="006B044F">
        <w:t xml:space="preserve"> </w:t>
      </w:r>
      <w:r w:rsidRPr="006B044F">
        <w:t>demonstrates accurate estimation of</w:t>
      </w:r>
      <w:r w:rsidR="00341FCB" w:rsidRPr="006B044F">
        <w:t xml:space="preserve"> pesticide </w:t>
      </w:r>
      <w:r w:rsidR="00B217B6" w:rsidRPr="006B044F">
        <w:t>deposits</w:t>
      </w:r>
      <w:bookmarkEnd w:id="6"/>
      <w:r w:rsidR="00B217B6" w:rsidRPr="006B044F">
        <w:t xml:space="preserve"> </w:t>
      </w:r>
      <w:r w:rsidR="00A27600" w:rsidRPr="006B044F">
        <w:t>at</w:t>
      </w:r>
      <w:r w:rsidR="00F93EA2" w:rsidRPr="006B044F">
        <w:t xml:space="preserve"> the</w:t>
      </w:r>
      <w:r w:rsidR="00A27600" w:rsidRPr="006B044F">
        <w:t xml:space="preserve"> </w:t>
      </w:r>
      <w:r w:rsidR="00F93EA2" w:rsidRPr="006B044F">
        <w:t xml:space="preserve">individual </w:t>
      </w:r>
      <w:r w:rsidR="00150DFD" w:rsidRPr="006B044F">
        <w:t>leaf scale</w:t>
      </w:r>
      <w:r w:rsidR="00341FCB" w:rsidRPr="006B044F">
        <w:t xml:space="preserve"> through digital analysis of water sensitive paper</w:t>
      </w:r>
      <w:r w:rsidR="0075258F" w:rsidRPr="006B044F">
        <w:t xml:space="preserve"> and </w:t>
      </w:r>
      <w:r w:rsidR="00C94D14" w:rsidRPr="006B044F">
        <w:t xml:space="preserve">is </w:t>
      </w:r>
      <w:r w:rsidR="00341FCB" w:rsidRPr="006B044F">
        <w:t xml:space="preserve">a low cost, rapid alternative to conventional residue analysis </w:t>
      </w:r>
      <w:r w:rsidRPr="006B044F">
        <w:t>technique</w:t>
      </w:r>
      <w:r w:rsidR="00341FCB" w:rsidRPr="006B044F">
        <w:t>s.</w:t>
      </w:r>
      <w:r w:rsidR="003A3EE1" w:rsidRPr="006B044F">
        <w:t xml:space="preserve"> </w:t>
      </w:r>
    </w:p>
    <w:p w14:paraId="29F3B02F" w14:textId="7453E625" w:rsidR="00341FCB" w:rsidRPr="006B044F" w:rsidRDefault="00FD6D26" w:rsidP="00E94812">
      <w:pPr>
        <w:spacing w:line="480" w:lineRule="auto"/>
      </w:pPr>
      <w:r w:rsidRPr="006B044F">
        <w:t>KEYWORDS</w:t>
      </w:r>
    </w:p>
    <w:p w14:paraId="51B10869" w14:textId="408084C6" w:rsidR="00FD6D26" w:rsidRPr="006B044F" w:rsidRDefault="00FD6D26" w:rsidP="00E94812">
      <w:pPr>
        <w:spacing w:line="480" w:lineRule="auto"/>
      </w:pPr>
      <w:bookmarkStart w:id="7" w:name="_Hlk517341551"/>
      <w:bookmarkStart w:id="8" w:name="_Hlk517341564"/>
      <w:r w:rsidRPr="006B044F">
        <w:t xml:space="preserve">Fungicide, </w:t>
      </w:r>
      <w:r w:rsidR="003E1E13" w:rsidRPr="006B044F">
        <w:t xml:space="preserve">penconazole, orchard, </w:t>
      </w:r>
      <w:r w:rsidR="00DF4612" w:rsidRPr="006B044F">
        <w:t>residue</w:t>
      </w:r>
      <w:r w:rsidRPr="006B044F">
        <w:t xml:space="preserve"> analysis, </w:t>
      </w:r>
      <w:r w:rsidR="003E1E13" w:rsidRPr="006B044F">
        <w:t>spatial variation</w:t>
      </w:r>
      <w:bookmarkEnd w:id="7"/>
      <w:r w:rsidR="00DF4612" w:rsidRPr="006B044F">
        <w:t>, water sensitive paper</w:t>
      </w:r>
    </w:p>
    <w:bookmarkEnd w:id="8"/>
    <w:p w14:paraId="69B089CF" w14:textId="5AA6BA52" w:rsidR="005B6E07" w:rsidRPr="006B044F" w:rsidRDefault="005B6E07" w:rsidP="00E94812">
      <w:pPr>
        <w:spacing w:line="480" w:lineRule="auto"/>
        <w:rPr>
          <w:b/>
        </w:rPr>
      </w:pPr>
      <w:r w:rsidRPr="006B044F">
        <w:rPr>
          <w:b/>
        </w:rPr>
        <w:t>6 HEADINGS</w:t>
      </w:r>
    </w:p>
    <w:p w14:paraId="4946CC7B" w14:textId="063AC97F" w:rsidR="005B6E07" w:rsidRPr="006B044F" w:rsidRDefault="005B6E07" w:rsidP="00E94812">
      <w:pPr>
        <w:spacing w:line="480" w:lineRule="auto"/>
      </w:pPr>
      <w:r w:rsidRPr="006B044F">
        <w:t>7 INTRODUCTION</w:t>
      </w:r>
    </w:p>
    <w:p w14:paraId="3F12EDBB" w14:textId="394A4C45" w:rsidR="005B6E07" w:rsidRPr="006B044F" w:rsidRDefault="005B6E07" w:rsidP="00E94812">
      <w:pPr>
        <w:spacing w:line="480" w:lineRule="auto"/>
      </w:pPr>
      <w:r w:rsidRPr="006B044F">
        <w:lastRenderedPageBreak/>
        <w:t>8 MATERIALS AND METHODS</w:t>
      </w:r>
    </w:p>
    <w:p w14:paraId="725CD598" w14:textId="15486E1B" w:rsidR="005B6E07" w:rsidRPr="006B044F" w:rsidRDefault="005B6E07" w:rsidP="00E94812">
      <w:pPr>
        <w:spacing w:line="480" w:lineRule="auto"/>
      </w:pPr>
      <w:r w:rsidRPr="006B044F">
        <w:t>8.1 Orchard Sampling</w:t>
      </w:r>
    </w:p>
    <w:p w14:paraId="7FA37579" w14:textId="6FAF9561" w:rsidR="005B6E07" w:rsidRPr="006B044F" w:rsidRDefault="005B6E07" w:rsidP="00E94812">
      <w:pPr>
        <w:spacing w:line="480" w:lineRule="auto"/>
      </w:pPr>
      <w:r w:rsidRPr="006B044F">
        <w:t>8.2 Residue Sample Collection</w:t>
      </w:r>
    </w:p>
    <w:p w14:paraId="3E028FFE" w14:textId="45EBF51A" w:rsidR="005B6E07" w:rsidRPr="006B044F" w:rsidRDefault="005B6E07" w:rsidP="00E94812">
      <w:pPr>
        <w:spacing w:line="480" w:lineRule="auto"/>
      </w:pPr>
      <w:r w:rsidRPr="006B044F">
        <w:t>8.3 Leaf sample extraction and cleanup</w:t>
      </w:r>
    </w:p>
    <w:p w14:paraId="50E38B6D" w14:textId="7F5B4DF5" w:rsidR="005B6E07" w:rsidRPr="006B044F" w:rsidRDefault="005B6E07" w:rsidP="00E94812">
      <w:pPr>
        <w:spacing w:line="480" w:lineRule="auto"/>
      </w:pPr>
      <w:r w:rsidRPr="006B044F">
        <w:t xml:space="preserve">8.4 </w:t>
      </w:r>
      <w:r w:rsidR="00216225" w:rsidRPr="006B044F">
        <w:t>Gas Chromatography-Mass Spectrometry (GC-MS)</w:t>
      </w:r>
    </w:p>
    <w:p w14:paraId="7A3125A2" w14:textId="6040CEB8" w:rsidR="005B6E07" w:rsidRPr="006B044F" w:rsidRDefault="005B6E07" w:rsidP="00E94812">
      <w:pPr>
        <w:spacing w:line="480" w:lineRule="auto"/>
      </w:pPr>
      <w:r w:rsidRPr="006B044F">
        <w:t>8.5 Analytical method development</w:t>
      </w:r>
    </w:p>
    <w:p w14:paraId="3147635A" w14:textId="28E961C6" w:rsidR="005B6E07" w:rsidRPr="006B044F" w:rsidRDefault="005B6E07" w:rsidP="00E94812">
      <w:pPr>
        <w:spacing w:line="480" w:lineRule="auto"/>
      </w:pPr>
      <w:r w:rsidRPr="006B044F">
        <w:t>8.6 Spray pattern analysis</w:t>
      </w:r>
    </w:p>
    <w:p w14:paraId="1C58A71F" w14:textId="696912E4" w:rsidR="005B6E07" w:rsidRPr="006B044F" w:rsidRDefault="005B6E07" w:rsidP="00E94812">
      <w:pPr>
        <w:spacing w:line="480" w:lineRule="auto"/>
      </w:pPr>
      <w:r w:rsidRPr="006B044F">
        <w:t>8.7 Testing DepositScan</w:t>
      </w:r>
    </w:p>
    <w:p w14:paraId="7F0695EF" w14:textId="5EF50BFA" w:rsidR="005B6E07" w:rsidRPr="006B044F" w:rsidRDefault="005B6E07" w:rsidP="00E94812">
      <w:pPr>
        <w:spacing w:line="480" w:lineRule="auto"/>
      </w:pPr>
      <w:r w:rsidRPr="006B044F">
        <w:t>8.8 Statistical analysis</w:t>
      </w:r>
    </w:p>
    <w:p w14:paraId="79D96024" w14:textId="40E0450B" w:rsidR="005B6E07" w:rsidRPr="006B044F" w:rsidRDefault="005B6E07" w:rsidP="00E94812">
      <w:pPr>
        <w:spacing w:line="480" w:lineRule="auto"/>
      </w:pPr>
      <w:r w:rsidRPr="006B044F">
        <w:t>9 RESULTS</w:t>
      </w:r>
    </w:p>
    <w:p w14:paraId="76C57E06" w14:textId="2A5A7500" w:rsidR="005B6E07" w:rsidRPr="006B044F" w:rsidRDefault="005B6E07" w:rsidP="00E94812">
      <w:pPr>
        <w:spacing w:line="480" w:lineRule="auto"/>
      </w:pPr>
      <w:r w:rsidRPr="006B044F">
        <w:t>9.1 Spray pattern analysis</w:t>
      </w:r>
    </w:p>
    <w:p w14:paraId="5D6A0714" w14:textId="02EE0602" w:rsidR="005B6E07" w:rsidRPr="006B044F" w:rsidRDefault="005B6E07" w:rsidP="00E94812">
      <w:pPr>
        <w:spacing w:line="480" w:lineRule="auto"/>
      </w:pPr>
      <w:r w:rsidRPr="006B044F">
        <w:t>9.</w:t>
      </w:r>
      <w:r w:rsidR="00216225" w:rsidRPr="006B044F">
        <w:t>2</w:t>
      </w:r>
      <w:r w:rsidRPr="006B044F">
        <w:t xml:space="preserve"> Leaf residues</w:t>
      </w:r>
    </w:p>
    <w:p w14:paraId="0B5A6B5D" w14:textId="60F4ED56" w:rsidR="005B6E07" w:rsidRPr="006B044F" w:rsidRDefault="00216225" w:rsidP="00E94812">
      <w:pPr>
        <w:spacing w:line="480" w:lineRule="auto"/>
      </w:pPr>
      <w:r w:rsidRPr="006B044F">
        <w:t>9.3</w:t>
      </w:r>
      <w:r w:rsidR="005B6E07" w:rsidRPr="006B044F">
        <w:t xml:space="preserve"> Comparing residue analysis methods</w:t>
      </w:r>
    </w:p>
    <w:p w14:paraId="46067F80" w14:textId="7C66A9FA" w:rsidR="005B6E07" w:rsidRPr="006B044F" w:rsidRDefault="00216225" w:rsidP="00E94812">
      <w:pPr>
        <w:spacing w:line="480" w:lineRule="auto"/>
      </w:pPr>
      <w:r w:rsidRPr="006B044F">
        <w:t>9.4</w:t>
      </w:r>
      <w:r w:rsidR="003026CA" w:rsidRPr="006B044F">
        <w:t xml:space="preserve"> Testing DepositScan</w:t>
      </w:r>
    </w:p>
    <w:p w14:paraId="0A702AF5" w14:textId="77491DAB" w:rsidR="003026CA" w:rsidRPr="006B044F" w:rsidRDefault="003026CA" w:rsidP="00E94812">
      <w:pPr>
        <w:spacing w:line="480" w:lineRule="auto"/>
      </w:pPr>
      <w:r w:rsidRPr="006B044F">
        <w:t>10 DISCUSSION</w:t>
      </w:r>
    </w:p>
    <w:p w14:paraId="4B042E6B" w14:textId="6677891A" w:rsidR="003026CA" w:rsidRPr="006B044F" w:rsidRDefault="003026CA" w:rsidP="00E94812">
      <w:pPr>
        <w:spacing w:line="480" w:lineRule="auto"/>
      </w:pPr>
      <w:r w:rsidRPr="006B044F">
        <w:t>10.1 Comparison of trends in leaf residue and water sensitive paper data</w:t>
      </w:r>
    </w:p>
    <w:p w14:paraId="12D38B68" w14:textId="7E776726" w:rsidR="003026CA" w:rsidRPr="006B044F" w:rsidRDefault="003026CA" w:rsidP="00E94812">
      <w:pPr>
        <w:spacing w:line="480" w:lineRule="auto"/>
      </w:pPr>
      <w:r w:rsidRPr="006B044F">
        <w:t>10.2 Comparing residue analysis methods</w:t>
      </w:r>
    </w:p>
    <w:p w14:paraId="45BD1451" w14:textId="23A8A83F" w:rsidR="003026CA" w:rsidRPr="006B044F" w:rsidRDefault="003026CA" w:rsidP="00E94812">
      <w:pPr>
        <w:spacing w:line="480" w:lineRule="auto"/>
      </w:pPr>
      <w:r w:rsidRPr="006B044F">
        <w:t>11 CONCLUSIONS</w:t>
      </w:r>
    </w:p>
    <w:p w14:paraId="184B3C66" w14:textId="5FE710B6" w:rsidR="003026CA" w:rsidRPr="006B044F" w:rsidRDefault="003026CA" w:rsidP="00E94812">
      <w:pPr>
        <w:spacing w:line="480" w:lineRule="auto"/>
      </w:pPr>
      <w:r w:rsidRPr="006B044F">
        <w:t>12 REFERENCES</w:t>
      </w:r>
    </w:p>
    <w:p w14:paraId="305030FE" w14:textId="77777777" w:rsidR="005B6E07" w:rsidRPr="006B044F" w:rsidRDefault="005B6E07" w:rsidP="00E94812">
      <w:pPr>
        <w:spacing w:line="480" w:lineRule="auto"/>
        <w:rPr>
          <w:b/>
        </w:rPr>
      </w:pPr>
    </w:p>
    <w:bookmarkEnd w:id="5"/>
    <w:p w14:paraId="5FC89E52" w14:textId="77777777" w:rsidR="00216225" w:rsidRPr="006B044F" w:rsidRDefault="00216225" w:rsidP="00E94812">
      <w:pPr>
        <w:spacing w:line="480" w:lineRule="auto"/>
        <w:rPr>
          <w:b/>
        </w:rPr>
      </w:pPr>
    </w:p>
    <w:p w14:paraId="79100DB6" w14:textId="77777777" w:rsidR="00216225" w:rsidRPr="006B044F" w:rsidRDefault="00216225" w:rsidP="00E94812">
      <w:pPr>
        <w:spacing w:line="480" w:lineRule="auto"/>
        <w:rPr>
          <w:b/>
        </w:rPr>
      </w:pPr>
    </w:p>
    <w:p w14:paraId="04BAC9D4" w14:textId="3C969CF4" w:rsidR="004E58D8" w:rsidRPr="006B044F" w:rsidRDefault="005B6E07" w:rsidP="00E94812">
      <w:pPr>
        <w:spacing w:line="480" w:lineRule="auto"/>
        <w:rPr>
          <w:b/>
        </w:rPr>
      </w:pPr>
      <w:r w:rsidRPr="006B044F">
        <w:rPr>
          <w:b/>
        </w:rPr>
        <w:t>7</w:t>
      </w:r>
      <w:r w:rsidR="004F5438" w:rsidRPr="006B044F">
        <w:rPr>
          <w:b/>
        </w:rPr>
        <w:t xml:space="preserve"> INTRODUCTION</w:t>
      </w:r>
    </w:p>
    <w:p w14:paraId="0CDD79D3" w14:textId="1B6A1005" w:rsidR="00F05E61" w:rsidRPr="006B044F" w:rsidRDefault="004016F1" w:rsidP="00E94812">
      <w:pPr>
        <w:spacing w:line="480" w:lineRule="auto"/>
      </w:pPr>
      <w:r w:rsidRPr="006B044F">
        <w:t xml:space="preserve">Pesticides are a globally important </w:t>
      </w:r>
      <w:r w:rsidR="00C94D14" w:rsidRPr="006B044F">
        <w:t xml:space="preserve">tool </w:t>
      </w:r>
      <w:r w:rsidRPr="006B044F">
        <w:t xml:space="preserve">in the control of pests and diseases in commercial </w:t>
      </w:r>
      <w:r w:rsidR="00313B36" w:rsidRPr="006B044F">
        <w:t>crop systems</w:t>
      </w:r>
      <w:r w:rsidR="00155EE4" w:rsidRPr="006B044F">
        <w:t>;</w:t>
      </w:r>
      <w:r w:rsidR="003026CA" w:rsidRPr="006B044F">
        <w:t xml:space="preserve"> </w:t>
      </w:r>
      <w:r w:rsidR="00F05E61" w:rsidRPr="00C73D75">
        <w:fldChar w:fldCharType="begin" w:fldLock="1"/>
      </w:r>
      <w:r w:rsidR="00274D82" w:rsidRPr="006B044F">
        <w:instrText>ADDIN CSL_CITATION {"citationItems":[{"id":"ITEM-1","itemData":{"DOI":"10.1016/j.cropro.2007.03.022","ISSN":"0261-2194","abstract":"Most published material relating to pesticides focuses on negative attributes and outcomes. This fact probably partly explains the public's inaccurate perception of the hazard they represent, and the low level of appreciation of the benefits they bring. This paper explores and analyses the many benefits of using pesticides, in order to inform a more balanced view. It does not attempt to quantify or rank these benefits, nor to weigh them against any negative consequences of pesticide use. Twenty-six primary benefits are identified that are immediate and incontrovertible, and 31 secondary benefits that are longer term, less intuitive and for which it is harder to establish causality. These benefits include increased crop and livestock yields, improved food safety, human health, quality of life and longevity, and reduced drudgery, energy use and environmental degradation. A complex matrix of benefit interactions are explored for a range of beneficiaries at three main levels-local, national and global, and in three main domains-social, economic and environmental. (c) 2007 Elsevier Ltd. All rights reserved.","author":[{"dropping-particle":"","family":"Cooper","given":"J","non-dropping-particle":"","parse-names":false,"suffix":""},{"dropping-particle":"","family":"Dobson","given":"H","non-dropping-particle":"","parse-names":false,"suffix":""}],"container-title":"Crop Protection","id":"ITEM-1","issue":"9","issued":{"date-parts":[["2007"]]},"language":"English","note":"ISI Document Delivery No.: 214NF\nTimes Cited: 119\nCited Reference Count: 62\nCooper, Jerry Dobson, Hans\n122\n17\n86\nElsevier sci ltd\nOxford","page":"1337-1348","title":"The benefits of pesticides to mankind and the environment","type":"article-journal","volume":"26"},"uris":["http://www.mendeley.com/documents/?uuid=5fcb4222-2a3d-4cac-b7ae-377cc71e8ed8"]},{"id":"ITEM-2","itemData":{"DOI":"10.1016/j.cropro.2015.04.015","ISSN":"0261-2194","abstract":"The bioactivity of an azadirachtin-based biopesticide (Azamax (TM) EC) was assessed on nymphs and adults of the Asian citrus psyllid Diaphorina citri Kuwayama using different product application methods. Its compatibility with the ectoparasitoid Tamarixia radiata (Waterston) was also assessed. Exposure of D. citri nymphs to azadirachtin by direct contact + residues, to dry residues or systemically led to mortality in laboratory bioassays. For adult psyllids, the mortality was at most 67% after 120 h of exposure to dry residues, even if using 16-fold more active ingredient than for nymphs. In the field, the biopesticide exhibited high efficacy (similar to 90%) in controlling nymphs, similar to that achieved with the insecticide imidacloprid (Provado (R) 20 SC, at 40 mg a.i. L-1) used as positive control. Azadirachtin was harmless to T. radiata larvae and pupae, but caused 77.8% adult mortality after 24 h of exposure. Despite the high toxicity to adults, the biopesticide had a low duration of harmful activity (similar to 3 days). Given the high efficacy against D. citri nymphs, reduced effects on the immature stages of the ectoparasitoid radiata and low duration of harmful activity, the biopesticide is an important alternative for D. citri population management and can be used as a substitute or in rotation with current synthetic insecticides in integrated pest management programs. (C) 2015 Elsevier Ltd. All rights reserved.","author":[{"dropping-particle":"","family":"Santos","given":"M S","non-dropping-particle":"","parse-names":false,"suffix":""},{"dropping-particle":"","family":"Zanardi","given":"O Z","non-dropping-particle":"","parse-names":false,"suffix":""},{"dropping-particle":"","family":"Pauli","given":"K S","non-dropping-particle":"","parse-names":false,"suffix":""},{"dropping-particle":"","family":"Forim","given":"M R","non-dropping-particle":"","parse-names":false,"suffix":""},{"dropping-particle":"","family":"Yamamoto","given":"P T","non-dropping-particle":"","parse-names":false,"suffix":""},{"dropping-particle":"","family":"Vendramim","given":"J D","non-dropping-particle":"","parse-names":false,"suffix":""}],"container-title":"Crop Protection","id":"ITEM-2","issued":{"date-parts":[["2015"]]},"note":"Santos, Monica Silva Zanardi, Odimar Zanuzo Pauli, Kaira Samaini Forim, Moacir Rossi Yamamoto, Pedro Takao Vendramim, Jose Djair\nYamamoto, Pedro/C-5069-2012\nYamamoto, Pedro/0000-0001-8993-371X\n1873-6904","page":"116-123","title":"Toxicity of an azadirachtin-based biopesticide on Diaphorina citri Kuwayama (Hemiptera: Liviidae) and its ectoparasitoid Tamarixia radiata (Waterston) (Hymenoptera: Eulophidae)","type":"article-journal","volume":"74"},"uris":["http://www.mendeley.com/documents/?uuid=ad6ff3fa-0c63-4090-8c74-4fc237ad2d90"]},{"id":"ITEM-3","itemData":{"DOI":"10.1007/s10646-016-1651-9","ISSN":"1573-3017","abstract":"The generalist predator Ceraeochrysa cincta (Schneider) (Neuroptera: Chrysopidae) is an important biological control agent of several arthropod pests in different agroecosystems. This study assessed the lethal and sublethal effects of six insect growth regulators sprayed on first-instar larvae of C. cincta. Lufenuron and diflubenzuron were highly harmful to first-instar larvae of C. cincta, causing 100 % of mortality before they reached the second instar. Buprofezin caused ~25 % mortality of the larvae and considerably reduced the fecundity and longevity of the insects, but substantially increased the proportion of females in the surviving population of C. cincta. Methoxyfenozide and tebufenozide did not affect the duration and survival of the immature stages, but methoxyfenozide significantly reduced the fecundity and longevity of the insects. Pyriproxyfen reduced the survival of the larval stage by 19.5 %, but did not affect the development, survival and reproduction of the surviving individuals. Based on reduction coefficient, the insecticides diflubenzuron and lufenuron were considered harmful to C. cincta, whereas buprofezin and methoxyfenozide were slightly harmful and tebufenozide and pyriproxyfen were harmless. The estimation of life-table parameters indicated that buprofezin and methoxyfenozide significantly reduced the R o , r and λ of C. cincta, whereas pyriproxyfen and tebufenozide caused no adverse effect on population parameters, indicating that these insecticides could be suitable for use in pest management programs towards the conservation and population increase of the predator in agroecosystems. However, more studies should be conducted to evaluate the compatibility of these insecticides with the predator C. cincta under semi-field and field conditions.","author":[{"dropping-particle":"","family":"Rugno","given":"Gabriel Rodrigo","non-dropping-particle":"","parse-names":false,"suffix":""},{"dropping-particle":"","family":"Zanardi","given":"Odimar Zanuzo","non-dropping-particle":"","parse-names":false,"suffix":""},{"dropping-particle":"","family":"Bajonero Cuervo","given":"Johanna","non-dropping-particle":"","parse-names":false,"suffix":""},{"dropping-particle":"","family":"Morais","given":"Matheus Rovere","non-dropping-particle":"de","parse-names":false,"suffix":""},{"dropping-particle":"","family":"Yamamoto","given":"Pedro Takao","non-dropping-particle":"","parse-names":false,"suffix":""}],"container-title":"Ecotoxicology","id":"ITEM-3","issue":"5","issued":{"date-parts":[["2016"]]},"page":"940-949","title":"Impact of insect growth regulators on the predator Ceraeochrysa cincta (Schneider) (Neuroptera: Chrysopidae)","type":"article-journal","volume":"25"},"uris":["http://www.mendeley.com/documents/?uuid=9f2ee49f-e6af-433d-b919-437d373824cd"]}],"mendeley":{"formattedCitation":"&lt;sup&gt;1–3&lt;/sup&gt;","plainTextFormattedCitation":"1–3","previouslyFormattedCitation":"&lt;sup&gt;1–3&lt;/sup&gt;"},"properties":{"noteIndex":0},"schema":"https://github.com/citation-style-language/schema/raw/master/csl-citation.json"}</w:instrText>
      </w:r>
      <w:r w:rsidR="00F05E61" w:rsidRPr="00C73D75">
        <w:fldChar w:fldCharType="separate"/>
      </w:r>
      <w:r w:rsidR="00676545" w:rsidRPr="006B044F">
        <w:rPr>
          <w:noProof/>
          <w:vertAlign w:val="superscript"/>
        </w:rPr>
        <w:t>1–3</w:t>
      </w:r>
      <w:r w:rsidR="00F05E61" w:rsidRPr="00C73D75">
        <w:fldChar w:fldCharType="end"/>
      </w:r>
      <w:r w:rsidR="00F05E61" w:rsidRPr="006B044F">
        <w:t xml:space="preserve"> </w:t>
      </w:r>
      <w:r w:rsidR="000C45E0" w:rsidRPr="006B044F">
        <w:t>however the</w:t>
      </w:r>
      <w:r w:rsidR="00F87BE7" w:rsidRPr="006B044F">
        <w:t>ir use can adversely affect non-target</w:t>
      </w:r>
      <w:r w:rsidR="000C45E0" w:rsidRPr="006B044F">
        <w:t xml:space="preserve"> populations</w:t>
      </w:r>
      <w:r w:rsidR="00E91AD1" w:rsidRPr="006B044F">
        <w:t xml:space="preserve"> of arthropods</w:t>
      </w:r>
      <w:r w:rsidR="00C8427C" w:rsidRPr="006B044F">
        <w:t>, with both lethal and sublethal effects reported for a wide range of species</w:t>
      </w:r>
      <w:r w:rsidR="00155EE4" w:rsidRPr="006B044F">
        <w:t xml:space="preserve">. </w:t>
      </w:r>
      <w:r w:rsidR="00F05E61" w:rsidRPr="00C73D75">
        <w:fldChar w:fldCharType="begin" w:fldLock="1"/>
      </w:r>
      <w:r w:rsidR="00274D82" w:rsidRPr="006B044F">
        <w:instrText>ADDIN CSL_CITATION {"citationItems":[{"id":"ITEM-1","itemData":{"DOI":"10.1023/a:1017927502679","ISSN":"0168-8162","author":[{"dropping-particle":"","family":"Bowie","given":"M H","non-dropping-particle":"","parse-names":false,"suffix":""},{"dropping-particle":"","family":"Worner","given":"S P","non-dropping-particle":"","parse-names":false,"suffix":""},{"dropping-particle":"","family":"Krips","given":"O E","non-dropping-particle":"","parse-names":false,"suffix":""},{"dropping-particle":"","family":"Penman","given":"D R","non-dropping-particle":"","parse-names":false,"suffix":""}],"container-title":"Experimental and Applied Acarology","id":"ITEM-1","issue":"4","issued":{"date-parts":[["2001"]]},"note":"Times Cited: 7\nWorner, Susan/I-1690-2013\nWorner, Susan/0000-0002-9004-6357\n0\n8","page":"311-319","title":"Sublethal effects of esfenvalerate residues on pyrethroid resistant Typhlodromus pyri (Acari : Phytoseiidae) and its prey Panonychus ulmi and Tetranychus urticae (Acari : Tetranychidae)","type":"article-journal","volume":"25"},"uris":["http://www.mendeley.com/documents/?uuid=f13e5384-aa88-4dd8-a34c-e785bd350555"]},{"id":"ITEM-2","itemData":{"DOI":"10.1007/s10526-005-1028-0","ISSN":"1386-6141","abstract":"Deraeocoris brevis (Uhler) (Hemiptera: Miridae), an important generalist predator in pome fruits in the western United States, was reared in the laboratory on frozen Ephestia kuehniella (Zeller) (Lepidoptera: Pyralidae) eggs and treated in a Potter spray tower to assess acute toxicity and chronic sublethal effects of abamectin, spinosad, methoxyfenozide, and acetamiprid. Acute toxicity was assessed using topical application. Sublethal effects were examined as the combined result of topical, residual and oral exposure. Two different dose rates, the full field rate and 10% rate of the full field rate, were compared to distilled water as the untreated check. Methoxyfenozide and spinosad had no acute toxicity to nymphs and adults at the 10% and full field rate, and no effect on egg hatch and nymph survival just after hatch. Acetamiprid and abamectin at the full field rate did not affect egg hatch, but the residue had moderate to high toxicity to hatched nymphs. Also, topically applied acetamiprid and abamectin had moderate to high acute toxicity to nymphs and adults at the full field rate, but moderate toxicity at the 10% rate. In sublethal bioassays, abamectin-treated adults (10% field rate) laid 80% fewer and less viable eggs compared with the untreated check. Spinosad-treated (full field rate) adults laid fewer and less viable eggs. Also, egg hatch in the subsequent generation was lower. Methoxyfenozide had no sublethal effects on adults at the full rate, but slowed development of 4th instars following treatment of 2nd instar nymphs, and lowered fecundity by 30% in the subsequent generation compared with the untreated check. Acetamiprid (10% rate) applied to nymphs or adults had no effects on development or reproduction. Results from this study suggest that the newer reduced risk insecticides, which have begun to replace organophosphate insecticides in pome fruits in the United States, are not as selective to natural enemies as initially thought. Their impact on D. brevis varied with chemistry and mode of action from primarily acute toxicity (i.e., acetamiprid) to reproductive and other sublethal effects (i.e., methoxyfenozide, spinosad) or a combination of both (i.e., abamectin). In addition to acute toxicity, sublethal effects need to be quantified in order to accurately predict the total impact of a pesticide on a natural enemy in the field.","author":[{"dropping-particle":"","family":"Kim","given":"D S","non-dropping-particle":"","parse-names":false,"suffix":""},{"dropping-particle":"","family":"Brooks","given":"D J","non-dropping-particle":"","parse-names":false,"suffix":""},{"dropping-particle":"","family":"Riedl","given":"H","non-dropping-particle":"","parse-names":false,"suffix":""}],"container-title":"Biocontrol","id":"ITEM-2","issue":"4","issued":{"date-parts":[["2006"]]},"language":"English","note":"ISI Document Delivery No.: 082OF\nTimes Cited: 30\nCited Reference Count: 28\nKim, Dong-Soon Brooks, Deborah J. Riedl, Helmut\n35\nSPRINGER\nDORDRECHT\nBIOCONTROL","page":"465-484","title":"Lethal and sublethal effects of abamectin, spinosad, methoxyfenozide and acetamiprid on the predaceous plant bug Deraeocoris brevis in the laboratory","type":"article-journal","volume":"51"},"uris":["http://www.mendeley.com/documents/?uuid=7fe97b4d-84b6-4f2d-a33a-8d38c523bb77"]},{"id":"ITEM-3","itemData":{"DOI":"DOI 10.1007/s10526-008-9197-2","ISSN":"1386-6141","abstract":"Effects of the maximum field recommended concentration of five pesticides currently used on peaches in Brazil; abamectin, deltamethrin, methoxyfenozide, phosmet and trichlorfon were tested on the predator Chrysoperla carnea (Stephens) (Neuroptera, Chrysopidae). Dimethoate was used as positive standard. Three analytical laboratory tests, based on IOBC-working group pesticides and beneficial organisms guidelines were used: (1) exposure to fresh pesticide residue on glass plates of (a) larvae (susceptible life stage) and (b) adults (less susceptible life stage); (2) direct spraying of eggs and pupae; (3) exposure of larvae and adults to pesticide residues on plant leaves at different intervals after application (persistence). In tests 1, abamectin was slightly harmful to C. carnea larvae and phosmet and trichlorfon were slightly harmful and moderately harmful to C. carnea adults, respectively. After direct spraying of eggs and pupae, all the pesticides were harmless. In the persistence tests, abamectin and trichlorfon were classified as short lived and therefore they could be considered for use in Integrated Pest Management (IPM) programs under special conditions (i.e. reduced direct contact). Phosmet, however, caused between 56.3 and 75.0% mortality up to 30 days after treatment and it was rated as persistent. No sublethal effects were detected in the reproductive behaviour of adults (fecundity and fertility) compared with the control in any treatment. In conclusion, the insecticides with little or no toxicity to C. carnea such as abamectin, deltamethrin and methoxyfenozide could be considered as IPM-compatible, subject to further field studies.","author":[{"dropping-particle":"","family":"Giolo","given":"F P","non-dropping-particle":"","parse-names":false,"suffix":""},{"dropping-particle":"","family":"Medina","given":"P","non-dropping-particle":"","parse-names":false,"suffix":""},{"dropping-particle":"","family":"Grutzmacher","given":"A D","non-dropping-particle":"","parse-names":false,"suffix":""},{"dropping-particle":"","family":"Vinuela","given":"E","non-dropping-particle":"","parse-names":false,"suffix":""}],"container-title":"Biocontrol","id":"ITEM-3","issue":"5","issued":{"date-parts":[["2009"]]},"language":"English","note":"495IA\nTimes Cited:15\nCited References Count:42","page":"625-635","title":"Effects of pesticides commonly used in peach orchards in Brazil on predatory lacewing Chrysoperla carnea under laboratory conditions","type":"article-journal","volume":"54"},"uris":["http://www.mendeley.com/documents/?uuid=7823b959-b8d6-45af-ae3b-3e15b9054b48"]},{"id":"ITEM-4","itemData":{"DOI":"10.1080/03235408.2013.823714","ISBN":"ISSN 0323-5408","ISSN":"0323-5408","abstract":"Habrobracon hebetor Say (Hymenoptera: Braconidae) is one of the most important natural enemies that has been used for biological control of lepidopteran pests, so the sub-lethal effects of imidacloprid, abamactin and Bacillus thuringiensis Berliner (Bt) on progeny sex ratio (male/total) and adult longevity of H. hebetor were examined under laboratory conditions. It was found that the progeny sex ratio changed to male bias significantly by Bt treatment. Also, the adult longevity of the wasp was affected adversely by insecticides treatment and it was longest in Bt treatment. In conclusion, the current results indicated that the sub-lethal concentration of these insecticides affected the progeny sex ratio and adult longevity and the best strategies for reduction of hazard to the H. hebetor in combination with Bt is to avoid their application before Bt spraying.","author":[{"dropping-particle":"","family":"Kalajahi","given":"Manigheh Jamshidi","non-dropping-particle":"","parse-names":false,"suffix":""},{"dropping-particle":"","family":"Ganbalani","given":"Gadir Nouri","non-dropping-particle":"","parse-names":false,"suffix":""},{"dropping-particle":"","family":"Kazemi","given":"Mohammad H","non-dropping-particle":"","parse-names":false,"suffix":""},{"dropping-particle":"","family":"Shojai","given":"Mahmood","non-dropping-particle":"","parse-names":false,"suffix":""},{"dropping-particle":"","family":"Imani","given":"Sohrab","non-dropping-particle":"","parse-names":false,"suffix":""}],"container-title":"Archives of Phytopathology and Plant Protection","id":"ITEM-4","issue":"7","issued":{"date-parts":[["2014"]]},"language":"English","note":"From Duplicate 1 (Investigation of sex ratio and adult longevity of Habrobracon hebetor Say in relation to some conventional and biorational insecticides - Kalajahi, Manigheh Jamshidi; Ganbalani, Gadir Nouri; Kazemi, Mohammad H; Shojai, Mahmood; Imani, Sohrab)\n\nTimes Cited: 0\nCited Reference Count: 13\n0","page":"852-856","title":"Investigation of sex ratio and adult longevity of Habrobracon hebetor Say in relation to some conventional and biorational insecticides","type":"article-journal","volume":"47"},"uris":["http://www.mendeley.com/documents/?uuid=afe73296-def3-4866-ab53-8d2f8883bc0f"]},{"id":"ITEM-5","itemData":{"DOI":"10.1016/j.chemosphere.2015.03.016","ISSN":"00456535","abstract":"To further develop Integrated Pest Management (IPM) strategies against crop pests, it is important to evaluate the effects of insecticides on biological control agents. Therefore, we tested the toxicity and sublethal effects (fecundity and fertility) of flonicamid, flubendiamide, metaflumizone, spirotetramat, sulfoxaflor and deltamethrin on the natural enemies Chrysoperla carnea and Adalia bipunctata . The side effects of the active ingredients of the insecticides were evaluated with residual contact tests for the larvae and adults of these predators in the laboratory. Flonicamid, flubendiamide, metaflumizone and spirotetramat were innocuous to last instar larvae and adults of C. carnea and A. bipunctata . Sulfoxaflor was slightly toxic to adults of C. carnea and was highly toxic to the L 4 larvae of A. bipunctata . For A. bipunctata , sulfoxaflor and deltamethrin were the most damaging compounds with a cumulative larval mortality of 100%. Deltamethrin was also the most toxic compound to larvae and adults of C. carnea . In accordance with the results obtained, the compounds flonicamid, flubendiamide, metaflumizone and spirotetramat might be incorporated into IPM programs in combination with these natural enemies for the control of particular greenhouse pests. Nevertheless, the use of sulfoxaflor and deltamethrin in IPM strategies should be taken into consideration when releasing either of these biological control agents, due to the toxic behavior observed under laboratory conditions. The need for developing sustainable approaches to combine the use of these insecticides and natural enemies within an IPM framework is discussed. [ABSTRACT FROM AUTHOR] Copyright of Chemosphere is the property of Pergamon Press - An Imprint of Elsevier Science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Garzón","given":"A","non-dropping-particle":"","parse-names":false,"suffix":""},{"dropping-particle":"","family":"Medina","given":"P","non-dropping-particle":"","parse-names":false,"suffix":""},{"dropping-particle":"","family":"Amor","given":"F","non-dropping-particle":"","parse-names":false,"suffix":""},{"dropping-particle":"","family":"Viñuela","given":"E","non-dropping-particle":"","parse-names":false,"suffix":""},{"dropping-particle":"","family":"Budia","given":"F","non-dropping-particle":"","parse-names":false,"suffix":""}],"container-title":"Chemosphere","id":"ITEM-5","issued":{"date-parts":[["2015"]]},"note":"Garzón, A. 1; Email Address: agus.garzon@gmail.com; Medina, P. 1; Amor, F. 1; Viñuela, E. 1; Budia, F. 1; Affiliations: 1: Unidad de Protección de Cultivos, E. T. S. I. Agrónomos, UPM, Avenida Complutense, s/n, 28040 Madrid, Spain; Issue Info: Aug2015, Vol. 132, p87; Thesaurus Term: INSECTICIDES; Thesaurus Term: INSECT larvae; Thesaurus Term: BIOLOGICAL pest control agents; Thesaurus Term: ADALIA bipunctata; Thesaurus Term: DELTAMETHRIN; Subject Term: CHRYSOPERLA carnea; Author-Supplied Keyword: Aphidophagous predators; Author-Supplied Keyword: Integrated Pest Management; Author-Supplied Keyword: Modern insecticides; Author-Supplied Keyword: Side effects; NAICS/Industry Codes: 561710 Exterminating and Pest Control Services; NAICS/Industry Codes: 115110 Support activities for crop production; NAICS/Industry Codes: 325320 Pesticide and Other Agricultural Chemical Manufacturing; NAICS/Industry Codes: 418390 Agricultural chemical and other farm supplies merchant wholesalers; Number of Pages: 7p; Document Type: Article","page":"87-93","title":"Toxicity and sublethal effects of six insecticides to last instar larvae and adults of the biocontrol agents Chrysoperla carnea (Stephens) (Neuroptera: Chrysopidae) and Adalia bipunctata (L.) (Coleoptera: Coccinellidae)","type":"article-journal","volume":"132"},"uris":["http://www.mendeley.com/documents/?uuid=15dbb14a-ea78-411d-a2e3-b6fdee594141"]}],"mendeley":{"formattedCitation":"&lt;sup&gt;4–8&lt;/sup&gt;","plainTextFormattedCitation":"4–8","previouslyFormattedCitation":"&lt;sup&gt;4–8&lt;/sup&gt;"},"properties":{"noteIndex":0},"schema":"https://github.com/citation-style-language/schema/raw/master/csl-citation.json"}</w:instrText>
      </w:r>
      <w:r w:rsidR="00F05E61" w:rsidRPr="00C73D75">
        <w:fldChar w:fldCharType="separate"/>
      </w:r>
      <w:r w:rsidR="00676545" w:rsidRPr="006B044F">
        <w:rPr>
          <w:noProof/>
          <w:vertAlign w:val="superscript"/>
        </w:rPr>
        <w:t>4–8</w:t>
      </w:r>
      <w:r w:rsidR="00F05E61" w:rsidRPr="00C73D75">
        <w:fldChar w:fldCharType="end"/>
      </w:r>
      <w:r w:rsidR="00F05E61" w:rsidRPr="006B044F">
        <w:t xml:space="preserve"> </w:t>
      </w:r>
      <w:r w:rsidR="006A6968" w:rsidRPr="006B044F">
        <w:t>In recent years the focus has turned more towards</w:t>
      </w:r>
      <w:r w:rsidR="00852D8E" w:rsidRPr="006B044F">
        <w:t xml:space="preserve"> the</w:t>
      </w:r>
      <w:r w:rsidR="006A6968" w:rsidRPr="006B044F">
        <w:t xml:space="preserve"> sublethal effects on non-target species</w:t>
      </w:r>
      <w:r w:rsidR="00155EE4" w:rsidRPr="006B044F">
        <w:t xml:space="preserve">; </w:t>
      </w:r>
      <w:r w:rsidR="00F05E61" w:rsidRPr="00C73D75">
        <w:fldChar w:fldCharType="begin" w:fldLock="1"/>
      </w:r>
      <w:r w:rsidR="00274D82" w:rsidRPr="006B044F">
        <w:instrText>ADDIN CSL_CITATION {"citationItems":[{"id":"ITEM-1","itemData":{"DOI":"10.1146/annurev.ento.52.110405.091440","ISSN":"0066-4170","author":[{"dropping-particle":"","family":"Desneux","given":"Nicolas","non-dropping-particle":"","parse-names":false,"suffix":""},{"dropping-particle":"","family":"Decourtye","given":"Axel","non-dropping-particle":"","parse-names":false,"suffix":""},{"dropping-particle":"","family":"Delpuech","given":"Jean-Marie","non-dropping-particle":"","parse-names":false,"suffix":""}],"container-title":"Annual Review of Entomology","id":"ITEM-1","issue":"1","issued":{"date-parts":[["2007","1"]]},"page":"81-106","title":"The Sublethal Effects of Pesticides on Beneficial Arthropods","type":"article-journal","volume":"52"},"uris":["http://www.mendeley.com/documents/?uuid=af8e556c-5ef3-36b0-9b64-6947bceb857e"]},{"id":"ITEM-2","itemData":{"DOI":"10.1146/annurev.polisci.5.100201.102917","ISBN":"0963641049091","ISSN":"1094-2939","author":[{"dropping-particle":"","family":"Stark, J D, Banks","given":"J E","non-dropping-particle":"","parse-names":false,"suffix":""}],"container-title":"Annual Review of Entomology","id":"ITEM-2","issued":{"date-parts":[["2003"]]},"page":"505-519","title":"Population-level effects of pesticides and other toxicants on arthropods","type":"article-journal","volume":"48"},"uris":["http://www.mendeley.com/documents/?uuid=e7c7b729-d955-4b2c-bdb5-c767e56a6963"]}],"mendeley":{"formattedCitation":"&lt;sup&gt;9,10&lt;/sup&gt;","plainTextFormattedCitation":"9,10","previouslyFormattedCitation":"&lt;sup&gt;9,10&lt;/sup&gt;"},"properties":{"noteIndex":0},"schema":"https://github.com/citation-style-language/schema/raw/master/csl-citation.json"}</w:instrText>
      </w:r>
      <w:r w:rsidR="00F05E61" w:rsidRPr="00C73D75">
        <w:fldChar w:fldCharType="separate"/>
      </w:r>
      <w:r w:rsidR="00676545" w:rsidRPr="006B044F">
        <w:rPr>
          <w:noProof/>
          <w:vertAlign w:val="superscript"/>
        </w:rPr>
        <w:t>9,10</w:t>
      </w:r>
      <w:r w:rsidR="00F05E61" w:rsidRPr="00C73D75">
        <w:fldChar w:fldCharType="end"/>
      </w:r>
      <w:r w:rsidR="00F05E61" w:rsidRPr="006B044F">
        <w:t xml:space="preserve"> </w:t>
      </w:r>
      <w:r w:rsidR="00F87BE7" w:rsidRPr="006B044F">
        <w:t xml:space="preserve">this </w:t>
      </w:r>
      <w:r w:rsidR="00852D8E" w:rsidRPr="006B044F">
        <w:t xml:space="preserve">is </w:t>
      </w:r>
      <w:r w:rsidR="00FB0624" w:rsidRPr="006B044F">
        <w:t xml:space="preserve">partly </w:t>
      </w:r>
      <w:r w:rsidR="00CB4446" w:rsidRPr="006B044F">
        <w:t>due to the</w:t>
      </w:r>
      <w:r w:rsidR="00FB0624" w:rsidRPr="006B044F">
        <w:t xml:space="preserve"> potentially</w:t>
      </w:r>
      <w:r w:rsidR="00CB4446" w:rsidRPr="006B044F">
        <w:t xml:space="preserve"> prolonged exposure of both target and non-target species to sublethal concentrations </w:t>
      </w:r>
      <w:r w:rsidR="00F05E61" w:rsidRPr="006B044F">
        <w:t xml:space="preserve">in real conditions. </w:t>
      </w:r>
      <w:r w:rsidR="00F05E61" w:rsidRPr="00C73D75">
        <w:fldChar w:fldCharType="begin" w:fldLock="1"/>
      </w:r>
      <w:r w:rsidR="00274D82" w:rsidRPr="006B044F">
        <w:instrText>ADDIN CSL_CITATION {"citationItems":[{"id":"ITEM-1","itemData":{"DOI":"10.1016/j.chemosphere.2010.08.021","ISSN":"0045-6535","author":[{"dropping-particle":"","family":"Cordeiro","given":"E M G","non-dropping-particle":"","parse-names":false,"suffix":""},{"dropping-particle":"","family":"Correa","given":"A S","non-dropping-particle":"","parse-names":false,"suffix":""},{"dropping-particle":"","family":"Venzon","given":"M","non-dropping-particle":"","parse-names":false,"suffix":""},{"dropping-particle":"","family":"Guedes","given":"R N C","non-dropping-particle":"","parse-names":false,"suffix":""}],"container-title":"CHEMOSPHERE","id":"ITEM-1","issue":"10","issued":{"date-parts":[["2010","11"]]},"page":"1352-1357","title":"Insecticide survival and behavioral avoidance in the lacewings Chrysoperla externa and Ceraeochrysa cubana","type":"article-journal","volume":"81"},"uris":["http://www.mendeley.com/documents/?uuid=c8dc860b-6dca-4415-9afb-218f4f052a26"]}],"mendeley":{"formattedCitation":"&lt;sup&gt;11&lt;/sup&gt;","plainTextFormattedCitation":"11","previouslyFormattedCitation":"&lt;sup&gt;11&lt;/sup&gt;"},"properties":{"noteIndex":0},"schema":"https://github.com/citation-style-language/schema/raw/master/csl-citation.json"}</w:instrText>
      </w:r>
      <w:r w:rsidR="00F05E61" w:rsidRPr="00C73D75">
        <w:fldChar w:fldCharType="separate"/>
      </w:r>
      <w:r w:rsidR="00676545" w:rsidRPr="006B044F">
        <w:rPr>
          <w:noProof/>
          <w:vertAlign w:val="superscript"/>
        </w:rPr>
        <w:t>11</w:t>
      </w:r>
      <w:r w:rsidR="00F05E61" w:rsidRPr="00C73D75">
        <w:fldChar w:fldCharType="end"/>
      </w:r>
    </w:p>
    <w:p w14:paraId="279742C9" w14:textId="79495725" w:rsidR="003B55ED" w:rsidRPr="006B044F" w:rsidRDefault="007225B0" w:rsidP="00E94812">
      <w:pPr>
        <w:spacing w:line="480" w:lineRule="auto"/>
      </w:pPr>
      <w:r w:rsidRPr="006B044F">
        <w:t xml:space="preserve">Sublethal effects such as reproduction </w:t>
      </w:r>
      <w:r w:rsidR="003026CA" w:rsidRPr="006B044F">
        <w:t xml:space="preserve">changes </w:t>
      </w:r>
      <w:r w:rsidRPr="006B044F">
        <w:t>are studied in non-target arthropods as part of regulatory pesticide testing</w:t>
      </w:r>
      <w:r w:rsidR="00F05E61" w:rsidRPr="006B044F">
        <w:t xml:space="preserve">, </w:t>
      </w:r>
      <w:r w:rsidR="00F05E61" w:rsidRPr="00C73D75">
        <w:fldChar w:fldCharType="begin" w:fldLock="1"/>
      </w:r>
      <w:r w:rsidR="00274D82" w:rsidRPr="006B044F">
        <w:instrText>ADDIN CSL_CITATION {"citationItems":[{"id":"ITEM-1","itemData":{"author":[{"dropping-particle":"","family":"Candolfi","given":"M.P.;","non-dropping-particle":"","parse-names":false,"suffix":""},{"dropping-particle":"","family":"Blümel","given":"S.;","non-dropping-particle":"","parse-names":false,"suffix":""},{"dropping-particle":"","family":"Forster","given":"R.;","non-dropping-particle":"","parse-names":false,"suffix":""},{"dropping-particle":"","family":"Bakker","given":"F.M.;","non-dropping-particle":"","parse-names":false,"suffix":""},{"dropping-particle":"","family":"Grimm","given":"C.;","non-dropping-particle":"","parse-names":false,"suffix":""},{"dropping-particle":"","family":"Hassan","given":"S.A.;","non-dropping-particle":"","parse-names":false,"suffix":""},{"dropping-particle":"","family":"Heimbach","given":"U.;","non-dropping-particle":"","parse-names":false,"suffix":""},{"dropping-particle":"","family":"Mead-Briggs","given":"M.A.;","non-dropping-particle":"","parse-names":false,"suffix":""},{"dropping-particle":"","family":"Reber","given":"B.;","non-dropping-particle":"","parse-names":false,"suffix":""},{"dropping-particle":"","family":"Schmuck","given":"R.;","non-dropping-particle":"","parse-names":false,"suffix":""},{"dropping-particle":"","family":"Vogt","given":"H","non-dropping-particle":"","parse-names":false,"suffix":""}],"id":"ITEM-1","issued":{"date-parts":[["2000"]]},"publisher":"IOBC/WPRS","publisher-place":"Gent","title":"Guidelines to evaluate side-effects of plant protection products to non-target arthropods. IOBC, BART and EPPO Joint Initiative.","type":"article"},"uris":["http://www.mendeley.com/documents/?uuid=a3138c30-f8fd-4cee-9146-c20187ef3442"]}],"mendeley":{"formattedCitation":"&lt;sup&gt;12&lt;/sup&gt;","plainTextFormattedCitation":"12","previouslyFormattedCitation":"&lt;sup&gt;12&lt;/sup&gt;"},"properties":{"noteIndex":0},"schema":"https://github.com/citation-style-language/schema/raw/master/csl-citation.json"}</w:instrText>
      </w:r>
      <w:r w:rsidR="00F05E61" w:rsidRPr="00C73D75">
        <w:fldChar w:fldCharType="separate"/>
      </w:r>
      <w:r w:rsidR="00676545" w:rsidRPr="006B044F">
        <w:rPr>
          <w:noProof/>
          <w:vertAlign w:val="superscript"/>
        </w:rPr>
        <w:t>12</w:t>
      </w:r>
      <w:r w:rsidR="00F05E61" w:rsidRPr="00C73D75">
        <w:fldChar w:fldCharType="end"/>
      </w:r>
      <w:r w:rsidR="00F05E61" w:rsidRPr="006B044F">
        <w:t xml:space="preserve"> </w:t>
      </w:r>
      <w:r w:rsidRPr="006B044F">
        <w:t>and many</w:t>
      </w:r>
      <w:r w:rsidR="00E974AE" w:rsidRPr="006B044F">
        <w:t xml:space="preserve"> studies have reported </w:t>
      </w:r>
      <w:r w:rsidR="00C94D14" w:rsidRPr="006B044F">
        <w:t xml:space="preserve">negative </w:t>
      </w:r>
      <w:r w:rsidR="00E974AE" w:rsidRPr="006B044F">
        <w:t>effects</w:t>
      </w:r>
      <w:r w:rsidR="00D31CBE" w:rsidRPr="006B044F">
        <w:t xml:space="preserve"> at recommended field rates</w:t>
      </w:r>
      <w:r w:rsidR="00155EE4" w:rsidRPr="006B044F">
        <w:t>.</w:t>
      </w:r>
      <w:r w:rsidR="00F05E61" w:rsidRPr="006B044F">
        <w:t xml:space="preserve"> </w:t>
      </w:r>
      <w:r w:rsidR="00F05E61" w:rsidRPr="00C73D75">
        <w:fldChar w:fldCharType="begin" w:fldLock="1"/>
      </w:r>
      <w:r w:rsidR="00274D82" w:rsidRPr="006B044F">
        <w:instrText>ADDIN CSL_CITATION {"citationItems":[{"id":"ITEM-1","itemData":{"DOI":"10.1023/a:1017927502679","ISSN":"0168-8162","author":[{"dropping-particle":"","family":"Bowie","given":"M H","non-dropping-particle":"","parse-names":false,"suffix":""},{"dropping-particle":"","family":"Worner","given":"S P","non-dropping-particle":"","parse-names":false,"suffix":""},{"dropping-particle":"","family":"Krips","given":"O E","non-dropping-particle":"","parse-names":false,"suffix":""},{"dropping-particle":"","family":"Penman","given":"D R","non-dropping-particle":"","parse-names":false,"suffix":""}],"container-title":"Experimental and Applied Acarology","id":"ITEM-1","issue":"4","issued":{"date-parts":[["2001"]]},"note":"Times Cited: 7\nWorner, Susan/I-1690-2013\nWorner, Susan/0000-0002-9004-6357\n0\n8","page":"311-319","title":"Sublethal effects of esfenvalerate residues on pyrethroid resistant Typhlodromus pyri (Acari : Phytoseiidae) and its prey Panonychus ulmi and Tetranychus urticae (Acari : Tetranychidae)","type":"article-journal","volume":"25"},"uris":["http://www.mendeley.com/documents/?uuid=f13e5384-aa88-4dd8-a34c-e785bd350555"]},{"id":"ITEM-2","itemData":{"DOI":"10.1016/j.chemosphere.2010.08.021","ISSN":"0045-6535","author":[{"dropping-particle":"","family":"Cordeiro","given":"E M G","non-dropping-particle":"","parse-names":false,"suffix":""},{"dropping-particle":"","family":"Correa","given":"A S","non-dropping-particle":"","parse-names":false,"suffix":""},{"dropping-particle":"","family":"Venzon","given":"M","non-dropping-particle":"","parse-names":false,"suffix":""},{"dropping-particle":"","family":"Guedes","given":"R N C","non-dropping-particle":"","parse-names":false,"suffix":""}],"container-title":"CHEMOSPHERE","id":"ITEM-2","issue":"10","issued":{"date-parts":[["2010","11"]]},"page":"1352-1357","title":"Insecticide survival and behavioral avoidance in the lacewings Chrysoperla externa and Ceraeochrysa cubana","type":"article-journal","volume":"81"},"uris":["http://www.mendeley.com/documents/?uuid=c8dc860b-6dca-4415-9afb-218f4f052a26"]},{"id":"ITEM-3","itemData":{"DOI":"10.1002/etc.2421","ISBN":"0730-7268","ISSN":"0730-7268","PMID":"24122914","abstract":"Few toxicity data exist in the literature on the toxicity of chemicals to the predatory mite Hypoaspis aculeifer, but no information is available on its avoidance response. To assess the relevance of the avoidance behavior of H. aculeifer and the relative sensitivity of the mite in comparison with other invertebrates, avoidance and reproduction tests were conducted with 7 chemicals using standardized guidelines. The chemicals (deltamethrin, chloropyrifos, dimethoate, Cu, NaCl, phenanthrene, and boric acid) were selected so as to cover varying chemical classes. For all 3 pesticides tested, avoidance response showed lower sensitivity than reproduction and survival (avoidance median effective concentration [EC50] &gt; reproduction EC50/median lethal concentration [LC50] values). However, for Cu, NaCl, and phenanthrene, the avoidance response showed similar sensitivity as reproduction (avoidance EC50 ≤ reproduction EC50 values), whereas for boric acid, similar sensitivity as survival (avoidance EC50 ≤ LC50 values). Although the mite H. aculeifer appears less sensitive to some of the chemicals tested than most other soil invertebrates, its status as the only predator among organisms for which standardized tests are available affirms its inclusion in routine ecotoxicity assessment. The results of the avoidance test with H. aculeifer suggest its potential usefulness as a rapid screening test for risk assessment purposes.","author":[{"dropping-particle":"","family":"Owojori","given":"Olugbenga J.","non-dropping-particle":"","parse-names":false,"suffix":""},{"dropping-particle":"","family":"Waszak","given":"Karolina","non-dropping-particle":"","parse-names":false,"suffix":""},{"dropping-particle":"","family":"Roembke","given":"Joerg","non-dropping-particle":"","parse-names":false,"suffix":""}],"container-title":"Environmental Toxicology and Chemistry","id":"ITEM-3","issue":"1","issued":{"date-parts":[["2014"]]},"note":"From Duplicate 2 (AVOIDANCE AND REPRODUCTION TESTS WITH THE PREDATORY MITE HYPOASPIS ACULEIFER: EFFECTS OF DIFFERENT CHEMICAL SUBSTANCES - Owojori, Olugbenga J; Waszak, Karolina; Roembke, Joerg)\n\nTimes Cited: 1\n0\n1","page":"230-237","title":"AVOIDANCE AND REPRODUCTION TESTS WITH THE PREDATORY MITE HYPOASPIS ACULEIFER: EFFECTS OF DIFFERENT CHEMICAL SUBSTANCES","type":"article-journal","volume":"33"},"uris":["http://www.mendeley.com/documents/?uuid=79e0d25c-a89a-4c4a-a15b-ca85f2c247b4"]}],"mendeley":{"formattedCitation":"&lt;sup&gt;4,11,13&lt;/sup&gt;","plainTextFormattedCitation":"4,11,13","previouslyFormattedCitation":"&lt;sup&gt;4,11,13&lt;/sup&gt;"},"properties":{"noteIndex":0},"schema":"https://github.com/citation-style-language/schema/raw/master/csl-citation.json"}</w:instrText>
      </w:r>
      <w:r w:rsidR="00F05E61" w:rsidRPr="00C73D75">
        <w:fldChar w:fldCharType="separate"/>
      </w:r>
      <w:r w:rsidR="00676545" w:rsidRPr="006B044F">
        <w:rPr>
          <w:noProof/>
          <w:vertAlign w:val="superscript"/>
        </w:rPr>
        <w:t>4,11,13</w:t>
      </w:r>
      <w:r w:rsidR="00F05E61" w:rsidRPr="00C73D75">
        <w:fldChar w:fldCharType="end"/>
      </w:r>
      <w:r w:rsidR="00F05E61" w:rsidRPr="006B044F">
        <w:t xml:space="preserve"> </w:t>
      </w:r>
      <w:r w:rsidRPr="006B044F">
        <w:t>Regulatory</w:t>
      </w:r>
      <w:r w:rsidR="00B2205A" w:rsidRPr="006B044F">
        <w:t xml:space="preserve"> studies typically </w:t>
      </w:r>
      <w:r w:rsidR="00E974AE" w:rsidRPr="006B044F">
        <w:t>apply pesticide products using</w:t>
      </w:r>
      <w:r w:rsidR="00B2205A" w:rsidRPr="006B044F">
        <w:t xml:space="preserve"> </w:t>
      </w:r>
      <w:r w:rsidR="00E974AE" w:rsidRPr="006B044F">
        <w:t>total</w:t>
      </w:r>
      <w:r w:rsidR="00B2205A" w:rsidRPr="006B044F">
        <w:t xml:space="preserve"> coverage</w:t>
      </w:r>
      <w:r w:rsidR="00852D8E" w:rsidRPr="006B044F">
        <w:t xml:space="preserve"> of a test arena</w:t>
      </w:r>
      <w:r w:rsidRPr="006B044F">
        <w:t xml:space="preserve"> as they must consider the </w:t>
      </w:r>
      <w:r w:rsidR="005873F3" w:rsidRPr="006B044F">
        <w:t>worst-case</w:t>
      </w:r>
      <w:r w:rsidRPr="006B044F">
        <w:t xml:space="preserve"> exposure scenario</w:t>
      </w:r>
      <w:r w:rsidR="005873F3" w:rsidRPr="006B044F">
        <w:t>. However, this causes a lack</w:t>
      </w:r>
      <w:r w:rsidR="00B2205A" w:rsidRPr="006B044F">
        <w:t xml:space="preserve"> of realism in terms of the</w:t>
      </w:r>
      <w:r w:rsidR="005873F3" w:rsidRPr="006B044F">
        <w:t xml:space="preserve"> test</w:t>
      </w:r>
      <w:r w:rsidR="00B2205A" w:rsidRPr="006B044F">
        <w:t xml:space="preserve"> exposure environment not matching the exposure realistically achieved within crop systems</w:t>
      </w:r>
      <w:r w:rsidR="00AB5DB1" w:rsidRPr="006B044F">
        <w:t xml:space="preserve"> where exposure is patchy and varies spatially</w:t>
      </w:r>
      <w:r w:rsidR="00B2205A" w:rsidRPr="006B044F">
        <w:t>.</w:t>
      </w:r>
      <w:r w:rsidR="002649BA" w:rsidRPr="006B044F">
        <w:t xml:space="preserve"> </w:t>
      </w:r>
      <w:r w:rsidR="00B829CE" w:rsidRPr="006B044F">
        <w:t xml:space="preserve">Therefore, to bring realism to </w:t>
      </w:r>
      <w:r w:rsidR="00AB5DB1" w:rsidRPr="006B044F">
        <w:t xml:space="preserve">pesticide risk assessment real exposure patterns must be considered at spatial scales relevant to the test species, either by modified </w:t>
      </w:r>
      <w:r w:rsidR="005F1046" w:rsidRPr="006B044F">
        <w:t xml:space="preserve">toxicity and behaviour </w:t>
      </w:r>
      <w:r w:rsidR="00B2205A" w:rsidRPr="006B044F">
        <w:t xml:space="preserve">assays </w:t>
      </w:r>
      <w:r w:rsidR="005873F3" w:rsidRPr="006B044F">
        <w:t>within laboratory settings</w:t>
      </w:r>
      <w:r w:rsidR="00AB5DB1" w:rsidRPr="006B044F">
        <w:t xml:space="preserve"> or by computational modelling</w:t>
      </w:r>
      <w:r w:rsidR="00C4794D" w:rsidRPr="006B044F">
        <w:t>.</w:t>
      </w:r>
      <w:r w:rsidR="00B2205A" w:rsidRPr="006B044F">
        <w:t xml:space="preserve"> </w:t>
      </w:r>
    </w:p>
    <w:p w14:paraId="70E9D629" w14:textId="45948E09" w:rsidR="001625F6" w:rsidRPr="006B044F" w:rsidRDefault="00721668" w:rsidP="00E94812">
      <w:pPr>
        <w:spacing w:line="480" w:lineRule="auto"/>
      </w:pPr>
      <w:r w:rsidRPr="006B044F">
        <w:t>Various meth</w:t>
      </w:r>
      <w:r w:rsidR="004E01D8" w:rsidRPr="006B044F">
        <w:t xml:space="preserve">ods </w:t>
      </w:r>
      <w:r w:rsidR="00C4794D" w:rsidRPr="006B044F">
        <w:t>exist for</w:t>
      </w:r>
      <w:r w:rsidRPr="006B044F">
        <w:t xml:space="preserve"> assessing pestic</w:t>
      </w:r>
      <w:r w:rsidR="00F04579" w:rsidRPr="006B044F">
        <w:t xml:space="preserve">ide residue </w:t>
      </w:r>
      <w:r w:rsidR="00C4794D" w:rsidRPr="006B044F">
        <w:t>and exposure patterns</w:t>
      </w:r>
      <w:r w:rsidR="00F04579" w:rsidRPr="006B044F">
        <w:t xml:space="preserve">, from the conventional method </w:t>
      </w:r>
      <w:r w:rsidR="00B829CE" w:rsidRPr="006B044F">
        <w:t xml:space="preserve">of taking samples from a field </w:t>
      </w:r>
      <w:r w:rsidR="00F04579" w:rsidRPr="006B044F">
        <w:t>and extracting</w:t>
      </w:r>
      <w:r w:rsidR="00155EE4" w:rsidRPr="006B044F">
        <w:t xml:space="preserve"> the residues in the laboratory, </w:t>
      </w:r>
      <w:r w:rsidR="00F05E61" w:rsidRPr="00C73D75">
        <w:fldChar w:fldCharType="begin" w:fldLock="1"/>
      </w:r>
      <w:r w:rsidR="00274D82" w:rsidRPr="006B044F">
        <w:instrText>ADDIN CSL_CITATION {"citationItems":[{"id":"ITEM-1","itemData":{"DOI":"10.1021/jf030591n","ISBN":"0021-8561 (Print)\\r0021-8561 (Linking)","ISSN":"00218561","PMID":"14969514","abstract":"Methoxyfenozide [3-methoxy-2-methylbenzoic acid 2-(3,5-dimethylbenzoyl)-2-(1,1-dimethylethyl) hydrazide; RH-2485], in the formulation of INTREPID, was applied to various crops. Analysis of methoxyfenozide was accomplished by utilizing liquid-liquid extraction and partitioning, followed by liquid chromatography-tandem mass spectrometry (LC-MS/MS). Method validations for fruits, vegetables, and mint are reported. Methoxyfenozide mean recoveries ranged from 72 to 129% over three levels of fortification. The overall average of mean recoveries is 97 +/- 10%. The limit of quantitation for fruits, artichoke, cucumber, squash, and refined sugar was 0.010 ppm, with a detection limit of 0.005 ppm. For all other crops, the limit of quantitation was 0.050 ppm, with a detection limit of 0.025 ppm. No residues were found greater than the limit of quantitation in control samples. Residues above the limit of quantitation were found in all matrices except refined sugar. Foliage (bean, beet, pea, and radish) had greater residue levels of methoxyfenozide residue than their corresponding roots or pods. Other crop matrices contained &lt;1.0 ppm of methoxyfenozide except artichoke, which had a mean of 1.10 ppm.","author":[{"dropping-particle":"","family":"Hall","given":"Gregory L.","non-dropping-particle":"","parse-names":false,"suffix":""},{"dropping-particle":"","family":"Engebretson","given":"Jo","non-dropping-particle":"","parse-names":false,"suffix":""},{"dropping-particle":"","family":"Hengel","given":"Mathew J.","non-dropping-particle":"","parse-names":false,"suffix":""},{"dropping-particle":"","family":"Shibamoto","given":"Takayuki","non-dropping-particle":"","parse-names":false,"suffix":""}],"container-title":"Journal of Agricultural and Food Chemistry","id":"ITEM-1","issue":"4","issued":{"date-parts":[["2004"]]},"page":"672-676","title":"Analysis of Methoxyfenozide Residues in Fruits, Vegetables, and Mint by Liquid Chromatography-Tandem Mass Spectrometry (LC-MS/MS)","type":"article-journal","volume":"52"},"uris":["http://www.mendeley.com/documents/?uuid=74ba2d3e-7340-4e4c-97b6-624fe8086c0c"]}],"mendeley":{"formattedCitation":"&lt;sup&gt;14&lt;/sup&gt;","plainTextFormattedCitation":"14","previouslyFormattedCitation":"&lt;sup&gt;14&lt;/sup&gt;"},"properties":{"noteIndex":0},"schema":"https://github.com/citation-style-language/schema/raw/master/csl-citation.json"}</w:instrText>
      </w:r>
      <w:r w:rsidR="00F05E61" w:rsidRPr="00C73D75">
        <w:fldChar w:fldCharType="separate"/>
      </w:r>
      <w:r w:rsidR="00676545" w:rsidRPr="006B044F">
        <w:rPr>
          <w:noProof/>
          <w:vertAlign w:val="superscript"/>
        </w:rPr>
        <w:t>14</w:t>
      </w:r>
      <w:r w:rsidR="00F05E61" w:rsidRPr="00C73D75">
        <w:fldChar w:fldCharType="end"/>
      </w:r>
      <w:r w:rsidR="00155EE4" w:rsidRPr="006B044F">
        <w:t xml:space="preserve"> </w:t>
      </w:r>
      <w:r w:rsidR="004E01D8" w:rsidRPr="006B044F">
        <w:t>to the use of tracers such as fluorescent dyes</w:t>
      </w:r>
      <w:r w:rsidR="00C36FED" w:rsidRPr="006B044F">
        <w:t xml:space="preserve"> </w:t>
      </w:r>
      <w:r w:rsidR="00F05E61" w:rsidRPr="00C73D75">
        <w:fldChar w:fldCharType="begin" w:fldLock="1"/>
      </w:r>
      <w:r w:rsidR="00274D82" w:rsidRPr="006B044F">
        <w:instrText>ADDIN CSL_CITATION {"citationItems":[{"id":"ITEM-1","itemData":{"DOI":"10.1111/j.1744-7348.1992.tb03436.x","ISSN":"0003-4746","author":[{"dropping-particle":"","family":"Cilgi","given":"T","non-dropping-particle":"","parse-names":false,"suffix":""},{"dropping-particle":"","family":"Jepson","given":"P C","non-dropping-particle":"","parse-names":false,"suffix":""}],"container-title":"Annals of Applied Biology","id":"ITEM-1","issue":"2","issued":{"date-parts":[["1992"]]},"note":"Times Cited: 33\nJepson, Paul/E-8669-2011\nJepson, Paul/0000-0003-3419-4715\n0\n34","page":"239-247","title":"THE USE OF TRACERS TO ESTIMATE THE EXPOSURE OF BENEFICIAL INSECTS TO DIRECT PESTICIDE SPRAYING IN CEREALS","type":"article-journal","volume":"121"},"uris":["http://www.mendeley.com/documents/?uuid=ca6f07ca-2234-442c-b4c7-ed446b170485"]}],"mendeley":{"formattedCitation":"&lt;sup&gt;15&lt;/sup&gt;","plainTextFormattedCitation":"15","previouslyFormattedCitation":"&lt;sup&gt;15&lt;/sup&gt;"},"properties":{"noteIndex":0},"schema":"https://github.com/citation-style-language/schema/raw/master/csl-citation.json"}</w:instrText>
      </w:r>
      <w:r w:rsidR="00F05E61" w:rsidRPr="00C73D75">
        <w:fldChar w:fldCharType="separate"/>
      </w:r>
      <w:r w:rsidR="00676545" w:rsidRPr="006B044F">
        <w:rPr>
          <w:noProof/>
          <w:vertAlign w:val="superscript"/>
        </w:rPr>
        <w:t>15</w:t>
      </w:r>
      <w:r w:rsidR="00F05E61" w:rsidRPr="00C73D75">
        <w:fldChar w:fldCharType="end"/>
      </w:r>
      <w:r w:rsidR="004E01D8" w:rsidRPr="006B044F">
        <w:t xml:space="preserve"> and</w:t>
      </w:r>
      <w:r w:rsidR="00F04579" w:rsidRPr="006B044F">
        <w:t xml:space="preserve"> artificial collector</w:t>
      </w:r>
      <w:r w:rsidR="00155EE4" w:rsidRPr="006B044F">
        <w:t>s such as water sensitive paper</w:t>
      </w:r>
      <w:r w:rsidR="00F05E61" w:rsidRPr="006B044F">
        <w:t xml:space="preserve"> </w:t>
      </w:r>
      <w:r w:rsidR="00F05E61" w:rsidRPr="00C73D75">
        <w:fldChar w:fldCharType="begin" w:fldLock="1"/>
      </w:r>
      <w:r w:rsidR="00274D82" w:rsidRPr="006B044F">
        <w:instrText>ADDIN CSL_CITATION {"citationItems":[{"id":"ITEM-1","itemData":{"author":[{"dropping-particle":"","family":"Moor","given":"A","non-dropping-particle":"de","parse-names":false,"suffix":""},{"dropping-particle":"","family":"Langenakens","given":"J","non-dropping-particle":"","parse-names":false,"suffix":""},{"dropping-particle":"","family":"Vereecke","given":"E","non-dropping-particle":"","parse-names":false,"suffix":""}],"container-title":"Pesticide Application","editor":[{"dropping-particle":"","family":"Cross  A. J.; Glass, C. R.; Taylor, W. A.; Walklate, P. J.; Western, N. M.","given":"J V.; Gilbert","non-dropping-particle":"","parse-names":false,"suffix":""}],"id":"ITEM-1","issued":{"date-parts":[["2000"]]},"page":"329-341","publisher-place":"University of Surrey, Guildford, UK","title":"Image analysis of water sensitive paper as a tool for the evaluation of spray distribution of orchard sprayers","type":"article","volume":"57"},"uris":["http://www.mendeley.com/documents/?uuid=e5474649-3dc1-41e4-be27-49ad5deb14e7"]}],"mendeley":{"formattedCitation":"&lt;sup&gt;16&lt;/sup&gt;","plainTextFormattedCitation":"16","previouslyFormattedCitation":"&lt;sup&gt;16&lt;/sup&gt;"},"properties":{"noteIndex":0},"schema":"https://github.com/citation-style-language/schema/raw/master/csl-citation.json"}</w:instrText>
      </w:r>
      <w:r w:rsidR="00F05E61" w:rsidRPr="00C73D75">
        <w:fldChar w:fldCharType="separate"/>
      </w:r>
      <w:r w:rsidR="00676545" w:rsidRPr="006B044F">
        <w:rPr>
          <w:noProof/>
          <w:vertAlign w:val="superscript"/>
        </w:rPr>
        <w:t>16</w:t>
      </w:r>
      <w:r w:rsidR="00F05E61" w:rsidRPr="00C73D75">
        <w:fldChar w:fldCharType="end"/>
      </w:r>
      <w:r w:rsidR="00F05E61" w:rsidRPr="006B044F">
        <w:t xml:space="preserve"> </w:t>
      </w:r>
      <w:r w:rsidR="004E01D8" w:rsidRPr="006B044F">
        <w:t>to investigate spray patterns such as deposition and coverage.</w:t>
      </w:r>
      <w:r w:rsidR="00E633E2" w:rsidRPr="006B044F">
        <w:t xml:space="preserve"> </w:t>
      </w:r>
      <w:r w:rsidR="00C4794D" w:rsidRPr="006B044F">
        <w:t xml:space="preserve">Conventional residue testing – involving extraction, clean-up and analysis steps – </w:t>
      </w:r>
      <w:r w:rsidR="00D455D6" w:rsidRPr="006B044F">
        <w:t>is</w:t>
      </w:r>
      <w:r w:rsidR="00C4794D" w:rsidRPr="006B044F">
        <w:t xml:space="preserve"> usually </w:t>
      </w:r>
      <w:r w:rsidR="00C4794D" w:rsidRPr="006B044F">
        <w:lastRenderedPageBreak/>
        <w:t>conducted in the context of human</w:t>
      </w:r>
      <w:r w:rsidR="00155EE4" w:rsidRPr="006B044F">
        <w:t xml:space="preserve"> exposure, for instance </w:t>
      </w:r>
      <w:r w:rsidR="005873F3" w:rsidRPr="006B044F">
        <w:t xml:space="preserve">to measure concentrations </w:t>
      </w:r>
      <w:r w:rsidR="00155EE4" w:rsidRPr="006B044F">
        <w:t>in food</w:t>
      </w:r>
      <w:r w:rsidR="005873F3" w:rsidRPr="006B044F">
        <w:t xml:space="preserve"> crops for dietary risk assessment</w:t>
      </w:r>
      <w:r w:rsidR="00155EE4" w:rsidRPr="006B044F">
        <w:t>.</w:t>
      </w:r>
      <w:r w:rsidR="00F05E61" w:rsidRPr="006B044F">
        <w:t xml:space="preserve"> </w:t>
      </w:r>
      <w:r w:rsidR="00F05E61" w:rsidRPr="00C73D75">
        <w:fldChar w:fldCharType="begin" w:fldLock="1"/>
      </w:r>
      <w:r w:rsidR="00274D82" w:rsidRPr="006B044F">
        <w:instrText>ADDIN CSL_CITATION {"citationItems":[{"id":"ITEM-1","itemData":{"DOI":"10.1080/0265203021000060904","ISSN":"0265-203X","abstract":"The degradation of five triazole fungicides (cyproconazole, hexaconazole, penconazole, propiconazole, tebuconazole) in peaches was evaluated in field studies to establish whether at the preharvest interval the residue levels were below the legal limit established in Italy. All fungicides, except propiconazole, showed higher residues than the legal limits because of their high stability. In fact, some did not decrease at all (cyproconazole, penconazole, tebuconazole), while others decreased only in part. The increasing weight of the fruit during growth was the main factor leading to an apparent decrease in pesticide levels on a weight for weight basis. The trials on model systems showed that co-distillation and sunlight photodegradation were the main mechanisms leading to a decrease in triazole levels. Although these fungicides are systemic, they did not enter the fruit and all residues were only present in the peel.","author":[{"dropping-particle":"","family":"Angioni","given":"A","non-dropping-particle":"","parse-names":false,"suffix":""},{"dropping-particle":"","family":"Real","given":"A A","non-dropping-particle":"Del","parse-names":false,"suffix":""},{"dropping-particle":"","family":"Russo","given":"M","non-dropping-particle":"","parse-names":false,"suffix":""},{"dropping-particle":"","family":"Melis","given":"M","non-dropping-particle":"","parse-names":false,"suffix":""},{"dropping-particle":"","family":"Cabitza","given":"F","non-dropping-particle":"","parse-names":false,"suffix":""},{"dropping-particle":"","family":"Cabras","given":"P","non-dropping-particle":"","parse-names":false,"suffix":""}],"container-title":"Food Additives and Contaminants","id":"ITEM-1","issue":"4","issued":{"date-parts":[["2003"]]},"language":"English","note":"ISI Document Delivery No.: 678PE\nTimes Cited: 14\nCited Reference Count: 7\nAngioni, A Del Real, AA Russo, M Melis, M Cabitza, F Cabras, P\n17\n3\nTaylor &amp;amp; francis ltd\nAbingdon","page":"368-374","title":"Triazole fungicide degradation in peaches in the field and in model systems","type":"article-journal","volume":"20"},"uris":["http://www.mendeley.com/documents/?uuid=eef974a0-1055-4d14-b3c5-40bde23a9f1d"]},{"id":"ITEM-2","itemData":{"DOI":"10.1021/jf030591n","ISBN":"0021-8561 (Print)\\r0021-8561 (Linking)","ISSN":"00218561","PMID":"14969514","abstract":"Methoxyfenozide [3-methoxy-2-methylbenzoic acid 2-(3,5-dimethylbenzoyl)-2-(1,1-dimethylethyl) hydrazide; RH-2485], in the formulation of INTREPID, was applied to various crops. Analysis of methoxyfenozide was accomplished by utilizing liquid-liquid extraction and partitioning, followed by liquid chromatography-tandem mass spectrometry (LC-MS/MS). Method validations for fruits, vegetables, and mint are reported. Methoxyfenozide mean recoveries ranged from 72 to 129% over three levels of fortification. The overall average of mean recoveries is 97 +/- 10%. The limit of quantitation for fruits, artichoke, cucumber, squash, and refined sugar was 0.010 ppm, with a detection limit of 0.005 ppm. For all other crops, the limit of quantitation was 0.050 ppm, with a detection limit of 0.025 ppm. No residues were found greater than the limit of quantitation in control samples. Residues above the limit of quantitation were found in all matrices except refined sugar. Foliage (bean, beet, pea, and radish) had greater residue levels of methoxyfenozide residue than their corresponding roots or pods. Other crop matrices contained &lt;1.0 ppm of methoxyfenozide except artichoke, which had a mean of 1.10 ppm.","author":[{"dropping-particle":"","family":"Hall","given":"Gregory L.","non-dropping-particle":"","parse-names":false,"suffix":""},{"dropping-particle":"","family":"Engebretson","given":"Jo","non-dropping-particle":"","parse-names":false,"suffix":""},{"dropping-particle":"","family":"Hengel","given":"Mathew J.","non-dropping-particle":"","parse-names":false,"suffix":""},{"dropping-particle":"","family":"Shibamoto","given":"Takayuki","non-dropping-particle":"","parse-names":false,"suffix":""}],"container-title":"Journal of Agricultural and Food Chemistry","id":"ITEM-2","issue":"4","issued":{"date-parts":[["2004"]]},"page":"672-676","title":"Analysis of Methoxyfenozide Residues in Fruits, Vegetables, and Mint by Liquid Chromatography-Tandem Mass Spectrometry (LC-MS/MS)","type":"article-journal","volume":"52"},"uris":["http://www.mendeley.com/documents/?uuid=74ba2d3e-7340-4e4c-97b6-624fe8086c0c"]},{"id":"ITEM-3","itemData":{"DOI":"10.1016/j.chroma.2005.03.040","ISSN":"0021-9673","abstract":"In this work, a new multi-residue methodology using liquid chromatography-time-of-flight mass spectrometry (LC-TOF-MS) for the quantitative (routine) analysis of 15 pesticide residues has been developed. The analytical performance of the method was evaluated for different types of fruit and vegetables: pepper, broccoli, tomato, orange, lemon, apple and melon. The accurate mass measurements were compared in different matrices at significantly different concentration levels (from 0.01 to 0.5 mg/kg) obtaining accuracy errors lower than 2 ppm, which is well within the accepted limits for elemental confirmation. Linearity of response over two orders of magnitude was demonstrated (r &gt; 0.99). Matrix effects resulting in suppression or enhancement of the response were frequently observed, most notably in broccoli and citrus. Instrumental limits of detection (LOD) were between 0.0005 and 0.03 mg/kg depending on the commodity and pesticide studied, all being within European Union regulations for food monitoring program. Finally, the methodology was applied to the analysis of two samples from an inter-laboratory exercise. The high degree of confirmation for target pesticides by accurate mass measurements demonstrated the applicability of the method in routine analysis. This study is a valuable indicator of the potential of LC-TOF-MS for quantitative multi-residue analysis of pesticides in vegetables and fruits. (c) 2005 Elsevier B.V. All rights reserved.","author":[{"dropping-particle":"","family":"Ferrer","given":"I","non-dropping-particle":"","parse-names":false,"suffix":""},{"dropping-particle":"","family":"Garcia-Reyes","given":"J F","non-dropping-particle":"","parse-names":false,"suffix":""},{"dropping-particle":"","family":"Mezcua","given":"M","non-dropping-particle":"","parse-names":false,"suffix":""},{"dropping-particle":"","family":"Thurman","given":"E M","non-dropping-particle":"","parse-names":false,"suffix":""},{"dropping-particle":"","family":"Fernandez-Alba","given":"A R","non-dropping-particle":"","parse-names":false,"suffix":""}],"container-title":"Journal of Chromatography A","id":"ITEM-3","issue":"1","issued":{"date-parts":[["2005"]]},"language":"English","note":"ISI Document Delivery No.: 943CW\nTimes Cited: 132\nCited Reference Count: 22\nFerrer, I Garcia-Reyes, JF Mezcua, M Thurman, EM Fernandez-Alba, AR\n21st Montreux Symposium on Liquid Chromatography - Mass Spectrometry\nNov 10-12, 2004\nMontreux, SWITZERLAND\nThurman, Earl/B-5131-2011; Ferrer, Imma/A-8161-2008; GARCIA-REYES, JUAN F/E-5056-2010\nFerrer, Imma/0000-0002-8730-7851; GARCIA-REYES, JUAN F/0000-0001-9158-0271\n135\n3\n28\nElsevier science bv\nAmsterdam","page":"81-90","title":"Multi-residue pesticide analysis in fruits and vegetables by liquid chromatography-time-of-flight mass spectrometry","type":"article-journal","volume":"1082"},"uris":["http://www.mendeley.com/documents/?uuid=915e9ee5-2a36-4727-9b2f-301db099a1f6"]}],"mendeley":{"formattedCitation":"&lt;sup&gt;14,17,18&lt;/sup&gt;","plainTextFormattedCitation":"14,17,18","previouslyFormattedCitation":"&lt;sup&gt;14,17,18&lt;/sup&gt;"},"properties":{"noteIndex":0},"schema":"https://github.com/citation-style-language/schema/raw/master/csl-citation.json"}</w:instrText>
      </w:r>
      <w:r w:rsidR="00F05E61" w:rsidRPr="00C73D75">
        <w:fldChar w:fldCharType="separate"/>
      </w:r>
      <w:r w:rsidR="00676545" w:rsidRPr="006B044F">
        <w:rPr>
          <w:noProof/>
          <w:vertAlign w:val="superscript"/>
        </w:rPr>
        <w:t>14,17,18</w:t>
      </w:r>
      <w:r w:rsidR="00F05E61" w:rsidRPr="00C73D75">
        <w:fldChar w:fldCharType="end"/>
      </w:r>
      <w:r w:rsidR="00F05E61" w:rsidRPr="006B044F">
        <w:t xml:space="preserve"> </w:t>
      </w:r>
      <w:r w:rsidR="005873F3" w:rsidRPr="006B044F">
        <w:t>Some</w:t>
      </w:r>
      <w:r w:rsidR="00B32B1E" w:rsidRPr="006B044F">
        <w:t xml:space="preserve"> </w:t>
      </w:r>
      <w:r w:rsidR="00956856" w:rsidRPr="006B044F">
        <w:t>stud</w:t>
      </w:r>
      <w:r w:rsidR="005873F3" w:rsidRPr="006B044F">
        <w:t>ies have also investigated residues o</w:t>
      </w:r>
      <w:r w:rsidR="00956856" w:rsidRPr="006B044F">
        <w:t>n foliage</w:t>
      </w:r>
      <w:r w:rsidR="00155EE4" w:rsidRPr="006B044F">
        <w:t xml:space="preserve">, </w:t>
      </w:r>
      <w:r w:rsidR="00F05E61" w:rsidRPr="00C73D75">
        <w:fldChar w:fldCharType="begin" w:fldLock="1"/>
      </w:r>
      <w:r w:rsidR="00274D82" w:rsidRPr="006B044F">
        <w:instrText>ADDIN CSL_CITATION {"citationItems":[{"id":"ITEM-1","itemData":{"DOI":"10.1016/0261-2194(95)00095-x","ISSN":"0261-2194","author":[{"dropping-particle":"","family":"Rueegg","given":"J","non-dropping-particle":"","parse-names":false,"suffix":""},{"dropping-particle":"","family":"Siegfried","given":"W","non-dropping-particle":"","parse-names":false,"suffix":""}],"container-title":"Crop Protection","id":"ITEM-1","issue":"1","issued":{"date-parts":[["1996"]]},"note":"Times Cited: 16\n0\n17\n1873-6904","page":"27-31","title":"Residues of difenoconazole and penconazole on apple leaves and grass and soil in an apple orchard in north-eastern Switzerland","type":"article-journal","volume":"15"},"uris":["http://www.mendeley.com/documents/?uuid=7ec598a8-da29-4865-a98d-7a353305ca89"]},{"id":"ITEM-2","itemData":{"DOI":"10.1080/03067319.2015.1059426","ISSN":"0306-7319","author":[{"dropping-particle":"","family":"Li","given":"Yiqiang","non-dropping-particle":"","parse-names":false,"suffix":""},{"dropping-particle":"","family":"Yang","given":"Liqiang","non-dropping-particle":"","parse-names":false,"suffix":""},{"dropping-particle":"","family":"Sun","given":"Huiqing","non-dropping-particle":"","parse-names":false,"suffix":""},{"dropping-particle":"","family":"Wang","given":"Xiuguo","non-dropping-particle":"","parse-names":false,"suffix":""},{"dropping-particle":"","family":"Song","given":"Chao","non-dropping-particle":"","parse-names":false,"suffix":""},{"dropping-particle":"","family":"Zhou","given":"Yangquan","non-dropping-particle":"","parse-names":false,"suffix":""},{"dropping-particle":"","family":"Wang","given":"Naishun","non-dropping-particle":"","parse-names":false,"suffix":""},{"dropping-particle":"","family":"Yu","given":"Cunfeng","non-dropping-particle":"","parse-names":false,"suffix":""},{"dropping-particle":"","family":"Bi","given":"Yanping","non-dropping-particle":"","parse-names":false,"suffix":""},{"dropping-particle":"","family":"Wei","given":"Jianyu","non-dropping-particle":"","parse-names":false,"suffix":""},{"dropping-particle":"","family":"Su","given":"Zan","non-dropping-particle":"","parse-names":false,"suffix":""}],"container-title":"International Journal of Environmental Analytical Chemistry","id":"ITEM-2","issue":"9","issued":{"date-parts":[["2015"]]},"note":"Times Cited: 0\n0\n1029-0397","page":"808-815","title":"Residues of four triazole fungicides in tobacco leaves under field condition and during curing","type":"article-journal","volume":"95"},"uris":["http://www.mendeley.com/documents/?uuid=af802561-0e52-40cb-86a2-eb7775dfe2d5"]}],"mendeley":{"formattedCitation":"&lt;sup&gt;19,20&lt;/sup&gt;","plainTextFormattedCitation":"19,20","previouslyFormattedCitation":"&lt;sup&gt;19,20&lt;/sup&gt;"},"properties":{"noteIndex":0},"schema":"https://github.com/citation-style-language/schema/raw/master/csl-citation.json"}</w:instrText>
      </w:r>
      <w:r w:rsidR="00F05E61" w:rsidRPr="00C73D75">
        <w:fldChar w:fldCharType="separate"/>
      </w:r>
      <w:r w:rsidR="00676545" w:rsidRPr="006B044F">
        <w:rPr>
          <w:noProof/>
          <w:vertAlign w:val="superscript"/>
        </w:rPr>
        <w:t>19,20</w:t>
      </w:r>
      <w:r w:rsidR="00F05E61" w:rsidRPr="00C73D75">
        <w:fldChar w:fldCharType="end"/>
      </w:r>
      <w:r w:rsidR="00F05E61" w:rsidRPr="006B044F">
        <w:t xml:space="preserve"> </w:t>
      </w:r>
      <w:r w:rsidR="00956856" w:rsidRPr="006B044F">
        <w:t xml:space="preserve">a more </w:t>
      </w:r>
      <w:r w:rsidR="005475DB" w:rsidRPr="006B044F">
        <w:t>relevant</w:t>
      </w:r>
      <w:r w:rsidR="00956856" w:rsidRPr="006B044F">
        <w:t xml:space="preserve"> substrate</w:t>
      </w:r>
      <w:r w:rsidR="005475DB" w:rsidRPr="006B044F">
        <w:t xml:space="preserve"> in the context of</w:t>
      </w:r>
      <w:r w:rsidR="00956856" w:rsidRPr="006B044F">
        <w:t xml:space="preserve"> </w:t>
      </w:r>
      <w:r w:rsidR="005873F3" w:rsidRPr="006B044F">
        <w:t xml:space="preserve">non-target arthropods (e.g. parasitoids and predators) </w:t>
      </w:r>
      <w:r w:rsidR="005475DB" w:rsidRPr="006B044F">
        <w:t xml:space="preserve">in crop systems. </w:t>
      </w:r>
      <w:r w:rsidR="001A5A7C" w:rsidRPr="006B044F">
        <w:t>T</w:t>
      </w:r>
      <w:r w:rsidR="005475DB" w:rsidRPr="006B044F">
        <w:t xml:space="preserve">hese foliage methods typically work with large samples of several </w:t>
      </w:r>
      <w:r w:rsidR="001A5A7C" w:rsidRPr="006B044F">
        <w:t xml:space="preserve">leaves with a mass of 10 – 20 g, </w:t>
      </w:r>
      <w:r w:rsidR="00AB5DB1" w:rsidRPr="006B044F">
        <w:t>but residues averaged across many leaves are not</w:t>
      </w:r>
      <w:r w:rsidR="001A5A7C" w:rsidRPr="006B044F">
        <w:t xml:space="preserve"> </w:t>
      </w:r>
      <w:r w:rsidR="00AB5DB1" w:rsidRPr="006B044F">
        <w:t xml:space="preserve">very </w:t>
      </w:r>
      <w:r w:rsidR="001A5A7C" w:rsidRPr="006B044F">
        <w:t>relevant for predatory insects</w:t>
      </w:r>
      <w:r w:rsidR="00AB5DB1" w:rsidRPr="006B044F">
        <w:t xml:space="preserve"> who are so small that heterogeneous exposure within one leaf is what matters</w:t>
      </w:r>
      <w:r w:rsidR="00B65AC4" w:rsidRPr="006B044F">
        <w:t>.</w:t>
      </w:r>
      <w:r w:rsidR="005475DB" w:rsidRPr="006B044F">
        <w:t xml:space="preserve"> </w:t>
      </w:r>
      <w:r w:rsidR="00B65AC4" w:rsidRPr="006B044F">
        <w:t>O</w:t>
      </w:r>
      <w:r w:rsidR="005475DB" w:rsidRPr="006B044F">
        <w:t>ne study worked with individual leaves weighing approximately 4.5 g</w:t>
      </w:r>
      <w:r w:rsidR="00B65AC4" w:rsidRPr="006B044F">
        <w:t xml:space="preserve">, </w:t>
      </w:r>
      <w:r w:rsidR="00B65AC4" w:rsidRPr="00C73D75">
        <w:fldChar w:fldCharType="begin" w:fldLock="1"/>
      </w:r>
      <w:r w:rsidR="00274D82" w:rsidRPr="006B044F">
        <w:instrText>ADDIN CSL_CITATION {"citationItems":[{"id":"ITEM-1","itemData":{"DOI":"10.1002/ps.3250","ISSN":"1526-498X","PMID":"22262560","abstract":"BACKGROUND: The immediate lethality caused by spinosad has been widely studied on Spodoptera exigua (Hübner). However, long-term effects can also provide valuable information on insecticide toxic action. Here, the persistence of spinosad on Capsicum annuum L. foliage and the lethal and sublethal effects of greenhouse-aged foliar residues of this insecticide on third instars of S. exigua are reported.\\n\\nRESULTS: Foliage was collected at 0, 3, 5, 10, 20, 30, 40 and 50 days after application, and spinosad residues were measured. Residues decreased over time according to first-order kinetics. The average rate constant and half-life of disappearance were 4.44 × 10(-3) and 156 days and 5.80 × 10(-3) and 120 days for 60 and 120 mg L(-1) respectively. Larval mortality gradually decreased, corresponding to the residues, but was still appreciable (35 and 65% for 60 and 120 mg L(-1) respectively) when the larvae were fed with foliage collected 50 days after treatment. Subsequently, pupal development was reduced and varied between 20 and 60% and between 21 and 41% for 60 and 120 mg L(-1) , respectively, in all ages of leaf residues that were bioassayed. At all time points, the consumption rate by the larvae was reduced between 62 and 84% for both concentrations that were bioassayed.\\n\\nCONCLUSION: It is concluded that, under the present greenhouse conditions, the degradation of spinosad was slower than that reported by other authors in the field, and, because of that, its residues could cause lethal and sublethal effects to S. exigua larvae.","author":[{"dropping-particle":"","family":"Sántis","given":"Erika L.","non-dropping-particle":"","parse-names":false,"suffix":""},{"dropping-particle":"","family":"Hernández","given":"Luis A.","non-dropping-particle":"","parse-names":false,"suffix":""},{"dropping-particle":"","family":"Martínez","given":"Ana M.","non-dropping-particle":"","parse-names":false,"suffix":""},{"dropping-particle":"","family":"Campos","given":"Jesús","non-dropping-particle":"","parse-names":false,"suffix":""},{"dropping-particle":"","family":"Figueroa","given":"José I","non-dropping-particle":"","parse-names":false,"suffix":""},{"dropping-particle":"","family":"Lobit","given":"Philippe","non-dropping-particle":"","parse-names":false,"suffix":""},{"dropping-particle":"","family":"Chavarrieta","given":"Juan M.","non-dropping-particle":"","parse-names":false,"suffix":""},{"dropping-particle":"","family":"Vinuela","given":"Elisa","non-dropping-particle":"","parse-names":false,"suffix":""},{"dropping-particle":"","family":"Smagghe","given":"Guy","non-dropping-particle":"","parse-names":false,"suffix":""},{"dropping-particle":"","family":"Pineda","given":"Samuel","non-dropping-particle":"","parse-names":false,"suffix":""}],"container-title":"Pest Management Science","id":"ITEM-1","issue":"6","issued":{"date-parts":[["2012"]]},"note":"From Duplicate 1 (Long-term foliar persistence and efficacy of spinosad against beet armyworm under greenhouse conditions - Santis, Erika L; Hernandez, Luis A; Martinez, Ana M; Campos, Jesus; Figueroa, Jose I; Lobit, Philippe; Chavarrieta, Juan M; Vinuela, Elisa; Smagghe, Guy; Pineda, Samuel)\n\nTimes Cited: 2\n0\n2","page":"914-921","title":"Long-term foliar persistence and efficacy of spinosad against beet armyworm under greenhouse conditions","type":"article-journal","volume":"68"},"uris":["http://www.mendeley.com/documents/?uuid=0cec251c-7847-4933-abea-e4247bf0b367"]}],"mendeley":{"formattedCitation":"&lt;sup&gt;21&lt;/sup&gt;","plainTextFormattedCitation":"21","previouslyFormattedCitation":"&lt;sup&gt;21&lt;/sup&gt;"},"properties":{"noteIndex":0},"schema":"https://github.com/citation-style-language/schema/raw/master/csl-citation.json"}</w:instrText>
      </w:r>
      <w:r w:rsidR="00B65AC4" w:rsidRPr="00C73D75">
        <w:fldChar w:fldCharType="separate"/>
      </w:r>
      <w:r w:rsidR="00676545" w:rsidRPr="006B044F">
        <w:rPr>
          <w:noProof/>
          <w:vertAlign w:val="superscript"/>
        </w:rPr>
        <w:t>21</w:t>
      </w:r>
      <w:r w:rsidR="00B65AC4" w:rsidRPr="00C73D75">
        <w:fldChar w:fldCharType="end"/>
      </w:r>
      <w:r w:rsidR="00B65AC4" w:rsidRPr="006B044F">
        <w:t xml:space="preserve"> though apple leaves are typically smaller</w:t>
      </w:r>
      <w:r w:rsidR="00155EE4" w:rsidRPr="006B044F">
        <w:t>.</w:t>
      </w:r>
      <w:r w:rsidR="005475DB" w:rsidRPr="006B044F">
        <w:t xml:space="preserve"> </w:t>
      </w:r>
      <w:r w:rsidR="00F05E61" w:rsidRPr="006B044F">
        <w:t xml:space="preserve"> </w:t>
      </w:r>
      <w:r w:rsidR="00773220" w:rsidRPr="006B044F">
        <w:t>A recently developed method is able to map pesticide residues on individual wheat leaves</w:t>
      </w:r>
      <w:r w:rsidR="00B32B1E" w:rsidRPr="006B044F">
        <w:t xml:space="preserve"> using MALDI-MS</w:t>
      </w:r>
      <w:r w:rsidR="00155EE4" w:rsidRPr="006B044F">
        <w:t>,</w:t>
      </w:r>
      <w:r w:rsidR="00773220" w:rsidRPr="006B044F">
        <w:t xml:space="preserve"> </w:t>
      </w:r>
      <w:r w:rsidR="00F05E61" w:rsidRPr="00C73D75">
        <w:fldChar w:fldCharType="begin" w:fldLock="1"/>
      </w:r>
      <w:r w:rsidR="00274D82" w:rsidRPr="006B044F">
        <w:instrText>ADDIN CSL_CITATION {"citationItems":[{"id":"ITEM-1","itemData":{"DOI":"10.1021/es506334y","ISSN":"15205851","PMID":"25830667","abstract":"Improved retention and distribution of agrochemicals on plant surfaces is an important attribute in the biological activity of pesticide. Although retention of agrochemicals on plants after spray application can be quantified using traditional analytical techniques including LC or GC, the spatial distribution of agrochemicals on the plants surfaces has received little attention. Matrix assisted laser desorption/ionization (MALDI) imaging technology has been widely used to determine the distribution of proteins, peptides and metabolites in different tissue sections, but its application to environmental research has been limited. Herein, we probed the potential utility of MALDI imaging in characterizing the distribution of three commercial fungicides on wheat leaf surfaces. Using this MALDI imaging method, we were able to detect 500 ng of epoxiconazole, azoxystrobin, and pyraclostrobin applied in 1 μL drop on the leaf surfaces using MALDI-MS. Subsequent dilutions of pyraclostrobin revealed that the compound can be chemically imaged on the leaf surfaces at levels as low as 60 ng of total applied in the area of 1 μL droplet. After application of epoxiconazole, azoxystrobin, and pyraclostrobin at a field rate of 100 gai/ha in 200 L water using a track sprayer system, residues of these fungicides on the leaf surfaces were sufficiently visualized. These results suggest that MALDI imaging can be used to monitor spatial distribution of agrochemicals on leaf samples after pesticide application.","author":[{"dropping-particle":"","family":"Annangudi","given":"Suresh P.","non-dropping-particle":"","parse-names":false,"suffix":""},{"dropping-particle":"","family":"Myung","given":"Kyung","non-dropping-particle":"","parse-names":false,"suffix":""},{"dropping-particle":"","family":"Avila Adame","given":"Cruz","non-dropping-particle":"","parse-names":false,"suffix":""},{"dropping-particle":"","family":"Gilbert","given":"Jeffrey R.","non-dropping-particle":"","parse-names":false,"suffix":""}],"container-title":"Environmental Science and Technology","id":"ITEM-1","issue":"9","issued":{"date-parts":[["2015"]]},"page":"5579-5583","title":"MALDI-MS imaging analysis of fungicide residue distributions on wheat leaf surfaces","type":"article-journal","volume":"49"},"uris":["http://www.mendeley.com/documents/?uuid=e1df0e56-44be-4556-9156-4487caabf7d6"]}],"mendeley":{"formattedCitation":"&lt;sup&gt;22&lt;/sup&gt;","plainTextFormattedCitation":"22","previouslyFormattedCitation":"&lt;sup&gt;22&lt;/sup&gt;"},"properties":{"noteIndex":0},"schema":"https://github.com/citation-style-language/schema/raw/master/csl-citation.json"}</w:instrText>
      </w:r>
      <w:r w:rsidR="00F05E61" w:rsidRPr="00C73D75">
        <w:fldChar w:fldCharType="separate"/>
      </w:r>
      <w:r w:rsidR="00676545" w:rsidRPr="006B044F">
        <w:rPr>
          <w:noProof/>
          <w:vertAlign w:val="superscript"/>
        </w:rPr>
        <w:t>22</w:t>
      </w:r>
      <w:r w:rsidR="00F05E61" w:rsidRPr="00C73D75">
        <w:fldChar w:fldCharType="end"/>
      </w:r>
      <w:r w:rsidR="00F05E61" w:rsidRPr="006B044F">
        <w:t xml:space="preserve"> </w:t>
      </w:r>
      <w:r w:rsidR="00773220" w:rsidRPr="006B044F">
        <w:t>and this method shows promise but has limitations</w:t>
      </w:r>
      <w:r w:rsidR="00B829CE" w:rsidRPr="006B044F">
        <w:t xml:space="preserve"> such as inaccuracies when working with dense spray coverage</w:t>
      </w:r>
      <w:r w:rsidR="00D31CBE" w:rsidRPr="006B044F">
        <w:t>,</w:t>
      </w:r>
      <w:r w:rsidR="00773220" w:rsidRPr="006B044F">
        <w:t xml:space="preserve"> </w:t>
      </w:r>
      <w:r w:rsidR="00F05E61" w:rsidRPr="00C73D75">
        <w:fldChar w:fldCharType="begin" w:fldLock="1"/>
      </w:r>
      <w:r w:rsidR="00274D82" w:rsidRPr="006B044F">
        <w:instrText>ADDIN CSL_CITATION {"citationItems":[{"id":"ITEM-1","itemData":{"DOI":"10.1021/acs.est.5b02513","ISSN":"0013-936X","author":[{"dropping-particle":"","family":"Dong","given":"D","non-dropping-particle":"","parse-names":false,"suffix":""},{"dropping-particle":"","family":"Zheng","given":"W","non-dropping-particle":"","parse-names":false,"suffix":""},{"dropping-particle":"","family":"Zhao","given":"C","non-dropping-particle":"","parse-names":false,"suffix":""}],"container-title":"Environmental Science &amp; Technology","id":"ITEM-1","issue":"17","issued":{"date-parts":[["2015"]]},"page":"10745-10746","title":"Comment on “MALDI-MS Imaging Analysis of Fungicide Residue Distributions on Wheat Leaf Surfaces”","type":"article-journal","volume":"49"},"uris":["http://www.mendeley.com/documents/?uuid=5b540993-4905-47b4-b057-78700d783f16"]}],"mendeley":{"formattedCitation":"&lt;sup&gt;23&lt;/sup&gt;","plainTextFormattedCitation":"23","previouslyFormattedCitation":"&lt;sup&gt;23&lt;/sup&gt;"},"properties":{"noteIndex":0},"schema":"https://github.com/citation-style-language/schema/raw/master/csl-citation.json"}</w:instrText>
      </w:r>
      <w:r w:rsidR="00F05E61" w:rsidRPr="00C73D75">
        <w:fldChar w:fldCharType="separate"/>
      </w:r>
      <w:r w:rsidR="00676545" w:rsidRPr="006B044F">
        <w:rPr>
          <w:noProof/>
          <w:vertAlign w:val="superscript"/>
        </w:rPr>
        <w:t>23</w:t>
      </w:r>
      <w:r w:rsidR="00F05E61" w:rsidRPr="00C73D75">
        <w:fldChar w:fldCharType="end"/>
      </w:r>
      <w:r w:rsidR="000667CE" w:rsidRPr="006B044F">
        <w:t xml:space="preserve"> access to such instruments and operational costs.</w:t>
      </w:r>
      <w:r w:rsidR="00F05E61" w:rsidRPr="006B044F">
        <w:t xml:space="preserve"> </w:t>
      </w:r>
      <w:r w:rsidR="00B829CE" w:rsidRPr="006B044F">
        <w:t>T</w:t>
      </w:r>
      <w:r w:rsidR="001A5A7C" w:rsidRPr="006B044F">
        <w:t>herefore, t</w:t>
      </w:r>
      <w:r w:rsidR="00B829CE" w:rsidRPr="006B044F">
        <w:t>o</w:t>
      </w:r>
      <w:r w:rsidR="005475DB" w:rsidRPr="006B044F">
        <w:t xml:space="preserve"> investigate pesticide residues at spatia</w:t>
      </w:r>
      <w:r w:rsidR="005873F3" w:rsidRPr="006B044F">
        <w:t>l scales relevant to predatory arthropods</w:t>
      </w:r>
      <w:r w:rsidR="003B55ED" w:rsidRPr="006B044F">
        <w:t xml:space="preserve">, </w:t>
      </w:r>
      <w:r w:rsidR="00B829CE" w:rsidRPr="006B044F">
        <w:t>c</w:t>
      </w:r>
      <w:r w:rsidR="00773220" w:rsidRPr="006B044F">
        <w:t xml:space="preserve">onventional </w:t>
      </w:r>
      <w:r w:rsidR="003B55ED" w:rsidRPr="006B044F">
        <w:t>residue testing methods need to</w:t>
      </w:r>
      <w:r w:rsidR="00773220" w:rsidRPr="006B044F">
        <w:t xml:space="preserve"> be adapted to</w:t>
      </w:r>
      <w:r w:rsidR="003B55ED" w:rsidRPr="006B044F">
        <w:t xml:space="preserve"> </w:t>
      </w:r>
      <w:r w:rsidR="00773220" w:rsidRPr="006B044F">
        <w:t>the scale of individual leaves.</w:t>
      </w:r>
    </w:p>
    <w:p w14:paraId="55C9C520" w14:textId="1AEF407A" w:rsidR="00F05E61" w:rsidRPr="006B044F" w:rsidRDefault="003B55ED" w:rsidP="00400100">
      <w:pPr>
        <w:spacing w:line="480" w:lineRule="auto"/>
      </w:pPr>
      <w:r w:rsidRPr="006B044F">
        <w:t>One method that has been widely applied to the study of pesticide spray patterns is the use of wa</w:t>
      </w:r>
      <w:r w:rsidR="00721668" w:rsidRPr="006B044F">
        <w:t>ter sensitive paper</w:t>
      </w:r>
      <w:r w:rsidR="00155EE4" w:rsidRPr="006B044F">
        <w:t>.</w:t>
      </w:r>
      <w:r w:rsidR="00DA3899" w:rsidRPr="006B044F">
        <w:t xml:space="preserve"> </w:t>
      </w:r>
      <w:r w:rsidR="00F05E61" w:rsidRPr="00C73D75">
        <w:fldChar w:fldCharType="begin" w:fldLock="1"/>
      </w:r>
      <w:r w:rsidR="00274D82" w:rsidRPr="006B044F">
        <w:instrText>ADDIN CSL_CITATION {"citationItems":[{"id":"ITEM-1","itemData":{"ISSN":"0021-4914","author":[{"dropping-particle":"","family":"Kunimoto","given":"Y","non-dropping-particle":"","parse-names":false,"suffix":""},{"dropping-particle":"","family":"Inoue","given":"M","non-dropping-particle":"","parse-names":false,"suffix":""}],"container-title":"Japanese Journal of Applied Entomology and Zoology","id":"ITEM-1","issue":"1","issued":{"date-parts":[["1997"]]},"note":"Times Cited: 1\nKunimoto, Y Inoue, M\n1","page":"51-54","title":"Relationship between acaricide deposition index measured using water-sensitive paper and mite mortality","type":"article-journal","volume":"41"},"uris":["http://www.mendeley.com/documents/?uuid=579fff12-d7f4-441d-a08e-b2a0e6b433a2"]},{"id":"ITEM-2","itemData":{"DOI":"10.1897/1551-5028(2000)019&lt;2987:eotgci&gt;2.0.co;2","ISSN":"0730-7268","author":[{"dropping-particle":"","family":"Martin","given":"P A","non-dropping-particle":"","parse-names":false,"suffix":""},{"dropping-particle":"","family":"Johnson","given":"D L","non-dropping-particle":"","parse-names":false,"suffix":""},{"dropping-particle":"","family":"Forsyth","given":"D J","non-dropping-particle":"","parse-names":false,"suffix":""},{"dropping-particle":"","family":"Hill","given":"B D","non-dropping-particle":"","parse-names":false,"suffix":""}],"container-title":"Environmental Toxicology and Chemistry","id":"ITEM-2","issue":"12","issued":{"date-parts":[["2000"]]},"note":"Times Cited: 16\n0\n17","page":"2987-2996","title":"Effects of two grasshopper control insecticides on food resources and reproductive success of two species of grassland songbirds","type":"article-journal","volume":"19"},"uris":["http://www.mendeley.com/documents/?uuid=5a6182e2-9d7b-4482-b949-ba019e483085"]},{"id":"ITEM-3","itemData":{"DOI":"10.1603/ec10452","ISSN":"0022-0493","author":[{"dropping-particle":"","family":"Nansen","given":"C","non-dropping-particle":"","parse-names":false,"suffix":""},{"dropping-particle":"","family":"Vaughn","given":"K","non-dropping-particle":"","parse-names":false,"suffix":""},{"dropping-particle":"","family":"Xue","given":"Y E","non-dropping-particle":"","parse-names":false,"suffix":""},{"dropping-particle":"","family":"Rush","given":"C","non-dropping-particle":"","parse-names":false,"suffix":""},{"dropping-particle":"","family":"Workneh","given":"F","non-dropping-particle":"","parse-names":false,"suffix":""},{"dropping-particle":"","family":"Goolsby","given":"J","non-dropping-particle":"","parse-names":false,"suffix":""},{"dropping-particle":"","family":"Troxclair","given":"N","non-dropping-particle":"","parse-names":false,"suffix":""},{"dropping-particle":"","family":"Anciso","given":"J","non-dropping-particle":"","parse-names":false,"suffix":""},{"dropping-particle":"","family":"Gregory","given":"A","non-dropping-particle":"","parse-names":false,"suffix":""},{"dropping-particle":"","family":"Holman","given":"D","non-dropping-particle":"","parse-names":false,"suffix":""},{"dropping-particle":"","family":"Hammond","given":"A","non-dropping-particle":"","parse-names":false,"suffix":""},{"dropping-particle":"","family":"Mirkov","given":"E","non-dropping-particle":"","parse-names":false,"suffix":""},{"dropping-particle":"","family":"Tantravahi","given":"P","non-dropping-particle":"","parse-names":false,"suffix":""},{"dropping-particle":"","family":"Martini","given":"X","non-dropping-particle":"","parse-names":false,"suffix":""}],"container-title":"Journal of Economic Entomology","id":"ITEM-3","issue":"4","issued":{"date-parts":[["2011"]]},"note":"Times Cited: 3\nNansen, Christian Vaughn, Kathy Xue, Yingen Rush, Charlie Workneh, Fekede Goolsby, John Troxclair, Noel Anciso, Juan Gregory, Ashley Holman, Daniel Hammond, Abby Mirkov, Erik Tantravahi, Pratyusha Martini, Xavier\nMartini, Xavier/E-7709-2012\n3","page":"1138-1145","title":"A Decision-Support Tool to Predict Spray Deposition of Insecticides in Commercial Potato Fields and Its Implications for Their Performance","type":"article-journal","volume":"104"},"uris":["http://www.mendeley.com/documents/?uuid=177f661e-7fc2-4b07-8b5e-1b300dedf564"]}],"mendeley":{"formattedCitation":"&lt;sup&gt;24–26&lt;/sup&gt;","plainTextFormattedCitation":"24–26","previouslyFormattedCitation":"&lt;sup&gt;24–26&lt;/sup&gt;"},"properties":{"noteIndex":0},"schema":"https://github.com/citation-style-language/schema/raw/master/csl-citation.json"}</w:instrText>
      </w:r>
      <w:r w:rsidR="00F05E61" w:rsidRPr="00C73D75">
        <w:fldChar w:fldCharType="separate"/>
      </w:r>
      <w:r w:rsidR="00676545" w:rsidRPr="006B044F">
        <w:rPr>
          <w:noProof/>
          <w:vertAlign w:val="superscript"/>
        </w:rPr>
        <w:t>24–26</w:t>
      </w:r>
      <w:r w:rsidR="00F05E61" w:rsidRPr="00C73D75">
        <w:fldChar w:fldCharType="end"/>
      </w:r>
      <w:r w:rsidR="00F05E61" w:rsidRPr="006B044F">
        <w:t xml:space="preserve"> </w:t>
      </w:r>
      <w:r w:rsidR="004E4CBE" w:rsidRPr="006B044F">
        <w:t>Water-sensitive paper is yellow</w:t>
      </w:r>
      <w:r w:rsidR="00B32B1E" w:rsidRPr="006B044F">
        <w:t xml:space="preserve"> card</w:t>
      </w:r>
      <w:r w:rsidR="00721668" w:rsidRPr="006B044F">
        <w:t xml:space="preserve"> </w:t>
      </w:r>
      <w:r w:rsidR="00077FB8" w:rsidRPr="006B044F">
        <w:t>that is</w:t>
      </w:r>
      <w:r w:rsidR="00721668" w:rsidRPr="006B044F">
        <w:t xml:space="preserve"> coated </w:t>
      </w:r>
      <w:r w:rsidR="00077FB8" w:rsidRPr="006B044F">
        <w:t xml:space="preserve">on one surface </w:t>
      </w:r>
      <w:r w:rsidR="00721668" w:rsidRPr="006B044F">
        <w:t xml:space="preserve">with </w:t>
      </w:r>
      <w:r w:rsidR="00DA3899" w:rsidRPr="006B044F">
        <w:t>bromop</w:t>
      </w:r>
      <w:r w:rsidR="00721668" w:rsidRPr="006B044F">
        <w:t>he</w:t>
      </w:r>
      <w:r w:rsidR="00DA3899" w:rsidRPr="006B044F">
        <w:t xml:space="preserve">nol blue, a compound that turns </w:t>
      </w:r>
      <w:r w:rsidR="005268DF" w:rsidRPr="006B044F">
        <w:t xml:space="preserve">from yellow to </w:t>
      </w:r>
      <w:r w:rsidR="00DA3899" w:rsidRPr="006B044F">
        <w:t>blue on contact with water</w:t>
      </w:r>
      <w:r w:rsidR="00077FB8" w:rsidRPr="006B044F">
        <w:t xml:space="preserve"> and retains </w:t>
      </w:r>
      <w:r w:rsidR="005268DF" w:rsidRPr="006B044F">
        <w:t xml:space="preserve">this colour once dry, </w:t>
      </w:r>
      <w:r w:rsidR="001A5A7C" w:rsidRPr="006B044F">
        <w:t xml:space="preserve">thus </w:t>
      </w:r>
      <w:r w:rsidR="005268DF" w:rsidRPr="006B044F">
        <w:t>creating a stain</w:t>
      </w:r>
      <w:r w:rsidR="00155EE4" w:rsidRPr="006B044F">
        <w:t>.</w:t>
      </w:r>
      <w:r w:rsidR="00DA3899" w:rsidRPr="006B044F">
        <w:t xml:space="preserve"> </w:t>
      </w:r>
      <w:r w:rsidR="00F05E61" w:rsidRPr="00C73D75">
        <w:fldChar w:fldCharType="begin" w:fldLock="1"/>
      </w:r>
      <w:r w:rsidR="00274D82" w:rsidRPr="006B044F">
        <w:instrText>ADDIN CSL_CITATION {"citationItems":[{"id":"ITEM-1","itemData":{"DOI":"10.1016/0021-8634(70)90099-5","ISSN":"0021-8634","author":[{"dropping-particle":"","family":"Turner","given":"C R","non-dropping-particle":"","parse-names":false,"suffix":""},{"dropping-particle":"","family":"Huntington","given":"K A","non-dropping-particle":"","parse-names":false,"suffix":""}],"container-title":"Journal of Agricultural Engineering Research","id":"ITEM-1","issue":"4","issued":{"date-parts":[["1970"]]},"note":"Times Cited: 15\nTurner, cr huntingt.ka\n15","page":"385-&amp;","title":"USE OF A WATER SENSITIVE DYE FOR DETECTION AND ASSESSMENT OF SMALL SPRAY DROPLETS","type":"article-journal","volume":"15"},"uris":["http://www.mendeley.com/documents/?uuid=be5262fb-f164-4edf-8efc-cd51239cb2ad"]}],"mendeley":{"formattedCitation":"&lt;sup&gt;27&lt;/sup&gt;","plainTextFormattedCitation":"27","previouslyFormattedCitation":"&lt;sup&gt;27&lt;/sup&gt;"},"properties":{"noteIndex":0},"schema":"https://github.com/citation-style-language/schema/raw/master/csl-citation.json"}</w:instrText>
      </w:r>
      <w:r w:rsidR="00F05E61" w:rsidRPr="00C73D75">
        <w:fldChar w:fldCharType="separate"/>
      </w:r>
      <w:r w:rsidR="00676545" w:rsidRPr="006B044F">
        <w:rPr>
          <w:noProof/>
          <w:vertAlign w:val="superscript"/>
        </w:rPr>
        <w:t>27</w:t>
      </w:r>
      <w:r w:rsidR="00F05E61" w:rsidRPr="00C73D75">
        <w:fldChar w:fldCharType="end"/>
      </w:r>
      <w:r w:rsidR="00F05E61" w:rsidRPr="006B044F">
        <w:t xml:space="preserve"> </w:t>
      </w:r>
      <w:r w:rsidR="00077FB8" w:rsidRPr="006B044F">
        <w:t>As s</w:t>
      </w:r>
      <w:r w:rsidR="005268DF" w:rsidRPr="006B044F">
        <w:t xml:space="preserve">uch, these cards can be used </w:t>
      </w:r>
      <w:r w:rsidR="00077FB8" w:rsidRPr="006B044F">
        <w:t>to evaluate spray patterns</w:t>
      </w:r>
      <w:r w:rsidR="005268DF" w:rsidRPr="006B044F">
        <w:t xml:space="preserve"> as long as the pesticide spray mixture contains water</w:t>
      </w:r>
      <w:r w:rsidR="00155EE4" w:rsidRPr="006B044F">
        <w:t>.</w:t>
      </w:r>
      <w:r w:rsidR="00F05E61" w:rsidRPr="006B044F">
        <w:t xml:space="preserve"> </w:t>
      </w:r>
      <w:r w:rsidR="00F05E61" w:rsidRPr="00C73D75">
        <w:fldChar w:fldCharType="begin" w:fldLock="1"/>
      </w:r>
      <w:r w:rsidR="00274D82" w:rsidRPr="006B044F">
        <w:instrText>ADDIN CSL_CITATION {"citationItems":[{"id":"ITEM-1","itemData":{"DOI":"10.1016/j.biosystemseng.2011.10.002","ISBN":"1537-5110","ISSN":"15375110","abstract":"The performance of several commercial and experimental software packages (Gotas, StainMaster, ImageTool, StainAnalysis, AgroScan, DropletScan and Spray_imageI and II) that produce indicators of crop spraying quality based on the image processing of water-sensitive papers used as artificial targets were compared against known coverage, droplet size spectra and class size distribution verified through manual counting. A number of artificial targets used to test the software were obtained by controlled spray applications and given droplet density between 14 and 108 drops cm -2 and a wide range of droplet size spectra. The results showed that artificial targets coupled with an appropriate image system can be an accurate technique to compute spray parameters. The between-methods differences were 6.7% for droplet density, 11.5% for volume median diameter, &lt;3% for coverage (%) and &lt;3% coverage density. For the 16 droplet class size distribution tested the between-methods differences were all &lt;15%. However, most of the image analysis systems were not effective in accurately measuring coverage density when coverage rate is greater than about 17%. The Spray_imageII software estimated the coverage density with a mean absolute error of 2% and the absolute error is below 10%, even with about 43% of coverage rate. This software, when compared to the other programmes tested, provided the best accuracy for coverage and droplet size spectrum as well as for droplet class size distribution. ?? 2011 IAgrE.","author":[{"dropping-particle":"","family":"Cunha","given":"Mario","non-dropping-particle":"","parse-names":false,"suffix":""},{"dropping-particle":"","family":"Carvalho","given":"Claudia","non-dropping-particle":"","parse-names":false,"suffix":""},{"dropping-particle":"","family":"Marcal","given":"Andre R S","non-dropping-particle":"","parse-names":false,"suffix":""}],"container-title":"Biosystems Engineering","id":"ITEM-1","issue":"1","issued":{"date-parts":[["2012"]]},"note":"From Duplicate 2 (Assessing the ability of image processing software to analyse spray quality on water-sensitive papers used as artificial targets - Cunha, M; Carvalho, C; Marcal, A R S)\n\nTimes Cited: 2\nCunha, Mario Carvalho, Claudia Marcal, Andre R. S.\nMARCAL, ANDRE/F-6230-2013; Cunha, Mario/G-2228-2011\nMARCAL, ANDRE/0000-0002-8501-0974;\n2","page":"11-23","publisher":"IAgrE","title":"Assessing the ability of image processing software to analyse spray quality on water-sensitive papers used as artificial targets","type":"article-journal","volume":"111"},"uris":["http://www.mendeley.com/documents/?uuid=0c563853-7a76-4585-82c5-b04853a5c365"]}],"mendeley":{"formattedCitation":"&lt;sup&gt;28&lt;/sup&gt;","plainTextFormattedCitation":"28","previouslyFormattedCitation":"&lt;sup&gt;28&lt;/sup&gt;"},"properties":{"noteIndex":0},"schema":"https://github.com/citation-style-language/schema/raw/master/csl-citation.json"}</w:instrText>
      </w:r>
      <w:r w:rsidR="00F05E61" w:rsidRPr="00C73D75">
        <w:fldChar w:fldCharType="separate"/>
      </w:r>
      <w:r w:rsidR="00676545" w:rsidRPr="006B044F">
        <w:rPr>
          <w:noProof/>
          <w:vertAlign w:val="superscript"/>
        </w:rPr>
        <w:t>28</w:t>
      </w:r>
      <w:r w:rsidR="00F05E61" w:rsidRPr="00C73D75">
        <w:fldChar w:fldCharType="end"/>
      </w:r>
      <w:r w:rsidR="00F05E61" w:rsidRPr="006B044F">
        <w:t xml:space="preserve"> </w:t>
      </w:r>
      <w:r w:rsidR="00077FB8" w:rsidRPr="006B044F">
        <w:t xml:space="preserve">Water sensitive paper has received a lot of attention from researchers who have developed methods for assessing </w:t>
      </w:r>
      <w:r w:rsidR="00822DB2" w:rsidRPr="006B044F">
        <w:t xml:space="preserve">spray quality </w:t>
      </w:r>
      <w:r w:rsidR="00077FB8" w:rsidRPr="006B044F">
        <w:t>manually using either a microscope</w:t>
      </w:r>
      <w:r w:rsidR="001D50D2" w:rsidRPr="006B044F">
        <w:t xml:space="preserve">, or by scanning and </w:t>
      </w:r>
      <w:r w:rsidR="00D455D6" w:rsidRPr="006B044F">
        <w:t>magnifying</w:t>
      </w:r>
      <w:r w:rsidR="001D50D2" w:rsidRPr="006B044F">
        <w:t xml:space="preserve"> the image</w:t>
      </w:r>
      <w:r w:rsidR="00077FB8" w:rsidRPr="006B044F">
        <w:t xml:space="preserve"> to evaluate cards</w:t>
      </w:r>
      <w:r w:rsidR="001D50D2" w:rsidRPr="006B044F">
        <w:t xml:space="preserve"> by eye</w:t>
      </w:r>
      <w:r w:rsidR="004462F4" w:rsidRPr="006B044F">
        <w:t>, though these are time consuming</w:t>
      </w:r>
      <w:r w:rsidR="00155EE4" w:rsidRPr="006B044F">
        <w:t>.</w:t>
      </w:r>
      <w:r w:rsidR="00F05E61" w:rsidRPr="006B044F">
        <w:t xml:space="preserve"> </w:t>
      </w:r>
      <w:r w:rsidR="00F05E61" w:rsidRPr="00C73D75">
        <w:fldChar w:fldCharType="begin" w:fldLock="1"/>
      </w:r>
      <w:r w:rsidR="00274D82" w:rsidRPr="006B044F">
        <w:instrText>ADDIN CSL_CITATION {"citationItems":[{"id":"ITEM-1","itemData":{"DOI":"10.1093/jee/82.3.974","ISSN":"0022-0493","author":[{"dropping-particle":"","family":"Hill","given":"B. D.","non-dropping-particle":"","parse-names":false,"suffix":""},{"dropping-particle":"","family":"Inaba","given":"D. J.","non-dropping-particle":"","parse-names":false,"suffix":""}],"container-title":"Journal of Economic Entomology","id":"ITEM-1","issue":"3","issued":{"date-parts":[["1989","6","1"]]},"page":"974-980","publisher":"Oxford University Press","title":"Use of Water-Sensitive Paper to Monitor the Deposition of Aerially Applied Insecticides","type":"article-journal","volume":"82"},"uris":["http://www.mendeley.com/documents/?uuid=b2231052-0e3d-3812-9625-eaa821efe571"]},{"id":"ITEM-2","itemData":{"DOI":"10.1590/s0100-204x2002000400010","ISSN":"0100-204X","author":[{"dropping-particle":"","family":"Chaim","given":"A","non-dropping-particle":"","parse-names":false,"suffix":""},{"dropping-particle":"","family":"Pessoa","given":"Mcpy","non-dropping-particle":"","parse-names":false,"suffix":""},{"dropping-particle":"","family":"Neto","given":"J C","non-dropping-particle":"","parse-names":false,"suffix":""},{"dropping-particle":"","family":"Hermes","given":"L C","non-dropping-particle":"","parse-names":false,"suffix":""}],"container-title":"Pesquisa Agropecuaria Brasileira","id":"ITEM-2","issue":"4","issued":{"date-parts":[["2002"]]},"note":"Times Cited: 3\nPessoa, Maria Conceicao/C-4322-2014\n0\n3","page":"493-496","title":"Comparison of microscopic method and computational program for pesticide deposition evaluation of spraying","type":"article-journal","volume":"37"},"uris":["http://www.mendeley.com/documents/?uuid=7aa0474e-699c-498f-b000-114a4f821575"]},{"id":"ITEM-3","itemData":{"ISBN":"0001-2351","ISSN":"00012351","abstract":"Various distribution patterns of spray droplets were simulated with autoketch V.2 software and image of specks were printed on a LaserJet printer. The specks were studied with a Dapple systems image analyzer and image plus + software. The objective were evaluating the utility of image analysis for deposition assessment and determine the effects of image area speck size, and the number of specks on the accuracy of the measurements. The size of the image area, speck size, and the number of speck had significant effects on area coverage measurement. The accuracy of image analysis decreased as image area on speck size decreased or speck number increased. Image partitioning adversely affected the accuracy of the measurement.","author":[{"dropping-particle":"","family":"Salyani","given":"Masoud","non-dropping-particle":"","parse-names":false,"suffix":""},{"dropping-particle":"","family":"Fox","given":"Robert D.","non-dropping-particle":"","parse-names":false,"suffix":""}],"container-title":"Asae","id":"ITEM-3","issue":"4","issued":{"date-parts":[["1994"]]},"page":"1083-1089","title":"Performance of image analysis for assessment of simulated spray droplet distribution","type":"article","volume":"37"},"uris":["http://www.mendeley.com/documents/?uuid=13e24a1f-9e1f-4200-8f68-ad416db970d2"]}],"mendeley":{"formattedCitation":"&lt;sup&gt;29–31&lt;/sup&gt;","plainTextFormattedCitation":"29–31","previouslyFormattedCitation":"&lt;sup&gt;29–31&lt;/sup&gt;"},"properties":{"noteIndex":0},"schema":"https://github.com/citation-style-language/schema/raw/master/csl-citation.json"}</w:instrText>
      </w:r>
      <w:r w:rsidR="00F05E61" w:rsidRPr="00C73D75">
        <w:fldChar w:fldCharType="separate"/>
      </w:r>
      <w:r w:rsidR="00676545" w:rsidRPr="006B044F">
        <w:rPr>
          <w:noProof/>
          <w:vertAlign w:val="superscript"/>
        </w:rPr>
        <w:t>29–31</w:t>
      </w:r>
      <w:r w:rsidR="00F05E61" w:rsidRPr="00C73D75">
        <w:fldChar w:fldCharType="end"/>
      </w:r>
      <w:r w:rsidR="00F05E61" w:rsidRPr="006B044F">
        <w:t xml:space="preserve"> </w:t>
      </w:r>
      <w:r w:rsidR="00B829CE" w:rsidRPr="006B044F">
        <w:t>M</w:t>
      </w:r>
      <w:r w:rsidR="001D50D2" w:rsidRPr="006B044F">
        <w:t>ore recent technology has allowed for the development of automated, computer-based analysis of cards</w:t>
      </w:r>
      <w:r w:rsidR="00BC151C" w:rsidRPr="006B044F">
        <w:t>, with a number of programs available</w:t>
      </w:r>
      <w:r w:rsidR="00155EE4" w:rsidRPr="006B044F">
        <w:t>.</w:t>
      </w:r>
      <w:r w:rsidR="001D50D2" w:rsidRPr="006B044F">
        <w:t xml:space="preserve"> </w:t>
      </w:r>
      <w:r w:rsidR="00F05E61" w:rsidRPr="00C73D75">
        <w:fldChar w:fldCharType="begin" w:fldLock="1"/>
      </w:r>
      <w:r w:rsidR="00274D82" w:rsidRPr="006B044F">
        <w:instrText>ADDIN CSL_CITATION {"citationItems":[{"id":"ITEM-1","itemData":{"ISSN":"0883-8542","author":[{"dropping-particle":"","family":"Panneton","given":"B","non-dropping-particle":"","parse-names":false,"suffix":""}],"container-title":"Applied Engineering in Agriculture","id":"ITEM-1","issue":"2","issued":{"date-parts":[["2002"]]},"note":"Times Cited: 17\nPanneton, B\n17","page":"179-182","title":"Image analysis of water-sensitive cards for spray coverage experiments","type":"article-journal","volume":"18"},"uris":["http://www.mendeley.com/documents/?uuid=09cffdbf-29f7-4cf9-9819-6f85a91aa9df"]},{"id":"ITEM-2","itemData":{"ISSN":"0883-8542","author":[{"dropping-particle":"","family":"Wolf","given":"R E","non-dropping-particle":"","parse-names":false,"suffix":""}],"container-title":"Applied Engineering in Agriculture","id":"ITEM-2","issue":"5","issued":{"date-parts":[["2003"]]},"note":"Times Cited: 12\nWolf, RE\n13","page":"525-530","title":"Assessing the ability of DropletScan (TM) to analyze spray droplets from a ground operated sprayer","type":"article-journal","volume":"19"},"uris":["http://www.mendeley.com/documents/?uuid=ffbdfaa7-8905-46b4-96a3-ae54ab331432"]},{"id":"ITEM-3","itemData":{"DOI":"10.1016/j.compag.2011.01.003","ISSN":"01681699","abstract":"Preventing over- or under-spray applications on intended targets require a system to rapidly measure spray coverage and provide spray quality feedback information. A portable scanning system was developed that could quickly evaluate spray deposit distribution and coverage area on deposit collectors such as water sensitive paper or Kromekote\n                        ?? card. The system is integrated with a handheld business card scanner, deposit collectors, a laptop computer, and a custom-designed software package entitled \"DepositScan\" The software is composed of a set of custom plug-ins that are used by an image-processing program (ImageJ) to produce a number of measurements suitable for describing spray deposit distribution. The program worked with the handheld business card scanner to scan spray deposits on the collectors. After scanning the collectors, individual droplet sizes, their distributions, total droplet number, droplet density, amount of spray deposits, and percentage of spray coverage are displayed on the computer screen and saved in a spreadsheet. Spots smaller than 23.9??m are ignored by DepositScan when 2400dpi resolution was used. Observations of nominal size spots through a stereoscopic microscope verified the accuracy of the system, and demonstrated that because of pixel limitations, the accuracy of any image-processing program using the pixel recognition technique would decrease as the spot sizes decrease. The portable scanning system offers a convenient solution for on-the-spot evaluation of spray quality under various working conditions. ?? 2011 Elsevier B.V.","author":[{"dropping-particle":"","family":"Zhu","given":"Heping","non-dropping-particle":"","parse-names":false,"suffix":""},{"dropping-particle":"","family":"Salyani","given":"Masoud","non-dropping-particle":"","parse-names":false,"suffix":""},{"dropping-particle":"","family":"Fox","given":"Robert D.","non-dropping-particle":"","parse-names":false,"suffix":""}],"container-title":"Computers and Electronics in Agriculture","id":"ITEM-3","issue":"1","issued":{"date-parts":[["2011"]]},"page":"38-43","publisher":"Elsevier B.V.","title":"A portable scanning system for evaluation of spray deposit distribution","type":"article-journal","volume":"76"},"uris":["http://www.mendeley.com/documents/?uuid=5b0cdc15-aaa1-45dc-bbb4-2a72278581ea"]},{"id":"ITEM-4","itemData":{"DOI":"10.1007/s13593-015-0309-y","ISSN":"1774-0746","author":[{"dropping-particle":"","family":"Nansen","given":"Christian","non-dropping-particle":"","parse-names":false,"suffix":""},{"dropping-particle":"","family":"Ferguson","given":"J Connor","non-dropping-particle":"","parse-names":false,"suffix":""},{"dropping-particle":"","family":"Moore","given":"John","non-dropping-particle":"","parse-names":false,"suffix":""},{"dropping-particle":"","family":"Groves","given":"Lloyd","non-dropping-particle":"","parse-names":false,"suffix":""},{"dropping-particle":"","family":"Emery","given":"Rob","non-dropping-particle":"","parse-names":false,"suffix":""},{"dropping-particle":"","family":"Garel","given":"Nicolas","non-dropping-particle":"","parse-names":false,"suffix":""},{"dropping-particle":"","family":"Hewitt","given":"Andrew","non-dropping-particle":"","parse-names":false,"suffix":""}],"container-title":"Agronomy for Sustainable Development","id":"ITEM-4","issue":"3","issued":{"date-parts":[["2015"]]},"note":"Times Cited: 0\n0\n1773-0155","page":"1075-1085","title":"Optimizing pesticide spray coverage using a novel web and smartphone tool, SnapCard","type":"article-journal","volume":"35"},"uris":["http://www.mendeley.com/documents/?uuid=a78beb91-2465-4a82-ba2d-7e606881cd9c"]}],"mendeley":{"formattedCitation":"&lt;sup&gt;32–35&lt;/sup&gt;","plainTextFormattedCitation":"32–35","previouslyFormattedCitation":"&lt;sup&gt;32–35&lt;/sup&gt;"},"properties":{"noteIndex":0},"schema":"https://github.com/citation-style-language/schema/raw/master/csl-citation.json"}</w:instrText>
      </w:r>
      <w:r w:rsidR="00F05E61" w:rsidRPr="00C73D75">
        <w:fldChar w:fldCharType="separate"/>
      </w:r>
      <w:r w:rsidR="00676545" w:rsidRPr="006B044F">
        <w:rPr>
          <w:noProof/>
          <w:vertAlign w:val="superscript"/>
        </w:rPr>
        <w:t>32–35</w:t>
      </w:r>
      <w:r w:rsidR="00F05E61" w:rsidRPr="00C73D75">
        <w:fldChar w:fldCharType="end"/>
      </w:r>
      <w:r w:rsidR="00F05E61" w:rsidRPr="006B044F">
        <w:t xml:space="preserve"> </w:t>
      </w:r>
      <w:r w:rsidR="00BC151C" w:rsidRPr="006B044F">
        <w:t xml:space="preserve">Studies comparing the efficacy of computer-based programs against manual analysis of cards have found that a number of </w:t>
      </w:r>
      <w:r w:rsidR="00BC151C" w:rsidRPr="006B044F">
        <w:lastRenderedPageBreak/>
        <w:t xml:space="preserve">programs show strong correlations </w:t>
      </w:r>
      <w:r w:rsidR="004E4CBE" w:rsidRPr="006B044F">
        <w:t>with</w:t>
      </w:r>
      <w:r w:rsidR="00BC151C" w:rsidRPr="006B044F">
        <w:t xml:space="preserve"> </w:t>
      </w:r>
      <w:r w:rsidR="004E4CBE" w:rsidRPr="006B044F">
        <w:t>manual analysis when comparing droplet diameters, volumes and counts</w:t>
      </w:r>
      <w:r w:rsidR="00BC151C" w:rsidRPr="006B044F">
        <w:t xml:space="preserve"> computed from the same water sensitive paper cards</w:t>
      </w:r>
      <w:r w:rsidR="00155EE4" w:rsidRPr="006B044F">
        <w:t>.</w:t>
      </w:r>
      <w:r w:rsidR="00BC151C" w:rsidRPr="006B044F">
        <w:t xml:space="preserve"> </w:t>
      </w:r>
      <w:r w:rsidR="00400100" w:rsidRPr="00C73D75">
        <w:fldChar w:fldCharType="begin" w:fldLock="1"/>
      </w:r>
      <w:r w:rsidR="00274D82" w:rsidRPr="006B044F">
        <w:instrText>ADDIN CSL_CITATION {"citationItems":[{"id":"ITEM-1","itemData":{"ISSN":"0100-8358","author":[{"dropping-particle":"","family":"Cunha","given":"Jpar","non-dropping-particle":"","parse-names":false,"suffix":""},{"dropping-particle":"","family":"Farnese","given":"A C","non-dropping-particle":"","parse-names":false,"suffix":""},{"dropping-particle":"","family":"Olivet","given":"J J","non-dropping-particle":"","parse-names":false,"suffix":""}],"container-title":"Planta Daninha","id":"ITEM-1","issue":"3","issued":{"date-parts":[["2013"]]},"note":"Times Cited: 0\nCunha, J. P. A. R. Farnese, A. C. Olivet, J. J.\n0","page":"715-720","title":"COMPUTER PROGRAMS FOR ANALYSIS OF DROPLETS SPRAYED ON WATER SENSITIVE PAPERS","type":"article-journal","volume":"31"},"uris":["http://www.mendeley.com/documents/?uuid=27aa39c0-37af-4f2e-8b60-2dd8cfe8314b"]}],"mendeley":{"formattedCitation":"&lt;sup&gt;36&lt;/sup&gt;","plainTextFormattedCitation":"36","previouslyFormattedCitation":"&lt;sup&gt;36&lt;/sup&gt;"},"properties":{"noteIndex":0},"schema":"https://github.com/citation-style-language/schema/raw/master/csl-citation.json"}</w:instrText>
      </w:r>
      <w:r w:rsidR="00400100" w:rsidRPr="00C73D75">
        <w:fldChar w:fldCharType="separate"/>
      </w:r>
      <w:r w:rsidR="00676545" w:rsidRPr="006B044F">
        <w:rPr>
          <w:noProof/>
          <w:vertAlign w:val="superscript"/>
        </w:rPr>
        <w:t>36</w:t>
      </w:r>
      <w:r w:rsidR="00400100" w:rsidRPr="00C73D75">
        <w:fldChar w:fldCharType="end"/>
      </w:r>
      <w:r w:rsidR="005268DF" w:rsidRPr="006B044F">
        <w:t xml:space="preserve"> </w:t>
      </w:r>
      <w:r w:rsidR="006D03D5" w:rsidRPr="006B044F">
        <w:t>However</w:t>
      </w:r>
      <w:r w:rsidR="005268DF" w:rsidRPr="006B044F">
        <w:t>,</w:t>
      </w:r>
      <w:r w:rsidR="00822DB2" w:rsidRPr="006B044F">
        <w:t xml:space="preserve"> the authors found that there were </w:t>
      </w:r>
      <w:r w:rsidR="00B829CE" w:rsidRPr="006B044F">
        <w:t>d</w:t>
      </w:r>
      <w:r w:rsidR="00822DB2" w:rsidRPr="006B044F">
        <w:t>ifferences</w:t>
      </w:r>
      <w:r w:rsidR="00B829CE" w:rsidRPr="006B044F">
        <w:t xml:space="preserve"> of up to 10.4 times</w:t>
      </w:r>
      <w:r w:rsidR="00822DB2" w:rsidRPr="006B044F">
        <w:t xml:space="preserve"> in </w:t>
      </w:r>
      <w:r w:rsidR="00B829CE" w:rsidRPr="006B044F">
        <w:t xml:space="preserve">droplet density </w:t>
      </w:r>
      <w:r w:rsidR="00822DB2" w:rsidRPr="006B044F">
        <w:t xml:space="preserve">values reported from different software packages, and thus suggest choosing one image analysis program and using it exclusively. Another comparison study found inconsistencies in </w:t>
      </w:r>
      <w:r w:rsidR="00B829CE" w:rsidRPr="006B044F">
        <w:t xml:space="preserve">relative droplet </w:t>
      </w:r>
      <w:r w:rsidR="000667CE" w:rsidRPr="006B044F">
        <w:t xml:space="preserve">diameter </w:t>
      </w:r>
      <w:r w:rsidR="00822DB2" w:rsidRPr="006B044F">
        <w:t>values reported by three different programs, but also found that factors</w:t>
      </w:r>
      <w:r w:rsidR="00B829CE" w:rsidRPr="006B044F">
        <w:t xml:space="preserve"> relating to 10</w:t>
      </w:r>
      <w:r w:rsidR="00B829CE" w:rsidRPr="006B044F">
        <w:rPr>
          <w:vertAlign w:val="superscript"/>
        </w:rPr>
        <w:t>th</w:t>
      </w:r>
      <w:r w:rsidR="00B829CE" w:rsidRPr="006B044F">
        <w:t>, 50</w:t>
      </w:r>
      <w:r w:rsidR="00B829CE" w:rsidRPr="006B044F">
        <w:rPr>
          <w:vertAlign w:val="superscript"/>
        </w:rPr>
        <w:t>th</w:t>
      </w:r>
      <w:r w:rsidR="00B829CE" w:rsidRPr="006B044F">
        <w:t xml:space="preserve"> and 90</w:t>
      </w:r>
      <w:r w:rsidR="00B829CE" w:rsidRPr="006B044F">
        <w:rPr>
          <w:vertAlign w:val="superscript"/>
        </w:rPr>
        <w:t>th</w:t>
      </w:r>
      <w:r w:rsidR="00B829CE" w:rsidRPr="006B044F">
        <w:t xml:space="preserve"> percentile diameters</w:t>
      </w:r>
      <w:r w:rsidR="00822DB2" w:rsidRPr="006B044F">
        <w:t xml:space="preserve"> </w:t>
      </w:r>
      <w:r w:rsidR="00B829CE" w:rsidRPr="006B044F">
        <w:t>(D</w:t>
      </w:r>
      <w:r w:rsidR="00B829CE" w:rsidRPr="006B044F">
        <w:rPr>
          <w:vertAlign w:val="subscript"/>
        </w:rPr>
        <w:t>V0.1</w:t>
      </w:r>
      <w:r w:rsidR="00B829CE" w:rsidRPr="006B044F">
        <w:t>, D</w:t>
      </w:r>
      <w:r w:rsidR="00B829CE" w:rsidRPr="006B044F">
        <w:rPr>
          <w:vertAlign w:val="subscript"/>
        </w:rPr>
        <w:t>V0.5</w:t>
      </w:r>
      <w:r w:rsidR="00B829CE" w:rsidRPr="006B044F">
        <w:t>, D</w:t>
      </w:r>
      <w:r w:rsidR="00B829CE" w:rsidRPr="006B044F">
        <w:rPr>
          <w:vertAlign w:val="subscript"/>
        </w:rPr>
        <w:t>V0.9</w:t>
      </w:r>
      <w:r w:rsidR="00B829CE" w:rsidRPr="006B044F">
        <w:t xml:space="preserve">) </w:t>
      </w:r>
      <w:r w:rsidR="00822DB2" w:rsidRPr="006B044F">
        <w:t>were consistent</w:t>
      </w:r>
      <w:r w:rsidR="00155EE4" w:rsidRPr="006B044F">
        <w:t>.</w:t>
      </w:r>
      <w:r w:rsidR="00822DB2" w:rsidRPr="006B044F">
        <w:t xml:space="preserve"> </w:t>
      </w:r>
      <w:r w:rsidR="00400100" w:rsidRPr="00C73D75">
        <w:fldChar w:fldCharType="begin" w:fldLock="1"/>
      </w:r>
      <w:r w:rsidR="00274D82" w:rsidRPr="006B044F">
        <w:instrText>ADDIN CSL_CITATION {"citationItems":[{"id":"ITEM-1","itemData":{"ISSN":"0883-8542","author":[{"dropping-particle":"","family":"Hoffmann","given":"W C","non-dropping-particle":"","parse-names":false,"suffix":""},{"dropping-particle":"","family":"Hewitt","given":"A J","non-dropping-particle":"","parse-names":false,"suffix":""}],"container-title":"Applied Engineering in Agriculture","id":"ITEM-1","issue":"6","issued":{"date-parts":[["2005"]]},"note":"Times Cited: 23\nHoffmann, WC Hewitt, AJ\n25","page":"961-964","title":"Comparison of three imaging systems for water-sensitive papers","type":"article-journal","volume":"21"},"uris":["http://www.mendeley.com/documents/?uuid=f780e706-7794-4c92-8daa-0a2d559ef705"]}],"mendeley":{"formattedCitation":"&lt;sup&gt;37&lt;/sup&gt;","plainTextFormattedCitation":"37","previouslyFormattedCitation":"&lt;sup&gt;37&lt;/sup&gt;"},"properties":{"noteIndex":0},"schema":"https://github.com/citation-style-language/schema/raw/master/csl-citation.json"}</w:instrText>
      </w:r>
      <w:r w:rsidR="00400100" w:rsidRPr="00C73D75">
        <w:fldChar w:fldCharType="separate"/>
      </w:r>
      <w:r w:rsidR="00676545" w:rsidRPr="006B044F">
        <w:rPr>
          <w:noProof/>
          <w:vertAlign w:val="superscript"/>
        </w:rPr>
        <w:t>37</w:t>
      </w:r>
      <w:r w:rsidR="00400100" w:rsidRPr="00C73D75">
        <w:fldChar w:fldCharType="end"/>
      </w:r>
    </w:p>
    <w:p w14:paraId="389C3B8F" w14:textId="6E694C25" w:rsidR="009E4795" w:rsidRPr="006B044F" w:rsidRDefault="009E4795" w:rsidP="00E01B9A">
      <w:pPr>
        <w:spacing w:line="480" w:lineRule="auto"/>
      </w:pPr>
      <w:r w:rsidRPr="006B044F">
        <w:t>While correlations</w:t>
      </w:r>
      <w:r w:rsidR="00F336B7" w:rsidRPr="006B044F">
        <w:t xml:space="preserve"> between manual and digital assessment of water sensitive papers</w:t>
      </w:r>
      <w:r w:rsidRPr="006B044F">
        <w:t xml:space="preserve"> were strong enough to prove that digital analysis </w:t>
      </w:r>
      <w:r w:rsidR="001A5A7C" w:rsidRPr="006B044F">
        <w:t xml:space="preserve">successfully emulated </w:t>
      </w:r>
      <w:r w:rsidRPr="006B044F">
        <w:t xml:space="preserve">manual analysis, this only </w:t>
      </w:r>
      <w:r w:rsidR="00846CA6" w:rsidRPr="006B044F">
        <w:t>showed that it was effective in assessing</w:t>
      </w:r>
      <w:r w:rsidR="00F336B7" w:rsidRPr="006B044F">
        <w:t xml:space="preserve"> spatial </w:t>
      </w:r>
      <w:r w:rsidR="00846CA6" w:rsidRPr="006B044F">
        <w:t>patterns</w:t>
      </w:r>
      <w:r w:rsidR="00F336B7" w:rsidRPr="006B044F">
        <w:t xml:space="preserve"> in spray such as droplet density and droplet size</w:t>
      </w:r>
      <w:r w:rsidR="00155EE4" w:rsidRPr="006B044F">
        <w:t>.</w:t>
      </w:r>
      <w:r w:rsidR="0089263C" w:rsidRPr="006B044F">
        <w:t xml:space="preserve"> </w:t>
      </w:r>
      <w:r w:rsidR="00E01B9A" w:rsidRPr="00C73D75">
        <w:fldChar w:fldCharType="begin" w:fldLock="1"/>
      </w:r>
      <w:r w:rsidR="00274D82" w:rsidRPr="006B044F">
        <w:instrText>ADDIN CSL_CITATION {"citationItems":[{"id":"ITEM-1","itemData":{"ISSN":"0883-8542","author":[{"dropping-particle":"","family":"Hoffmann","given":"W C","non-dropping-particle":"","parse-names":false,"suffix":""},{"dropping-particle":"","family":"Hewitt","given":"A J","non-dropping-particle":"","parse-names":false,"suffix":""}],"container-title":"Applied Engineering in Agriculture","id":"ITEM-1","issue":"6","issued":{"date-parts":[["2005"]]},"note":"Times Cited: 23\nHoffmann, WC Hewitt, AJ\n25","page":"961-964","title":"Comparison of three imaging systems for water-sensitive papers","type":"article-journal","volume":"21"},"uris":["http://www.mendeley.com/documents/?uuid=f780e706-7794-4c92-8daa-0a2d559ef705"]},{"id":"ITEM-2","itemData":{"ISSN":"0100-8358","author":[{"dropping-particle":"","family":"Cunha","given":"Jpar","non-dropping-particle":"","parse-names":false,"suffix":""},{"dropping-particle":"","family":"Farnese","given":"A C","non-dropping-particle":"","parse-names":false,"suffix":""},{"dropping-particle":"","family":"Olivet","given":"J J","non-dropping-particle":"","parse-names":false,"suffix":""}],"container-title":"Planta Daninha","id":"ITEM-2","issue":"3","issued":{"date-parts":[["2013"]]},"note":"Times Cited: 0\nCunha, J. P. A. R. Farnese, A. C. Olivet, J. J.\n0","page":"715-720","title":"COMPUTER PROGRAMS FOR ANALYSIS OF DROPLETS SPRAYED ON WATER SENSITIVE PAPERS","type":"article-journal","volume":"31"},"uris":["http://www.mendeley.com/documents/?uuid=27aa39c0-37af-4f2e-8b60-2dd8cfe8314b"]}],"mendeley":{"formattedCitation":"&lt;sup&gt;36,37&lt;/sup&gt;","plainTextFormattedCitation":"36,37","previouslyFormattedCitation":"&lt;sup&gt;36,37&lt;/sup&gt;"},"properties":{"noteIndex":0},"schema":"https://github.com/citation-style-language/schema/raw/master/csl-citation.json"}</w:instrText>
      </w:r>
      <w:r w:rsidR="00E01B9A" w:rsidRPr="00C73D75">
        <w:fldChar w:fldCharType="separate"/>
      </w:r>
      <w:r w:rsidR="00676545" w:rsidRPr="006B044F">
        <w:rPr>
          <w:noProof/>
          <w:vertAlign w:val="superscript"/>
        </w:rPr>
        <w:t>36,37</w:t>
      </w:r>
      <w:r w:rsidR="00E01B9A" w:rsidRPr="00C73D75">
        <w:fldChar w:fldCharType="end"/>
      </w:r>
      <w:r w:rsidR="00E01B9A" w:rsidRPr="006B044F">
        <w:t xml:space="preserve"> </w:t>
      </w:r>
      <w:r w:rsidR="004E4CBE" w:rsidRPr="006B044F">
        <w:t xml:space="preserve">A further question </w:t>
      </w:r>
      <w:r w:rsidR="005268DF" w:rsidRPr="006B044F">
        <w:t>is</w:t>
      </w:r>
      <w:r w:rsidR="00846CA6" w:rsidRPr="006B044F">
        <w:t xml:space="preserve"> whether water sensitive paper </w:t>
      </w:r>
      <w:r w:rsidR="004E4CBE" w:rsidRPr="006B044F">
        <w:t>can be used to determine pesticide residues</w:t>
      </w:r>
      <w:r w:rsidR="00F336B7" w:rsidRPr="006B044F">
        <w:t>. T</w:t>
      </w:r>
      <w:r w:rsidR="00846CA6" w:rsidRPr="006B044F">
        <w:t>hrough extraction and analysis of pesticide residues from water sensitive paper,</w:t>
      </w:r>
      <w:r w:rsidR="004E4CBE" w:rsidRPr="006B044F">
        <w:t xml:space="preserve"> a previous study demonstrated that</w:t>
      </w:r>
      <w:r w:rsidR="00846CA6" w:rsidRPr="006B044F">
        <w:t xml:space="preserve"> </w:t>
      </w:r>
      <w:r w:rsidR="00155EE4" w:rsidRPr="006B044F">
        <w:t>droplet density</w:t>
      </w:r>
      <w:r w:rsidR="004E4CBE" w:rsidRPr="006B044F">
        <w:t xml:space="preserve"> and</w:t>
      </w:r>
      <w:r w:rsidR="00155EE4" w:rsidRPr="006B044F">
        <w:t xml:space="preserve"> </w:t>
      </w:r>
      <w:r w:rsidR="00DE09E4" w:rsidRPr="006B044F">
        <w:t xml:space="preserve">total mass of deltamethrin </w:t>
      </w:r>
      <w:r w:rsidR="00155EE4" w:rsidRPr="006B044F">
        <w:t>residues</w:t>
      </w:r>
      <w:r w:rsidR="004E4CBE" w:rsidRPr="006B044F">
        <w:t xml:space="preserve"> correlate well</w:t>
      </w:r>
      <w:r w:rsidR="00155EE4" w:rsidRPr="006B044F">
        <w:t>.</w:t>
      </w:r>
      <w:r w:rsidR="00E01B9A" w:rsidRPr="006B044F">
        <w:t xml:space="preserve"> </w:t>
      </w:r>
      <w:r w:rsidR="00E01B9A" w:rsidRPr="00C73D75">
        <w:fldChar w:fldCharType="begin" w:fldLock="1"/>
      </w:r>
      <w:r w:rsidR="00274D82" w:rsidRPr="006B044F">
        <w:instrText>ADDIN CSL_CITATION {"citationItems":[{"id":"ITEM-1","itemData":{"DOI":"10.1093/jee/82.3.974","ISSN":"0022-0493","author":[{"dropping-particle":"","family":"Hill","given":"B. D.","non-dropping-particle":"","parse-names":false,"suffix":""},{"dropping-particle":"","family":"Inaba","given":"D. J.","non-dropping-particle":"","parse-names":false,"suffix":""}],"container-title":"Journal of Economic Entomology","id":"ITEM-1","issue":"3","issued":{"date-parts":[["1989","6","1"]]},"page":"974-980","publisher":"Oxford University Press","title":"Use of Water-Sensitive Paper to Monitor the Deposition of Aerially Applied Insecticides","type":"article-journal","volume":"82"},"uris":["http://www.mendeley.com/documents/?uuid=b2231052-0e3d-3812-9625-eaa821efe571"]}],"mendeley":{"formattedCitation":"&lt;sup&gt;29&lt;/sup&gt;","plainTextFormattedCitation":"29","previouslyFormattedCitation":"&lt;sup&gt;29&lt;/sup&gt;"},"properties":{"noteIndex":0},"schema":"https://github.com/citation-style-language/schema/raw/master/csl-citation.json"}</w:instrText>
      </w:r>
      <w:r w:rsidR="00E01B9A" w:rsidRPr="00C73D75">
        <w:fldChar w:fldCharType="separate"/>
      </w:r>
      <w:r w:rsidR="00676545" w:rsidRPr="006B044F">
        <w:rPr>
          <w:noProof/>
          <w:vertAlign w:val="superscript"/>
        </w:rPr>
        <w:t>29</w:t>
      </w:r>
      <w:r w:rsidR="00E01B9A" w:rsidRPr="00C73D75">
        <w:fldChar w:fldCharType="end"/>
      </w:r>
      <w:r w:rsidR="00155EE4" w:rsidRPr="006B044F">
        <w:t xml:space="preserve"> </w:t>
      </w:r>
      <w:r w:rsidR="00D04A79" w:rsidRPr="006B044F">
        <w:t xml:space="preserve">One study </w:t>
      </w:r>
      <w:r w:rsidR="00147AFA" w:rsidRPr="006B044F">
        <w:t>suggested that pesticide deposition could be estimated through droplet analysis using a microscope having studied the efficacy of the method with chemical tracers</w:t>
      </w:r>
      <w:r w:rsidR="00D04A79" w:rsidRPr="006B044F">
        <w:t>.</w:t>
      </w:r>
      <w:r w:rsidR="00E01B9A" w:rsidRPr="006B044F">
        <w:t xml:space="preserve"> </w:t>
      </w:r>
      <w:r w:rsidR="00E01B9A" w:rsidRPr="00C73D75">
        <w:fldChar w:fldCharType="begin" w:fldLock="1"/>
      </w:r>
      <w:r w:rsidR="00274D82" w:rsidRPr="006B044F">
        <w:instrText>ADDIN CSL_CITATION {"citationItems":[{"id":"ITEM-1","itemData":{"ISSN":"0100-204X","abstract":"The available methodologies for analysing the pesticide reaching the target are sophisticated or expensive. The objective of this work was to compare two methods to quantify the pesticide deposition. One of them by droplets analysis and the other by chemical tracer analysis. The droplets of a fungicide spray were sampled using water sensitive papers, slides with oxide magnesium and cards of filter paper. In the droplet analysis method, the volume of spray deposited on a delimited area was estimated considering the diameters of stains or craters, spread factors and droplet density. In the chemical tracer analysis method the volume was calculated by the residue;deposited on sampling target and spray concentration. There were no statistic differences in the volumes estimated by the two methods.","author":[{"dropping-particle":"","family":"Chaim","given":"A","non-dropping-particle":"","parse-names":false,"suffix":""},{"dropping-particle":"","family":"Maia","given":"A H N","non-dropping-particle":"","parse-names":false,"suffix":""},{"dropping-particle":"","family":"Pessoa","given":"Mcpy","non-dropping-particle":"","parse-names":false,"suffix":""}],"container-title":"Pesquisa Agropecuaria Brasileira","id":"ITEM-1","issue":"6","issued":{"date-parts":[["1999"]]},"language":"Portuguese","note":"ISI Document Delivery No.: 217VF\nTimes Cited: 7\nCited Reference Count: 12\nChaim, A Maia, AHN Pessoa, MCPY\nPessoa, Maria Conceicao/C-4322-2014\n10\n0\n2\nEmpresa brasil pesq agropec\nBrasilia\n\nFind report here: http://www.scielo.br/scielo.php?script=sci_arttext&amp;amp;pid=S0100-204X1999000600006&amp;amp;lng=pt&amp;amp;nrm=iso&amp;amp;tlng=pt","page":"963-969","title":"Estimates of pesticide deposition by droplet size analysis","type":"article-journal","volume":"34"},"uris":["http://www.mendeley.com/documents/?uuid=0ed1d7d9-77e1-4488-9ef2-341e04210866"]}],"mendeley":{"formattedCitation":"&lt;sup&gt;38&lt;/sup&gt;","plainTextFormattedCitation":"38","previouslyFormattedCitation":"&lt;sup&gt;38&lt;/sup&gt;"},"properties":{"noteIndex":0},"schema":"https://github.com/citation-style-language/schema/raw/master/csl-citation.json"}</w:instrText>
      </w:r>
      <w:r w:rsidR="00E01B9A" w:rsidRPr="00C73D75">
        <w:fldChar w:fldCharType="separate"/>
      </w:r>
      <w:r w:rsidR="00676545" w:rsidRPr="006B044F">
        <w:rPr>
          <w:noProof/>
          <w:vertAlign w:val="superscript"/>
        </w:rPr>
        <w:t>38</w:t>
      </w:r>
      <w:r w:rsidR="00E01B9A" w:rsidRPr="00C73D75">
        <w:fldChar w:fldCharType="end"/>
      </w:r>
      <w:r w:rsidR="00147AFA" w:rsidRPr="006B044F">
        <w:t xml:space="preserve"> </w:t>
      </w:r>
      <w:r w:rsidR="00D04A79" w:rsidRPr="006B044F">
        <w:t>Additionally,</w:t>
      </w:r>
      <w:r w:rsidR="00147AFA" w:rsidRPr="006B044F">
        <w:t xml:space="preserve"> liquid volumes derived through digital image analysis were consistent with microscopic droplet analysis</w:t>
      </w:r>
      <w:r w:rsidR="00D04A79" w:rsidRPr="006B044F">
        <w:t>.</w:t>
      </w:r>
      <w:r w:rsidR="00E01B9A" w:rsidRPr="006B044F">
        <w:t xml:space="preserve"> </w:t>
      </w:r>
      <w:r w:rsidR="00E01B9A" w:rsidRPr="00C73D75">
        <w:fldChar w:fldCharType="begin" w:fldLock="1"/>
      </w:r>
      <w:r w:rsidR="00274D82" w:rsidRPr="006B044F">
        <w:instrText>ADDIN CSL_CITATION {"citationItems":[{"id":"ITEM-1","itemData":{"DOI":"10.1590/s0100-204x2002000400010","ISSN":"0100-204X","author":[{"dropping-particle":"","family":"Chaim","given":"A","non-dropping-particle":"","parse-names":false,"suffix":""},{"dropping-particle":"","family":"Pessoa","given":"Mcpy","non-dropping-particle":"","parse-names":false,"suffix":""},{"dropping-particle":"","family":"Neto","given":"J C","non-dropping-particle":"","parse-names":false,"suffix":""},{"dropping-particle":"","family":"Hermes","given":"L C","non-dropping-particle":"","parse-names":false,"suffix":""}],"container-title":"Pesquisa Agropecuaria Brasileira","id":"ITEM-1","issue":"4","issued":{"date-parts":[["2002"]]},"note":"Times Cited: 3\nPessoa, Maria Conceicao/C-4322-2014\n0\n3","page":"493-496","title":"Comparison of microscopic method and computational program for pesticide deposition evaluation of spraying","type":"article-journal","volume":"37"},"uris":["http://www.mendeley.com/documents/?uuid=7aa0474e-699c-498f-b000-114a4f821575"]}],"mendeley":{"formattedCitation":"&lt;sup&gt;30&lt;/sup&gt;","plainTextFormattedCitation":"30","previouslyFormattedCitation":"&lt;sup&gt;30&lt;/sup&gt;"},"properties":{"noteIndex":0},"schema":"https://github.com/citation-style-language/schema/raw/master/csl-citation.json"}</w:instrText>
      </w:r>
      <w:r w:rsidR="00E01B9A" w:rsidRPr="00C73D75">
        <w:fldChar w:fldCharType="separate"/>
      </w:r>
      <w:r w:rsidR="0014262C" w:rsidRPr="006B044F">
        <w:rPr>
          <w:noProof/>
          <w:vertAlign w:val="superscript"/>
        </w:rPr>
        <w:t>30</w:t>
      </w:r>
      <w:r w:rsidR="00E01B9A" w:rsidRPr="00C73D75">
        <w:fldChar w:fldCharType="end"/>
      </w:r>
    </w:p>
    <w:p w14:paraId="5CA5BC1B" w14:textId="31494ACB" w:rsidR="007537F9" w:rsidRPr="006B044F" w:rsidRDefault="00DF1EEC" w:rsidP="00E01B9A">
      <w:pPr>
        <w:spacing w:line="480" w:lineRule="auto"/>
      </w:pPr>
      <w:r w:rsidRPr="006B044F">
        <w:t>In summary, we know that water sensitive paper can be used to study spray distribution, and that digital image analysis of these paper samples can be quick, repeatable and consistent with manual analysis of samples</w:t>
      </w:r>
      <w:r w:rsidR="00D04A79" w:rsidRPr="006B044F">
        <w:t xml:space="preserve">. </w:t>
      </w:r>
      <w:r w:rsidR="00E01B9A" w:rsidRPr="00C73D75">
        <w:fldChar w:fldCharType="begin" w:fldLock="1"/>
      </w:r>
      <w:r w:rsidR="00274D82" w:rsidRPr="006B044F">
        <w:instrText>ADDIN CSL_CITATION {"citationItems":[{"id":"ITEM-1","itemData":{"DOI":"10.1016/j.compag.2011.01.003","ISSN":"0168-1699","author":[{"dropping-particle":"","family":"Zhu","given":"H P","non-dropping-particle":"","parse-names":false,"suffix":""},{"dropping-particle":"","family":"Salyani","given":"M","non-dropping-particle":"","parse-names":false,"suffix":""},{"dropping-particle":"","family":"Fox","given":"R D","non-dropping-particle":"","parse-names":false,"suffix":""}],"container-title":"Computers and Electronics in Agriculture","id":"ITEM-1","issue":"1","issued":{"date-parts":[["2011"]]},"note":"Times Cited: 13\nZhu, Heping Salyani, Masoud Fox, Robert D.\n18","page":"38-43","title":"A portable scanning system for evaluation of spray deposit distribution","type":"article-journal","volume":"76"},"uris":["http://www.mendeley.com/documents/?uuid=7956e68a-a51b-4040-bbeb-087ddc314677"]},{"id":"ITEM-2","itemData":{"ISSN":"0100-8358","author":[{"dropping-particle":"","family":"Cunha","given":"Jpar","non-dropping-particle":"","parse-names":false,"suffix":""},{"dropping-particle":"","family":"Farnese","given":"A C","non-dropping-particle":"","parse-names":false,"suffix":""},{"dropping-particle":"","family":"Olivet","given":"J J","non-dropping-particle":"","parse-names":false,"suffix":""}],"container-title":"Planta Daninha","id":"ITEM-2","issue":"3","issued":{"date-parts":[["2013"]]},"note":"Times Cited: 0\nCunha, J. P. A. R. Farnese, A. C. Olivet, J. J.\n0","page":"715-720","title":"COMPUTER PROGRAMS FOR ANALYSIS OF DROPLETS SPRAYED ON WATER SENSITIVE PAPERS","type":"article-journal","volume":"31"},"uris":["http://www.mendeley.com/documents/?uuid=27aa39c0-37af-4f2e-8b60-2dd8cfe8314b"]}],"mendeley":{"formattedCitation":"&lt;sup&gt;36,39&lt;/sup&gt;","plainTextFormattedCitation":"36,39","previouslyFormattedCitation":"&lt;sup&gt;36,39&lt;/sup&gt;"},"properties":{"noteIndex":0},"schema":"https://github.com/citation-style-language/schema/raw/master/csl-citation.json"}</w:instrText>
      </w:r>
      <w:r w:rsidR="00E01B9A" w:rsidRPr="00C73D75">
        <w:fldChar w:fldCharType="separate"/>
      </w:r>
      <w:r w:rsidR="00676545" w:rsidRPr="006B044F">
        <w:rPr>
          <w:noProof/>
          <w:vertAlign w:val="superscript"/>
        </w:rPr>
        <w:t>36,39</w:t>
      </w:r>
      <w:r w:rsidR="00E01B9A" w:rsidRPr="00C73D75">
        <w:fldChar w:fldCharType="end"/>
      </w:r>
      <w:r w:rsidR="00E01B9A" w:rsidRPr="006B044F">
        <w:t xml:space="preserve"> </w:t>
      </w:r>
      <w:r w:rsidRPr="006B044F">
        <w:t xml:space="preserve">We also know that pesticide residue analysis on an apple leaf substrate </w:t>
      </w:r>
      <w:r w:rsidR="006D1943" w:rsidRPr="006B044F">
        <w:t>can be both</w:t>
      </w:r>
      <w:r w:rsidRPr="006B044F">
        <w:t xml:space="preserve"> accurate and precise</w:t>
      </w:r>
      <w:r w:rsidR="00D04A79" w:rsidRPr="006B044F">
        <w:t>.</w:t>
      </w:r>
      <w:r w:rsidR="00E01B9A" w:rsidRPr="006B044F">
        <w:t xml:space="preserve"> </w:t>
      </w:r>
      <w:r w:rsidR="00E01B9A" w:rsidRPr="00C73D75">
        <w:fldChar w:fldCharType="begin" w:fldLock="1"/>
      </w:r>
      <w:r w:rsidR="00274D82" w:rsidRPr="006B044F">
        <w:instrText>ADDIN CSL_CITATION {"citationItems":[{"id":"ITEM-1","itemData":{"DOI":"10.1016/0261-2194(95)00095-x","ISSN":"0261-2194","author":[{"dropping-particle":"","family":"Rueegg","given":"J","non-dropping-particle":"","parse-names":false,"suffix":""},{"dropping-particle":"","family":"Siegfried","given":"W","non-dropping-particle":"","parse-names":false,"suffix":""}],"container-title":"Crop Protection","id":"ITEM-1","issue":"1","issued":{"date-parts":[["1996"]]},"note":"Times Cited: 16\n0\n17\n1873-6904","page":"27-31","title":"Residues of difenoconazole and penconazole on apple leaves and grass and soil in an apple orchard in north-eastern Switzerland","type":"article-journal","volume":"15"},"uris":["http://www.mendeley.com/documents/?uuid=7ec598a8-da29-4865-a98d-7a353305ca89"]},{"id":"ITEM-2","itemData":{"ISSN":"0018-5345","author":[{"dropping-particle":"","family":"Hall","given":"F R","non-dropping-particle":"","parse-names":false,"suffix":""},{"dropping-particle":"","family":"Downer","given":"R A","non-dropping-particle":"","parse-names":false,"suffix":""},{"dropping-particle":"","family":"Cooper","given":"J A","non-dropping-particle":"","parse-names":false,"suffix":""},{"dropping-particle":"","family":"Ebert","given":"T A","non-dropping-particle":"","parse-names":false,"suffix":""},{"dropping-particle":"","family":"Ferree","given":"D C","non-dropping-particle":"","parse-names":false,"suffix":""}],"container-title":"Hortscience","id":"ITEM-2","issue":"5","issued":{"date-parts":[["1997"]]},"note":"Times Cited: 19\nEbert, Timothy/E-7727-2011\n0\n19","page":"858-860","title":"Changes in spray retention by apple leaves during a growing season","type":"article-journal","volume":"32"},"uris":["http://www.mendeley.com/documents/?uuid=801f2738-7494-4ead-9284-9a2a1bc8357b"]},{"id":"ITEM-3","itemData":{"DOI":"10.1002/ps.1520","ISSN":"1526-498X","abstract":"BACKGROUND: Captan is an important fungicide for controlling diseases in horticultural crops. Predicting its dissipation is important for estimating dietary risks and optimising pesticide application. Experiments were conducted to determine the relationship of captan loss on apple leaves with temperature, humidity and rainfall, and to investigate captan loss on fruit in dry conditions. RESULTS: There was large unit-to-unit variability in captan residues in spite of the controlled hpplication. Temperature and humidity had negligible effects on captan loss. Captan loss is predominately due to washoff by rain, although a certain proportion of captan may bind to the plant surface tightly and hence may not be readily removed by rain. About 50% of captan can be washed off by as little as 1 mm. of rain after an application, and the loss appeared not to relate to the amount of rain. Under dry conditions, daily loss of captan is estimated to be around 1% on both fruit and leaves, giving a half-life of ca 70 days. CONCLUSIONS: Captan loss on leaf and fruit surfaces is primarily due to rain washoff. (c) 2008 Society of Chemical Industry.","author":[{"dropping-particle":"","family":"Xu","given":"X M","non-dropping-particle":"","parse-names":false,"suffix":""},{"dropping-particle":"","family":"Murray","given":"R A","non-dropping-particle":"","parse-names":false,"suffix":""},{"dropping-particle":"","family":"Salazar","given":"J D","non-dropping-particle":"","parse-names":false,"suffix":""},{"dropping-particle":"","family":"Hyder","given":"K","non-dropping-particle":"","parse-names":false,"suffix":""}],"container-title":"Pest Management Science","id":"ITEM-3","issue":"3","issued":{"date-parts":[["2008"]]},"language":"English","note":"ISI Document Delivery No.: 273VM\nTimes Cited: 6\nCited Reference Count: 29\nXu, Xiang-Ming Murray, Roy A. Salazar, Jose D. Hyder, Kieran\nXu, Xiangming/I-3050-2014\nXu, Xiangming/0000-0002-4567-7117\n8\nWILEY-BLACKWELL\nMALDEN\nPEST MANAG SCI","page":"296-307","title":"The effects of temperature, humidity and rainfall on captan decline on apple leaves and fruit in controlled environment conditions","type":"article-journal","volume":"64"},"uris":["http://www.mendeley.com/documents/?uuid=88a89747-6708-4070-a6f7-0ce6279866c6"]}],"mendeley":{"formattedCitation":"&lt;sup&gt;19,40,41&lt;/sup&gt;","plainTextFormattedCitation":"19,40,41","previouslyFormattedCitation":"&lt;sup&gt;19,40,41&lt;/sup&gt;"},"properties":{"noteIndex":0},"schema":"https://github.com/citation-style-language/schema/raw/master/csl-citation.json"}</w:instrText>
      </w:r>
      <w:r w:rsidR="00E01B9A" w:rsidRPr="00C73D75">
        <w:fldChar w:fldCharType="separate"/>
      </w:r>
      <w:r w:rsidR="00676545" w:rsidRPr="006B044F">
        <w:rPr>
          <w:noProof/>
          <w:vertAlign w:val="superscript"/>
        </w:rPr>
        <w:t>19,40,41</w:t>
      </w:r>
      <w:r w:rsidR="00E01B9A" w:rsidRPr="00C73D75">
        <w:fldChar w:fldCharType="end"/>
      </w:r>
      <w:r w:rsidR="00D04A79" w:rsidRPr="006B044F">
        <w:t xml:space="preserve"> </w:t>
      </w:r>
      <w:r w:rsidR="00962D08" w:rsidRPr="006B044F">
        <w:t xml:space="preserve">However, we do not know whether it is possible to accurately estimate pesticide residues using data derived from the analysis of </w:t>
      </w:r>
      <w:r w:rsidR="0032723A" w:rsidRPr="006B044F">
        <w:t xml:space="preserve">pesticide exposed </w:t>
      </w:r>
      <w:r w:rsidR="00962D08" w:rsidRPr="006B044F">
        <w:t xml:space="preserve">water sensitive paper, which would </w:t>
      </w:r>
      <w:r w:rsidR="00DE09E4" w:rsidRPr="006B044F">
        <w:t xml:space="preserve">provide a low cost analysis method that </w:t>
      </w:r>
      <w:r w:rsidR="00DE09E4" w:rsidRPr="006B044F">
        <w:lastRenderedPageBreak/>
        <w:t>allows for</w:t>
      </w:r>
      <w:r w:rsidR="00643734" w:rsidRPr="006B044F">
        <w:t xml:space="preserve"> </w:t>
      </w:r>
      <w:r w:rsidR="00962D08" w:rsidRPr="006B044F">
        <w:t>greater understanding of residues at micro spatial scales, such as within a single apple leaf</w:t>
      </w:r>
      <w:r w:rsidR="00DE09E4" w:rsidRPr="006B044F">
        <w:t>.</w:t>
      </w:r>
    </w:p>
    <w:p w14:paraId="5D2E4BDF" w14:textId="541F49D8" w:rsidR="00E633E2" w:rsidRPr="006B044F" w:rsidRDefault="00962D08" w:rsidP="00E94812">
      <w:pPr>
        <w:spacing w:line="480" w:lineRule="auto"/>
      </w:pPr>
      <w:r w:rsidRPr="006B044F">
        <w:t xml:space="preserve">In this study we </w:t>
      </w:r>
      <w:r w:rsidR="00FE4876" w:rsidRPr="006B044F">
        <w:t xml:space="preserve">aimed to assess the accuracy of methods used to analyse spatially distributed pesticide residues. The first objective </w:t>
      </w:r>
      <w:r w:rsidR="00A628DF" w:rsidRPr="006B044F">
        <w:t xml:space="preserve">was to assess pesticide residues and spray patterns in an apple orchard at spatial scales relevant to orchard-dwelling non-target arthropods (e.g. leaf, tree, orchard scale). The second </w:t>
      </w:r>
      <w:r w:rsidR="00FE4876" w:rsidRPr="006B044F">
        <w:t xml:space="preserve">objective </w:t>
      </w:r>
      <w:r w:rsidR="00A628DF" w:rsidRPr="006B044F">
        <w:t>was to</w:t>
      </w:r>
      <w:r w:rsidR="004E4CBE" w:rsidRPr="006B044F">
        <w:t xml:space="preserve"> evaluate the potential for digital image analysis of water sensitive paper to be an effective alternative to conventional pesticide residue analysis</w:t>
      </w:r>
      <w:r w:rsidR="006D1943" w:rsidRPr="006B044F">
        <w:t xml:space="preserve"> for non-target arthropod exposure estimation</w:t>
      </w:r>
      <w:r w:rsidR="004E4CBE" w:rsidRPr="006B044F">
        <w:t>. To achieve this</w:t>
      </w:r>
      <w:r w:rsidR="00C94D14" w:rsidRPr="006B044F">
        <w:t>,</w:t>
      </w:r>
      <w:r w:rsidR="004E4CBE" w:rsidRPr="006B044F">
        <w:t xml:space="preserve"> </w:t>
      </w:r>
      <w:r w:rsidR="006D1943" w:rsidRPr="006B044F">
        <w:t>patterns in data from both methods were compared.</w:t>
      </w:r>
      <w:r w:rsidR="00A628DF" w:rsidRPr="006B044F">
        <w:t xml:space="preserve"> </w:t>
      </w:r>
    </w:p>
    <w:p w14:paraId="542191B6" w14:textId="135CE36B" w:rsidR="00EF40A8" w:rsidRPr="006B044F" w:rsidRDefault="00F11B05" w:rsidP="00E94812">
      <w:pPr>
        <w:spacing w:line="480" w:lineRule="auto"/>
        <w:rPr>
          <w:b/>
        </w:rPr>
      </w:pPr>
      <w:bookmarkStart w:id="9" w:name="_Toc469323084"/>
      <w:r w:rsidRPr="006B044F">
        <w:rPr>
          <w:b/>
        </w:rPr>
        <w:t>8</w:t>
      </w:r>
      <w:r w:rsidR="004F5438" w:rsidRPr="006B044F">
        <w:rPr>
          <w:b/>
        </w:rPr>
        <w:t xml:space="preserve"> </w:t>
      </w:r>
      <w:bookmarkEnd w:id="9"/>
      <w:r w:rsidR="004F5438" w:rsidRPr="006B044F">
        <w:rPr>
          <w:b/>
        </w:rPr>
        <w:t>MATERIALS AND METHODS</w:t>
      </w:r>
    </w:p>
    <w:p w14:paraId="26DFDBF2" w14:textId="5122C626" w:rsidR="004E58D8" w:rsidRPr="006B044F" w:rsidRDefault="00F11B05" w:rsidP="00E94812">
      <w:pPr>
        <w:spacing w:line="480" w:lineRule="auto"/>
        <w:rPr>
          <w:b/>
        </w:rPr>
      </w:pPr>
      <w:bookmarkStart w:id="10" w:name="_Toc469323085"/>
      <w:r w:rsidRPr="006B044F">
        <w:rPr>
          <w:b/>
        </w:rPr>
        <w:t>8</w:t>
      </w:r>
      <w:r w:rsidR="004F5438" w:rsidRPr="006B044F">
        <w:rPr>
          <w:b/>
        </w:rPr>
        <w:t xml:space="preserve">.1 </w:t>
      </w:r>
      <w:r w:rsidR="00D94898" w:rsidRPr="006B044F">
        <w:rPr>
          <w:b/>
        </w:rPr>
        <w:t>Orchard</w:t>
      </w:r>
      <w:r w:rsidR="00282A6B" w:rsidRPr="006B044F">
        <w:rPr>
          <w:b/>
        </w:rPr>
        <w:t xml:space="preserve"> sampling</w:t>
      </w:r>
      <w:bookmarkEnd w:id="10"/>
    </w:p>
    <w:p w14:paraId="75058ACF" w14:textId="4FC2A078" w:rsidR="00CA0A90" w:rsidRPr="006B044F" w:rsidRDefault="00D455D6" w:rsidP="00F24EE5">
      <w:pPr>
        <w:spacing w:line="480" w:lineRule="auto"/>
      </w:pPr>
      <w:r w:rsidRPr="006B044F">
        <w:t xml:space="preserve">Field sampling </w:t>
      </w:r>
      <w:r w:rsidR="00690308" w:rsidRPr="006B044F">
        <w:t>was conducted in a commercial apple orchard in Cambridgeshire, UK in August 2015.</w:t>
      </w:r>
      <w:r w:rsidR="00CA0A90" w:rsidRPr="006B044F">
        <w:t xml:space="preserve"> </w:t>
      </w:r>
      <w:r w:rsidR="00690308" w:rsidRPr="006B044F">
        <w:t xml:space="preserve">The orchard </w:t>
      </w:r>
      <w:r w:rsidR="00FB53AF" w:rsidRPr="006B044F">
        <w:t xml:space="preserve">had an area </w:t>
      </w:r>
      <w:r w:rsidR="00690308" w:rsidRPr="006B044F">
        <w:t xml:space="preserve">of 1.25 Ha </w:t>
      </w:r>
      <w:r w:rsidR="00FB53AF" w:rsidRPr="006B044F">
        <w:t xml:space="preserve">and </w:t>
      </w:r>
      <w:r w:rsidR="00690308" w:rsidRPr="006B044F">
        <w:t xml:space="preserve">contained </w:t>
      </w:r>
      <w:r w:rsidR="00E01B9A" w:rsidRPr="006B044F">
        <w:t>five-year-old</w:t>
      </w:r>
      <w:r w:rsidR="005D2EC1" w:rsidRPr="006B044F">
        <w:t xml:space="preserve"> d</w:t>
      </w:r>
      <w:r w:rsidR="00CA0A90" w:rsidRPr="006B044F">
        <w:t>essert apple trees (</w:t>
      </w:r>
      <w:r w:rsidR="00CA0A90" w:rsidRPr="006B044F">
        <w:rPr>
          <w:i/>
        </w:rPr>
        <w:t xml:space="preserve">Malus domestica cv. </w:t>
      </w:r>
      <w:r w:rsidR="00CA0A90" w:rsidRPr="006B044F">
        <w:t>Braeburn)</w:t>
      </w:r>
      <w:r w:rsidR="005D2EC1" w:rsidRPr="006B044F">
        <w:t xml:space="preserve"> growing in rows </w:t>
      </w:r>
      <w:r w:rsidR="00690308" w:rsidRPr="006B044F">
        <w:t xml:space="preserve">3.5 m apart and </w:t>
      </w:r>
      <w:r w:rsidR="005D2EC1" w:rsidRPr="006B044F">
        <w:t>running from south-west to north-east in aspect</w:t>
      </w:r>
      <w:r w:rsidR="00690308" w:rsidRPr="006B044F">
        <w:t>. Trees were grown with a trellis support system with tree</w:t>
      </w:r>
      <w:r w:rsidR="006D1943" w:rsidRPr="006B044F">
        <w:t xml:space="preserve"> spacing within rows at 0.8 m. Trees were approximately </w:t>
      </w:r>
      <w:r w:rsidR="00884225" w:rsidRPr="006B044F">
        <w:t>3</w:t>
      </w:r>
      <w:r w:rsidR="006D1943" w:rsidRPr="006B044F">
        <w:t xml:space="preserve"> m tall and in growth stage 8-9 according to the BBCH scale for pome fruit.</w:t>
      </w:r>
      <w:r w:rsidR="00E01B9A" w:rsidRPr="006B044F">
        <w:t xml:space="preserve"> </w:t>
      </w:r>
      <w:r w:rsidR="00F24EE5" w:rsidRPr="00C73D75">
        <w:fldChar w:fldCharType="begin" w:fldLock="1"/>
      </w:r>
      <w:r w:rsidR="00274D82" w:rsidRPr="006B044F">
        <w:instrText>ADDIN CSL_CITATION {"citationItems":[{"id":"ITEM-1","itemData":{"ISSN":"0027-7479","author":[{"dropping-particle":"","family":"Meier","given":"Uwe","non-dropping-particle":"","parse-names":false,"suffix":""},{"dropping-particle":"","family":"Graf","given":"M","non-dropping-particle":"","parse-names":false,"suffix":""},{"dropping-particle":"","family":"Hess","given":"W","non-dropping-particle":"","parse-names":false,"suffix":""},{"dropping-particle":"","family":"Kennel","given":"W","non-dropping-particle":"","parse-names":false,"suffix":""},{"dropping-particle":"","family":"Klose","given":"R","non-dropping-particle":"","parse-names":false,"suffix":""},{"dropping-particle":"","family":"Mappes","given":"D","non-dropping-particle":"","parse-names":false,"suffix":""},{"dropping-particle":"","family":"Seipp","given":"D","non-dropping-particle":"","parse-names":false,"suffix":""},{"dropping-particle":"","family":"Stauss","given":"R","non-dropping-particle":"","parse-names":false,"suffix":""},{"dropping-particle":"","family":"Streif","given":"J","non-dropping-particle":"","parse-names":false,"suffix":""},{"dropping-particle":"","family":"Boom","given":"T","non-dropping-particle":"van den","parse-names":false,"suffix":""}],"container-title":"Nachrichtenblatt des Deutschen Pflanzenschutzdienstes","id":"ITEM-1","issue":"7","issued":{"date-parts":[["1994"]]},"page":"141-153","publisher":"E. Ulmer","title":"Phänologische Entwicklungsstadien des Kernobstes (Malus domestica Borkh. und Pyrus communis L.), des Steinobstes (Prunus-Arten), der Johannisbeere (Ribes-Arten) und der Erdbeere (Fragaria x ananassa Duch.)","type":"article-journal","volume":"46"},"uris":["http://www.mendeley.com/documents/?uuid=e50a5653-3f58-3896-ad50-caafe358da03"]}],"mendeley":{"formattedCitation":"&lt;sup&gt;42&lt;/sup&gt;","plainTextFormattedCitation":"42","previouslyFormattedCitation":"&lt;sup&gt;42&lt;/sup&gt;"},"properties":{"noteIndex":0},"schema":"https://github.com/citation-style-language/schema/raw/master/csl-citation.json"}</w:instrText>
      </w:r>
      <w:r w:rsidR="00F24EE5" w:rsidRPr="00C73D75">
        <w:fldChar w:fldCharType="separate"/>
      </w:r>
      <w:r w:rsidR="00676545" w:rsidRPr="006B044F">
        <w:rPr>
          <w:noProof/>
          <w:vertAlign w:val="superscript"/>
        </w:rPr>
        <w:t>42</w:t>
      </w:r>
      <w:r w:rsidR="00F24EE5" w:rsidRPr="00C73D75">
        <w:fldChar w:fldCharType="end"/>
      </w:r>
      <w:r w:rsidR="00EF40A8" w:rsidRPr="006B044F">
        <w:t xml:space="preserve"> S</w:t>
      </w:r>
      <w:r w:rsidR="00690308" w:rsidRPr="006B044F">
        <w:t xml:space="preserve">amples were collected </w:t>
      </w:r>
      <w:r w:rsidR="00CA0A90" w:rsidRPr="006B044F">
        <w:t xml:space="preserve">following a routine </w:t>
      </w:r>
      <w:r w:rsidR="00690308" w:rsidRPr="006B044F">
        <w:t xml:space="preserve">spray </w:t>
      </w:r>
      <w:r w:rsidR="00CA0A90" w:rsidRPr="006B044F">
        <w:t>application of the fungicide penconazole formulated as Topenco 100 EC (100 g</w:t>
      </w:r>
      <w:r w:rsidR="00E22B47" w:rsidRPr="006B044F">
        <w:t xml:space="preserve"> </w:t>
      </w:r>
      <w:r w:rsidR="00CA0A90" w:rsidRPr="006B044F">
        <w:t>L</w:t>
      </w:r>
      <w:r w:rsidR="00E22B47" w:rsidRPr="006B044F">
        <w:rPr>
          <w:vertAlign w:val="superscript"/>
        </w:rPr>
        <w:t>-1</w:t>
      </w:r>
      <w:r w:rsidR="00CA0A90" w:rsidRPr="006B044F">
        <w:t>, Globachem NV, Belgi</w:t>
      </w:r>
      <w:r w:rsidR="009C2DB3" w:rsidRPr="006B044F">
        <w:t>um</w:t>
      </w:r>
      <w:r w:rsidR="00D94898" w:rsidRPr="006B044F">
        <w:t>)</w:t>
      </w:r>
      <w:r w:rsidRPr="006B044F">
        <w:t xml:space="preserve">, </w:t>
      </w:r>
      <w:bookmarkStart w:id="11" w:name="_Hlk517277031"/>
      <w:bookmarkStart w:id="12" w:name="_Hlk517275594"/>
      <w:r w:rsidRPr="006B044F">
        <w:t xml:space="preserve">an emulsifiable concentrate diluted in </w:t>
      </w:r>
      <w:r w:rsidR="00AA5021" w:rsidRPr="006B044F">
        <w:t xml:space="preserve">tap </w:t>
      </w:r>
      <w:r w:rsidRPr="006B044F">
        <w:t>water for spray application</w:t>
      </w:r>
      <w:r w:rsidR="009C2DB3" w:rsidRPr="006B044F">
        <w:t xml:space="preserve"> </w:t>
      </w:r>
      <w:bookmarkEnd w:id="11"/>
      <w:r w:rsidR="009C2DB3" w:rsidRPr="006B044F">
        <w:t>at a rate of 450 mL diluted in 250 L water per hectare</w:t>
      </w:r>
      <w:r w:rsidR="0088488E" w:rsidRPr="006B044F">
        <w:t xml:space="preserve"> (</w:t>
      </w:r>
      <w:r w:rsidR="0017592D" w:rsidRPr="006B044F">
        <w:t>f</w:t>
      </w:r>
      <w:r w:rsidR="0088488E" w:rsidRPr="006B044F">
        <w:t>inal penconazole concentration = 0.1</w:t>
      </w:r>
      <w:r w:rsidR="001D0F6F" w:rsidRPr="006B044F">
        <w:t>8</w:t>
      </w:r>
      <w:r w:rsidR="0088488E" w:rsidRPr="006B044F">
        <w:t xml:space="preserve"> g L</w:t>
      </w:r>
      <w:r w:rsidR="0088488E" w:rsidRPr="006B044F">
        <w:rPr>
          <w:vertAlign w:val="superscript"/>
        </w:rPr>
        <w:t>-1</w:t>
      </w:r>
      <w:r w:rsidR="0088488E" w:rsidRPr="006B044F">
        <w:t>)</w:t>
      </w:r>
      <w:r w:rsidR="0017592D" w:rsidRPr="006B044F">
        <w:t>.</w:t>
      </w:r>
      <w:r w:rsidR="0088488E" w:rsidRPr="006B044F">
        <w:t xml:space="preserve"> </w:t>
      </w:r>
      <w:bookmarkEnd w:id="12"/>
      <w:r w:rsidR="00D735CC" w:rsidRPr="006B044F">
        <w:t>Penconazole has a photolytic degradation half-life (λ) of 1.32</w:t>
      </w:r>
      <w:r w:rsidR="00F17A8A" w:rsidRPr="00C73D75">
        <w:t xml:space="preserve"> – 1.99 </w:t>
      </w:r>
      <w:r w:rsidR="00D735CC" w:rsidRPr="006B044F">
        <w:t xml:space="preserve">days; however, it is stable in darkness and also hydrolytically stable at air temperatures of 50˚C for seven days. </w:t>
      </w:r>
      <w:r w:rsidR="00D735CC" w:rsidRPr="00C73D75">
        <w:fldChar w:fldCharType="begin" w:fldLock="1"/>
      </w:r>
      <w:r w:rsidR="00274D82" w:rsidRPr="006B044F">
        <w:instrText>ADDIN CSL_CITATION {"citationItems":[{"id":"ITEM-1","itemData":{"author":[{"dropping-particle":"","family":"European Chemicals Agency","given":"","non-dropping-particle":"","parse-names":false,"suffix":""}],"id":"ITEM-1","issued":{"date-parts":[["2010"]]},"number-of-pages":"1-49","title":"Proposal for harmonised classification and labelling - Penconazole","type":"report"},"uris":["http://www.mendeley.com/documents/?uuid=3e247eef-674c-491c-8a21-0ba8274adaac"]}],"mendeley":{"formattedCitation":"&lt;sup&gt;43&lt;/sup&gt;","plainTextFormattedCitation":"43","previouslyFormattedCitation":"&lt;sup&gt;43&lt;/sup&gt;"},"properties":{"noteIndex":0},"schema":"https://github.com/citation-style-language/schema/raw/master/csl-citation.json"}</w:instrText>
      </w:r>
      <w:r w:rsidR="00D735CC" w:rsidRPr="00C73D75">
        <w:fldChar w:fldCharType="separate"/>
      </w:r>
      <w:r w:rsidR="00676545" w:rsidRPr="006B044F">
        <w:rPr>
          <w:noProof/>
          <w:vertAlign w:val="superscript"/>
        </w:rPr>
        <w:t>43</w:t>
      </w:r>
      <w:r w:rsidR="00D735CC" w:rsidRPr="00C73D75">
        <w:fldChar w:fldCharType="end"/>
      </w:r>
      <w:r w:rsidR="00D735CC" w:rsidRPr="006B044F">
        <w:t xml:space="preserve"> </w:t>
      </w:r>
      <w:bookmarkStart w:id="13" w:name="_Hlk517275041"/>
      <w:r w:rsidRPr="006B044F">
        <w:t>Spray application was undertaken usi</w:t>
      </w:r>
      <w:r w:rsidR="00D83D3E" w:rsidRPr="006B044F">
        <w:t xml:space="preserve">ng a </w:t>
      </w:r>
      <w:r w:rsidR="00DC2CC0" w:rsidRPr="006B044F">
        <w:t xml:space="preserve">tower sprayer (Kirkland tower triprop sprayer, Kirkland UK), fitted </w:t>
      </w:r>
      <w:r w:rsidR="00DC2CC0" w:rsidRPr="006B044F">
        <w:lastRenderedPageBreak/>
        <w:t xml:space="preserve">with </w:t>
      </w:r>
      <w:r w:rsidR="009854D5" w:rsidRPr="006B044F">
        <w:t>six</w:t>
      </w:r>
      <w:r w:rsidR="009854D5" w:rsidRPr="00C73D75">
        <w:t xml:space="preserve"> each of</w:t>
      </w:r>
      <w:r w:rsidR="009854D5" w:rsidRPr="006B044F">
        <w:t xml:space="preserve"> </w:t>
      </w:r>
      <w:bookmarkStart w:id="14" w:name="_Hlk517275691"/>
      <w:r w:rsidR="00DC2CC0" w:rsidRPr="006B044F">
        <w:t>Albuz ATR 80 yellow and</w:t>
      </w:r>
      <w:r w:rsidR="009854D5" w:rsidRPr="006B044F">
        <w:t xml:space="preserve"> </w:t>
      </w:r>
      <w:r w:rsidR="00DC2CC0" w:rsidRPr="006B044F">
        <w:t>green hollow cone nozzles (Solcera, France)</w:t>
      </w:r>
      <w:r w:rsidR="009C2DB3" w:rsidRPr="006B044F">
        <w:t xml:space="preserve"> working at a spray pressure of 6 bar.</w:t>
      </w:r>
      <w:bookmarkEnd w:id="14"/>
      <w:r w:rsidR="009C2DB3" w:rsidRPr="00C73D75">
        <w:t xml:space="preserve"> </w:t>
      </w:r>
      <w:bookmarkStart w:id="15" w:name="_Hlk517276100"/>
      <w:r w:rsidR="009C2DB3" w:rsidRPr="00C73D75">
        <w:t>Crop spraying commenced at 09:40 in overcast conditions at an air temperature of 19.8˚C with wind speeds of 0.54 m s</w:t>
      </w:r>
      <w:r w:rsidR="009C2DB3" w:rsidRPr="00C73D75">
        <w:rPr>
          <w:vertAlign w:val="superscript"/>
        </w:rPr>
        <w:t>-1</w:t>
      </w:r>
      <w:r w:rsidR="009C2DB3" w:rsidRPr="00C73D75">
        <w:t xml:space="preserve"> (60 s average) and 1.97 m s</w:t>
      </w:r>
      <w:r w:rsidR="009C2DB3" w:rsidRPr="00C73D75">
        <w:rPr>
          <w:vertAlign w:val="superscript"/>
        </w:rPr>
        <w:t>-1</w:t>
      </w:r>
      <w:r w:rsidR="009C2DB3" w:rsidRPr="00C73D75">
        <w:t xml:space="preserve"> (60 s maximum)</w:t>
      </w:r>
      <w:r w:rsidR="004A034A" w:rsidRPr="00C73D75">
        <w:t>.</w:t>
      </w:r>
      <w:bookmarkEnd w:id="15"/>
      <w:r w:rsidR="004A034A" w:rsidRPr="00C73D75">
        <w:t xml:space="preserve"> </w:t>
      </w:r>
      <w:bookmarkEnd w:id="13"/>
      <w:r w:rsidR="00DC2CC0" w:rsidRPr="006B044F">
        <w:t>S</w:t>
      </w:r>
      <w:r w:rsidR="00D94898" w:rsidRPr="006B044F">
        <w:t>amples were collected once pesticide residue</w:t>
      </w:r>
      <w:r w:rsidR="00D83D3E" w:rsidRPr="006B044F">
        <w:t>s were</w:t>
      </w:r>
      <w:r w:rsidR="00D94898" w:rsidRPr="006B044F">
        <w:t xml:space="preserve"> dry, after approximately </w:t>
      </w:r>
      <w:r w:rsidR="00C36FED" w:rsidRPr="006B044F">
        <w:t>1</w:t>
      </w:r>
      <w:r w:rsidR="00D94898" w:rsidRPr="006B044F">
        <w:t xml:space="preserve"> hour.</w:t>
      </w:r>
    </w:p>
    <w:p w14:paraId="70AB145E" w14:textId="1FAB782D" w:rsidR="007D1D8B" w:rsidRPr="006B044F" w:rsidRDefault="007D1D8B" w:rsidP="00F24EE5">
      <w:pPr>
        <w:spacing w:line="480" w:lineRule="auto"/>
      </w:pPr>
      <w:r w:rsidRPr="006B044F">
        <w:t xml:space="preserve">An experimental design </w:t>
      </w:r>
      <w:r w:rsidR="00126A99" w:rsidRPr="006B044F">
        <w:t>with</w:t>
      </w:r>
      <w:r w:rsidRPr="006B044F">
        <w:t xml:space="preserve"> nested spatial scales was established for the orchard sampling, similar to </w:t>
      </w:r>
      <w:r w:rsidR="00D04A79" w:rsidRPr="006B044F">
        <w:t>one previously outlined.</w:t>
      </w:r>
      <w:r w:rsidR="00F24EE5" w:rsidRPr="006B044F">
        <w:t xml:space="preserve"> </w:t>
      </w:r>
      <w:r w:rsidR="00F24EE5" w:rsidRPr="00C73D75">
        <w:fldChar w:fldCharType="begin" w:fldLock="1"/>
      </w:r>
      <w:r w:rsidR="00274D82" w:rsidRPr="006B044F">
        <w:instrText>ADDIN CSL_CITATION {"citationItems":[{"id":"ITEM-1","itemData":{"DOI":"10.1002/ps.1262","ISSN":"1526-498X","author":[{"dropping-particle":"","family":"Xu","given":"Xiangming","non-dropping-particle":"","parse-names":false,"suffix":""},{"dropping-particle":"","family":"Wu","given":"Pihong","non-dropping-particle":"","parse-names":false,"suffix":""},{"dropping-particle":"","family":"Thorbek","given":"Pernille","non-dropping-particle":"","parse-names":false,"suffix":""},{"dropping-particle":"","family":"Hyder","given":"Kieran","non-dropping-particle":"","parse-names":false,"suffix":""}],"container-title":"Pest Management Science","id":"ITEM-1","issue":"10","issued":{"date-parts":[["2006"]]},"note":"Times Cited: 11\nXu, Xiangming/I-3050-2014\nXu, Xiangming/0000-0002-4567-7117\n0\n11","page":"947-956","title":"Variability in initial spray deposit in apple trees in space and time","type":"article-journal","volume":"62"},"uris":["http://www.mendeley.com/documents/?uuid=21263f27-d305-4781-aac2-2b3121d3a16c"]}],"mendeley":{"formattedCitation":"&lt;sup&gt;44&lt;/sup&gt;","plainTextFormattedCitation":"44","previouslyFormattedCitation":"&lt;sup&gt;44&lt;/sup&gt;"},"properties":{"noteIndex":0},"schema":"https://github.com/citation-style-language/schema/raw/master/csl-citation.json"}</w:instrText>
      </w:r>
      <w:r w:rsidR="00F24EE5" w:rsidRPr="00C73D75">
        <w:fldChar w:fldCharType="separate"/>
      </w:r>
      <w:r w:rsidR="00676545" w:rsidRPr="006B044F">
        <w:rPr>
          <w:noProof/>
          <w:vertAlign w:val="superscript"/>
        </w:rPr>
        <w:t>44</w:t>
      </w:r>
      <w:r w:rsidR="00F24EE5" w:rsidRPr="00C73D75">
        <w:fldChar w:fldCharType="end"/>
      </w:r>
      <w:r w:rsidR="00F24EE5" w:rsidRPr="006B044F">
        <w:t xml:space="preserve"> </w:t>
      </w:r>
      <w:r w:rsidR="007A1046" w:rsidRPr="006B044F">
        <w:t xml:space="preserve">Three rows were selected within the orchard, with one patch </w:t>
      </w:r>
      <w:r w:rsidR="00643734" w:rsidRPr="006B044F">
        <w:t xml:space="preserve">(A, B and C) </w:t>
      </w:r>
      <w:r w:rsidR="007A1046" w:rsidRPr="006B044F">
        <w:t>per row. Each patch</w:t>
      </w:r>
      <w:r w:rsidR="00D75531" w:rsidRPr="006B044F">
        <w:t xml:space="preserve"> contained</w:t>
      </w:r>
      <w:r w:rsidR="007A1046" w:rsidRPr="006B044F">
        <w:t xml:space="preserve"> three consecutive trees</w:t>
      </w:r>
      <w:r w:rsidR="001356E2" w:rsidRPr="006B044F">
        <w:t xml:space="preserve"> and </w:t>
      </w:r>
      <w:r w:rsidR="007A1046" w:rsidRPr="006B044F">
        <w:t>was located away from row ends to ensure pesti</w:t>
      </w:r>
      <w:r w:rsidR="00765DC6" w:rsidRPr="006B044F">
        <w:t>cide spray was representative. E</w:t>
      </w:r>
      <w:r w:rsidR="00C6734A" w:rsidRPr="006B044F">
        <w:t xml:space="preserve">ach tree </w:t>
      </w:r>
      <w:r w:rsidR="00EF40A8" w:rsidRPr="006B044F">
        <w:t>was then</w:t>
      </w:r>
      <w:r w:rsidR="00D04A79" w:rsidRPr="006B044F">
        <w:t xml:space="preserve"> split into three</w:t>
      </w:r>
      <w:r w:rsidRPr="006B044F">
        <w:t xml:space="preserve"> zones: top, middle, and outer</w:t>
      </w:r>
      <w:r w:rsidR="004D0B54" w:rsidRPr="006B044F">
        <w:t>, with the top portion starting approximately 2 m</w:t>
      </w:r>
      <w:r w:rsidRPr="006B044F">
        <w:t xml:space="preserve"> </w:t>
      </w:r>
      <w:r w:rsidR="004D0B54" w:rsidRPr="006B044F">
        <w:t xml:space="preserve">above ground </w:t>
      </w:r>
      <w:r w:rsidRPr="006B044F">
        <w:t>(Figure 1).</w:t>
      </w:r>
      <w:r w:rsidR="003B2703" w:rsidRPr="006B044F">
        <w:t xml:space="preserve"> </w:t>
      </w:r>
    </w:p>
    <w:p w14:paraId="6E394D03" w14:textId="77777777" w:rsidR="004D0B54" w:rsidRPr="006B044F" w:rsidRDefault="004D0B54" w:rsidP="00E94812">
      <w:pPr>
        <w:spacing w:line="480" w:lineRule="auto"/>
      </w:pPr>
    </w:p>
    <w:p w14:paraId="4E2FCFBF" w14:textId="6DDD5938" w:rsidR="00F52C6D" w:rsidRPr="006B044F" w:rsidRDefault="00F52C6D" w:rsidP="00F52C6D">
      <w:pPr>
        <w:spacing w:line="480" w:lineRule="auto"/>
      </w:pPr>
      <w:bookmarkStart w:id="16" w:name="_Hlk517276278"/>
      <w:bookmarkStart w:id="17" w:name="_Hlk509841642"/>
      <w:r w:rsidRPr="006B044F">
        <w:t xml:space="preserve">Figure 1. </w:t>
      </w:r>
      <w:r w:rsidR="00DC1634" w:rsidRPr="006B044F">
        <w:t xml:space="preserve">Schematic of the nested orchard sampling design showing the four spatial scales used for apple leaf residue and water sensitive paper </w:t>
      </w:r>
      <w:r w:rsidR="004A034A" w:rsidRPr="006B044F">
        <w:t xml:space="preserve">coverage </w:t>
      </w:r>
      <w:r w:rsidR="00DC1634" w:rsidRPr="006B044F">
        <w:t xml:space="preserve">analysis. </w:t>
      </w:r>
      <w:bookmarkEnd w:id="16"/>
      <w:r w:rsidR="00DC1634" w:rsidRPr="006B044F">
        <w:t xml:space="preserve">Each spatial scale is represented: (a) patch locations; (b) one patch </w:t>
      </w:r>
      <w:r w:rsidR="001356E2" w:rsidRPr="006B044F">
        <w:t>comprising</w:t>
      </w:r>
      <w:r w:rsidR="00DC1634" w:rsidRPr="006B044F">
        <w:t xml:space="preserve"> three trees; (c) one tree </w:t>
      </w:r>
      <w:r w:rsidR="001356E2" w:rsidRPr="006B044F">
        <w:t>comprising</w:t>
      </w:r>
      <w:r w:rsidR="00DC1634" w:rsidRPr="006B044F">
        <w:t xml:space="preserve"> three zones; (d) several samples within one zone.</w:t>
      </w:r>
      <w:bookmarkEnd w:id="17"/>
    </w:p>
    <w:p w14:paraId="1F49D507" w14:textId="77777777" w:rsidR="001242A8" w:rsidRPr="006B044F" w:rsidRDefault="001242A8" w:rsidP="00E94812">
      <w:pPr>
        <w:spacing w:line="480" w:lineRule="auto"/>
      </w:pPr>
    </w:p>
    <w:p w14:paraId="7CCD548C" w14:textId="1B933DA2" w:rsidR="00BA28F2" w:rsidRPr="006B044F" w:rsidRDefault="00F11B05" w:rsidP="00E94812">
      <w:pPr>
        <w:spacing w:line="480" w:lineRule="auto"/>
        <w:rPr>
          <w:b/>
        </w:rPr>
      </w:pPr>
      <w:bookmarkStart w:id="18" w:name="_Toc469323086"/>
      <w:r w:rsidRPr="006B044F">
        <w:rPr>
          <w:b/>
        </w:rPr>
        <w:t>8</w:t>
      </w:r>
      <w:r w:rsidR="004F5438" w:rsidRPr="006B044F">
        <w:rPr>
          <w:b/>
        </w:rPr>
        <w:t xml:space="preserve">.2 </w:t>
      </w:r>
      <w:r w:rsidR="00D94898" w:rsidRPr="006B044F">
        <w:rPr>
          <w:b/>
        </w:rPr>
        <w:t>Residue sample collection</w:t>
      </w:r>
      <w:bookmarkEnd w:id="18"/>
    </w:p>
    <w:p w14:paraId="6C3179F7" w14:textId="7600B96F" w:rsidR="007B3042" w:rsidRPr="006B044F" w:rsidRDefault="007D1D8B" w:rsidP="00E94812">
      <w:pPr>
        <w:spacing w:line="480" w:lineRule="auto"/>
      </w:pPr>
      <w:r w:rsidRPr="006B044F">
        <w:t>Prior to the scheduled pesticide application</w:t>
      </w:r>
      <w:bookmarkStart w:id="19" w:name="_Hlk517276787"/>
      <w:r w:rsidRPr="006B044F">
        <w:t xml:space="preserve">, </w:t>
      </w:r>
      <w:r w:rsidR="00C36FED" w:rsidRPr="006B044F">
        <w:t>twelve</w:t>
      </w:r>
      <w:r w:rsidRPr="006B044F">
        <w:t xml:space="preserve"> </w:t>
      </w:r>
      <w:r w:rsidR="00D94898" w:rsidRPr="006B044F">
        <w:t xml:space="preserve">water sensitive paper </w:t>
      </w:r>
      <w:r w:rsidRPr="006B044F">
        <w:t>cards</w:t>
      </w:r>
      <w:r w:rsidR="00FA4912" w:rsidRPr="006B044F">
        <w:t xml:space="preserve"> </w:t>
      </w:r>
      <w:r w:rsidR="005303A3" w:rsidRPr="006B044F">
        <w:t>measuring 26</w:t>
      </w:r>
      <w:r w:rsidR="004A034A" w:rsidRPr="006B044F">
        <w:t xml:space="preserve"> × </w:t>
      </w:r>
      <w:r w:rsidR="005303A3" w:rsidRPr="006B044F">
        <w:t xml:space="preserve">76 mm </w:t>
      </w:r>
      <w:r w:rsidR="00FA4912" w:rsidRPr="006B044F">
        <w:t>(Syngenta, Basel, Switzerland)</w:t>
      </w:r>
      <w:bookmarkEnd w:id="19"/>
      <w:r w:rsidRPr="006B044F">
        <w:t xml:space="preserve"> were </w:t>
      </w:r>
      <w:r w:rsidR="001625F6" w:rsidRPr="006B044F">
        <w:t>placed in the middle and outer</w:t>
      </w:r>
      <w:r w:rsidRPr="006B044F">
        <w:t xml:space="preserve"> zones in</w:t>
      </w:r>
      <w:r w:rsidR="001625F6" w:rsidRPr="006B044F">
        <w:t xml:space="preserve"> each tree across the </w:t>
      </w:r>
      <w:r w:rsidR="00C36FED" w:rsidRPr="006B044F">
        <w:t>three</w:t>
      </w:r>
      <w:r w:rsidR="001625F6" w:rsidRPr="006B044F">
        <w:t xml:space="preserve"> patches; these were</w:t>
      </w:r>
      <w:r w:rsidRPr="006B044F">
        <w:t xml:space="preserve"> attached to the upper </w:t>
      </w:r>
      <w:r w:rsidR="001625F6" w:rsidRPr="006B044F">
        <w:t>leaf surface</w:t>
      </w:r>
      <w:r w:rsidRPr="006B044F">
        <w:t xml:space="preserve"> using a </w:t>
      </w:r>
      <w:r w:rsidR="006A3E84" w:rsidRPr="006B044F">
        <w:t xml:space="preserve">small </w:t>
      </w:r>
      <w:r w:rsidR="005303A3" w:rsidRPr="006B044F">
        <w:t>bulldog</w:t>
      </w:r>
      <w:r w:rsidRPr="006B044F">
        <w:t xml:space="preserve"> clip</w:t>
      </w:r>
      <w:r w:rsidR="00CB5140" w:rsidRPr="006B044F">
        <w:t xml:space="preserve"> at the stem to minimise the impact of the additional weight</w:t>
      </w:r>
      <w:r w:rsidRPr="006B044F">
        <w:t>.</w:t>
      </w:r>
      <w:r w:rsidR="00643734" w:rsidRPr="006B044F">
        <w:t xml:space="preserve"> We were unable to access the top tree zone for placement of water sensitive paper cards due to health and safety </w:t>
      </w:r>
      <w:r w:rsidR="00643734" w:rsidRPr="006B044F">
        <w:lastRenderedPageBreak/>
        <w:t>constraints. After allowing 60 minutes for the pesticide spray to dry</w:t>
      </w:r>
      <w:r w:rsidRPr="006B044F">
        <w:t xml:space="preserve">, </w:t>
      </w:r>
      <w:r w:rsidR="00C255AF" w:rsidRPr="006B044F">
        <w:t xml:space="preserve">the </w:t>
      </w:r>
      <w:r w:rsidRPr="006B044F">
        <w:t>water sensitive paper cards were collec</w:t>
      </w:r>
      <w:r w:rsidR="007B3042" w:rsidRPr="006B044F">
        <w:t xml:space="preserve">ted and stored at ambient air temperature in sealed plastic bags within an opaque box </w:t>
      </w:r>
      <w:r w:rsidR="00D94898" w:rsidRPr="006B044F">
        <w:t>until analysis.</w:t>
      </w:r>
    </w:p>
    <w:p w14:paraId="4120E35B" w14:textId="4AAA442C" w:rsidR="00BA28F2" w:rsidRPr="006B044F" w:rsidRDefault="005303A3" w:rsidP="00E94812">
      <w:pPr>
        <w:spacing w:line="480" w:lineRule="auto"/>
      </w:pPr>
      <w:r w:rsidRPr="006B044F">
        <w:t>Five</w:t>
      </w:r>
      <w:r w:rsidR="00F93FAB" w:rsidRPr="006B044F">
        <w:t xml:space="preserve"> apple leaves were collected from trees </w:t>
      </w:r>
      <w:r w:rsidR="00D94898" w:rsidRPr="006B044F">
        <w:t xml:space="preserve">prior to pesticide application </w:t>
      </w:r>
      <w:r w:rsidR="00F93FAB" w:rsidRPr="006B044F">
        <w:t xml:space="preserve">to act as blank samples for residue analysis. </w:t>
      </w:r>
      <w:r w:rsidR="00B7325A" w:rsidRPr="006B044F">
        <w:t>Following pesticide application and a drying period of approximately 60 minutes</w:t>
      </w:r>
      <w:r w:rsidR="00F93FAB" w:rsidRPr="006B044F">
        <w:t>,</w:t>
      </w:r>
      <w:r w:rsidR="00F52C6D" w:rsidRPr="006B044F">
        <w:t xml:space="preserve"> 45 apple leaves were sampled from each tree in Patch A</w:t>
      </w:r>
      <w:r w:rsidR="00643734" w:rsidRPr="006B044F">
        <w:t xml:space="preserve"> using telescopic secateurs</w:t>
      </w:r>
      <w:r w:rsidR="00F52C6D" w:rsidRPr="006B044F">
        <w:t>, with 15 leaves from each of the three tree zones in each tree</w:t>
      </w:r>
      <w:r w:rsidR="006A3E84" w:rsidRPr="006B044F">
        <w:t xml:space="preserve">. </w:t>
      </w:r>
      <w:r w:rsidR="00133260" w:rsidRPr="006B044F">
        <w:t>Leaf samples were stored individually in</w:t>
      </w:r>
      <w:r w:rsidR="00D735CC" w:rsidRPr="006B044F">
        <w:t xml:space="preserve"> centrifuge tubes </w:t>
      </w:r>
      <w:r w:rsidR="00D94898" w:rsidRPr="006B044F">
        <w:t xml:space="preserve">in </w:t>
      </w:r>
      <w:r w:rsidR="00FB53AF" w:rsidRPr="006B044F">
        <w:t xml:space="preserve">the </w:t>
      </w:r>
      <w:r w:rsidR="00D94898" w:rsidRPr="006B044F">
        <w:t>dark</w:t>
      </w:r>
      <w:r w:rsidR="00C255AF" w:rsidRPr="006B044F">
        <w:t xml:space="preserve"> </w:t>
      </w:r>
      <w:r w:rsidR="00133260" w:rsidRPr="006B044F">
        <w:t xml:space="preserve">at </w:t>
      </w:r>
      <w:r w:rsidR="0055588E" w:rsidRPr="006B044F">
        <w:t>10</w:t>
      </w:r>
      <w:r w:rsidR="00133260" w:rsidRPr="006B044F">
        <w:t xml:space="preserve">˚C in the field before being transferred </w:t>
      </w:r>
      <w:r w:rsidR="00126A99" w:rsidRPr="006B044F">
        <w:t xml:space="preserve">after 24 hours </w:t>
      </w:r>
      <w:r w:rsidR="00133260" w:rsidRPr="006B044F">
        <w:t>to</w:t>
      </w:r>
      <w:r w:rsidR="00C255AF" w:rsidRPr="006B044F">
        <w:t xml:space="preserve"> a</w:t>
      </w:r>
      <w:r w:rsidR="00133260" w:rsidRPr="006B044F">
        <w:t xml:space="preserve"> -20˚C </w:t>
      </w:r>
      <w:r w:rsidR="00C255AF" w:rsidRPr="006B044F">
        <w:t xml:space="preserve">freezer </w:t>
      </w:r>
      <w:r w:rsidR="00133260" w:rsidRPr="006B044F">
        <w:t>until analysis.</w:t>
      </w:r>
      <w:r w:rsidR="00D735CC" w:rsidRPr="006B044F">
        <w:t xml:space="preserve"> </w:t>
      </w:r>
    </w:p>
    <w:p w14:paraId="25BEDFD2" w14:textId="77777777" w:rsidR="00133260" w:rsidRPr="006B044F" w:rsidRDefault="00133260" w:rsidP="00E94812">
      <w:pPr>
        <w:spacing w:line="480" w:lineRule="auto"/>
      </w:pPr>
    </w:p>
    <w:p w14:paraId="269D32E3" w14:textId="015144EA" w:rsidR="004E58D8" w:rsidRPr="006B044F" w:rsidRDefault="00F11B05" w:rsidP="00E94812">
      <w:pPr>
        <w:spacing w:line="480" w:lineRule="auto"/>
        <w:rPr>
          <w:b/>
        </w:rPr>
      </w:pPr>
      <w:bookmarkStart w:id="20" w:name="_Toc469323087"/>
      <w:r w:rsidRPr="006B044F">
        <w:rPr>
          <w:b/>
        </w:rPr>
        <w:t>8</w:t>
      </w:r>
      <w:r w:rsidR="004F5438" w:rsidRPr="006B044F">
        <w:rPr>
          <w:b/>
        </w:rPr>
        <w:t xml:space="preserve">.3 </w:t>
      </w:r>
      <w:r w:rsidR="00DF78FD" w:rsidRPr="006B044F">
        <w:rPr>
          <w:b/>
        </w:rPr>
        <w:t>Leaf sample extraction and clean-up</w:t>
      </w:r>
      <w:bookmarkEnd w:id="20"/>
    </w:p>
    <w:p w14:paraId="77B5FFC2" w14:textId="221CDAEE" w:rsidR="00224C55" w:rsidRPr="006B044F" w:rsidRDefault="00126A99" w:rsidP="00F24EE5">
      <w:pPr>
        <w:spacing w:line="480" w:lineRule="auto"/>
      </w:pPr>
      <w:r w:rsidRPr="006B044F">
        <w:t>Our</w:t>
      </w:r>
      <w:r w:rsidR="00396E60" w:rsidRPr="006B044F">
        <w:t xml:space="preserve"> method was adapted from </w:t>
      </w:r>
      <w:r w:rsidR="00AD1811" w:rsidRPr="006B044F">
        <w:t>one</w:t>
      </w:r>
      <w:r w:rsidR="00396E60" w:rsidRPr="006B044F">
        <w:t xml:space="preserve"> for extracting pesticide residues from bulk samples of leafy vegetables</w:t>
      </w:r>
      <w:r w:rsidR="00F52C6D" w:rsidRPr="006B044F">
        <w:t xml:space="preserve"> (10 g)</w:t>
      </w:r>
      <w:r w:rsidR="00D04A79" w:rsidRPr="006B044F">
        <w:t>,</w:t>
      </w:r>
      <w:r w:rsidR="00F24EE5" w:rsidRPr="006B044F">
        <w:t xml:space="preserve"> </w:t>
      </w:r>
      <w:r w:rsidR="00F24EE5" w:rsidRPr="00C73D75">
        <w:fldChar w:fldCharType="begin" w:fldLock="1"/>
      </w:r>
      <w:r w:rsidR="00274D82" w:rsidRPr="006B044F">
        <w:instrText>ADDIN CSL_CITATION {"citationItems":[{"id":"ITEM-1","itemData":{"DOI":"10.1016/j.chroma.2008.02.087","ISBN":"0021-9673","ISSN":"00219673","PMID":"18343389","abstract":"A gas chromatographic method was developed for simultaneously determining residues of 12 insecticides (acrinathrin, bifenthrin, carbofuran, cyfluthrin, λ-cyhalothrin, cypermethrin, chlorfenvinphos, deltamethrin, esfenvalerate, fenamiphos, methiocarb and τ-fluvalinate) and 11 fungicides (cyprodinil, fludioxonil, iprodione, metalaxyl, penconazole, pyrimethanil, procymidone tebuconazole, triadimefon, triadimenol and vinclozolin) in leafy vegetables. Samples were extracted with acetonitrile and cleaned-up with graphitized carbon black/primary secondary amine (GCB/PSA) solid-phase extraction (SPE) cartridges using acetonitrile:toluene (3:1, v/v) as eluent. The eluate was finally evaporated and redissolved with 0.5 mL of acetone containing the internal standards (pentachlorobenzene and fenpropathrin) and three analyte protectants (3-ethoxy-1,2-propanediol, d-sorbitol and l-gulonic acid γ-lactone). The addition of analyte protectants allows to avoid the matrix-induced response enhancement effect on quantitation process with absolute recoveries ca. 100%. Precision (expressed as relative standard deviation) was lower than 10% for all pesticides and finally, limits of detection were also 10-20 times lower than maxima residue levels (MRLs) established by European Regulation. The proposed method was applied to determine pesticide residues in commercial leafy vegetables (lettuce, Swiss chard and spinach) purchased from markets in Orense (NW Spain). Pesticide residues were detected in 84% of the total samples (63 from 75 samples) and pesticide concentrations were higher than MRL in 18 samples. © 2008 Elsevier B.V. All rights reserved.","author":[{"dropping-particle":"","family":"González-Rodríguez","given":"Rosa Ma","non-dropping-particle":"","parse-names":false,"suffix":""},{"dropping-particle":"","family":"Rial-Otero","given":"Raquel","non-dropping-particle":"","parse-names":false,"suffix":""},{"dropping-particle":"","family":"Cancho-Grande","given":"Beatriz","non-dropping-particle":"","parse-names":false,"suffix":""},{"dropping-particle":"","family":"Simal-Gándara","given":"Jesús","non-dropping-particle":"","parse-names":false,"suffix":""}],"container-title":"Journal of Chromatography A","id":"ITEM-1","issue":"1-2","issued":{"date-parts":[["2008"]]},"page":"100-109","title":"Determination of 23 pesticide residues in leafy vegetables using gas chromatography-ion trap mass spectrometry and analyte protectants","type":"article-journal","volume":"1196-1197"},"uris":["http://www.mendeley.com/documents/?uuid=f0c9a84b-9640-445d-b0aa-2220df7979c3"]}],"mendeley":{"formattedCitation":"&lt;sup&gt;45&lt;/sup&gt;","plainTextFormattedCitation":"45","previouslyFormattedCitation":"&lt;sup&gt;45&lt;/sup&gt;"},"properties":{"noteIndex":0},"schema":"https://github.com/citation-style-language/schema/raw/master/csl-citation.json"}</w:instrText>
      </w:r>
      <w:r w:rsidR="00F24EE5" w:rsidRPr="00C73D75">
        <w:fldChar w:fldCharType="separate"/>
      </w:r>
      <w:r w:rsidR="00676545" w:rsidRPr="006B044F">
        <w:rPr>
          <w:noProof/>
          <w:vertAlign w:val="superscript"/>
        </w:rPr>
        <w:t>45</w:t>
      </w:r>
      <w:r w:rsidR="00F24EE5" w:rsidRPr="00C73D75">
        <w:fldChar w:fldCharType="end"/>
      </w:r>
      <w:r w:rsidR="00F24EE5" w:rsidRPr="006B044F">
        <w:t xml:space="preserve"> </w:t>
      </w:r>
      <w:r w:rsidR="00D75531" w:rsidRPr="006B044F">
        <w:t xml:space="preserve">to </w:t>
      </w:r>
      <w:r w:rsidR="008D7617" w:rsidRPr="00C73D75">
        <w:t xml:space="preserve">the </w:t>
      </w:r>
      <w:r w:rsidR="00D75531" w:rsidRPr="006B044F">
        <w:t>extract</w:t>
      </w:r>
      <w:r w:rsidR="008D7617" w:rsidRPr="00C73D75">
        <w:t>ion of</w:t>
      </w:r>
      <w:r w:rsidR="00396E60" w:rsidRPr="006B044F">
        <w:t xml:space="preserve"> individual leaves</w:t>
      </w:r>
      <w:r w:rsidR="00643734" w:rsidRPr="006B044F">
        <w:t xml:space="preserve"> by adjusting extractant volume </w:t>
      </w:r>
      <w:r w:rsidR="00413799" w:rsidRPr="006B044F">
        <w:t>to be of a similar ratio to the original method.</w:t>
      </w:r>
      <w:r w:rsidR="00F52C6D" w:rsidRPr="006B044F">
        <w:t xml:space="preserve"> The sampled leaves had </w:t>
      </w:r>
      <w:r w:rsidR="00AF3A2F" w:rsidRPr="006B044F">
        <w:t>a mean mass of</w:t>
      </w:r>
      <w:r w:rsidR="00396E60" w:rsidRPr="006B044F">
        <w:t xml:space="preserve"> </w:t>
      </w:r>
      <w:r w:rsidR="00AD1811" w:rsidRPr="006B044F">
        <w:t>0.57 g</w:t>
      </w:r>
      <w:r w:rsidR="00396E60" w:rsidRPr="006B044F">
        <w:t xml:space="preserve"> (</w:t>
      </w:r>
      <w:r w:rsidR="00AF3A2F" w:rsidRPr="006B044F">
        <w:t>95% CIs [</w:t>
      </w:r>
      <w:r w:rsidR="00AD1811" w:rsidRPr="006B044F">
        <w:t>0.53</w:t>
      </w:r>
      <w:r w:rsidR="00F11B05" w:rsidRPr="006B044F">
        <w:t xml:space="preserve"> g</w:t>
      </w:r>
      <w:r w:rsidR="00AF3A2F" w:rsidRPr="006B044F">
        <w:t xml:space="preserve">, </w:t>
      </w:r>
      <w:r w:rsidR="00AD1811" w:rsidRPr="006B044F">
        <w:t>0.62</w:t>
      </w:r>
      <w:r w:rsidR="00F11B05" w:rsidRPr="006B044F">
        <w:t xml:space="preserve"> g</w:t>
      </w:r>
      <w:r w:rsidR="00AF3A2F" w:rsidRPr="006B044F">
        <w:t>])</w:t>
      </w:r>
      <w:r w:rsidR="00396E60" w:rsidRPr="006B044F">
        <w:t xml:space="preserve">. </w:t>
      </w:r>
      <w:r w:rsidR="00224C55" w:rsidRPr="006B044F">
        <w:t xml:space="preserve">Leaf samples were removed from the freezer and allowed to defrost at </w:t>
      </w:r>
      <w:r w:rsidR="00F52C6D" w:rsidRPr="006B044F">
        <w:t xml:space="preserve">ambient </w:t>
      </w:r>
      <w:r w:rsidR="00224C55" w:rsidRPr="006B044F">
        <w:t>temperature. Weight and upper leaf area were determined for each leaf before they were extracted</w:t>
      </w:r>
      <w:r w:rsidR="0055588E" w:rsidRPr="006B044F">
        <w:t>, with leaf area determined by scanning and image analysis in ImageJ (version 1.38x, NIH, USA)</w:t>
      </w:r>
      <w:r w:rsidR="00224C55" w:rsidRPr="006B044F">
        <w:t xml:space="preserve">. Each leaf was cut into smaller pieces and returned to the centrifuge tube for extraction </w:t>
      </w:r>
      <w:r w:rsidR="00F11B05" w:rsidRPr="006B044F">
        <w:t xml:space="preserve">with 10 mL </w:t>
      </w:r>
      <w:r w:rsidR="00224C55" w:rsidRPr="006B044F">
        <w:t>acetonitrile</w:t>
      </w:r>
      <w:r w:rsidR="0055588E" w:rsidRPr="006B044F">
        <w:t>. Samples were</w:t>
      </w:r>
      <w:r w:rsidR="003B6B4A" w:rsidRPr="006B044F">
        <w:t xml:space="preserve"> homogenised in an ultrasonic bath for 10 min. An </w:t>
      </w:r>
      <w:r w:rsidR="00F11B05" w:rsidRPr="006B044F">
        <w:t xml:space="preserve">8.5 mL </w:t>
      </w:r>
      <w:r w:rsidR="003B6B4A" w:rsidRPr="006B044F">
        <w:t xml:space="preserve">aliquot of the extraction solution was then transferred into a glass test tube and concentrated down to 1-2 </w:t>
      </w:r>
      <w:r w:rsidR="00F11B05" w:rsidRPr="006B044F">
        <w:t>mL</w:t>
      </w:r>
      <w:r w:rsidR="003B6B4A" w:rsidRPr="006B044F">
        <w:t xml:space="preserve"> </w:t>
      </w:r>
      <w:r w:rsidR="00CB5140" w:rsidRPr="006B044F">
        <w:t xml:space="preserve">under a gentle stream of nitrogen gas </w:t>
      </w:r>
      <w:r w:rsidR="003B6B4A" w:rsidRPr="006B044F">
        <w:t>using a heated sample concentrator (</w:t>
      </w:r>
      <w:r w:rsidR="00CB5140" w:rsidRPr="006B044F">
        <w:t xml:space="preserve">Techne Dri-Block DB-3; </w:t>
      </w:r>
      <w:r w:rsidR="003B6B4A" w:rsidRPr="006B044F">
        <w:t>40˚C, N</w:t>
      </w:r>
      <w:r w:rsidR="003B6B4A" w:rsidRPr="006B044F">
        <w:rPr>
          <w:vertAlign w:val="subscript"/>
        </w:rPr>
        <w:t>2</w:t>
      </w:r>
      <w:r w:rsidR="00F11B05" w:rsidRPr="006B044F">
        <w:t xml:space="preserve"> flow rate of 8 </w:t>
      </w:r>
      <w:r w:rsidR="00FC09BA" w:rsidRPr="006B044F">
        <w:t xml:space="preserve">L </w:t>
      </w:r>
      <w:r w:rsidR="003B6B4A" w:rsidRPr="006B044F">
        <w:t>min</w:t>
      </w:r>
      <w:r w:rsidR="00FC09BA" w:rsidRPr="00C73D75">
        <w:rPr>
          <w:vertAlign w:val="superscript"/>
        </w:rPr>
        <w:t>-1</w:t>
      </w:r>
      <w:r w:rsidR="003B6B4A" w:rsidRPr="006B044F">
        <w:t xml:space="preserve">). </w:t>
      </w:r>
    </w:p>
    <w:p w14:paraId="1C21B8C1" w14:textId="1A82B7E0" w:rsidR="00913C21" w:rsidRPr="006B044F" w:rsidRDefault="003B6B4A" w:rsidP="00E94812">
      <w:pPr>
        <w:spacing w:line="480" w:lineRule="auto"/>
      </w:pPr>
      <w:r w:rsidRPr="006B044F">
        <w:lastRenderedPageBreak/>
        <w:t>For sample clean-up, a solid-phase extraction (SPE) cartridge (Supel</w:t>
      </w:r>
      <w:r w:rsidR="003E6615" w:rsidRPr="006B044F">
        <w:t>clean</w:t>
      </w:r>
      <w:r w:rsidRPr="006B044F">
        <w:t xml:space="preserve"> </w:t>
      </w:r>
      <w:r w:rsidR="00CB5140" w:rsidRPr="006B044F">
        <w:t>ENVI-Carb</w:t>
      </w:r>
      <w:r w:rsidRPr="006B044F">
        <w:t>-II/PSA</w:t>
      </w:r>
      <w:r w:rsidR="003E6615" w:rsidRPr="006B044F">
        <w:t xml:space="preserve"> 500 mg/500 mg, 6 </w:t>
      </w:r>
      <w:r w:rsidR="00F11B05" w:rsidRPr="006B044F">
        <w:t>mL size) was conditioned with 3 mL</w:t>
      </w:r>
      <w:r w:rsidR="003E6615" w:rsidRPr="006B044F">
        <w:t xml:space="preserve"> acetonitrile:toluene (</w:t>
      </w:r>
      <w:r w:rsidR="00F11B05" w:rsidRPr="006B044F">
        <w:t>3</w:t>
      </w:r>
      <w:r w:rsidR="00CB5140" w:rsidRPr="006B044F">
        <w:t>:</w:t>
      </w:r>
      <w:r w:rsidR="00F11B05" w:rsidRPr="006B044F">
        <w:t xml:space="preserve">1 </w:t>
      </w:r>
      <w:r w:rsidR="00CB5140" w:rsidRPr="006B044F">
        <w:t>v/v</w:t>
      </w:r>
      <w:r w:rsidR="003E6615" w:rsidRPr="006B044F">
        <w:t xml:space="preserve">). The acetonitrile sample extract was then loaded onto the cartridge and the retained pesticide was eluted slowly with 3 </w:t>
      </w:r>
      <w:r w:rsidR="00F11B05" w:rsidRPr="006B044F">
        <w:t>mL</w:t>
      </w:r>
      <w:r w:rsidR="003E6615" w:rsidRPr="006B044F">
        <w:t xml:space="preserve"> acetonitrile:toluene </w:t>
      </w:r>
      <w:r w:rsidR="00CB5140" w:rsidRPr="006B044F">
        <w:t>(3:1 v/v)</w:t>
      </w:r>
      <w:r w:rsidR="003E6615" w:rsidRPr="006B044F">
        <w:t xml:space="preserve">. The final eluate was then evaporated to dryness and reconstituted </w:t>
      </w:r>
      <w:r w:rsidR="00CB5140" w:rsidRPr="006B044F">
        <w:t xml:space="preserve">in </w:t>
      </w:r>
      <w:r w:rsidR="003E6615" w:rsidRPr="006B044F">
        <w:t xml:space="preserve">1 </w:t>
      </w:r>
      <w:r w:rsidR="00F11B05" w:rsidRPr="006B044F">
        <w:t>mL</w:t>
      </w:r>
      <w:r w:rsidR="003E6615" w:rsidRPr="006B044F">
        <w:t xml:space="preserve"> acetonitrile. The sample was mixed using a vortex mixer (25,000 rpm</w:t>
      </w:r>
      <w:r w:rsidR="00CB5140" w:rsidRPr="006B044F">
        <w:t>, 5 s</w:t>
      </w:r>
      <w:r w:rsidR="003E6615" w:rsidRPr="006B044F">
        <w:t>) before it was transferred to an</w:t>
      </w:r>
      <w:r w:rsidR="00213623" w:rsidRPr="006B044F">
        <w:t xml:space="preserve"> amber </w:t>
      </w:r>
      <w:r w:rsidR="0052301A" w:rsidRPr="006B044F">
        <w:t>auto</w:t>
      </w:r>
      <w:r w:rsidR="00213623" w:rsidRPr="006B044F">
        <w:t>sample</w:t>
      </w:r>
      <w:r w:rsidR="0052301A" w:rsidRPr="006B044F">
        <w:t>r</w:t>
      </w:r>
      <w:r w:rsidR="00213623" w:rsidRPr="006B044F">
        <w:t xml:space="preserve"> vial for analysis via </w:t>
      </w:r>
      <w:r w:rsidR="0052301A" w:rsidRPr="006B044F">
        <w:t>gas chromatography-mass spectrometry (</w:t>
      </w:r>
      <w:r w:rsidR="00213623" w:rsidRPr="006B044F">
        <w:t>GC-MS</w:t>
      </w:r>
      <w:r w:rsidR="0052301A" w:rsidRPr="006B044F">
        <w:t>)</w:t>
      </w:r>
      <w:r w:rsidR="00913C21" w:rsidRPr="006B044F">
        <w:t>.</w:t>
      </w:r>
    </w:p>
    <w:p w14:paraId="54B98094" w14:textId="12764C11" w:rsidR="001C760A" w:rsidRPr="006B044F" w:rsidRDefault="001C760A" w:rsidP="00F24EE5">
      <w:pPr>
        <w:spacing w:line="480" w:lineRule="auto"/>
      </w:pPr>
      <w:r w:rsidRPr="006B044F">
        <w:t>To compare leaf residue data</w:t>
      </w:r>
      <w:r w:rsidR="00DC1634" w:rsidRPr="006B044F">
        <w:t xml:space="preserve"> from analytical chemistry</w:t>
      </w:r>
      <w:r w:rsidRPr="006B044F">
        <w:t xml:space="preserve"> with residues estimated from image analysis, penconazole residue data was</w:t>
      </w:r>
      <w:r w:rsidR="00903349" w:rsidRPr="006B044F">
        <w:t xml:space="preserve"> </w:t>
      </w:r>
      <w:r w:rsidRPr="006B044F">
        <w:t xml:space="preserve">converted </w:t>
      </w:r>
      <w:r w:rsidR="00903349" w:rsidRPr="006B044F">
        <w:t xml:space="preserve">so that residues were based on leaf upper surface area </w:t>
      </w:r>
      <w:r w:rsidRPr="006B044F">
        <w:t>(Equation 1). It was not within the scope of this study to determine what proportion of pesticide spray lands on</w:t>
      </w:r>
      <w:r w:rsidR="0052301A" w:rsidRPr="006B044F">
        <w:t xml:space="preserve"> the</w:t>
      </w:r>
      <w:r w:rsidRPr="006B044F">
        <w:t xml:space="preserve"> upper and lower leaf surfaces, therefore the leaf residue values assume</w:t>
      </w:r>
      <w:r w:rsidR="0052301A" w:rsidRPr="006B044F">
        <w:t xml:space="preserve"> all residue was present on</w:t>
      </w:r>
      <w:r w:rsidRPr="006B044F">
        <w:t xml:space="preserve"> </w:t>
      </w:r>
      <w:r w:rsidR="00D735CC" w:rsidRPr="006B044F">
        <w:t>the upper leaf surface</w:t>
      </w:r>
      <w:r w:rsidRPr="006B044F">
        <w:t>. Previous studies have investigated differences in upper and lower leaf surface residues</w:t>
      </w:r>
      <w:r w:rsidR="00F24EE5" w:rsidRPr="006B044F">
        <w:t>.</w:t>
      </w:r>
      <w:r w:rsidRPr="006B044F">
        <w:t xml:space="preserve"> </w:t>
      </w:r>
      <w:r w:rsidR="00F24EE5" w:rsidRPr="00C73D75">
        <w:fldChar w:fldCharType="begin" w:fldLock="1"/>
      </w:r>
      <w:r w:rsidR="00274D82" w:rsidRPr="006B044F">
        <w:instrText>ADDIN CSL_CITATION {"citationItems":[{"id":"ITEM-1","itemData":{"ISSN":"0018-5345","author":[{"dropping-particle":"","family":"Hall","given":"F R","non-dropping-particle":"","parse-names":false,"suffix":""},{"dropping-particle":"","family":"Downer","given":"R A","non-dropping-particle":"","parse-names":false,"suffix":""},{"dropping-particle":"","family":"Cooper","given":"J A","non-dropping-particle":"","parse-names":false,"suffix":""},{"dropping-particle":"","family":"Ebert","given":"T A","non-dropping-particle":"","parse-names":false,"suffix":""},{"dropping-particle":"","family":"Ferree","given":"D C","non-dropping-particle":"","parse-names":false,"suffix":""}],"container-title":"Hortscience","id":"ITEM-1","issue":"5","issued":{"date-parts":[["1997"]]},"note":"Times Cited: 19\nEbert, Timothy/E-7727-2011\n0\n19","page":"858-860","title":"Changes in spray retention by apple leaves during a growing season","type":"article-journal","volume":"32"},"uris":["http://www.mendeley.com/documents/?uuid=801f2738-7494-4ead-9284-9a2a1bc8357b"]}],"mendeley":{"formattedCitation":"&lt;sup&gt;40&lt;/sup&gt;","plainTextFormattedCitation":"40","previouslyFormattedCitation":"&lt;sup&gt;40&lt;/sup&gt;"},"properties":{"noteIndex":0},"schema":"https://github.com/citation-style-language/schema/raw/master/csl-citation.json"}</w:instrText>
      </w:r>
      <w:r w:rsidR="00F24EE5" w:rsidRPr="00C73D75">
        <w:fldChar w:fldCharType="separate"/>
      </w:r>
      <w:r w:rsidR="00676545" w:rsidRPr="006B044F">
        <w:rPr>
          <w:noProof/>
          <w:vertAlign w:val="superscript"/>
        </w:rPr>
        <w:t>40</w:t>
      </w:r>
      <w:r w:rsidR="00F24EE5" w:rsidRPr="00C73D75">
        <w:fldChar w:fldCharType="end"/>
      </w:r>
    </w:p>
    <w:p w14:paraId="6B869E02" w14:textId="64EC26E6" w:rsidR="001C760A" w:rsidRPr="006B044F" w:rsidRDefault="00745174" w:rsidP="00E94812">
      <w:pPr>
        <w:spacing w:line="480" w:lineRule="auto"/>
      </w:pPr>
      <m:oMath>
        <m:sSub>
          <m:sSubPr>
            <m:ctrlPr>
              <w:rPr>
                <w:rFonts w:ascii="Cambria Math" w:hAnsi="Cambria Math"/>
                <w:i/>
              </w:rPr>
            </m:ctrlPr>
          </m:sSubPr>
          <m:e>
            <m:r>
              <w:rPr>
                <w:rFonts w:ascii="Cambria Math" w:hAnsi="Cambria Math"/>
              </w:rPr>
              <m:t>R</m:t>
            </m:r>
          </m:e>
          <m:sub>
            <m:r>
              <w:rPr>
                <w:rFonts w:ascii="Cambria Math" w:hAnsi="Cambria Math"/>
              </w:rPr>
              <m:t>area</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leaf</m:t>
                </m:r>
              </m:sub>
            </m:sSub>
          </m:num>
          <m:den>
            <m:r>
              <w:rPr>
                <w:rFonts w:ascii="Cambria Math" w:hAnsi="Cambria Math"/>
              </w:rPr>
              <m:t>A</m:t>
            </m:r>
          </m:den>
        </m:f>
      </m:oMath>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r>
      <w:r w:rsidR="001C760A" w:rsidRPr="006B044F">
        <w:rPr>
          <w:rFonts w:eastAsiaTheme="minorEastAsia"/>
        </w:rPr>
        <w:tab/>
        <w:t>Equation 1</w:t>
      </w:r>
    </w:p>
    <w:p w14:paraId="26689050" w14:textId="257669C4" w:rsidR="00913C21" w:rsidRPr="006B044F" w:rsidRDefault="001C760A" w:rsidP="00E94812">
      <w:pPr>
        <w:spacing w:line="480" w:lineRule="auto"/>
      </w:pPr>
      <w:r w:rsidRPr="006B044F">
        <w:rPr>
          <w:rFonts w:ascii="Cambria Math" w:hAnsi="Cambria Math"/>
          <w:i/>
        </w:rPr>
        <w:t>R</w:t>
      </w:r>
      <w:r w:rsidRPr="006B044F">
        <w:rPr>
          <w:rFonts w:ascii="Cambria Math" w:hAnsi="Cambria Math"/>
          <w:i/>
          <w:vertAlign w:val="subscript"/>
        </w:rPr>
        <w:t>area</w:t>
      </w:r>
      <w:r w:rsidRPr="006B044F">
        <w:rPr>
          <w:rFonts w:ascii="Cambria Math" w:hAnsi="Cambria Math"/>
          <w:i/>
        </w:rPr>
        <w:t xml:space="preserve"> </w:t>
      </w:r>
      <w:r w:rsidRPr="006B044F">
        <w:t xml:space="preserve">denotes residue based on </w:t>
      </w:r>
      <w:r w:rsidR="00B85F62" w:rsidRPr="006B044F">
        <w:t xml:space="preserve">leaf </w:t>
      </w:r>
      <w:r w:rsidRPr="006B044F">
        <w:t xml:space="preserve">surface area in </w:t>
      </w:r>
      <w:r w:rsidR="00B85F62" w:rsidRPr="006B044F">
        <w:t>μg cm</w:t>
      </w:r>
      <w:r w:rsidR="00B85F62" w:rsidRPr="006B044F">
        <w:rPr>
          <w:vertAlign w:val="superscript"/>
        </w:rPr>
        <w:t>-2</w:t>
      </w:r>
      <w:r w:rsidR="00B85F62" w:rsidRPr="006B044F">
        <w:t xml:space="preserve">, </w:t>
      </w:r>
      <w:r w:rsidR="00903349" w:rsidRPr="006B044F">
        <w:rPr>
          <w:rFonts w:ascii="Cambria Math" w:hAnsi="Cambria Math"/>
          <w:i/>
        </w:rPr>
        <w:t>R</w:t>
      </w:r>
      <w:r w:rsidR="00903349" w:rsidRPr="006B044F">
        <w:rPr>
          <w:rFonts w:ascii="Cambria Math" w:hAnsi="Cambria Math"/>
          <w:i/>
          <w:vertAlign w:val="subscript"/>
        </w:rPr>
        <w:t>leaf</w:t>
      </w:r>
      <w:r w:rsidR="00903349" w:rsidRPr="006B044F">
        <w:t xml:space="preserve"> </w:t>
      </w:r>
      <w:r w:rsidR="00B85F62" w:rsidRPr="006B044F">
        <w:t xml:space="preserve">denotes residue </w:t>
      </w:r>
      <w:r w:rsidR="00903349" w:rsidRPr="006B044F">
        <w:t>detected on a leaf sample in μg</w:t>
      </w:r>
      <w:r w:rsidR="00B85F62" w:rsidRPr="006B044F">
        <w:t xml:space="preserve">, and </w:t>
      </w:r>
      <w:r w:rsidR="00B85F62" w:rsidRPr="006B044F">
        <w:rPr>
          <w:rFonts w:ascii="Cambria Math" w:hAnsi="Cambria Math"/>
          <w:i/>
        </w:rPr>
        <w:t>A</w:t>
      </w:r>
      <w:r w:rsidR="00B85F62" w:rsidRPr="006B044F">
        <w:t xml:space="preserve"> denotes leaf area in cm</w:t>
      </w:r>
      <w:r w:rsidR="00B85F62" w:rsidRPr="006B044F">
        <w:rPr>
          <w:vertAlign w:val="superscript"/>
        </w:rPr>
        <w:t>2</w:t>
      </w:r>
      <w:r w:rsidR="00B85F62" w:rsidRPr="006B044F">
        <w:t>.</w:t>
      </w:r>
    </w:p>
    <w:p w14:paraId="147521F6" w14:textId="0E8A6162" w:rsidR="00B85F62" w:rsidRPr="006B044F" w:rsidRDefault="00B85F62" w:rsidP="00E94812">
      <w:pPr>
        <w:spacing w:line="480" w:lineRule="auto"/>
      </w:pPr>
    </w:p>
    <w:p w14:paraId="7BE10E7C" w14:textId="77777777" w:rsidR="0052301A" w:rsidRPr="006B044F" w:rsidRDefault="0052301A" w:rsidP="0052301A">
      <w:pPr>
        <w:spacing w:line="480" w:lineRule="auto"/>
        <w:rPr>
          <w:b/>
        </w:rPr>
      </w:pPr>
      <w:r w:rsidRPr="006B044F">
        <w:rPr>
          <w:b/>
        </w:rPr>
        <w:t>8.4 Gas chromatography-mass spectrometry (GC-MS)</w:t>
      </w:r>
    </w:p>
    <w:p w14:paraId="03F59500" w14:textId="66C4C95D" w:rsidR="0052301A" w:rsidRPr="006B044F" w:rsidRDefault="0052301A" w:rsidP="0052301A">
      <w:pPr>
        <w:spacing w:line="480" w:lineRule="auto"/>
      </w:pPr>
      <w:r w:rsidRPr="006B044F">
        <w:t xml:space="preserve">Penconazole residues were determined using a Clarus 680/600C GC-MS (PerkinElmer, UK) fitted with an Elite-5MS fused silica capillary column </w:t>
      </w:r>
      <w:bookmarkStart w:id="21" w:name="_Hlk517342337"/>
      <w:r w:rsidRPr="006B044F">
        <w:t xml:space="preserve">(L 30 m </w:t>
      </w:r>
      <w:r w:rsidR="00FC09BA" w:rsidRPr="006B044F">
        <w:t xml:space="preserve">× </w:t>
      </w:r>
      <w:r w:rsidRPr="006B044F">
        <w:t xml:space="preserve">0.25 mm i.d. </w:t>
      </w:r>
      <w:r w:rsidR="00FC09BA" w:rsidRPr="006B044F">
        <w:t>×</w:t>
      </w:r>
      <w:r w:rsidRPr="006B044F">
        <w:t xml:space="preserve"> 0.25 μm film thickness; PerkinElmer, UK).</w:t>
      </w:r>
      <w:bookmarkEnd w:id="21"/>
      <w:r w:rsidRPr="006B044F">
        <w:t xml:space="preserve"> Samples were prepared in acetonitrile for analysis and 1 μL injected via a split-splitless injection port operated in splitless mode (splitless time 1 min; </w:t>
      </w:r>
      <w:r w:rsidRPr="006B044F">
        <w:lastRenderedPageBreak/>
        <w:t>injector temperature 250°C). The oven was programmed from an initial temperature of 50˚C (hold 1 min) to 300˚C at a rate of 20˚C min</w:t>
      </w:r>
      <w:r w:rsidRPr="006B044F">
        <w:rPr>
          <w:vertAlign w:val="superscript"/>
        </w:rPr>
        <w:t>-1</w:t>
      </w:r>
      <w:r w:rsidRPr="006B044F">
        <w:t xml:space="preserve"> where it was held for 3 min. Helium (99.999% purity) was used as the carrier gas at a flow rate of 1 mL min</w:t>
      </w:r>
      <w:r w:rsidRPr="006B044F">
        <w:rPr>
          <w:vertAlign w:val="superscript"/>
        </w:rPr>
        <w:t>-1</w:t>
      </w:r>
      <w:r w:rsidRPr="006B044F">
        <w:t xml:space="preserve">. The MS was operated in electron ionisation (EI) mode with an ionisation energy of 70 eV, source temperature of 180°C and inlet line temperature of 240°C. Data was acquired in selected ion monitoring (SIM) mode at </w:t>
      </w:r>
      <w:r w:rsidRPr="006B044F">
        <w:rPr>
          <w:i/>
        </w:rPr>
        <w:t>m</w:t>
      </w:r>
      <w:r w:rsidRPr="006B044F">
        <w:t>/</w:t>
      </w:r>
      <w:r w:rsidRPr="006B044F">
        <w:rPr>
          <w:i/>
        </w:rPr>
        <w:t>z</w:t>
      </w:r>
      <w:r w:rsidRPr="006B044F">
        <w:t xml:space="preserve"> 159 and 248 (dwell time 100 ms), used for quantification of penconazole. </w:t>
      </w:r>
      <w:r w:rsidRPr="00C73D75">
        <w:fldChar w:fldCharType="begin" w:fldLock="1"/>
      </w:r>
      <w:r w:rsidR="00274D82" w:rsidRPr="006B044F">
        <w:instrText>ADDIN CSL_CITATION {"citationItems":[{"id":"ITEM-1","itemData":{"DOI":"10.1016/j.chroma.2008.02.087","ISBN":"0021-9673","ISSN":"00219673","PMID":"18343389","abstract":"A gas chromatographic method was developed for simultaneously determining residues of 12 insecticides (acrinathrin, bifenthrin, carbofuran, cyfluthrin, λ-cyhalothrin, cypermethrin, chlorfenvinphos, deltamethrin, esfenvalerate, fenamiphos, methiocarb and τ-fluvalinate) and 11 fungicides (cyprodinil, fludioxonil, iprodione, metalaxyl, penconazole, pyrimethanil, procymidone tebuconazole, triadimefon, triadimenol and vinclozolin) in leafy vegetables. Samples were extracted with acetonitrile and cleaned-up with graphitized carbon black/primary secondary amine (GCB/PSA) solid-phase extraction (SPE) cartridges using acetonitrile:toluene (3:1, v/v) as eluent. The eluate was finally evaporated and redissolved with 0.5 mL of acetone containing the internal standards (pentachlorobenzene and fenpropathrin) and three analyte protectants (3-ethoxy-1,2-propanediol, d-sorbitol and l-gulonic acid γ-lactone). The addition of analyte protectants allows to avoid the matrix-induced response enhancement effect on quantitation process with absolute recoveries ca. 100%. Precision (expressed as relative standard deviation) was lower than 10% for all pesticides and finally, limits of detection were also 10-20 times lower than maxima residue levels (MRLs) established by European Regulation. The proposed method was applied to determine pesticide residues in commercial leafy vegetables (lettuce, Swiss chard and spinach) purchased from markets in Orense (NW Spain). Pesticide residues were detected in 84% of the total samples (63 from 75 samples) and pesticide concentrations were higher than MRL in 18 samples. © 2008 Elsevier B.V. All rights reserved.","author":[{"dropping-particle":"","family":"González-Rodríguez","given":"Rosa Ma","non-dropping-particle":"","parse-names":false,"suffix":""},{"dropping-particle":"","family":"Rial-Otero","given":"Raquel","non-dropping-particle":"","parse-names":false,"suffix":""},{"dropping-particle":"","family":"Cancho-Grande","given":"Beatriz","non-dropping-particle":"","parse-names":false,"suffix":""},{"dropping-particle":"","family":"Simal-Gándara","given":"Jesús","non-dropping-particle":"","parse-names":false,"suffix":""}],"container-title":"Journal of Chromatography A","id":"ITEM-1","issue":"1-2","issued":{"date-parts":[["2008"]]},"page":"100-109","title":"Determination of 23 pesticide residues in leafy vegetables using gas chromatography-ion trap mass spectrometry and analyte protectants","type":"article-journal","volume":"1196-1197"},"uris":["http://www.mendeley.com/documents/?uuid=f0c9a84b-9640-445d-b0aa-2220df7979c3"]}],"mendeley":{"formattedCitation":"&lt;sup&gt;45&lt;/sup&gt;","plainTextFormattedCitation":"45","previouslyFormattedCitation":"&lt;sup&gt;45&lt;/sup&gt;"},"properties":{"noteIndex":0},"schema":"https://github.com/citation-style-language/schema/raw/master/csl-citation.json"}</w:instrText>
      </w:r>
      <w:r w:rsidRPr="00C73D75">
        <w:fldChar w:fldCharType="separate"/>
      </w:r>
      <w:r w:rsidR="00676545" w:rsidRPr="006B044F">
        <w:rPr>
          <w:noProof/>
          <w:vertAlign w:val="superscript"/>
        </w:rPr>
        <w:t>45</w:t>
      </w:r>
      <w:r w:rsidRPr="00C73D75">
        <w:fldChar w:fldCharType="end"/>
      </w:r>
      <w:r w:rsidRPr="006B044F">
        <w:t xml:space="preserve"> The solvent delay was set to 4 min and the total run time was 16.5 min. Penconazole eluted with a retention time of 11 min. Instrument control, data acquisition and processing was by Turbomass software v5.4.1617 (PerkinElmer, UK).</w:t>
      </w:r>
    </w:p>
    <w:p w14:paraId="4D93C8CE" w14:textId="7686DE0F" w:rsidR="009167BA" w:rsidRPr="006B044F" w:rsidRDefault="009167BA" w:rsidP="00E94812">
      <w:pPr>
        <w:spacing w:line="480" w:lineRule="auto"/>
      </w:pPr>
    </w:p>
    <w:p w14:paraId="398B5BE1" w14:textId="7C291DCA" w:rsidR="009167BA" w:rsidRPr="006B044F" w:rsidRDefault="00F11B05" w:rsidP="00E94812">
      <w:pPr>
        <w:spacing w:line="480" w:lineRule="auto"/>
        <w:rPr>
          <w:b/>
        </w:rPr>
      </w:pPr>
      <w:bookmarkStart w:id="22" w:name="_Toc469323089"/>
      <w:r w:rsidRPr="006B044F">
        <w:rPr>
          <w:b/>
        </w:rPr>
        <w:t>8</w:t>
      </w:r>
      <w:r w:rsidR="004F5438" w:rsidRPr="006B044F">
        <w:rPr>
          <w:b/>
        </w:rPr>
        <w:t xml:space="preserve">.5 </w:t>
      </w:r>
      <w:r w:rsidR="009167BA" w:rsidRPr="006B044F">
        <w:rPr>
          <w:b/>
        </w:rPr>
        <w:t>Analytical method development</w:t>
      </w:r>
      <w:bookmarkEnd w:id="22"/>
    </w:p>
    <w:p w14:paraId="3250A6CC" w14:textId="01929BE6" w:rsidR="009167BA" w:rsidRPr="006B044F" w:rsidRDefault="009167BA" w:rsidP="00E94812">
      <w:pPr>
        <w:spacing w:line="480" w:lineRule="auto"/>
      </w:pPr>
      <w:r w:rsidRPr="006B044F">
        <w:t xml:space="preserve">To determine the accuracy of the GC-MS method, apple leaves washed in deionised water were spiked with known quantities of penconazole analytical standard (Sigma Aldrich, Dorset, UK) in acetonitrile at </w:t>
      </w:r>
      <w:r w:rsidR="00C36FED" w:rsidRPr="006B044F">
        <w:t>five</w:t>
      </w:r>
      <w:r w:rsidRPr="006B044F">
        <w:t xml:space="preserve"> concentrations ranging from 0.1 – 4 μg per leaf, a range that covered all field residues determined in this study. </w:t>
      </w:r>
      <w:bookmarkStart w:id="23" w:name="_Hlk517342571"/>
      <w:r w:rsidRPr="006B044F">
        <w:t xml:space="preserve">These leaves were </w:t>
      </w:r>
      <w:r w:rsidR="00F06269" w:rsidRPr="006B044F">
        <w:t xml:space="preserve">subject to extraction and SPE </w:t>
      </w:r>
      <w:r w:rsidRPr="006B044F">
        <w:t>using the method previously outlined</w:t>
      </w:r>
      <w:r w:rsidR="00FC09BA" w:rsidRPr="006B044F">
        <w:t xml:space="preserve"> in Section 8.3</w:t>
      </w:r>
      <w:r w:rsidRPr="006B044F">
        <w:t>.</w:t>
      </w:r>
      <w:bookmarkEnd w:id="23"/>
      <w:r w:rsidRPr="006B044F">
        <w:t xml:space="preserve"> Penconazole recovery was calculated along with the</w:t>
      </w:r>
      <w:r w:rsidR="00CD7197" w:rsidRPr="006B044F">
        <w:t xml:space="preserve"> co-efficient of variation (CV)</w:t>
      </w:r>
      <w:r w:rsidRPr="006B044F">
        <w:t>. Method precisio</w:t>
      </w:r>
      <w:r w:rsidR="00C36FED" w:rsidRPr="006B044F">
        <w:t>n was determined by extracting five</w:t>
      </w:r>
      <w:r w:rsidRPr="006B044F">
        <w:t xml:space="preserve"> apple leaves spiked with 2 μg penconazole, and was expressed as </w:t>
      </w:r>
      <w:r w:rsidR="00CD7197" w:rsidRPr="006B044F">
        <w:t>CV</w:t>
      </w:r>
      <w:r w:rsidRPr="006B044F">
        <w:t>.</w:t>
      </w:r>
      <w:r w:rsidR="009A0388" w:rsidRPr="006B044F">
        <w:t xml:space="preserve"> In a further step to validate the experimental method, a storage stability study was conducted where ten washed apple leaves were spiked with 2 μg penconazole each. One set of five leaves were extracted and analysed once residues were dry, </w:t>
      </w:r>
      <w:bookmarkStart w:id="24" w:name="_Hlk517343179"/>
      <w:r w:rsidR="009A0388" w:rsidRPr="006B044F">
        <w:t xml:space="preserve">and one set of five leaves were stored </w:t>
      </w:r>
      <w:r w:rsidR="00982DBD" w:rsidRPr="006B044F">
        <w:t>at -20</w:t>
      </w:r>
      <w:r w:rsidR="00982DBD" w:rsidRPr="006B044F">
        <w:sym w:font="Symbol" w:char="F0B0"/>
      </w:r>
      <w:r w:rsidR="00982DBD" w:rsidRPr="006B044F">
        <w:t xml:space="preserve">C </w:t>
      </w:r>
      <w:bookmarkEnd w:id="24"/>
      <w:r w:rsidR="00982DBD" w:rsidRPr="006B044F">
        <w:t xml:space="preserve">after drying </w:t>
      </w:r>
      <w:r w:rsidR="009A0388" w:rsidRPr="006B044F">
        <w:t xml:space="preserve">for a total of 37 weeks before being defrosted, extracted and analysed. The penconazole recovery rate was determined along with CV. </w:t>
      </w:r>
    </w:p>
    <w:p w14:paraId="31B8B690" w14:textId="0B22C629" w:rsidR="00903349" w:rsidRPr="006B044F" w:rsidRDefault="00903349" w:rsidP="00903349">
      <w:pPr>
        <w:spacing w:line="480" w:lineRule="auto"/>
      </w:pPr>
      <w:r w:rsidRPr="006B044F">
        <w:lastRenderedPageBreak/>
        <w:t xml:space="preserve">Recoveries were in the range of 74 – 119% (mean 90%; </w:t>
      </w:r>
      <w:r w:rsidRPr="006B044F">
        <w:rPr>
          <w:i/>
        </w:rPr>
        <w:t>n</w:t>
      </w:r>
      <w:r w:rsidRPr="006B044F">
        <w:t xml:space="preserve"> = 21), with </w:t>
      </w:r>
      <w:r w:rsidR="00CF581C" w:rsidRPr="006B044F">
        <w:t>CV</w:t>
      </w:r>
      <w:r w:rsidRPr="006B044F">
        <w:t xml:space="preserve"> of 5.9 – 24.9% (mean 11.9%) for all standard concentrations. Precision, calculated from five 2 μg mL</w:t>
      </w:r>
      <w:r w:rsidRPr="006B044F">
        <w:rPr>
          <w:vertAlign w:val="superscript"/>
        </w:rPr>
        <w:t>-1</w:t>
      </w:r>
      <w:r w:rsidRPr="006B044F">
        <w:t xml:space="preserve"> samples, was 7.9% </w:t>
      </w:r>
      <w:r w:rsidR="00F06269" w:rsidRPr="006B044F">
        <w:t xml:space="preserve">and within the </w:t>
      </w:r>
      <w:r w:rsidRPr="006B044F">
        <w:t xml:space="preserve">acceptable CV limit </w:t>
      </w:r>
      <w:r w:rsidR="00F06269" w:rsidRPr="006B044F">
        <w:t xml:space="preserve">of </w:t>
      </w:r>
      <w:r w:rsidRPr="006B044F">
        <w:t xml:space="preserve">20%. </w:t>
      </w:r>
      <w:r w:rsidRPr="00C73D75">
        <w:fldChar w:fldCharType="begin" w:fldLock="1"/>
      </w:r>
      <w:r w:rsidR="00274D82" w:rsidRPr="006B044F">
        <w:instrText>ADDIN CSL_CITATION {"citationItems":[{"id":"ITEM-1","itemData":{"author":[{"dropping-particle":"","family":"EU","given":"","non-dropping-particle":"","parse-names":false,"suffix":""}],"container-title":"Official Journal of the European Union","id":"ITEM-1","issue":"18","issued":{"date-parts":[["1996"]]},"title":"Commission Directive 96/46/EC of 16 July 1996 amending Council Directive 91/414/EEC concerning the placing of plant protection products on the market","type":"article-journal","volume":"214"},"uris":["http://www.mendeley.com/documents/?uuid=3ac5d5a1-4982-4f6f-9915-884ae2b78690"]}],"mendeley":{"formattedCitation":"&lt;sup&gt;46&lt;/sup&gt;","plainTextFormattedCitation":"46","previouslyFormattedCitation":"&lt;sup&gt;46&lt;/sup&gt;"},"properties":{"noteIndex":0},"schema":"https://github.com/citation-style-language/schema/raw/master/csl-citation.json"}</w:instrText>
      </w:r>
      <w:r w:rsidRPr="00C73D75">
        <w:fldChar w:fldCharType="separate"/>
      </w:r>
      <w:r w:rsidR="00676545" w:rsidRPr="006B044F">
        <w:rPr>
          <w:noProof/>
          <w:vertAlign w:val="superscript"/>
        </w:rPr>
        <w:t>46</w:t>
      </w:r>
      <w:r w:rsidRPr="00C73D75">
        <w:fldChar w:fldCharType="end"/>
      </w:r>
      <w:r w:rsidR="009A0388" w:rsidRPr="006B044F">
        <w:t xml:space="preserve"> Our storage stability study showed t</w:t>
      </w:r>
      <w:r w:rsidR="00296A98" w:rsidRPr="006B044F">
        <w:t xml:space="preserve">hat recovery </w:t>
      </w:r>
      <w:r w:rsidR="00B44C32" w:rsidRPr="006B044F">
        <w:t>was in the range</w:t>
      </w:r>
      <w:r w:rsidR="00296A98" w:rsidRPr="006B044F">
        <w:t xml:space="preserve"> 83 – 110% (mean</w:t>
      </w:r>
      <w:r w:rsidR="009A0388" w:rsidRPr="006B044F">
        <w:t xml:space="preserve"> </w:t>
      </w:r>
      <w:r w:rsidR="00296A98" w:rsidRPr="006B044F">
        <w:t>99%)</w:t>
      </w:r>
      <w:r w:rsidR="0090137F" w:rsidRPr="006B044F">
        <w:t xml:space="preserve"> after 37 weeks</w:t>
      </w:r>
      <w:r w:rsidR="00296A98" w:rsidRPr="006B044F">
        <w:t>.</w:t>
      </w:r>
    </w:p>
    <w:p w14:paraId="16407D05" w14:textId="0316A930" w:rsidR="00903349" w:rsidRPr="006B044F" w:rsidRDefault="00903349" w:rsidP="00903349">
      <w:pPr>
        <w:spacing w:line="480" w:lineRule="auto"/>
      </w:pPr>
      <w:r w:rsidRPr="006B044F">
        <w:t xml:space="preserve">Analytical limit of detection (LOD) and limit of quantitation (LOQ) were calculated using signal to noise ratios of 3:1 and 10:1 respectively, </w:t>
      </w:r>
      <w:r w:rsidRPr="00C73D75">
        <w:fldChar w:fldCharType="begin" w:fldLock="1"/>
      </w:r>
      <w:r w:rsidR="00274D82" w:rsidRPr="006B044F">
        <w:instrText>ADDIN CSL_CITATION {"citationItems":[{"id":"ITEM-1","itemData":{"DOI":"10.1021/ac981179n","ISSN":"0003-2700","author":[{"dropping-particle":"","family":"Vial","given":"J","non-dropping-particle":"","parse-names":false,"suffix":""},{"dropping-particle":"","family":"Jardy","given":"A","non-dropping-particle":"","parse-names":false,"suffix":""}],"container-title":"Analytical Chemistry","id":"ITEM-1","issue":"14","issued":{"date-parts":[["1999"]]},"note":"Times Cited: 133\n2\n137","page":"2672-2677","title":"Experimental comparison of the different approaches to estimate LOD and LOQ of an HPLC method","type":"article-journal","volume":"71"},"uris":["http://www.mendeley.com/documents/?uuid=1d9bf889-558f-4b55-8470-c3986e7cb844"]}],"mendeley":{"formattedCitation":"&lt;sup&gt;47&lt;/sup&gt;","plainTextFormattedCitation":"47","previouslyFormattedCitation":"&lt;sup&gt;47&lt;/sup&gt;"},"properties":{"noteIndex":0},"schema":"https://github.com/citation-style-language/schema/raw/master/csl-citation.json"}</w:instrText>
      </w:r>
      <w:r w:rsidRPr="00C73D75">
        <w:fldChar w:fldCharType="separate"/>
      </w:r>
      <w:r w:rsidR="00676545" w:rsidRPr="006B044F">
        <w:rPr>
          <w:noProof/>
          <w:vertAlign w:val="superscript"/>
        </w:rPr>
        <w:t>47</w:t>
      </w:r>
      <w:r w:rsidRPr="00C73D75">
        <w:fldChar w:fldCharType="end"/>
      </w:r>
      <w:r w:rsidRPr="006B044F">
        <w:t xml:space="preserve"> determined </w:t>
      </w:r>
      <w:r w:rsidR="00F06269" w:rsidRPr="006B044F">
        <w:t>for</w:t>
      </w:r>
      <w:r w:rsidRPr="006B044F">
        <w:t xml:space="preserve"> spiked apple leaves. LOD and LOQ for penconazole were 0.08 mg kg</w:t>
      </w:r>
      <w:r w:rsidRPr="006B044F">
        <w:rPr>
          <w:vertAlign w:val="superscript"/>
        </w:rPr>
        <w:t>-1</w:t>
      </w:r>
      <w:r w:rsidRPr="006B044F">
        <w:t xml:space="preserve"> and 0.26 mg kg</w:t>
      </w:r>
      <w:r w:rsidRPr="006B044F">
        <w:rPr>
          <w:vertAlign w:val="superscript"/>
        </w:rPr>
        <w:t>-1</w:t>
      </w:r>
      <w:r w:rsidRPr="006B044F">
        <w:t xml:space="preserve"> respectively. No field samples had detected residues </w:t>
      </w:r>
      <w:r w:rsidR="00CF581C" w:rsidRPr="006B044F">
        <w:t xml:space="preserve">that were </w:t>
      </w:r>
      <w:r w:rsidRPr="006B044F">
        <w:t>below the LOQ</w:t>
      </w:r>
      <w:r w:rsidR="00F06269" w:rsidRPr="006B044F">
        <w:t>, including the controls collected before the spray event</w:t>
      </w:r>
      <w:r w:rsidRPr="006B044F">
        <w:t>.</w:t>
      </w:r>
    </w:p>
    <w:p w14:paraId="463659F2" w14:textId="77777777" w:rsidR="00CF581C" w:rsidRPr="006B044F" w:rsidRDefault="00CF581C" w:rsidP="00903349">
      <w:pPr>
        <w:spacing w:line="480" w:lineRule="auto"/>
      </w:pPr>
    </w:p>
    <w:p w14:paraId="50F03A00" w14:textId="343AD0B5" w:rsidR="00D94898" w:rsidRPr="006B044F" w:rsidRDefault="00F11B05" w:rsidP="00E94812">
      <w:pPr>
        <w:spacing w:line="480" w:lineRule="auto"/>
        <w:rPr>
          <w:b/>
        </w:rPr>
      </w:pPr>
      <w:bookmarkStart w:id="25" w:name="_Toc469323090"/>
      <w:r w:rsidRPr="006B044F">
        <w:rPr>
          <w:b/>
        </w:rPr>
        <w:t>8</w:t>
      </w:r>
      <w:r w:rsidR="004F5438" w:rsidRPr="006B044F">
        <w:rPr>
          <w:b/>
        </w:rPr>
        <w:t xml:space="preserve">.6 </w:t>
      </w:r>
      <w:r w:rsidR="00FA4912" w:rsidRPr="006B044F">
        <w:rPr>
          <w:b/>
        </w:rPr>
        <w:t>Spray pattern</w:t>
      </w:r>
      <w:r w:rsidR="00D94898" w:rsidRPr="006B044F">
        <w:rPr>
          <w:b/>
        </w:rPr>
        <w:t xml:space="preserve"> analysis</w:t>
      </w:r>
      <w:bookmarkEnd w:id="25"/>
    </w:p>
    <w:p w14:paraId="2AEDFF52" w14:textId="1EE14D02" w:rsidR="00D94898" w:rsidRPr="006B044F" w:rsidRDefault="00822DB2" w:rsidP="00F24EE5">
      <w:pPr>
        <w:spacing w:line="480" w:lineRule="auto"/>
      </w:pPr>
      <w:r w:rsidRPr="006B044F">
        <w:t xml:space="preserve">Following a review of the various image analysis packages available, DepositScan, a freely available droplet analysis program was </w:t>
      </w:r>
      <w:r w:rsidR="00B44C32" w:rsidRPr="006B044F">
        <w:t>selected for use in this study</w:t>
      </w:r>
      <w:r w:rsidR="00D04A79" w:rsidRPr="006B044F">
        <w:t>.</w:t>
      </w:r>
      <w:r w:rsidRPr="006B044F">
        <w:t xml:space="preserve"> </w:t>
      </w:r>
      <w:r w:rsidR="00F24EE5" w:rsidRPr="00C73D75">
        <w:fldChar w:fldCharType="begin" w:fldLock="1"/>
      </w:r>
      <w:r w:rsidR="00274D82" w:rsidRPr="006B044F">
        <w:instrText>ADDIN CSL_CITATION {"citationItems":[{"id":"ITEM-1","itemData":{"DOI":"10.1016/j.compag.2011.01.003","ISSN":"01681699","abstract":"Preventing over- or under-spray applications on intended targets require a system to rapidly measure spray coverage and provide spray quality feedback information. A portable scanning system was developed that could quickly evaluate spray deposit distribution and coverage area on deposit collectors such as water sensitive paper or Kromekote\n                        ?? card. The system is integrated with a handheld business card scanner, deposit collectors, a laptop computer, and a custom-designed software package entitled \"DepositScan\" The software is composed of a set of custom plug-ins that are used by an image-processing program (ImageJ) to produce a number of measurements suitable for describing spray deposit distribution. The program worked with the handheld business card scanner to scan spray deposits on the collectors. After scanning the collectors, individual droplet sizes, their distributions, total droplet number, droplet density, amount of spray deposits, and percentage of spray coverage are displayed on the computer screen and saved in a spreadsheet. Spots smaller than 23.9??m are ignored by DepositScan when 2400dpi resolution was used. Observations of nominal size spots through a stereoscopic microscope verified the accuracy of the system, and demonstrated that because of pixel limitations, the accuracy of any image-processing program using the pixel recognition technique would decrease as the spot sizes decrease. The portable scanning system offers a convenient solution for on-the-spot evaluation of spray quality under various working conditions. ?? 2011 Elsevier B.V.","author":[{"dropping-particle":"","family":"Zhu","given":"Heping","non-dropping-particle":"","parse-names":false,"suffix":""},{"dropping-particle":"","family":"Salyani","given":"Masoud","non-dropping-particle":"","parse-names":false,"suffix":""},{"dropping-particle":"","family":"Fox","given":"Robert D.","non-dropping-particle":"","parse-names":false,"suffix":""}],"container-title":"Computers and Electronics in Agriculture","id":"ITEM-1","issue":"1","issued":{"date-parts":[["2011"]]},"page":"38-43","publisher":"Elsevier B.V.","title":"A portable scanning system for evaluation of spray deposit distribution","type":"article-journal","volume":"76"},"uris":["http://www.mendeley.com/documents/?uuid=5b0cdc15-aaa1-45dc-bbb4-2a72278581ea"]}],"mendeley":{"formattedCitation":"&lt;sup&gt;34&lt;/sup&gt;","plainTextFormattedCitation":"34","previouslyFormattedCitation":"&lt;sup&gt;34&lt;/sup&gt;"},"properties":{"noteIndex":0},"schema":"https://github.com/citation-style-language/schema/raw/master/csl-citation.json"}</w:instrText>
      </w:r>
      <w:r w:rsidR="00F24EE5" w:rsidRPr="00C73D75">
        <w:fldChar w:fldCharType="separate"/>
      </w:r>
      <w:r w:rsidR="00676545" w:rsidRPr="006B044F">
        <w:rPr>
          <w:noProof/>
          <w:vertAlign w:val="superscript"/>
        </w:rPr>
        <w:t>34</w:t>
      </w:r>
      <w:r w:rsidR="00F24EE5" w:rsidRPr="00C73D75">
        <w:fldChar w:fldCharType="end"/>
      </w:r>
      <w:r w:rsidR="00126A99" w:rsidRPr="006B044F">
        <w:t xml:space="preserve"> </w:t>
      </w:r>
      <w:bookmarkStart w:id="26" w:name="_Hlk517343486"/>
      <w:bookmarkStart w:id="27" w:name="_Hlk517343504"/>
      <w:r w:rsidR="00D94898" w:rsidRPr="006B044F">
        <w:t xml:space="preserve">Individual </w:t>
      </w:r>
      <w:r w:rsidR="00FA4912" w:rsidRPr="006B044F">
        <w:t xml:space="preserve">water sensitive paper </w:t>
      </w:r>
      <w:r w:rsidR="00D94898" w:rsidRPr="006B044F">
        <w:t>cards</w:t>
      </w:r>
      <w:r w:rsidR="000A4E2A" w:rsidRPr="006B044F">
        <w:t xml:space="preserve"> (WSP)</w:t>
      </w:r>
      <w:r w:rsidR="00D94898" w:rsidRPr="006B044F">
        <w:t xml:space="preserve"> were scanned on a flatbed scanner</w:t>
      </w:r>
      <w:bookmarkEnd w:id="26"/>
      <w:r w:rsidR="00D94898" w:rsidRPr="006B044F">
        <w:t xml:space="preserve"> </w:t>
      </w:r>
      <w:bookmarkEnd w:id="27"/>
      <w:r w:rsidR="00D94898" w:rsidRPr="006B044F">
        <w:t xml:space="preserve">(Canon </w:t>
      </w:r>
      <w:r w:rsidR="00F24EE5" w:rsidRPr="006B044F">
        <w:t>CanoScan 9000F</w:t>
      </w:r>
      <w:r w:rsidR="00D94898" w:rsidRPr="006B044F">
        <w:t>) a</w:t>
      </w:r>
      <w:r w:rsidR="00126A99" w:rsidRPr="006B044F">
        <w:t xml:space="preserve">t a resolution of 600 dpi </w:t>
      </w:r>
      <w:r w:rsidRPr="006B044F">
        <w:t xml:space="preserve">as greyscale </w:t>
      </w:r>
      <w:r w:rsidR="00F06269" w:rsidRPr="006B044F">
        <w:t xml:space="preserve">bitmap </w:t>
      </w:r>
      <w:r w:rsidRPr="006B044F">
        <w:t>images</w:t>
      </w:r>
      <w:r w:rsidR="00F06269" w:rsidRPr="006B044F">
        <w:t xml:space="preserve"> and cropped and converted to GIF file type using Irfanview v4.4</w:t>
      </w:r>
      <w:r w:rsidR="00D7048A" w:rsidRPr="006B044F">
        <w:t>.</w:t>
      </w:r>
      <w:r w:rsidR="00F06269" w:rsidRPr="006B044F">
        <w:t xml:space="preserve"> </w:t>
      </w:r>
      <w:r w:rsidR="00D7048A" w:rsidRPr="006B044F">
        <w:t>S</w:t>
      </w:r>
      <w:r w:rsidR="00812338" w:rsidRPr="006B044F">
        <w:t xml:space="preserve">everal factors were determined by </w:t>
      </w:r>
      <w:r w:rsidRPr="006B044F">
        <w:t>DepositScan</w:t>
      </w:r>
      <w:r w:rsidR="00812338" w:rsidRPr="006B044F">
        <w:t xml:space="preserve"> including s</w:t>
      </w:r>
      <w:r w:rsidR="00D94898" w:rsidRPr="006B044F">
        <w:t>pray coverage (percentage of</w:t>
      </w:r>
      <w:r w:rsidR="000327A0" w:rsidRPr="006B044F">
        <w:t xml:space="preserve"> target covered), spray</w:t>
      </w:r>
      <w:r w:rsidR="00D94898" w:rsidRPr="006B044F">
        <w:t xml:space="preserve"> density </w:t>
      </w:r>
      <w:r w:rsidR="00380D05" w:rsidRPr="006B044F">
        <w:t xml:space="preserve">(droplets </w:t>
      </w:r>
      <w:r w:rsidR="00D94898" w:rsidRPr="006B044F">
        <w:t>cm</w:t>
      </w:r>
      <w:r w:rsidR="00380D05" w:rsidRPr="006B044F">
        <w:rPr>
          <w:vertAlign w:val="superscript"/>
        </w:rPr>
        <w:t>-2</w:t>
      </w:r>
      <w:r w:rsidR="00380D05" w:rsidRPr="006B044F">
        <w:t>), and</w:t>
      </w:r>
      <w:r w:rsidR="00547CAC" w:rsidRPr="006B044F">
        <w:t xml:space="preserve"> liquid </w:t>
      </w:r>
      <w:r w:rsidR="00380D05" w:rsidRPr="006B044F">
        <w:t>deposition (</w:t>
      </w:r>
      <w:bookmarkStart w:id="28" w:name="_Hlk517344113"/>
      <w:r w:rsidR="00F11B05" w:rsidRPr="006B044F">
        <w:t>μL</w:t>
      </w:r>
      <w:r w:rsidR="00380D05" w:rsidRPr="006B044F">
        <w:t xml:space="preserve"> </w:t>
      </w:r>
      <w:r w:rsidR="00D94898" w:rsidRPr="006B044F">
        <w:t>cm</w:t>
      </w:r>
      <w:r w:rsidR="00380D05" w:rsidRPr="006B044F">
        <w:rPr>
          <w:vertAlign w:val="superscript"/>
        </w:rPr>
        <w:t>-2</w:t>
      </w:r>
      <w:r w:rsidR="00126A99" w:rsidRPr="006B044F">
        <w:t xml:space="preserve">). </w:t>
      </w:r>
      <w:bookmarkStart w:id="29" w:name="_Hlk517346872"/>
      <w:bookmarkEnd w:id="28"/>
      <w:r w:rsidR="00274D82" w:rsidRPr="006B044F">
        <w:t>The smallest droplet diameter that can be detected by DepositScan is 17 μm</w:t>
      </w:r>
      <w:r w:rsidR="00DA34D0" w:rsidRPr="00C73D75">
        <w:t>;</w:t>
      </w:r>
      <w:r w:rsidR="00274D82" w:rsidRPr="006B044F">
        <w:t xml:space="preserve"> </w:t>
      </w:r>
      <w:bookmarkEnd w:id="29"/>
      <w:r w:rsidR="00274D82" w:rsidRPr="00C73D75">
        <w:fldChar w:fldCharType="begin" w:fldLock="1"/>
      </w:r>
      <w:r w:rsidR="00DA34D0" w:rsidRPr="00C73D75">
        <w:instrText>ADDIN CSL_CITATION {"citationItems":[{"id":"ITEM-1","itemData":{"DOI":"10.1016/j.compag.2011.01.003","ISSN":"01681699","abstract":"Preventing over- or under-spray applications on intended targets require a system to rapidly measure spray coverage and provide spray quality feedback information. A portable scanning system was developed that could quickly evaluate spray deposit distribution and coverage area on deposit collectors such as water sensitive paper or Kromekote\n                        ?? card. The system is integrated with a handheld business card scanner, deposit collectors, a laptop computer, and a custom-designed software package entitled \"DepositScan\" The software is composed of a set of custom plug-ins that are used by an image-processing program (ImageJ) to produce a number of measurements suitable for describing spray deposit distribution. The program worked with the handheld business card scanner to scan spray deposits on the collectors. After scanning the collectors, individual droplet sizes, their distributions, total droplet number, droplet density, amount of spray deposits, and percentage of spray coverage are displayed on the computer screen and saved in a spreadsheet. Spots smaller than 23.9??m are ignored by DepositScan when 2400dpi resolution was used. Observations of nominal size spots through a stereoscopic microscope verified the accuracy of the system, and demonstrated that because of pixel limitations, the accuracy of any image-processing program using the pixel recognition technique would decrease as the spot sizes decrease. The portable scanning system offers a convenient solution for on-the-spot evaluation of spray quality under various working conditions. ?? 2011 Elsevier B.V.","author":[{"dropping-particle":"","family":"Zhu","given":"Heping","non-dropping-particle":"","parse-names":false,"suffix":""},{"dropping-particle":"","family":"Salyani","given":"Masoud","non-dropping-particle":"","parse-names":false,"suffix":""},{"dropping-particle":"","family":"Fox","given":"Robert D.","non-dropping-particle":"","parse-names":false,"suffix":""}],"container-title":"Computers and Electronics in Agriculture","id":"ITEM-1","issue":"1","issued":{"date-parts":[["2011"]]},"page":"38-43","publisher":"Elsevier B.V.","title":"A portable scanning system for evaluation of spray deposit distribution","type":"article-journal","volume":"76"},"uris":["http://www.mendeley.com/documents/?uuid=5b0cdc15-aaa1-45dc-bbb4-2a72278581ea"]}],"mendeley":{"formattedCitation":"&lt;sup&gt;34&lt;/sup&gt;","plainTextFormattedCitation":"34","previouslyFormattedCitation":"&lt;sup&gt;34&lt;/sup&gt;"},"properties":{"noteIndex":0},"schema":"https://github.com/citation-style-language/schema/raw/master/csl-citation.json"}</w:instrText>
      </w:r>
      <w:r w:rsidR="00274D82" w:rsidRPr="00C73D75">
        <w:fldChar w:fldCharType="separate"/>
      </w:r>
      <w:r w:rsidR="00274D82" w:rsidRPr="006B044F">
        <w:rPr>
          <w:noProof/>
          <w:vertAlign w:val="superscript"/>
        </w:rPr>
        <w:t>34</w:t>
      </w:r>
      <w:r w:rsidR="00274D82" w:rsidRPr="00C73D75">
        <w:fldChar w:fldCharType="end"/>
      </w:r>
      <w:r w:rsidR="00274D82" w:rsidRPr="006B044F">
        <w:t xml:space="preserve"> </w:t>
      </w:r>
      <w:r w:rsidR="00DA34D0" w:rsidRPr="00C73D75">
        <w:t xml:space="preserve">however, in the present </w:t>
      </w:r>
      <w:bookmarkStart w:id="30" w:name="_Hlk517359871"/>
      <w:r w:rsidR="00DA34D0" w:rsidRPr="00C73D75">
        <w:t>study the smallest droplet diameter was 52.8 μm.</w:t>
      </w:r>
      <w:bookmarkEnd w:id="30"/>
      <w:r w:rsidR="00DA34D0" w:rsidRPr="00C73D75">
        <w:t xml:space="preserve"> </w:t>
      </w:r>
      <w:r w:rsidR="00126A99" w:rsidRPr="006B044F">
        <w:t>T</w:t>
      </w:r>
      <w:r w:rsidRPr="006B044F">
        <w:t>hese were</w:t>
      </w:r>
      <w:r w:rsidR="00D94898" w:rsidRPr="006B044F">
        <w:t xml:space="preserve"> analysed at the various spatial scales</w:t>
      </w:r>
      <w:r w:rsidR="00126A99" w:rsidRPr="006B044F">
        <w:t xml:space="preserve"> sampled</w:t>
      </w:r>
      <w:r w:rsidR="007F5948" w:rsidRPr="006B044F">
        <w:t xml:space="preserve"> (within tree, between tree, within orchard)</w:t>
      </w:r>
      <w:r w:rsidR="00D94898" w:rsidRPr="006B044F">
        <w:t>.</w:t>
      </w:r>
      <w:r w:rsidR="000E35D1" w:rsidRPr="006B044F">
        <w:t xml:space="preserve"> Volume median diameter (VMD) is a common measure when describing droplet sizes; </w:t>
      </w:r>
      <w:bookmarkStart w:id="31" w:name="_Hlk517344364"/>
      <w:r w:rsidR="000E35D1" w:rsidRPr="006B044F">
        <w:t>however this is easily skewed by</w:t>
      </w:r>
      <w:r w:rsidR="00547CAC" w:rsidRPr="006B044F">
        <w:t xml:space="preserve"> factors such as </w:t>
      </w:r>
      <w:r w:rsidR="000E35D1" w:rsidRPr="006B044F">
        <w:t>a few large droplets</w:t>
      </w:r>
      <w:bookmarkEnd w:id="31"/>
      <w:r w:rsidR="000E35D1" w:rsidRPr="006B044F">
        <w:t xml:space="preserve"> amongst a mostly small droplet pattern</w:t>
      </w:r>
      <w:r w:rsidR="00D04A79" w:rsidRPr="006B044F">
        <w:t>;</w:t>
      </w:r>
      <w:r w:rsidR="000E35D1" w:rsidRPr="006B044F">
        <w:t xml:space="preserve"> </w:t>
      </w:r>
      <w:r w:rsidR="00F24EE5" w:rsidRPr="00C73D75">
        <w:fldChar w:fldCharType="begin" w:fldLock="1"/>
      </w:r>
      <w:r w:rsidR="00274D82" w:rsidRPr="006B044F">
        <w:instrText>ADDIN CSL_CITATION {"citationItems":[{"id":"ITEM-1","itemData":{"DOI":"10.1016/j.biosystemseng.2011.10.002","ISBN":"1537-5110","ISSN":"15375110","abstract":"The performance of several commercial and experimental software packages (Gotas, StainMaster, ImageTool, StainAnalysis, AgroScan, DropletScan and Spray_imageI and II) that produce indicators of crop spraying quality based on the image processing of water-sensitive papers used as artificial targets were compared against known coverage, droplet size spectra and class size distribution verified through manual counting. A number of artificial targets used to test the software were obtained by controlled spray applications and given droplet density between 14 and 108 drops cm -2 and a wide range of droplet size spectra. The results showed that artificial targets coupled with an appropriate image system can be an accurate technique to compute spray parameters. The between-methods differences were 6.7% for droplet density, 11.5% for volume median diameter, &lt;3% for coverage (%) and &lt;3% coverage density. For the 16 droplet class size distribution tested the between-methods differences were all &lt;15%. However, most of the image analysis systems were not effective in accurately measuring coverage density when coverage rate is greater than about 17%. The Spray_imageII software estimated the coverage density with a mean absolute error of 2% and the absolute error is below 10%, even with about 43% of coverage rate. This software, when compared to the other programmes tested, provided the best accuracy for coverage and droplet size spectrum as well as for droplet class size distribution. ?? 2011 IAgrE.","author":[{"dropping-particle":"","family":"Cunha","given":"Mario","non-dropping-particle":"","parse-names":false,"suffix":""},{"dropping-particle":"","family":"Carvalho","given":"Claudia","non-dropping-particle":"","parse-names":false,"suffix":""},{"dropping-particle":"","family":"Marcal","given":"Andre R S","non-dropping-particle":"","parse-names":false,"suffix":""}],"container-title":"Biosystems Engineering","id":"ITEM-1","issue":"1","issued":{"date-parts":[["2012"]]},"note":"From Duplicate 2 (Assessing the ability of image processing software to analyse spray quality on water-sensitive papers used as artificial targets - Cunha, M; Carvalho, C; Marcal, A R S)\n\nTimes Cited: 2\nCunha, Mario Carvalho, Claudia Marcal, Andre R. S.\nMARCAL, ANDRE/F-6230-2013; Cunha, Mario/G-2228-2011\nMARCAL, ANDRE/0000-0002-8501-0974;\n2","page":"11-23","publisher":"IAgrE","title":"Assessing the ability of image processing software to analyse spray quality on water-sensitive papers used as artificial targets","type":"article-journal","volume":"111"},"uris":["http://www.mendeley.com/documents/?uuid=0c563853-7a76-4585-82c5-b04853a5c365"]}],"mendeley":{"formattedCitation":"&lt;sup&gt;28&lt;/sup&gt;","plainTextFormattedCitation":"28","previouslyFormattedCitation":"&lt;sup&gt;28&lt;/sup&gt;"},"properties":{"noteIndex":0},"schema":"https://github.com/citation-style-language/schema/raw/master/csl-citation.json"}</w:instrText>
      </w:r>
      <w:r w:rsidR="00F24EE5" w:rsidRPr="00C73D75">
        <w:fldChar w:fldCharType="separate"/>
      </w:r>
      <w:r w:rsidR="00676545" w:rsidRPr="006B044F">
        <w:rPr>
          <w:noProof/>
          <w:vertAlign w:val="superscript"/>
        </w:rPr>
        <w:t>28</w:t>
      </w:r>
      <w:r w:rsidR="00F24EE5" w:rsidRPr="00C73D75">
        <w:fldChar w:fldCharType="end"/>
      </w:r>
      <w:r w:rsidR="00126A99" w:rsidRPr="006B044F">
        <w:t xml:space="preserve"> thus this metric was omitted.</w:t>
      </w:r>
    </w:p>
    <w:p w14:paraId="0768C728" w14:textId="1FAFF731" w:rsidR="00A93F0F" w:rsidRPr="006B044F" w:rsidRDefault="009F40DD" w:rsidP="00E94812">
      <w:pPr>
        <w:spacing w:line="480" w:lineRule="auto"/>
      </w:pPr>
      <w:bookmarkStart w:id="32" w:name="_Hlk517344529"/>
      <w:r w:rsidRPr="006B044F">
        <w:lastRenderedPageBreak/>
        <w:t xml:space="preserve">It is possible to calculate estimated pesticide </w:t>
      </w:r>
      <w:r w:rsidR="00547CAC" w:rsidRPr="006B044F">
        <w:t>deposi</w:t>
      </w:r>
      <w:r w:rsidR="00547CAC" w:rsidRPr="00C73D75">
        <w:t>ts</w:t>
      </w:r>
      <w:r w:rsidR="00547CAC" w:rsidRPr="006B044F">
        <w:t xml:space="preserve"> on apple leaves </w:t>
      </w:r>
      <w:r w:rsidRPr="006B044F">
        <w:t>using data from DepositScan</w:t>
      </w:r>
      <w:bookmarkEnd w:id="32"/>
      <w:r w:rsidRPr="006B044F">
        <w:t xml:space="preserve">, </w:t>
      </w:r>
      <w:r w:rsidR="008E46D4" w:rsidRPr="006B044F">
        <w:t>if</w:t>
      </w:r>
      <w:r w:rsidR="00380D05" w:rsidRPr="006B044F">
        <w:t xml:space="preserve"> the</w:t>
      </w:r>
      <w:r w:rsidRPr="006B044F">
        <w:t xml:space="preserve"> concentration of pesticide in the spray tank mixture</w:t>
      </w:r>
      <w:r w:rsidR="00380D05" w:rsidRPr="006B044F">
        <w:t xml:space="preserve"> is known</w:t>
      </w:r>
      <w:r w:rsidR="007F5948" w:rsidRPr="006B044F">
        <w:t xml:space="preserve"> (</w:t>
      </w:r>
      <w:r w:rsidR="00B85F62" w:rsidRPr="006B044F">
        <w:t>Equation 2</w:t>
      </w:r>
      <w:r w:rsidR="001D0EC1" w:rsidRPr="006B044F">
        <w:t>).</w:t>
      </w:r>
    </w:p>
    <w:p w14:paraId="59ACFF41" w14:textId="77777777" w:rsidR="007F5948" w:rsidRPr="006B044F" w:rsidRDefault="007F5948" w:rsidP="00E94812">
      <w:pPr>
        <w:spacing w:line="480" w:lineRule="auto"/>
      </w:pPr>
    </w:p>
    <w:p w14:paraId="5CC94384" w14:textId="77777777" w:rsidR="00E22B47" w:rsidRPr="006B044F" w:rsidRDefault="007F5948" w:rsidP="00E94812">
      <w:pPr>
        <w:spacing w:line="480" w:lineRule="auto"/>
        <w:rPr>
          <w:rFonts w:eastAsiaTheme="minorEastAsia"/>
        </w:rPr>
      </w:pPr>
      <m:oMath>
        <m:r>
          <w:rPr>
            <w:rFonts w:ascii="Cambria Math" w:hAnsi="Cambria Math"/>
          </w:rPr>
          <m:t xml:space="preserve">R=C × D </m:t>
        </m:r>
      </m:oMath>
      <w:r w:rsidR="00E22B47" w:rsidRPr="006B044F">
        <w:rPr>
          <w:rFonts w:eastAsiaTheme="minorEastAsia"/>
        </w:rPr>
        <w:tab/>
      </w:r>
      <w:r w:rsidR="00E22B47" w:rsidRPr="006B044F">
        <w:rPr>
          <w:rFonts w:eastAsiaTheme="minorEastAsia"/>
        </w:rPr>
        <w:tab/>
      </w:r>
      <w:r w:rsidR="00E22B47" w:rsidRPr="006B044F">
        <w:rPr>
          <w:rFonts w:eastAsiaTheme="minorEastAsia"/>
        </w:rPr>
        <w:tab/>
      </w:r>
      <w:r w:rsidR="00822DB2"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00E22B47" w:rsidRPr="006B044F">
        <w:rPr>
          <w:rFonts w:eastAsiaTheme="minorEastAsia"/>
        </w:rPr>
        <w:t xml:space="preserve">Equation </w:t>
      </w:r>
      <w:r w:rsidR="00B85F62" w:rsidRPr="006B044F">
        <w:rPr>
          <w:rFonts w:eastAsiaTheme="minorEastAsia"/>
        </w:rPr>
        <w:t>2</w:t>
      </w:r>
    </w:p>
    <w:p w14:paraId="3030162A" w14:textId="78D1B0EF" w:rsidR="007F5948" w:rsidRPr="006B044F" w:rsidRDefault="007F5948" w:rsidP="00E94812">
      <w:pPr>
        <w:spacing w:line="480" w:lineRule="auto"/>
        <w:rPr>
          <w:rFonts w:eastAsiaTheme="minorEastAsia"/>
        </w:rPr>
      </w:pPr>
      <w:r w:rsidRPr="006B044F">
        <w:rPr>
          <w:rFonts w:ascii="Cambria Math" w:eastAsiaTheme="minorEastAsia" w:hAnsi="Cambria Math"/>
          <w:i/>
        </w:rPr>
        <w:t xml:space="preserve">R </w:t>
      </w:r>
      <w:r w:rsidRPr="006B044F">
        <w:rPr>
          <w:rFonts w:eastAsiaTheme="minorEastAsia"/>
        </w:rPr>
        <w:t>denotes active ingredient residue in μg cm</w:t>
      </w:r>
      <w:r w:rsidRPr="006B044F">
        <w:rPr>
          <w:rFonts w:eastAsiaTheme="minorEastAsia"/>
          <w:vertAlign w:val="superscript"/>
        </w:rPr>
        <w:t>-2</w:t>
      </w:r>
      <w:r w:rsidRPr="006B044F">
        <w:rPr>
          <w:rFonts w:eastAsiaTheme="minorEastAsia"/>
        </w:rPr>
        <w:t>;</w:t>
      </w:r>
      <w:r w:rsidRPr="006B044F">
        <w:rPr>
          <w:rFonts w:ascii="Cambria Math" w:eastAsiaTheme="minorEastAsia" w:hAnsi="Cambria Math"/>
          <w:i/>
        </w:rPr>
        <w:t xml:space="preserve"> C</w:t>
      </w:r>
      <w:r w:rsidRPr="006B044F">
        <w:rPr>
          <w:rFonts w:eastAsiaTheme="minorEastAsia"/>
        </w:rPr>
        <w:t xml:space="preserve"> denotes concentration of active ingredient in spray tank mixture in μg </w:t>
      </w:r>
      <w:r w:rsidR="00F11B05" w:rsidRPr="006B044F">
        <w:rPr>
          <w:rFonts w:eastAsiaTheme="minorEastAsia"/>
        </w:rPr>
        <w:t>μL</w:t>
      </w:r>
      <w:r w:rsidRPr="006B044F">
        <w:rPr>
          <w:rFonts w:eastAsiaTheme="minorEastAsia"/>
          <w:vertAlign w:val="superscript"/>
        </w:rPr>
        <w:t>-1</w:t>
      </w:r>
      <w:r w:rsidRPr="006B044F">
        <w:rPr>
          <w:rFonts w:eastAsiaTheme="minorEastAsia"/>
        </w:rPr>
        <w:t xml:space="preserve">; </w:t>
      </w:r>
      <w:r w:rsidRPr="006B044F">
        <w:rPr>
          <w:rFonts w:ascii="Cambria Math" w:eastAsiaTheme="minorEastAsia" w:hAnsi="Cambria Math"/>
          <w:i/>
        </w:rPr>
        <w:t>D</w:t>
      </w:r>
      <w:r w:rsidRPr="006B044F">
        <w:rPr>
          <w:rFonts w:eastAsiaTheme="minorEastAsia"/>
        </w:rPr>
        <w:t xml:space="preserve"> denotes the liquid deposition value calculated by DepositScan in </w:t>
      </w:r>
      <w:r w:rsidR="00F11B05" w:rsidRPr="006B044F">
        <w:rPr>
          <w:rFonts w:eastAsiaTheme="minorEastAsia"/>
        </w:rPr>
        <w:t>μL</w:t>
      </w:r>
      <w:r w:rsidRPr="006B044F">
        <w:rPr>
          <w:rFonts w:eastAsiaTheme="minorEastAsia"/>
        </w:rPr>
        <w:t xml:space="preserve"> cm</w:t>
      </w:r>
      <w:r w:rsidRPr="006B044F">
        <w:rPr>
          <w:rFonts w:eastAsiaTheme="minorEastAsia"/>
          <w:vertAlign w:val="superscript"/>
        </w:rPr>
        <w:t>-2</w:t>
      </w:r>
      <w:r w:rsidRPr="006B044F">
        <w:rPr>
          <w:rFonts w:eastAsiaTheme="minorEastAsia"/>
        </w:rPr>
        <w:t>.</w:t>
      </w:r>
    </w:p>
    <w:p w14:paraId="3FCF22B9" w14:textId="77777777" w:rsidR="00FA4912" w:rsidRPr="006B044F" w:rsidRDefault="00FA4912" w:rsidP="00E94812">
      <w:pPr>
        <w:spacing w:line="480" w:lineRule="auto"/>
      </w:pPr>
    </w:p>
    <w:p w14:paraId="0873E867" w14:textId="5A1448C4" w:rsidR="0097302D" w:rsidRPr="006B044F" w:rsidRDefault="00F11B05" w:rsidP="00E94812">
      <w:pPr>
        <w:spacing w:line="480" w:lineRule="auto"/>
        <w:rPr>
          <w:b/>
        </w:rPr>
      </w:pPr>
      <w:bookmarkStart w:id="33" w:name="_Toc469323091"/>
      <w:r w:rsidRPr="006B044F">
        <w:rPr>
          <w:b/>
        </w:rPr>
        <w:t>8</w:t>
      </w:r>
      <w:r w:rsidR="004F5438" w:rsidRPr="006B044F">
        <w:rPr>
          <w:b/>
        </w:rPr>
        <w:t xml:space="preserve">.7 </w:t>
      </w:r>
      <w:r w:rsidR="0097302D" w:rsidRPr="006B044F">
        <w:rPr>
          <w:b/>
        </w:rPr>
        <w:t>Testing DepositScan</w:t>
      </w:r>
      <w:bookmarkEnd w:id="33"/>
    </w:p>
    <w:p w14:paraId="61A77F0C" w14:textId="04D49EB0" w:rsidR="00B96A6E" w:rsidRPr="006B044F" w:rsidRDefault="0097302D" w:rsidP="00C65E67">
      <w:pPr>
        <w:spacing w:line="480" w:lineRule="auto"/>
      </w:pPr>
      <w:r w:rsidRPr="006B044F">
        <w:t>To test the way in which DepositScan calculates factors such as deposition, a number of tests were designed involving computer generated images of “</w:t>
      </w:r>
      <w:r w:rsidR="00B74D89" w:rsidRPr="006B044F">
        <w:t>stains</w:t>
      </w:r>
      <w:r w:rsidRPr="006B044F">
        <w:t xml:space="preserve">”, with all images generated using Microsoft Paint. </w:t>
      </w:r>
      <w:r w:rsidR="002A0E86" w:rsidRPr="006B044F">
        <w:t>Stains on water sensitive paper are larger than the area covered by the initial droplet due to the solution spreading</w:t>
      </w:r>
      <w:r w:rsidR="00D04A79" w:rsidRPr="006B044F">
        <w:t>.</w:t>
      </w:r>
      <w:r w:rsidR="002A0E86" w:rsidRPr="006B044F">
        <w:t xml:space="preserve"> </w:t>
      </w:r>
      <w:r w:rsidR="00F24EE5" w:rsidRPr="00C73D75">
        <w:fldChar w:fldCharType="begin" w:fldLock="1"/>
      </w:r>
      <w:r w:rsidR="00274D82" w:rsidRPr="006B044F">
        <w:instrText>ADDIN CSL_CITATION {"citationItems":[{"id":"ITEM-1","itemData":{"DOI":"10.1016/j.biosystemseng.2011.10.002","ISBN":"1537-5110","ISSN":"15375110","abstract":"The performance of several commercial and experimental software packages (Gotas, StainMaster, ImageTool, StainAnalysis, AgroScan, DropletScan and Spray_imageI and II) that produce indicators of crop spraying quality based on the image processing of water-sensitive papers used as artificial targets were compared against known coverage, droplet size spectra and class size distribution verified through manual counting. A number of artificial targets used to test the software were obtained by controlled spray applications and given droplet density between 14 and 108 drops cm -2 and a wide range of droplet size spectra. The results showed that artificial targets coupled with an appropriate image system can be an accurate technique to compute spray parameters. The between-methods differences were 6.7% for droplet density, 11.5% for volume median diameter, &lt;3% for coverage (%) and &lt;3% coverage density. For the 16 droplet class size distribution tested the between-methods differences were all &lt;15%. However, most of the image analysis systems were not effective in accurately measuring coverage density when coverage rate is greater than about 17%. The Spray_imageII software estimated the coverage density with a mean absolute error of 2% and the absolute error is below 10%, even with about 43% of coverage rate. This software, when compared to the other programmes tested, provided the best accuracy for coverage and droplet size spectrum as well as for droplet class size distribution. ?? 2011 IAgrE.","author":[{"dropping-particle":"","family":"Cunha","given":"Mario","non-dropping-particle":"","parse-names":false,"suffix":""},{"dropping-particle":"","family":"Carvalho","given":"Claudia","non-dropping-particle":"","parse-names":false,"suffix":""},{"dropping-particle":"","family":"Marcal","given":"Andre R S","non-dropping-particle":"","parse-names":false,"suffix":""}],"container-title":"Biosystems Engineering","id":"ITEM-1","issue":"1","issued":{"date-parts":[["2012"]]},"note":"From Duplicate 2 (Assessing the ability of image processing software to analyse spray quality on water-sensitive papers used as artificial targets - Cunha, M; Carvalho, C; Marcal, A R S)\n\nTimes Cited: 2\nCunha, Mario Carvalho, Claudia Marcal, Andre R. S.\nMARCAL, ANDRE/F-6230-2013; Cunha, Mario/G-2228-2011\nMARCAL, ANDRE/0000-0002-8501-0974;\n2","page":"11-23","publisher":"IAgrE","title":"Assessing the ability of image processing software to analyse spray quality on water-sensitive papers used as artificial targets","type":"article-journal","volume":"111"},"uris":["http://www.mendeley.com/documents/?uuid=0c563853-7a76-4585-82c5-b04853a5c365"]}],"mendeley":{"formattedCitation":"&lt;sup&gt;28&lt;/sup&gt;","plainTextFormattedCitation":"28","previouslyFormattedCitation":"&lt;sup&gt;28&lt;/sup&gt;"},"properties":{"noteIndex":0},"schema":"https://github.com/citation-style-language/schema/raw/master/csl-citation.json"}</w:instrText>
      </w:r>
      <w:r w:rsidR="00F24EE5" w:rsidRPr="00C73D75">
        <w:fldChar w:fldCharType="separate"/>
      </w:r>
      <w:r w:rsidR="00676545" w:rsidRPr="006B044F">
        <w:rPr>
          <w:noProof/>
          <w:vertAlign w:val="superscript"/>
        </w:rPr>
        <w:t>28</w:t>
      </w:r>
      <w:r w:rsidR="00F24EE5" w:rsidRPr="00C73D75">
        <w:fldChar w:fldCharType="end"/>
      </w:r>
      <w:r w:rsidR="00D04A79" w:rsidRPr="006B044F">
        <w:t xml:space="preserve"> </w:t>
      </w:r>
      <w:bookmarkStart w:id="34" w:name="_Hlk517346134"/>
      <w:r w:rsidR="00B96A6E" w:rsidRPr="006B044F">
        <w:t xml:space="preserve">As water sensitive paper absorbs and expands the aqueous portion of a pesticide spray, it has been suggested that </w:t>
      </w:r>
      <w:r w:rsidR="00637C6E" w:rsidRPr="006B044F">
        <w:t xml:space="preserve">the measurement of </w:t>
      </w:r>
      <w:r w:rsidR="00B96A6E" w:rsidRPr="006B044F">
        <w:t>water sensitive paper stains can overestimate the liquid deposition</w:t>
      </w:r>
      <w:bookmarkEnd w:id="34"/>
      <w:r w:rsidR="00D04A79" w:rsidRPr="006B044F">
        <w:t>,</w:t>
      </w:r>
      <w:r w:rsidR="00B96A6E" w:rsidRPr="006B044F">
        <w:t xml:space="preserve"> </w:t>
      </w:r>
      <w:r w:rsidR="00C65E67" w:rsidRPr="00C73D75">
        <w:fldChar w:fldCharType="begin" w:fldLock="1"/>
      </w:r>
      <w:r w:rsidR="00274D82" w:rsidRPr="006B044F">
        <w:instrText>ADDIN CSL_CITATION {"citationItems":[{"id":"ITEM-1","itemData":{"DOI":"10.5424/sjar/2014123-5186","ISSN":"1695-971X","author":[{"dropping-particle":"","family":"Garcera","given":"C","non-dropping-particle":"","parse-names":false,"suffix":""},{"dropping-particle":"","family":"Molto","given":"E","non-dropping-particle":"","parse-names":false,"suffix":""},{"dropping-particle":"","family":"Chueca","given":"P","non-dropping-particle":"","parse-names":false,"suffix":""}],"container-title":"Spanish Journal of Agricultural Research","id":"ITEM-1","issue":"3","issued":{"date-parts":[["2014"]]},"note":"Times Cited: 0\nGarcera, Cruz Molto, Enrique Chueca, Patricia\nMolto, Enrique/A-7846-2013; Chueca, Patricia/D-8112-2014\nMolto, Enrique/0000-0003-3515-0589; Chueca, Patricia/0000-0001-9333-8083\n0","page":"594-602","title":"Development of models to predict product deposition from coverage obtained on artificial collectors and their practical applications","type":"article-journal","volume":"12"},"uris":["http://www.mendeley.com/documents/?uuid=806a1d13-642f-4001-8d23-2dd66d23ae43"]}],"mendeley":{"formattedCitation":"&lt;sup&gt;48&lt;/sup&gt;","plainTextFormattedCitation":"48","previouslyFormattedCitation":"&lt;sup&gt;48&lt;/sup&gt;"},"properties":{"noteIndex":0},"schema":"https://github.com/citation-style-language/schema/raw/master/csl-citation.json"}</w:instrText>
      </w:r>
      <w:r w:rsidR="00C65E67" w:rsidRPr="00C73D75">
        <w:fldChar w:fldCharType="separate"/>
      </w:r>
      <w:r w:rsidR="00676545" w:rsidRPr="006B044F">
        <w:rPr>
          <w:noProof/>
          <w:vertAlign w:val="superscript"/>
        </w:rPr>
        <w:t>48</w:t>
      </w:r>
      <w:r w:rsidR="00C65E67" w:rsidRPr="00C73D75">
        <w:fldChar w:fldCharType="end"/>
      </w:r>
      <w:r w:rsidR="00B96A6E" w:rsidRPr="006B044F">
        <w:t xml:space="preserve"> as the stains created appear larger than the initial droplet. However, through </w:t>
      </w:r>
      <w:r w:rsidR="004D14E4" w:rsidRPr="006B044F">
        <w:t>using</w:t>
      </w:r>
      <w:r w:rsidR="00B96A6E" w:rsidRPr="006B044F">
        <w:t xml:space="preserve"> a spread factor, this error can be accounted for. </w:t>
      </w:r>
    </w:p>
    <w:p w14:paraId="71C1E212" w14:textId="094B32D8" w:rsidR="00383E9C" w:rsidRPr="006B044F" w:rsidRDefault="00B96A6E" w:rsidP="00E94812">
      <w:pPr>
        <w:spacing w:line="480" w:lineRule="auto"/>
      </w:pPr>
      <w:r w:rsidRPr="006B044F">
        <w:t xml:space="preserve">To </w:t>
      </w:r>
      <w:r w:rsidR="002A0E86" w:rsidRPr="006B044F">
        <w:t>calculat</w:t>
      </w:r>
      <w:r w:rsidRPr="006B044F">
        <w:t xml:space="preserve">e the initial droplet diameter </w:t>
      </w:r>
      <w:r w:rsidR="002A0E86" w:rsidRPr="006B044F">
        <w:t xml:space="preserve">from which droplet volume can be derived, a spread factor </w:t>
      </w:r>
      <w:r w:rsidRPr="006B044F">
        <w:t xml:space="preserve">was </w:t>
      </w:r>
      <w:r w:rsidR="002A0E86" w:rsidRPr="006B044F">
        <w:t xml:space="preserve">applied – DepositScan uses a formula </w:t>
      </w:r>
      <w:r w:rsidR="006636A2" w:rsidRPr="006B044F">
        <w:t xml:space="preserve">where a single factor is applied to the </w:t>
      </w:r>
      <w:r w:rsidR="001D0EC1" w:rsidRPr="006B044F">
        <w:t>st</w:t>
      </w:r>
      <w:r w:rsidR="006636A2" w:rsidRPr="006B044F">
        <w:t>ain area</w:t>
      </w:r>
      <w:r w:rsidR="00D04A79" w:rsidRPr="006B044F">
        <w:t xml:space="preserve"> (Equation 3).</w:t>
      </w:r>
      <w:r w:rsidR="002A0E86" w:rsidRPr="006B044F">
        <w:t xml:space="preserve"> </w:t>
      </w:r>
      <w:r w:rsidR="00C65E67" w:rsidRPr="00C73D75">
        <w:fldChar w:fldCharType="begin" w:fldLock="1"/>
      </w:r>
      <w:r w:rsidR="00274D82" w:rsidRPr="006B044F">
        <w:instrText>ADDIN CSL_CITATION {"citationItems":[{"id":"ITEM-1","itemData":{"DOI":"10.1016/j.compag.2011.01.003","ISSN":"0168-1699","author":[{"dropping-particle":"","family":"Zhu","given":"H P","non-dropping-particle":"","parse-names":false,"suffix":""},{"dropping-particle":"","family":"Salyani","given":"M","non-dropping-particle":"","parse-names":false,"suffix":""},{"dropping-particle":"","family":"Fox","given":"R D","non-dropping-particle":"","parse-names":false,"suffix":""}],"container-title":"Computers and Electronics in Agriculture","id":"ITEM-1","issue":"1","issued":{"date-parts":[["2011"]]},"note":"Times Cited: 13\nZhu, Heping Salyani, Masoud Fox, Robert D.\n18","page":"38-43","title":"A portable scanning system for evaluation of spray deposit distribution","type":"article-journal","volume":"76"},"uris":["http://www.mendeley.com/documents/?uuid=7956e68a-a51b-4040-bbeb-087ddc314677"]}],"mendeley":{"formattedCitation":"&lt;sup&gt;39&lt;/sup&gt;","plainTextFormattedCitation":"39","previouslyFormattedCitation":"&lt;sup&gt;39&lt;/sup&gt;"},"properties":{"noteIndex":0},"schema":"https://github.com/citation-style-language/schema/raw/master/csl-citation.json"}</w:instrText>
      </w:r>
      <w:r w:rsidR="00C65E67" w:rsidRPr="00C73D75">
        <w:fldChar w:fldCharType="separate"/>
      </w:r>
      <w:r w:rsidR="00676545" w:rsidRPr="006B044F">
        <w:rPr>
          <w:noProof/>
          <w:vertAlign w:val="superscript"/>
        </w:rPr>
        <w:t>39</w:t>
      </w:r>
      <w:r w:rsidR="00C65E67" w:rsidRPr="00C73D75">
        <w:fldChar w:fldCharType="end"/>
      </w:r>
      <w:r w:rsidRPr="006B044F">
        <w:t xml:space="preserve"> </w:t>
      </w:r>
      <w:r w:rsidR="006636A2" w:rsidRPr="006B044F">
        <w:t>An alternative spread factor calculation exists based upon stain diameter, with the spread factor varying based upon stain diameter</w:t>
      </w:r>
      <w:r w:rsidR="00D554AE" w:rsidRPr="006B044F">
        <w:t xml:space="preserve">. Documentation providing further </w:t>
      </w:r>
      <w:r w:rsidR="00D554AE" w:rsidRPr="006B044F">
        <w:lastRenderedPageBreak/>
        <w:t>information about water sensitive paper reports a range of spread factors, with spread factor values increasing as stain size increases (Table 1)</w:t>
      </w:r>
      <w:r w:rsidR="007A1A84" w:rsidRPr="006B044F">
        <w:t xml:space="preserve">. The factors were determined using water sprayed at 20˚C </w:t>
      </w:r>
      <w:r w:rsidR="00383E9C" w:rsidRPr="006B044F">
        <w:t>and 40% relative humidity, though</w:t>
      </w:r>
      <w:r w:rsidR="007A1A84" w:rsidRPr="006B044F">
        <w:t xml:space="preserve"> the authors state that pH and relative humidity have no effect</w:t>
      </w:r>
      <w:r w:rsidR="00D04A79" w:rsidRPr="006B044F">
        <w:t>.</w:t>
      </w:r>
      <w:r w:rsidR="00C65E67" w:rsidRPr="006B044F">
        <w:t xml:space="preserve"> </w:t>
      </w:r>
      <w:r w:rsidR="00C65E67" w:rsidRPr="00C73D75">
        <w:fldChar w:fldCharType="begin" w:fldLock="1"/>
      </w:r>
      <w:r w:rsidR="00274D82" w:rsidRPr="006B044F">
        <w:instrText>ADDIN CSL_CITATION {"citationItems":[{"id":"ITEM-1","itemData":{"author":[{"dropping-particle":"","family":"Syngenta","given":"","non-dropping-particle":"","parse-names":false,"suffix":""}],"editor":[{"dropping-particle":"","family":"AG","given":"Syngenta Crop Protection","non-dropping-particle":"","parse-names":false,"suffix":""}],"id":"ITEM-1","issued":{"date-parts":[["2002"]]},"publisher-place":"Basel","title":"Water-sensitive paper for monitoring spray distributions.","type":"article"},"uris":["http://www.mendeley.com/documents/?uuid=bbe37dc5-b3de-42fc-bd04-447f9c5e7de4"]}],"mendeley":{"formattedCitation":"&lt;sup&gt;49&lt;/sup&gt;","plainTextFormattedCitation":"49","previouslyFormattedCitation":"&lt;sup&gt;49&lt;/sup&gt;"},"properties":{"noteIndex":0},"schema":"https://github.com/citation-style-language/schema/raw/master/csl-citation.json"}</w:instrText>
      </w:r>
      <w:r w:rsidR="00C65E67" w:rsidRPr="00C73D75">
        <w:fldChar w:fldCharType="separate"/>
      </w:r>
      <w:r w:rsidR="00676545" w:rsidRPr="006B044F">
        <w:rPr>
          <w:noProof/>
          <w:vertAlign w:val="superscript"/>
        </w:rPr>
        <w:t>49</w:t>
      </w:r>
      <w:r w:rsidR="00C65E67" w:rsidRPr="00C73D75">
        <w:fldChar w:fldCharType="end"/>
      </w:r>
    </w:p>
    <w:p w14:paraId="360AD044" w14:textId="77777777" w:rsidR="00C65E67" w:rsidRPr="006B044F" w:rsidRDefault="00C65E67" w:rsidP="00E94812">
      <w:pPr>
        <w:spacing w:line="480" w:lineRule="auto"/>
      </w:pPr>
    </w:p>
    <w:p w14:paraId="57E480C4" w14:textId="0BFE9401" w:rsidR="007E3DAF" w:rsidRPr="006B044F" w:rsidRDefault="007E3DAF" w:rsidP="00E94812">
      <w:pPr>
        <w:spacing w:line="480" w:lineRule="auto"/>
        <w:rPr>
          <w:rFonts w:eastAsiaTheme="minorEastAsia"/>
        </w:rPr>
      </w:pPr>
      <m:oMath>
        <m:r>
          <w:rPr>
            <w:rFonts w:ascii="Cambria Math" w:hAnsi="Cambria Math"/>
          </w:rPr>
          <m:t xml:space="preserve">d=SF × </m:t>
        </m:r>
        <m:sSup>
          <m:sSupPr>
            <m:ctrlPr>
              <w:rPr>
                <w:rFonts w:ascii="Cambria Math" w:hAnsi="Cambria Math"/>
                <w:i/>
              </w:rPr>
            </m:ctrlPr>
          </m:sSupPr>
          <m:e>
            <m:r>
              <w:rPr>
                <w:rFonts w:ascii="Cambria Math" w:hAnsi="Cambria Math"/>
              </w:rPr>
              <m:t>A</m:t>
            </m:r>
          </m:e>
          <m:sup>
            <m:r>
              <w:rPr>
                <w:rFonts w:ascii="Cambria Math" w:hAnsi="Cambria Math"/>
              </w:rPr>
              <m:t>0.455</m:t>
            </m:r>
          </m:sup>
        </m:sSup>
      </m:oMath>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t>Equation 3</w:t>
      </w:r>
    </w:p>
    <w:p w14:paraId="742CC4A7" w14:textId="74762038" w:rsidR="007E3DAF" w:rsidRPr="006B044F" w:rsidRDefault="007E3DAF" w:rsidP="00E94812">
      <w:pPr>
        <w:spacing w:line="480" w:lineRule="auto"/>
        <w:rPr>
          <w:rFonts w:eastAsiaTheme="minorEastAsia"/>
        </w:rPr>
      </w:pPr>
      <w:r w:rsidRPr="006B044F">
        <w:rPr>
          <w:rFonts w:ascii="Cambria Math" w:eastAsiaTheme="minorEastAsia" w:hAnsi="Cambria Math" w:cs="Times New Roman"/>
          <w:i/>
        </w:rPr>
        <w:t>d</w:t>
      </w:r>
      <w:r w:rsidRPr="006B044F">
        <w:rPr>
          <w:rFonts w:eastAsiaTheme="minorEastAsia"/>
          <w:i/>
        </w:rPr>
        <w:t xml:space="preserve"> </w:t>
      </w:r>
      <w:r w:rsidRPr="006B044F">
        <w:rPr>
          <w:rFonts w:eastAsiaTheme="minorEastAsia"/>
        </w:rPr>
        <w:t xml:space="preserve">denotes droplet diameter in µm; </w:t>
      </w:r>
      <w:r w:rsidR="00CF581C" w:rsidRPr="006B044F">
        <w:rPr>
          <w:rFonts w:ascii="Cambria Math" w:eastAsiaTheme="minorEastAsia" w:hAnsi="Cambria Math"/>
          <w:i/>
        </w:rPr>
        <w:t>SF</w:t>
      </w:r>
      <w:r w:rsidR="00CF581C" w:rsidRPr="006B044F">
        <w:rPr>
          <w:rFonts w:eastAsiaTheme="minorEastAsia"/>
        </w:rPr>
        <w:t xml:space="preserve"> denotes the spread factor (</w:t>
      </w:r>
      <w:r w:rsidR="00D7048A" w:rsidRPr="006B044F">
        <w:rPr>
          <w:rFonts w:eastAsiaTheme="minorEastAsia"/>
        </w:rPr>
        <w:t xml:space="preserve">the DepositScan default used here is </w:t>
      </w:r>
      <w:r w:rsidR="00CF581C" w:rsidRPr="006B044F">
        <w:rPr>
          <w:rFonts w:eastAsiaTheme="minorEastAsia"/>
        </w:rPr>
        <w:t xml:space="preserve">1.06); </w:t>
      </w:r>
      <w:r w:rsidRPr="006B044F">
        <w:rPr>
          <w:rFonts w:ascii="Cambria Math" w:eastAsiaTheme="minorEastAsia" w:hAnsi="Cambria Math" w:cs="Times New Roman"/>
          <w:i/>
        </w:rPr>
        <w:t>A</w:t>
      </w:r>
      <w:r w:rsidRPr="006B044F">
        <w:rPr>
          <w:rFonts w:eastAsiaTheme="minorEastAsia"/>
        </w:rPr>
        <w:t xml:space="preserve"> denotes the spot </w:t>
      </w:r>
      <w:r w:rsidR="007F5948" w:rsidRPr="006B044F">
        <w:rPr>
          <w:rFonts w:eastAsiaTheme="minorEastAsia"/>
        </w:rPr>
        <w:t xml:space="preserve">area calculated by DepositScan in </w:t>
      </w:r>
      <w:r w:rsidRPr="006B044F">
        <w:rPr>
          <w:rFonts w:eastAsiaTheme="minorEastAsia"/>
        </w:rPr>
        <w:t>µm</w:t>
      </w:r>
      <w:r w:rsidRPr="006B044F">
        <w:rPr>
          <w:rFonts w:eastAsiaTheme="minorEastAsia"/>
          <w:vertAlign w:val="superscript"/>
        </w:rPr>
        <w:t>2</w:t>
      </w:r>
      <w:r w:rsidR="007F5948" w:rsidRPr="006B044F">
        <w:rPr>
          <w:rFonts w:eastAsiaTheme="minorEastAsia"/>
        </w:rPr>
        <w:t>.</w:t>
      </w:r>
    </w:p>
    <w:p w14:paraId="7481389F" w14:textId="22881541" w:rsidR="00751430" w:rsidRPr="006B044F" w:rsidRDefault="00457F0D" w:rsidP="00C65E67">
      <w:pPr>
        <w:spacing w:line="480" w:lineRule="auto"/>
        <w:rPr>
          <w:rFonts w:eastAsiaTheme="minorEastAsia"/>
        </w:rPr>
      </w:pPr>
      <w:r w:rsidRPr="006B044F">
        <w:rPr>
          <w:rFonts w:eastAsiaTheme="minorEastAsia"/>
        </w:rPr>
        <w:t xml:space="preserve">Table 1. Variable spread factor values </w:t>
      </w:r>
      <w:r w:rsidR="002D0F9D" w:rsidRPr="00C73D75">
        <w:rPr>
          <w:rFonts w:eastAsiaTheme="minorEastAsia"/>
        </w:rPr>
        <w:t>determined</w:t>
      </w:r>
      <w:r w:rsidRPr="006B044F">
        <w:rPr>
          <w:rFonts w:eastAsiaTheme="minorEastAsia"/>
        </w:rPr>
        <w:t xml:space="preserve"> on water and used as an alternative to DepositScan’s built-in spread factor calculation </w:t>
      </w:r>
      <w:r w:rsidR="00C65E67" w:rsidRPr="00C73D75">
        <w:rPr>
          <w:rFonts w:eastAsiaTheme="minorEastAsia"/>
        </w:rPr>
        <w:fldChar w:fldCharType="begin" w:fldLock="1"/>
      </w:r>
      <w:r w:rsidR="00274D82" w:rsidRPr="006B044F">
        <w:rPr>
          <w:rFonts w:eastAsiaTheme="minorEastAsia"/>
        </w:rPr>
        <w:instrText>ADDIN CSL_CITATION {"citationItems":[{"id":"ITEM-1","itemData":{"author":[{"dropping-particle":"","family":"Syngenta","given":"","non-dropping-particle":"","parse-names":false,"suffix":""}],"editor":[{"dropping-particle":"","family":"AG","given":"Syngenta Crop Protection","non-dropping-particle":"","parse-names":false,"suffix":""}],"id":"ITEM-1","issued":{"date-parts":[["2002"]]},"publisher-place":"Basel","title":"Water-sensitive paper for monitoring spray distributions.","type":"article"},"uris":["http://www.mendeley.com/documents/?uuid=bbe37dc5-b3de-42fc-bd04-447f9c5e7de4"]},{"id":"ITEM-2","itemData":{"DOI":"10.1016/j.biosystemseng.2011.10.002","ISBN":"1537-5110","ISSN":"15375110","abstract":"The performance of several commercial and experimental software packages (Gotas, StainMaster, ImageTool, StainAnalysis, AgroScan, DropletScan and Spray_imageI and II) that produce indicators of crop spraying quality based on the image processing of water-sensitive papers used as artificial targets were compared against known coverage, droplet size spectra and class size distribution verified through manual counting. A number of artificial targets used to test the software were obtained by controlled spray applications and given droplet density between 14 and 108 drops cm -2 and a wide range of droplet size spectra. The results showed that artificial targets coupled with an appropriate image system can be an accurate technique to compute spray parameters. The between-methods differences were 6.7% for droplet density, 11.5% for volume median diameter, &lt;3% for coverage (%) and &lt;3% coverage density. For the 16 droplet class size distribution tested the between-methods differences were all &lt;15%. However, most of the image analysis systems were not effective in accurately measuring coverage density when coverage rate is greater than about 17%. The Spray_imageII software estimated the coverage density with a mean absolute error of 2% and the absolute error is below 10%, even with about 43% of coverage rate. This software, when compared to the other programmes tested, provided the best accuracy for coverage and droplet size spectrum as well as for droplet class size distribution. ?? 2011 IAgrE.","author":[{"dropping-particle":"","family":"Cunha","given":"Mario","non-dropping-particle":"","parse-names":false,"suffix":""},{"dropping-particle":"","family":"Carvalho","given":"Claudia","non-dropping-particle":"","parse-names":false,"suffix":""},{"dropping-particle":"","family":"Marcal","given":"Andre R S","non-dropping-particle":"","parse-names":false,"suffix":""}],"container-title":"Biosystems Engineering","id":"ITEM-2","issue":"1","issued":{"date-parts":[["2012"]]},"note":"From Duplicate 2 (Assessing the ability of image processing software to analyse spray quality on water-sensitive papers used as artificial targets - Cunha, M; Carvalho, C; Marcal, A R S)\n\nTimes Cited: 2\nCunha, Mario Carvalho, Claudia Marcal, Andre R. S.\nMARCAL, ANDRE/F-6230-2013; Cunha, Mario/G-2228-2011\nMARCAL, ANDRE/0000-0002-8501-0974;\n2","page":"11-23","publisher":"IAgrE","title":"Assessing the ability of image processing software to analyse spray quality on water-sensitive papers used as artificial targets","type":"article-journal","volume":"111"},"uris":["http://www.mendeley.com/documents/?uuid=0c563853-7a76-4585-82c5-b04853a5c365"]}],"mendeley":{"formattedCitation":"&lt;sup&gt;28,49&lt;/sup&gt;","plainTextFormattedCitation":"28,49","previouslyFormattedCitation":"&lt;sup&gt;28,49&lt;/sup&gt;"},"properties":{"noteIndex":0},"schema":"https://github.com/citation-style-language/schema/raw/master/csl-citation.json"}</w:instrText>
      </w:r>
      <w:r w:rsidR="00C65E67" w:rsidRPr="00C73D75">
        <w:rPr>
          <w:rFonts w:eastAsiaTheme="minorEastAsia"/>
        </w:rPr>
        <w:fldChar w:fldCharType="separate"/>
      </w:r>
      <w:r w:rsidR="00676545" w:rsidRPr="006B044F">
        <w:rPr>
          <w:rFonts w:eastAsiaTheme="minorEastAsia"/>
          <w:noProof/>
          <w:vertAlign w:val="superscript"/>
        </w:rPr>
        <w:t>28,49</w:t>
      </w:r>
      <w:r w:rsidR="00C65E67" w:rsidRPr="00C73D75">
        <w:rPr>
          <w:rFonts w:eastAsiaTheme="minorEastAsia"/>
        </w:rPr>
        <w:fldChar w:fldCharType="end"/>
      </w:r>
    </w:p>
    <w:p w14:paraId="1C6612A4" w14:textId="77777777" w:rsidR="007E3DAF" w:rsidRPr="006B044F" w:rsidRDefault="007E3DAF" w:rsidP="00E94812">
      <w:pPr>
        <w:spacing w:line="480" w:lineRule="auto"/>
        <w:rPr>
          <w:rFonts w:eastAsiaTheme="minorEastAsia"/>
        </w:rPr>
      </w:pPr>
    </w:p>
    <w:p w14:paraId="12E5E031" w14:textId="77777777" w:rsidR="007E3DAF" w:rsidRPr="006B044F" w:rsidRDefault="007E3DAF" w:rsidP="00E94812">
      <w:pPr>
        <w:spacing w:line="480" w:lineRule="auto"/>
        <w:rPr>
          <w:rFonts w:eastAsiaTheme="minorEastAsia"/>
        </w:rPr>
      </w:pPr>
    </w:p>
    <w:p w14:paraId="17D67DA3" w14:textId="7BDE8B4A" w:rsidR="00D554AE" w:rsidRPr="006B044F" w:rsidRDefault="00D554AE" w:rsidP="00C65E67">
      <w:pPr>
        <w:spacing w:line="480" w:lineRule="auto"/>
      </w:pPr>
      <w:r w:rsidRPr="006B044F">
        <w:t>To apply this variable spread factor, the stain diameter was calculated from the stain area deri</w:t>
      </w:r>
      <w:r w:rsidR="00B85F62" w:rsidRPr="006B044F">
        <w:t>ved from DepositScan (Equation 4</w:t>
      </w:r>
      <w:r w:rsidRPr="006B044F">
        <w:t>), and from this the droplet diameter was calculated</w:t>
      </w:r>
      <w:r w:rsidR="00FB7A95" w:rsidRPr="006B044F">
        <w:t xml:space="preserve"> using Equation 5 and</w:t>
      </w:r>
      <w:r w:rsidRPr="006B044F">
        <w:t xml:space="preserve"> applying the relevant spread factor from Table 1 – for example, the spread factor for a droplet with a stain diameter</w:t>
      </w:r>
      <w:r w:rsidR="00CF581C" w:rsidRPr="006B044F">
        <w:t xml:space="preserve"> in the range of</w:t>
      </w:r>
      <w:r w:rsidRPr="006B044F">
        <w:t xml:space="preserve"> </w:t>
      </w:r>
      <w:r w:rsidR="00CF581C" w:rsidRPr="006B044F">
        <w:t xml:space="preserve">301-400 </w:t>
      </w:r>
      <w:r w:rsidRPr="006B044F">
        <w:t>μm would be 2.0</w:t>
      </w:r>
      <w:r w:rsidR="00D04A79" w:rsidRPr="006B044F">
        <w:t xml:space="preserve">. </w:t>
      </w:r>
      <w:r w:rsidR="00C65E67" w:rsidRPr="00C73D75">
        <w:fldChar w:fldCharType="begin" w:fldLock="1"/>
      </w:r>
      <w:r w:rsidR="00274D82" w:rsidRPr="006B044F">
        <w:instrText>ADDIN CSL_CITATION {"citationItems":[{"id":"ITEM-1","itemData":{"author":[{"dropping-particle":"","family":"Syngenta","given":"","non-dropping-particle":"","parse-names":false,"suffix":""}],"editor":[{"dropping-particle":"","family":"AG","given":"Syngenta Crop Protection","non-dropping-particle":"","parse-names":false,"suffix":""}],"id":"ITEM-1","issued":{"date-parts":[["2002"]]},"publisher-place":"Basel","title":"Water-sensitive paper for monitoring spray distributions.","type":"article"},"uris":["http://www.mendeley.com/documents/?uuid=bbe37dc5-b3de-42fc-bd04-447f9c5e7de4"]}],"mendeley":{"formattedCitation":"&lt;sup&gt;49&lt;/sup&gt;","plainTextFormattedCitation":"49","previouslyFormattedCitation":"&lt;sup&gt;49&lt;/sup&gt;"},"properties":{"noteIndex":0},"schema":"https://github.com/citation-style-language/schema/raw/master/csl-citation.json"}</w:instrText>
      </w:r>
      <w:r w:rsidR="00C65E67" w:rsidRPr="00C73D75">
        <w:fldChar w:fldCharType="separate"/>
      </w:r>
      <w:r w:rsidR="00676545" w:rsidRPr="006B044F">
        <w:rPr>
          <w:noProof/>
          <w:vertAlign w:val="superscript"/>
        </w:rPr>
        <w:t>49</w:t>
      </w:r>
      <w:r w:rsidR="00C65E67" w:rsidRPr="00C73D75">
        <w:fldChar w:fldCharType="end"/>
      </w:r>
    </w:p>
    <w:p w14:paraId="1A9E94C8" w14:textId="77777777" w:rsidR="00D554AE" w:rsidRPr="006B044F" w:rsidRDefault="00D554AE" w:rsidP="00E94812">
      <w:pPr>
        <w:spacing w:line="480" w:lineRule="auto"/>
        <w:rPr>
          <w:rFonts w:eastAsiaTheme="minorEastAsia"/>
        </w:rPr>
      </w:pPr>
    </w:p>
    <w:p w14:paraId="50BE89D5" w14:textId="77777777" w:rsidR="003C7E62" w:rsidRPr="006B044F" w:rsidRDefault="00745174" w:rsidP="00E94812">
      <w:pPr>
        <w:spacing w:line="480" w:lineRule="auto"/>
        <w:rPr>
          <w:rFonts w:eastAsiaTheme="minorEastAsia"/>
        </w:rPr>
      </w:pPr>
      <m:oMath>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 xml:space="preserve">= </m:t>
        </m:r>
        <m:d>
          <m:dPr>
            <m:ctrlPr>
              <w:rPr>
                <w:rFonts w:ascii="Cambria Math" w:hAnsi="Cambria Math"/>
                <w:i/>
              </w:rPr>
            </m:ctrlPr>
          </m:dPr>
          <m:e>
            <m:rad>
              <m:radPr>
                <m:degHide m:val="1"/>
                <m:ctrlPr>
                  <w:rPr>
                    <w:rFonts w:ascii="Cambria Math" w:hAnsi="Cambria Math"/>
                    <w:i/>
                  </w:rPr>
                </m:ctrlPr>
              </m:radPr>
              <m:deg/>
              <m:e>
                <m:f>
                  <m:fPr>
                    <m:type m:val="skw"/>
                    <m:ctrlPr>
                      <w:rPr>
                        <w:rFonts w:ascii="Cambria Math" w:hAnsi="Cambria Math"/>
                        <w:i/>
                      </w:rPr>
                    </m:ctrlPr>
                  </m:fPr>
                  <m:num>
                    <m:r>
                      <w:rPr>
                        <w:rFonts w:ascii="Cambria Math" w:hAnsi="Cambria Math"/>
                      </w:rPr>
                      <m:t>A</m:t>
                    </m:r>
                  </m:num>
                  <m:den>
                    <m:r>
                      <w:rPr>
                        <w:rFonts w:ascii="Cambria Math" w:hAnsi="Cambria Math"/>
                      </w:rPr>
                      <m:t>π</m:t>
                    </m:r>
                  </m:den>
                </m:f>
              </m:e>
            </m:rad>
          </m:e>
        </m:d>
        <m:r>
          <w:rPr>
            <w:rFonts w:ascii="Cambria Math" w:hAnsi="Cambria Math"/>
          </w:rPr>
          <m:t xml:space="preserve"> ×2</m:t>
        </m:r>
      </m:oMath>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r>
      <w:r w:rsidR="00B85F62" w:rsidRPr="006B044F">
        <w:rPr>
          <w:rFonts w:eastAsiaTheme="minorEastAsia"/>
        </w:rPr>
        <w:tab/>
        <w:t>Equation 4</w:t>
      </w:r>
    </w:p>
    <w:p w14:paraId="38BA8DAA" w14:textId="77777777" w:rsidR="003C7E62" w:rsidRPr="006B044F" w:rsidRDefault="003C7E62" w:rsidP="00E94812">
      <w:pPr>
        <w:spacing w:line="480" w:lineRule="auto"/>
        <w:rPr>
          <w:rFonts w:eastAsiaTheme="minorEastAsia"/>
        </w:rPr>
      </w:pPr>
      <w:r w:rsidRPr="006B044F">
        <w:rPr>
          <w:rFonts w:ascii="Cambria Math" w:eastAsiaTheme="minorEastAsia" w:hAnsi="Cambria Math"/>
          <w:i/>
        </w:rPr>
        <w:t>d</w:t>
      </w:r>
      <w:r w:rsidRPr="006B044F">
        <w:rPr>
          <w:rFonts w:ascii="Cambria Math" w:eastAsiaTheme="minorEastAsia" w:hAnsi="Cambria Math"/>
          <w:i/>
          <w:vertAlign w:val="subscript"/>
        </w:rPr>
        <w:t>s</w:t>
      </w:r>
      <w:r w:rsidRPr="006B044F">
        <w:rPr>
          <w:rFonts w:eastAsiaTheme="minorEastAsia"/>
        </w:rPr>
        <w:t xml:space="preserve"> denotes stain diameter in µm and </w:t>
      </w:r>
      <w:r w:rsidRPr="006B044F">
        <w:rPr>
          <w:rFonts w:ascii="Cambria Math" w:eastAsiaTheme="minorEastAsia" w:hAnsi="Cambria Math"/>
          <w:i/>
        </w:rPr>
        <w:t>A</w:t>
      </w:r>
      <w:r w:rsidRPr="006B044F">
        <w:rPr>
          <w:rFonts w:eastAsiaTheme="minorEastAsia"/>
        </w:rPr>
        <w:t xml:space="preserve"> denotes spot area calculated by DepositScan in μm</w:t>
      </w:r>
      <w:r w:rsidRPr="006B044F">
        <w:rPr>
          <w:rFonts w:eastAsiaTheme="minorEastAsia"/>
          <w:vertAlign w:val="superscript"/>
        </w:rPr>
        <w:t>2</w:t>
      </w:r>
      <w:r w:rsidRPr="006B044F">
        <w:rPr>
          <w:rFonts w:eastAsiaTheme="minorEastAsia"/>
        </w:rPr>
        <w:t>.</w:t>
      </w:r>
    </w:p>
    <w:p w14:paraId="67D99211" w14:textId="77777777" w:rsidR="003C7E62" w:rsidRPr="006B044F" w:rsidRDefault="003C7E62" w:rsidP="00E94812">
      <w:pPr>
        <w:spacing w:line="480" w:lineRule="auto"/>
      </w:pPr>
    </w:p>
    <w:p w14:paraId="20C571D1" w14:textId="77777777" w:rsidR="003C7E62" w:rsidRPr="006B044F" w:rsidRDefault="003C7E62" w:rsidP="00E94812">
      <w:pPr>
        <w:spacing w:line="480" w:lineRule="auto"/>
      </w:pPr>
      <m:oMath>
        <m:r>
          <w:rPr>
            <w:rFonts w:ascii="Cambria Math" w:hAnsi="Cambria Math"/>
          </w:rPr>
          <m:t xml:space="preserve">d=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SF</m:t>
            </m:r>
          </m:den>
        </m:f>
      </m:oMath>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Pr="006B044F">
        <w:rPr>
          <w:rFonts w:eastAsiaTheme="minorEastAsia"/>
        </w:rPr>
        <w:tab/>
      </w:r>
      <w:r w:rsidR="00B85F62" w:rsidRPr="006B044F">
        <w:rPr>
          <w:rFonts w:eastAsiaTheme="minorEastAsia"/>
        </w:rPr>
        <w:t>Equation 5</w:t>
      </w:r>
    </w:p>
    <w:p w14:paraId="51AC1805" w14:textId="77777777" w:rsidR="003C7E62" w:rsidRPr="006B044F" w:rsidRDefault="003C7E62" w:rsidP="00E94812">
      <w:pPr>
        <w:spacing w:line="480" w:lineRule="auto"/>
      </w:pPr>
      <w:r w:rsidRPr="006B044F">
        <w:rPr>
          <w:rFonts w:ascii="Cambria Math" w:hAnsi="Cambria Math"/>
          <w:i/>
        </w:rPr>
        <w:lastRenderedPageBreak/>
        <w:t>d</w:t>
      </w:r>
      <w:r w:rsidRPr="006B044F">
        <w:t xml:space="preserve"> denotes droplet diameter in µm; </w:t>
      </w:r>
      <w:r w:rsidRPr="006B044F">
        <w:rPr>
          <w:rFonts w:ascii="Cambria Math" w:hAnsi="Cambria Math"/>
          <w:i/>
        </w:rPr>
        <w:t>d</w:t>
      </w:r>
      <w:r w:rsidRPr="006B044F">
        <w:rPr>
          <w:rFonts w:ascii="Cambria Math" w:hAnsi="Cambria Math"/>
          <w:i/>
          <w:vertAlign w:val="subscript"/>
        </w:rPr>
        <w:t>s</w:t>
      </w:r>
      <w:r w:rsidRPr="006B044F">
        <w:t xml:space="preserve"> denotes stain diameter in µm and </w:t>
      </w:r>
      <w:r w:rsidRPr="006B044F">
        <w:rPr>
          <w:rFonts w:ascii="Cambria Math" w:hAnsi="Cambria Math"/>
          <w:i/>
        </w:rPr>
        <w:t>SF</w:t>
      </w:r>
      <w:r w:rsidRPr="006B044F">
        <w:rPr>
          <w:i/>
        </w:rPr>
        <w:t xml:space="preserve"> </w:t>
      </w:r>
      <w:r w:rsidRPr="006B044F">
        <w:t xml:space="preserve">denotes the spread factor value from Table 1 that applies to </w:t>
      </w:r>
      <w:r w:rsidRPr="006B044F">
        <w:rPr>
          <w:rFonts w:ascii="Cambria Math" w:hAnsi="Cambria Math"/>
          <w:i/>
        </w:rPr>
        <w:t>d</w:t>
      </w:r>
      <w:r w:rsidRPr="006B044F">
        <w:rPr>
          <w:rFonts w:ascii="Cambria Math" w:hAnsi="Cambria Math"/>
          <w:i/>
          <w:vertAlign w:val="subscript"/>
        </w:rPr>
        <w:t>s</w:t>
      </w:r>
      <w:r w:rsidRPr="006B044F">
        <w:t>.</w:t>
      </w:r>
      <w:r w:rsidR="00D554AE" w:rsidRPr="006B044F">
        <w:t xml:space="preserve"> </w:t>
      </w:r>
    </w:p>
    <w:p w14:paraId="52226164" w14:textId="77777777" w:rsidR="003C7E62" w:rsidRPr="006B044F" w:rsidRDefault="003C7E62" w:rsidP="00E94812">
      <w:pPr>
        <w:spacing w:line="480" w:lineRule="auto"/>
        <w:rPr>
          <w:rFonts w:eastAsiaTheme="minorEastAsia"/>
        </w:rPr>
      </w:pPr>
    </w:p>
    <w:p w14:paraId="36243C58" w14:textId="2E22A4A0" w:rsidR="00847273" w:rsidRPr="006B044F" w:rsidRDefault="002A0E86" w:rsidP="00BA30C9">
      <w:pPr>
        <w:spacing w:line="480" w:lineRule="auto"/>
      </w:pPr>
      <w:r w:rsidRPr="006B044F">
        <w:t>To assess whether</w:t>
      </w:r>
      <w:r w:rsidR="00D7048A" w:rsidRPr="006B044F">
        <w:t xml:space="preserve"> calculated</w:t>
      </w:r>
      <w:r w:rsidRPr="006B044F">
        <w:t xml:space="preserve"> deposition change</w:t>
      </w:r>
      <w:r w:rsidR="006B233D" w:rsidRPr="006B044F">
        <w:t>d</w:t>
      </w:r>
      <w:r w:rsidRPr="006B044F">
        <w:t xml:space="preserve"> when different spread factors </w:t>
      </w:r>
      <w:r w:rsidR="006B233D" w:rsidRPr="006B044F">
        <w:t xml:space="preserve">were applied to stain size data, </w:t>
      </w:r>
      <w:r w:rsidR="00383E9C" w:rsidRPr="006B044F">
        <w:t xml:space="preserve">we generated </w:t>
      </w:r>
      <w:r w:rsidR="00CA7D24" w:rsidRPr="006B044F">
        <w:t>33</w:t>
      </w:r>
      <w:r w:rsidRPr="006B044F">
        <w:t xml:space="preserve"> </w:t>
      </w:r>
      <w:r w:rsidR="004355DC" w:rsidRPr="006B044F">
        <w:t xml:space="preserve">artificial </w:t>
      </w:r>
      <w:r w:rsidR="00B74D89" w:rsidRPr="006B044F">
        <w:t>circular</w:t>
      </w:r>
      <w:r w:rsidRPr="006B044F">
        <w:t xml:space="preserve"> </w:t>
      </w:r>
      <w:r w:rsidR="00B74D89" w:rsidRPr="006B044F">
        <w:t>“</w:t>
      </w:r>
      <w:r w:rsidRPr="006B044F">
        <w:t>stains</w:t>
      </w:r>
      <w:r w:rsidR="00B74D89" w:rsidRPr="006B044F">
        <w:t xml:space="preserve">” </w:t>
      </w:r>
      <w:r w:rsidR="006B233D" w:rsidRPr="006B044F">
        <w:t xml:space="preserve">with diameters </w:t>
      </w:r>
      <w:r w:rsidR="00B03E95" w:rsidRPr="006B044F">
        <w:t xml:space="preserve">in the range </w:t>
      </w:r>
      <w:r w:rsidR="00CA7D24" w:rsidRPr="006B044F">
        <w:t>95.5</w:t>
      </w:r>
      <w:r w:rsidR="006B233D" w:rsidRPr="006B044F">
        <w:t xml:space="preserve"> –</w:t>
      </w:r>
      <w:r w:rsidR="00D554AE" w:rsidRPr="006B044F">
        <w:t xml:space="preserve"> </w:t>
      </w:r>
      <w:r w:rsidR="00CA7D24" w:rsidRPr="006B044F">
        <w:t>1438</w:t>
      </w:r>
      <w:r w:rsidR="00D554AE" w:rsidRPr="006B044F">
        <w:t xml:space="preserve"> μm. These were</w:t>
      </w:r>
      <w:r w:rsidR="006B233D" w:rsidRPr="006B044F">
        <w:t xml:space="preserve"> analysed using DepositScan,</w:t>
      </w:r>
      <w:r w:rsidR="003C7E62" w:rsidRPr="006B044F">
        <w:t xml:space="preserve"> </w:t>
      </w:r>
      <w:r w:rsidR="00263C22" w:rsidRPr="006B044F">
        <w:t>and</w:t>
      </w:r>
      <w:r w:rsidR="003C7E62" w:rsidRPr="006B044F">
        <w:t xml:space="preserve"> </w:t>
      </w:r>
      <w:r w:rsidR="00D7048A" w:rsidRPr="006B044F">
        <w:t xml:space="preserve">calculated </w:t>
      </w:r>
      <w:r w:rsidR="003C7E62" w:rsidRPr="006B044F">
        <w:t xml:space="preserve">deposition </w:t>
      </w:r>
      <w:r w:rsidR="00263C22" w:rsidRPr="006B044F">
        <w:t>values derived from DepositScan’s own calculation and from the application of the va</w:t>
      </w:r>
      <w:r w:rsidR="00D554AE" w:rsidRPr="006B044F">
        <w:t>ried spread factor were compared</w:t>
      </w:r>
      <w:r w:rsidR="00263C22" w:rsidRPr="006B044F">
        <w:t>.</w:t>
      </w:r>
      <w:r w:rsidR="00D554AE" w:rsidRPr="006B044F">
        <w:t xml:space="preserve"> To determine deposit</w:t>
      </w:r>
      <w:r w:rsidR="00D7048A" w:rsidRPr="006B044F">
        <w:t>ed volume</w:t>
      </w:r>
      <w:r w:rsidR="00D554AE" w:rsidRPr="006B044F">
        <w:t>, each droplet diameter was converted to volume</w:t>
      </w:r>
      <w:r w:rsidR="00BA30C9" w:rsidRPr="006B044F">
        <w:t>.</w:t>
      </w:r>
    </w:p>
    <w:p w14:paraId="56D32216" w14:textId="6276445E" w:rsidR="00FB49B8" w:rsidRPr="006B044F" w:rsidRDefault="00BA44FA" w:rsidP="00E94812">
      <w:pPr>
        <w:spacing w:line="480" w:lineRule="auto"/>
      </w:pPr>
      <w:r w:rsidRPr="006B044F">
        <w:t xml:space="preserve">We also quantified the effect of droplets of equal size touching each other. </w:t>
      </w:r>
      <w:r w:rsidR="001D3440" w:rsidRPr="006B044F">
        <w:t xml:space="preserve">The software creators state that DepositScan cannot </w:t>
      </w:r>
      <w:r w:rsidR="009C093E" w:rsidRPr="006B044F">
        <w:t>differentiate between</w:t>
      </w:r>
      <w:r w:rsidR="001D3440" w:rsidRPr="006B044F">
        <w:t xml:space="preserve"> droplets that over</w:t>
      </w:r>
      <w:r w:rsidR="009C093E" w:rsidRPr="006B044F">
        <w:t>lap, and so the software makes the assumption that two touching droplet</w:t>
      </w:r>
      <w:r w:rsidRPr="006B044F">
        <w:t xml:space="preserve"> stains</w:t>
      </w:r>
      <w:r w:rsidR="009C093E" w:rsidRPr="006B044F">
        <w:t xml:space="preserve"> are one single deposit</w:t>
      </w:r>
      <w:r w:rsidR="00D04A79" w:rsidRPr="006B044F">
        <w:t>.</w:t>
      </w:r>
      <w:r w:rsidR="0063059B" w:rsidRPr="006B044F">
        <w:t xml:space="preserve"> </w:t>
      </w:r>
      <w:r w:rsidR="00C65E67" w:rsidRPr="00C73D75">
        <w:fldChar w:fldCharType="begin" w:fldLock="1"/>
      </w:r>
      <w:r w:rsidR="00274D82" w:rsidRPr="006B044F">
        <w:instrText>ADDIN CSL_CITATION {"citationItems":[{"id":"ITEM-1","itemData":{"DOI":"10.1016/j.compag.2011.01.003","ISSN":"01681699","abstract":"Preventing over- or under-spray applications on intended targets require a system to rapidly measure spray coverage and provide spray quality feedback information. A portable scanning system was developed that could quickly evaluate spray deposit distribution and coverage area on deposit collectors such as water sensitive paper or Kromekote\n                        ?? card. The system is integrated with a handheld business card scanner, deposit collectors, a laptop computer, and a custom-designed software package entitled \"DepositScan\" The software is composed of a set of custom plug-ins that are used by an image-processing program (ImageJ) to produce a number of measurements suitable for describing spray deposit distribution. The program worked with the handheld business card scanner to scan spray deposits on the collectors. After scanning the collectors, individual droplet sizes, their distributions, total droplet number, droplet density, amount of spray deposits, and percentage of spray coverage are displayed on the computer screen and saved in a spreadsheet. Spots smaller than 23.9??m are ignored by DepositScan when 2400dpi resolution was used. Observations of nominal size spots through a stereoscopic microscope verified the accuracy of the system, and demonstrated that because of pixel limitations, the accuracy of any image-processing program using the pixel recognition technique would decrease as the spot sizes decrease. The portable scanning system offers a convenient solution for on-the-spot evaluation of spray quality under various working conditions. ?? 2011 Elsevier B.V.","author":[{"dropping-particle":"","family":"Zhu","given":"Heping","non-dropping-particle":"","parse-names":false,"suffix":""},{"dropping-particle":"","family":"Salyani","given":"Masoud","non-dropping-particle":"","parse-names":false,"suffix":""},{"dropping-particle":"","family":"Fox","given":"Robert D.","non-dropping-particle":"","parse-names":false,"suffix":""}],"container-title":"Computers and Electronics in Agriculture","id":"ITEM-1","issue":"1","issued":{"date-parts":[["2011"]]},"page":"38-43","publisher":"Elsevier B.V.","title":"A portable scanning system for evaluation of spray deposit distribution","type":"article-journal","volume":"76"},"uris":["http://www.mendeley.com/documents/?uuid=5b0cdc15-aaa1-45dc-bbb4-2a72278581ea"]}],"mendeley":{"formattedCitation":"&lt;sup&gt;34&lt;/sup&gt;","plainTextFormattedCitation":"34","previouslyFormattedCitation":"&lt;sup&gt;34&lt;/sup&gt;"},"properties":{"noteIndex":0},"schema":"https://github.com/citation-style-language/schema/raw/master/csl-citation.json"}</w:instrText>
      </w:r>
      <w:r w:rsidR="00C65E67" w:rsidRPr="00C73D75">
        <w:fldChar w:fldCharType="separate"/>
      </w:r>
      <w:r w:rsidR="00676545" w:rsidRPr="006B044F">
        <w:rPr>
          <w:noProof/>
          <w:vertAlign w:val="superscript"/>
        </w:rPr>
        <w:t>34</w:t>
      </w:r>
      <w:r w:rsidR="00C65E67" w:rsidRPr="00C73D75">
        <w:fldChar w:fldCharType="end"/>
      </w:r>
      <w:r w:rsidR="00C65E67" w:rsidRPr="006B044F">
        <w:t xml:space="preserve"> </w:t>
      </w:r>
      <w:r w:rsidR="00D04A79" w:rsidRPr="006B044F">
        <w:t>T</w:t>
      </w:r>
      <w:r w:rsidR="00611611" w:rsidRPr="006B044F">
        <w:t xml:space="preserve">o assess whether this </w:t>
      </w:r>
      <w:r w:rsidR="004D14E4" w:rsidRPr="006B044F">
        <w:t>affected</w:t>
      </w:r>
      <w:r w:rsidR="009C093E" w:rsidRPr="006B044F">
        <w:t xml:space="preserve"> the estimat</w:t>
      </w:r>
      <w:r w:rsidR="00611611" w:rsidRPr="006B044F">
        <w:t>ion of deposition</w:t>
      </w:r>
      <w:r w:rsidR="00EF396A" w:rsidRPr="006B044F">
        <w:t>, the same artificial stains from the spread factor tests were used</w:t>
      </w:r>
      <w:r w:rsidR="00611611" w:rsidRPr="006B044F">
        <w:t>,</w:t>
      </w:r>
      <w:r w:rsidR="00EF396A" w:rsidRPr="006B044F">
        <w:t xml:space="preserve"> with two images at each stain diameter analysed: one containing two stains of equal size that did not touch, and one containing two stains that touched at one side, but did not overlap. </w:t>
      </w:r>
      <w:r w:rsidR="00611611" w:rsidRPr="006B044F">
        <w:t>This meant that an image with two droplets</w:t>
      </w:r>
      <w:r w:rsidR="00963154" w:rsidRPr="006B044F">
        <w:t xml:space="preserve"> each </w:t>
      </w:r>
      <w:r w:rsidR="00611611" w:rsidRPr="006B044F">
        <w:t xml:space="preserve">of 96 µm diameter </w:t>
      </w:r>
      <w:r w:rsidR="00BA30C9" w:rsidRPr="006B044F">
        <w:t xml:space="preserve">had </w:t>
      </w:r>
      <w:r w:rsidR="00611611" w:rsidRPr="006B044F">
        <w:t>a horizontal diameter of 192 µm, but still measured 96 µm at the longest vertical point</w:t>
      </w:r>
      <w:r w:rsidR="004355DC" w:rsidRPr="006B044F">
        <w:t>, or vice versa</w:t>
      </w:r>
      <w:r w:rsidR="00611611" w:rsidRPr="006B044F">
        <w:t>.</w:t>
      </w:r>
      <w:r w:rsidR="0063059B" w:rsidRPr="006B044F">
        <w:t xml:space="preserve"> </w:t>
      </w:r>
    </w:p>
    <w:p w14:paraId="7CCF9209" w14:textId="6B725CA0" w:rsidR="00963154" w:rsidRPr="006B044F" w:rsidRDefault="00963154" w:rsidP="00C65E67">
      <w:pPr>
        <w:spacing w:line="480" w:lineRule="auto"/>
      </w:pPr>
      <w:r w:rsidRPr="006B044F">
        <w:t xml:space="preserve">To calculate the droplet volume for each droplet, DepositScan uses Equation 5, and the sum of </w:t>
      </w:r>
      <w:r w:rsidR="00A73701" w:rsidRPr="006B044F">
        <w:t xml:space="preserve">each volume </w:t>
      </w:r>
      <w:r w:rsidRPr="006B044F">
        <w:t xml:space="preserve">is reported as deposition expressed as </w:t>
      </w:r>
      <w:r w:rsidR="00F11B05" w:rsidRPr="006B044F">
        <w:t>μL</w:t>
      </w:r>
      <w:r w:rsidRPr="006B044F">
        <w:t xml:space="preserve"> cm</w:t>
      </w:r>
      <w:r w:rsidRPr="006B044F">
        <w:rPr>
          <w:vertAlign w:val="superscript"/>
        </w:rPr>
        <w:t>-2</w:t>
      </w:r>
      <w:r w:rsidR="00D04A79" w:rsidRPr="006B044F">
        <w:t>.</w:t>
      </w:r>
      <w:r w:rsidR="00C65E67" w:rsidRPr="006B044F">
        <w:t xml:space="preserve"> </w:t>
      </w:r>
      <w:r w:rsidR="00C65E67" w:rsidRPr="00C73D75">
        <w:fldChar w:fldCharType="begin" w:fldLock="1"/>
      </w:r>
      <w:r w:rsidR="00274D82" w:rsidRPr="006B044F">
        <w:instrText>ADDIN CSL_CITATION {"citationItems":[{"id":"ITEM-1","itemData":{"DOI":"10.1016/j.compag.2011.01.003","ISSN":"0168-1699","author":[{"dropping-particle":"","family":"Zhu","given":"H P","non-dropping-particle":"","parse-names":false,"suffix":""},{"dropping-particle":"","family":"Salyani","given":"M","non-dropping-particle":"","parse-names":false,"suffix":""},{"dropping-particle":"","family":"Fox","given":"R D","non-dropping-particle":"","parse-names":false,"suffix":""}],"container-title":"Computers and Electronics in Agriculture","id":"ITEM-1","issue":"1","issued":{"date-parts":[["2011"]]},"note":"Times Cited: 13\nZhu, Heping Salyani, Masoud Fox, Robert D.\n18","page":"38-43","title":"A portable scanning system for evaluation of spray deposit distribution","type":"article-journal","volume":"76"},"uris":["http://www.mendeley.com/documents/?uuid=7956e68a-a51b-4040-bbeb-087ddc314677"]}],"mendeley":{"formattedCitation":"&lt;sup&gt;39&lt;/sup&gt;","plainTextFormattedCitation":"39","previouslyFormattedCitation":"&lt;sup&gt;39&lt;/sup&gt;"},"properties":{"noteIndex":0},"schema":"https://github.com/citation-style-language/schema/raw/master/csl-citation.json"}</w:instrText>
      </w:r>
      <w:r w:rsidR="00C65E67" w:rsidRPr="00C73D75">
        <w:fldChar w:fldCharType="separate"/>
      </w:r>
      <w:r w:rsidR="00676545" w:rsidRPr="006B044F">
        <w:rPr>
          <w:noProof/>
          <w:vertAlign w:val="superscript"/>
        </w:rPr>
        <w:t>39</w:t>
      </w:r>
      <w:r w:rsidR="00C65E67" w:rsidRPr="00C73D75">
        <w:fldChar w:fldCharType="end"/>
      </w:r>
      <w:r w:rsidRPr="006B044F">
        <w:t xml:space="preserve"> In this test, </w:t>
      </w:r>
      <w:r w:rsidR="00BA44FA" w:rsidRPr="006B044F">
        <w:t xml:space="preserve">we compared the </w:t>
      </w:r>
      <w:r w:rsidRPr="006B044F">
        <w:t xml:space="preserve">deposition </w:t>
      </w:r>
      <w:r w:rsidR="00BA44FA" w:rsidRPr="006B044F">
        <w:t xml:space="preserve">value </w:t>
      </w:r>
      <w:r w:rsidR="009F23B0" w:rsidRPr="006B044F">
        <w:t xml:space="preserve">in </w:t>
      </w:r>
      <w:r w:rsidR="00F11B05" w:rsidRPr="006B044F">
        <w:t>μL</w:t>
      </w:r>
      <w:r w:rsidR="009F23B0" w:rsidRPr="006B044F">
        <w:t xml:space="preserve"> </w:t>
      </w:r>
      <w:r w:rsidRPr="006B044F">
        <w:t>per image for each image pair.</w:t>
      </w:r>
    </w:p>
    <w:p w14:paraId="422260A0" w14:textId="77777777" w:rsidR="0097302D" w:rsidRPr="006B044F" w:rsidRDefault="0097302D" w:rsidP="00E94812">
      <w:pPr>
        <w:spacing w:line="480" w:lineRule="auto"/>
      </w:pPr>
    </w:p>
    <w:p w14:paraId="3BE1AF9E" w14:textId="0073C168" w:rsidR="00DF78FD" w:rsidRPr="006B044F" w:rsidRDefault="00F11B05" w:rsidP="00E94812">
      <w:pPr>
        <w:spacing w:line="480" w:lineRule="auto"/>
        <w:rPr>
          <w:b/>
        </w:rPr>
      </w:pPr>
      <w:bookmarkStart w:id="35" w:name="_Toc469323092"/>
      <w:r w:rsidRPr="006B044F">
        <w:rPr>
          <w:b/>
        </w:rPr>
        <w:t>8</w:t>
      </w:r>
      <w:r w:rsidR="004F5438" w:rsidRPr="006B044F">
        <w:rPr>
          <w:b/>
        </w:rPr>
        <w:t xml:space="preserve">.8 </w:t>
      </w:r>
      <w:r w:rsidR="00DF02FC" w:rsidRPr="006B044F">
        <w:rPr>
          <w:b/>
        </w:rPr>
        <w:t>Statistical analysis</w:t>
      </w:r>
      <w:bookmarkEnd w:id="35"/>
    </w:p>
    <w:p w14:paraId="5C1B23E7" w14:textId="619649F1" w:rsidR="00DF02FC" w:rsidRPr="006B044F" w:rsidRDefault="00975D73" w:rsidP="00C65E67">
      <w:pPr>
        <w:spacing w:line="480" w:lineRule="auto"/>
      </w:pPr>
      <w:r w:rsidRPr="006B044F">
        <w:lastRenderedPageBreak/>
        <w:t>A</w:t>
      </w:r>
      <w:r w:rsidR="00DF02FC" w:rsidRPr="006B044F">
        <w:t>nalys</w:t>
      </w:r>
      <w:r w:rsidR="006B233D" w:rsidRPr="006B044F">
        <w:t>e</w:t>
      </w:r>
      <w:r w:rsidR="00DF02FC" w:rsidRPr="006B044F">
        <w:t>s w</w:t>
      </w:r>
      <w:r w:rsidR="006B233D" w:rsidRPr="006B044F">
        <w:t xml:space="preserve">ere </w:t>
      </w:r>
      <w:r w:rsidR="00DF02FC" w:rsidRPr="006B044F">
        <w:t xml:space="preserve">undertaken using GraphPad Prism (Version 7.01, </w:t>
      </w:r>
      <w:r w:rsidRPr="006B044F">
        <w:t>GraphPad Software Inc., California, US). All</w:t>
      </w:r>
      <w:r w:rsidR="00586485" w:rsidRPr="006B044F">
        <w:t xml:space="preserve"> residue</w:t>
      </w:r>
      <w:r w:rsidRPr="006B044F">
        <w:t xml:space="preserve"> </w:t>
      </w:r>
      <w:r w:rsidR="00586485" w:rsidRPr="006B044F">
        <w:t xml:space="preserve">and water sensitive paper </w:t>
      </w:r>
      <w:r w:rsidRPr="006B044F">
        <w:t>data were initially tested for normality using the D’Agostino &amp; Pearson normality test</w:t>
      </w:r>
      <w:r w:rsidR="00D04A79" w:rsidRPr="006B044F">
        <w:t>;</w:t>
      </w:r>
      <w:r w:rsidRPr="006B044F">
        <w:t xml:space="preserve"> </w:t>
      </w:r>
      <w:r w:rsidR="00C65E67" w:rsidRPr="00C73D75">
        <w:fldChar w:fldCharType="begin" w:fldLock="1"/>
      </w:r>
      <w:r w:rsidR="00274D82" w:rsidRPr="006B044F">
        <w:instrText>ADDIN CSL_CITATION {"citationItems":[{"id":"ITEM-1","itemData":{"author":[{"dropping-particle":"","family":"D'Agostino","given":"J","non-dropping-particle":"","parse-names":false,"suffix":""}],"container-title":"Goodness-of-Fit Techniques","editor":[{"dropping-particle":"","family":"D'Aagostino","given":"J","non-dropping-particle":"","parse-names":false,"suffix":""},{"dropping-particle":"","family":"Stephens","given":"M A","non-dropping-particle":"","parse-names":false,"suffix":""}],"id":"ITEM-1","issued":{"date-parts":[["1986"]]},"publisher":"Dekker","publisher-place":"New York, USA","title":"Tests for the Normal Distribution","type":"chapter"},"uris":["http://www.mendeley.com/documents/?uuid=ece00135-a02e-4e7e-88cd-ed5f270b5e44"]}],"mendeley":{"formattedCitation":"&lt;sup&gt;50&lt;/sup&gt;","plainTextFormattedCitation":"50","previouslyFormattedCitation":"&lt;sup&gt;50&lt;/sup&gt;"},"properties":{"noteIndex":0},"schema":"https://github.com/citation-style-language/schema/raw/master/csl-citation.json"}</w:instrText>
      </w:r>
      <w:r w:rsidR="00C65E67" w:rsidRPr="00C73D75">
        <w:fldChar w:fldCharType="separate"/>
      </w:r>
      <w:r w:rsidR="00676545" w:rsidRPr="006B044F">
        <w:rPr>
          <w:noProof/>
          <w:vertAlign w:val="superscript"/>
        </w:rPr>
        <w:t>50</w:t>
      </w:r>
      <w:r w:rsidR="00C65E67" w:rsidRPr="00C73D75">
        <w:fldChar w:fldCharType="end"/>
      </w:r>
      <w:r w:rsidRPr="006B044F">
        <w:t xml:space="preserve"> the Brown-Forsythe test for equality of variances was also used to determine the best test for data sets</w:t>
      </w:r>
      <w:r w:rsidR="00D04A79" w:rsidRPr="006B044F">
        <w:t>.</w:t>
      </w:r>
      <w:r w:rsidRPr="006B044F">
        <w:t xml:space="preserve"> </w:t>
      </w:r>
      <w:r w:rsidR="00C65E67" w:rsidRPr="00C73D75">
        <w:fldChar w:fldCharType="begin" w:fldLock="1"/>
      </w:r>
      <w:r w:rsidR="00274D82" w:rsidRPr="006B044F">
        <w:instrText>ADDIN CSL_CITATION {"citationItems":[{"id":"ITEM-1","itemData":{"DOI":"10.1080/01621459.1974.10482955","ISSN":"0162-1459","abstract":"Abstract Alternative formulations of Levene's test statistic for equality of variances are found to be robust under nonnormality. These statistics use more robust estimators of central location in place of the mean. They are compared with the unmodified Levene's statistic, a jackknife procedure, and a ?2 test suggested by Layard which are all found to be less robust under nonnormality. Alternative formulations of Levene's test statistic for equality of variances are found to be robust under nonnormality. These statistics use more robust estimators of central location in place of the mean. They are compared with the unmodified Levene's statistic, a jackknife procedure, and a ?2 test suggested by Layard which are all found to be less robust under nonnormality.","author":[{"dropping-particle":"","family":"Brown","given":"Morton B","non-dropping-particle":"","parse-names":false,"suffix":""},{"dropping-particle":"","family":"Forsythe","given":"Alan B","non-dropping-particle":"","parse-names":false,"suffix":""}],"container-title":"Journal of the American Statistical Association","id":"ITEM-1","issue":"346","issued":{"date-parts":[["1974"]]},"page":"364-367","title":"Robust Tests for the Equality of Variances","type":"article-journal","volume":"69"},"uris":["http://www.mendeley.com/documents/?uuid=e3183234-0178-438e-a028-0ff7a04f0f7b"]}],"mendeley":{"formattedCitation":"&lt;sup&gt;51&lt;/sup&gt;","plainTextFormattedCitation":"51","previouslyFormattedCitation":"&lt;sup&gt;51&lt;/sup&gt;"},"properties":{"noteIndex":0},"schema":"https://github.com/citation-style-language/schema/raw/master/csl-citation.json"}</w:instrText>
      </w:r>
      <w:r w:rsidR="00C65E67" w:rsidRPr="00C73D75">
        <w:fldChar w:fldCharType="separate"/>
      </w:r>
      <w:r w:rsidR="00676545" w:rsidRPr="006B044F">
        <w:rPr>
          <w:noProof/>
          <w:vertAlign w:val="superscript"/>
        </w:rPr>
        <w:t>51</w:t>
      </w:r>
      <w:r w:rsidR="00C65E67" w:rsidRPr="00C73D75">
        <w:fldChar w:fldCharType="end"/>
      </w:r>
      <w:r w:rsidR="007A1046" w:rsidRPr="006B044F">
        <w:t xml:space="preserve"> </w:t>
      </w:r>
      <w:r w:rsidR="00CD7197" w:rsidRPr="006B044F">
        <w:t>D</w:t>
      </w:r>
      <w:r w:rsidRPr="006B044F">
        <w:t>ata were analysed using one-way ANOVA with Tukey HSD test for multiple comparisons.</w:t>
      </w:r>
      <w:r w:rsidR="00D7048A" w:rsidRPr="006B044F">
        <w:t xml:space="preserve"> When comparing exposure between trees, there was no grouping so all nine trees were compared with each other, with Trees 1-3 from Patch A, Trees 4-6 from Patch B, and Trees 7-9 from Patch C.</w:t>
      </w:r>
      <w:r w:rsidR="00586485" w:rsidRPr="006B044F">
        <w:t xml:space="preserve"> Datasets </w:t>
      </w:r>
      <w:r w:rsidR="00D7048A" w:rsidRPr="006B044F">
        <w:t>comparing exposure between two tree zones</w:t>
      </w:r>
      <w:r w:rsidR="00586485" w:rsidRPr="006B044F">
        <w:t xml:space="preserve"> were tested</w:t>
      </w:r>
      <w:r w:rsidR="00CD7197" w:rsidRPr="006B044F">
        <w:t xml:space="preserve"> for normality</w:t>
      </w:r>
      <w:r w:rsidR="00586485" w:rsidRPr="006B044F">
        <w:t xml:space="preserve"> using D’Agostino &amp; Pearson, and then analysed using</w:t>
      </w:r>
      <w:r w:rsidR="00812338" w:rsidRPr="006B044F">
        <w:t xml:space="preserve"> the unequal variances t-test</w:t>
      </w:r>
      <w:r w:rsidR="007D2BA9" w:rsidRPr="006B044F">
        <w:t xml:space="preserve"> (also known as Welch’s t test)</w:t>
      </w:r>
      <w:r w:rsidR="00396E60" w:rsidRPr="006B044F">
        <w:t>, chosen for its ability to handle unequal population variances</w:t>
      </w:r>
      <w:r w:rsidR="00CD7197" w:rsidRPr="006B044F">
        <w:t>.</w:t>
      </w:r>
      <w:r w:rsidR="00396E60" w:rsidRPr="006B044F">
        <w:t xml:space="preserve"> </w:t>
      </w:r>
      <w:r w:rsidR="00C65E67" w:rsidRPr="00C73D75">
        <w:fldChar w:fldCharType="begin" w:fldLock="1"/>
      </w:r>
      <w:r w:rsidR="00274D82" w:rsidRPr="006B044F">
        <w:instrText>ADDIN CSL_CITATION {"citationItems":[{"id":"ITEM-1","itemData":{"DOI":"10.1093/beheco/ark016","ISSN":"1045-2249","author":[{"dropping-particle":"","family":"Ruxton","given":"G D","non-dropping-particle":"","parse-names":false,"suffix":""}],"container-title":"Behavioral Ecology","id":"ITEM-1","issue":"4","issued":{"date-parts":[["2006"]]},"language":"English","note":"ISI Document Delivery No.: 055KT\nTimes Cited: 313\nCited Reference Count: 18\nRuxton, GD\nRohlf, F/A-8710-2008\n321\n11\n46\nOxford univ press inc\nCary","page":"688-690","title":"The unequal variance t-test is an underused alternative to Student's t-test and the Mann-Whitney U test","type":"article-journal","volume":"17"},"uris":["http://www.mendeley.com/documents/?uuid=6f840068-d65d-4c10-927b-0fe1741c26e0"]}],"mendeley":{"formattedCitation":"&lt;sup&gt;52&lt;/sup&gt;","plainTextFormattedCitation":"52","previouslyFormattedCitation":"&lt;sup&gt;52&lt;/sup&gt;"},"properties":{"noteIndex":0},"schema":"https://github.com/citation-style-language/schema/raw/master/csl-citation.json"}</w:instrText>
      </w:r>
      <w:r w:rsidR="00C65E67" w:rsidRPr="00C73D75">
        <w:fldChar w:fldCharType="separate"/>
      </w:r>
      <w:r w:rsidR="00676545" w:rsidRPr="006B044F">
        <w:rPr>
          <w:noProof/>
          <w:vertAlign w:val="superscript"/>
        </w:rPr>
        <w:t>52</w:t>
      </w:r>
      <w:r w:rsidR="00C65E67" w:rsidRPr="00C73D75">
        <w:fldChar w:fldCharType="end"/>
      </w:r>
      <w:r w:rsidR="00586485" w:rsidRPr="006B044F">
        <w:t xml:space="preserve"> </w:t>
      </w:r>
    </w:p>
    <w:p w14:paraId="183D3727" w14:textId="77777777" w:rsidR="00297B48" w:rsidRPr="006B044F" w:rsidRDefault="00297B48" w:rsidP="00E94812">
      <w:pPr>
        <w:spacing w:line="480" w:lineRule="auto"/>
      </w:pPr>
      <w:r w:rsidRPr="006B044F">
        <w:t xml:space="preserve">Data relating to testing DepositScan were tested for normality as above, but due to non-normal distributions </w:t>
      </w:r>
      <w:r w:rsidR="00443D1F" w:rsidRPr="006B044F">
        <w:t xml:space="preserve">in both tests, data </w:t>
      </w:r>
      <w:r w:rsidRPr="006B044F">
        <w:t>were analysed using the Wilcoxon matched pairs ranked test.</w:t>
      </w:r>
      <w:r w:rsidR="000F4F89" w:rsidRPr="006B044F">
        <w:t xml:space="preserve"> Regression analysis was performed to investigate whether leaf residues based on leaf area were comparable to residues based on leaf mass. </w:t>
      </w:r>
    </w:p>
    <w:p w14:paraId="7F798BA9" w14:textId="77777777" w:rsidR="00ED4FB7" w:rsidRPr="006B044F" w:rsidRDefault="00ED4FB7" w:rsidP="00E94812">
      <w:pPr>
        <w:spacing w:line="480" w:lineRule="auto"/>
      </w:pPr>
    </w:p>
    <w:p w14:paraId="0A57EB5C" w14:textId="45E01105" w:rsidR="009A0388" w:rsidRPr="006B044F" w:rsidRDefault="00F11B05" w:rsidP="00E94812">
      <w:pPr>
        <w:spacing w:line="480" w:lineRule="auto"/>
        <w:rPr>
          <w:b/>
        </w:rPr>
      </w:pPr>
      <w:r w:rsidRPr="006B044F">
        <w:rPr>
          <w:b/>
        </w:rPr>
        <w:t>9</w:t>
      </w:r>
      <w:r w:rsidR="004F5438" w:rsidRPr="006B044F">
        <w:rPr>
          <w:b/>
        </w:rPr>
        <w:t xml:space="preserve"> RESULTS</w:t>
      </w:r>
    </w:p>
    <w:p w14:paraId="2F2FCC2D" w14:textId="1B96084C" w:rsidR="007D2BA9" w:rsidRPr="006B044F" w:rsidRDefault="00F11B05" w:rsidP="00E94812">
      <w:pPr>
        <w:spacing w:line="480" w:lineRule="auto"/>
        <w:rPr>
          <w:b/>
        </w:rPr>
      </w:pPr>
      <w:bookmarkStart w:id="36" w:name="_Toc469323094"/>
      <w:r w:rsidRPr="006B044F">
        <w:rPr>
          <w:b/>
        </w:rPr>
        <w:t>9</w:t>
      </w:r>
      <w:r w:rsidR="004F5438" w:rsidRPr="006B044F">
        <w:rPr>
          <w:b/>
        </w:rPr>
        <w:t xml:space="preserve">.1 </w:t>
      </w:r>
      <w:r w:rsidR="007D2BA9" w:rsidRPr="006B044F">
        <w:rPr>
          <w:b/>
        </w:rPr>
        <w:t>Spray pattern analysis</w:t>
      </w:r>
      <w:bookmarkEnd w:id="36"/>
    </w:p>
    <w:p w14:paraId="08CAE4DA" w14:textId="7F21930A" w:rsidR="00BA30C9" w:rsidRPr="006B044F" w:rsidRDefault="00A93F0F" w:rsidP="00E94812">
      <w:pPr>
        <w:spacing w:line="480" w:lineRule="auto"/>
      </w:pPr>
      <w:r w:rsidRPr="006B044F">
        <w:t>Mean pesticide coverage</w:t>
      </w:r>
      <w:r w:rsidR="007B4697" w:rsidRPr="006B044F">
        <w:t xml:space="preserve"> </w:t>
      </w:r>
      <w:r w:rsidR="008D2CE2" w:rsidRPr="006B044F">
        <w:t>of</w:t>
      </w:r>
      <w:r w:rsidR="007B4697" w:rsidRPr="006B044F">
        <w:t xml:space="preserve"> </w:t>
      </w:r>
      <w:r w:rsidR="00216225" w:rsidRPr="006B044F">
        <w:t xml:space="preserve">the </w:t>
      </w:r>
      <w:r w:rsidR="007B4697" w:rsidRPr="006B044F">
        <w:t>water sensitive paper</w:t>
      </w:r>
      <w:r w:rsidRPr="006B044F">
        <w:t xml:space="preserve"> </w:t>
      </w:r>
      <w:r w:rsidR="00216225" w:rsidRPr="006B044F">
        <w:t xml:space="preserve">surface </w:t>
      </w:r>
      <w:r w:rsidRPr="006B044F">
        <w:t>was</w:t>
      </w:r>
      <w:r w:rsidR="007D2BA9" w:rsidRPr="006B044F">
        <w:t xml:space="preserve"> 16.3%</w:t>
      </w:r>
      <w:r w:rsidRPr="006B044F">
        <w:t xml:space="preserve"> [</w:t>
      </w:r>
      <w:r w:rsidR="00BA30C9" w:rsidRPr="006B044F">
        <w:t xml:space="preserve">95% </w:t>
      </w:r>
      <w:r w:rsidR="00880440" w:rsidRPr="006B044F">
        <w:t xml:space="preserve">CIs: </w:t>
      </w:r>
      <w:r w:rsidRPr="006B044F">
        <w:t>15.1</w:t>
      </w:r>
      <w:r w:rsidR="004355DC" w:rsidRPr="006B044F">
        <w:t>%</w:t>
      </w:r>
      <w:r w:rsidRPr="006B044F">
        <w:t>; 17.5</w:t>
      </w:r>
      <w:r w:rsidR="004355DC" w:rsidRPr="006B044F">
        <w:t>%</w:t>
      </w:r>
      <w:r w:rsidRPr="006B044F">
        <w:t>]</w:t>
      </w:r>
      <w:r w:rsidR="00216225" w:rsidRPr="006B044F">
        <w:t xml:space="preserve"> </w:t>
      </w:r>
      <w:r w:rsidR="007D2BA9" w:rsidRPr="006B044F">
        <w:t xml:space="preserve">across all samples (Table </w:t>
      </w:r>
      <w:r w:rsidR="006B233D" w:rsidRPr="006B044F">
        <w:t>2</w:t>
      </w:r>
      <w:r w:rsidR="007D2BA9" w:rsidRPr="006B044F">
        <w:t xml:space="preserve">; </w:t>
      </w:r>
      <w:r w:rsidR="007D2BA9" w:rsidRPr="006B044F">
        <w:rPr>
          <w:i/>
        </w:rPr>
        <w:t>n</w:t>
      </w:r>
      <w:r w:rsidR="007D2BA9" w:rsidRPr="006B044F">
        <w:t xml:space="preserve"> = 215). </w:t>
      </w:r>
      <w:r w:rsidR="00B7673A" w:rsidRPr="006B044F">
        <w:t>Mean</w:t>
      </w:r>
      <w:r w:rsidR="00216225" w:rsidRPr="006B044F">
        <w:t xml:space="preserve"> surface</w:t>
      </w:r>
      <w:r w:rsidR="00B7673A" w:rsidRPr="006B044F">
        <w:t xml:space="preserve"> coverage in Patch A was 20.1%, </w:t>
      </w:r>
      <w:r w:rsidR="00123EA8" w:rsidRPr="006B044F">
        <w:t>14.9% in Patch B</w:t>
      </w:r>
      <w:r w:rsidR="00E949C6" w:rsidRPr="006B044F">
        <w:t xml:space="preserve"> (</w:t>
      </w:r>
      <w:r w:rsidR="00123EA8" w:rsidRPr="006B044F">
        <w:t xml:space="preserve">mean difference A vs B 5.2%; </w:t>
      </w:r>
      <w:r w:rsidR="000E0B8C" w:rsidRPr="006B044F">
        <w:t xml:space="preserve">95% </w:t>
      </w:r>
      <w:r w:rsidR="00E949C6" w:rsidRPr="006B044F">
        <w:t>CIs [8.5%; 1.8%]; P = 0.0009)</w:t>
      </w:r>
      <w:r w:rsidR="00123EA8" w:rsidRPr="006B044F">
        <w:t>, and 14% in Patch C</w:t>
      </w:r>
      <w:r w:rsidR="00EE294A" w:rsidRPr="006B044F">
        <w:t xml:space="preserve"> (</w:t>
      </w:r>
      <w:r w:rsidR="00123EA8" w:rsidRPr="006B044F">
        <w:t xml:space="preserve">mean difference A vs C 6.1%; </w:t>
      </w:r>
      <w:r w:rsidR="000E0B8C" w:rsidRPr="006B044F">
        <w:t xml:space="preserve">95% </w:t>
      </w:r>
      <w:r w:rsidR="00EE294A" w:rsidRPr="006B044F">
        <w:t xml:space="preserve">CIs [9.4%; 2.7%]; P &lt; 0.0001). </w:t>
      </w:r>
    </w:p>
    <w:p w14:paraId="5EF7A581" w14:textId="5CAF3426" w:rsidR="00123EA8" w:rsidRPr="006B044F" w:rsidRDefault="007B4697" w:rsidP="003C4E92">
      <w:pPr>
        <w:spacing w:line="480" w:lineRule="auto"/>
      </w:pPr>
      <w:r w:rsidRPr="006B044F">
        <w:t>When analysing</w:t>
      </w:r>
      <w:r w:rsidR="00EE294A" w:rsidRPr="006B044F">
        <w:t xml:space="preserve"> variance</w:t>
      </w:r>
      <w:r w:rsidRPr="006B044F">
        <w:t xml:space="preserve"> </w:t>
      </w:r>
      <w:r w:rsidR="00EE294A" w:rsidRPr="006B044F">
        <w:t>between</w:t>
      </w:r>
      <w:r w:rsidR="008D2CE2" w:rsidRPr="006B044F">
        <w:t xml:space="preserve"> all nine</w:t>
      </w:r>
      <w:r w:rsidR="00EE294A" w:rsidRPr="006B044F">
        <w:t xml:space="preserve"> trees,</w:t>
      </w:r>
      <w:r w:rsidRPr="006B044F">
        <w:t xml:space="preserve"> </w:t>
      </w:r>
      <w:r w:rsidR="00123EA8" w:rsidRPr="006B044F">
        <w:t>the</w:t>
      </w:r>
      <w:r w:rsidR="008D2CE2" w:rsidRPr="006B044F">
        <w:t xml:space="preserve"> mean difference in pesticide coverage </w:t>
      </w:r>
      <w:r w:rsidR="00123EA8" w:rsidRPr="006B044F">
        <w:t xml:space="preserve">was </w:t>
      </w:r>
      <w:r w:rsidR="008D2CE2" w:rsidRPr="006B044F">
        <w:t>3.4% (P = 0.002). Tree 1</w:t>
      </w:r>
      <w:r w:rsidR="003C4E92" w:rsidRPr="006B044F">
        <w:t xml:space="preserve"> received the greatest pesticide coverage (Table 2)</w:t>
      </w:r>
      <w:r w:rsidR="00123EA8" w:rsidRPr="006B044F">
        <w:t xml:space="preserve"> and </w:t>
      </w:r>
      <w:r w:rsidR="00123EA8" w:rsidRPr="006B044F">
        <w:lastRenderedPageBreak/>
        <w:t xml:space="preserve">significantly greater coverage than Tree 4 (mean difference 7.7%; 95% CIs [15.3%; 0.03%]; P = 0.048), </w:t>
      </w:r>
      <w:r w:rsidR="002E504D" w:rsidRPr="006B044F">
        <w:t xml:space="preserve">Tree </w:t>
      </w:r>
      <w:r w:rsidR="00123EA8" w:rsidRPr="006B044F">
        <w:t xml:space="preserve">6 (mean difference 8.7%; 95% CIs [1.1%; 16.3%]; P = 0.012), </w:t>
      </w:r>
      <w:r w:rsidR="002E504D" w:rsidRPr="006B044F">
        <w:t xml:space="preserve">Tree </w:t>
      </w:r>
      <w:r w:rsidR="00123EA8" w:rsidRPr="006B044F">
        <w:t xml:space="preserve">7 (mean difference 8.2%; 95% CIs [0.53%; 15.8%]; P = 0.026), </w:t>
      </w:r>
      <w:r w:rsidR="002E504D" w:rsidRPr="006B044F">
        <w:t xml:space="preserve">Tree </w:t>
      </w:r>
      <w:r w:rsidR="00123EA8" w:rsidRPr="006B044F">
        <w:t xml:space="preserve">8 (mean difference 9.3%; </w:t>
      </w:r>
      <w:r w:rsidR="002E504D" w:rsidRPr="006B044F">
        <w:t>95% CIs [1.66%; 16.95%]; P = 0.026) and Tree 9 (mean difference 8.9%; 95% CIs [1.23%; 16.52%]; P = 0.026). Mean coverage in the middle zone was 15.3% and 17.2% in the outer zone (P = 0.12).</w:t>
      </w:r>
    </w:p>
    <w:p w14:paraId="3DB647D3" w14:textId="0FE844A4" w:rsidR="00CF2BB7" w:rsidRPr="006B044F" w:rsidRDefault="00174683" w:rsidP="00E94812">
      <w:pPr>
        <w:spacing w:line="480" w:lineRule="auto"/>
      </w:pPr>
      <w:r w:rsidRPr="006B044F">
        <w:t xml:space="preserve">Spray density </w:t>
      </w:r>
      <w:r w:rsidR="00065081" w:rsidRPr="006B044F">
        <w:t>averaged</w:t>
      </w:r>
      <w:r w:rsidRPr="006B044F">
        <w:t xml:space="preserve"> 120 </w:t>
      </w:r>
      <w:r w:rsidR="004355DC" w:rsidRPr="006B044F">
        <w:t>droplets</w:t>
      </w:r>
      <w:r w:rsidR="00E22B47" w:rsidRPr="006B044F">
        <w:t xml:space="preserve"> cm</w:t>
      </w:r>
      <w:r w:rsidR="00E22B47" w:rsidRPr="006B044F">
        <w:rPr>
          <w:vertAlign w:val="superscript"/>
        </w:rPr>
        <w:t>-2</w:t>
      </w:r>
      <w:r w:rsidRPr="006B044F">
        <w:t xml:space="preserve"> </w:t>
      </w:r>
      <w:r w:rsidR="00065081" w:rsidRPr="006B044F">
        <w:t>[</w:t>
      </w:r>
      <w:r w:rsidR="000E0B8C" w:rsidRPr="006B044F">
        <w:t xml:space="preserve">95% </w:t>
      </w:r>
      <w:r w:rsidR="004355DC" w:rsidRPr="006B044F">
        <w:t xml:space="preserve">CIs: </w:t>
      </w:r>
      <w:r w:rsidR="00065081" w:rsidRPr="006B044F">
        <w:t>114</w:t>
      </w:r>
      <w:r w:rsidR="000E0B8C" w:rsidRPr="006B044F">
        <w:t xml:space="preserve"> droplets</w:t>
      </w:r>
      <w:r w:rsidR="004355DC" w:rsidRPr="006B044F">
        <w:t xml:space="preserve"> cm</w:t>
      </w:r>
      <w:r w:rsidR="004355DC" w:rsidRPr="006B044F">
        <w:rPr>
          <w:vertAlign w:val="superscript"/>
        </w:rPr>
        <w:t>-2</w:t>
      </w:r>
      <w:r w:rsidR="00065081" w:rsidRPr="006B044F">
        <w:t>; 126</w:t>
      </w:r>
      <w:r w:rsidR="000E0B8C" w:rsidRPr="006B044F">
        <w:t xml:space="preserve"> droplets</w:t>
      </w:r>
      <w:r w:rsidR="004355DC" w:rsidRPr="006B044F">
        <w:t xml:space="preserve"> cm</w:t>
      </w:r>
      <w:r w:rsidR="004355DC" w:rsidRPr="006B044F">
        <w:rPr>
          <w:vertAlign w:val="superscript"/>
        </w:rPr>
        <w:t>-2</w:t>
      </w:r>
      <w:r w:rsidR="00065081" w:rsidRPr="006B044F">
        <w:t xml:space="preserve">] </w:t>
      </w:r>
      <w:r w:rsidRPr="006B044F">
        <w:t xml:space="preserve">across all samples (Table </w:t>
      </w:r>
      <w:r w:rsidR="006B233D" w:rsidRPr="006B044F">
        <w:t>2</w:t>
      </w:r>
      <w:r w:rsidRPr="006B044F">
        <w:t xml:space="preserve">; </w:t>
      </w:r>
      <w:r w:rsidRPr="006B044F">
        <w:rPr>
          <w:i/>
        </w:rPr>
        <w:t>n</w:t>
      </w:r>
      <w:r w:rsidRPr="006B044F">
        <w:t xml:space="preserve"> = 215).</w:t>
      </w:r>
      <w:r w:rsidR="003F0D62" w:rsidRPr="006B044F">
        <w:t xml:space="preserve"> On average, density varied </w:t>
      </w:r>
      <w:r w:rsidR="003B343B" w:rsidRPr="006B044F">
        <w:t xml:space="preserve">significantly </w:t>
      </w:r>
      <w:r w:rsidR="003F0D62" w:rsidRPr="006B044F">
        <w:t xml:space="preserve">by </w:t>
      </w:r>
      <w:r w:rsidR="000E0B8C" w:rsidRPr="006B044F">
        <w:t>4.45 droplets cm</w:t>
      </w:r>
      <w:r w:rsidR="000E0B8C" w:rsidRPr="006B044F">
        <w:rPr>
          <w:vertAlign w:val="superscript"/>
        </w:rPr>
        <w:t>-2</w:t>
      </w:r>
      <w:r w:rsidR="003F0D62" w:rsidRPr="006B044F">
        <w:t xml:space="preserve"> between patches </w:t>
      </w:r>
      <w:r w:rsidRPr="006B044F">
        <w:t xml:space="preserve">(P &lt; 0.0001), though in contrast to the trend shown </w:t>
      </w:r>
      <w:r w:rsidR="003F0D62" w:rsidRPr="006B044F">
        <w:t xml:space="preserve">in coverage, spray density was </w:t>
      </w:r>
      <w:r w:rsidR="000E0B8C" w:rsidRPr="006B044F">
        <w:t>31.4 droplets cm</w:t>
      </w:r>
      <w:r w:rsidR="000E0B8C" w:rsidRPr="006B044F">
        <w:rPr>
          <w:vertAlign w:val="superscript"/>
        </w:rPr>
        <w:t>-2</w:t>
      </w:r>
      <w:r w:rsidRPr="006B044F">
        <w:t xml:space="preserve"> higher in Patch A than Patch B (</w:t>
      </w:r>
      <w:r w:rsidR="000E0B8C" w:rsidRPr="006B044F">
        <w:t>95% CIs: 47.5 droplets cm</w:t>
      </w:r>
      <w:r w:rsidR="000E0B8C" w:rsidRPr="006B044F">
        <w:rPr>
          <w:vertAlign w:val="superscript"/>
        </w:rPr>
        <w:t>-2</w:t>
      </w:r>
      <w:r w:rsidR="000E0B8C" w:rsidRPr="006B044F">
        <w:t>; 15.3 droplets cm</w:t>
      </w:r>
      <w:r w:rsidR="000E0B8C" w:rsidRPr="006B044F">
        <w:rPr>
          <w:vertAlign w:val="superscript"/>
        </w:rPr>
        <w:t>-2</w:t>
      </w:r>
      <w:r w:rsidR="000E0B8C" w:rsidRPr="006B044F">
        <w:t xml:space="preserve">; </w:t>
      </w:r>
      <w:r w:rsidRPr="006B044F">
        <w:t xml:space="preserve">P &lt; 0.0001), and </w:t>
      </w:r>
      <w:r w:rsidR="000E0B8C" w:rsidRPr="006B044F">
        <w:t>24.7 droplets cm</w:t>
      </w:r>
      <w:r w:rsidR="000E0B8C" w:rsidRPr="006B044F">
        <w:rPr>
          <w:vertAlign w:val="superscript"/>
        </w:rPr>
        <w:t>-2</w:t>
      </w:r>
      <w:r w:rsidRPr="006B044F">
        <w:t xml:space="preserve"> higher i</w:t>
      </w:r>
      <w:r w:rsidR="0011063A" w:rsidRPr="006B044F">
        <w:t>n Patch C than Patch B (</w:t>
      </w:r>
      <w:r w:rsidR="000E0B8C" w:rsidRPr="006B044F">
        <w:t>95% CIs: 8.7 droplets cm</w:t>
      </w:r>
      <w:r w:rsidR="000E0B8C" w:rsidRPr="006B044F">
        <w:rPr>
          <w:vertAlign w:val="superscript"/>
        </w:rPr>
        <w:t>-2</w:t>
      </w:r>
      <w:r w:rsidR="000E0B8C" w:rsidRPr="006B044F">
        <w:t>; 40.7 droplets cm</w:t>
      </w:r>
      <w:r w:rsidR="000E0B8C" w:rsidRPr="006B044F">
        <w:rPr>
          <w:vertAlign w:val="superscript"/>
        </w:rPr>
        <w:t>-2</w:t>
      </w:r>
      <w:r w:rsidR="000E0B8C" w:rsidRPr="006B044F">
        <w:t xml:space="preserve">; </w:t>
      </w:r>
      <w:r w:rsidR="0011063A" w:rsidRPr="006B044F">
        <w:t>P = 0.001</w:t>
      </w:r>
      <w:r w:rsidRPr="006B044F">
        <w:t>).</w:t>
      </w:r>
      <w:r w:rsidR="00D87CC0" w:rsidRPr="006B044F">
        <w:t xml:space="preserve"> Spray density did not significantly vary within patches (Table 2). There was also no significant difference in spray density between tree zones, which is consistent with coverage trends.</w:t>
      </w:r>
    </w:p>
    <w:p w14:paraId="504319C3" w14:textId="1CB0C886" w:rsidR="00751430" w:rsidRPr="006B044F" w:rsidRDefault="00751430" w:rsidP="00E94812">
      <w:pPr>
        <w:spacing w:line="480" w:lineRule="auto"/>
      </w:pPr>
    </w:p>
    <w:p w14:paraId="39403936" w14:textId="3F163C56" w:rsidR="00DF78FD" w:rsidRPr="006B044F" w:rsidRDefault="00141956" w:rsidP="00E94812">
      <w:pPr>
        <w:spacing w:line="480" w:lineRule="auto"/>
      </w:pPr>
      <w:r w:rsidRPr="006B044F">
        <w:t xml:space="preserve">Table 2. Pesticide spray coverage – expressed as proportion of target covered by spray – and spray density – expressed as the number of droplets in an area – determined from water sensitive paper cards set within apple trees. Data are expressed as mean coverage with 95% confidence intervals, showing differences within the sampled orchard, within patches, and within trees. Co-efficient of variance (CV) is also presented. P values for within patch variance are for each group of 3 trees that made up each patch, e.g. Patch A is comprised of Trees 1 – 3. </w:t>
      </w:r>
    </w:p>
    <w:p w14:paraId="6FDFB19E" w14:textId="7AEDE264" w:rsidR="00FC3D10" w:rsidRPr="006B044F" w:rsidRDefault="00F11B05" w:rsidP="00E94812">
      <w:pPr>
        <w:spacing w:line="480" w:lineRule="auto"/>
        <w:rPr>
          <w:b/>
        </w:rPr>
      </w:pPr>
      <w:bookmarkStart w:id="37" w:name="_Toc469323096"/>
      <w:r w:rsidRPr="006B044F">
        <w:rPr>
          <w:b/>
        </w:rPr>
        <w:t>9</w:t>
      </w:r>
      <w:r w:rsidR="004F5438" w:rsidRPr="006B044F">
        <w:rPr>
          <w:b/>
        </w:rPr>
        <w:t>.</w:t>
      </w:r>
      <w:r w:rsidR="00216225" w:rsidRPr="006B044F">
        <w:rPr>
          <w:b/>
        </w:rPr>
        <w:t>2</w:t>
      </w:r>
      <w:r w:rsidR="004F5438" w:rsidRPr="006B044F">
        <w:rPr>
          <w:b/>
        </w:rPr>
        <w:t xml:space="preserve"> </w:t>
      </w:r>
      <w:r w:rsidR="00FC3D10" w:rsidRPr="006B044F">
        <w:rPr>
          <w:b/>
        </w:rPr>
        <w:t>Leaf residues</w:t>
      </w:r>
      <w:bookmarkEnd w:id="37"/>
    </w:p>
    <w:p w14:paraId="73ADF4E7" w14:textId="58B1C947" w:rsidR="00085413" w:rsidRPr="006B044F" w:rsidRDefault="004355DC" w:rsidP="00E94812">
      <w:pPr>
        <w:spacing w:line="480" w:lineRule="auto"/>
      </w:pPr>
      <w:r w:rsidRPr="006B044F">
        <w:lastRenderedPageBreak/>
        <w:t>Penconazole residues found o</w:t>
      </w:r>
      <w:r w:rsidR="0036006C" w:rsidRPr="006B044F">
        <w:t>n apple lea</w:t>
      </w:r>
      <w:r w:rsidR="00E22B47" w:rsidRPr="006B044F">
        <w:t>ves</w:t>
      </w:r>
      <w:r w:rsidR="00551BDE" w:rsidRPr="006B044F">
        <w:t xml:space="preserve"> in Patch A</w:t>
      </w:r>
      <w:r w:rsidR="00E22B47" w:rsidRPr="006B044F">
        <w:t xml:space="preserve"> were between 0.35 – 6.56 mg </w:t>
      </w:r>
      <w:r w:rsidR="0036006C" w:rsidRPr="006B044F">
        <w:t>kg</w:t>
      </w:r>
      <w:r w:rsidR="00E22B47" w:rsidRPr="006B044F">
        <w:rPr>
          <w:vertAlign w:val="superscript"/>
        </w:rPr>
        <w:t>-1</w:t>
      </w:r>
      <w:r w:rsidR="0036006C" w:rsidRPr="006B044F">
        <w:t xml:space="preserve"> (Table </w:t>
      </w:r>
      <w:r w:rsidR="006B233D" w:rsidRPr="006B044F">
        <w:t>3</w:t>
      </w:r>
      <w:r w:rsidR="0036006C" w:rsidRPr="006B044F">
        <w:t>)</w:t>
      </w:r>
      <w:r w:rsidR="00551BDE" w:rsidRPr="006B044F">
        <w:t xml:space="preserve">. </w:t>
      </w:r>
      <w:r w:rsidR="00860789" w:rsidRPr="006B044F">
        <w:t>The mean difference in residues between trees was</w:t>
      </w:r>
      <w:r w:rsidR="00551BDE" w:rsidRPr="006B044F">
        <w:t xml:space="preserve"> 0.22 mg kg</w:t>
      </w:r>
      <w:r w:rsidR="00551BDE" w:rsidRPr="006B044F">
        <w:rPr>
          <w:vertAlign w:val="superscript"/>
        </w:rPr>
        <w:t>-1</w:t>
      </w:r>
      <w:r w:rsidR="00551BDE" w:rsidRPr="006B044F">
        <w:t xml:space="preserve"> </w:t>
      </w:r>
      <w:r w:rsidR="00860789" w:rsidRPr="006B044F">
        <w:t>(</w:t>
      </w:r>
      <w:r w:rsidR="00917F6B" w:rsidRPr="006B044F">
        <w:t xml:space="preserve">P = 0.18). </w:t>
      </w:r>
      <w:r w:rsidR="000C12E3" w:rsidRPr="006B044F">
        <w:t>In contrast, residues varied within trees</w:t>
      </w:r>
      <w:r w:rsidR="00860789" w:rsidRPr="006B044F">
        <w:t xml:space="preserve"> by </w:t>
      </w:r>
      <w:r w:rsidR="00551BDE" w:rsidRPr="006B044F">
        <w:t>0.63 mg kg</w:t>
      </w:r>
      <w:r w:rsidR="00551BDE" w:rsidRPr="006B044F">
        <w:rPr>
          <w:vertAlign w:val="superscript"/>
        </w:rPr>
        <w:t>-1</w:t>
      </w:r>
      <w:r w:rsidR="00860789" w:rsidRPr="006B044F">
        <w:t xml:space="preserve"> on average</w:t>
      </w:r>
      <w:r w:rsidR="000C12E3" w:rsidRPr="006B044F">
        <w:t xml:space="preserve"> (P &lt; 0.0</w:t>
      </w:r>
      <w:r w:rsidR="00860789" w:rsidRPr="006B044F">
        <w:t>0</w:t>
      </w:r>
      <w:r w:rsidR="000C12E3" w:rsidRPr="006B044F">
        <w:t xml:space="preserve">01), </w:t>
      </w:r>
      <w:r w:rsidR="00860789" w:rsidRPr="006B044F">
        <w:t xml:space="preserve">with residues in the top </w:t>
      </w:r>
      <w:r w:rsidR="00551BDE" w:rsidRPr="006B044F">
        <w:t xml:space="preserve">tree </w:t>
      </w:r>
      <w:r w:rsidR="00860789" w:rsidRPr="006B044F">
        <w:t xml:space="preserve">zone </w:t>
      </w:r>
      <w:r w:rsidR="00551BDE" w:rsidRPr="006B044F">
        <w:t>0.95 mg kg</w:t>
      </w:r>
      <w:r w:rsidR="00551BDE" w:rsidRPr="006B044F">
        <w:rPr>
          <w:vertAlign w:val="superscript"/>
        </w:rPr>
        <w:t>-1</w:t>
      </w:r>
      <w:r w:rsidR="00551BDE" w:rsidRPr="006B044F">
        <w:t xml:space="preserve"> </w:t>
      </w:r>
      <w:r w:rsidR="005513CF" w:rsidRPr="006B044F">
        <w:t xml:space="preserve">higher </w:t>
      </w:r>
      <w:r w:rsidR="007B5332" w:rsidRPr="006B044F">
        <w:t xml:space="preserve">than in the middle zone </w:t>
      </w:r>
      <w:r w:rsidR="005513CF" w:rsidRPr="006B044F">
        <w:t>(</w:t>
      </w:r>
      <w:r w:rsidR="00551BDE" w:rsidRPr="006B044F">
        <w:t>95% CIs [0.54 mg kg</w:t>
      </w:r>
      <w:r w:rsidR="00551BDE" w:rsidRPr="006B044F">
        <w:rPr>
          <w:vertAlign w:val="superscript"/>
        </w:rPr>
        <w:t>-1</w:t>
      </w:r>
      <w:r w:rsidR="00551BDE" w:rsidRPr="006B044F">
        <w:t>; 1.36 mg kg</w:t>
      </w:r>
      <w:r w:rsidR="00551BDE" w:rsidRPr="006B044F">
        <w:rPr>
          <w:vertAlign w:val="superscript"/>
        </w:rPr>
        <w:t>-1</w:t>
      </w:r>
      <w:r w:rsidR="00551BDE" w:rsidRPr="006B044F">
        <w:t xml:space="preserve">]; </w:t>
      </w:r>
      <w:r w:rsidR="005513CF" w:rsidRPr="006B044F">
        <w:t xml:space="preserve">P &lt; 0.0001) and </w:t>
      </w:r>
      <w:r w:rsidR="00A66DE3" w:rsidRPr="006B044F">
        <w:t>0.63 mg kg</w:t>
      </w:r>
      <w:r w:rsidR="00A66DE3" w:rsidRPr="006B044F">
        <w:rPr>
          <w:vertAlign w:val="superscript"/>
        </w:rPr>
        <w:t>-1</w:t>
      </w:r>
      <w:r w:rsidR="005513CF" w:rsidRPr="006B044F">
        <w:t xml:space="preserve"> higher in the outer zone </w:t>
      </w:r>
      <w:r w:rsidR="007B5332" w:rsidRPr="006B044F">
        <w:t>than in the middle zone</w:t>
      </w:r>
      <w:r w:rsidR="005513CF" w:rsidRPr="006B044F">
        <w:t xml:space="preserve"> (</w:t>
      </w:r>
      <w:r w:rsidR="00A66DE3" w:rsidRPr="006B044F">
        <w:t>95% CIs [0.22 mg kg</w:t>
      </w:r>
      <w:r w:rsidR="00A66DE3" w:rsidRPr="006B044F">
        <w:rPr>
          <w:vertAlign w:val="superscript"/>
        </w:rPr>
        <w:t>-1</w:t>
      </w:r>
      <w:r w:rsidR="00A66DE3" w:rsidRPr="006B044F">
        <w:t>; 1.04 mg kg</w:t>
      </w:r>
      <w:r w:rsidR="00A66DE3" w:rsidRPr="006B044F">
        <w:rPr>
          <w:vertAlign w:val="superscript"/>
        </w:rPr>
        <w:t>-1</w:t>
      </w:r>
      <w:r w:rsidR="00A66DE3" w:rsidRPr="006B044F">
        <w:t xml:space="preserve">]; </w:t>
      </w:r>
      <w:r w:rsidR="005513CF" w:rsidRPr="006B044F">
        <w:t xml:space="preserve">P </w:t>
      </w:r>
      <w:r w:rsidR="007B5332" w:rsidRPr="006B044F">
        <w:t>= 0.0005)</w:t>
      </w:r>
      <w:r w:rsidR="005513CF" w:rsidRPr="006B044F">
        <w:t xml:space="preserve">. </w:t>
      </w:r>
      <w:r w:rsidR="00A66DE3" w:rsidRPr="006B044F">
        <w:t>The mean difference between top and outer zones of the trees was 0.32 mg kg</w:t>
      </w:r>
      <w:r w:rsidR="00A66DE3" w:rsidRPr="006B044F">
        <w:rPr>
          <w:vertAlign w:val="superscript"/>
        </w:rPr>
        <w:t>-1</w:t>
      </w:r>
      <w:r w:rsidR="005513CF" w:rsidRPr="006B044F">
        <w:t xml:space="preserve"> (</w:t>
      </w:r>
      <w:r w:rsidR="00A66DE3" w:rsidRPr="006B044F">
        <w:t>95% CIs [-0.08 mg kg</w:t>
      </w:r>
      <w:r w:rsidR="00A66DE3" w:rsidRPr="006B044F">
        <w:rPr>
          <w:vertAlign w:val="superscript"/>
        </w:rPr>
        <w:t>-1</w:t>
      </w:r>
      <w:r w:rsidR="00A66DE3" w:rsidRPr="006B044F">
        <w:t>; 0.74 mg kg</w:t>
      </w:r>
      <w:r w:rsidR="00A66DE3" w:rsidRPr="006B044F">
        <w:rPr>
          <w:vertAlign w:val="superscript"/>
        </w:rPr>
        <w:t>-1</w:t>
      </w:r>
      <w:r w:rsidR="00A66DE3" w:rsidRPr="006B044F">
        <w:t xml:space="preserve">]; </w:t>
      </w:r>
      <w:r w:rsidR="005513CF" w:rsidRPr="006B044F">
        <w:t xml:space="preserve">P </w:t>
      </w:r>
      <w:r w:rsidR="007B5332" w:rsidRPr="006B044F">
        <w:t>= 0.657</w:t>
      </w:r>
      <w:r w:rsidR="005513CF" w:rsidRPr="006B044F">
        <w:t>).</w:t>
      </w:r>
    </w:p>
    <w:p w14:paraId="73994185" w14:textId="77777777" w:rsidR="00443D1F" w:rsidRPr="006B044F" w:rsidRDefault="00443D1F" w:rsidP="00E94812">
      <w:pPr>
        <w:spacing w:line="480" w:lineRule="auto"/>
      </w:pPr>
    </w:p>
    <w:p w14:paraId="5973720B" w14:textId="77777777" w:rsidR="0036006C" w:rsidRPr="006B044F" w:rsidRDefault="0036006C" w:rsidP="00E94812">
      <w:pPr>
        <w:spacing w:line="480" w:lineRule="auto"/>
      </w:pPr>
      <w:r w:rsidRPr="006B044F">
        <w:t xml:space="preserve">Table </w:t>
      </w:r>
      <w:r w:rsidR="006B233D" w:rsidRPr="006B044F">
        <w:t>3</w:t>
      </w:r>
      <w:r w:rsidR="00751430" w:rsidRPr="006B044F">
        <w:t>.</w:t>
      </w:r>
      <w:r w:rsidRPr="006B044F">
        <w:t xml:space="preserve"> </w:t>
      </w:r>
      <w:r w:rsidR="003B476E" w:rsidRPr="006B044F">
        <w:t>Penconazole residues in apple leaves</w:t>
      </w:r>
      <w:r w:rsidR="003C67F4" w:rsidRPr="006B044F">
        <w:t xml:space="preserve"> from Patch A</w:t>
      </w:r>
      <w:r w:rsidR="003B476E" w:rsidRPr="006B044F">
        <w:t>, expressed as mean residue with 95% confidence intervals, split by tree and tree zone.</w:t>
      </w:r>
      <w:r w:rsidR="009064BF" w:rsidRPr="006B044F">
        <w:t xml:space="preserve"> Co-efficient of variance</w:t>
      </w:r>
      <w:r w:rsidR="00DC20A8" w:rsidRPr="006B044F">
        <w:t xml:space="preserve"> (CV) is </w:t>
      </w:r>
      <w:r w:rsidR="009064BF" w:rsidRPr="006B044F">
        <w:t>also reported.</w:t>
      </w:r>
    </w:p>
    <w:p w14:paraId="3CEAEB09" w14:textId="77777777" w:rsidR="00443D1F" w:rsidRPr="006B044F" w:rsidRDefault="00443D1F" w:rsidP="00E94812">
      <w:pPr>
        <w:spacing w:line="480" w:lineRule="auto"/>
      </w:pPr>
    </w:p>
    <w:p w14:paraId="1B478659" w14:textId="61F152FE" w:rsidR="001014CA" w:rsidRPr="006B044F" w:rsidRDefault="00F11B05" w:rsidP="00E94812">
      <w:pPr>
        <w:spacing w:line="480" w:lineRule="auto"/>
        <w:rPr>
          <w:b/>
        </w:rPr>
      </w:pPr>
      <w:bookmarkStart w:id="38" w:name="_Toc469323097"/>
      <w:r w:rsidRPr="006B044F">
        <w:rPr>
          <w:b/>
        </w:rPr>
        <w:t>9</w:t>
      </w:r>
      <w:r w:rsidR="00216225" w:rsidRPr="006B044F">
        <w:rPr>
          <w:b/>
        </w:rPr>
        <w:t>.3</w:t>
      </w:r>
      <w:r w:rsidR="004F5438" w:rsidRPr="006B044F">
        <w:rPr>
          <w:b/>
        </w:rPr>
        <w:t xml:space="preserve"> </w:t>
      </w:r>
      <w:r w:rsidR="009F40DD" w:rsidRPr="006B044F">
        <w:rPr>
          <w:b/>
        </w:rPr>
        <w:t xml:space="preserve">Comparing </w:t>
      </w:r>
      <w:r w:rsidR="003E3D52" w:rsidRPr="006B044F">
        <w:rPr>
          <w:b/>
        </w:rPr>
        <w:t>residue analysis methods</w:t>
      </w:r>
      <w:bookmarkEnd w:id="38"/>
    </w:p>
    <w:p w14:paraId="21F9C226" w14:textId="5315870F" w:rsidR="00C44D4C" w:rsidRPr="006B044F" w:rsidRDefault="009F40DD" w:rsidP="00E94812">
      <w:pPr>
        <w:spacing w:line="480" w:lineRule="auto"/>
      </w:pPr>
      <w:bookmarkStart w:id="39" w:name="_Hlk517353873"/>
      <w:r w:rsidRPr="006B044F">
        <w:t xml:space="preserve">To compare leaf </w:t>
      </w:r>
      <w:r w:rsidR="007A0C81" w:rsidRPr="00C73D75">
        <w:t>deriv</w:t>
      </w:r>
      <w:r w:rsidR="001F5DA0" w:rsidRPr="006B044F">
        <w:t xml:space="preserve">ed penconazole </w:t>
      </w:r>
      <w:r w:rsidRPr="006B044F">
        <w:t xml:space="preserve">residue data to </w:t>
      </w:r>
      <w:r w:rsidR="001F5DA0" w:rsidRPr="006B044F">
        <w:t>penconazole deposit</w:t>
      </w:r>
      <w:r w:rsidRPr="006B044F">
        <w:t xml:space="preserve">s estimated </w:t>
      </w:r>
      <w:r w:rsidR="004355DC" w:rsidRPr="006B044F">
        <w:t xml:space="preserve">from water sensitive papers </w:t>
      </w:r>
      <w:r w:rsidRPr="006B044F">
        <w:t>by DepositScan</w:t>
      </w:r>
      <w:bookmarkEnd w:id="39"/>
      <w:r w:rsidRPr="006B044F">
        <w:t>, residue data had to be convert</w:t>
      </w:r>
      <w:r w:rsidR="00E22B47" w:rsidRPr="006B044F">
        <w:t xml:space="preserve">ed to a comparable unit, so </w:t>
      </w:r>
      <w:r w:rsidR="004355DC" w:rsidRPr="006B044F">
        <w:t>the following data are</w:t>
      </w:r>
      <w:r w:rsidRPr="006B044F">
        <w:t xml:space="preserve"> expressed as μg</w:t>
      </w:r>
      <w:r w:rsidR="00E22B47" w:rsidRPr="006B044F">
        <w:t xml:space="preserve"> cm</w:t>
      </w:r>
      <w:r w:rsidR="00E22B47" w:rsidRPr="006B044F">
        <w:rPr>
          <w:vertAlign w:val="superscript"/>
        </w:rPr>
        <w:t>-2</w:t>
      </w:r>
      <w:r w:rsidRPr="006B044F">
        <w:t xml:space="preserve">. </w:t>
      </w:r>
      <w:r w:rsidR="00284312" w:rsidRPr="006B044F">
        <w:t xml:space="preserve">Due to leaf residue measurements only being undertaken on leaves from Patch A, water sensitive paper data from patches B and C were omitted to ensure data were comparable. Similarly, leaf residue data from the top tree zone were also omitted. </w:t>
      </w:r>
      <w:r w:rsidR="004912F8" w:rsidRPr="006B044F">
        <w:t xml:space="preserve">Any residue estimates derived from </w:t>
      </w:r>
      <w:r w:rsidR="000F4F89" w:rsidRPr="006B044F">
        <w:t xml:space="preserve">water sensitive paper </w:t>
      </w:r>
      <w:r w:rsidR="004912F8" w:rsidRPr="006B044F">
        <w:t xml:space="preserve">samples with coverage greater than 30% were also omitted, as volume estimates become inaccurate </w:t>
      </w:r>
      <w:r w:rsidR="004355DC" w:rsidRPr="006B044F">
        <w:t>above</w:t>
      </w:r>
      <w:r w:rsidR="004912F8" w:rsidRPr="006B044F">
        <w:t xml:space="preserve"> this point</w:t>
      </w:r>
      <w:r w:rsidR="003C3B86" w:rsidRPr="006B044F">
        <w:t>.</w:t>
      </w:r>
      <w:r w:rsidR="00C65E67" w:rsidRPr="006B044F">
        <w:t xml:space="preserve"> </w:t>
      </w:r>
      <w:r w:rsidR="00C65E67" w:rsidRPr="00C73D75">
        <w:fldChar w:fldCharType="begin" w:fldLock="1"/>
      </w:r>
      <w:r w:rsidR="00274D82" w:rsidRPr="006B044F">
        <w:instrText>ADDIN CSL_CITATION {"citationItems":[{"id":"ITEM-1","itemData":{"DOI":"10.1016/j.compag.2011.01.003","ISSN":"0168-1699","author":[{"dropping-particle":"","family":"Zhu","given":"H P","non-dropping-particle":"","parse-names":false,"suffix":""},{"dropping-particle":"","family":"Salyani","given":"M","non-dropping-particle":"","parse-names":false,"suffix":""},{"dropping-particle":"","family":"Fox","given":"R D","non-dropping-particle":"","parse-names":false,"suffix":""}],"container-title":"Computers and Electronics in Agriculture","id":"ITEM-1","issue":"1","issued":{"date-parts":[["2011"]]},"note":"Times Cited: 13\nZhu, Heping Salyani, Masoud Fox, Robert D.\n18","page":"38-43","title":"A portable scanning system for evaluation of spray deposit distribution","type":"article-journal","volume":"76"},"uris":["http://www.mendeley.com/documents/?uuid=7956e68a-a51b-4040-bbeb-087ddc314677"]}],"mendeley":{"formattedCitation":"&lt;sup&gt;39&lt;/sup&gt;","plainTextFormattedCitation":"39","previouslyFormattedCitation":"&lt;sup&gt;39&lt;/sup&gt;"},"properties":{"noteIndex":0},"schema":"https://github.com/citation-style-language/schema/raw/master/csl-citation.json"}</w:instrText>
      </w:r>
      <w:r w:rsidR="00C65E67" w:rsidRPr="00C73D75">
        <w:fldChar w:fldCharType="separate"/>
      </w:r>
      <w:r w:rsidR="00676545" w:rsidRPr="006B044F">
        <w:rPr>
          <w:noProof/>
          <w:vertAlign w:val="superscript"/>
        </w:rPr>
        <w:t>39</w:t>
      </w:r>
      <w:r w:rsidR="00C65E67" w:rsidRPr="00C73D75">
        <w:fldChar w:fldCharType="end"/>
      </w:r>
      <w:r w:rsidR="00C65E67" w:rsidRPr="006B044F">
        <w:t xml:space="preserve"> </w:t>
      </w:r>
      <w:r w:rsidR="00C44D4C" w:rsidRPr="006B044F">
        <w:t xml:space="preserve">Regression analysis suggests that </w:t>
      </w:r>
      <w:r w:rsidR="00487849" w:rsidRPr="006B044F">
        <w:t>a</w:t>
      </w:r>
      <w:r w:rsidR="00257536" w:rsidRPr="006B044F">
        <w:t xml:space="preserve">rea-based </w:t>
      </w:r>
      <w:r w:rsidR="000F4F89" w:rsidRPr="006B044F">
        <w:t xml:space="preserve">leaf </w:t>
      </w:r>
      <w:r w:rsidR="00257536" w:rsidRPr="006B044F">
        <w:t xml:space="preserve">residue values </w:t>
      </w:r>
      <w:r w:rsidR="00487849" w:rsidRPr="006B044F">
        <w:t>correlate well with</w:t>
      </w:r>
      <w:r w:rsidR="00257536" w:rsidRPr="006B044F">
        <w:t xml:space="preserve"> the mass-based</w:t>
      </w:r>
      <w:r w:rsidR="000F4F89" w:rsidRPr="006B044F">
        <w:t xml:space="preserve"> leaf</w:t>
      </w:r>
      <w:r w:rsidR="00257536" w:rsidRPr="006B044F">
        <w:t xml:space="preserve"> residue values (R</w:t>
      </w:r>
      <w:r w:rsidR="00257536" w:rsidRPr="006B044F">
        <w:rPr>
          <w:vertAlign w:val="superscript"/>
        </w:rPr>
        <w:t>2</w:t>
      </w:r>
      <w:r w:rsidR="00257536" w:rsidRPr="006B044F">
        <w:t xml:space="preserve"> = 0.6</w:t>
      </w:r>
      <w:r w:rsidR="00DC5699" w:rsidRPr="006B044F">
        <w:t>5</w:t>
      </w:r>
      <w:r w:rsidR="00257536" w:rsidRPr="006B044F">
        <w:t xml:space="preserve">; </w:t>
      </w:r>
      <w:r w:rsidR="006662D1" w:rsidRPr="006B044F">
        <w:t xml:space="preserve">P &lt; 0.0001; </w:t>
      </w:r>
      <w:r w:rsidR="00257536" w:rsidRPr="006B044F">
        <w:t xml:space="preserve">Figure </w:t>
      </w:r>
      <w:r w:rsidR="001242A8" w:rsidRPr="006B044F">
        <w:t>2</w:t>
      </w:r>
      <w:r w:rsidR="00257536" w:rsidRPr="006B044F">
        <w:t>).</w:t>
      </w:r>
      <w:r w:rsidR="008E4E25" w:rsidRPr="006B044F">
        <w:t xml:space="preserve"> </w:t>
      </w:r>
      <w:r w:rsidR="006662D1" w:rsidRPr="006B044F">
        <w:t xml:space="preserve">Two main </w:t>
      </w:r>
      <w:r w:rsidR="006662D1" w:rsidRPr="006B044F">
        <w:lastRenderedPageBreak/>
        <w:t xml:space="preserve">outliers that deviate far from the 95% CI boundary </w:t>
      </w:r>
      <w:r w:rsidR="000F4F89" w:rsidRPr="006B044F">
        <w:t>represent samples with lower leaf mass</w:t>
      </w:r>
      <w:r w:rsidR="008E4E25" w:rsidRPr="006B044F">
        <w:t>, or smaller leaf areas than average.</w:t>
      </w:r>
      <w:r w:rsidR="00F34239" w:rsidRPr="006B044F">
        <w:t xml:space="preserve"> </w:t>
      </w:r>
    </w:p>
    <w:p w14:paraId="059A0007" w14:textId="77777777" w:rsidR="00443D1F" w:rsidRPr="006B044F" w:rsidRDefault="00443D1F" w:rsidP="00E94812">
      <w:pPr>
        <w:spacing w:line="480" w:lineRule="auto"/>
      </w:pPr>
    </w:p>
    <w:p w14:paraId="7EE8C675" w14:textId="77777777" w:rsidR="00141956" w:rsidRPr="006B044F" w:rsidRDefault="00141956" w:rsidP="00E94812">
      <w:pPr>
        <w:spacing w:line="480" w:lineRule="auto"/>
      </w:pPr>
      <w:r w:rsidRPr="006B044F">
        <w:t>Figure 2. Penconazole residues derived from GC-MS based on leaf mass (horizontal axis) and whole leaf upper surface area (vertical axis). Solid trend line shows regression with 95% confidence bands (dotted lines). Regression: Y = 0.01675 × X + 0.005528. R2 = 0.65; P &lt; 0.0001; n = 135</w:t>
      </w:r>
    </w:p>
    <w:p w14:paraId="323BC0C4" w14:textId="7B8C76F3" w:rsidR="005E1FC5" w:rsidRPr="006B044F" w:rsidRDefault="006662D1" w:rsidP="00E94812">
      <w:pPr>
        <w:spacing w:line="480" w:lineRule="auto"/>
      </w:pPr>
      <w:r w:rsidRPr="006B044F">
        <w:t xml:space="preserve">Penconazole residues based on leaf surface area averaged </w:t>
      </w:r>
      <w:r w:rsidR="005E1FC5" w:rsidRPr="006B044F">
        <w:t>0.039 μg cm</w:t>
      </w:r>
      <w:r w:rsidR="005E1FC5" w:rsidRPr="006B044F">
        <w:rPr>
          <w:vertAlign w:val="superscript"/>
        </w:rPr>
        <w:t>-2</w:t>
      </w:r>
      <w:r w:rsidR="005E1FC5" w:rsidRPr="006B044F">
        <w:t xml:space="preserve"> [</w:t>
      </w:r>
      <w:r w:rsidRPr="006B044F">
        <w:t xml:space="preserve">95% </w:t>
      </w:r>
      <w:r w:rsidR="004355DC" w:rsidRPr="006B044F">
        <w:t xml:space="preserve">CIs: </w:t>
      </w:r>
      <w:r w:rsidR="005E1FC5" w:rsidRPr="006B044F">
        <w:t>0.035</w:t>
      </w:r>
      <w:r w:rsidR="004355DC" w:rsidRPr="006B044F">
        <w:t xml:space="preserve"> μg cm</w:t>
      </w:r>
      <w:r w:rsidR="004355DC" w:rsidRPr="006B044F">
        <w:rPr>
          <w:vertAlign w:val="superscript"/>
        </w:rPr>
        <w:t>-2</w:t>
      </w:r>
      <w:r w:rsidR="005E1FC5" w:rsidRPr="006B044F">
        <w:t>; 0.044</w:t>
      </w:r>
      <w:r w:rsidR="004355DC" w:rsidRPr="006B044F">
        <w:t xml:space="preserve"> μg cm</w:t>
      </w:r>
      <w:r w:rsidR="004355DC" w:rsidRPr="006B044F">
        <w:rPr>
          <w:vertAlign w:val="superscript"/>
        </w:rPr>
        <w:t>-2</w:t>
      </w:r>
      <w:r w:rsidR="005E1FC5" w:rsidRPr="006B044F">
        <w:t>]</w:t>
      </w:r>
      <w:r w:rsidR="00167CB3" w:rsidRPr="006B044F">
        <w:t xml:space="preserve">; </w:t>
      </w:r>
      <w:r w:rsidR="005E1FC5" w:rsidRPr="006B044F">
        <w:t xml:space="preserve">the water sensitive paper </w:t>
      </w:r>
      <w:r w:rsidR="00284312" w:rsidRPr="006B044F">
        <w:t>derived values averaged</w:t>
      </w:r>
      <w:r w:rsidR="005E1FC5" w:rsidRPr="006B044F">
        <w:t xml:space="preserve"> 0.24 μg cm</w:t>
      </w:r>
      <w:r w:rsidR="005E1FC5" w:rsidRPr="006B044F">
        <w:rPr>
          <w:vertAlign w:val="superscript"/>
        </w:rPr>
        <w:t>-2</w:t>
      </w:r>
      <w:r w:rsidR="005E1FC5" w:rsidRPr="006B044F">
        <w:t xml:space="preserve"> </w:t>
      </w:r>
      <w:r w:rsidR="00167CB3" w:rsidRPr="006B044F">
        <w:t xml:space="preserve">(95% </w:t>
      </w:r>
      <w:r w:rsidR="004355DC" w:rsidRPr="006B044F">
        <w:t xml:space="preserve">CIs </w:t>
      </w:r>
      <w:r w:rsidR="00167CB3" w:rsidRPr="006B044F">
        <w:t>[</w:t>
      </w:r>
      <w:r w:rsidR="005E1FC5" w:rsidRPr="006B044F">
        <w:t>0.21</w:t>
      </w:r>
      <w:r w:rsidR="004355DC" w:rsidRPr="006B044F">
        <w:t xml:space="preserve"> μg cm</w:t>
      </w:r>
      <w:r w:rsidR="004355DC" w:rsidRPr="006B044F">
        <w:rPr>
          <w:vertAlign w:val="superscript"/>
        </w:rPr>
        <w:t>-2</w:t>
      </w:r>
      <w:r w:rsidR="005E1FC5" w:rsidRPr="006B044F">
        <w:t>; 0.27</w:t>
      </w:r>
      <w:r w:rsidR="004355DC" w:rsidRPr="006B044F">
        <w:t xml:space="preserve"> μg cm</w:t>
      </w:r>
      <w:r w:rsidR="004355DC" w:rsidRPr="006B044F">
        <w:rPr>
          <w:vertAlign w:val="superscript"/>
        </w:rPr>
        <w:t>-2</w:t>
      </w:r>
      <w:r w:rsidR="005E1FC5" w:rsidRPr="006B044F">
        <w:t>]</w:t>
      </w:r>
      <w:r w:rsidR="00167CB3" w:rsidRPr="006B044F">
        <w:t xml:space="preserve">; </w:t>
      </w:r>
      <w:r w:rsidR="005E1FC5" w:rsidRPr="006B044F">
        <w:t xml:space="preserve">P &lt; 0.001; Figure </w:t>
      </w:r>
      <w:r w:rsidR="00CB07DF" w:rsidRPr="006B044F">
        <w:t>3a</w:t>
      </w:r>
      <w:r w:rsidR="005E1FC5" w:rsidRPr="006B044F">
        <w:t>).</w:t>
      </w:r>
      <w:r w:rsidR="00167CB3" w:rsidRPr="006B044F">
        <w:t xml:space="preserve"> The mean difference between the leaf residue and water sensitive paper estimate was 0.198 μg cm</w:t>
      </w:r>
      <w:r w:rsidR="00167CB3" w:rsidRPr="006B044F">
        <w:rPr>
          <w:vertAlign w:val="superscript"/>
        </w:rPr>
        <w:t>-2</w:t>
      </w:r>
      <w:r w:rsidR="00167CB3" w:rsidRPr="006B044F">
        <w:t xml:space="preserve"> (95% CIs [0.17 μg cm</w:t>
      </w:r>
      <w:r w:rsidR="00167CB3" w:rsidRPr="006B044F">
        <w:rPr>
          <w:vertAlign w:val="superscript"/>
        </w:rPr>
        <w:t>-2</w:t>
      </w:r>
      <w:r w:rsidR="00167CB3" w:rsidRPr="006B044F">
        <w:t>; 0.23 μg cm</w:t>
      </w:r>
      <w:r w:rsidR="00167CB3" w:rsidRPr="006B044F">
        <w:rPr>
          <w:vertAlign w:val="superscript"/>
        </w:rPr>
        <w:t>-2</w:t>
      </w:r>
      <w:r w:rsidR="00167CB3" w:rsidRPr="006B044F">
        <w:t>]; P &lt; 0.001).</w:t>
      </w:r>
      <w:r w:rsidR="005E1FC5" w:rsidRPr="006B044F">
        <w:t xml:space="preserve"> </w:t>
      </w:r>
      <w:bookmarkStart w:id="40" w:name="_Hlk517354359"/>
      <w:r w:rsidR="00C8501F" w:rsidRPr="006B044F">
        <w:t>To adjust the</w:t>
      </w:r>
      <w:r w:rsidR="008C016B" w:rsidRPr="006B044F">
        <w:t xml:space="preserve"> water sensitive paper</w:t>
      </w:r>
      <w:r w:rsidR="007A0C81" w:rsidRPr="006B044F">
        <w:t xml:space="preserve"> </w:t>
      </w:r>
      <w:r w:rsidR="008C016B" w:rsidRPr="006B044F">
        <w:t>mean</w:t>
      </w:r>
      <w:r w:rsidR="008D7617" w:rsidRPr="006B044F">
        <w:t xml:space="preserve"> penconazole</w:t>
      </w:r>
      <w:r w:rsidR="007A0C81" w:rsidRPr="006B044F">
        <w:t xml:space="preserve"> deposit</w:t>
      </w:r>
      <w:r w:rsidR="008C016B" w:rsidRPr="006B044F">
        <w:t xml:space="preserve"> </w:t>
      </w:r>
      <w:bookmarkEnd w:id="40"/>
      <w:r w:rsidR="008C016B" w:rsidRPr="006B044F">
        <w:t>to that of the apple leaf residues, a</w:t>
      </w:r>
      <w:r w:rsidR="00E84EDF" w:rsidRPr="006B044F">
        <w:t>n empirical</w:t>
      </w:r>
      <w:r w:rsidR="005E1FC5" w:rsidRPr="006B044F">
        <w:t xml:space="preserve"> correction factor of 0.1625 was applied to the water sensitive paper data</w:t>
      </w:r>
      <w:r w:rsidR="008C016B" w:rsidRPr="006B044F">
        <w:t xml:space="preserve"> (Equation 7)</w:t>
      </w:r>
      <w:r w:rsidR="005E1FC5" w:rsidRPr="006B044F">
        <w:t xml:space="preserve">, </w:t>
      </w:r>
      <w:bookmarkStart w:id="41" w:name="_Hlk517354451"/>
      <w:r w:rsidR="005E1FC5" w:rsidRPr="006B044F">
        <w:t xml:space="preserve">and this </w:t>
      </w:r>
      <w:r w:rsidR="008C016B" w:rsidRPr="006B044F">
        <w:t xml:space="preserve">successfully </w:t>
      </w:r>
      <w:r w:rsidR="005E1FC5" w:rsidRPr="006B044F">
        <w:t xml:space="preserve">adjusted the mean </w:t>
      </w:r>
      <w:r w:rsidR="008D7617" w:rsidRPr="006B044F">
        <w:t xml:space="preserve">penconazole </w:t>
      </w:r>
      <w:r w:rsidR="005679BB" w:rsidRPr="006B044F">
        <w:t>deposit</w:t>
      </w:r>
      <w:bookmarkEnd w:id="41"/>
      <w:r w:rsidR="005679BB" w:rsidRPr="006B044F">
        <w:t xml:space="preserve"> </w:t>
      </w:r>
      <w:r w:rsidR="005E1FC5" w:rsidRPr="006B044F">
        <w:t xml:space="preserve">to 0.039 </w:t>
      </w:r>
      <w:bookmarkStart w:id="42" w:name="_Hlk509931989"/>
      <w:r w:rsidR="005E1FC5" w:rsidRPr="006B044F">
        <w:t>μg cm</w:t>
      </w:r>
      <w:r w:rsidR="005E1FC5" w:rsidRPr="006B044F">
        <w:rPr>
          <w:vertAlign w:val="superscript"/>
        </w:rPr>
        <w:t>-2</w:t>
      </w:r>
      <w:r w:rsidR="005E1FC5" w:rsidRPr="006B044F">
        <w:t xml:space="preserve"> </w:t>
      </w:r>
      <w:bookmarkEnd w:id="42"/>
      <w:r w:rsidR="00E84EDF" w:rsidRPr="006B044F">
        <w:t xml:space="preserve">(95% </w:t>
      </w:r>
      <w:r w:rsidR="004355DC" w:rsidRPr="006B044F">
        <w:t xml:space="preserve">CIs </w:t>
      </w:r>
      <w:r w:rsidR="00E84EDF" w:rsidRPr="006B044F">
        <w:t>[</w:t>
      </w:r>
      <w:r w:rsidR="005E1FC5" w:rsidRPr="006B044F">
        <w:t>0.035</w:t>
      </w:r>
      <w:r w:rsidR="004355DC" w:rsidRPr="006B044F">
        <w:t xml:space="preserve"> μg cm</w:t>
      </w:r>
      <w:r w:rsidR="004355DC" w:rsidRPr="006B044F">
        <w:rPr>
          <w:vertAlign w:val="superscript"/>
        </w:rPr>
        <w:t>-2</w:t>
      </w:r>
      <w:r w:rsidR="005E1FC5" w:rsidRPr="006B044F">
        <w:t>; 0.044</w:t>
      </w:r>
      <w:r w:rsidR="004355DC" w:rsidRPr="006B044F">
        <w:t xml:space="preserve"> μg cm</w:t>
      </w:r>
      <w:r w:rsidR="004355DC" w:rsidRPr="006B044F">
        <w:rPr>
          <w:vertAlign w:val="superscript"/>
        </w:rPr>
        <w:t>-2</w:t>
      </w:r>
      <w:r w:rsidR="005E1FC5" w:rsidRPr="006B044F">
        <w:t>]</w:t>
      </w:r>
      <w:r w:rsidR="00E84EDF" w:rsidRPr="006B044F">
        <w:t>;</w:t>
      </w:r>
      <w:r w:rsidR="005E1FC5" w:rsidRPr="006B044F">
        <w:t xml:space="preserve"> Figure </w:t>
      </w:r>
      <w:r w:rsidR="00E84EDF" w:rsidRPr="006B044F">
        <w:t>3</w:t>
      </w:r>
      <w:r w:rsidR="005E1FC5" w:rsidRPr="006B044F">
        <w:t xml:space="preserve">b). The </w:t>
      </w:r>
      <w:r w:rsidR="00E84EDF" w:rsidRPr="006B044F">
        <w:t>0.00013 μg cm</w:t>
      </w:r>
      <w:r w:rsidR="00E84EDF" w:rsidRPr="006B044F">
        <w:rPr>
          <w:vertAlign w:val="superscript"/>
        </w:rPr>
        <w:t>-2</w:t>
      </w:r>
      <w:r w:rsidR="00E84EDF" w:rsidRPr="006B044F">
        <w:t xml:space="preserve"> mean </w:t>
      </w:r>
      <w:r w:rsidR="005E1FC5" w:rsidRPr="006B044F">
        <w:t xml:space="preserve">difference between </w:t>
      </w:r>
      <w:r w:rsidR="001A6C89" w:rsidRPr="006B044F">
        <w:t xml:space="preserve">mean </w:t>
      </w:r>
      <w:r w:rsidR="00E84EDF" w:rsidRPr="006B044F">
        <w:t xml:space="preserve">corrected </w:t>
      </w:r>
      <w:r w:rsidR="005E1FC5" w:rsidRPr="006B044F">
        <w:t>water sensitive paper residue</w:t>
      </w:r>
      <w:r w:rsidR="00E84EDF" w:rsidRPr="006B044F">
        <w:t xml:space="preserve"> values and leaf residue values </w:t>
      </w:r>
      <w:r w:rsidR="005E1FC5" w:rsidRPr="006B044F">
        <w:t>was not significant (</w:t>
      </w:r>
      <w:r w:rsidR="00E84EDF" w:rsidRPr="006B044F">
        <w:t>95% CIs [-0.006 μg cm</w:t>
      </w:r>
      <w:r w:rsidR="00E84EDF" w:rsidRPr="006B044F">
        <w:rPr>
          <w:vertAlign w:val="superscript"/>
        </w:rPr>
        <w:t>-2</w:t>
      </w:r>
      <w:r w:rsidR="00E84EDF" w:rsidRPr="006B044F">
        <w:t>; 0.006 μg cm</w:t>
      </w:r>
      <w:r w:rsidR="00E84EDF" w:rsidRPr="006B044F">
        <w:rPr>
          <w:vertAlign w:val="superscript"/>
        </w:rPr>
        <w:t>-2</w:t>
      </w:r>
      <w:r w:rsidR="00E84EDF" w:rsidRPr="006B044F">
        <w:t xml:space="preserve">]; </w:t>
      </w:r>
      <w:r w:rsidR="005E1FC5" w:rsidRPr="006B044F">
        <w:t>P = 0.</w:t>
      </w:r>
      <w:r w:rsidR="00E84EDF" w:rsidRPr="006B044F">
        <w:t>97</w:t>
      </w:r>
      <w:r w:rsidR="005E1FC5" w:rsidRPr="006B044F">
        <w:t>).</w:t>
      </w:r>
    </w:p>
    <w:p w14:paraId="395EF479" w14:textId="77777777" w:rsidR="008C016B" w:rsidRPr="006B044F" w:rsidRDefault="00745174" w:rsidP="00E94812">
      <w:pPr>
        <w:spacing w:line="480" w:lineRule="auto"/>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corrected</m:t>
            </m:r>
          </m:sub>
        </m:sSub>
        <m:r>
          <w:rPr>
            <w:rFonts w:ascii="Cambria Math" w:hAnsi="Cambria Math"/>
          </w:rPr>
          <m:t>= R ×CF</m:t>
        </m:r>
      </m:oMath>
      <w:r w:rsidR="008C016B" w:rsidRPr="006B044F">
        <w:rPr>
          <w:rFonts w:eastAsiaTheme="minorEastAsia"/>
        </w:rPr>
        <w:tab/>
      </w:r>
      <w:r w:rsidR="008C016B" w:rsidRPr="006B044F">
        <w:rPr>
          <w:rFonts w:eastAsiaTheme="minorEastAsia"/>
        </w:rPr>
        <w:tab/>
      </w:r>
      <w:r w:rsidR="008C016B" w:rsidRPr="006B044F">
        <w:rPr>
          <w:rFonts w:eastAsiaTheme="minorEastAsia"/>
        </w:rPr>
        <w:tab/>
      </w:r>
      <w:r w:rsidR="008C016B" w:rsidRPr="006B044F">
        <w:rPr>
          <w:rFonts w:eastAsiaTheme="minorEastAsia"/>
        </w:rPr>
        <w:tab/>
      </w:r>
      <w:r w:rsidR="008C016B" w:rsidRPr="006B044F">
        <w:rPr>
          <w:rFonts w:eastAsiaTheme="minorEastAsia"/>
        </w:rPr>
        <w:tab/>
      </w:r>
      <w:r w:rsidR="008C016B" w:rsidRPr="006B044F">
        <w:rPr>
          <w:rFonts w:eastAsiaTheme="minorEastAsia"/>
        </w:rPr>
        <w:tab/>
      </w:r>
      <w:r w:rsidR="008C016B" w:rsidRPr="006B044F">
        <w:rPr>
          <w:rFonts w:eastAsiaTheme="minorEastAsia"/>
        </w:rPr>
        <w:tab/>
      </w:r>
      <w:r w:rsidR="008C016B" w:rsidRPr="006B044F">
        <w:rPr>
          <w:rFonts w:eastAsiaTheme="minorEastAsia"/>
        </w:rPr>
        <w:tab/>
      </w:r>
      <w:r w:rsidR="008C016B" w:rsidRPr="006B044F">
        <w:rPr>
          <w:rFonts w:eastAsiaTheme="minorEastAsia"/>
        </w:rPr>
        <w:tab/>
        <w:t>Equation 7</w:t>
      </w:r>
    </w:p>
    <w:p w14:paraId="0AD5948F" w14:textId="459B7C3E" w:rsidR="008C016B" w:rsidRPr="006B044F" w:rsidRDefault="008C016B" w:rsidP="00E94812">
      <w:pPr>
        <w:spacing w:line="480" w:lineRule="auto"/>
        <w:rPr>
          <w:rFonts w:eastAsiaTheme="minorEastAsia"/>
        </w:rPr>
      </w:pPr>
      <w:r w:rsidRPr="006B044F">
        <w:rPr>
          <w:rFonts w:ascii="Cambria Math" w:eastAsiaTheme="minorEastAsia" w:hAnsi="Cambria Math"/>
          <w:i/>
        </w:rPr>
        <w:t>R</w:t>
      </w:r>
      <w:r w:rsidRPr="006B044F">
        <w:rPr>
          <w:rFonts w:ascii="Cambria Math" w:eastAsiaTheme="minorEastAsia" w:hAnsi="Cambria Math"/>
          <w:i/>
          <w:vertAlign w:val="subscript"/>
        </w:rPr>
        <w:t>corrected</w:t>
      </w:r>
      <w:r w:rsidRPr="006B044F">
        <w:rPr>
          <w:rFonts w:eastAsiaTheme="minorEastAsia"/>
          <w:i/>
        </w:rPr>
        <w:t xml:space="preserve"> </w:t>
      </w:r>
      <w:r w:rsidRPr="006B044F">
        <w:rPr>
          <w:rFonts w:eastAsiaTheme="minorEastAsia"/>
        </w:rPr>
        <w:t xml:space="preserve">denotes corrected </w:t>
      </w:r>
      <w:r w:rsidR="00E84EDF" w:rsidRPr="006B044F">
        <w:rPr>
          <w:rFonts w:eastAsiaTheme="minorEastAsia"/>
        </w:rPr>
        <w:t xml:space="preserve">penconazole </w:t>
      </w:r>
      <w:r w:rsidRPr="006B044F">
        <w:rPr>
          <w:rFonts w:eastAsiaTheme="minorEastAsia"/>
        </w:rPr>
        <w:t xml:space="preserve">residue in </w:t>
      </w:r>
      <w:r w:rsidR="00F11B05" w:rsidRPr="006B044F">
        <w:rPr>
          <w:rFonts w:eastAsiaTheme="minorEastAsia"/>
        </w:rPr>
        <w:t>μL</w:t>
      </w:r>
      <w:r w:rsidRPr="006B044F">
        <w:rPr>
          <w:rFonts w:eastAsiaTheme="minorEastAsia"/>
        </w:rPr>
        <w:t xml:space="preserve"> cm</w:t>
      </w:r>
      <w:r w:rsidRPr="006B044F">
        <w:rPr>
          <w:rFonts w:eastAsiaTheme="minorEastAsia"/>
          <w:vertAlign w:val="superscript"/>
        </w:rPr>
        <w:t>-2</w:t>
      </w:r>
      <w:r w:rsidRPr="006B044F">
        <w:rPr>
          <w:rFonts w:eastAsiaTheme="minorEastAsia"/>
        </w:rPr>
        <w:t xml:space="preserve">; </w:t>
      </w:r>
      <w:r w:rsidRPr="006B044F">
        <w:rPr>
          <w:rFonts w:ascii="Cambria Math" w:eastAsiaTheme="minorEastAsia" w:hAnsi="Cambria Math"/>
          <w:i/>
        </w:rPr>
        <w:t>R</w:t>
      </w:r>
      <w:r w:rsidRPr="006B044F">
        <w:rPr>
          <w:rFonts w:eastAsiaTheme="minorEastAsia"/>
        </w:rPr>
        <w:t xml:space="preserve"> denotes </w:t>
      </w:r>
      <w:r w:rsidR="00E84EDF" w:rsidRPr="006B044F">
        <w:rPr>
          <w:rFonts w:eastAsiaTheme="minorEastAsia"/>
        </w:rPr>
        <w:t xml:space="preserve">penconazole </w:t>
      </w:r>
      <w:r w:rsidRPr="006B044F">
        <w:rPr>
          <w:rFonts w:eastAsiaTheme="minorEastAsia"/>
        </w:rPr>
        <w:t xml:space="preserve">residue on water sensitive paper in </w:t>
      </w:r>
      <w:r w:rsidR="00F11B05" w:rsidRPr="006B044F">
        <w:rPr>
          <w:rFonts w:eastAsiaTheme="minorEastAsia"/>
        </w:rPr>
        <w:t>μL</w:t>
      </w:r>
      <w:r w:rsidRPr="006B044F">
        <w:rPr>
          <w:rFonts w:eastAsiaTheme="minorEastAsia"/>
        </w:rPr>
        <w:t xml:space="preserve"> cm</w:t>
      </w:r>
      <w:r w:rsidRPr="006B044F">
        <w:rPr>
          <w:rFonts w:eastAsiaTheme="minorEastAsia"/>
          <w:vertAlign w:val="superscript"/>
        </w:rPr>
        <w:t>-2</w:t>
      </w:r>
      <w:r w:rsidRPr="006B044F">
        <w:rPr>
          <w:rFonts w:eastAsiaTheme="minorEastAsia"/>
        </w:rPr>
        <w:t xml:space="preserve">; </w:t>
      </w:r>
      <w:r w:rsidRPr="006B044F">
        <w:rPr>
          <w:rFonts w:ascii="Cambria Math" w:eastAsiaTheme="minorEastAsia" w:hAnsi="Cambria Math"/>
          <w:i/>
        </w:rPr>
        <w:t>CF</w:t>
      </w:r>
      <w:r w:rsidRPr="006B044F">
        <w:rPr>
          <w:rFonts w:eastAsiaTheme="minorEastAsia"/>
        </w:rPr>
        <w:t xml:space="preserve"> denotes the correction factor of 0.1625.</w:t>
      </w:r>
    </w:p>
    <w:p w14:paraId="78FA2CFD" w14:textId="77777777" w:rsidR="00AC7B7D" w:rsidRPr="006B044F" w:rsidRDefault="00AC7B7D" w:rsidP="00E94812">
      <w:pPr>
        <w:spacing w:line="480" w:lineRule="auto"/>
      </w:pPr>
    </w:p>
    <w:p w14:paraId="3EB0FA2E" w14:textId="0FA5AEE6" w:rsidR="001242A8" w:rsidRPr="006B044F" w:rsidRDefault="001242A8" w:rsidP="001242A8">
      <w:pPr>
        <w:spacing w:line="480" w:lineRule="auto"/>
      </w:pPr>
      <w:bookmarkStart w:id="43" w:name="_Hlk511055767"/>
      <w:r w:rsidRPr="006B044F">
        <w:lastRenderedPageBreak/>
        <w:t xml:space="preserve">Figure </w:t>
      </w:r>
      <w:r w:rsidR="00341C51" w:rsidRPr="006B044F">
        <w:t>3</w:t>
      </w:r>
      <w:r w:rsidRPr="006B044F">
        <w:t>. Comparison of penconazole residue values based on surface area derived from leaf residue samples analysed via GC-MS and water sensitive paper (WSP) samples analysed via DepositScan image analysis with no correction factor (a) and with a correction factor applied</w:t>
      </w:r>
      <w:r w:rsidR="00D65C47" w:rsidRPr="006B044F">
        <w:t xml:space="preserve"> to individual data points</w:t>
      </w:r>
      <w:r w:rsidRPr="006B044F">
        <w:t xml:space="preserve"> (b). The horizontal</w:t>
      </w:r>
      <w:r w:rsidR="0077337F" w:rsidRPr="006B044F">
        <w:t xml:space="preserve"> middle, lower and upper</w:t>
      </w:r>
      <w:r w:rsidRPr="006B044F">
        <w:t xml:space="preserve"> line</w:t>
      </w:r>
      <w:r w:rsidR="0077337F" w:rsidRPr="006B044F">
        <w:t>s</w:t>
      </w:r>
      <w:r w:rsidRPr="006B044F">
        <w:t xml:space="preserve"> within each box indicate mean</w:t>
      </w:r>
      <w:r w:rsidR="00D65C47" w:rsidRPr="006B044F">
        <w:t>, 25</w:t>
      </w:r>
      <w:r w:rsidR="00D65C47" w:rsidRPr="006B044F">
        <w:rPr>
          <w:vertAlign w:val="superscript"/>
        </w:rPr>
        <w:t>th</w:t>
      </w:r>
      <w:r w:rsidR="00D65C47" w:rsidRPr="006B044F">
        <w:t xml:space="preserve"> and 75</w:t>
      </w:r>
      <w:r w:rsidR="00D65C47" w:rsidRPr="006B044F">
        <w:rPr>
          <w:vertAlign w:val="superscript"/>
        </w:rPr>
        <w:t>th</w:t>
      </w:r>
      <w:r w:rsidR="00D65C47" w:rsidRPr="006B044F">
        <w:t xml:space="preserve"> percentiles</w:t>
      </w:r>
      <w:r w:rsidRPr="006B044F">
        <w:t xml:space="preserve">; </w:t>
      </w:r>
      <w:r w:rsidR="0077337F" w:rsidRPr="006B044F">
        <w:t xml:space="preserve">caps at the top of the </w:t>
      </w:r>
      <w:r w:rsidRPr="006B044F">
        <w:t xml:space="preserve">vertical lines </w:t>
      </w:r>
      <w:r w:rsidR="0077337F" w:rsidRPr="006B044F">
        <w:t xml:space="preserve">indicate the </w:t>
      </w:r>
      <w:r w:rsidRPr="006B044F">
        <w:t>5</w:t>
      </w:r>
      <w:r w:rsidRPr="006B044F">
        <w:rPr>
          <w:vertAlign w:val="superscript"/>
        </w:rPr>
        <w:t>th</w:t>
      </w:r>
      <w:r w:rsidRPr="006B044F">
        <w:t xml:space="preserve"> and 95</w:t>
      </w:r>
      <w:r w:rsidRPr="006B044F">
        <w:rPr>
          <w:vertAlign w:val="superscript"/>
        </w:rPr>
        <w:t>th</w:t>
      </w:r>
      <w:r w:rsidRPr="006B044F">
        <w:t xml:space="preserve"> percentiles; dots depict extreme data points</w:t>
      </w:r>
      <w:r w:rsidR="0077337F" w:rsidRPr="006B044F">
        <w:t xml:space="preserve"> </w:t>
      </w:r>
      <w:bookmarkStart w:id="44" w:name="_Hlk517354585"/>
      <w:r w:rsidR="0077337F" w:rsidRPr="006B044F">
        <w:t xml:space="preserve">(i.e. values less than </w:t>
      </w:r>
      <w:r w:rsidR="000448D8" w:rsidRPr="006B044F">
        <w:t>25</w:t>
      </w:r>
      <w:r w:rsidR="000448D8" w:rsidRPr="006B044F">
        <w:rPr>
          <w:vertAlign w:val="superscript"/>
        </w:rPr>
        <w:t>th</w:t>
      </w:r>
      <w:r w:rsidR="000448D8" w:rsidRPr="006B044F">
        <w:t xml:space="preserve"> Percentile - 1.5 </w:t>
      </w:r>
      <w:r w:rsidR="005679BB" w:rsidRPr="006B044F">
        <w:t xml:space="preserve">× </w:t>
      </w:r>
      <w:r w:rsidR="000448D8" w:rsidRPr="006B044F">
        <w:t xml:space="preserve">inter-quartile distance, </w:t>
      </w:r>
      <w:r w:rsidR="0077337F" w:rsidRPr="006B044F">
        <w:t>or greater than</w:t>
      </w:r>
      <w:r w:rsidR="000448D8" w:rsidRPr="006B044F">
        <w:t xml:space="preserve"> 75</w:t>
      </w:r>
      <w:r w:rsidR="000448D8" w:rsidRPr="006B044F">
        <w:rPr>
          <w:vertAlign w:val="superscript"/>
        </w:rPr>
        <w:t>th</w:t>
      </w:r>
      <w:r w:rsidR="000448D8" w:rsidRPr="006B044F">
        <w:t xml:space="preserve"> Percentile + 1.5 </w:t>
      </w:r>
      <w:r w:rsidR="005679BB" w:rsidRPr="006B044F">
        <w:t xml:space="preserve">× </w:t>
      </w:r>
      <w:r w:rsidR="000448D8" w:rsidRPr="006B044F">
        <w:t>inter-quartile distance)</w:t>
      </w:r>
      <w:r w:rsidRPr="006B044F">
        <w:t xml:space="preserve">. </w:t>
      </w:r>
      <w:r w:rsidRPr="006B044F">
        <w:rPr>
          <w:i/>
        </w:rPr>
        <w:t>n</w:t>
      </w:r>
      <w:r w:rsidRPr="006B044F">
        <w:t xml:space="preserve"> = 90; 61</w:t>
      </w:r>
      <w:bookmarkEnd w:id="43"/>
    </w:p>
    <w:bookmarkEnd w:id="44"/>
    <w:p w14:paraId="0948A6E6" w14:textId="77777777" w:rsidR="00487849" w:rsidRPr="006B044F" w:rsidRDefault="00487849" w:rsidP="00E94812">
      <w:pPr>
        <w:spacing w:line="480" w:lineRule="auto"/>
      </w:pPr>
    </w:p>
    <w:p w14:paraId="433780E6" w14:textId="04982D51" w:rsidR="003E5D5A" w:rsidRPr="006B044F" w:rsidRDefault="00F11B05" w:rsidP="00E94812">
      <w:pPr>
        <w:spacing w:line="480" w:lineRule="auto"/>
        <w:rPr>
          <w:b/>
        </w:rPr>
      </w:pPr>
      <w:bookmarkStart w:id="45" w:name="_Toc469323098"/>
      <w:r w:rsidRPr="006B044F">
        <w:rPr>
          <w:b/>
        </w:rPr>
        <w:t>9</w:t>
      </w:r>
      <w:r w:rsidR="00216225" w:rsidRPr="006B044F">
        <w:rPr>
          <w:b/>
        </w:rPr>
        <w:t>.4</w:t>
      </w:r>
      <w:r w:rsidR="004F5438" w:rsidRPr="006B044F">
        <w:rPr>
          <w:b/>
        </w:rPr>
        <w:t xml:space="preserve"> </w:t>
      </w:r>
      <w:r w:rsidR="00443D1F" w:rsidRPr="006B044F">
        <w:rPr>
          <w:b/>
        </w:rPr>
        <w:t>Testing DepositScan</w:t>
      </w:r>
      <w:bookmarkEnd w:id="45"/>
    </w:p>
    <w:p w14:paraId="4358CC00" w14:textId="1808C5C1" w:rsidR="002D432B" w:rsidRPr="006B044F" w:rsidRDefault="00B95CDA" w:rsidP="00E94812">
      <w:pPr>
        <w:spacing w:line="480" w:lineRule="auto"/>
      </w:pPr>
      <w:r w:rsidRPr="006B044F">
        <w:t>When comparing different spread factor calculations, m</w:t>
      </w:r>
      <w:r w:rsidR="009966E7" w:rsidRPr="006B044F">
        <w:t>ean droplet volume for the DepositScan spread factor was</w:t>
      </w:r>
      <w:r w:rsidR="00B6228E" w:rsidRPr="006B044F">
        <w:t xml:space="preserve"> 0.05</w:t>
      </w:r>
      <w:r w:rsidR="009E48D5" w:rsidRPr="006B044F">
        <w:t>5</w:t>
      </w:r>
      <w:r w:rsidR="00B20D73" w:rsidRPr="006B044F">
        <w:t xml:space="preserve"> </w:t>
      </w:r>
      <w:r w:rsidR="00F11B05" w:rsidRPr="006B044F">
        <w:t>μL</w:t>
      </w:r>
      <w:r w:rsidRPr="006B044F">
        <w:t xml:space="preserve"> per image</w:t>
      </w:r>
      <w:r w:rsidR="00B20D73" w:rsidRPr="006B044F">
        <w:t xml:space="preserve"> [</w:t>
      </w:r>
      <w:r w:rsidR="000448D8" w:rsidRPr="006B044F">
        <w:t xml:space="preserve">95% </w:t>
      </w:r>
      <w:r w:rsidR="004005B2" w:rsidRPr="006B044F">
        <w:t>CIs</w:t>
      </w:r>
      <w:r w:rsidR="00C8501F" w:rsidRPr="006B044F">
        <w:t>:</w:t>
      </w:r>
      <w:r w:rsidR="004005B2" w:rsidRPr="006B044F">
        <w:t xml:space="preserve"> 0.035</w:t>
      </w:r>
      <w:r w:rsidR="00C8501F" w:rsidRPr="006B044F">
        <w:t xml:space="preserve"> </w:t>
      </w:r>
      <w:r w:rsidR="00F11B05" w:rsidRPr="006B044F">
        <w:t>μL</w:t>
      </w:r>
      <w:r w:rsidR="004005B2" w:rsidRPr="006B044F">
        <w:t>; 0.075</w:t>
      </w:r>
      <w:r w:rsidR="00C8501F" w:rsidRPr="006B044F">
        <w:t xml:space="preserve"> </w:t>
      </w:r>
      <w:r w:rsidR="00F11B05" w:rsidRPr="006B044F">
        <w:t>μL</w:t>
      </w:r>
      <w:r w:rsidR="009966E7" w:rsidRPr="006B044F">
        <w:t xml:space="preserve">], </w:t>
      </w:r>
      <w:r w:rsidR="000448D8" w:rsidRPr="006B044F">
        <w:t>19.6</w:t>
      </w:r>
      <w:r w:rsidR="009966E7" w:rsidRPr="006B044F">
        <w:t>% higher than the average droplet volume from the varied spread factor of 0.</w:t>
      </w:r>
      <w:r w:rsidR="009E48D5" w:rsidRPr="006B044F">
        <w:t>046</w:t>
      </w:r>
      <w:r w:rsidR="00B6228E" w:rsidRPr="006B044F">
        <w:t xml:space="preserve"> </w:t>
      </w:r>
      <w:r w:rsidR="00F11B05" w:rsidRPr="006B044F">
        <w:t>μL</w:t>
      </w:r>
      <w:r w:rsidR="00B6228E" w:rsidRPr="006B044F">
        <w:t xml:space="preserve"> </w:t>
      </w:r>
      <w:r w:rsidR="00473302" w:rsidRPr="006B044F">
        <w:t xml:space="preserve">(95% </w:t>
      </w:r>
      <w:r w:rsidR="00C8501F" w:rsidRPr="006B044F">
        <w:t>CIs</w:t>
      </w:r>
      <w:r w:rsidR="00473302" w:rsidRPr="006B044F">
        <w:t xml:space="preserve"> [</w:t>
      </w:r>
      <w:r w:rsidR="00B6228E" w:rsidRPr="006B044F">
        <w:t>0.02</w:t>
      </w:r>
      <w:r w:rsidR="009E48D5" w:rsidRPr="006B044F">
        <w:t>8</w:t>
      </w:r>
      <w:r w:rsidR="00C8501F" w:rsidRPr="006B044F">
        <w:t xml:space="preserve"> </w:t>
      </w:r>
      <w:r w:rsidR="00F11B05" w:rsidRPr="006B044F">
        <w:t>μL</w:t>
      </w:r>
      <w:r w:rsidR="009E48D5" w:rsidRPr="006B044F">
        <w:t>; 0.064</w:t>
      </w:r>
      <w:r w:rsidR="00C8501F" w:rsidRPr="006B044F">
        <w:t xml:space="preserve"> </w:t>
      </w:r>
      <w:r w:rsidR="00F11B05" w:rsidRPr="006B044F">
        <w:t>μL</w:t>
      </w:r>
      <w:r w:rsidR="009966E7" w:rsidRPr="006B044F">
        <w:t>]</w:t>
      </w:r>
      <w:r w:rsidR="00473302" w:rsidRPr="006B044F">
        <w:t xml:space="preserve">; </w:t>
      </w:r>
      <w:r w:rsidR="009966E7" w:rsidRPr="006B044F">
        <w:t>P &lt; 0.</w:t>
      </w:r>
      <w:r w:rsidR="00B6228E" w:rsidRPr="006B044F">
        <w:t>0</w:t>
      </w:r>
      <w:r w:rsidR="009966E7" w:rsidRPr="006B044F">
        <w:t>001</w:t>
      </w:r>
      <w:r w:rsidR="00473302" w:rsidRPr="006B044F">
        <w:t>; ratio paired t test</w:t>
      </w:r>
      <w:r w:rsidR="00BE4AE4" w:rsidRPr="006B044F">
        <w:t>)</w:t>
      </w:r>
      <w:r w:rsidR="007377F1" w:rsidRPr="006B044F">
        <w:t xml:space="preserve">. </w:t>
      </w:r>
      <w:r w:rsidRPr="006B044F">
        <w:t xml:space="preserve">Deposition ranged from 0.00009 – 0.1882 </w:t>
      </w:r>
      <w:r w:rsidR="00F11B05" w:rsidRPr="006B044F">
        <w:t>μL</w:t>
      </w:r>
      <w:r w:rsidRPr="006B044F">
        <w:t xml:space="preserve"> when calculated using the DepositScan spread factor, and 0.00009 – 0.1681 </w:t>
      </w:r>
      <w:r w:rsidR="00F11B05" w:rsidRPr="006B044F">
        <w:t>μL</w:t>
      </w:r>
      <w:r w:rsidRPr="006B044F">
        <w:t xml:space="preserve"> when calculated with the varied spread factor</w:t>
      </w:r>
      <w:r w:rsidR="00EB3AFE" w:rsidRPr="006B044F">
        <w:t xml:space="preserve"> (Figure </w:t>
      </w:r>
      <w:r w:rsidR="00D65C47" w:rsidRPr="006B044F">
        <w:t>4</w:t>
      </w:r>
      <w:r w:rsidR="00EB3AFE" w:rsidRPr="006B044F">
        <w:t>a)</w:t>
      </w:r>
      <w:r w:rsidRPr="006B044F">
        <w:t>.</w:t>
      </w:r>
      <w:r w:rsidR="00EB3AFE" w:rsidRPr="006B044F">
        <w:t xml:space="preserve"> </w:t>
      </w:r>
      <w:r w:rsidR="002D432B" w:rsidRPr="006B044F">
        <w:t>When assessing whether deposition is overestimated when 2 droplets touch compared to when there is no contact, the respective mean deposition volumes were 0.</w:t>
      </w:r>
      <w:r w:rsidR="009E48D5" w:rsidRPr="006B044F">
        <w:t>14</w:t>
      </w:r>
      <w:r w:rsidR="002D432B" w:rsidRPr="006B044F">
        <w:t xml:space="preserve"> </w:t>
      </w:r>
      <w:r w:rsidR="00F11B05" w:rsidRPr="006B044F">
        <w:t>μL</w:t>
      </w:r>
      <w:r w:rsidR="002D432B" w:rsidRPr="006B044F">
        <w:t xml:space="preserve"> [</w:t>
      </w:r>
      <w:r w:rsidR="000448D8" w:rsidRPr="006B044F">
        <w:t xml:space="preserve">95% </w:t>
      </w:r>
      <w:r w:rsidR="007F309B" w:rsidRPr="006B044F">
        <w:t>CIs</w:t>
      </w:r>
      <w:r w:rsidR="00C8501F" w:rsidRPr="006B044F">
        <w:t>:</w:t>
      </w:r>
      <w:r w:rsidR="007F309B" w:rsidRPr="006B044F">
        <w:t xml:space="preserve"> </w:t>
      </w:r>
      <w:r w:rsidR="009E48D5" w:rsidRPr="006B044F">
        <w:t>0.09</w:t>
      </w:r>
      <w:r w:rsidR="00C8501F" w:rsidRPr="006B044F">
        <w:t xml:space="preserve"> </w:t>
      </w:r>
      <w:r w:rsidR="00F11B05" w:rsidRPr="006B044F">
        <w:t>μL</w:t>
      </w:r>
      <w:r w:rsidR="002D432B" w:rsidRPr="006B044F">
        <w:t xml:space="preserve">; </w:t>
      </w:r>
      <w:r w:rsidR="009E48D5" w:rsidRPr="006B044F">
        <w:t>0.19</w:t>
      </w:r>
      <w:r w:rsidR="00C8501F" w:rsidRPr="006B044F">
        <w:t xml:space="preserve"> </w:t>
      </w:r>
      <w:r w:rsidR="00F11B05" w:rsidRPr="006B044F">
        <w:t>μL</w:t>
      </w:r>
      <w:r w:rsidR="002D432B" w:rsidRPr="006B044F">
        <w:t>] and 0.</w:t>
      </w:r>
      <w:r w:rsidR="009E48D5" w:rsidRPr="006B044F">
        <w:t xml:space="preserve">11 </w:t>
      </w:r>
      <w:r w:rsidR="00F11B05" w:rsidRPr="006B044F">
        <w:t>μL</w:t>
      </w:r>
      <w:r w:rsidR="009E48D5" w:rsidRPr="006B044F">
        <w:t xml:space="preserve"> [</w:t>
      </w:r>
      <w:r w:rsidR="00C8501F" w:rsidRPr="006B044F">
        <w:t xml:space="preserve">CIs: </w:t>
      </w:r>
      <w:r w:rsidR="009E48D5" w:rsidRPr="006B044F">
        <w:t>0.07</w:t>
      </w:r>
      <w:r w:rsidR="00C8501F" w:rsidRPr="006B044F">
        <w:t xml:space="preserve"> </w:t>
      </w:r>
      <w:r w:rsidR="00F11B05" w:rsidRPr="006B044F">
        <w:t>μL</w:t>
      </w:r>
      <w:r w:rsidR="009E48D5" w:rsidRPr="006B044F">
        <w:t>; 0.15</w:t>
      </w:r>
      <w:r w:rsidR="00C8501F" w:rsidRPr="006B044F">
        <w:t xml:space="preserve"> </w:t>
      </w:r>
      <w:r w:rsidR="00F11B05" w:rsidRPr="006B044F">
        <w:t>μL</w:t>
      </w:r>
      <w:r w:rsidRPr="006B044F">
        <w:t>],</w:t>
      </w:r>
      <w:r w:rsidR="00943828" w:rsidRPr="006B044F">
        <w:t xml:space="preserve"> thereby showing deposition was overestimated </w:t>
      </w:r>
      <w:r w:rsidR="00FA00BF" w:rsidRPr="006B044F">
        <w:t xml:space="preserve">on average </w:t>
      </w:r>
      <w:r w:rsidR="00943828" w:rsidRPr="006B044F">
        <w:t xml:space="preserve">by </w:t>
      </w:r>
      <w:r w:rsidR="009E48D5" w:rsidRPr="006B044F">
        <w:t>22.3</w:t>
      </w:r>
      <w:r w:rsidR="00943828" w:rsidRPr="006B044F">
        <w:t>% when the droplets were touching (P &lt; 0.0</w:t>
      </w:r>
      <w:r w:rsidR="009F23B0" w:rsidRPr="006B044F">
        <w:t>0</w:t>
      </w:r>
      <w:r w:rsidR="00943828" w:rsidRPr="006B044F">
        <w:t>01</w:t>
      </w:r>
      <w:r w:rsidR="00EB3AFE" w:rsidRPr="006B044F">
        <w:t xml:space="preserve">; Figure </w:t>
      </w:r>
      <w:r w:rsidR="00D65C47" w:rsidRPr="006B044F">
        <w:t>4</w:t>
      </w:r>
      <w:r w:rsidR="00EB3AFE" w:rsidRPr="006B044F">
        <w:t>b</w:t>
      </w:r>
      <w:r w:rsidR="00943828" w:rsidRPr="006B044F">
        <w:t>).</w:t>
      </w:r>
    </w:p>
    <w:p w14:paraId="4096EAAD" w14:textId="77777777" w:rsidR="001242A8" w:rsidRPr="006B044F" w:rsidRDefault="001242A8" w:rsidP="001242A8">
      <w:pPr>
        <w:spacing w:line="480" w:lineRule="auto"/>
      </w:pPr>
      <w:r w:rsidRPr="006B044F">
        <w:t xml:space="preserve">Figure </w:t>
      </w:r>
      <w:r w:rsidR="00341C51" w:rsidRPr="006B044F">
        <w:t>4.</w:t>
      </w:r>
      <w:r w:rsidRPr="006B044F">
        <w:t xml:space="preserve"> (a) Deposition values calculated from the same artificial stain using the default DepositScan spread factor and an alternative spread factor that varies based on stain </w:t>
      </w:r>
      <w:r w:rsidRPr="006B044F">
        <w:lastRenderedPageBreak/>
        <w:t xml:space="preserve">diameter. </w:t>
      </w:r>
      <w:r w:rsidRPr="006B044F">
        <w:rPr>
          <w:i/>
        </w:rPr>
        <w:t>n</w:t>
      </w:r>
      <w:r w:rsidRPr="006B044F">
        <w:t xml:space="preserve"> = 33 (b) Deposition values calculated by DepositScan based on whether two artificial circular stains of the same size touch or not. </w:t>
      </w:r>
      <w:r w:rsidRPr="006B044F">
        <w:rPr>
          <w:i/>
        </w:rPr>
        <w:t xml:space="preserve">n </w:t>
      </w:r>
      <w:r w:rsidRPr="006B044F">
        <w:t>= 33.</w:t>
      </w:r>
    </w:p>
    <w:p w14:paraId="78B5BE0B" w14:textId="77777777" w:rsidR="007B4697" w:rsidRPr="006B044F" w:rsidRDefault="007B4697" w:rsidP="00E94812">
      <w:pPr>
        <w:spacing w:line="480" w:lineRule="auto"/>
      </w:pPr>
    </w:p>
    <w:p w14:paraId="7CC9AFEF" w14:textId="77777777" w:rsidR="008254BC" w:rsidRPr="006B044F" w:rsidRDefault="00F11B05" w:rsidP="00E94812">
      <w:pPr>
        <w:spacing w:line="480" w:lineRule="auto"/>
      </w:pPr>
      <w:bookmarkStart w:id="46" w:name="_Toc469323099"/>
      <w:r w:rsidRPr="006B044F">
        <w:rPr>
          <w:b/>
        </w:rPr>
        <w:t>10</w:t>
      </w:r>
      <w:r w:rsidR="004F5438" w:rsidRPr="006B044F">
        <w:rPr>
          <w:b/>
        </w:rPr>
        <w:t xml:space="preserve"> DISCUSSION</w:t>
      </w:r>
      <w:bookmarkStart w:id="47" w:name="_Toc469323100"/>
      <w:bookmarkEnd w:id="46"/>
    </w:p>
    <w:p w14:paraId="0B3F2A53" w14:textId="270EC5DE" w:rsidR="001014CA" w:rsidRPr="006B044F" w:rsidRDefault="00F11B05" w:rsidP="00E94812">
      <w:pPr>
        <w:spacing w:line="480" w:lineRule="auto"/>
        <w:rPr>
          <w:b/>
        </w:rPr>
      </w:pPr>
      <w:r w:rsidRPr="006B044F">
        <w:rPr>
          <w:b/>
        </w:rPr>
        <w:t>10</w:t>
      </w:r>
      <w:r w:rsidR="004F5438" w:rsidRPr="006B044F">
        <w:rPr>
          <w:b/>
        </w:rPr>
        <w:t xml:space="preserve">.1 </w:t>
      </w:r>
      <w:r w:rsidR="003E3D52" w:rsidRPr="006B044F">
        <w:rPr>
          <w:b/>
        </w:rPr>
        <w:t>Comparison of trends in leaf residue</w:t>
      </w:r>
      <w:r w:rsidR="001014CA" w:rsidRPr="006B044F">
        <w:rPr>
          <w:b/>
        </w:rPr>
        <w:t xml:space="preserve"> and water sensitive paper</w:t>
      </w:r>
      <w:r w:rsidR="003E3D52" w:rsidRPr="006B044F">
        <w:rPr>
          <w:b/>
        </w:rPr>
        <w:t xml:space="preserve"> data</w:t>
      </w:r>
      <w:bookmarkEnd w:id="47"/>
    </w:p>
    <w:p w14:paraId="11475FDD" w14:textId="38A9B52B" w:rsidR="00A27540" w:rsidRPr="006B044F" w:rsidRDefault="0015593F" w:rsidP="00C65E67">
      <w:pPr>
        <w:spacing w:line="480" w:lineRule="auto"/>
      </w:pPr>
      <w:r w:rsidRPr="006B044F">
        <w:t xml:space="preserve">Measurements derived from water sensitive paper </w:t>
      </w:r>
      <w:r w:rsidR="00A62D5E" w:rsidRPr="006B044F">
        <w:t xml:space="preserve">analysis indicated there was </w:t>
      </w:r>
      <w:r w:rsidR="00366E2B" w:rsidRPr="006B044F">
        <w:t xml:space="preserve">a </w:t>
      </w:r>
      <w:r w:rsidR="001F4ACE" w:rsidRPr="006B044F">
        <w:t>significant average difference</w:t>
      </w:r>
      <w:r w:rsidR="004D0695" w:rsidRPr="006B044F">
        <w:t xml:space="preserve"> of </w:t>
      </w:r>
      <w:r w:rsidRPr="006B044F">
        <w:t xml:space="preserve">28% in </w:t>
      </w:r>
      <w:r w:rsidR="003E4733" w:rsidRPr="006B044F">
        <w:t xml:space="preserve">spray </w:t>
      </w:r>
      <w:r w:rsidRPr="006B044F">
        <w:t>cover</w:t>
      </w:r>
      <w:r w:rsidR="003E4733" w:rsidRPr="006B044F">
        <w:t>age</w:t>
      </w:r>
      <w:r w:rsidRPr="006B044F">
        <w:t xml:space="preserve"> and 20% difference in spray density </w:t>
      </w:r>
      <w:r w:rsidR="003E4733" w:rsidRPr="006B044F">
        <w:t xml:space="preserve">between patches </w:t>
      </w:r>
      <w:r w:rsidR="004D0695" w:rsidRPr="006B044F">
        <w:t>with</w:t>
      </w:r>
      <w:r w:rsidR="003E4733" w:rsidRPr="006B044F">
        <w:t>in the same orchard</w:t>
      </w:r>
      <w:r w:rsidRPr="006B044F">
        <w:t xml:space="preserve"> (Table 2). This is in contrast to findings from a study where a zinc tracer was sprayed in an app</w:t>
      </w:r>
      <w:r w:rsidR="003E4733" w:rsidRPr="006B044F">
        <w:t xml:space="preserve">le orchard where </w:t>
      </w:r>
      <w:r w:rsidRPr="006B044F">
        <w:t>no significant difference</w:t>
      </w:r>
      <w:r w:rsidR="00F12861" w:rsidRPr="006B044F">
        <w:t>s</w:t>
      </w:r>
      <w:r w:rsidRPr="006B044F">
        <w:t xml:space="preserve"> between plots within the same orchard </w:t>
      </w:r>
      <w:r w:rsidR="003E4733" w:rsidRPr="006B044F">
        <w:t>were observed</w:t>
      </w:r>
      <w:r w:rsidR="00C413A7" w:rsidRPr="006B044F">
        <w:t>.</w:t>
      </w:r>
      <w:r w:rsidR="00C65E67" w:rsidRPr="006B044F">
        <w:t xml:space="preserve"> </w:t>
      </w:r>
      <w:r w:rsidR="00C65E67" w:rsidRPr="00C73D75">
        <w:fldChar w:fldCharType="begin" w:fldLock="1"/>
      </w:r>
      <w:r w:rsidR="00274D82" w:rsidRPr="006B044F">
        <w:instrText>ADDIN CSL_CITATION {"citationItems":[{"id":"ITEM-1","itemData":{"DOI":"10.1002/ps.1262","ISSN":"1526-498X","author":[{"dropping-particle":"","family":"Xu","given":"Xiangming","non-dropping-particle":"","parse-names":false,"suffix":""},{"dropping-particle":"","family":"Wu","given":"Pihong","non-dropping-particle":"","parse-names":false,"suffix":""},{"dropping-particle":"","family":"Thorbek","given":"Pernille","non-dropping-particle":"","parse-names":false,"suffix":""},{"dropping-particle":"","family":"Hyder","given":"Kieran","non-dropping-particle":"","parse-names":false,"suffix":""}],"container-title":"Pest Management Science","id":"ITEM-1","issue":"10","issued":{"date-parts":[["2006"]]},"note":"Times Cited: 11\nXu, Xiangming/I-3050-2014\nXu, Xiangming/0000-0002-4567-7117\n0\n11","page":"947-956","title":"Variability in initial spray deposit in apple trees in space and time","type":"article-journal","volume":"62"},"uris":["http://www.mendeley.com/documents/?uuid=21263f27-d305-4781-aac2-2b3121d3a16c"]}],"mendeley":{"formattedCitation":"&lt;sup&gt;44&lt;/sup&gt;","plainTextFormattedCitation":"44","previouslyFormattedCitation":"&lt;sup&gt;44&lt;/sup&gt;"},"properties":{"noteIndex":0},"schema":"https://github.com/citation-style-language/schema/raw/master/csl-citation.json"}</w:instrText>
      </w:r>
      <w:r w:rsidR="00C65E67" w:rsidRPr="00C73D75">
        <w:fldChar w:fldCharType="separate"/>
      </w:r>
      <w:r w:rsidR="00676545" w:rsidRPr="006B044F">
        <w:rPr>
          <w:noProof/>
          <w:vertAlign w:val="superscript"/>
        </w:rPr>
        <w:t>44</w:t>
      </w:r>
      <w:r w:rsidR="00C65E67" w:rsidRPr="00C73D75">
        <w:fldChar w:fldCharType="end"/>
      </w:r>
      <w:r w:rsidR="00A62D5E" w:rsidRPr="006B044F">
        <w:t xml:space="preserve"> </w:t>
      </w:r>
      <w:r w:rsidR="00F12861" w:rsidRPr="006B044F">
        <w:t>These contrasting findings could be due to differences in weather conditions during the study, spray systems or settings,</w:t>
      </w:r>
      <w:r w:rsidR="00A86C36" w:rsidRPr="006B044F">
        <w:t xml:space="preserve"> the methodology to identify spray coverage and density, sample numbers,</w:t>
      </w:r>
      <w:r w:rsidR="00F12861" w:rsidRPr="006B044F">
        <w:t xml:space="preserve"> tree type, tree spacing etc. and highlight the problems with inter-study comparisons. However, the nested sampling design used in our study enables detailed analysis of sources of variation within a single orchard which can be compared to findings in other studies.</w:t>
      </w:r>
      <w:r w:rsidR="00F12861" w:rsidRPr="006B044F" w:rsidDel="00F12861">
        <w:t xml:space="preserve"> </w:t>
      </w:r>
      <w:r w:rsidR="00366E2B" w:rsidRPr="006B044F">
        <w:t>W</w:t>
      </w:r>
      <w:r w:rsidR="00085413" w:rsidRPr="006B044F">
        <w:t xml:space="preserve">hen </w:t>
      </w:r>
      <w:r w:rsidR="007E5F00" w:rsidRPr="006B044F">
        <w:t xml:space="preserve">studying trends within orchard patches, </w:t>
      </w:r>
      <w:r w:rsidR="00366E2B" w:rsidRPr="006B044F">
        <w:t>we found</w:t>
      </w:r>
      <w:r w:rsidR="007E5F00" w:rsidRPr="006B044F">
        <w:t xml:space="preserve"> no significant differences in spray coverage or density; this was also the case within Patch A for apple leaf residues. When focusing upon Patch A, </w:t>
      </w:r>
      <w:r w:rsidR="00C413A7" w:rsidRPr="006B044F">
        <w:t xml:space="preserve">Tree 1 </w:t>
      </w:r>
      <w:r w:rsidR="007E5F00" w:rsidRPr="006B044F">
        <w:t xml:space="preserve">displayed the highest spray coverage, </w:t>
      </w:r>
      <w:r w:rsidR="00DA2DA7" w:rsidRPr="006B044F">
        <w:t xml:space="preserve">the </w:t>
      </w:r>
      <w:r w:rsidR="007E5F00" w:rsidRPr="006B044F">
        <w:t xml:space="preserve">second highest spray density, and </w:t>
      </w:r>
      <w:r w:rsidR="00DA2DA7" w:rsidRPr="006B044F">
        <w:t xml:space="preserve">the </w:t>
      </w:r>
      <w:r w:rsidR="007E5F00" w:rsidRPr="006B044F">
        <w:t>lowest leaf residue</w:t>
      </w:r>
      <w:r w:rsidR="0030341A" w:rsidRPr="006B044F">
        <w:t>. T</w:t>
      </w:r>
      <w:r w:rsidR="00DA2DA7" w:rsidRPr="006B044F">
        <w:t>his suggests that trends differ</w:t>
      </w:r>
      <w:r w:rsidR="007E5F00" w:rsidRPr="006B044F">
        <w:t xml:space="preserve"> depending on the </w:t>
      </w:r>
      <w:r w:rsidR="00CD7197" w:rsidRPr="006B044F">
        <w:t>measurement</w:t>
      </w:r>
      <w:r w:rsidR="007E5F00" w:rsidRPr="006B044F">
        <w:t xml:space="preserve"> analysed. </w:t>
      </w:r>
      <w:r w:rsidR="00DA2DA7" w:rsidRPr="006B044F">
        <w:t xml:space="preserve">Though the trees chosen for this study were uniform in height, growth habit and management, </w:t>
      </w:r>
      <w:r w:rsidR="0030341A" w:rsidRPr="006B044F">
        <w:t>such</w:t>
      </w:r>
      <w:r w:rsidR="00DA2DA7" w:rsidRPr="006B044F">
        <w:t xml:space="preserve"> differences in spray patterns between trees </w:t>
      </w:r>
      <w:r w:rsidR="0030341A" w:rsidRPr="006B044F">
        <w:t>have previously been</w:t>
      </w:r>
      <w:r w:rsidR="00DA2DA7" w:rsidRPr="006B044F">
        <w:t xml:space="preserve"> </w:t>
      </w:r>
      <w:r w:rsidR="0030341A" w:rsidRPr="006B044F">
        <w:t>justified</w:t>
      </w:r>
      <w:r w:rsidR="00DA2DA7" w:rsidRPr="006B044F">
        <w:t xml:space="preserve"> by tree architecture, in particular variability in leaf position</w:t>
      </w:r>
      <w:r w:rsidR="0030341A" w:rsidRPr="006B044F">
        <w:t>.</w:t>
      </w:r>
      <w:r w:rsidR="003E4733" w:rsidRPr="006B044F">
        <w:t xml:space="preserve"> </w:t>
      </w:r>
      <w:r w:rsidR="00C65E67" w:rsidRPr="00C73D75">
        <w:fldChar w:fldCharType="begin" w:fldLock="1"/>
      </w:r>
      <w:r w:rsidR="00274D82" w:rsidRPr="006B044F">
        <w:instrText>ADDIN CSL_CITATION {"citationItems":[{"id":"ITEM-1","itemData":{"DOI":"10.1002/ps.1262","ISSN":"1526-498X","author":[{"dropping-particle":"","family":"Xu","given":"Xiangming","non-dropping-particle":"","parse-names":false,"suffix":""},{"dropping-particle":"","family":"Wu","given":"Pihong","non-dropping-particle":"","parse-names":false,"suffix":""},{"dropping-particle":"","family":"Thorbek","given":"Pernille","non-dropping-particle":"","parse-names":false,"suffix":""},{"dropping-particle":"","family":"Hyder","given":"Kieran","non-dropping-particle":"","parse-names":false,"suffix":""}],"container-title":"Pest Management Science","id":"ITEM-1","issue":"10","issued":{"date-parts":[["2006"]]},"note":"Times Cited: 11\nXu, Xiangming/I-3050-2014\nXu, Xiangming/0000-0002-4567-7117\n0\n11","page":"947-956","title":"Variability in initial spray deposit in apple trees in space and time","type":"article-journal","volume":"62"},"uris":["http://www.mendeley.com/documents/?uuid=21263f27-d305-4781-aac2-2b3121d3a16c"]}],"mendeley":{"formattedCitation":"&lt;sup&gt;44&lt;/sup&gt;","plainTextFormattedCitation":"44","previouslyFormattedCitation":"&lt;sup&gt;44&lt;/sup&gt;"},"properties":{"noteIndex":0},"schema":"https://github.com/citation-style-language/schema/raw/master/csl-citation.json"}</w:instrText>
      </w:r>
      <w:r w:rsidR="00C65E67" w:rsidRPr="00C73D75">
        <w:fldChar w:fldCharType="separate"/>
      </w:r>
      <w:r w:rsidR="00676545" w:rsidRPr="006B044F">
        <w:rPr>
          <w:noProof/>
          <w:vertAlign w:val="superscript"/>
        </w:rPr>
        <w:t>44</w:t>
      </w:r>
      <w:r w:rsidR="00C65E67" w:rsidRPr="00C73D75">
        <w:fldChar w:fldCharType="end"/>
      </w:r>
      <w:r w:rsidR="0030341A" w:rsidRPr="006B044F">
        <w:t xml:space="preserve"> This seems to be consistent with our findings.</w:t>
      </w:r>
    </w:p>
    <w:p w14:paraId="4FEA9E18" w14:textId="168FFD6B" w:rsidR="004A47FA" w:rsidRPr="006B044F" w:rsidRDefault="0027309D" w:rsidP="00E94812">
      <w:pPr>
        <w:spacing w:line="480" w:lineRule="auto"/>
      </w:pPr>
      <w:r w:rsidRPr="006B044F">
        <w:lastRenderedPageBreak/>
        <w:t>In considering</w:t>
      </w:r>
      <w:r w:rsidR="00E5035D" w:rsidRPr="006B044F">
        <w:t xml:space="preserve"> variance</w:t>
      </w:r>
      <w:r w:rsidRPr="006B044F">
        <w:t xml:space="preserve"> within tree</w:t>
      </w:r>
      <w:r w:rsidR="00E5035D" w:rsidRPr="006B044F">
        <w:t>s</w:t>
      </w:r>
      <w:r w:rsidRPr="006B044F">
        <w:t>, spray cover, density, and leaf residues were all higher in the oute</w:t>
      </w:r>
      <w:r w:rsidR="009064BF" w:rsidRPr="006B044F">
        <w:t>r zone than in the middle zone</w:t>
      </w:r>
      <w:r w:rsidR="0030341A" w:rsidRPr="006B044F">
        <w:t xml:space="preserve">; </w:t>
      </w:r>
      <w:r w:rsidR="009064BF" w:rsidRPr="006B044F">
        <w:t>leaf residues were higher in the top tree zone than in the middle (Table 3).</w:t>
      </w:r>
      <w:r w:rsidR="003805B0" w:rsidRPr="006B044F">
        <w:t xml:space="preserve"> The trend </w:t>
      </w:r>
      <w:r w:rsidR="00AC7B7D" w:rsidRPr="006B044F">
        <w:t>of</w:t>
      </w:r>
      <w:r w:rsidR="003805B0" w:rsidRPr="006B044F">
        <w:t xml:space="preserve"> outer tree </w:t>
      </w:r>
      <w:r w:rsidR="00AC7B7D" w:rsidRPr="006B044F">
        <w:t xml:space="preserve">sections </w:t>
      </w:r>
      <w:r w:rsidR="003805B0" w:rsidRPr="006B044F">
        <w:t>receiving more residue than the centre is consistent with trends previously reported in a similarly designed apple orchard study using EDTA chelate</w:t>
      </w:r>
      <w:r w:rsidR="001F4ACE" w:rsidRPr="006B044F">
        <w:t>s of various metals</w:t>
      </w:r>
      <w:r w:rsidR="003805B0" w:rsidRPr="006B044F">
        <w:t xml:space="preserve"> as tracer</w:t>
      </w:r>
      <w:r w:rsidR="001F4ACE" w:rsidRPr="006B044F">
        <w:t>s</w:t>
      </w:r>
      <w:r w:rsidR="00C65E67" w:rsidRPr="006B044F">
        <w:t xml:space="preserve"> </w:t>
      </w:r>
      <w:r w:rsidR="00C65E67" w:rsidRPr="00C73D75">
        <w:fldChar w:fldCharType="begin" w:fldLock="1"/>
      </w:r>
      <w:r w:rsidR="00274D82" w:rsidRPr="006B044F">
        <w:instrText>ADDIN CSL_CITATION {"citationItems":[{"id":"ITEM-1","itemData":{"DOI":"10.1016/S0261-2194(00)00163-0","ISBN":"0261-2194","ISSN":"02612194","abstract":"Two field experiments compared spray deposits and losses from very fine (volume median diameter (VMD) = 156 um), fine (VMD = 198 um) and medium (VMD = 237 um) quality spray applications to young dwarf, dwarf and semi-dwarf apple trees from an axial fan orchard sprayer fitted with hydraulic hollow cone nozzles. All other spray application variables were kept constant. In one experiment, the very fine quality treatment deposited slightly but significantly less spray on leaves than the other treatments but there were no significant differences in the other. The very fine spray quality treatment deposited significantly less on fruitlets in both experiments, but differences were small. The leaf-to-leaf and tree zone-to-tree zone distributions of deposits were not a!ected significantly by the spray quality. The percentage spray cover, estimated by image analyses, on water-sensitive papers fixed horizontally in the middle of the trees was not markedly affected by spray quality though values were variable. The very fine and fine spray qualities gave significantly greater grand mean percentages of spray drift than the medium spray quality treatment in one experiment, though differences were either not or only just statistically significant in the other. Drift was greatest in the small trees and least in the large trees, consistent with an inverse relationship with tree area density (TAD). The medium spray quality gave significantly smaller deposits on the ground sampling lines than the very fine and fine treatments. In conclusion, variation in spray quality over the range investigated did not greatly a!ect the amount or macro-distribution of spray deposits on apple trees from the axial fan sprayer. The coarser sprays gave slightly greater mean deposits and smaller spray losses and are preferable from these points of view. Further work is required to establish the e!ects of spray quality on the micro-distribution of deposits on the target. A coarser pattern of spray deposition on the plant surface could be less e$cacious biologically for some pesticides. Therefore, evaluation of the effects of spray quality adjustment on biological e$cacy is required. (C) 2001 Elsevier Science Ltd. All rights reserved.","author":[{"dropping-particle":"V","family":"Cross","given":"J","non-dropping-particle":"","parse-names":false,"suffix":""},{"dropping-particle":"","family":"Walklate","given":"P J","non-dropping-particle":"","parse-names":false,"suffix":""},{"dropping-particle":"","family":"Murray","given":"R A","non-dropping-particle":"","parse-names":false,"suffix":""},{"dropping-particle":"","family":"Richardson","given":"G M","non-dropping-particle":"","parse-names":false,"suffix":""}],"container-title":"Crop Protection","id":"ITEM-1","issued":{"date-parts":[["2001"]]},"page":"333-343","title":"Spray deposits and losses in different sized apple trees from an axial fan orchard sprayer : 2. Effects of spray quality","type":"article-journal","volume":"20"},"uris":["http://www.mendeley.com/documents/?uuid=e5b7d844-f658-4f16-b388-375862177917"]}],"mendeley":{"formattedCitation":"&lt;sup&gt;53&lt;/sup&gt;","plainTextFormattedCitation":"53","previouslyFormattedCitation":"&lt;sup&gt;53&lt;/sup&gt;"},"properties":{"noteIndex":0},"schema":"https://github.com/citation-style-language/schema/raw/master/csl-citation.json"}</w:instrText>
      </w:r>
      <w:r w:rsidR="00C65E67" w:rsidRPr="00C73D75">
        <w:fldChar w:fldCharType="separate"/>
      </w:r>
      <w:r w:rsidR="00676545" w:rsidRPr="006B044F">
        <w:rPr>
          <w:noProof/>
          <w:vertAlign w:val="superscript"/>
        </w:rPr>
        <w:t>53</w:t>
      </w:r>
      <w:r w:rsidR="00C65E67" w:rsidRPr="00C73D75">
        <w:fldChar w:fldCharType="end"/>
      </w:r>
      <w:r w:rsidR="003805B0" w:rsidRPr="006B044F">
        <w:t xml:space="preserve"> and also in the zinc</w:t>
      </w:r>
      <w:r w:rsidR="001F4ACE" w:rsidRPr="006B044F">
        <w:t xml:space="preserve"> EDTA chelate</w:t>
      </w:r>
      <w:r w:rsidR="003805B0" w:rsidRPr="006B044F">
        <w:t xml:space="preserve"> tracer study</w:t>
      </w:r>
      <w:r w:rsidR="003C3B86" w:rsidRPr="006B044F">
        <w:t>,</w:t>
      </w:r>
      <w:r w:rsidR="003805B0" w:rsidRPr="006B044F">
        <w:t xml:space="preserve"> </w:t>
      </w:r>
      <w:r w:rsidR="00C65E67" w:rsidRPr="00C73D75">
        <w:fldChar w:fldCharType="begin" w:fldLock="1"/>
      </w:r>
      <w:r w:rsidR="00274D82" w:rsidRPr="006B044F">
        <w:instrText>ADDIN CSL_CITATION {"citationItems":[{"id":"ITEM-1","itemData":{"DOI":"10.1002/ps.1262","ISSN":"1526-498X","author":[{"dropping-particle":"","family":"Xu","given":"Xiangming","non-dropping-particle":"","parse-names":false,"suffix":""},{"dropping-particle":"","family":"Wu","given":"Pihong","non-dropping-particle":"","parse-names":false,"suffix":""},{"dropping-particle":"","family":"Thorbek","given":"Pernille","non-dropping-particle":"","parse-names":false,"suffix":""},{"dropping-particle":"","family":"Hyder","given":"Kieran","non-dropping-particle":"","parse-names":false,"suffix":""}],"container-title":"Pest Management Science","id":"ITEM-1","issue":"10","issued":{"date-parts":[["2006"]]},"note":"Times Cited: 11\nXu, Xiangming/I-3050-2014\nXu, Xiangming/0000-0002-4567-7117\n0\n11","page":"947-956","title":"Variability in initial spray deposit in apple trees in space and time","type":"article-journal","volume":"62"},"uris":["http://www.mendeley.com/documents/?uuid=21263f27-d305-4781-aac2-2b3121d3a16c"]}],"mendeley":{"formattedCitation":"&lt;sup&gt;44&lt;/sup&gt;","plainTextFormattedCitation":"44","previouslyFormattedCitation":"&lt;sup&gt;44&lt;/sup&gt;"},"properties":{"noteIndex":0},"schema":"https://github.com/citation-style-language/schema/raw/master/csl-citation.json"}</w:instrText>
      </w:r>
      <w:r w:rsidR="00C65E67" w:rsidRPr="00C73D75">
        <w:fldChar w:fldCharType="separate"/>
      </w:r>
      <w:r w:rsidR="00676545" w:rsidRPr="006B044F">
        <w:rPr>
          <w:noProof/>
          <w:vertAlign w:val="superscript"/>
        </w:rPr>
        <w:t>44</w:t>
      </w:r>
      <w:r w:rsidR="00C65E67" w:rsidRPr="00C73D75">
        <w:fldChar w:fldCharType="end"/>
      </w:r>
      <w:r w:rsidR="00C65E67" w:rsidRPr="006B044F">
        <w:t xml:space="preserve"> </w:t>
      </w:r>
      <w:r w:rsidR="003805B0" w:rsidRPr="006B044F">
        <w:t xml:space="preserve">suggesting that </w:t>
      </w:r>
      <w:r w:rsidR="00730A51" w:rsidRPr="006B044F">
        <w:t>our study method was a successful model</w:t>
      </w:r>
      <w:r w:rsidR="003805B0" w:rsidRPr="006B044F">
        <w:t xml:space="preserve"> of real pesticide exposure</w:t>
      </w:r>
      <w:r w:rsidR="003016FC" w:rsidRPr="006B044F">
        <w:t xml:space="preserve"> when compared to </w:t>
      </w:r>
      <w:r w:rsidR="00730A51" w:rsidRPr="006B044F">
        <w:t>other studies</w:t>
      </w:r>
      <w:r w:rsidR="003016FC" w:rsidRPr="006B044F">
        <w:t>.</w:t>
      </w:r>
      <w:r w:rsidR="008E46D4" w:rsidRPr="006B044F">
        <w:t xml:space="preserve"> </w:t>
      </w:r>
      <w:r w:rsidR="001F4ACE" w:rsidRPr="006B044F">
        <w:t>Between tree variation for measures based on water sensitive paper such as spray coverage and spray density showed consistent but different trends to the actual residue analysis</w:t>
      </w:r>
      <w:r w:rsidR="008E46D4" w:rsidRPr="006B044F">
        <w:t>, and all were not significant, suggesting natural variation was responsible for observed differences</w:t>
      </w:r>
      <w:r w:rsidR="001F4ACE" w:rsidRPr="006B044F">
        <w:t>.</w:t>
      </w:r>
      <w:r w:rsidR="008E46D4" w:rsidRPr="006B044F">
        <w:t xml:space="preserve"> </w:t>
      </w:r>
      <w:r w:rsidR="004A47FA" w:rsidRPr="006B044F">
        <w:t>However, within a single patch of trees, spray pattern measurements showed no significant trends between trees.</w:t>
      </w:r>
      <w:r w:rsidR="00AC7B7D" w:rsidRPr="006B044F">
        <w:t xml:space="preserve"> With observed trends differing</w:t>
      </w:r>
      <w:r w:rsidR="004A47FA" w:rsidRPr="006B044F">
        <w:t xml:space="preserve"> </w:t>
      </w:r>
      <w:r w:rsidR="00AC7B7D" w:rsidRPr="006B044F">
        <w:t xml:space="preserve">at different spatial scales, we suggest an unmeasured factor may have an impact, such as variable proximity of the crop sprayer to trees. </w:t>
      </w:r>
    </w:p>
    <w:p w14:paraId="69DC5BB3" w14:textId="6907ACCD" w:rsidR="00A93EEE" w:rsidRPr="006B044F" w:rsidRDefault="004A47FA" w:rsidP="00942C2C">
      <w:pPr>
        <w:spacing w:line="480" w:lineRule="auto"/>
      </w:pPr>
      <w:r w:rsidRPr="006B044F">
        <w:t>When considering within tree differences, leaf residue trends were consistent with spray coverage and density</w:t>
      </w:r>
      <w:r w:rsidR="00181C1C" w:rsidRPr="006B044F">
        <w:t xml:space="preserve"> trends</w:t>
      </w:r>
      <w:r w:rsidRPr="006B044F">
        <w:t xml:space="preserve">, </w:t>
      </w:r>
      <w:r w:rsidR="002F5BF8" w:rsidRPr="006B044F">
        <w:t xml:space="preserve">with values in the outer zone higher than in the middle zone, though </w:t>
      </w:r>
      <w:r w:rsidR="008C016B" w:rsidRPr="006B044F">
        <w:t>effect size varied</w:t>
      </w:r>
      <w:r w:rsidR="002F5BF8" w:rsidRPr="006B044F">
        <w:t xml:space="preserve">: leaf residues </w:t>
      </w:r>
      <w:r w:rsidR="003A3671" w:rsidRPr="006B044F">
        <w:t>were</w:t>
      </w:r>
      <w:r w:rsidR="002F5BF8" w:rsidRPr="006B044F">
        <w:t xml:space="preserve"> 36% </w:t>
      </w:r>
      <w:r w:rsidR="003A3671" w:rsidRPr="006B044F">
        <w:t>higher in the outer zone, a significant difference</w:t>
      </w:r>
      <w:r w:rsidR="002F5BF8" w:rsidRPr="006B044F">
        <w:t xml:space="preserve">, while spray coverage and density </w:t>
      </w:r>
      <w:r w:rsidR="003A3671" w:rsidRPr="006B044F">
        <w:t xml:space="preserve">showed non-significant differences where coverage was </w:t>
      </w:r>
      <w:r w:rsidR="00942C2C" w:rsidRPr="006B044F">
        <w:t xml:space="preserve">12% higher and density was 8% higher in the outer zone. </w:t>
      </w:r>
      <w:r w:rsidR="002F5BF8" w:rsidRPr="006B044F">
        <w:t xml:space="preserve"> This suggests that</w:t>
      </w:r>
      <w:r w:rsidR="008C016B" w:rsidRPr="006B044F">
        <w:t>,</w:t>
      </w:r>
      <w:r w:rsidR="002F5BF8" w:rsidRPr="006B044F">
        <w:t xml:space="preserve"> </w:t>
      </w:r>
      <w:r w:rsidR="008C016B" w:rsidRPr="006B044F">
        <w:t xml:space="preserve">while </w:t>
      </w:r>
      <w:r w:rsidR="00730A51" w:rsidRPr="006B044F">
        <w:t>water sensitive paper</w:t>
      </w:r>
      <w:r w:rsidR="00942C2C" w:rsidRPr="006B044F">
        <w:t xml:space="preserve"> analysis</w:t>
      </w:r>
      <w:r w:rsidR="00730A51" w:rsidRPr="006B044F">
        <w:t xml:space="preserve"> accurately estimates</w:t>
      </w:r>
      <w:r w:rsidR="002F5BF8" w:rsidRPr="006B044F">
        <w:t xml:space="preserve"> overall trend</w:t>
      </w:r>
      <w:r w:rsidR="00730A51" w:rsidRPr="006B044F">
        <w:t>s</w:t>
      </w:r>
      <w:r w:rsidR="002F5BF8" w:rsidRPr="006B044F">
        <w:t xml:space="preserve"> in within tree</w:t>
      </w:r>
      <w:r w:rsidR="00730A51" w:rsidRPr="006B044F">
        <w:t xml:space="preserve"> differences, </w:t>
      </w:r>
      <w:r w:rsidR="002F5BF8" w:rsidRPr="006B044F">
        <w:t>effect size would be underestimated.</w:t>
      </w:r>
    </w:p>
    <w:p w14:paraId="45B6E022" w14:textId="77777777" w:rsidR="0048543B" w:rsidRPr="006B044F" w:rsidRDefault="0048543B" w:rsidP="00E94812">
      <w:pPr>
        <w:spacing w:line="480" w:lineRule="auto"/>
      </w:pPr>
    </w:p>
    <w:p w14:paraId="13C146BB" w14:textId="6EDAFFB5" w:rsidR="003E3D52" w:rsidRPr="006B044F" w:rsidRDefault="00F11B05" w:rsidP="00E94812">
      <w:pPr>
        <w:spacing w:line="480" w:lineRule="auto"/>
        <w:rPr>
          <w:b/>
        </w:rPr>
      </w:pPr>
      <w:bookmarkStart w:id="48" w:name="_Toc469323101"/>
      <w:r w:rsidRPr="006B044F">
        <w:rPr>
          <w:b/>
        </w:rPr>
        <w:t>10</w:t>
      </w:r>
      <w:r w:rsidR="004F5438" w:rsidRPr="006B044F">
        <w:rPr>
          <w:b/>
        </w:rPr>
        <w:t xml:space="preserve">.2 </w:t>
      </w:r>
      <w:r w:rsidR="003E3D52" w:rsidRPr="006B044F">
        <w:rPr>
          <w:b/>
        </w:rPr>
        <w:t>Comparing residue analysis methods</w:t>
      </w:r>
      <w:bookmarkEnd w:id="48"/>
    </w:p>
    <w:p w14:paraId="78C32742" w14:textId="50272912" w:rsidR="0015593F" w:rsidRPr="006B044F" w:rsidRDefault="0015593F" w:rsidP="00C65E67">
      <w:pPr>
        <w:spacing w:line="480" w:lineRule="auto"/>
      </w:pPr>
      <w:bookmarkStart w:id="49" w:name="_Hlk517356084"/>
      <w:r w:rsidRPr="006B044F">
        <w:lastRenderedPageBreak/>
        <w:t>O</w:t>
      </w:r>
      <w:r w:rsidR="00306379" w:rsidRPr="006B044F">
        <w:t>v</w:t>
      </w:r>
      <w:r w:rsidRPr="006B044F">
        <w:t xml:space="preserve">erall, </w:t>
      </w:r>
      <w:r w:rsidR="009342BA" w:rsidRPr="006B044F">
        <w:t xml:space="preserve">penconazole deposits </w:t>
      </w:r>
      <w:r w:rsidR="00C6734A" w:rsidRPr="006B044F">
        <w:t xml:space="preserve">estimated </w:t>
      </w:r>
      <w:r w:rsidR="00306379" w:rsidRPr="006B044F">
        <w:t>through</w:t>
      </w:r>
      <w:r w:rsidR="00C6734A" w:rsidRPr="006B044F">
        <w:t xml:space="preserve"> image analysis of water sensitive paper were </w:t>
      </w:r>
      <w:r w:rsidR="00645C84" w:rsidRPr="006B044F">
        <w:t>over</w:t>
      </w:r>
      <w:r w:rsidR="00C6734A" w:rsidRPr="006B044F">
        <w:t xml:space="preserve"> </w:t>
      </w:r>
      <w:r w:rsidR="00645C84" w:rsidRPr="006B044F">
        <w:t>five</w:t>
      </w:r>
      <w:r w:rsidR="00C6734A" w:rsidRPr="006B044F">
        <w:t xml:space="preserve"> times higher than </w:t>
      </w:r>
      <w:r w:rsidR="009342BA" w:rsidRPr="006B044F">
        <w:t xml:space="preserve">residues </w:t>
      </w:r>
      <w:r w:rsidR="00C6734A" w:rsidRPr="006B044F">
        <w:t>determined</w:t>
      </w:r>
      <w:r w:rsidR="00306379" w:rsidRPr="006B044F">
        <w:t xml:space="preserve"> </w:t>
      </w:r>
      <w:r w:rsidR="00C6734A" w:rsidRPr="006B044F">
        <w:t xml:space="preserve">through </w:t>
      </w:r>
      <w:r w:rsidR="00306379" w:rsidRPr="006B044F">
        <w:t>GC-MS analysis</w:t>
      </w:r>
      <w:bookmarkEnd w:id="49"/>
      <w:r w:rsidR="00306379" w:rsidRPr="006B044F">
        <w:t xml:space="preserve"> of exposed apple</w:t>
      </w:r>
      <w:r w:rsidR="00181C1C" w:rsidRPr="006B044F">
        <w:t xml:space="preserve"> leaves</w:t>
      </w:r>
      <w:r w:rsidR="00306379" w:rsidRPr="006B044F">
        <w:t xml:space="preserve"> </w:t>
      </w:r>
      <w:r w:rsidR="006D77F1" w:rsidRPr="006B044F">
        <w:t>(Figure 3b)</w:t>
      </w:r>
      <w:r w:rsidR="003E3D52" w:rsidRPr="006B044F">
        <w:t>.</w:t>
      </w:r>
      <w:r w:rsidR="006D77F1" w:rsidRPr="006B044F">
        <w:t xml:space="preserve"> </w:t>
      </w:r>
      <w:r w:rsidR="00C84FD7" w:rsidRPr="006B044F">
        <w:t xml:space="preserve">However, there was also a </w:t>
      </w:r>
      <w:r w:rsidR="00645C84" w:rsidRPr="006B044F">
        <w:t xml:space="preserve">significant </w:t>
      </w:r>
      <w:r w:rsidR="00C84FD7" w:rsidRPr="006B044F">
        <w:t xml:space="preserve">difference in variances, with </w:t>
      </w:r>
      <w:r w:rsidR="004D0695" w:rsidRPr="006B044F">
        <w:t xml:space="preserve">overall </w:t>
      </w:r>
      <w:r w:rsidR="00141CCA" w:rsidRPr="006B044F">
        <w:t>CV</w:t>
      </w:r>
      <w:r w:rsidR="00C84FD7" w:rsidRPr="006B044F">
        <w:t xml:space="preserve"> higher for the leaf residues</w:t>
      </w:r>
      <w:r w:rsidR="00ED6101" w:rsidRPr="006B044F">
        <w:t xml:space="preserve"> measured with GC-MS</w:t>
      </w:r>
      <w:r w:rsidR="00C84FD7" w:rsidRPr="006B044F">
        <w:t xml:space="preserve"> (5</w:t>
      </w:r>
      <w:r w:rsidR="00645C84" w:rsidRPr="006B044F">
        <w:t>2</w:t>
      </w:r>
      <w:r w:rsidR="00C84FD7" w:rsidRPr="006B044F">
        <w:t xml:space="preserve">%) </w:t>
      </w:r>
      <w:bookmarkStart w:id="50" w:name="_Hlk517356191"/>
      <w:r w:rsidR="00C84FD7" w:rsidRPr="006B044F">
        <w:t xml:space="preserve">than it was for the water sensitive paper </w:t>
      </w:r>
      <w:r w:rsidR="009342BA" w:rsidRPr="006B044F">
        <w:t xml:space="preserve">deposits </w:t>
      </w:r>
      <w:r w:rsidR="00C84FD7" w:rsidRPr="006B044F">
        <w:t>(44%</w:t>
      </w:r>
      <w:r w:rsidR="00645C84" w:rsidRPr="006B044F">
        <w:t>; F test; P &lt; 0.001</w:t>
      </w:r>
      <w:r w:rsidR="00C84FD7" w:rsidRPr="006B044F">
        <w:t>).</w:t>
      </w:r>
      <w:r w:rsidR="00942C2C" w:rsidRPr="006B044F">
        <w:t xml:space="preserve"> </w:t>
      </w:r>
      <w:bookmarkEnd w:id="50"/>
      <w:r w:rsidR="00942C2C" w:rsidRPr="006B044F">
        <w:t>This suggests trends derived from water sensitive paper analysis are less affected by random variation.</w:t>
      </w:r>
      <w:r w:rsidR="00C84FD7" w:rsidRPr="006B044F">
        <w:t xml:space="preserve"> </w:t>
      </w:r>
      <w:r w:rsidR="00296A98" w:rsidRPr="006B044F">
        <w:t xml:space="preserve">Our analytical method </w:t>
      </w:r>
      <w:r w:rsidR="00C84FD7" w:rsidRPr="006B044F">
        <w:t xml:space="preserve">validation </w:t>
      </w:r>
      <w:r w:rsidR="00296A98" w:rsidRPr="006B044F">
        <w:t>demonstrated</w:t>
      </w:r>
      <w:r w:rsidR="00C84FD7" w:rsidRPr="006B044F">
        <w:t xml:space="preserve"> that the penconazole extraction method was within validation guidelines</w:t>
      </w:r>
      <w:r w:rsidR="00296A98" w:rsidRPr="006B044F">
        <w:t>;</w:t>
      </w:r>
      <w:r w:rsidR="00C65E67" w:rsidRPr="006B044F">
        <w:t xml:space="preserve"> </w:t>
      </w:r>
      <w:r w:rsidR="00C65E67" w:rsidRPr="00C73D75">
        <w:fldChar w:fldCharType="begin" w:fldLock="1"/>
      </w:r>
      <w:r w:rsidR="00274D82" w:rsidRPr="006B044F">
        <w:instrText>ADDIN CSL_CITATION {"citationItems":[{"id":"ITEM-1","itemData":{"author":[{"dropping-particle":"","family":"EU","given":"","non-dropping-particle":"","parse-names":false,"suffix":""}],"container-title":"Official Journal of the European Union","id":"ITEM-1","issue":"18","issued":{"date-parts":[["1996"]]},"title":"Commission Directive 96/46/EC of 16 July 1996 amending Council Directive 91/414/EEC concerning the placing of plant protection products on the market","type":"article-journal","volume":"214"},"uris":["http://www.mendeley.com/documents/?uuid=3ac5d5a1-4982-4f6f-9915-884ae2b78690"]}],"mendeley":{"formattedCitation":"&lt;sup&gt;46&lt;/sup&gt;","plainTextFormattedCitation":"46","previouslyFormattedCitation":"&lt;sup&gt;46&lt;/sup&gt;"},"properties":{"noteIndex":0},"schema":"https://github.com/citation-style-language/schema/raw/master/csl-citation.json"}</w:instrText>
      </w:r>
      <w:r w:rsidR="00C65E67" w:rsidRPr="00C73D75">
        <w:fldChar w:fldCharType="separate"/>
      </w:r>
      <w:r w:rsidR="00676545" w:rsidRPr="006B044F">
        <w:rPr>
          <w:noProof/>
          <w:vertAlign w:val="superscript"/>
        </w:rPr>
        <w:t>46</w:t>
      </w:r>
      <w:r w:rsidR="00C65E67" w:rsidRPr="00C73D75">
        <w:fldChar w:fldCharType="end"/>
      </w:r>
      <w:r w:rsidR="00C84FD7" w:rsidRPr="006B044F">
        <w:t xml:space="preserve"> </w:t>
      </w:r>
      <w:r w:rsidR="00AC7B7D" w:rsidRPr="006B044F">
        <w:t>additionally,</w:t>
      </w:r>
      <w:r w:rsidR="00296A98" w:rsidRPr="006B044F">
        <w:t xml:space="preserve"> the storage stability study demonstrated minimal penconazole losses of 1%</w:t>
      </w:r>
      <w:r w:rsidR="00AC7B7D" w:rsidRPr="006B044F">
        <w:t xml:space="preserve"> on average</w:t>
      </w:r>
      <w:r w:rsidR="00181C1C" w:rsidRPr="006B044F">
        <w:t xml:space="preserve"> over time</w:t>
      </w:r>
      <w:r w:rsidR="00296A98" w:rsidRPr="006B044F">
        <w:t xml:space="preserve">. </w:t>
      </w:r>
      <w:r w:rsidR="00AC7B7D" w:rsidRPr="006B044F">
        <w:t>Therefore,</w:t>
      </w:r>
      <w:r w:rsidR="00296A98" w:rsidRPr="006B044F">
        <w:t xml:space="preserve"> </w:t>
      </w:r>
      <w:r w:rsidR="004D0695" w:rsidRPr="006B044F">
        <w:t>our</w:t>
      </w:r>
      <w:r w:rsidR="00C84FD7" w:rsidRPr="006B044F">
        <w:t xml:space="preserve"> findings suggest that DepositScan </w:t>
      </w:r>
      <w:r w:rsidR="00730A51" w:rsidRPr="006B044F">
        <w:t xml:space="preserve">consistently </w:t>
      </w:r>
      <w:r w:rsidR="00C84FD7" w:rsidRPr="006B044F">
        <w:t>overestimated penconazole re</w:t>
      </w:r>
      <w:r w:rsidR="00306379" w:rsidRPr="006B044F">
        <w:t>sidues when compared to the leaf</w:t>
      </w:r>
      <w:r w:rsidR="00C84FD7" w:rsidRPr="006B044F">
        <w:t xml:space="preserve"> residues.</w:t>
      </w:r>
      <w:r w:rsidR="00942C2C" w:rsidRPr="006B044F">
        <w:t xml:space="preserve"> </w:t>
      </w:r>
    </w:p>
    <w:p w14:paraId="71C5F913" w14:textId="0691D9A8" w:rsidR="00943828" w:rsidRPr="006B044F" w:rsidRDefault="00F95A41" w:rsidP="00C65E67">
      <w:pPr>
        <w:spacing w:line="480" w:lineRule="auto"/>
      </w:pPr>
      <w:r w:rsidRPr="006B044F">
        <w:t xml:space="preserve">The </w:t>
      </w:r>
      <w:r w:rsidR="00C84FD7" w:rsidRPr="006B044F">
        <w:t>source</w:t>
      </w:r>
      <w:r w:rsidRPr="006B044F">
        <w:t xml:space="preserve"> of overestimation could come from</w:t>
      </w:r>
      <w:r w:rsidR="00AA7047" w:rsidRPr="006B044F">
        <w:t xml:space="preserve"> the farmer’s dilution of pesticide product when preparing spray tank mixtures, as varying precision in the preparation could provide a source of error. </w:t>
      </w:r>
      <w:bookmarkStart w:id="51" w:name="_Hlk517359336"/>
      <w:r w:rsidR="00DA34D0" w:rsidRPr="006B044F">
        <w:t xml:space="preserve">The overestimation could also come from the spray tank mixture behaving differently on the water sensitive paper surface in comparison to water, which is used by the paper manufacturer in the preparation of varied spread factors. </w:t>
      </w:r>
      <w:r w:rsidR="00DA34D0" w:rsidRPr="00C73D75">
        <w:fldChar w:fldCharType="begin" w:fldLock="1"/>
      </w:r>
      <w:r w:rsidR="00DA34D0" w:rsidRPr="006B044F">
        <w:instrText>ADDIN CSL_CITATION {"citationItems":[{"id":"ITEM-1","itemData":{"author":[{"dropping-particle":"","family":"Syngenta","given":"","non-dropping-particle":"","parse-names":false,"suffix":""}],"editor":[{"dropping-particle":"","family":"AG","given":"Syngenta Crop Protection","non-dropping-particle":"","parse-names":false,"suffix":""}],"id":"ITEM-1","issued":{"date-parts":[["2002"]]},"publisher-place":"Basel","title":"Water-sensitive paper for monitoring spray distributions.","type":"article"},"uris":["http://www.mendeley.com/documents/?uuid=bbe37dc5-b3de-42fc-bd04-447f9c5e7de4"]}],"mendeley":{"formattedCitation":"&lt;sup&gt;49&lt;/sup&gt;","plainTextFormattedCitation":"49"},"properties":{"noteIndex":0},"schema":"https://github.com/citation-style-language/schema/raw/master/csl-citation.json"}</w:instrText>
      </w:r>
      <w:r w:rsidR="00DA34D0" w:rsidRPr="00C73D75">
        <w:fldChar w:fldCharType="separate"/>
      </w:r>
      <w:r w:rsidR="00DA34D0" w:rsidRPr="006B044F">
        <w:rPr>
          <w:noProof/>
          <w:vertAlign w:val="superscript"/>
        </w:rPr>
        <w:t>49</w:t>
      </w:r>
      <w:r w:rsidR="00DA34D0" w:rsidRPr="00C73D75">
        <w:fldChar w:fldCharType="end"/>
      </w:r>
      <w:r w:rsidR="00DA34D0" w:rsidRPr="006B044F">
        <w:t xml:space="preserve"> </w:t>
      </w:r>
      <w:bookmarkEnd w:id="51"/>
      <w:r w:rsidR="00AA7047" w:rsidRPr="006B044F">
        <w:t>Additionally,</w:t>
      </w:r>
      <w:r w:rsidRPr="006B044F">
        <w:t xml:space="preserve"> many factors relating to DepositScan’s estimation of residues. </w:t>
      </w:r>
      <w:r w:rsidR="003E3D52" w:rsidRPr="006B044F">
        <w:t>Firstly, the software</w:t>
      </w:r>
      <w:r w:rsidR="008E46D4" w:rsidRPr="006B044F">
        <w:t xml:space="preserve"> assumes droplet stains are circular, and</w:t>
      </w:r>
      <w:r w:rsidR="003E3D52" w:rsidRPr="006B044F">
        <w:t xml:space="preserve"> is not capable of identifying droplets that are overlapping</w:t>
      </w:r>
      <w:r w:rsidR="003C3B86" w:rsidRPr="006B044F">
        <w:t>,</w:t>
      </w:r>
      <w:r w:rsidR="003E3D52" w:rsidRPr="006B044F">
        <w:t xml:space="preserve"> </w:t>
      </w:r>
      <w:r w:rsidR="00C65E67" w:rsidRPr="00C73D75">
        <w:fldChar w:fldCharType="begin" w:fldLock="1"/>
      </w:r>
      <w:r w:rsidR="00274D82" w:rsidRPr="006B044F">
        <w:instrText>ADDIN CSL_CITATION {"citationItems":[{"id":"ITEM-1","itemData":{"DOI":"10.1016/j.compag.2011.01.003","ISSN":"0168-1699","author":[{"dropping-particle":"","family":"Zhu","given":"H P","non-dropping-particle":"","parse-names":false,"suffix":""},{"dropping-particle":"","family":"Salyani","given":"M","non-dropping-particle":"","parse-names":false,"suffix":""},{"dropping-particle":"","family":"Fox","given":"R D","non-dropping-particle":"","parse-names":false,"suffix":""}],"container-title":"Computers and Electronics in Agriculture","id":"ITEM-1","issue":"1","issued":{"date-parts":[["2011"]]},"note":"Times Cited: 13\nZhu, Heping Salyani, Masoud Fox, Robert D.\n18","page":"38-43","title":"A portable scanning system for evaluation of spray deposit distribution","type":"article-journal","volume":"76"},"uris":["http://www.mendeley.com/documents/?uuid=7956e68a-a51b-4040-bbeb-087ddc314677"]}],"mendeley":{"formattedCitation":"&lt;sup&gt;39&lt;/sup&gt;","plainTextFormattedCitation":"39","previouslyFormattedCitation":"&lt;sup&gt;39&lt;/sup&gt;"},"properties":{"noteIndex":0},"schema":"https://github.com/citation-style-language/schema/raw/master/csl-citation.json"}</w:instrText>
      </w:r>
      <w:r w:rsidR="00C65E67" w:rsidRPr="00C73D75">
        <w:fldChar w:fldCharType="separate"/>
      </w:r>
      <w:r w:rsidR="00676545" w:rsidRPr="006B044F">
        <w:rPr>
          <w:noProof/>
          <w:vertAlign w:val="superscript"/>
        </w:rPr>
        <w:t>39</w:t>
      </w:r>
      <w:r w:rsidR="00C65E67" w:rsidRPr="00C73D75">
        <w:fldChar w:fldCharType="end"/>
      </w:r>
      <w:r w:rsidR="00076707" w:rsidRPr="006B044F">
        <w:t xml:space="preserve"> and this can cause an overestimation of spray deposition</w:t>
      </w:r>
      <w:r w:rsidR="00306379" w:rsidRPr="006B044F">
        <w:t>.</w:t>
      </w:r>
      <w:r w:rsidR="00361047" w:rsidRPr="006B044F">
        <w:t xml:space="preserve"> </w:t>
      </w:r>
      <w:r w:rsidR="00F33668" w:rsidRPr="006B044F">
        <w:t>Additionally, when coverage is over 30%, spray density and deposition are potentially inaccurate</w:t>
      </w:r>
      <w:r w:rsidR="00730A51" w:rsidRPr="006B044F">
        <w:t>,</w:t>
      </w:r>
      <w:r w:rsidR="00C65E67" w:rsidRPr="006B044F">
        <w:t xml:space="preserve"> </w:t>
      </w:r>
      <w:r w:rsidR="00C65E67" w:rsidRPr="00C73D75">
        <w:fldChar w:fldCharType="begin" w:fldLock="1"/>
      </w:r>
      <w:r w:rsidR="00274D82" w:rsidRPr="006B044F">
        <w:instrText>ADDIN CSL_CITATION {"citationItems":[{"id":"ITEM-1","itemData":{"DOI":"10.1016/j.compag.2011.01.003","ISSN":"0168-1699","author":[{"dropping-particle":"","family":"Zhu","given":"H P","non-dropping-particle":"","parse-names":false,"suffix":""},{"dropping-particle":"","family":"Salyani","given":"M","non-dropping-particle":"","parse-names":false,"suffix":""},{"dropping-particle":"","family":"Fox","given":"R D","non-dropping-particle":"","parse-names":false,"suffix":""}],"container-title":"Computers and Electronics in Agriculture","id":"ITEM-1","issue":"1","issued":{"date-parts":[["2011"]]},"note":"Times Cited: 13\nZhu, Heping Salyani, Masoud Fox, Robert D.\n18","page":"38-43","title":"A portable scanning system for evaluation of spray deposit distribution","type":"article-journal","volume":"76"},"uris":["http://www.mendeley.com/documents/?uuid=7956e68a-a51b-4040-bbeb-087ddc314677"]}],"mendeley":{"formattedCitation":"&lt;sup&gt;39&lt;/sup&gt;","plainTextFormattedCitation":"39","previouslyFormattedCitation":"&lt;sup&gt;39&lt;/sup&gt;"},"properties":{"noteIndex":0},"schema":"https://github.com/citation-style-language/schema/raw/master/csl-citation.json"}</w:instrText>
      </w:r>
      <w:r w:rsidR="00C65E67" w:rsidRPr="00C73D75">
        <w:fldChar w:fldCharType="separate"/>
      </w:r>
      <w:r w:rsidR="00676545" w:rsidRPr="006B044F">
        <w:rPr>
          <w:noProof/>
          <w:vertAlign w:val="superscript"/>
        </w:rPr>
        <w:t>39</w:t>
      </w:r>
      <w:r w:rsidR="00C65E67" w:rsidRPr="00C73D75">
        <w:fldChar w:fldCharType="end"/>
      </w:r>
      <w:r w:rsidR="00C65E67" w:rsidRPr="006B044F">
        <w:t xml:space="preserve"> </w:t>
      </w:r>
      <w:r w:rsidR="00730A51" w:rsidRPr="006B044F">
        <w:t>a</w:t>
      </w:r>
      <w:r w:rsidR="00F33668" w:rsidRPr="006B044F">
        <w:t xml:space="preserve">s droplets are more likely to be touching when </w:t>
      </w:r>
      <w:r w:rsidR="00730A51" w:rsidRPr="006B044F">
        <w:t>there is a high coverage value.</w:t>
      </w:r>
      <w:r w:rsidR="00AA7047" w:rsidRPr="006B044F">
        <w:t xml:space="preserve"> In the present study, 12% of all water sensitive paper cards displayed coverage greater than 30%. </w:t>
      </w:r>
    </w:p>
    <w:p w14:paraId="52F12F88" w14:textId="30D1E247" w:rsidR="007D49CE" w:rsidRPr="006B044F" w:rsidRDefault="00AF1A9A" w:rsidP="00C65E67">
      <w:pPr>
        <w:spacing w:line="480" w:lineRule="auto"/>
      </w:pPr>
      <w:r w:rsidRPr="006B044F">
        <w:t>A</w:t>
      </w:r>
      <w:r w:rsidR="00B96A6E" w:rsidRPr="006B044F">
        <w:t xml:space="preserve"> comparison of spread factors found that the</w:t>
      </w:r>
      <w:r w:rsidR="00BE4AE4" w:rsidRPr="006B044F">
        <w:t xml:space="preserve"> factor used by</w:t>
      </w:r>
      <w:r w:rsidR="00B96A6E" w:rsidRPr="006B044F">
        <w:t xml:space="preserve"> DepositScan produced deposition values that were on average 11.5% higher than the deposition</w:t>
      </w:r>
      <w:r w:rsidR="00E5035D" w:rsidRPr="006B044F">
        <w:t xml:space="preserve"> calculated from</w:t>
      </w:r>
      <w:r w:rsidR="00943828" w:rsidRPr="006B044F">
        <w:t xml:space="preserve"> the </w:t>
      </w:r>
      <w:r w:rsidR="00943828" w:rsidRPr="006B044F">
        <w:lastRenderedPageBreak/>
        <w:t>varied spread factor</w:t>
      </w:r>
      <w:r w:rsidR="00BE4AE4" w:rsidRPr="006B044F">
        <w:t>.</w:t>
      </w:r>
      <w:r w:rsidR="007D49CE" w:rsidRPr="006B044F">
        <w:t xml:space="preserve"> Table 4 shows how the two different spread factors would calculate droplet diameter from </w:t>
      </w:r>
      <w:r w:rsidR="00181CD5" w:rsidRPr="006B044F">
        <w:t>six</w:t>
      </w:r>
      <w:r w:rsidR="007D49CE" w:rsidRPr="006B044F">
        <w:t xml:space="preserve"> hypothetical stain sizes, and displays a range of differences, from 5.8% at 200 μm diameter, to 12.3% at 500 μm diameter. </w:t>
      </w:r>
      <w:r w:rsidR="001E62E5" w:rsidRPr="006B044F">
        <w:t>While no studies have investigated whether image analysis programs overestimate deposition, one study showed that, when compared to manual analysis of water sensitive paper, DepositScan overestimated droplet density</w:t>
      </w:r>
      <w:r w:rsidR="00DA43CF" w:rsidRPr="006B044F">
        <w:t xml:space="preserve"> by 89%</w:t>
      </w:r>
      <w:r w:rsidR="001E62E5" w:rsidRPr="006B044F">
        <w:t xml:space="preserve"> when dealing with fine droplets</w:t>
      </w:r>
      <w:r w:rsidR="003C3B86" w:rsidRPr="006B044F">
        <w:t>.</w:t>
      </w:r>
      <w:r w:rsidR="001E62E5" w:rsidRPr="006B044F">
        <w:t xml:space="preserve"> </w:t>
      </w:r>
      <w:r w:rsidR="00C65E67" w:rsidRPr="00C73D75">
        <w:fldChar w:fldCharType="begin" w:fldLock="1"/>
      </w:r>
      <w:r w:rsidR="00274D82" w:rsidRPr="006B044F">
        <w:instrText>ADDIN CSL_CITATION {"citationItems":[{"id":"ITEM-1","itemData":{"ISSN":"0100-8358","author":[{"dropping-particle":"","family":"Cunha","given":"Jpar","non-dropping-particle":"","parse-names":false,"suffix":""},{"dropping-particle":"","family":"Farnese","given":"A C","non-dropping-particle":"","parse-names":false,"suffix":""},{"dropping-particle":"","family":"Olivet","given":"J J","non-dropping-particle":"","parse-names":false,"suffix":""}],"container-title":"Planta Daninha","id":"ITEM-1","issue":"3","issued":{"date-parts":[["2013"]]},"note":"Times Cited: 0\nCunha, J. P. A. R. Farnese, A. C. Olivet, J. J.\n0","page":"715-720","title":"COMPUTER PROGRAMS FOR ANALYSIS OF DROPLETS SPRAYED ON WATER SENSITIVE PAPERS","type":"article-journal","volume":"31"},"uris":["http://www.mendeley.com/documents/?uuid=27aa39c0-37af-4f2e-8b60-2dd8cfe8314b"]}],"mendeley":{"formattedCitation":"&lt;sup&gt;36&lt;/sup&gt;","plainTextFormattedCitation":"36","previouslyFormattedCitation":"&lt;sup&gt;36&lt;/sup&gt;"},"properties":{"noteIndex":0},"schema":"https://github.com/citation-style-language/schema/raw/master/csl-citation.json"}</w:instrText>
      </w:r>
      <w:r w:rsidR="00C65E67" w:rsidRPr="00C73D75">
        <w:fldChar w:fldCharType="separate"/>
      </w:r>
      <w:r w:rsidR="00676545" w:rsidRPr="006B044F">
        <w:rPr>
          <w:noProof/>
          <w:vertAlign w:val="superscript"/>
        </w:rPr>
        <w:t>36</w:t>
      </w:r>
      <w:r w:rsidR="00C65E67" w:rsidRPr="00C73D75">
        <w:fldChar w:fldCharType="end"/>
      </w:r>
      <w:r w:rsidR="001E62E5" w:rsidRPr="006B044F">
        <w:t xml:space="preserve"> </w:t>
      </w:r>
      <w:bookmarkStart w:id="52" w:name="_Hlk517360794"/>
      <w:r w:rsidR="007D49CE" w:rsidRPr="006B044F">
        <w:t>From further analysis of water sensitive paper</w:t>
      </w:r>
      <w:r w:rsidR="001E62E5" w:rsidRPr="006B044F">
        <w:t xml:space="preserve"> samples </w:t>
      </w:r>
      <w:r w:rsidR="007D49CE" w:rsidRPr="006B044F">
        <w:t xml:space="preserve">from </w:t>
      </w:r>
      <w:r w:rsidR="00CD4578" w:rsidRPr="006B044F">
        <w:t>P</w:t>
      </w:r>
      <w:r w:rsidR="007D49CE" w:rsidRPr="006B044F">
        <w:t xml:space="preserve">atch A, on average 33% of all droplets </w:t>
      </w:r>
      <w:r w:rsidR="003F73FA" w:rsidRPr="00C73D75">
        <w:t xml:space="preserve">were </w:t>
      </w:r>
      <w:r w:rsidR="00CA0D74" w:rsidRPr="006B044F">
        <w:t xml:space="preserve">determined to be </w:t>
      </w:r>
      <w:r w:rsidR="007D49CE" w:rsidRPr="006B044F">
        <w:t xml:space="preserve">100 μm or lower in diameter, with over 70% of all droplets measuring </w:t>
      </w:r>
      <w:r w:rsidR="00F33668" w:rsidRPr="006B044F">
        <w:t>below</w:t>
      </w:r>
      <w:r w:rsidR="007D49CE" w:rsidRPr="006B044F">
        <w:t xml:space="preserve"> 200 μm in diameter</w:t>
      </w:r>
      <w:r w:rsidRPr="006B044F">
        <w:t xml:space="preserve"> (Figure </w:t>
      </w:r>
      <w:r w:rsidR="00645C84" w:rsidRPr="006B044F">
        <w:t>5</w:t>
      </w:r>
      <w:r w:rsidRPr="006B044F">
        <w:t>)</w:t>
      </w:r>
      <w:r w:rsidR="00DA43CF" w:rsidRPr="006B044F">
        <w:t>.</w:t>
      </w:r>
      <w:bookmarkEnd w:id="52"/>
      <w:r w:rsidR="00DA43CF" w:rsidRPr="006B044F">
        <w:t xml:space="preserve"> This strong </w:t>
      </w:r>
      <w:r w:rsidR="007D49CE" w:rsidRPr="006B044F">
        <w:t xml:space="preserve">skew suggests that DepositScan’s overestimation of droplet density </w:t>
      </w:r>
      <w:r w:rsidR="00DA43CF" w:rsidRPr="006B044F">
        <w:t xml:space="preserve">associated with fine droplets </w:t>
      </w:r>
      <w:r w:rsidR="007D49CE" w:rsidRPr="006B044F">
        <w:t>is a contributing factor in this study, and could</w:t>
      </w:r>
      <w:r w:rsidR="00DA43CF" w:rsidRPr="006B044F">
        <w:t xml:space="preserve"> also</w:t>
      </w:r>
      <w:r w:rsidR="007D49CE" w:rsidRPr="006B044F">
        <w:t xml:space="preserve"> </w:t>
      </w:r>
      <w:r w:rsidR="00DA43CF" w:rsidRPr="006B044F">
        <w:t>affect</w:t>
      </w:r>
      <w:r w:rsidR="007D49CE" w:rsidRPr="006B044F">
        <w:t xml:space="preserve"> other calculated factors.</w:t>
      </w:r>
      <w:r w:rsidR="0013420D" w:rsidRPr="006B044F">
        <w:t xml:space="preserve"> </w:t>
      </w:r>
    </w:p>
    <w:p w14:paraId="09B96853" w14:textId="77777777" w:rsidR="007D49CE" w:rsidRPr="006B044F" w:rsidRDefault="007D49CE" w:rsidP="00E94812">
      <w:pPr>
        <w:spacing w:line="480" w:lineRule="auto"/>
      </w:pPr>
    </w:p>
    <w:p w14:paraId="34BD8EB9" w14:textId="604C0125" w:rsidR="00141956" w:rsidRPr="006B044F" w:rsidRDefault="00141956" w:rsidP="001242A8">
      <w:pPr>
        <w:spacing w:line="480" w:lineRule="auto"/>
      </w:pPr>
      <w:r w:rsidRPr="006B044F">
        <w:t xml:space="preserve">Table 4 – The effect of two different spread factors on 6 stain diameter sizes. The spread factors </w:t>
      </w:r>
      <w:r w:rsidR="002D0F9D" w:rsidRPr="006B044F">
        <w:t>were determined</w:t>
      </w:r>
      <w:r w:rsidRPr="006B044F">
        <w:t xml:space="preserve"> on water droplets.</w:t>
      </w:r>
    </w:p>
    <w:p w14:paraId="4AD0714A" w14:textId="77777777" w:rsidR="001242A8" w:rsidRPr="006B044F" w:rsidRDefault="00341C51" w:rsidP="001242A8">
      <w:pPr>
        <w:spacing w:line="480" w:lineRule="auto"/>
      </w:pPr>
      <w:r w:rsidRPr="006B044F">
        <w:t>Figure 5.</w:t>
      </w:r>
      <w:r w:rsidR="001242A8" w:rsidRPr="006B044F">
        <w:t xml:space="preserve"> Distribution of droplet diameters as a function of spray proportion on water sensitive papers from patch A. Bars show 95% confidence intervals (</w:t>
      </w:r>
      <w:r w:rsidR="001242A8" w:rsidRPr="006B044F">
        <w:rPr>
          <w:i/>
        </w:rPr>
        <w:t>n</w:t>
      </w:r>
      <w:r w:rsidR="001242A8" w:rsidRPr="006B044F">
        <w:t xml:space="preserve"> = 70)</w:t>
      </w:r>
    </w:p>
    <w:p w14:paraId="39970165" w14:textId="3AD4F981" w:rsidR="007D49CE" w:rsidRPr="006B044F" w:rsidRDefault="007D49CE" w:rsidP="00E94812">
      <w:pPr>
        <w:spacing w:line="480" w:lineRule="auto"/>
      </w:pPr>
    </w:p>
    <w:p w14:paraId="1774AAD3" w14:textId="08322F1B" w:rsidR="00E5035D" w:rsidRPr="006B044F" w:rsidRDefault="00E5035D" w:rsidP="00E94812">
      <w:pPr>
        <w:spacing w:line="480" w:lineRule="auto"/>
      </w:pPr>
      <w:r w:rsidRPr="006B044F">
        <w:t>One other reason for the overestimation could be that wetting agents within the pesticide formulation could cause the droplet to spread further on impact with a surface</w:t>
      </w:r>
      <w:r w:rsidR="00CD4578" w:rsidRPr="006B044F">
        <w:t xml:space="preserve"> due to an altered surface tension</w:t>
      </w:r>
      <w:r w:rsidRPr="006B044F">
        <w:t xml:space="preserve">, therefore creating a larger stain than that created by water alone. The aforementioned variable spread factors were developed based on droplets of water, as opposed to pesticide mixtures, </w:t>
      </w:r>
      <w:r w:rsidRPr="00C73D75">
        <w:fldChar w:fldCharType="begin" w:fldLock="1"/>
      </w:r>
      <w:r w:rsidR="00274D82" w:rsidRPr="006B044F">
        <w:instrText>ADDIN CSL_CITATION {"citationItems":[{"id":"ITEM-1","itemData":{"author":[{"dropping-particle":"","family":"Syngenta","given":"","non-dropping-particle":"","parse-names":false,"suffix":""}],"editor":[{"dropping-particle":"","family":"AG","given":"Syngenta Crop Protection","non-dropping-particle":"","parse-names":false,"suffix":""}],"id":"ITEM-1","issued":{"date-parts":[["2002"]]},"publisher-place":"Basel","title":"Water-sensitive paper for monitoring spray distributions.","type":"article"},"uris":["http://www.mendeley.com/documents/?uuid=bbe37dc5-b3de-42fc-bd04-447f9c5e7de4"]}],"mendeley":{"formattedCitation":"&lt;sup&gt;49&lt;/sup&gt;","plainTextFormattedCitation":"49","previouslyFormattedCitation":"&lt;sup&gt;49&lt;/sup&gt;"},"properties":{"noteIndex":0},"schema":"https://github.com/citation-style-language/schema/raw/master/csl-citation.json"}</w:instrText>
      </w:r>
      <w:r w:rsidRPr="00C73D75">
        <w:fldChar w:fldCharType="separate"/>
      </w:r>
      <w:r w:rsidR="00676545" w:rsidRPr="006B044F">
        <w:rPr>
          <w:noProof/>
          <w:vertAlign w:val="superscript"/>
        </w:rPr>
        <w:t>49</w:t>
      </w:r>
      <w:r w:rsidRPr="00C73D75">
        <w:fldChar w:fldCharType="end"/>
      </w:r>
      <w:r w:rsidRPr="006B044F">
        <w:t xml:space="preserve"> </w:t>
      </w:r>
      <w:r w:rsidR="00CD4578" w:rsidRPr="006B044F">
        <w:t xml:space="preserve">which would in theory produce smaller stains for a droplet of the same volume. </w:t>
      </w:r>
      <w:bookmarkStart w:id="53" w:name="_Hlk517362379"/>
      <w:r w:rsidR="009C3A0D" w:rsidRPr="006B044F">
        <w:t xml:space="preserve">Finally, when a pesticide is sprayed onto a plant some of the active </w:t>
      </w:r>
      <w:r w:rsidR="009C3A0D" w:rsidRPr="006B044F">
        <w:lastRenderedPageBreak/>
        <w:t>ingredient might translocate into the plant, thus leading to lower residue values on the plant surface. This may be another source of the overestimation seen when analysing water sensitive paper.</w:t>
      </w:r>
      <w:bookmarkEnd w:id="53"/>
    </w:p>
    <w:p w14:paraId="711D4D8A" w14:textId="4E87DA91" w:rsidR="00E57CEA" w:rsidRPr="006B044F" w:rsidRDefault="003E67D7" w:rsidP="00E94812">
      <w:pPr>
        <w:spacing w:line="480" w:lineRule="auto"/>
      </w:pPr>
      <w:r w:rsidRPr="006B044F">
        <w:t>Despite the</w:t>
      </w:r>
      <w:r w:rsidR="003E3D52" w:rsidRPr="006B044F">
        <w:t xml:space="preserve"> overestimation of residue from water sensitive paper, it is possible to use water sensitive paper and DepositScan to estimate pesticide residues </w:t>
      </w:r>
      <w:r w:rsidR="00E5035D" w:rsidRPr="006B044F">
        <w:t>with</w:t>
      </w:r>
      <w:r w:rsidR="00D37A05" w:rsidRPr="006B044F">
        <w:t xml:space="preserve"> a correction factor. However, this correction factor might only apply to </w:t>
      </w:r>
      <w:r w:rsidR="00D950F0" w:rsidRPr="006B044F">
        <w:t xml:space="preserve">the penconazole formulation </w:t>
      </w:r>
      <w:r w:rsidR="00645C84" w:rsidRPr="006B044F">
        <w:t xml:space="preserve">and application regime </w:t>
      </w:r>
      <w:r w:rsidR="00D950F0" w:rsidRPr="006B044F">
        <w:t>in this study</w:t>
      </w:r>
      <w:r w:rsidR="00D37A05" w:rsidRPr="006B044F">
        <w:t xml:space="preserve">, and more work </w:t>
      </w:r>
      <w:r w:rsidR="00645C84" w:rsidRPr="006B044F">
        <w:t>is</w:t>
      </w:r>
      <w:r w:rsidR="00D37A05" w:rsidRPr="006B044F">
        <w:t xml:space="preserve"> necessary to determine whether a single correction factor would work for all spray situations and pesticide formulations</w:t>
      </w:r>
      <w:r w:rsidR="00E57CEA" w:rsidRPr="006B044F">
        <w:t>, or whether correction factors wou</w:t>
      </w:r>
      <w:r w:rsidR="00D950F0" w:rsidRPr="006B044F">
        <w:t>ld be specific to formulations (e.g. due to different wetting agents, application concentrations).</w:t>
      </w:r>
    </w:p>
    <w:p w14:paraId="0C349CC6" w14:textId="1F2A1574" w:rsidR="008C016B" w:rsidRPr="006B044F" w:rsidRDefault="00F549F7" w:rsidP="00E94812">
      <w:pPr>
        <w:spacing w:line="480" w:lineRule="auto"/>
      </w:pPr>
      <w:bookmarkStart w:id="54" w:name="_Hlk517360952"/>
      <w:r w:rsidRPr="006B044F">
        <w:t xml:space="preserve">Digital image analysis of water sensitive paper to estimate pesticide </w:t>
      </w:r>
      <w:r w:rsidR="005B0B20" w:rsidRPr="006B044F">
        <w:t xml:space="preserve">deposits </w:t>
      </w:r>
      <w:r w:rsidRPr="006B044F">
        <w:t>provides a time- and cost-effective high throughput method</w:t>
      </w:r>
      <w:bookmarkEnd w:id="54"/>
      <w:r w:rsidRPr="006B044F">
        <w:t xml:space="preserve"> of studying pesticide residues in agricultural systems. At the time of writing, water sensitive paper cost</w:t>
      </w:r>
      <w:r w:rsidR="00D950F0" w:rsidRPr="006B044F">
        <w:t xml:space="preserve"> under</w:t>
      </w:r>
      <w:r w:rsidRPr="006B044F">
        <w:t xml:space="preserve"> £</w:t>
      </w:r>
      <w:r w:rsidR="00D950F0" w:rsidRPr="006B044F">
        <w:t>40 (GBP)</w:t>
      </w:r>
      <w:r w:rsidRPr="006B044F">
        <w:t xml:space="preserve"> for 50 pieces, and digital analysis of each </w:t>
      </w:r>
      <w:r w:rsidR="00D950F0" w:rsidRPr="006B044F">
        <w:t xml:space="preserve">sample can be completed in </w:t>
      </w:r>
      <w:r w:rsidRPr="006B044F">
        <w:t>a matter of minutes. By comparison, conventional residue analysis methods involve pesticide extractions that can take over a day to complete, with chromatographic analysis time requirements varying based on method and retention times for the chosen study compounds. The analysis cost can be prohibitive due to the use of solid phase extraction techniques and the operation of analytical equipment. Therefore, the time and cost savings of</w:t>
      </w:r>
      <w:r w:rsidR="00D950F0" w:rsidRPr="006B044F">
        <w:t xml:space="preserve"> using</w:t>
      </w:r>
      <w:r w:rsidRPr="006B044F">
        <w:t xml:space="preserve"> water sensitive paper are attractive as they allow for large sample numbers in study designs; water sensitive paper also allows for examination of pesticide spray patterns at a fine spatial scale, something that is not currently widely undertaken by conventional residue analysis. </w:t>
      </w:r>
    </w:p>
    <w:p w14:paraId="596F124C" w14:textId="77777777" w:rsidR="00901C3A" w:rsidRPr="006B044F" w:rsidRDefault="00901C3A" w:rsidP="00E94812">
      <w:pPr>
        <w:spacing w:line="480" w:lineRule="auto"/>
      </w:pPr>
    </w:p>
    <w:p w14:paraId="41BB4274" w14:textId="6CFB1476" w:rsidR="00E60C50" w:rsidRPr="006B044F" w:rsidRDefault="00F11B05" w:rsidP="00D950F0">
      <w:pPr>
        <w:spacing w:line="480" w:lineRule="auto"/>
        <w:rPr>
          <w:b/>
        </w:rPr>
      </w:pPr>
      <w:bookmarkStart w:id="55" w:name="_Toc469323102"/>
      <w:r w:rsidRPr="006B044F">
        <w:rPr>
          <w:b/>
        </w:rPr>
        <w:lastRenderedPageBreak/>
        <w:t>11</w:t>
      </w:r>
      <w:r w:rsidR="004F5438" w:rsidRPr="006B044F">
        <w:rPr>
          <w:b/>
        </w:rPr>
        <w:t xml:space="preserve"> CONCLUSIONS</w:t>
      </w:r>
      <w:bookmarkEnd w:id="55"/>
    </w:p>
    <w:p w14:paraId="35565779" w14:textId="40C6AD67" w:rsidR="00E57CEA" w:rsidRPr="006B044F" w:rsidRDefault="0040714C" w:rsidP="00D950F0">
      <w:pPr>
        <w:spacing w:line="480" w:lineRule="auto"/>
        <w:rPr>
          <w:b/>
        </w:rPr>
      </w:pPr>
      <w:r w:rsidRPr="006B044F">
        <w:t>P</w:t>
      </w:r>
      <w:r w:rsidR="00E57CEA" w:rsidRPr="006B044F">
        <w:t>esticide spray patter</w:t>
      </w:r>
      <w:r w:rsidR="00E5035D" w:rsidRPr="006B044F">
        <w:t>ns can differ within an orchard,</w:t>
      </w:r>
      <w:r w:rsidRPr="006B044F">
        <w:t xml:space="preserve"> </w:t>
      </w:r>
      <w:r w:rsidR="00E57CEA" w:rsidRPr="006B044F">
        <w:t>between and within trees</w:t>
      </w:r>
      <w:r w:rsidR="00E60C50" w:rsidRPr="006B044F">
        <w:t xml:space="preserve"> during a single pesticide spray event</w:t>
      </w:r>
      <w:r w:rsidR="00E57CEA" w:rsidRPr="006B044F">
        <w:t xml:space="preserve">. Trends showing differences in coverage, spray density and residue within trees are important for understanding the exposure patterns that tree-dwelling </w:t>
      </w:r>
      <w:r w:rsidR="00D950F0" w:rsidRPr="006B044F">
        <w:t>arthropods</w:t>
      </w:r>
      <w:r w:rsidR="00E57CEA" w:rsidRPr="006B044F">
        <w:t xml:space="preserve"> are subjected to in commercial apple orchards</w:t>
      </w:r>
      <w:r w:rsidR="00D950F0" w:rsidRPr="006B044F">
        <w:t>. Together with the micro-scale exposure patterns derived from the water sensitive papers, these data will inform future experiments looking at effects of pesticide exposure on their behaviour.</w:t>
      </w:r>
      <w:r w:rsidR="001F7BA2" w:rsidRPr="006B044F">
        <w:t xml:space="preserve"> </w:t>
      </w:r>
    </w:p>
    <w:p w14:paraId="23EF38FF" w14:textId="7CF788D3" w:rsidR="003C5EB4" w:rsidRPr="006B044F" w:rsidRDefault="00E60C50" w:rsidP="00E94812">
      <w:pPr>
        <w:spacing w:line="480" w:lineRule="auto"/>
      </w:pPr>
      <w:bookmarkStart w:id="56" w:name="_Hlk517361818"/>
      <w:r w:rsidRPr="006B044F">
        <w:t>Through the study of pesticide spray patterns, we have been able to demonstrate t</w:t>
      </w:r>
      <w:r w:rsidR="00E57CEA" w:rsidRPr="006B044F">
        <w:t>hat water se</w:t>
      </w:r>
      <w:r w:rsidR="008C33FD" w:rsidRPr="006B044F">
        <w:t>nsitive paper could</w:t>
      </w:r>
      <w:r w:rsidR="00E57CEA" w:rsidRPr="006B044F">
        <w:t xml:space="preserve"> act as a replacement for conventional residue testing</w:t>
      </w:r>
      <w:r w:rsidR="00DB7332" w:rsidRPr="006B044F">
        <w:t xml:space="preserve"> by offering a fast method of estimation</w:t>
      </w:r>
      <w:r w:rsidR="00E57CEA" w:rsidRPr="006B044F">
        <w:t xml:space="preserve">, but the sources of </w:t>
      </w:r>
      <w:r w:rsidR="00645C84" w:rsidRPr="006B044F">
        <w:t xml:space="preserve">uncertainty </w:t>
      </w:r>
      <w:r w:rsidR="003E67D7" w:rsidRPr="006B044F">
        <w:t xml:space="preserve">need to </w:t>
      </w:r>
      <w:r w:rsidR="00E57CEA" w:rsidRPr="006B044F">
        <w:t xml:space="preserve">be </w:t>
      </w:r>
      <w:r w:rsidR="003E67D7" w:rsidRPr="006B044F">
        <w:t xml:space="preserve">fully </w:t>
      </w:r>
      <w:r w:rsidR="00E57CEA" w:rsidRPr="006B044F">
        <w:t xml:space="preserve">understood. </w:t>
      </w:r>
      <w:r w:rsidR="00645C84" w:rsidRPr="006B044F">
        <w:t>Water sensitive paper</w:t>
      </w:r>
      <w:r w:rsidR="00E57CEA" w:rsidRPr="006B044F">
        <w:t xml:space="preserve"> is a </w:t>
      </w:r>
      <w:r w:rsidR="008C33FD" w:rsidRPr="006B044F">
        <w:t>highly</w:t>
      </w:r>
      <w:r w:rsidR="00E57CEA" w:rsidRPr="006B044F">
        <w:t xml:space="preserve"> effective tool for analysing differences in spray patterns and allows for large sample numbers</w:t>
      </w:r>
      <w:r w:rsidR="005B0B20" w:rsidRPr="006B044F">
        <w:t xml:space="preserve"> and rapid estimation of pesticide deposits on a surface</w:t>
      </w:r>
      <w:r w:rsidR="0040714C" w:rsidRPr="006B044F">
        <w:t>.</w:t>
      </w:r>
      <w:bookmarkEnd w:id="56"/>
      <w:r w:rsidR="0040714C" w:rsidRPr="006B044F">
        <w:t xml:space="preserve"> It</w:t>
      </w:r>
      <w:r w:rsidR="00E57CEA" w:rsidRPr="006B044F">
        <w:t xml:space="preserve"> also provides data on spray density and coverage that residue analysis cannot; however</w:t>
      </w:r>
      <w:r w:rsidR="00D950F0" w:rsidRPr="006B044F">
        <w:t>,</w:t>
      </w:r>
      <w:r w:rsidR="00E57CEA" w:rsidRPr="006B044F">
        <w:t xml:space="preserve"> if residue values are an important factor </w:t>
      </w:r>
      <w:r w:rsidR="008C33FD" w:rsidRPr="006B044F">
        <w:t>in the</w:t>
      </w:r>
      <w:r w:rsidR="00E57CEA" w:rsidRPr="006B044F">
        <w:t xml:space="preserve"> study </w:t>
      </w:r>
      <w:r w:rsidR="007B085E" w:rsidRPr="006B044F">
        <w:t xml:space="preserve">of an untested compound </w:t>
      </w:r>
      <w:r w:rsidR="00E57CEA" w:rsidRPr="006B044F">
        <w:t>then conventional residue analysis techn</w:t>
      </w:r>
      <w:r w:rsidR="008C33FD" w:rsidRPr="006B044F">
        <w:t>iques should still be considered</w:t>
      </w:r>
      <w:r w:rsidR="00E57CEA" w:rsidRPr="006B044F">
        <w:t>.</w:t>
      </w:r>
      <w:r w:rsidR="007B085E" w:rsidRPr="006B044F">
        <w:t xml:space="preserve"> Once the correlation between water sensitive paper data and conventional residue analysis is established for a </w:t>
      </w:r>
      <w:r w:rsidR="00D950F0" w:rsidRPr="006B044F">
        <w:t>pesticide product, with an adjustment factor if necessary</w:t>
      </w:r>
      <w:r w:rsidR="007B085E" w:rsidRPr="006B044F">
        <w:t>, large numbers of water sensitive paper samples can be deployed for high throughput exposure analysis.</w:t>
      </w:r>
      <w:r w:rsidRPr="006B044F">
        <w:t xml:space="preserve"> Further work should explore whether </w:t>
      </w:r>
      <w:r w:rsidR="00765DC6" w:rsidRPr="006B044F">
        <w:t xml:space="preserve">pesticide residues derived from </w:t>
      </w:r>
      <w:r w:rsidRPr="006B044F">
        <w:t>water sensitive paper correlate well with other pesticide formulations, and whether different correction factors are necessary for different pesticide formulations or situations.</w:t>
      </w:r>
    </w:p>
    <w:p w14:paraId="615F342A" w14:textId="77777777" w:rsidR="003C5EB4" w:rsidRPr="006B044F" w:rsidRDefault="003C5EB4" w:rsidP="00E94812">
      <w:pPr>
        <w:spacing w:line="480" w:lineRule="auto"/>
      </w:pPr>
    </w:p>
    <w:p w14:paraId="5712B84B" w14:textId="77777777" w:rsidR="003C5EB4" w:rsidRPr="006B044F" w:rsidRDefault="003C5EB4" w:rsidP="00E94812">
      <w:pPr>
        <w:spacing w:line="480" w:lineRule="auto"/>
        <w:rPr>
          <w:b/>
        </w:rPr>
      </w:pPr>
      <w:r w:rsidRPr="006B044F">
        <w:rPr>
          <w:b/>
        </w:rPr>
        <w:t>12 ACKNOWLEDGEMENTS</w:t>
      </w:r>
    </w:p>
    <w:p w14:paraId="1460DC8E" w14:textId="04460AF4" w:rsidR="003B476E" w:rsidRPr="006B044F" w:rsidRDefault="000D6A62" w:rsidP="00E94812">
      <w:pPr>
        <w:spacing w:line="480" w:lineRule="auto"/>
      </w:pPr>
      <w:r w:rsidRPr="006B044F">
        <w:lastRenderedPageBreak/>
        <w:t>This research has been financially supported by the Biotechnology and Biological Science Research Council (Swindon, United Kingdom; Studentship</w:t>
      </w:r>
      <w:r w:rsidR="00CD4578" w:rsidRPr="006B044F">
        <w:t xml:space="preserve"> BB/L024497/1</w:t>
      </w:r>
      <w:r w:rsidRPr="006B044F">
        <w:t xml:space="preserve">) and ADAMA Agricultural Solutions UK Ltd. (Thatcham, United Kingdom). The authors are grateful </w:t>
      </w:r>
      <w:r w:rsidR="003D1A38" w:rsidRPr="006B044F">
        <w:t>to the Farm Manager, Paul Day, for allowing access to orchards for this research and a</w:t>
      </w:r>
      <w:r w:rsidR="00676545" w:rsidRPr="006B044F">
        <w:t>lso for his insight and advice.</w:t>
      </w:r>
    </w:p>
    <w:p w14:paraId="53C83D4D" w14:textId="77777777" w:rsidR="00D90769" w:rsidRPr="006B044F" w:rsidRDefault="00D90769">
      <w:pPr>
        <w:rPr>
          <w:b/>
        </w:rPr>
      </w:pPr>
      <w:bookmarkStart w:id="57" w:name="_Toc469323103"/>
      <w:r w:rsidRPr="006B044F">
        <w:rPr>
          <w:b/>
        </w:rPr>
        <w:br w:type="page"/>
      </w:r>
    </w:p>
    <w:p w14:paraId="62F9EFAD" w14:textId="5E5A930D" w:rsidR="00B645AF" w:rsidRPr="006B044F" w:rsidRDefault="002D7D07" w:rsidP="00E94812">
      <w:pPr>
        <w:spacing w:line="480" w:lineRule="auto"/>
        <w:rPr>
          <w:b/>
        </w:rPr>
      </w:pPr>
      <w:r w:rsidRPr="006B044F">
        <w:rPr>
          <w:b/>
        </w:rPr>
        <w:lastRenderedPageBreak/>
        <w:t>13</w:t>
      </w:r>
      <w:r w:rsidR="004F5438" w:rsidRPr="006B044F">
        <w:rPr>
          <w:b/>
        </w:rPr>
        <w:t xml:space="preserve"> REFERENCES</w:t>
      </w:r>
      <w:bookmarkEnd w:id="57"/>
    </w:p>
    <w:p w14:paraId="648DA306" w14:textId="7617B882" w:rsidR="00DA34D0" w:rsidRPr="006B044F" w:rsidRDefault="00906388" w:rsidP="00DA34D0">
      <w:pPr>
        <w:widowControl w:val="0"/>
        <w:autoSpaceDE w:val="0"/>
        <w:autoSpaceDN w:val="0"/>
        <w:adjustRightInd w:val="0"/>
        <w:ind w:left="640" w:hanging="640"/>
        <w:rPr>
          <w:rFonts w:ascii="Calibri" w:hAnsi="Calibri" w:cs="Times New Roman"/>
          <w:noProof/>
          <w:sz w:val="20"/>
          <w:szCs w:val="24"/>
        </w:rPr>
      </w:pPr>
      <w:r w:rsidRPr="00C73D75">
        <w:rPr>
          <w:sz w:val="20"/>
          <w:szCs w:val="20"/>
        </w:rPr>
        <w:fldChar w:fldCharType="begin" w:fldLock="1"/>
      </w:r>
      <w:r w:rsidRPr="006B044F">
        <w:rPr>
          <w:sz w:val="20"/>
          <w:szCs w:val="20"/>
        </w:rPr>
        <w:instrText xml:space="preserve">ADDIN Mendeley Bibliography CSL_BIBLIOGRAPHY </w:instrText>
      </w:r>
      <w:r w:rsidRPr="00C73D75">
        <w:rPr>
          <w:sz w:val="20"/>
          <w:szCs w:val="20"/>
        </w:rPr>
        <w:fldChar w:fldCharType="separate"/>
      </w:r>
      <w:r w:rsidR="00DA34D0" w:rsidRPr="006B044F">
        <w:rPr>
          <w:rFonts w:ascii="Calibri" w:hAnsi="Calibri" w:cs="Times New Roman"/>
          <w:noProof/>
          <w:sz w:val="20"/>
          <w:szCs w:val="24"/>
        </w:rPr>
        <w:t>1</w:t>
      </w:r>
      <w:r w:rsidR="00DA34D0" w:rsidRPr="006B044F">
        <w:rPr>
          <w:rFonts w:ascii="Calibri" w:hAnsi="Calibri" w:cs="Times New Roman"/>
          <w:noProof/>
          <w:sz w:val="20"/>
          <w:szCs w:val="24"/>
        </w:rPr>
        <w:tab/>
        <w:t xml:space="preserve">Cooper J and Dobson H, The benefits of pesticides to mankind and the environment, Crop Prot </w:t>
      </w:r>
      <w:r w:rsidR="00DA34D0" w:rsidRPr="006B044F">
        <w:rPr>
          <w:rFonts w:ascii="Calibri" w:hAnsi="Calibri" w:cs="Times New Roman"/>
          <w:b/>
          <w:bCs/>
          <w:noProof/>
          <w:sz w:val="20"/>
          <w:szCs w:val="24"/>
        </w:rPr>
        <w:t>26</w:t>
      </w:r>
      <w:r w:rsidR="00DA34D0" w:rsidRPr="006B044F">
        <w:rPr>
          <w:rFonts w:ascii="Calibri" w:hAnsi="Calibri" w:cs="Times New Roman"/>
          <w:noProof/>
          <w:sz w:val="20"/>
          <w:szCs w:val="24"/>
        </w:rPr>
        <w:t>:1337–1348 (2007).</w:t>
      </w:r>
    </w:p>
    <w:p w14:paraId="28B412EE"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w:t>
      </w:r>
      <w:r w:rsidRPr="006B044F">
        <w:rPr>
          <w:rFonts w:ascii="Calibri" w:hAnsi="Calibri" w:cs="Times New Roman"/>
          <w:noProof/>
          <w:sz w:val="20"/>
          <w:szCs w:val="24"/>
        </w:rPr>
        <w:tab/>
        <w:t xml:space="preserve">Santos MS, Zanardi OZ, Pauli KS, Forim MR, Yamamoto PT, and Vendramim JD, Toxicity of an azadirachtin-based biopesticide on Diaphorina citri Kuwayama (Hemiptera: Liviidae) and its ectoparasitoid Tamarixia radiata (Waterston) (Hymenoptera: Eulophidae), Crop Prot </w:t>
      </w:r>
      <w:r w:rsidRPr="006B044F">
        <w:rPr>
          <w:rFonts w:ascii="Calibri" w:hAnsi="Calibri" w:cs="Times New Roman"/>
          <w:b/>
          <w:bCs/>
          <w:noProof/>
          <w:sz w:val="20"/>
          <w:szCs w:val="24"/>
        </w:rPr>
        <w:t>74</w:t>
      </w:r>
      <w:r w:rsidRPr="006B044F">
        <w:rPr>
          <w:rFonts w:ascii="Calibri" w:hAnsi="Calibri" w:cs="Times New Roman"/>
          <w:noProof/>
          <w:sz w:val="20"/>
          <w:szCs w:val="24"/>
        </w:rPr>
        <w:t>:116–123 (2015).</w:t>
      </w:r>
    </w:p>
    <w:p w14:paraId="1F470C47"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w:t>
      </w:r>
      <w:r w:rsidRPr="006B044F">
        <w:rPr>
          <w:rFonts w:ascii="Calibri" w:hAnsi="Calibri" w:cs="Times New Roman"/>
          <w:noProof/>
          <w:sz w:val="20"/>
          <w:szCs w:val="24"/>
        </w:rPr>
        <w:tab/>
        <w:t xml:space="preserve">Rugno GR, Zanardi OZ, Bajonero Cuervo J, de Morais MR, and Yamamoto PT, Impact of insect growth regulators on the predator Ceraeochrysa cincta (Schneider) (Neuroptera: Chrysopidae), Ecotoxicology </w:t>
      </w:r>
      <w:r w:rsidRPr="006B044F">
        <w:rPr>
          <w:rFonts w:ascii="Calibri" w:hAnsi="Calibri" w:cs="Times New Roman"/>
          <w:b/>
          <w:bCs/>
          <w:noProof/>
          <w:sz w:val="20"/>
          <w:szCs w:val="24"/>
        </w:rPr>
        <w:t>25</w:t>
      </w:r>
      <w:r w:rsidRPr="006B044F">
        <w:rPr>
          <w:rFonts w:ascii="Calibri" w:hAnsi="Calibri" w:cs="Times New Roman"/>
          <w:noProof/>
          <w:sz w:val="20"/>
          <w:szCs w:val="24"/>
        </w:rPr>
        <w:t>:940–949 (2016).</w:t>
      </w:r>
    </w:p>
    <w:p w14:paraId="03AED524"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w:t>
      </w:r>
      <w:r w:rsidRPr="006B044F">
        <w:rPr>
          <w:rFonts w:ascii="Calibri" w:hAnsi="Calibri" w:cs="Times New Roman"/>
          <w:noProof/>
          <w:sz w:val="20"/>
          <w:szCs w:val="24"/>
        </w:rPr>
        <w:tab/>
        <w:t xml:space="preserve">Bowie MH, Worner SP, Krips OE, and Penman DR, Sublethal effects of esfenvalerate residues on pyrethroid resistant Typhlodromus pyri (Acari : Phytoseiidae) and its prey Panonychus ulmi and Tetranychus urticae (Acari : Tetranychidae), Exp Appl Acarol </w:t>
      </w:r>
      <w:r w:rsidRPr="006B044F">
        <w:rPr>
          <w:rFonts w:ascii="Calibri" w:hAnsi="Calibri" w:cs="Times New Roman"/>
          <w:b/>
          <w:bCs/>
          <w:noProof/>
          <w:sz w:val="20"/>
          <w:szCs w:val="24"/>
        </w:rPr>
        <w:t>25</w:t>
      </w:r>
      <w:r w:rsidRPr="006B044F">
        <w:rPr>
          <w:rFonts w:ascii="Calibri" w:hAnsi="Calibri" w:cs="Times New Roman"/>
          <w:noProof/>
          <w:sz w:val="20"/>
          <w:szCs w:val="24"/>
        </w:rPr>
        <w:t>:311–319 (2001).</w:t>
      </w:r>
    </w:p>
    <w:p w14:paraId="65337548"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5</w:t>
      </w:r>
      <w:r w:rsidRPr="006B044F">
        <w:rPr>
          <w:rFonts w:ascii="Calibri" w:hAnsi="Calibri" w:cs="Times New Roman"/>
          <w:noProof/>
          <w:sz w:val="20"/>
          <w:szCs w:val="24"/>
        </w:rPr>
        <w:tab/>
        <w:t xml:space="preserve">Kim DS, Brooks DJ, and Riedl H, Lethal and sublethal effects of abamectin, spinosad, methoxyfenozide and acetamiprid on the predaceous plant bug Deraeocoris brevis in the laboratory, Biocontrol </w:t>
      </w:r>
      <w:r w:rsidRPr="006B044F">
        <w:rPr>
          <w:rFonts w:ascii="Calibri" w:hAnsi="Calibri" w:cs="Times New Roman"/>
          <w:b/>
          <w:bCs/>
          <w:noProof/>
          <w:sz w:val="20"/>
          <w:szCs w:val="24"/>
        </w:rPr>
        <w:t>51</w:t>
      </w:r>
      <w:r w:rsidRPr="006B044F">
        <w:rPr>
          <w:rFonts w:ascii="Calibri" w:hAnsi="Calibri" w:cs="Times New Roman"/>
          <w:noProof/>
          <w:sz w:val="20"/>
          <w:szCs w:val="24"/>
        </w:rPr>
        <w:t>:465–484 (2006).</w:t>
      </w:r>
    </w:p>
    <w:p w14:paraId="022735A2"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6</w:t>
      </w:r>
      <w:r w:rsidRPr="006B044F">
        <w:rPr>
          <w:rFonts w:ascii="Calibri" w:hAnsi="Calibri" w:cs="Times New Roman"/>
          <w:noProof/>
          <w:sz w:val="20"/>
          <w:szCs w:val="24"/>
        </w:rPr>
        <w:tab/>
        <w:t xml:space="preserve">Giolo FP, Medina P, Grutzmacher AD, and Vinuela E, Effects of pesticides commonly used in peach orchards in Brazil on predatory lacewing Chrysoperla carnea under laboratory conditions, Biocontrol </w:t>
      </w:r>
      <w:r w:rsidRPr="006B044F">
        <w:rPr>
          <w:rFonts w:ascii="Calibri" w:hAnsi="Calibri" w:cs="Times New Roman"/>
          <w:b/>
          <w:bCs/>
          <w:noProof/>
          <w:sz w:val="20"/>
          <w:szCs w:val="24"/>
        </w:rPr>
        <w:t>54</w:t>
      </w:r>
      <w:r w:rsidRPr="006B044F">
        <w:rPr>
          <w:rFonts w:ascii="Calibri" w:hAnsi="Calibri" w:cs="Times New Roman"/>
          <w:noProof/>
          <w:sz w:val="20"/>
          <w:szCs w:val="24"/>
        </w:rPr>
        <w:t>:625–635 (2009).</w:t>
      </w:r>
    </w:p>
    <w:p w14:paraId="35413F99"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7</w:t>
      </w:r>
      <w:r w:rsidRPr="006B044F">
        <w:rPr>
          <w:rFonts w:ascii="Calibri" w:hAnsi="Calibri" w:cs="Times New Roman"/>
          <w:noProof/>
          <w:sz w:val="20"/>
          <w:szCs w:val="24"/>
        </w:rPr>
        <w:tab/>
        <w:t xml:space="preserve">Kalajahi MJ, Ganbalani GN, Kazemi MH, Shojai M, and Imani S, Investigation of sex ratio and adult longevity of Habrobracon hebetor Say in relation to some conventional and biorational insecticides, Arch Phytopathol Plant Prot </w:t>
      </w:r>
      <w:r w:rsidRPr="006B044F">
        <w:rPr>
          <w:rFonts w:ascii="Calibri" w:hAnsi="Calibri" w:cs="Times New Roman"/>
          <w:b/>
          <w:bCs/>
          <w:noProof/>
          <w:sz w:val="20"/>
          <w:szCs w:val="24"/>
        </w:rPr>
        <w:t>47</w:t>
      </w:r>
      <w:r w:rsidRPr="006B044F">
        <w:rPr>
          <w:rFonts w:ascii="Calibri" w:hAnsi="Calibri" w:cs="Times New Roman"/>
          <w:noProof/>
          <w:sz w:val="20"/>
          <w:szCs w:val="24"/>
        </w:rPr>
        <w:t>:852–856 (2014).</w:t>
      </w:r>
    </w:p>
    <w:p w14:paraId="2331AFD2"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8</w:t>
      </w:r>
      <w:r w:rsidRPr="006B044F">
        <w:rPr>
          <w:rFonts w:ascii="Calibri" w:hAnsi="Calibri" w:cs="Times New Roman"/>
          <w:noProof/>
          <w:sz w:val="20"/>
          <w:szCs w:val="24"/>
        </w:rPr>
        <w:tab/>
        <w:t xml:space="preserve">Garzón A, Medina P, Amor F, Viñuela E, and Budia F, Toxicity and sublethal effects of six insecticides to last instar larvae and adults of the biocontrol agents Chrysoperla carnea (Stephens) (Neuroptera: Chrysopidae) and Adalia bipunctata (L.) (Coleoptera: Coccinellidae), Chemosphere </w:t>
      </w:r>
      <w:r w:rsidRPr="006B044F">
        <w:rPr>
          <w:rFonts w:ascii="Calibri" w:hAnsi="Calibri" w:cs="Times New Roman"/>
          <w:b/>
          <w:bCs/>
          <w:noProof/>
          <w:sz w:val="20"/>
          <w:szCs w:val="24"/>
        </w:rPr>
        <w:t>132</w:t>
      </w:r>
      <w:r w:rsidRPr="006B044F">
        <w:rPr>
          <w:rFonts w:ascii="Calibri" w:hAnsi="Calibri" w:cs="Times New Roman"/>
          <w:noProof/>
          <w:sz w:val="20"/>
          <w:szCs w:val="24"/>
        </w:rPr>
        <w:t>:87–93 (2015).</w:t>
      </w:r>
    </w:p>
    <w:p w14:paraId="4432D099"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9</w:t>
      </w:r>
      <w:r w:rsidRPr="006B044F">
        <w:rPr>
          <w:rFonts w:ascii="Calibri" w:hAnsi="Calibri" w:cs="Times New Roman"/>
          <w:noProof/>
          <w:sz w:val="20"/>
          <w:szCs w:val="24"/>
        </w:rPr>
        <w:tab/>
        <w:t xml:space="preserve">Desneux N, Decourtye A, and Delpuech J-M, The Sublethal Effects of Pesticides on Beneficial Arthropods, Annu Rev Entomol </w:t>
      </w:r>
      <w:r w:rsidRPr="006B044F">
        <w:rPr>
          <w:rFonts w:ascii="Calibri" w:hAnsi="Calibri" w:cs="Times New Roman"/>
          <w:b/>
          <w:bCs/>
          <w:noProof/>
          <w:sz w:val="20"/>
          <w:szCs w:val="24"/>
        </w:rPr>
        <w:t>52</w:t>
      </w:r>
      <w:r w:rsidRPr="006B044F">
        <w:rPr>
          <w:rFonts w:ascii="Calibri" w:hAnsi="Calibri" w:cs="Times New Roman"/>
          <w:noProof/>
          <w:sz w:val="20"/>
          <w:szCs w:val="24"/>
        </w:rPr>
        <w:t>:81–106 (2007).</w:t>
      </w:r>
    </w:p>
    <w:p w14:paraId="6C795818"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10</w:t>
      </w:r>
      <w:r w:rsidRPr="006B044F">
        <w:rPr>
          <w:rFonts w:ascii="Calibri" w:hAnsi="Calibri" w:cs="Times New Roman"/>
          <w:noProof/>
          <w:sz w:val="20"/>
          <w:szCs w:val="24"/>
        </w:rPr>
        <w:tab/>
        <w:t xml:space="preserve">Stark, J D, Banks JE, Population-level effects of pesticides and other toxicants on arthropods, Annu Rev Entomol </w:t>
      </w:r>
      <w:r w:rsidRPr="006B044F">
        <w:rPr>
          <w:rFonts w:ascii="Calibri" w:hAnsi="Calibri" w:cs="Times New Roman"/>
          <w:b/>
          <w:bCs/>
          <w:noProof/>
          <w:sz w:val="20"/>
          <w:szCs w:val="24"/>
        </w:rPr>
        <w:t>48</w:t>
      </w:r>
      <w:r w:rsidRPr="006B044F">
        <w:rPr>
          <w:rFonts w:ascii="Calibri" w:hAnsi="Calibri" w:cs="Times New Roman"/>
          <w:noProof/>
          <w:sz w:val="20"/>
          <w:szCs w:val="24"/>
        </w:rPr>
        <w:t>:505–519 (2003).</w:t>
      </w:r>
    </w:p>
    <w:p w14:paraId="06357ABF"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11</w:t>
      </w:r>
      <w:r w:rsidRPr="006B044F">
        <w:rPr>
          <w:rFonts w:ascii="Calibri" w:hAnsi="Calibri" w:cs="Times New Roman"/>
          <w:noProof/>
          <w:sz w:val="20"/>
          <w:szCs w:val="24"/>
        </w:rPr>
        <w:tab/>
        <w:t xml:space="preserve">Cordeiro EMG, Correa AS, Venzon M, and Guedes RNC, Insecticide survival and behavioral avoidance in the lacewings Chrysoperla externa and Ceraeochrysa cubana, Chemosphere </w:t>
      </w:r>
      <w:r w:rsidRPr="006B044F">
        <w:rPr>
          <w:rFonts w:ascii="Calibri" w:hAnsi="Calibri" w:cs="Times New Roman"/>
          <w:b/>
          <w:bCs/>
          <w:noProof/>
          <w:sz w:val="20"/>
          <w:szCs w:val="24"/>
        </w:rPr>
        <w:t>81</w:t>
      </w:r>
      <w:r w:rsidRPr="006B044F">
        <w:rPr>
          <w:rFonts w:ascii="Calibri" w:hAnsi="Calibri" w:cs="Times New Roman"/>
          <w:noProof/>
          <w:sz w:val="20"/>
          <w:szCs w:val="24"/>
        </w:rPr>
        <w:t>:1352–1357 (2010).</w:t>
      </w:r>
    </w:p>
    <w:p w14:paraId="4CB2A5C3"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12</w:t>
      </w:r>
      <w:r w:rsidRPr="006B044F">
        <w:rPr>
          <w:rFonts w:ascii="Calibri" w:hAnsi="Calibri" w:cs="Times New Roman"/>
          <w:noProof/>
          <w:sz w:val="20"/>
          <w:szCs w:val="24"/>
        </w:rPr>
        <w:tab/>
        <w:t xml:space="preserve">Candolfi MP., Blümel S., Forster R., Bakker FM., Grimm C., Hassan SA., </w:t>
      </w:r>
      <w:r w:rsidRPr="006B044F">
        <w:rPr>
          <w:rFonts w:ascii="Calibri" w:hAnsi="Calibri" w:cs="Times New Roman"/>
          <w:i/>
          <w:iCs/>
          <w:noProof/>
          <w:sz w:val="20"/>
          <w:szCs w:val="24"/>
        </w:rPr>
        <w:t>et al.</w:t>
      </w:r>
      <w:r w:rsidRPr="006B044F">
        <w:rPr>
          <w:rFonts w:ascii="Calibri" w:hAnsi="Calibri" w:cs="Times New Roman"/>
          <w:noProof/>
          <w:sz w:val="20"/>
          <w:szCs w:val="24"/>
        </w:rPr>
        <w:t>, Guidelines to evaluate side-effects of plant protection products to non-target arthropods. IOBC, BART and EPPO Joint Initiative., IOBC/WPRS, Gent (2000).</w:t>
      </w:r>
    </w:p>
    <w:p w14:paraId="7C8E0267"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lastRenderedPageBreak/>
        <w:t>13</w:t>
      </w:r>
      <w:r w:rsidRPr="006B044F">
        <w:rPr>
          <w:rFonts w:ascii="Calibri" w:hAnsi="Calibri" w:cs="Times New Roman"/>
          <w:noProof/>
          <w:sz w:val="20"/>
          <w:szCs w:val="24"/>
        </w:rPr>
        <w:tab/>
        <w:t xml:space="preserve">Owojori OJ, Waszak K, and Roembke J, AVOIDANCE AND REPRODUCTION TESTS WITH THE PREDATORY MITE HYPOASPIS ACULEIFER: EFFECTS OF DIFFERENT CHEMICAL SUBSTANCES, Environ Toxicol Chem </w:t>
      </w:r>
      <w:r w:rsidRPr="006B044F">
        <w:rPr>
          <w:rFonts w:ascii="Calibri" w:hAnsi="Calibri" w:cs="Times New Roman"/>
          <w:b/>
          <w:bCs/>
          <w:noProof/>
          <w:sz w:val="20"/>
          <w:szCs w:val="24"/>
        </w:rPr>
        <w:t>33</w:t>
      </w:r>
      <w:r w:rsidRPr="006B044F">
        <w:rPr>
          <w:rFonts w:ascii="Calibri" w:hAnsi="Calibri" w:cs="Times New Roman"/>
          <w:noProof/>
          <w:sz w:val="20"/>
          <w:szCs w:val="24"/>
        </w:rPr>
        <w:t>:230–237 (2014).</w:t>
      </w:r>
    </w:p>
    <w:p w14:paraId="6EFF1E14"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14</w:t>
      </w:r>
      <w:r w:rsidRPr="006B044F">
        <w:rPr>
          <w:rFonts w:ascii="Calibri" w:hAnsi="Calibri" w:cs="Times New Roman"/>
          <w:noProof/>
          <w:sz w:val="20"/>
          <w:szCs w:val="24"/>
        </w:rPr>
        <w:tab/>
        <w:t xml:space="preserve">Hall GL, Engebretson J, Hengel MJ, and Shibamoto T, Analysis of Methoxyfenozide Residues in Fruits, Vegetables, and Mint by Liquid Chromatography-Tandem Mass Spectrometry (LC-MS/MS), J Agric Food Chem </w:t>
      </w:r>
      <w:r w:rsidRPr="006B044F">
        <w:rPr>
          <w:rFonts w:ascii="Calibri" w:hAnsi="Calibri" w:cs="Times New Roman"/>
          <w:b/>
          <w:bCs/>
          <w:noProof/>
          <w:sz w:val="20"/>
          <w:szCs w:val="24"/>
        </w:rPr>
        <w:t>52</w:t>
      </w:r>
      <w:r w:rsidRPr="006B044F">
        <w:rPr>
          <w:rFonts w:ascii="Calibri" w:hAnsi="Calibri" w:cs="Times New Roman"/>
          <w:noProof/>
          <w:sz w:val="20"/>
          <w:szCs w:val="24"/>
        </w:rPr>
        <w:t>:672–676 (2004).</w:t>
      </w:r>
    </w:p>
    <w:p w14:paraId="4C31DE6D"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15</w:t>
      </w:r>
      <w:r w:rsidRPr="006B044F">
        <w:rPr>
          <w:rFonts w:ascii="Calibri" w:hAnsi="Calibri" w:cs="Times New Roman"/>
          <w:noProof/>
          <w:sz w:val="20"/>
          <w:szCs w:val="24"/>
        </w:rPr>
        <w:tab/>
        <w:t xml:space="preserve">Cilgi T and Jepson PC, THE USE OF TRACERS TO ESTIMATE THE EXPOSURE OF BENEFICIAL INSECTS TO DIRECT PESTICIDE SPRAYING IN CEREALS, Ann Appl Biol </w:t>
      </w:r>
      <w:r w:rsidRPr="006B044F">
        <w:rPr>
          <w:rFonts w:ascii="Calibri" w:hAnsi="Calibri" w:cs="Times New Roman"/>
          <w:b/>
          <w:bCs/>
          <w:noProof/>
          <w:sz w:val="20"/>
          <w:szCs w:val="24"/>
        </w:rPr>
        <w:t>121</w:t>
      </w:r>
      <w:r w:rsidRPr="006B044F">
        <w:rPr>
          <w:rFonts w:ascii="Calibri" w:hAnsi="Calibri" w:cs="Times New Roman"/>
          <w:noProof/>
          <w:sz w:val="20"/>
          <w:szCs w:val="24"/>
        </w:rPr>
        <w:t>:239–247 (1992).</w:t>
      </w:r>
    </w:p>
    <w:p w14:paraId="302ECA80"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16</w:t>
      </w:r>
      <w:r w:rsidRPr="006B044F">
        <w:rPr>
          <w:rFonts w:ascii="Calibri" w:hAnsi="Calibri" w:cs="Times New Roman"/>
          <w:noProof/>
          <w:sz w:val="20"/>
          <w:szCs w:val="24"/>
        </w:rPr>
        <w:tab/>
        <w:t xml:space="preserve">de Moor A, Langenakens J, and Vereecke E, Image analysis of water sensitive paper as a tool for the evaluation of spray distribution of orchard sprayers, ed. by Cross  A. J.; Glass, C. R.; Taylor, W. A.; Walklate, P. J.; Western, N. M. JV. G, Pestic Appl </w:t>
      </w:r>
      <w:r w:rsidRPr="006B044F">
        <w:rPr>
          <w:rFonts w:ascii="Calibri" w:hAnsi="Calibri" w:cs="Times New Roman"/>
          <w:b/>
          <w:bCs/>
          <w:noProof/>
          <w:sz w:val="20"/>
          <w:szCs w:val="24"/>
        </w:rPr>
        <w:t>57</w:t>
      </w:r>
      <w:r w:rsidRPr="006B044F">
        <w:rPr>
          <w:rFonts w:ascii="Calibri" w:hAnsi="Calibri" w:cs="Times New Roman"/>
          <w:noProof/>
          <w:sz w:val="20"/>
          <w:szCs w:val="24"/>
        </w:rPr>
        <w:t>:329–341, University of Surrey, Guildford, UK (2000).</w:t>
      </w:r>
    </w:p>
    <w:p w14:paraId="0E1B4E3F"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17</w:t>
      </w:r>
      <w:r w:rsidRPr="006B044F">
        <w:rPr>
          <w:rFonts w:ascii="Calibri" w:hAnsi="Calibri" w:cs="Times New Roman"/>
          <w:noProof/>
          <w:sz w:val="20"/>
          <w:szCs w:val="24"/>
        </w:rPr>
        <w:tab/>
        <w:t xml:space="preserve">Angioni A, Del Real AA, Russo M, Melis M, Cabitza F, and Cabras P, Triazole fungicide degradation in peaches in the field and in model systems, Food Addit Contam </w:t>
      </w:r>
      <w:r w:rsidRPr="006B044F">
        <w:rPr>
          <w:rFonts w:ascii="Calibri" w:hAnsi="Calibri" w:cs="Times New Roman"/>
          <w:b/>
          <w:bCs/>
          <w:noProof/>
          <w:sz w:val="20"/>
          <w:szCs w:val="24"/>
        </w:rPr>
        <w:t>20</w:t>
      </w:r>
      <w:r w:rsidRPr="006B044F">
        <w:rPr>
          <w:rFonts w:ascii="Calibri" w:hAnsi="Calibri" w:cs="Times New Roman"/>
          <w:noProof/>
          <w:sz w:val="20"/>
          <w:szCs w:val="24"/>
        </w:rPr>
        <w:t>:368–374 (2003).</w:t>
      </w:r>
    </w:p>
    <w:p w14:paraId="48956DC6"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18</w:t>
      </w:r>
      <w:r w:rsidRPr="006B044F">
        <w:rPr>
          <w:rFonts w:ascii="Calibri" w:hAnsi="Calibri" w:cs="Times New Roman"/>
          <w:noProof/>
          <w:sz w:val="20"/>
          <w:szCs w:val="24"/>
        </w:rPr>
        <w:tab/>
        <w:t xml:space="preserve">Ferrer I, Garcia-Reyes JF, Mezcua M, Thurman EM, and Fernandez-Alba AR, Multi-residue pesticide analysis in fruits and vegetables by liquid chromatography-time-of-flight mass spectrometry, J Chromatogr A </w:t>
      </w:r>
      <w:r w:rsidRPr="006B044F">
        <w:rPr>
          <w:rFonts w:ascii="Calibri" w:hAnsi="Calibri" w:cs="Times New Roman"/>
          <w:b/>
          <w:bCs/>
          <w:noProof/>
          <w:sz w:val="20"/>
          <w:szCs w:val="24"/>
        </w:rPr>
        <w:t>1082</w:t>
      </w:r>
      <w:r w:rsidRPr="006B044F">
        <w:rPr>
          <w:rFonts w:ascii="Calibri" w:hAnsi="Calibri" w:cs="Times New Roman"/>
          <w:noProof/>
          <w:sz w:val="20"/>
          <w:szCs w:val="24"/>
        </w:rPr>
        <w:t>:81–90 (2005).</w:t>
      </w:r>
    </w:p>
    <w:p w14:paraId="27A12930"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19</w:t>
      </w:r>
      <w:r w:rsidRPr="006B044F">
        <w:rPr>
          <w:rFonts w:ascii="Calibri" w:hAnsi="Calibri" w:cs="Times New Roman"/>
          <w:noProof/>
          <w:sz w:val="20"/>
          <w:szCs w:val="24"/>
        </w:rPr>
        <w:tab/>
        <w:t xml:space="preserve">Rueegg J and Siegfried W, Residues of difenoconazole and penconazole on apple leaves and grass and soil in an apple orchard in north-eastern Switzerland, Crop Prot </w:t>
      </w:r>
      <w:r w:rsidRPr="006B044F">
        <w:rPr>
          <w:rFonts w:ascii="Calibri" w:hAnsi="Calibri" w:cs="Times New Roman"/>
          <w:b/>
          <w:bCs/>
          <w:noProof/>
          <w:sz w:val="20"/>
          <w:szCs w:val="24"/>
        </w:rPr>
        <w:t>15</w:t>
      </w:r>
      <w:r w:rsidRPr="006B044F">
        <w:rPr>
          <w:rFonts w:ascii="Calibri" w:hAnsi="Calibri" w:cs="Times New Roman"/>
          <w:noProof/>
          <w:sz w:val="20"/>
          <w:szCs w:val="24"/>
        </w:rPr>
        <w:t>:27–31 (1996).</w:t>
      </w:r>
    </w:p>
    <w:p w14:paraId="6CB5CB42"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20</w:t>
      </w:r>
      <w:r w:rsidRPr="006B044F">
        <w:rPr>
          <w:rFonts w:ascii="Calibri" w:hAnsi="Calibri" w:cs="Times New Roman"/>
          <w:noProof/>
          <w:sz w:val="20"/>
          <w:szCs w:val="24"/>
        </w:rPr>
        <w:tab/>
        <w:t xml:space="preserve">Li Y, Yang L, Sun H, Wang X, Song C, Zhou Y, </w:t>
      </w:r>
      <w:r w:rsidRPr="006B044F">
        <w:rPr>
          <w:rFonts w:ascii="Calibri" w:hAnsi="Calibri" w:cs="Times New Roman"/>
          <w:i/>
          <w:iCs/>
          <w:noProof/>
          <w:sz w:val="20"/>
          <w:szCs w:val="24"/>
        </w:rPr>
        <w:t>et al.</w:t>
      </w:r>
      <w:r w:rsidRPr="006B044F">
        <w:rPr>
          <w:rFonts w:ascii="Calibri" w:hAnsi="Calibri" w:cs="Times New Roman"/>
          <w:noProof/>
          <w:sz w:val="20"/>
          <w:szCs w:val="24"/>
        </w:rPr>
        <w:t xml:space="preserve">, Residues of four triazole fungicides in tobacco leaves under field condition and during curing, Int J Environ Anal Chem </w:t>
      </w:r>
      <w:r w:rsidRPr="006B044F">
        <w:rPr>
          <w:rFonts w:ascii="Calibri" w:hAnsi="Calibri" w:cs="Times New Roman"/>
          <w:b/>
          <w:bCs/>
          <w:noProof/>
          <w:sz w:val="20"/>
          <w:szCs w:val="24"/>
        </w:rPr>
        <w:t>95</w:t>
      </w:r>
      <w:r w:rsidRPr="006B044F">
        <w:rPr>
          <w:rFonts w:ascii="Calibri" w:hAnsi="Calibri" w:cs="Times New Roman"/>
          <w:noProof/>
          <w:sz w:val="20"/>
          <w:szCs w:val="24"/>
        </w:rPr>
        <w:t>:808–815 (2015).</w:t>
      </w:r>
    </w:p>
    <w:p w14:paraId="1543A55B"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21</w:t>
      </w:r>
      <w:r w:rsidRPr="006B044F">
        <w:rPr>
          <w:rFonts w:ascii="Calibri" w:hAnsi="Calibri" w:cs="Times New Roman"/>
          <w:noProof/>
          <w:sz w:val="20"/>
          <w:szCs w:val="24"/>
        </w:rPr>
        <w:tab/>
        <w:t xml:space="preserve">Sántis EL, Hernández LA, Martínez AM, Campos J, Figueroa JI, Lobit P, </w:t>
      </w:r>
      <w:r w:rsidRPr="006B044F">
        <w:rPr>
          <w:rFonts w:ascii="Calibri" w:hAnsi="Calibri" w:cs="Times New Roman"/>
          <w:i/>
          <w:iCs/>
          <w:noProof/>
          <w:sz w:val="20"/>
          <w:szCs w:val="24"/>
        </w:rPr>
        <w:t>et al.</w:t>
      </w:r>
      <w:r w:rsidRPr="006B044F">
        <w:rPr>
          <w:rFonts w:ascii="Calibri" w:hAnsi="Calibri" w:cs="Times New Roman"/>
          <w:noProof/>
          <w:sz w:val="20"/>
          <w:szCs w:val="24"/>
        </w:rPr>
        <w:t xml:space="preserve">, Long-term foliar persistence and efficacy of spinosad against beet armyworm under greenhouse conditions, Pest Manag Sci </w:t>
      </w:r>
      <w:r w:rsidRPr="006B044F">
        <w:rPr>
          <w:rFonts w:ascii="Calibri" w:hAnsi="Calibri" w:cs="Times New Roman"/>
          <w:b/>
          <w:bCs/>
          <w:noProof/>
          <w:sz w:val="20"/>
          <w:szCs w:val="24"/>
        </w:rPr>
        <w:t>68</w:t>
      </w:r>
      <w:r w:rsidRPr="006B044F">
        <w:rPr>
          <w:rFonts w:ascii="Calibri" w:hAnsi="Calibri" w:cs="Times New Roman"/>
          <w:noProof/>
          <w:sz w:val="20"/>
          <w:szCs w:val="24"/>
        </w:rPr>
        <w:t>:914–921 (2012).</w:t>
      </w:r>
    </w:p>
    <w:p w14:paraId="5F2B49A1"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22</w:t>
      </w:r>
      <w:r w:rsidRPr="006B044F">
        <w:rPr>
          <w:rFonts w:ascii="Calibri" w:hAnsi="Calibri" w:cs="Times New Roman"/>
          <w:noProof/>
          <w:sz w:val="20"/>
          <w:szCs w:val="24"/>
        </w:rPr>
        <w:tab/>
        <w:t xml:space="preserve">Annangudi SP, Myung K, Avila Adame C, and Gilbert JR, MALDI-MS imaging analysis of fungicide residue distributions on wheat leaf surfaces, Environ Sci Technol </w:t>
      </w:r>
      <w:r w:rsidRPr="006B044F">
        <w:rPr>
          <w:rFonts w:ascii="Calibri" w:hAnsi="Calibri" w:cs="Times New Roman"/>
          <w:b/>
          <w:bCs/>
          <w:noProof/>
          <w:sz w:val="20"/>
          <w:szCs w:val="24"/>
        </w:rPr>
        <w:t>49</w:t>
      </w:r>
      <w:r w:rsidRPr="006B044F">
        <w:rPr>
          <w:rFonts w:ascii="Calibri" w:hAnsi="Calibri" w:cs="Times New Roman"/>
          <w:noProof/>
          <w:sz w:val="20"/>
          <w:szCs w:val="24"/>
        </w:rPr>
        <w:t>:5579–5583 (2015).</w:t>
      </w:r>
    </w:p>
    <w:p w14:paraId="1AB4A0D3"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23</w:t>
      </w:r>
      <w:r w:rsidRPr="006B044F">
        <w:rPr>
          <w:rFonts w:ascii="Calibri" w:hAnsi="Calibri" w:cs="Times New Roman"/>
          <w:noProof/>
          <w:sz w:val="20"/>
          <w:szCs w:val="24"/>
        </w:rPr>
        <w:tab/>
        <w:t xml:space="preserve">Dong D, Zheng W, and Zhao C, Comment on “MALDI-MS Imaging Analysis of Fungicide Residue Distributions on Wheat Leaf Surfaces,” Environ Sci Technol </w:t>
      </w:r>
      <w:r w:rsidRPr="006B044F">
        <w:rPr>
          <w:rFonts w:ascii="Calibri" w:hAnsi="Calibri" w:cs="Times New Roman"/>
          <w:b/>
          <w:bCs/>
          <w:noProof/>
          <w:sz w:val="20"/>
          <w:szCs w:val="24"/>
        </w:rPr>
        <w:t>49</w:t>
      </w:r>
      <w:r w:rsidRPr="006B044F">
        <w:rPr>
          <w:rFonts w:ascii="Calibri" w:hAnsi="Calibri" w:cs="Times New Roman"/>
          <w:noProof/>
          <w:sz w:val="20"/>
          <w:szCs w:val="24"/>
        </w:rPr>
        <w:t>:10745–10746 (2015).</w:t>
      </w:r>
    </w:p>
    <w:p w14:paraId="1E8A7162"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24</w:t>
      </w:r>
      <w:r w:rsidRPr="006B044F">
        <w:rPr>
          <w:rFonts w:ascii="Calibri" w:hAnsi="Calibri" w:cs="Times New Roman"/>
          <w:noProof/>
          <w:sz w:val="20"/>
          <w:szCs w:val="24"/>
        </w:rPr>
        <w:tab/>
        <w:t xml:space="preserve">Kunimoto Y and Inoue M, Relationship between acaricide deposition index measured using water-sensitive paper and mite mortality, Japanese J Appl Entomol Zool </w:t>
      </w:r>
      <w:r w:rsidRPr="006B044F">
        <w:rPr>
          <w:rFonts w:ascii="Calibri" w:hAnsi="Calibri" w:cs="Times New Roman"/>
          <w:b/>
          <w:bCs/>
          <w:noProof/>
          <w:sz w:val="20"/>
          <w:szCs w:val="24"/>
        </w:rPr>
        <w:t>41</w:t>
      </w:r>
      <w:r w:rsidRPr="006B044F">
        <w:rPr>
          <w:rFonts w:ascii="Calibri" w:hAnsi="Calibri" w:cs="Times New Roman"/>
          <w:noProof/>
          <w:sz w:val="20"/>
          <w:szCs w:val="24"/>
        </w:rPr>
        <w:t>:51–54 (1997).</w:t>
      </w:r>
    </w:p>
    <w:p w14:paraId="402C6EF4"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25</w:t>
      </w:r>
      <w:r w:rsidRPr="006B044F">
        <w:rPr>
          <w:rFonts w:ascii="Calibri" w:hAnsi="Calibri" w:cs="Times New Roman"/>
          <w:noProof/>
          <w:sz w:val="20"/>
          <w:szCs w:val="24"/>
        </w:rPr>
        <w:tab/>
        <w:t xml:space="preserve">Martin PA, Johnson DL, Forsyth DJ, and Hill BD, Effects of two grasshopper control insecticides on food resources and reproductive success of two species of grassland songbirds, Environ Toxicol Chem </w:t>
      </w:r>
      <w:r w:rsidRPr="006B044F">
        <w:rPr>
          <w:rFonts w:ascii="Calibri" w:hAnsi="Calibri" w:cs="Times New Roman"/>
          <w:b/>
          <w:bCs/>
          <w:noProof/>
          <w:sz w:val="20"/>
          <w:szCs w:val="24"/>
        </w:rPr>
        <w:t>19</w:t>
      </w:r>
      <w:r w:rsidRPr="006B044F">
        <w:rPr>
          <w:rFonts w:ascii="Calibri" w:hAnsi="Calibri" w:cs="Times New Roman"/>
          <w:noProof/>
          <w:sz w:val="20"/>
          <w:szCs w:val="24"/>
        </w:rPr>
        <w:t>:2987–2996 (2000).</w:t>
      </w:r>
    </w:p>
    <w:p w14:paraId="03A962E2"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26</w:t>
      </w:r>
      <w:r w:rsidRPr="006B044F">
        <w:rPr>
          <w:rFonts w:ascii="Calibri" w:hAnsi="Calibri" w:cs="Times New Roman"/>
          <w:noProof/>
          <w:sz w:val="20"/>
          <w:szCs w:val="24"/>
        </w:rPr>
        <w:tab/>
        <w:t xml:space="preserve">Nansen C, Vaughn K, Xue YE, Rush C, Workneh F, Goolsby J, </w:t>
      </w:r>
      <w:r w:rsidRPr="006B044F">
        <w:rPr>
          <w:rFonts w:ascii="Calibri" w:hAnsi="Calibri" w:cs="Times New Roman"/>
          <w:i/>
          <w:iCs/>
          <w:noProof/>
          <w:sz w:val="20"/>
          <w:szCs w:val="24"/>
        </w:rPr>
        <w:t>et al.</w:t>
      </w:r>
      <w:r w:rsidRPr="006B044F">
        <w:rPr>
          <w:rFonts w:ascii="Calibri" w:hAnsi="Calibri" w:cs="Times New Roman"/>
          <w:noProof/>
          <w:sz w:val="20"/>
          <w:szCs w:val="24"/>
        </w:rPr>
        <w:t xml:space="preserve">, A Decision-Support Tool to Predict Spray Deposition of Insecticides in Commercial Potato Fields and Its Implications for Their Performance, </w:t>
      </w:r>
      <w:r w:rsidRPr="006B044F">
        <w:rPr>
          <w:rFonts w:ascii="Calibri" w:hAnsi="Calibri" w:cs="Times New Roman"/>
          <w:noProof/>
          <w:sz w:val="20"/>
          <w:szCs w:val="24"/>
        </w:rPr>
        <w:lastRenderedPageBreak/>
        <w:t xml:space="preserve">J Econ Entomol </w:t>
      </w:r>
      <w:r w:rsidRPr="006B044F">
        <w:rPr>
          <w:rFonts w:ascii="Calibri" w:hAnsi="Calibri" w:cs="Times New Roman"/>
          <w:b/>
          <w:bCs/>
          <w:noProof/>
          <w:sz w:val="20"/>
          <w:szCs w:val="24"/>
        </w:rPr>
        <w:t>104</w:t>
      </w:r>
      <w:r w:rsidRPr="006B044F">
        <w:rPr>
          <w:rFonts w:ascii="Calibri" w:hAnsi="Calibri" w:cs="Times New Roman"/>
          <w:noProof/>
          <w:sz w:val="20"/>
          <w:szCs w:val="24"/>
        </w:rPr>
        <w:t>:1138–1145 (2011).</w:t>
      </w:r>
    </w:p>
    <w:p w14:paraId="14431C38"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27</w:t>
      </w:r>
      <w:r w:rsidRPr="006B044F">
        <w:rPr>
          <w:rFonts w:ascii="Calibri" w:hAnsi="Calibri" w:cs="Times New Roman"/>
          <w:noProof/>
          <w:sz w:val="20"/>
          <w:szCs w:val="24"/>
        </w:rPr>
        <w:tab/>
        <w:t xml:space="preserve">Turner CR and Huntington KA, USE OF A WATER SENSITIVE DYE FOR DETECTION AND ASSESSMENT OF SMALL SPRAY DROPLETS, J Agric Eng Res </w:t>
      </w:r>
      <w:r w:rsidRPr="006B044F">
        <w:rPr>
          <w:rFonts w:ascii="Calibri" w:hAnsi="Calibri" w:cs="Times New Roman"/>
          <w:b/>
          <w:bCs/>
          <w:noProof/>
          <w:sz w:val="20"/>
          <w:szCs w:val="24"/>
        </w:rPr>
        <w:t>15</w:t>
      </w:r>
      <w:r w:rsidRPr="006B044F">
        <w:rPr>
          <w:rFonts w:ascii="Calibri" w:hAnsi="Calibri" w:cs="Times New Roman"/>
          <w:noProof/>
          <w:sz w:val="20"/>
          <w:szCs w:val="24"/>
        </w:rPr>
        <w:t>:385- (1970).</w:t>
      </w:r>
    </w:p>
    <w:p w14:paraId="6D9E58F2"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28</w:t>
      </w:r>
      <w:r w:rsidRPr="006B044F">
        <w:rPr>
          <w:rFonts w:ascii="Calibri" w:hAnsi="Calibri" w:cs="Times New Roman"/>
          <w:noProof/>
          <w:sz w:val="20"/>
          <w:szCs w:val="24"/>
        </w:rPr>
        <w:tab/>
        <w:t xml:space="preserve">Cunha M, Carvalho C, and Marcal ARS, Assessing the ability of image processing software to analyse spray quality on water-sensitive papers used as artificial targets, Biosyst Eng </w:t>
      </w:r>
      <w:r w:rsidRPr="006B044F">
        <w:rPr>
          <w:rFonts w:ascii="Calibri" w:hAnsi="Calibri" w:cs="Times New Roman"/>
          <w:b/>
          <w:bCs/>
          <w:noProof/>
          <w:sz w:val="20"/>
          <w:szCs w:val="24"/>
        </w:rPr>
        <w:t>111</w:t>
      </w:r>
      <w:r w:rsidRPr="006B044F">
        <w:rPr>
          <w:rFonts w:ascii="Calibri" w:hAnsi="Calibri" w:cs="Times New Roman"/>
          <w:noProof/>
          <w:sz w:val="20"/>
          <w:szCs w:val="24"/>
        </w:rPr>
        <w:t>:11–23, IAgrE (2012).</w:t>
      </w:r>
    </w:p>
    <w:p w14:paraId="6EC73C7D"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29</w:t>
      </w:r>
      <w:r w:rsidRPr="006B044F">
        <w:rPr>
          <w:rFonts w:ascii="Calibri" w:hAnsi="Calibri" w:cs="Times New Roman"/>
          <w:noProof/>
          <w:sz w:val="20"/>
          <w:szCs w:val="24"/>
        </w:rPr>
        <w:tab/>
        <w:t xml:space="preserve">Hill BD and Inaba DJ, Use of Water-Sensitive Paper to Monitor the Deposition of Aerially Applied Insecticides, J Econ Entomol </w:t>
      </w:r>
      <w:r w:rsidRPr="006B044F">
        <w:rPr>
          <w:rFonts w:ascii="Calibri" w:hAnsi="Calibri" w:cs="Times New Roman"/>
          <w:b/>
          <w:bCs/>
          <w:noProof/>
          <w:sz w:val="20"/>
          <w:szCs w:val="24"/>
        </w:rPr>
        <w:t>82</w:t>
      </w:r>
      <w:r w:rsidRPr="006B044F">
        <w:rPr>
          <w:rFonts w:ascii="Calibri" w:hAnsi="Calibri" w:cs="Times New Roman"/>
          <w:noProof/>
          <w:sz w:val="20"/>
          <w:szCs w:val="24"/>
        </w:rPr>
        <w:t>:974–980, Oxford University Press (1989).</w:t>
      </w:r>
    </w:p>
    <w:p w14:paraId="6C687BEC"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30</w:t>
      </w:r>
      <w:r w:rsidRPr="006B044F">
        <w:rPr>
          <w:rFonts w:ascii="Calibri" w:hAnsi="Calibri" w:cs="Times New Roman"/>
          <w:noProof/>
          <w:sz w:val="20"/>
          <w:szCs w:val="24"/>
        </w:rPr>
        <w:tab/>
        <w:t xml:space="preserve">Chaim A, Pessoa M, Neto JC, and Hermes LC, Comparison of microscopic method and computational program for pesticide deposition evaluation of spraying, Pesqui Agropecu Bras </w:t>
      </w:r>
      <w:r w:rsidRPr="006B044F">
        <w:rPr>
          <w:rFonts w:ascii="Calibri" w:hAnsi="Calibri" w:cs="Times New Roman"/>
          <w:b/>
          <w:bCs/>
          <w:noProof/>
          <w:sz w:val="20"/>
          <w:szCs w:val="24"/>
        </w:rPr>
        <w:t>37</w:t>
      </w:r>
      <w:r w:rsidRPr="006B044F">
        <w:rPr>
          <w:rFonts w:ascii="Calibri" w:hAnsi="Calibri" w:cs="Times New Roman"/>
          <w:noProof/>
          <w:sz w:val="20"/>
          <w:szCs w:val="24"/>
        </w:rPr>
        <w:t>:493–496 (2002).</w:t>
      </w:r>
    </w:p>
    <w:p w14:paraId="7F66F7F4"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31</w:t>
      </w:r>
      <w:r w:rsidRPr="006B044F">
        <w:rPr>
          <w:rFonts w:ascii="Calibri" w:hAnsi="Calibri" w:cs="Times New Roman"/>
          <w:noProof/>
          <w:sz w:val="20"/>
          <w:szCs w:val="24"/>
        </w:rPr>
        <w:tab/>
        <w:t xml:space="preserve">Salyani M and Fox RD, Performance of image analysis for assessment of simulated spray droplet distribution, Asae </w:t>
      </w:r>
      <w:r w:rsidRPr="006B044F">
        <w:rPr>
          <w:rFonts w:ascii="Calibri" w:hAnsi="Calibri" w:cs="Times New Roman"/>
          <w:b/>
          <w:bCs/>
          <w:noProof/>
          <w:sz w:val="20"/>
          <w:szCs w:val="24"/>
        </w:rPr>
        <w:t>37</w:t>
      </w:r>
      <w:r w:rsidRPr="006B044F">
        <w:rPr>
          <w:rFonts w:ascii="Calibri" w:hAnsi="Calibri" w:cs="Times New Roman"/>
          <w:noProof/>
          <w:sz w:val="20"/>
          <w:szCs w:val="24"/>
        </w:rPr>
        <w:t>:1083–1089 (1994).</w:t>
      </w:r>
    </w:p>
    <w:p w14:paraId="2C434926"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32</w:t>
      </w:r>
      <w:r w:rsidRPr="006B044F">
        <w:rPr>
          <w:rFonts w:ascii="Calibri" w:hAnsi="Calibri" w:cs="Times New Roman"/>
          <w:noProof/>
          <w:sz w:val="20"/>
          <w:szCs w:val="24"/>
        </w:rPr>
        <w:tab/>
        <w:t xml:space="preserve">Panneton B, Image analysis of water-sensitive cards for spray coverage experiments, Appl Eng Agric </w:t>
      </w:r>
      <w:r w:rsidRPr="006B044F">
        <w:rPr>
          <w:rFonts w:ascii="Calibri" w:hAnsi="Calibri" w:cs="Times New Roman"/>
          <w:b/>
          <w:bCs/>
          <w:noProof/>
          <w:sz w:val="20"/>
          <w:szCs w:val="24"/>
        </w:rPr>
        <w:t>18</w:t>
      </w:r>
      <w:r w:rsidRPr="006B044F">
        <w:rPr>
          <w:rFonts w:ascii="Calibri" w:hAnsi="Calibri" w:cs="Times New Roman"/>
          <w:noProof/>
          <w:sz w:val="20"/>
          <w:szCs w:val="24"/>
        </w:rPr>
        <w:t>:179–182 (2002).</w:t>
      </w:r>
    </w:p>
    <w:p w14:paraId="2C59F3DF"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33</w:t>
      </w:r>
      <w:r w:rsidRPr="006B044F">
        <w:rPr>
          <w:rFonts w:ascii="Calibri" w:hAnsi="Calibri" w:cs="Times New Roman"/>
          <w:noProof/>
          <w:sz w:val="20"/>
          <w:szCs w:val="24"/>
        </w:rPr>
        <w:tab/>
        <w:t xml:space="preserve">Wolf RE, Assessing the ability of DropletScan (TM) to analyze spray droplets from a ground operated sprayer, Appl Eng Agric </w:t>
      </w:r>
      <w:r w:rsidRPr="006B044F">
        <w:rPr>
          <w:rFonts w:ascii="Calibri" w:hAnsi="Calibri" w:cs="Times New Roman"/>
          <w:b/>
          <w:bCs/>
          <w:noProof/>
          <w:sz w:val="20"/>
          <w:szCs w:val="24"/>
        </w:rPr>
        <w:t>19</w:t>
      </w:r>
      <w:r w:rsidRPr="006B044F">
        <w:rPr>
          <w:rFonts w:ascii="Calibri" w:hAnsi="Calibri" w:cs="Times New Roman"/>
          <w:noProof/>
          <w:sz w:val="20"/>
          <w:szCs w:val="24"/>
        </w:rPr>
        <w:t>:525–530 (2003).</w:t>
      </w:r>
    </w:p>
    <w:p w14:paraId="11ED8D47"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34</w:t>
      </w:r>
      <w:r w:rsidRPr="006B044F">
        <w:rPr>
          <w:rFonts w:ascii="Calibri" w:hAnsi="Calibri" w:cs="Times New Roman"/>
          <w:noProof/>
          <w:sz w:val="20"/>
          <w:szCs w:val="24"/>
        </w:rPr>
        <w:tab/>
        <w:t xml:space="preserve">Zhu H, Salyani M, and Fox RD, A portable scanning system for evaluation of spray deposit distribution, Comput Electron Agric </w:t>
      </w:r>
      <w:r w:rsidRPr="006B044F">
        <w:rPr>
          <w:rFonts w:ascii="Calibri" w:hAnsi="Calibri" w:cs="Times New Roman"/>
          <w:b/>
          <w:bCs/>
          <w:noProof/>
          <w:sz w:val="20"/>
          <w:szCs w:val="24"/>
        </w:rPr>
        <w:t>76</w:t>
      </w:r>
      <w:r w:rsidRPr="006B044F">
        <w:rPr>
          <w:rFonts w:ascii="Calibri" w:hAnsi="Calibri" w:cs="Times New Roman"/>
          <w:noProof/>
          <w:sz w:val="20"/>
          <w:szCs w:val="24"/>
        </w:rPr>
        <w:t>:38–43, Elsevier B.V. (2011).</w:t>
      </w:r>
    </w:p>
    <w:p w14:paraId="61519969"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35</w:t>
      </w:r>
      <w:r w:rsidRPr="006B044F">
        <w:rPr>
          <w:rFonts w:ascii="Calibri" w:hAnsi="Calibri" w:cs="Times New Roman"/>
          <w:noProof/>
          <w:sz w:val="20"/>
          <w:szCs w:val="24"/>
        </w:rPr>
        <w:tab/>
        <w:t xml:space="preserve">Nansen C, Ferguson JC, Moore J, Groves L, Emery R, Garel N, </w:t>
      </w:r>
      <w:r w:rsidRPr="006B044F">
        <w:rPr>
          <w:rFonts w:ascii="Calibri" w:hAnsi="Calibri" w:cs="Times New Roman"/>
          <w:i/>
          <w:iCs/>
          <w:noProof/>
          <w:sz w:val="20"/>
          <w:szCs w:val="24"/>
        </w:rPr>
        <w:t>et al.</w:t>
      </w:r>
      <w:r w:rsidRPr="006B044F">
        <w:rPr>
          <w:rFonts w:ascii="Calibri" w:hAnsi="Calibri" w:cs="Times New Roman"/>
          <w:noProof/>
          <w:sz w:val="20"/>
          <w:szCs w:val="24"/>
        </w:rPr>
        <w:t xml:space="preserve">, Optimizing pesticide spray coverage using a novel web and smartphone tool, SnapCard, Agron Sustain Dev </w:t>
      </w:r>
      <w:r w:rsidRPr="006B044F">
        <w:rPr>
          <w:rFonts w:ascii="Calibri" w:hAnsi="Calibri" w:cs="Times New Roman"/>
          <w:b/>
          <w:bCs/>
          <w:noProof/>
          <w:sz w:val="20"/>
          <w:szCs w:val="24"/>
        </w:rPr>
        <w:t>35</w:t>
      </w:r>
      <w:r w:rsidRPr="006B044F">
        <w:rPr>
          <w:rFonts w:ascii="Calibri" w:hAnsi="Calibri" w:cs="Times New Roman"/>
          <w:noProof/>
          <w:sz w:val="20"/>
          <w:szCs w:val="24"/>
        </w:rPr>
        <w:t>:1075–1085 (2015).</w:t>
      </w:r>
    </w:p>
    <w:p w14:paraId="127728F7"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36</w:t>
      </w:r>
      <w:r w:rsidRPr="006B044F">
        <w:rPr>
          <w:rFonts w:ascii="Calibri" w:hAnsi="Calibri" w:cs="Times New Roman"/>
          <w:noProof/>
          <w:sz w:val="20"/>
          <w:szCs w:val="24"/>
        </w:rPr>
        <w:tab/>
        <w:t xml:space="preserve">Cunha J, Farnese AC, and Olivet JJ, COMPUTER PROGRAMS FOR ANALYSIS OF DROPLETS SPRAYED ON WATER SENSITIVE PAPERS, Planta Daninha </w:t>
      </w:r>
      <w:r w:rsidRPr="006B044F">
        <w:rPr>
          <w:rFonts w:ascii="Calibri" w:hAnsi="Calibri" w:cs="Times New Roman"/>
          <w:b/>
          <w:bCs/>
          <w:noProof/>
          <w:sz w:val="20"/>
          <w:szCs w:val="24"/>
        </w:rPr>
        <w:t>31</w:t>
      </w:r>
      <w:r w:rsidRPr="006B044F">
        <w:rPr>
          <w:rFonts w:ascii="Calibri" w:hAnsi="Calibri" w:cs="Times New Roman"/>
          <w:noProof/>
          <w:sz w:val="20"/>
          <w:szCs w:val="24"/>
        </w:rPr>
        <w:t>:715–720 (2013).</w:t>
      </w:r>
    </w:p>
    <w:p w14:paraId="006B3AB7"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37</w:t>
      </w:r>
      <w:r w:rsidRPr="006B044F">
        <w:rPr>
          <w:rFonts w:ascii="Calibri" w:hAnsi="Calibri" w:cs="Times New Roman"/>
          <w:noProof/>
          <w:sz w:val="20"/>
          <w:szCs w:val="24"/>
        </w:rPr>
        <w:tab/>
        <w:t xml:space="preserve">Hoffmann WC and Hewitt AJ, Comparison of three imaging systems for water-sensitive papers, Appl Eng Agric </w:t>
      </w:r>
      <w:r w:rsidRPr="006B044F">
        <w:rPr>
          <w:rFonts w:ascii="Calibri" w:hAnsi="Calibri" w:cs="Times New Roman"/>
          <w:b/>
          <w:bCs/>
          <w:noProof/>
          <w:sz w:val="20"/>
          <w:szCs w:val="24"/>
        </w:rPr>
        <w:t>21</w:t>
      </w:r>
      <w:r w:rsidRPr="006B044F">
        <w:rPr>
          <w:rFonts w:ascii="Calibri" w:hAnsi="Calibri" w:cs="Times New Roman"/>
          <w:noProof/>
          <w:sz w:val="20"/>
          <w:szCs w:val="24"/>
        </w:rPr>
        <w:t>:961–964 (2005).</w:t>
      </w:r>
    </w:p>
    <w:p w14:paraId="2CB82DB0"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38</w:t>
      </w:r>
      <w:r w:rsidRPr="006B044F">
        <w:rPr>
          <w:rFonts w:ascii="Calibri" w:hAnsi="Calibri" w:cs="Times New Roman"/>
          <w:noProof/>
          <w:sz w:val="20"/>
          <w:szCs w:val="24"/>
        </w:rPr>
        <w:tab/>
        <w:t xml:space="preserve">Chaim A, Maia AHN, and Pessoa M, Estimates of pesticide deposition by droplet size analysis, Pesqui Agropecu Bras </w:t>
      </w:r>
      <w:r w:rsidRPr="006B044F">
        <w:rPr>
          <w:rFonts w:ascii="Calibri" w:hAnsi="Calibri" w:cs="Times New Roman"/>
          <w:b/>
          <w:bCs/>
          <w:noProof/>
          <w:sz w:val="20"/>
          <w:szCs w:val="24"/>
        </w:rPr>
        <w:t>34</w:t>
      </w:r>
      <w:r w:rsidRPr="006B044F">
        <w:rPr>
          <w:rFonts w:ascii="Calibri" w:hAnsi="Calibri" w:cs="Times New Roman"/>
          <w:noProof/>
          <w:sz w:val="20"/>
          <w:szCs w:val="24"/>
        </w:rPr>
        <w:t>:963–969 (1999).</w:t>
      </w:r>
    </w:p>
    <w:p w14:paraId="30BD7D0D"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39</w:t>
      </w:r>
      <w:r w:rsidRPr="006B044F">
        <w:rPr>
          <w:rFonts w:ascii="Calibri" w:hAnsi="Calibri" w:cs="Times New Roman"/>
          <w:noProof/>
          <w:sz w:val="20"/>
          <w:szCs w:val="24"/>
        </w:rPr>
        <w:tab/>
        <w:t xml:space="preserve">Zhu HP, Salyani M, and Fox RD, A portable scanning system for evaluation of spray deposit distribution, Comput Electron Agric </w:t>
      </w:r>
      <w:r w:rsidRPr="006B044F">
        <w:rPr>
          <w:rFonts w:ascii="Calibri" w:hAnsi="Calibri" w:cs="Times New Roman"/>
          <w:b/>
          <w:bCs/>
          <w:noProof/>
          <w:sz w:val="20"/>
          <w:szCs w:val="24"/>
        </w:rPr>
        <w:t>76</w:t>
      </w:r>
      <w:r w:rsidRPr="006B044F">
        <w:rPr>
          <w:rFonts w:ascii="Calibri" w:hAnsi="Calibri" w:cs="Times New Roman"/>
          <w:noProof/>
          <w:sz w:val="20"/>
          <w:szCs w:val="24"/>
        </w:rPr>
        <w:t>:38–43 (2011).</w:t>
      </w:r>
    </w:p>
    <w:p w14:paraId="70731EF8"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40</w:t>
      </w:r>
      <w:r w:rsidRPr="006B044F">
        <w:rPr>
          <w:rFonts w:ascii="Calibri" w:hAnsi="Calibri" w:cs="Times New Roman"/>
          <w:noProof/>
          <w:sz w:val="20"/>
          <w:szCs w:val="24"/>
        </w:rPr>
        <w:tab/>
        <w:t xml:space="preserve">Hall FR, Downer RA, Cooper JA, Ebert TA, and Ferree DC, Changes in spray retention by apple leaves during a growing season, Hortscience </w:t>
      </w:r>
      <w:r w:rsidRPr="006B044F">
        <w:rPr>
          <w:rFonts w:ascii="Calibri" w:hAnsi="Calibri" w:cs="Times New Roman"/>
          <w:b/>
          <w:bCs/>
          <w:noProof/>
          <w:sz w:val="20"/>
          <w:szCs w:val="24"/>
        </w:rPr>
        <w:t>32</w:t>
      </w:r>
      <w:r w:rsidRPr="006B044F">
        <w:rPr>
          <w:rFonts w:ascii="Calibri" w:hAnsi="Calibri" w:cs="Times New Roman"/>
          <w:noProof/>
          <w:sz w:val="20"/>
          <w:szCs w:val="24"/>
        </w:rPr>
        <w:t>:858–860 (1997).</w:t>
      </w:r>
    </w:p>
    <w:p w14:paraId="0B77FDFB"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41</w:t>
      </w:r>
      <w:r w:rsidRPr="006B044F">
        <w:rPr>
          <w:rFonts w:ascii="Calibri" w:hAnsi="Calibri" w:cs="Times New Roman"/>
          <w:noProof/>
          <w:sz w:val="20"/>
          <w:szCs w:val="24"/>
        </w:rPr>
        <w:tab/>
        <w:t xml:space="preserve">Xu XM, Murray RA, Salazar JD, and Hyder K, The effects of temperature, humidity and rainfall on captan decline on apple leaves and fruit in controlled environment conditions, Pest Manag Sci </w:t>
      </w:r>
      <w:r w:rsidRPr="006B044F">
        <w:rPr>
          <w:rFonts w:ascii="Calibri" w:hAnsi="Calibri" w:cs="Times New Roman"/>
          <w:b/>
          <w:bCs/>
          <w:noProof/>
          <w:sz w:val="20"/>
          <w:szCs w:val="24"/>
        </w:rPr>
        <w:t>64</w:t>
      </w:r>
      <w:r w:rsidRPr="006B044F">
        <w:rPr>
          <w:rFonts w:ascii="Calibri" w:hAnsi="Calibri" w:cs="Times New Roman"/>
          <w:noProof/>
          <w:sz w:val="20"/>
          <w:szCs w:val="24"/>
        </w:rPr>
        <w:t>:296–307 (2008).</w:t>
      </w:r>
    </w:p>
    <w:p w14:paraId="15573504"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42</w:t>
      </w:r>
      <w:r w:rsidRPr="006B044F">
        <w:rPr>
          <w:rFonts w:ascii="Calibri" w:hAnsi="Calibri" w:cs="Times New Roman"/>
          <w:noProof/>
          <w:sz w:val="20"/>
          <w:szCs w:val="24"/>
        </w:rPr>
        <w:tab/>
        <w:t xml:space="preserve">Meier U, Graf M, Hess W, Kennel W, Klose R, Mappes D, </w:t>
      </w:r>
      <w:r w:rsidRPr="006B044F">
        <w:rPr>
          <w:rFonts w:ascii="Calibri" w:hAnsi="Calibri" w:cs="Times New Roman"/>
          <w:i/>
          <w:iCs/>
          <w:noProof/>
          <w:sz w:val="20"/>
          <w:szCs w:val="24"/>
        </w:rPr>
        <w:t>et al.</w:t>
      </w:r>
      <w:r w:rsidRPr="006B044F">
        <w:rPr>
          <w:rFonts w:ascii="Calibri" w:hAnsi="Calibri" w:cs="Times New Roman"/>
          <w:noProof/>
          <w:sz w:val="20"/>
          <w:szCs w:val="24"/>
        </w:rPr>
        <w:t xml:space="preserve">, Phänologische Entwicklungsstadien des </w:t>
      </w:r>
      <w:r w:rsidRPr="006B044F">
        <w:rPr>
          <w:rFonts w:ascii="Calibri" w:hAnsi="Calibri" w:cs="Times New Roman"/>
          <w:noProof/>
          <w:sz w:val="20"/>
          <w:szCs w:val="24"/>
        </w:rPr>
        <w:lastRenderedPageBreak/>
        <w:t xml:space="preserve">Kernobstes (Malus domestica Borkh. und Pyrus communis L.), des Steinobstes (Prunus-Arten), der Johannisbeere (Ribes-Arten) und der Erdbeere (Fragaria x ananassa Duch.), Nachrichtenblatt des Dtsch Pflanzenschutzdienstes </w:t>
      </w:r>
      <w:r w:rsidRPr="006B044F">
        <w:rPr>
          <w:rFonts w:ascii="Calibri" w:hAnsi="Calibri" w:cs="Times New Roman"/>
          <w:b/>
          <w:bCs/>
          <w:noProof/>
          <w:sz w:val="20"/>
          <w:szCs w:val="24"/>
        </w:rPr>
        <w:t>46</w:t>
      </w:r>
      <w:r w:rsidRPr="006B044F">
        <w:rPr>
          <w:rFonts w:ascii="Calibri" w:hAnsi="Calibri" w:cs="Times New Roman"/>
          <w:noProof/>
          <w:sz w:val="20"/>
          <w:szCs w:val="24"/>
        </w:rPr>
        <w:t>:141–153, E. Ulmer (1994).</w:t>
      </w:r>
    </w:p>
    <w:p w14:paraId="4D99A216"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43</w:t>
      </w:r>
      <w:r w:rsidRPr="006B044F">
        <w:rPr>
          <w:rFonts w:ascii="Calibri" w:hAnsi="Calibri" w:cs="Times New Roman"/>
          <w:noProof/>
          <w:sz w:val="20"/>
          <w:szCs w:val="24"/>
        </w:rPr>
        <w:tab/>
        <w:t>European Chemicals Agency, (2010).</w:t>
      </w:r>
    </w:p>
    <w:p w14:paraId="19EBF259"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44</w:t>
      </w:r>
      <w:r w:rsidRPr="006B044F">
        <w:rPr>
          <w:rFonts w:ascii="Calibri" w:hAnsi="Calibri" w:cs="Times New Roman"/>
          <w:noProof/>
          <w:sz w:val="20"/>
          <w:szCs w:val="24"/>
        </w:rPr>
        <w:tab/>
        <w:t xml:space="preserve">Xu X, Wu P, Thorbek P, and Hyder K, Variability in initial spray deposit in apple trees in space and time, Pest Manag Sci </w:t>
      </w:r>
      <w:r w:rsidRPr="006B044F">
        <w:rPr>
          <w:rFonts w:ascii="Calibri" w:hAnsi="Calibri" w:cs="Times New Roman"/>
          <w:b/>
          <w:bCs/>
          <w:noProof/>
          <w:sz w:val="20"/>
          <w:szCs w:val="24"/>
        </w:rPr>
        <w:t>62</w:t>
      </w:r>
      <w:r w:rsidRPr="006B044F">
        <w:rPr>
          <w:rFonts w:ascii="Calibri" w:hAnsi="Calibri" w:cs="Times New Roman"/>
          <w:noProof/>
          <w:sz w:val="20"/>
          <w:szCs w:val="24"/>
        </w:rPr>
        <w:t>:947–956 (2006).</w:t>
      </w:r>
    </w:p>
    <w:p w14:paraId="0BBCF755"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45</w:t>
      </w:r>
      <w:r w:rsidRPr="006B044F">
        <w:rPr>
          <w:rFonts w:ascii="Calibri" w:hAnsi="Calibri" w:cs="Times New Roman"/>
          <w:noProof/>
          <w:sz w:val="20"/>
          <w:szCs w:val="24"/>
        </w:rPr>
        <w:tab/>
        <w:t xml:space="preserve">González-Rodríguez RM, Rial-Otero R, Cancho-Grande B, and Simal-Gándara J, Determination of 23 pesticide residues in leafy vegetables using gas chromatography-ion trap mass spectrometry and analyte protectants, J Chromatogr A </w:t>
      </w:r>
      <w:r w:rsidRPr="006B044F">
        <w:rPr>
          <w:rFonts w:ascii="Calibri" w:hAnsi="Calibri" w:cs="Times New Roman"/>
          <w:b/>
          <w:bCs/>
          <w:noProof/>
          <w:sz w:val="20"/>
          <w:szCs w:val="24"/>
        </w:rPr>
        <w:t>1196</w:t>
      </w:r>
      <w:r w:rsidRPr="006B044F">
        <w:rPr>
          <w:rFonts w:ascii="Calibri" w:hAnsi="Calibri" w:cs="Times New Roman"/>
          <w:noProof/>
          <w:sz w:val="20"/>
          <w:szCs w:val="24"/>
        </w:rPr>
        <w:t>–</w:t>
      </w:r>
      <w:r w:rsidRPr="006B044F">
        <w:rPr>
          <w:rFonts w:ascii="Calibri" w:hAnsi="Calibri" w:cs="Times New Roman"/>
          <w:b/>
          <w:bCs/>
          <w:noProof/>
          <w:sz w:val="20"/>
          <w:szCs w:val="24"/>
        </w:rPr>
        <w:t>1197</w:t>
      </w:r>
      <w:r w:rsidRPr="006B044F">
        <w:rPr>
          <w:rFonts w:ascii="Calibri" w:hAnsi="Calibri" w:cs="Times New Roman"/>
          <w:noProof/>
          <w:sz w:val="20"/>
          <w:szCs w:val="24"/>
        </w:rPr>
        <w:t>:100–109 (2008).</w:t>
      </w:r>
    </w:p>
    <w:p w14:paraId="6B6937CA"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46</w:t>
      </w:r>
      <w:r w:rsidRPr="006B044F">
        <w:rPr>
          <w:rFonts w:ascii="Calibri" w:hAnsi="Calibri" w:cs="Times New Roman"/>
          <w:noProof/>
          <w:sz w:val="20"/>
          <w:szCs w:val="24"/>
        </w:rPr>
        <w:tab/>
        <w:t xml:space="preserve">EU, Commission Directive 96/46/EC of 16 July 1996 amending Council Directive 91/414/EEC concerning the placing of plant protection products on the market, Off J Eur Union </w:t>
      </w:r>
      <w:r w:rsidRPr="006B044F">
        <w:rPr>
          <w:rFonts w:ascii="Calibri" w:hAnsi="Calibri" w:cs="Times New Roman"/>
          <w:b/>
          <w:bCs/>
          <w:noProof/>
          <w:sz w:val="20"/>
          <w:szCs w:val="24"/>
        </w:rPr>
        <w:t>214</w:t>
      </w:r>
      <w:r w:rsidRPr="006B044F">
        <w:rPr>
          <w:rFonts w:ascii="Calibri" w:hAnsi="Calibri" w:cs="Times New Roman"/>
          <w:noProof/>
          <w:sz w:val="20"/>
          <w:szCs w:val="24"/>
        </w:rPr>
        <w:t xml:space="preserve"> (1996).</w:t>
      </w:r>
    </w:p>
    <w:p w14:paraId="3E8E3E43"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47</w:t>
      </w:r>
      <w:r w:rsidRPr="006B044F">
        <w:rPr>
          <w:rFonts w:ascii="Calibri" w:hAnsi="Calibri" w:cs="Times New Roman"/>
          <w:noProof/>
          <w:sz w:val="20"/>
          <w:szCs w:val="24"/>
        </w:rPr>
        <w:tab/>
        <w:t xml:space="preserve">Vial J and Jardy A, Experimental comparison of the different approaches to estimate LOD and LOQ of an HPLC method, Anal Chem </w:t>
      </w:r>
      <w:r w:rsidRPr="006B044F">
        <w:rPr>
          <w:rFonts w:ascii="Calibri" w:hAnsi="Calibri" w:cs="Times New Roman"/>
          <w:b/>
          <w:bCs/>
          <w:noProof/>
          <w:sz w:val="20"/>
          <w:szCs w:val="24"/>
        </w:rPr>
        <w:t>71</w:t>
      </w:r>
      <w:r w:rsidRPr="006B044F">
        <w:rPr>
          <w:rFonts w:ascii="Calibri" w:hAnsi="Calibri" w:cs="Times New Roman"/>
          <w:noProof/>
          <w:sz w:val="20"/>
          <w:szCs w:val="24"/>
        </w:rPr>
        <w:t>:2672–2677 (1999).</w:t>
      </w:r>
    </w:p>
    <w:p w14:paraId="71F7702C"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48</w:t>
      </w:r>
      <w:r w:rsidRPr="006B044F">
        <w:rPr>
          <w:rFonts w:ascii="Calibri" w:hAnsi="Calibri" w:cs="Times New Roman"/>
          <w:noProof/>
          <w:sz w:val="20"/>
          <w:szCs w:val="24"/>
        </w:rPr>
        <w:tab/>
        <w:t xml:space="preserve">Garcera C, Molto E, and Chueca P, Development of models to predict product deposition from coverage obtained on artificial collectors and their practical applications, Spanish J Agric Res </w:t>
      </w:r>
      <w:r w:rsidRPr="006B044F">
        <w:rPr>
          <w:rFonts w:ascii="Calibri" w:hAnsi="Calibri" w:cs="Times New Roman"/>
          <w:b/>
          <w:bCs/>
          <w:noProof/>
          <w:sz w:val="20"/>
          <w:szCs w:val="24"/>
        </w:rPr>
        <w:t>12</w:t>
      </w:r>
      <w:r w:rsidRPr="006B044F">
        <w:rPr>
          <w:rFonts w:ascii="Calibri" w:hAnsi="Calibri" w:cs="Times New Roman"/>
          <w:noProof/>
          <w:sz w:val="20"/>
          <w:szCs w:val="24"/>
        </w:rPr>
        <w:t>:594–602 (2014).</w:t>
      </w:r>
    </w:p>
    <w:p w14:paraId="3C972E0A"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49</w:t>
      </w:r>
      <w:r w:rsidRPr="006B044F">
        <w:rPr>
          <w:rFonts w:ascii="Calibri" w:hAnsi="Calibri" w:cs="Times New Roman"/>
          <w:noProof/>
          <w:sz w:val="20"/>
          <w:szCs w:val="24"/>
        </w:rPr>
        <w:tab/>
        <w:t>Syngenta, Water-sensitive paper for monitoring spray distributions., ed. by AG SCP, Basel (2002).</w:t>
      </w:r>
    </w:p>
    <w:p w14:paraId="0ECDF866"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50</w:t>
      </w:r>
      <w:r w:rsidRPr="006B044F">
        <w:rPr>
          <w:rFonts w:ascii="Calibri" w:hAnsi="Calibri" w:cs="Times New Roman"/>
          <w:noProof/>
          <w:sz w:val="20"/>
          <w:szCs w:val="24"/>
        </w:rPr>
        <w:tab/>
        <w:t>D’Agostino J, Tests for the Normal Distribution, ed. by D’Aagostino J and Stephens MA, Goodness-of-Fit Techniques, Dekker, New York, USA (1986).</w:t>
      </w:r>
    </w:p>
    <w:p w14:paraId="0EBF0E77"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51</w:t>
      </w:r>
      <w:r w:rsidRPr="006B044F">
        <w:rPr>
          <w:rFonts w:ascii="Calibri" w:hAnsi="Calibri" w:cs="Times New Roman"/>
          <w:noProof/>
          <w:sz w:val="20"/>
          <w:szCs w:val="24"/>
        </w:rPr>
        <w:tab/>
        <w:t xml:space="preserve">Brown MB and Forsythe AB, Robust Tests for the Equality of Variances, J Am Stat Assoc </w:t>
      </w:r>
      <w:r w:rsidRPr="006B044F">
        <w:rPr>
          <w:rFonts w:ascii="Calibri" w:hAnsi="Calibri" w:cs="Times New Roman"/>
          <w:b/>
          <w:bCs/>
          <w:noProof/>
          <w:sz w:val="20"/>
          <w:szCs w:val="24"/>
        </w:rPr>
        <w:t>69</w:t>
      </w:r>
      <w:r w:rsidRPr="006B044F">
        <w:rPr>
          <w:rFonts w:ascii="Calibri" w:hAnsi="Calibri" w:cs="Times New Roman"/>
          <w:noProof/>
          <w:sz w:val="20"/>
          <w:szCs w:val="24"/>
        </w:rPr>
        <w:t>:364–367 (1974).</w:t>
      </w:r>
    </w:p>
    <w:p w14:paraId="529AA18D" w14:textId="77777777" w:rsidR="00DA34D0" w:rsidRPr="006B044F" w:rsidRDefault="00DA34D0" w:rsidP="00DA34D0">
      <w:pPr>
        <w:widowControl w:val="0"/>
        <w:autoSpaceDE w:val="0"/>
        <w:autoSpaceDN w:val="0"/>
        <w:adjustRightInd w:val="0"/>
        <w:ind w:left="640" w:hanging="640"/>
        <w:rPr>
          <w:rFonts w:ascii="Calibri" w:hAnsi="Calibri" w:cs="Times New Roman"/>
          <w:noProof/>
          <w:sz w:val="20"/>
          <w:szCs w:val="24"/>
        </w:rPr>
      </w:pPr>
      <w:r w:rsidRPr="006B044F">
        <w:rPr>
          <w:rFonts w:ascii="Calibri" w:hAnsi="Calibri" w:cs="Times New Roman"/>
          <w:noProof/>
          <w:sz w:val="20"/>
          <w:szCs w:val="24"/>
        </w:rPr>
        <w:t>52</w:t>
      </w:r>
      <w:r w:rsidRPr="006B044F">
        <w:rPr>
          <w:rFonts w:ascii="Calibri" w:hAnsi="Calibri" w:cs="Times New Roman"/>
          <w:noProof/>
          <w:sz w:val="20"/>
          <w:szCs w:val="24"/>
        </w:rPr>
        <w:tab/>
        <w:t xml:space="preserve">Ruxton GD, The unequal variance t-test is an underused alternative to Student’s t-test and the Mann-Whitney U test, Behav Ecol </w:t>
      </w:r>
      <w:r w:rsidRPr="006B044F">
        <w:rPr>
          <w:rFonts w:ascii="Calibri" w:hAnsi="Calibri" w:cs="Times New Roman"/>
          <w:b/>
          <w:bCs/>
          <w:noProof/>
          <w:sz w:val="20"/>
          <w:szCs w:val="24"/>
        </w:rPr>
        <w:t>17</w:t>
      </w:r>
      <w:r w:rsidRPr="006B044F">
        <w:rPr>
          <w:rFonts w:ascii="Calibri" w:hAnsi="Calibri" w:cs="Times New Roman"/>
          <w:noProof/>
          <w:sz w:val="20"/>
          <w:szCs w:val="24"/>
        </w:rPr>
        <w:t>:688–690 (2006).</w:t>
      </w:r>
    </w:p>
    <w:p w14:paraId="11349284" w14:textId="77777777" w:rsidR="00DA34D0" w:rsidRPr="006B044F" w:rsidRDefault="00DA34D0" w:rsidP="00DA34D0">
      <w:pPr>
        <w:widowControl w:val="0"/>
        <w:autoSpaceDE w:val="0"/>
        <w:autoSpaceDN w:val="0"/>
        <w:adjustRightInd w:val="0"/>
        <w:ind w:left="640" w:hanging="640"/>
        <w:rPr>
          <w:rFonts w:ascii="Calibri" w:hAnsi="Calibri"/>
          <w:noProof/>
          <w:sz w:val="20"/>
        </w:rPr>
      </w:pPr>
      <w:r w:rsidRPr="006B044F">
        <w:rPr>
          <w:rFonts w:ascii="Calibri" w:hAnsi="Calibri" w:cs="Times New Roman"/>
          <w:noProof/>
          <w:sz w:val="20"/>
          <w:szCs w:val="24"/>
        </w:rPr>
        <w:t>53</w:t>
      </w:r>
      <w:r w:rsidRPr="006B044F">
        <w:rPr>
          <w:rFonts w:ascii="Calibri" w:hAnsi="Calibri" w:cs="Times New Roman"/>
          <w:noProof/>
          <w:sz w:val="20"/>
          <w:szCs w:val="24"/>
        </w:rPr>
        <w:tab/>
        <w:t xml:space="preserve">Cross J V, Walklate PJ, Murray RA, and Richardson GM, Spray deposits and losses in different sized apple trees from an axial fan orchard sprayer : 2. Effects of spray quality, Crop Prot </w:t>
      </w:r>
      <w:r w:rsidRPr="006B044F">
        <w:rPr>
          <w:rFonts w:ascii="Calibri" w:hAnsi="Calibri" w:cs="Times New Roman"/>
          <w:b/>
          <w:bCs/>
          <w:noProof/>
          <w:sz w:val="20"/>
          <w:szCs w:val="24"/>
        </w:rPr>
        <w:t>20</w:t>
      </w:r>
      <w:r w:rsidRPr="006B044F">
        <w:rPr>
          <w:rFonts w:ascii="Calibri" w:hAnsi="Calibri" w:cs="Times New Roman"/>
          <w:noProof/>
          <w:sz w:val="20"/>
          <w:szCs w:val="24"/>
        </w:rPr>
        <w:t>:333–343 (2001).</w:t>
      </w:r>
    </w:p>
    <w:p w14:paraId="1EB0B9D8" w14:textId="77777777" w:rsidR="00DD2B7D" w:rsidRPr="006B044F" w:rsidRDefault="00906388" w:rsidP="00C65E67">
      <w:r w:rsidRPr="00C73D75">
        <w:rPr>
          <w:sz w:val="20"/>
          <w:szCs w:val="20"/>
        </w:rPr>
        <w:fldChar w:fldCharType="end"/>
      </w:r>
      <w:r w:rsidR="00B645AF" w:rsidRPr="00C73D75">
        <w:fldChar w:fldCharType="begin"/>
      </w:r>
      <w:r w:rsidR="00B645AF" w:rsidRPr="006B044F">
        <w:instrText xml:space="preserve"> ADDIN EN.REFLIST </w:instrText>
      </w:r>
      <w:r w:rsidR="00B645AF" w:rsidRPr="00C73D75">
        <w:fldChar w:fldCharType="end"/>
      </w:r>
    </w:p>
    <w:p w14:paraId="61624E21" w14:textId="77777777" w:rsidR="00B577B0" w:rsidRPr="006B044F" w:rsidRDefault="00B577B0">
      <w:pPr>
        <w:rPr>
          <w:b/>
        </w:rPr>
      </w:pPr>
      <w:r w:rsidRPr="006B044F">
        <w:rPr>
          <w:b/>
        </w:rPr>
        <w:br w:type="page"/>
      </w:r>
    </w:p>
    <w:p w14:paraId="7CD657E0" w14:textId="74AE64EA" w:rsidR="00C8440D" w:rsidRPr="006B044F" w:rsidRDefault="00B577B0" w:rsidP="00E94812">
      <w:pPr>
        <w:spacing w:line="480" w:lineRule="auto"/>
        <w:rPr>
          <w:b/>
        </w:rPr>
      </w:pPr>
      <w:r w:rsidRPr="006B044F">
        <w:rPr>
          <w:b/>
        </w:rPr>
        <w:lastRenderedPageBreak/>
        <w:t>14</w:t>
      </w:r>
      <w:r w:rsidR="00751430" w:rsidRPr="006B044F">
        <w:rPr>
          <w:b/>
        </w:rPr>
        <w:t xml:space="preserve"> TABLES</w:t>
      </w:r>
    </w:p>
    <w:p w14:paraId="45F6265C" w14:textId="77BD5226" w:rsidR="00751430" w:rsidRPr="006B044F" w:rsidRDefault="00751430" w:rsidP="00751430">
      <w:pPr>
        <w:spacing w:line="480" w:lineRule="auto"/>
        <w:rPr>
          <w:rFonts w:eastAsiaTheme="minorEastAsia"/>
        </w:rPr>
      </w:pPr>
      <w:bookmarkStart w:id="58" w:name="_Hlk517362474"/>
      <w:bookmarkStart w:id="59" w:name="_Hlk517362513"/>
      <w:r w:rsidRPr="006B044F">
        <w:rPr>
          <w:rFonts w:eastAsiaTheme="minorEastAsia"/>
        </w:rPr>
        <w:t xml:space="preserve">Table 1. </w:t>
      </w:r>
      <w:r w:rsidR="00D735CC" w:rsidRPr="006B044F">
        <w:rPr>
          <w:rFonts w:eastAsiaTheme="minorEastAsia"/>
        </w:rPr>
        <w:t>Variable s</w:t>
      </w:r>
      <w:r w:rsidRPr="006B044F">
        <w:rPr>
          <w:rFonts w:eastAsiaTheme="minorEastAsia"/>
        </w:rPr>
        <w:t xml:space="preserve">pread factor values </w:t>
      </w:r>
      <w:r w:rsidR="003F73FA" w:rsidRPr="006B044F">
        <w:rPr>
          <w:rFonts w:eastAsiaTheme="minorEastAsia"/>
        </w:rPr>
        <w:t xml:space="preserve">determined </w:t>
      </w:r>
      <w:r w:rsidR="009C3A0D" w:rsidRPr="006B044F">
        <w:rPr>
          <w:rFonts w:eastAsiaTheme="minorEastAsia"/>
        </w:rPr>
        <w:t>based on water an</w:t>
      </w:r>
      <w:r w:rsidR="003F73FA" w:rsidRPr="00C73D75">
        <w:rPr>
          <w:rFonts w:eastAsiaTheme="minorEastAsia"/>
        </w:rPr>
        <w:t xml:space="preserve">d </w:t>
      </w:r>
      <w:r w:rsidRPr="006B044F">
        <w:rPr>
          <w:rFonts w:eastAsiaTheme="minorEastAsia"/>
        </w:rPr>
        <w:t>used as an alternative to DepositScan’s built-in spread factor calculation</w:t>
      </w:r>
      <w:r w:rsidR="00C65E67" w:rsidRPr="006B044F">
        <w:rPr>
          <w:rFonts w:eastAsiaTheme="minorEastAsia"/>
        </w:rPr>
        <w:t xml:space="preserve"> </w:t>
      </w:r>
      <w:r w:rsidR="00C65E67" w:rsidRPr="00C73D75">
        <w:rPr>
          <w:rFonts w:eastAsiaTheme="minorEastAsia"/>
        </w:rPr>
        <w:fldChar w:fldCharType="begin" w:fldLock="1"/>
      </w:r>
      <w:r w:rsidR="00274D82" w:rsidRPr="006B044F">
        <w:rPr>
          <w:rFonts w:eastAsiaTheme="minorEastAsia"/>
        </w:rPr>
        <w:instrText>ADDIN CSL_CITATION {"citationItems":[{"id":"ITEM-1","itemData":{"author":[{"dropping-particle":"","family":"Syngenta","given":"","non-dropping-particle":"","parse-names":false,"suffix":""}],"editor":[{"dropping-particle":"","family":"AG","given":"Syngenta Crop Protection","non-dropping-particle":"","parse-names":false,"suffix":""}],"id":"ITEM-1","issued":{"date-parts":[["2002"]]},"publisher-place":"Basel","title":"Water-sensitive paper for monitoring spray distributions.","type":"article"},"uris":["http://www.mendeley.com/documents/?uuid=bbe37dc5-b3de-42fc-bd04-447f9c5e7de4"]},{"id":"ITEM-2","itemData":{"DOI":"10.1016/j.biosystemseng.2011.10.002","ISBN":"1537-5110","ISSN":"15375110","abstract":"The performance of several commercial and experimental software packages (Gotas, StainMaster, ImageTool, StainAnalysis, AgroScan, DropletScan and Spray_imageI and II) that produce indicators of crop spraying quality based on the image processing of water-sensitive papers used as artificial targets were compared against known coverage, droplet size spectra and class size distribution verified through manual counting. A number of artificial targets used to test the software were obtained by controlled spray applications and given droplet density between 14 and 108 drops cm -2 and a wide range of droplet size spectra. The results showed that artificial targets coupled with an appropriate image system can be an accurate technique to compute spray parameters. The between-methods differences were 6.7% for droplet density, 11.5% for volume median diameter, &lt;3% for coverage (%) and &lt;3% coverage density. For the 16 droplet class size distribution tested the between-methods differences were all &lt;15%. However, most of the image analysis systems were not effective in accurately measuring coverage density when coverage rate is greater than about 17%. The Spray_imageII software estimated the coverage density with a mean absolute error of 2% and the absolute error is below 10%, even with about 43% of coverage rate. This software, when compared to the other programmes tested, provided the best accuracy for coverage and droplet size spectrum as well as for droplet class size distribution. ?? 2011 IAgrE.","author":[{"dropping-particle":"","family":"Cunha","given":"Mario","non-dropping-particle":"","parse-names":false,"suffix":""},{"dropping-particle":"","family":"Carvalho","given":"Claudia","non-dropping-particle":"","parse-names":false,"suffix":""},{"dropping-particle":"","family":"Marcal","given":"Andre R S","non-dropping-particle":"","parse-names":false,"suffix":""}],"container-title":"Biosystems Engineering","id":"ITEM-2","issue":"1","issued":{"date-parts":[["2012"]]},"note":"From Duplicate 2 (Assessing the ability of image processing software to analyse spray quality on water-sensitive papers used as artificial targets - Cunha, M; Carvalho, C; Marcal, A R S)\n\nTimes Cited: 2\nCunha, Mario Carvalho, Claudia Marcal, Andre R. S.\nMARCAL, ANDRE/F-6230-2013; Cunha, Mario/G-2228-2011\nMARCAL, ANDRE/0000-0002-8501-0974;\n2","page":"11-23","publisher":"IAgrE","title":"Assessing the ability of image processing software to analyse spray quality on water-sensitive papers used as artificial targets","type":"article-journal","volume":"111"},"uris":["http://www.mendeley.com/documents/?uuid=0c563853-7a76-4585-82c5-b04853a5c365"]}],"mendeley":{"formattedCitation":"&lt;sup&gt;28,49&lt;/sup&gt;","plainTextFormattedCitation":"28,49","previouslyFormattedCitation":"&lt;sup&gt;28,49&lt;/sup&gt;"},"properties":{"noteIndex":0},"schema":"https://github.com/citation-style-language/schema/raw/master/csl-citation.json"}</w:instrText>
      </w:r>
      <w:r w:rsidR="00C65E67" w:rsidRPr="00C73D75">
        <w:rPr>
          <w:rFonts w:eastAsiaTheme="minorEastAsia"/>
        </w:rPr>
        <w:fldChar w:fldCharType="separate"/>
      </w:r>
      <w:r w:rsidR="00676545" w:rsidRPr="006B044F">
        <w:rPr>
          <w:rFonts w:eastAsiaTheme="minorEastAsia"/>
          <w:noProof/>
          <w:vertAlign w:val="superscript"/>
        </w:rPr>
        <w:t>28,49</w:t>
      </w:r>
      <w:r w:rsidR="00C65E67" w:rsidRPr="00C73D75">
        <w:rPr>
          <w:rFonts w:eastAsiaTheme="minorEastAsia"/>
        </w:rPr>
        <w:fldChar w:fldCharType="end"/>
      </w:r>
      <w:bookmarkEnd w:id="58"/>
    </w:p>
    <w:tbl>
      <w:tblPr>
        <w:tblStyle w:val="TableGrid"/>
        <w:tblW w:w="7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1651"/>
        <w:gridCol w:w="2543"/>
      </w:tblGrid>
      <w:tr w:rsidR="006B044F" w:rsidRPr="006B044F" w14:paraId="60986BE6" w14:textId="77777777" w:rsidTr="00DE1055">
        <w:trPr>
          <w:jc w:val="center"/>
        </w:trPr>
        <w:tc>
          <w:tcPr>
            <w:tcW w:w="3387" w:type="dxa"/>
            <w:tcBorders>
              <w:top w:val="single" w:sz="4" w:space="0" w:color="auto"/>
              <w:bottom w:val="single" w:sz="4" w:space="0" w:color="auto"/>
            </w:tcBorders>
          </w:tcPr>
          <w:bookmarkEnd w:id="59"/>
          <w:p w14:paraId="0F2A662D" w14:textId="77777777" w:rsidR="00751430" w:rsidRPr="006B044F" w:rsidRDefault="00751430" w:rsidP="00751430">
            <w:pPr>
              <w:spacing w:line="276" w:lineRule="auto"/>
              <w:rPr>
                <w:rFonts w:eastAsiaTheme="minorEastAsia"/>
                <w:b/>
              </w:rPr>
            </w:pPr>
            <w:r w:rsidRPr="006B044F">
              <w:rPr>
                <w:rFonts w:eastAsiaTheme="minorEastAsia"/>
                <w:b/>
              </w:rPr>
              <w:t>Stain diameter of droplet (µm)</w:t>
            </w:r>
          </w:p>
        </w:tc>
        <w:tc>
          <w:tcPr>
            <w:tcW w:w="1651" w:type="dxa"/>
            <w:tcBorders>
              <w:top w:val="single" w:sz="4" w:space="0" w:color="auto"/>
              <w:bottom w:val="single" w:sz="4" w:space="0" w:color="auto"/>
            </w:tcBorders>
          </w:tcPr>
          <w:p w14:paraId="689E7C26" w14:textId="77777777" w:rsidR="00751430" w:rsidRPr="006B044F" w:rsidRDefault="00751430" w:rsidP="00751430">
            <w:pPr>
              <w:spacing w:line="276" w:lineRule="auto"/>
              <w:rPr>
                <w:rFonts w:eastAsiaTheme="minorEastAsia"/>
                <w:b/>
              </w:rPr>
            </w:pPr>
            <w:r w:rsidRPr="006B044F">
              <w:rPr>
                <w:rFonts w:eastAsiaTheme="minorEastAsia"/>
                <w:b/>
              </w:rPr>
              <w:t>Spread factor</w:t>
            </w:r>
          </w:p>
        </w:tc>
        <w:tc>
          <w:tcPr>
            <w:tcW w:w="2543" w:type="dxa"/>
            <w:tcBorders>
              <w:top w:val="single" w:sz="4" w:space="0" w:color="auto"/>
              <w:bottom w:val="single" w:sz="4" w:space="0" w:color="auto"/>
            </w:tcBorders>
          </w:tcPr>
          <w:p w14:paraId="230DB9AA" w14:textId="77777777" w:rsidR="00751430" w:rsidRPr="006B044F" w:rsidRDefault="00751430" w:rsidP="00751430">
            <w:pPr>
              <w:spacing w:line="276" w:lineRule="auto"/>
              <w:rPr>
                <w:rFonts w:eastAsiaTheme="minorEastAsia"/>
                <w:b/>
              </w:rPr>
            </w:pPr>
            <w:r w:rsidRPr="006B044F">
              <w:rPr>
                <w:rFonts w:eastAsiaTheme="minorEastAsia"/>
                <w:b/>
              </w:rPr>
              <w:t>Droplet diameter (µm)</w:t>
            </w:r>
          </w:p>
        </w:tc>
      </w:tr>
      <w:tr w:rsidR="006B044F" w:rsidRPr="006B044F" w14:paraId="28CF2C49" w14:textId="77777777" w:rsidTr="00DE1055">
        <w:trPr>
          <w:jc w:val="center"/>
        </w:trPr>
        <w:tc>
          <w:tcPr>
            <w:tcW w:w="3387" w:type="dxa"/>
            <w:tcBorders>
              <w:top w:val="single" w:sz="4" w:space="0" w:color="auto"/>
            </w:tcBorders>
          </w:tcPr>
          <w:p w14:paraId="527038C9" w14:textId="77777777" w:rsidR="00751430" w:rsidRPr="006B044F" w:rsidRDefault="00751430" w:rsidP="00751430">
            <w:pPr>
              <w:spacing w:line="276" w:lineRule="auto"/>
              <w:rPr>
                <w:rFonts w:eastAsiaTheme="minorEastAsia"/>
              </w:rPr>
            </w:pPr>
            <w:r w:rsidRPr="006B044F">
              <w:rPr>
                <w:rFonts w:eastAsiaTheme="minorEastAsia"/>
              </w:rPr>
              <w:t>100</w:t>
            </w:r>
          </w:p>
        </w:tc>
        <w:tc>
          <w:tcPr>
            <w:tcW w:w="1651" w:type="dxa"/>
            <w:tcBorders>
              <w:top w:val="single" w:sz="4" w:space="0" w:color="auto"/>
            </w:tcBorders>
          </w:tcPr>
          <w:p w14:paraId="363F55E1" w14:textId="77777777" w:rsidR="00751430" w:rsidRPr="006B044F" w:rsidRDefault="00751430" w:rsidP="00751430">
            <w:pPr>
              <w:spacing w:line="276" w:lineRule="auto"/>
              <w:rPr>
                <w:rFonts w:eastAsiaTheme="minorEastAsia"/>
              </w:rPr>
            </w:pPr>
            <w:r w:rsidRPr="006B044F">
              <w:rPr>
                <w:rFonts w:eastAsiaTheme="minorEastAsia"/>
              </w:rPr>
              <w:t>1.7</w:t>
            </w:r>
          </w:p>
        </w:tc>
        <w:tc>
          <w:tcPr>
            <w:tcW w:w="2543" w:type="dxa"/>
            <w:tcBorders>
              <w:top w:val="single" w:sz="4" w:space="0" w:color="auto"/>
            </w:tcBorders>
          </w:tcPr>
          <w:p w14:paraId="36CE70EE" w14:textId="77777777" w:rsidR="00751430" w:rsidRPr="006B044F" w:rsidRDefault="00751430" w:rsidP="00751430">
            <w:pPr>
              <w:spacing w:line="276" w:lineRule="auto"/>
              <w:rPr>
                <w:rFonts w:eastAsiaTheme="minorEastAsia"/>
              </w:rPr>
            </w:pPr>
            <w:r w:rsidRPr="006B044F">
              <w:rPr>
                <w:rFonts w:eastAsiaTheme="minorEastAsia"/>
              </w:rPr>
              <w:t>58.8</w:t>
            </w:r>
          </w:p>
        </w:tc>
      </w:tr>
      <w:tr w:rsidR="006B044F" w:rsidRPr="006B044F" w14:paraId="726EF813" w14:textId="77777777" w:rsidTr="00DE1055">
        <w:trPr>
          <w:jc w:val="center"/>
        </w:trPr>
        <w:tc>
          <w:tcPr>
            <w:tcW w:w="3387" w:type="dxa"/>
          </w:tcPr>
          <w:p w14:paraId="2EE2AD7C" w14:textId="77777777" w:rsidR="00751430" w:rsidRPr="006B044F" w:rsidRDefault="00751430" w:rsidP="00751430">
            <w:pPr>
              <w:spacing w:line="276" w:lineRule="auto"/>
              <w:rPr>
                <w:rFonts w:eastAsiaTheme="minorEastAsia"/>
              </w:rPr>
            </w:pPr>
            <w:r w:rsidRPr="006B044F">
              <w:rPr>
                <w:rFonts w:eastAsiaTheme="minorEastAsia"/>
              </w:rPr>
              <w:t>200</w:t>
            </w:r>
          </w:p>
        </w:tc>
        <w:tc>
          <w:tcPr>
            <w:tcW w:w="1651" w:type="dxa"/>
          </w:tcPr>
          <w:p w14:paraId="49263408" w14:textId="77777777" w:rsidR="00751430" w:rsidRPr="006B044F" w:rsidRDefault="00751430" w:rsidP="00751430">
            <w:pPr>
              <w:spacing w:line="276" w:lineRule="auto"/>
              <w:rPr>
                <w:rFonts w:eastAsiaTheme="minorEastAsia"/>
              </w:rPr>
            </w:pPr>
            <w:r w:rsidRPr="006B044F">
              <w:rPr>
                <w:rFonts w:eastAsiaTheme="minorEastAsia"/>
              </w:rPr>
              <w:t>1.8</w:t>
            </w:r>
          </w:p>
        </w:tc>
        <w:tc>
          <w:tcPr>
            <w:tcW w:w="2543" w:type="dxa"/>
          </w:tcPr>
          <w:p w14:paraId="59A6E368" w14:textId="77777777" w:rsidR="00751430" w:rsidRPr="006B044F" w:rsidRDefault="00751430" w:rsidP="00751430">
            <w:pPr>
              <w:spacing w:line="276" w:lineRule="auto"/>
              <w:rPr>
                <w:rFonts w:eastAsiaTheme="minorEastAsia"/>
              </w:rPr>
            </w:pPr>
            <w:r w:rsidRPr="006B044F">
              <w:rPr>
                <w:rFonts w:eastAsiaTheme="minorEastAsia"/>
              </w:rPr>
              <w:t>111.1</w:t>
            </w:r>
          </w:p>
        </w:tc>
      </w:tr>
      <w:tr w:rsidR="006B044F" w:rsidRPr="006B044F" w14:paraId="2DB2FE60" w14:textId="77777777" w:rsidTr="00DE1055">
        <w:trPr>
          <w:jc w:val="center"/>
        </w:trPr>
        <w:tc>
          <w:tcPr>
            <w:tcW w:w="3387" w:type="dxa"/>
          </w:tcPr>
          <w:p w14:paraId="262FF54D" w14:textId="77777777" w:rsidR="00751430" w:rsidRPr="006B044F" w:rsidRDefault="00751430" w:rsidP="00751430">
            <w:pPr>
              <w:spacing w:line="276" w:lineRule="auto"/>
              <w:rPr>
                <w:rFonts w:eastAsiaTheme="minorEastAsia"/>
              </w:rPr>
            </w:pPr>
            <w:r w:rsidRPr="006B044F">
              <w:rPr>
                <w:rFonts w:eastAsiaTheme="minorEastAsia"/>
              </w:rPr>
              <w:t>300</w:t>
            </w:r>
          </w:p>
        </w:tc>
        <w:tc>
          <w:tcPr>
            <w:tcW w:w="1651" w:type="dxa"/>
          </w:tcPr>
          <w:p w14:paraId="18E26351" w14:textId="77777777" w:rsidR="00751430" w:rsidRPr="006B044F" w:rsidRDefault="00751430" w:rsidP="00751430">
            <w:pPr>
              <w:spacing w:line="276" w:lineRule="auto"/>
              <w:rPr>
                <w:rFonts w:eastAsiaTheme="minorEastAsia"/>
              </w:rPr>
            </w:pPr>
            <w:r w:rsidRPr="006B044F">
              <w:rPr>
                <w:rFonts w:eastAsiaTheme="minorEastAsia"/>
              </w:rPr>
              <w:t>1.9</w:t>
            </w:r>
          </w:p>
        </w:tc>
        <w:tc>
          <w:tcPr>
            <w:tcW w:w="2543" w:type="dxa"/>
          </w:tcPr>
          <w:p w14:paraId="4008D3D2" w14:textId="77777777" w:rsidR="00751430" w:rsidRPr="006B044F" w:rsidRDefault="00751430" w:rsidP="00751430">
            <w:pPr>
              <w:spacing w:line="276" w:lineRule="auto"/>
              <w:rPr>
                <w:rFonts w:eastAsiaTheme="minorEastAsia"/>
              </w:rPr>
            </w:pPr>
            <w:r w:rsidRPr="006B044F">
              <w:rPr>
                <w:rFonts w:eastAsiaTheme="minorEastAsia"/>
              </w:rPr>
              <w:t>157.9</w:t>
            </w:r>
          </w:p>
        </w:tc>
      </w:tr>
      <w:tr w:rsidR="006B044F" w:rsidRPr="006B044F" w14:paraId="0E48DD79" w14:textId="77777777" w:rsidTr="00DE1055">
        <w:trPr>
          <w:jc w:val="center"/>
        </w:trPr>
        <w:tc>
          <w:tcPr>
            <w:tcW w:w="3387" w:type="dxa"/>
          </w:tcPr>
          <w:p w14:paraId="46D56F9B" w14:textId="77777777" w:rsidR="00751430" w:rsidRPr="006B044F" w:rsidRDefault="00751430" w:rsidP="00751430">
            <w:pPr>
              <w:spacing w:line="276" w:lineRule="auto"/>
              <w:rPr>
                <w:rFonts w:eastAsiaTheme="minorEastAsia"/>
              </w:rPr>
            </w:pPr>
            <w:r w:rsidRPr="006B044F">
              <w:rPr>
                <w:rFonts w:eastAsiaTheme="minorEastAsia"/>
              </w:rPr>
              <w:t>400</w:t>
            </w:r>
          </w:p>
        </w:tc>
        <w:tc>
          <w:tcPr>
            <w:tcW w:w="1651" w:type="dxa"/>
          </w:tcPr>
          <w:p w14:paraId="05277922" w14:textId="77777777" w:rsidR="00751430" w:rsidRPr="006B044F" w:rsidRDefault="00751430" w:rsidP="00751430">
            <w:pPr>
              <w:spacing w:line="276" w:lineRule="auto"/>
              <w:rPr>
                <w:rFonts w:eastAsiaTheme="minorEastAsia"/>
              </w:rPr>
            </w:pPr>
            <w:r w:rsidRPr="006B044F">
              <w:rPr>
                <w:rFonts w:eastAsiaTheme="minorEastAsia"/>
              </w:rPr>
              <w:t>2.0</w:t>
            </w:r>
          </w:p>
        </w:tc>
        <w:tc>
          <w:tcPr>
            <w:tcW w:w="2543" w:type="dxa"/>
          </w:tcPr>
          <w:p w14:paraId="565ECF70" w14:textId="77777777" w:rsidR="00751430" w:rsidRPr="006B044F" w:rsidRDefault="00751430" w:rsidP="00751430">
            <w:pPr>
              <w:spacing w:line="276" w:lineRule="auto"/>
              <w:rPr>
                <w:rFonts w:eastAsiaTheme="minorEastAsia"/>
              </w:rPr>
            </w:pPr>
            <w:r w:rsidRPr="006B044F">
              <w:rPr>
                <w:rFonts w:eastAsiaTheme="minorEastAsia"/>
              </w:rPr>
              <w:t>200.0</w:t>
            </w:r>
          </w:p>
        </w:tc>
      </w:tr>
      <w:tr w:rsidR="006B044F" w:rsidRPr="006B044F" w14:paraId="72AD202C" w14:textId="77777777" w:rsidTr="00DE1055">
        <w:trPr>
          <w:jc w:val="center"/>
        </w:trPr>
        <w:tc>
          <w:tcPr>
            <w:tcW w:w="3387" w:type="dxa"/>
          </w:tcPr>
          <w:p w14:paraId="1C652002" w14:textId="77777777" w:rsidR="00751430" w:rsidRPr="006B044F" w:rsidRDefault="00751430" w:rsidP="00751430">
            <w:pPr>
              <w:spacing w:line="276" w:lineRule="auto"/>
              <w:rPr>
                <w:rFonts w:eastAsiaTheme="minorEastAsia"/>
              </w:rPr>
            </w:pPr>
            <w:r w:rsidRPr="006B044F">
              <w:rPr>
                <w:rFonts w:eastAsiaTheme="minorEastAsia"/>
              </w:rPr>
              <w:t>500</w:t>
            </w:r>
          </w:p>
        </w:tc>
        <w:tc>
          <w:tcPr>
            <w:tcW w:w="1651" w:type="dxa"/>
          </w:tcPr>
          <w:p w14:paraId="6E89B747" w14:textId="77777777" w:rsidR="00751430" w:rsidRPr="006B044F" w:rsidRDefault="00751430" w:rsidP="00751430">
            <w:pPr>
              <w:spacing w:line="276" w:lineRule="auto"/>
              <w:rPr>
                <w:rFonts w:eastAsiaTheme="minorEastAsia"/>
              </w:rPr>
            </w:pPr>
            <w:r w:rsidRPr="006B044F">
              <w:rPr>
                <w:rFonts w:eastAsiaTheme="minorEastAsia"/>
              </w:rPr>
              <w:t>2.1</w:t>
            </w:r>
          </w:p>
        </w:tc>
        <w:tc>
          <w:tcPr>
            <w:tcW w:w="2543" w:type="dxa"/>
          </w:tcPr>
          <w:p w14:paraId="344914BB" w14:textId="77777777" w:rsidR="00751430" w:rsidRPr="006B044F" w:rsidRDefault="00751430" w:rsidP="00751430">
            <w:pPr>
              <w:spacing w:line="276" w:lineRule="auto"/>
              <w:rPr>
                <w:rFonts w:eastAsiaTheme="minorEastAsia"/>
              </w:rPr>
            </w:pPr>
            <w:r w:rsidRPr="006B044F">
              <w:rPr>
                <w:rFonts w:eastAsiaTheme="minorEastAsia"/>
              </w:rPr>
              <w:t>238.1</w:t>
            </w:r>
          </w:p>
        </w:tc>
      </w:tr>
      <w:tr w:rsidR="006B044F" w:rsidRPr="006B044F" w14:paraId="733A7F49" w14:textId="77777777" w:rsidTr="00DE1055">
        <w:trPr>
          <w:jc w:val="center"/>
        </w:trPr>
        <w:tc>
          <w:tcPr>
            <w:tcW w:w="3387" w:type="dxa"/>
            <w:tcBorders>
              <w:bottom w:val="single" w:sz="4" w:space="0" w:color="auto"/>
            </w:tcBorders>
          </w:tcPr>
          <w:p w14:paraId="76B83ACE" w14:textId="77777777" w:rsidR="00751430" w:rsidRPr="006B044F" w:rsidRDefault="00751430" w:rsidP="00751430">
            <w:pPr>
              <w:spacing w:line="276" w:lineRule="auto"/>
              <w:rPr>
                <w:rFonts w:eastAsiaTheme="minorEastAsia"/>
              </w:rPr>
            </w:pPr>
            <w:r w:rsidRPr="006B044F">
              <w:rPr>
                <w:rFonts w:eastAsiaTheme="minorEastAsia"/>
              </w:rPr>
              <w:t>600</w:t>
            </w:r>
          </w:p>
        </w:tc>
        <w:tc>
          <w:tcPr>
            <w:tcW w:w="1651" w:type="dxa"/>
            <w:tcBorders>
              <w:bottom w:val="single" w:sz="4" w:space="0" w:color="auto"/>
            </w:tcBorders>
          </w:tcPr>
          <w:p w14:paraId="14B4F6BC" w14:textId="77777777" w:rsidR="00751430" w:rsidRPr="006B044F" w:rsidRDefault="00751430" w:rsidP="00751430">
            <w:pPr>
              <w:spacing w:line="276" w:lineRule="auto"/>
              <w:rPr>
                <w:rFonts w:eastAsiaTheme="minorEastAsia"/>
              </w:rPr>
            </w:pPr>
            <w:r w:rsidRPr="006B044F">
              <w:rPr>
                <w:rFonts w:eastAsiaTheme="minorEastAsia"/>
              </w:rPr>
              <w:t>2.1</w:t>
            </w:r>
          </w:p>
        </w:tc>
        <w:tc>
          <w:tcPr>
            <w:tcW w:w="2543" w:type="dxa"/>
            <w:tcBorders>
              <w:bottom w:val="single" w:sz="4" w:space="0" w:color="auto"/>
            </w:tcBorders>
          </w:tcPr>
          <w:p w14:paraId="7D6A548C" w14:textId="77777777" w:rsidR="00751430" w:rsidRPr="006B044F" w:rsidRDefault="00751430" w:rsidP="00751430">
            <w:pPr>
              <w:spacing w:line="276" w:lineRule="auto"/>
              <w:rPr>
                <w:rFonts w:eastAsiaTheme="minorEastAsia"/>
              </w:rPr>
            </w:pPr>
            <w:r w:rsidRPr="006B044F">
              <w:rPr>
                <w:rFonts w:eastAsiaTheme="minorEastAsia"/>
              </w:rPr>
              <w:t>285.7</w:t>
            </w:r>
          </w:p>
        </w:tc>
      </w:tr>
    </w:tbl>
    <w:p w14:paraId="2631FA40" w14:textId="77777777" w:rsidR="00751430" w:rsidRPr="006B044F" w:rsidRDefault="00751430">
      <w:pPr>
        <w:rPr>
          <w:b/>
        </w:rPr>
      </w:pPr>
      <w:r w:rsidRPr="006B044F">
        <w:rPr>
          <w:b/>
        </w:rPr>
        <w:br w:type="page"/>
      </w:r>
    </w:p>
    <w:p w14:paraId="665A1DEC" w14:textId="77777777" w:rsidR="00751430" w:rsidRPr="006B044F" w:rsidRDefault="00751430" w:rsidP="00751430">
      <w:pPr>
        <w:spacing w:line="480" w:lineRule="auto"/>
        <w:sectPr w:rsidR="00751430" w:rsidRPr="006B044F" w:rsidSect="008D2CE2">
          <w:footerReference w:type="default" r:id="rId12"/>
          <w:footerReference w:type="first" r:id="rId13"/>
          <w:type w:val="continuous"/>
          <w:pgSz w:w="11906" w:h="16838"/>
          <w:pgMar w:top="1440" w:right="1440" w:bottom="1440" w:left="1440" w:header="709" w:footer="709" w:gutter="0"/>
          <w:lnNumType w:countBy="1" w:restart="continuous"/>
          <w:cols w:space="708"/>
          <w:docGrid w:linePitch="360"/>
        </w:sectPr>
      </w:pPr>
    </w:p>
    <w:p w14:paraId="2A3ADB2D" w14:textId="3CADF8F7" w:rsidR="00751430" w:rsidRPr="006B044F" w:rsidRDefault="00751430" w:rsidP="00751430">
      <w:pPr>
        <w:spacing w:line="480" w:lineRule="auto"/>
      </w:pPr>
      <w:bookmarkStart w:id="60" w:name="_Hlk517362858"/>
      <w:r w:rsidRPr="006B044F">
        <w:lastRenderedPageBreak/>
        <w:t xml:space="preserve">Table 2. Pesticide spray coverage </w:t>
      </w:r>
      <w:r w:rsidR="004E2709" w:rsidRPr="006B044F">
        <w:t xml:space="preserve">– expressed as proportion of target covered by spray – and </w:t>
      </w:r>
      <w:r w:rsidRPr="006B044F">
        <w:t>spray density</w:t>
      </w:r>
      <w:r w:rsidR="004E2709" w:rsidRPr="006B044F">
        <w:t xml:space="preserve"> – expressed as the number of droplets in an area – determined f</w:t>
      </w:r>
      <w:r w:rsidRPr="006B044F">
        <w:t>rom water sensitive paper cards set within apple trees.</w:t>
      </w:r>
      <w:r w:rsidR="009C3A0D" w:rsidRPr="006B044F">
        <w:t xml:space="preserve"> </w:t>
      </w:r>
      <w:r w:rsidRPr="006B044F">
        <w:t xml:space="preserve">Data are expressed as mean coverage with 95% confidence intervals, showing differences within the sampled orchard, within patches, and within trees. Co-efficient of variance (CV) is also presented. P values for within patch variance are for each group of 3 trees that made up each patch, e.g. Patch A is comprised of Trees 1 – 3. </w:t>
      </w:r>
    </w:p>
    <w:bookmarkEnd w:id="60"/>
    <w:tbl>
      <w:tblPr>
        <w:tblStyle w:val="TableGrid"/>
        <w:tblW w:w="13081" w:type="dxa"/>
        <w:jc w:val="center"/>
        <w:tblLook w:val="04A0" w:firstRow="1" w:lastRow="0" w:firstColumn="1" w:lastColumn="0" w:noHBand="0" w:noVBand="1"/>
      </w:tblPr>
      <w:tblGrid>
        <w:gridCol w:w="1026"/>
        <w:gridCol w:w="775"/>
        <w:gridCol w:w="977"/>
        <w:gridCol w:w="581"/>
        <w:gridCol w:w="794"/>
        <w:gridCol w:w="832"/>
        <w:gridCol w:w="837"/>
        <w:gridCol w:w="905"/>
        <w:gridCol w:w="444"/>
        <w:gridCol w:w="667"/>
        <w:gridCol w:w="764"/>
        <w:gridCol w:w="32"/>
        <w:gridCol w:w="762"/>
        <w:gridCol w:w="832"/>
        <w:gridCol w:w="837"/>
        <w:gridCol w:w="905"/>
        <w:gridCol w:w="1059"/>
        <w:gridCol w:w="52"/>
      </w:tblGrid>
      <w:tr w:rsidR="006B044F" w:rsidRPr="006B044F" w14:paraId="5D6C222A" w14:textId="77777777" w:rsidTr="004E4CBE">
        <w:trPr>
          <w:gridAfter w:val="1"/>
          <w:wAfter w:w="52" w:type="dxa"/>
          <w:jc w:val="center"/>
        </w:trPr>
        <w:tc>
          <w:tcPr>
            <w:tcW w:w="1026" w:type="dxa"/>
            <w:tcBorders>
              <w:top w:val="single" w:sz="4" w:space="0" w:color="auto"/>
              <w:left w:val="nil"/>
              <w:bottom w:val="nil"/>
              <w:right w:val="nil"/>
            </w:tcBorders>
          </w:tcPr>
          <w:p w14:paraId="2EF70B2A" w14:textId="77777777" w:rsidR="00E87BAD" w:rsidRPr="006B044F" w:rsidRDefault="00E87BAD" w:rsidP="00E87BAD">
            <w:pPr>
              <w:spacing w:line="276" w:lineRule="auto"/>
            </w:pPr>
          </w:p>
        </w:tc>
        <w:tc>
          <w:tcPr>
            <w:tcW w:w="775" w:type="dxa"/>
            <w:tcBorders>
              <w:top w:val="single" w:sz="4" w:space="0" w:color="auto"/>
              <w:left w:val="nil"/>
              <w:bottom w:val="nil"/>
              <w:right w:val="nil"/>
            </w:tcBorders>
          </w:tcPr>
          <w:p w14:paraId="56741E7A" w14:textId="77777777" w:rsidR="00E87BAD" w:rsidRPr="006B044F" w:rsidRDefault="00E87BAD" w:rsidP="00E87BAD">
            <w:pPr>
              <w:spacing w:line="276" w:lineRule="auto"/>
            </w:pPr>
          </w:p>
        </w:tc>
        <w:tc>
          <w:tcPr>
            <w:tcW w:w="977" w:type="dxa"/>
            <w:tcBorders>
              <w:top w:val="single" w:sz="4" w:space="0" w:color="auto"/>
              <w:left w:val="nil"/>
              <w:bottom w:val="nil"/>
              <w:right w:val="nil"/>
            </w:tcBorders>
            <w:vAlign w:val="center"/>
          </w:tcPr>
          <w:p w14:paraId="3FC20E74" w14:textId="77777777" w:rsidR="00E87BAD" w:rsidRPr="006B044F" w:rsidRDefault="00E87BAD" w:rsidP="00E87BAD">
            <w:pPr>
              <w:spacing w:line="276" w:lineRule="auto"/>
            </w:pPr>
          </w:p>
        </w:tc>
        <w:tc>
          <w:tcPr>
            <w:tcW w:w="4393" w:type="dxa"/>
            <w:gridSpan w:val="6"/>
            <w:tcBorders>
              <w:top w:val="single" w:sz="4" w:space="0" w:color="auto"/>
              <w:left w:val="nil"/>
              <w:bottom w:val="nil"/>
              <w:right w:val="nil"/>
            </w:tcBorders>
          </w:tcPr>
          <w:p w14:paraId="12B153B5" w14:textId="77777777" w:rsidR="00E87BAD" w:rsidRPr="006B044F" w:rsidRDefault="00E87BAD" w:rsidP="00E87BAD">
            <w:pPr>
              <w:spacing w:line="276" w:lineRule="auto"/>
              <w:jc w:val="center"/>
              <w:rPr>
                <w:b/>
              </w:rPr>
            </w:pPr>
            <w:r w:rsidRPr="006B044F">
              <w:rPr>
                <w:b/>
              </w:rPr>
              <w:t>Target Covered (%)</w:t>
            </w:r>
          </w:p>
        </w:tc>
        <w:tc>
          <w:tcPr>
            <w:tcW w:w="1463" w:type="dxa"/>
            <w:gridSpan w:val="3"/>
            <w:tcBorders>
              <w:top w:val="single" w:sz="4" w:space="0" w:color="auto"/>
              <w:left w:val="nil"/>
              <w:bottom w:val="nil"/>
              <w:right w:val="nil"/>
            </w:tcBorders>
          </w:tcPr>
          <w:p w14:paraId="37E4F8E2" w14:textId="77777777" w:rsidR="00E87BAD" w:rsidRPr="006B044F" w:rsidRDefault="00E87BAD" w:rsidP="00E87BAD">
            <w:pPr>
              <w:spacing w:line="276" w:lineRule="auto"/>
              <w:rPr>
                <w:b/>
              </w:rPr>
            </w:pPr>
          </w:p>
        </w:tc>
        <w:tc>
          <w:tcPr>
            <w:tcW w:w="4395" w:type="dxa"/>
            <w:gridSpan w:val="5"/>
            <w:tcBorders>
              <w:top w:val="single" w:sz="4" w:space="0" w:color="auto"/>
              <w:left w:val="nil"/>
              <w:bottom w:val="nil"/>
              <w:right w:val="nil"/>
            </w:tcBorders>
          </w:tcPr>
          <w:p w14:paraId="662CBD6E" w14:textId="1E79FE7F" w:rsidR="00E87BAD" w:rsidRPr="006B044F" w:rsidRDefault="00E87BAD" w:rsidP="00E87BAD">
            <w:pPr>
              <w:spacing w:line="276" w:lineRule="auto"/>
              <w:jc w:val="center"/>
              <w:rPr>
                <w:b/>
              </w:rPr>
            </w:pPr>
            <w:r w:rsidRPr="006B044F">
              <w:rPr>
                <w:b/>
              </w:rPr>
              <w:t>Spray density (</w:t>
            </w:r>
            <w:r w:rsidR="004E2709" w:rsidRPr="006B044F">
              <w:rPr>
                <w:b/>
              </w:rPr>
              <w:t xml:space="preserve">droplets </w:t>
            </w:r>
            <w:r w:rsidRPr="006B044F">
              <w:rPr>
                <w:b/>
              </w:rPr>
              <w:t>cm</w:t>
            </w:r>
            <w:r w:rsidRPr="006B044F">
              <w:rPr>
                <w:b/>
                <w:vertAlign w:val="superscript"/>
              </w:rPr>
              <w:t>-2</w:t>
            </w:r>
            <w:r w:rsidRPr="006B044F">
              <w:rPr>
                <w:b/>
              </w:rPr>
              <w:t>)</w:t>
            </w:r>
          </w:p>
        </w:tc>
      </w:tr>
      <w:tr w:rsidR="006B044F" w:rsidRPr="006B044F" w14:paraId="304B0261" w14:textId="77777777" w:rsidTr="00E87BAD">
        <w:trPr>
          <w:jc w:val="center"/>
        </w:trPr>
        <w:tc>
          <w:tcPr>
            <w:tcW w:w="1026" w:type="dxa"/>
            <w:tcBorders>
              <w:top w:val="nil"/>
              <w:left w:val="nil"/>
              <w:bottom w:val="nil"/>
              <w:right w:val="nil"/>
            </w:tcBorders>
          </w:tcPr>
          <w:p w14:paraId="1867931B" w14:textId="77777777" w:rsidR="00E87BAD" w:rsidRPr="006B044F" w:rsidRDefault="00E87BAD" w:rsidP="00E87BAD">
            <w:pPr>
              <w:spacing w:line="276" w:lineRule="auto"/>
            </w:pPr>
          </w:p>
        </w:tc>
        <w:tc>
          <w:tcPr>
            <w:tcW w:w="775" w:type="dxa"/>
            <w:tcBorders>
              <w:top w:val="nil"/>
              <w:left w:val="nil"/>
              <w:bottom w:val="nil"/>
              <w:right w:val="nil"/>
            </w:tcBorders>
          </w:tcPr>
          <w:p w14:paraId="58833139" w14:textId="77777777" w:rsidR="00E87BAD" w:rsidRPr="006B044F" w:rsidRDefault="00E87BAD" w:rsidP="00E87BAD">
            <w:pPr>
              <w:spacing w:line="276" w:lineRule="auto"/>
            </w:pPr>
          </w:p>
        </w:tc>
        <w:tc>
          <w:tcPr>
            <w:tcW w:w="977" w:type="dxa"/>
            <w:tcBorders>
              <w:top w:val="nil"/>
              <w:left w:val="nil"/>
              <w:bottom w:val="nil"/>
              <w:right w:val="nil"/>
            </w:tcBorders>
            <w:vAlign w:val="center"/>
          </w:tcPr>
          <w:p w14:paraId="3C043D4F" w14:textId="77777777" w:rsidR="00E87BAD" w:rsidRPr="006B044F" w:rsidRDefault="00E87BAD" w:rsidP="00E87BAD">
            <w:pPr>
              <w:spacing w:line="276" w:lineRule="auto"/>
            </w:pPr>
          </w:p>
        </w:tc>
        <w:tc>
          <w:tcPr>
            <w:tcW w:w="581" w:type="dxa"/>
            <w:tcBorders>
              <w:top w:val="nil"/>
              <w:left w:val="nil"/>
              <w:bottom w:val="nil"/>
              <w:right w:val="nil"/>
            </w:tcBorders>
          </w:tcPr>
          <w:p w14:paraId="09B0E53B" w14:textId="77777777" w:rsidR="00E87BAD" w:rsidRPr="006B044F" w:rsidRDefault="00E87BAD" w:rsidP="00E87BAD">
            <w:pPr>
              <w:spacing w:line="276" w:lineRule="auto"/>
              <w:rPr>
                <w:b/>
              </w:rPr>
            </w:pPr>
          </w:p>
        </w:tc>
        <w:tc>
          <w:tcPr>
            <w:tcW w:w="794" w:type="dxa"/>
            <w:tcBorders>
              <w:top w:val="nil"/>
              <w:left w:val="nil"/>
              <w:bottom w:val="nil"/>
              <w:right w:val="nil"/>
            </w:tcBorders>
            <w:vAlign w:val="center"/>
          </w:tcPr>
          <w:p w14:paraId="6256C0A1" w14:textId="77777777" w:rsidR="00E87BAD" w:rsidRPr="006B044F" w:rsidRDefault="00E87BAD" w:rsidP="00E87BAD">
            <w:pPr>
              <w:spacing w:line="276" w:lineRule="auto"/>
              <w:rPr>
                <w:b/>
              </w:rPr>
            </w:pPr>
          </w:p>
        </w:tc>
        <w:tc>
          <w:tcPr>
            <w:tcW w:w="1669" w:type="dxa"/>
            <w:gridSpan w:val="2"/>
            <w:tcBorders>
              <w:top w:val="nil"/>
              <w:left w:val="nil"/>
              <w:bottom w:val="nil"/>
              <w:right w:val="nil"/>
            </w:tcBorders>
            <w:vAlign w:val="center"/>
          </w:tcPr>
          <w:p w14:paraId="3528C32B" w14:textId="77777777" w:rsidR="00E87BAD" w:rsidRPr="006B044F" w:rsidRDefault="00E87BAD" w:rsidP="00E87BAD">
            <w:pPr>
              <w:spacing w:line="276" w:lineRule="auto"/>
              <w:jc w:val="center"/>
              <w:rPr>
                <w:b/>
              </w:rPr>
            </w:pPr>
            <w:r w:rsidRPr="006B044F">
              <w:rPr>
                <w:b/>
              </w:rPr>
              <w:t>95% CIs</w:t>
            </w:r>
          </w:p>
        </w:tc>
        <w:tc>
          <w:tcPr>
            <w:tcW w:w="905" w:type="dxa"/>
            <w:tcBorders>
              <w:top w:val="nil"/>
              <w:left w:val="nil"/>
              <w:bottom w:val="nil"/>
              <w:right w:val="nil"/>
            </w:tcBorders>
          </w:tcPr>
          <w:p w14:paraId="77D42AED" w14:textId="77777777" w:rsidR="00E87BAD" w:rsidRPr="006B044F" w:rsidRDefault="00E87BAD" w:rsidP="00E87BAD">
            <w:pPr>
              <w:spacing w:line="276" w:lineRule="auto"/>
              <w:rPr>
                <w:b/>
              </w:rPr>
            </w:pPr>
          </w:p>
        </w:tc>
        <w:tc>
          <w:tcPr>
            <w:tcW w:w="1111" w:type="dxa"/>
            <w:gridSpan w:val="2"/>
            <w:tcBorders>
              <w:top w:val="nil"/>
              <w:left w:val="nil"/>
              <w:bottom w:val="nil"/>
              <w:right w:val="nil"/>
            </w:tcBorders>
          </w:tcPr>
          <w:p w14:paraId="217FABED" w14:textId="77777777" w:rsidR="00E87BAD" w:rsidRPr="006B044F" w:rsidRDefault="00E87BAD" w:rsidP="00E87BAD">
            <w:pPr>
              <w:spacing w:line="276" w:lineRule="auto"/>
              <w:rPr>
                <w:b/>
              </w:rPr>
            </w:pPr>
          </w:p>
        </w:tc>
        <w:tc>
          <w:tcPr>
            <w:tcW w:w="764" w:type="dxa"/>
            <w:tcBorders>
              <w:top w:val="nil"/>
              <w:left w:val="nil"/>
              <w:bottom w:val="nil"/>
              <w:right w:val="nil"/>
            </w:tcBorders>
          </w:tcPr>
          <w:p w14:paraId="39F3773E" w14:textId="77777777" w:rsidR="00E87BAD" w:rsidRPr="006B044F" w:rsidRDefault="00E87BAD" w:rsidP="00E87BAD">
            <w:pPr>
              <w:spacing w:line="276" w:lineRule="auto"/>
              <w:rPr>
                <w:b/>
              </w:rPr>
            </w:pPr>
          </w:p>
        </w:tc>
        <w:tc>
          <w:tcPr>
            <w:tcW w:w="794" w:type="dxa"/>
            <w:gridSpan w:val="2"/>
            <w:tcBorders>
              <w:top w:val="nil"/>
              <w:left w:val="nil"/>
              <w:bottom w:val="nil"/>
              <w:right w:val="nil"/>
            </w:tcBorders>
          </w:tcPr>
          <w:p w14:paraId="4C325EB0" w14:textId="77777777" w:rsidR="00E87BAD" w:rsidRPr="006B044F" w:rsidRDefault="00E87BAD" w:rsidP="00E87BAD">
            <w:pPr>
              <w:spacing w:line="276" w:lineRule="auto"/>
              <w:rPr>
                <w:b/>
              </w:rPr>
            </w:pPr>
          </w:p>
        </w:tc>
        <w:tc>
          <w:tcPr>
            <w:tcW w:w="1669" w:type="dxa"/>
            <w:gridSpan w:val="2"/>
            <w:tcBorders>
              <w:top w:val="nil"/>
              <w:left w:val="nil"/>
              <w:bottom w:val="nil"/>
              <w:right w:val="nil"/>
            </w:tcBorders>
            <w:vAlign w:val="center"/>
          </w:tcPr>
          <w:p w14:paraId="4367659F" w14:textId="77777777" w:rsidR="00E87BAD" w:rsidRPr="006B044F" w:rsidRDefault="00E87BAD" w:rsidP="00E87BAD">
            <w:pPr>
              <w:spacing w:line="276" w:lineRule="auto"/>
              <w:jc w:val="center"/>
              <w:rPr>
                <w:b/>
              </w:rPr>
            </w:pPr>
            <w:r w:rsidRPr="006B044F">
              <w:rPr>
                <w:b/>
              </w:rPr>
              <w:t>95% CIs</w:t>
            </w:r>
          </w:p>
        </w:tc>
        <w:tc>
          <w:tcPr>
            <w:tcW w:w="905" w:type="dxa"/>
            <w:tcBorders>
              <w:top w:val="nil"/>
              <w:left w:val="nil"/>
              <w:bottom w:val="nil"/>
              <w:right w:val="nil"/>
            </w:tcBorders>
          </w:tcPr>
          <w:p w14:paraId="70B25CE0" w14:textId="77777777" w:rsidR="00E87BAD" w:rsidRPr="006B044F" w:rsidRDefault="00E87BAD" w:rsidP="00E87BAD">
            <w:pPr>
              <w:spacing w:line="276" w:lineRule="auto"/>
              <w:rPr>
                <w:b/>
              </w:rPr>
            </w:pPr>
          </w:p>
        </w:tc>
        <w:tc>
          <w:tcPr>
            <w:tcW w:w="1111" w:type="dxa"/>
            <w:gridSpan w:val="2"/>
            <w:tcBorders>
              <w:top w:val="nil"/>
              <w:left w:val="nil"/>
              <w:bottom w:val="nil"/>
              <w:right w:val="nil"/>
            </w:tcBorders>
          </w:tcPr>
          <w:p w14:paraId="05A1EE98" w14:textId="77777777" w:rsidR="00E87BAD" w:rsidRPr="006B044F" w:rsidRDefault="00E87BAD" w:rsidP="00E87BAD">
            <w:pPr>
              <w:spacing w:line="276" w:lineRule="auto"/>
              <w:rPr>
                <w:b/>
              </w:rPr>
            </w:pPr>
          </w:p>
        </w:tc>
      </w:tr>
      <w:tr w:rsidR="006B044F" w:rsidRPr="006B044F" w14:paraId="7C70FB8E" w14:textId="77777777" w:rsidTr="00E87BAD">
        <w:trPr>
          <w:jc w:val="center"/>
        </w:trPr>
        <w:tc>
          <w:tcPr>
            <w:tcW w:w="1026" w:type="dxa"/>
            <w:tcBorders>
              <w:top w:val="nil"/>
              <w:left w:val="nil"/>
              <w:bottom w:val="single" w:sz="4" w:space="0" w:color="auto"/>
              <w:right w:val="nil"/>
            </w:tcBorders>
          </w:tcPr>
          <w:p w14:paraId="48A70FD1" w14:textId="77777777" w:rsidR="00E87BAD" w:rsidRPr="006B044F" w:rsidRDefault="00E87BAD" w:rsidP="00E87BAD">
            <w:pPr>
              <w:spacing w:line="276" w:lineRule="auto"/>
            </w:pPr>
          </w:p>
        </w:tc>
        <w:tc>
          <w:tcPr>
            <w:tcW w:w="775" w:type="dxa"/>
            <w:tcBorders>
              <w:top w:val="nil"/>
              <w:left w:val="nil"/>
              <w:bottom w:val="single" w:sz="4" w:space="0" w:color="auto"/>
              <w:right w:val="nil"/>
            </w:tcBorders>
          </w:tcPr>
          <w:p w14:paraId="4C1690D4" w14:textId="77777777" w:rsidR="00E87BAD" w:rsidRPr="006B044F" w:rsidRDefault="00E87BAD" w:rsidP="00E87BAD">
            <w:pPr>
              <w:spacing w:line="276" w:lineRule="auto"/>
            </w:pPr>
          </w:p>
        </w:tc>
        <w:tc>
          <w:tcPr>
            <w:tcW w:w="977" w:type="dxa"/>
            <w:tcBorders>
              <w:top w:val="nil"/>
              <w:left w:val="nil"/>
              <w:bottom w:val="single" w:sz="4" w:space="0" w:color="auto"/>
              <w:right w:val="nil"/>
            </w:tcBorders>
            <w:vAlign w:val="center"/>
          </w:tcPr>
          <w:p w14:paraId="18BEEEEF" w14:textId="77777777" w:rsidR="00E87BAD" w:rsidRPr="006B044F" w:rsidRDefault="00E87BAD" w:rsidP="00E87BAD">
            <w:pPr>
              <w:spacing w:line="276" w:lineRule="auto"/>
            </w:pPr>
          </w:p>
        </w:tc>
        <w:tc>
          <w:tcPr>
            <w:tcW w:w="581" w:type="dxa"/>
            <w:tcBorders>
              <w:top w:val="nil"/>
              <w:left w:val="nil"/>
              <w:bottom w:val="single" w:sz="4" w:space="0" w:color="auto"/>
              <w:right w:val="nil"/>
            </w:tcBorders>
          </w:tcPr>
          <w:p w14:paraId="6FE0F919" w14:textId="77777777" w:rsidR="00E87BAD" w:rsidRPr="006B044F" w:rsidRDefault="00E87BAD" w:rsidP="00E87BAD">
            <w:pPr>
              <w:spacing w:line="276" w:lineRule="auto"/>
              <w:rPr>
                <w:b/>
                <w:i/>
              </w:rPr>
            </w:pPr>
            <w:r w:rsidRPr="006B044F">
              <w:rPr>
                <w:b/>
                <w:i/>
              </w:rPr>
              <w:t>n</w:t>
            </w:r>
          </w:p>
        </w:tc>
        <w:tc>
          <w:tcPr>
            <w:tcW w:w="794" w:type="dxa"/>
            <w:tcBorders>
              <w:top w:val="nil"/>
              <w:left w:val="nil"/>
              <w:bottom w:val="single" w:sz="4" w:space="0" w:color="auto"/>
              <w:right w:val="nil"/>
            </w:tcBorders>
            <w:vAlign w:val="center"/>
          </w:tcPr>
          <w:p w14:paraId="24C12FB7" w14:textId="77777777" w:rsidR="00E87BAD" w:rsidRPr="006B044F" w:rsidRDefault="00E87BAD" w:rsidP="00E87BAD">
            <w:pPr>
              <w:spacing w:line="276" w:lineRule="auto"/>
              <w:rPr>
                <w:b/>
              </w:rPr>
            </w:pPr>
            <w:r w:rsidRPr="006B044F">
              <w:rPr>
                <w:b/>
              </w:rPr>
              <w:t>Mean</w:t>
            </w:r>
          </w:p>
        </w:tc>
        <w:tc>
          <w:tcPr>
            <w:tcW w:w="832" w:type="dxa"/>
            <w:tcBorders>
              <w:top w:val="nil"/>
              <w:left w:val="nil"/>
              <w:bottom w:val="single" w:sz="4" w:space="0" w:color="auto"/>
              <w:right w:val="nil"/>
            </w:tcBorders>
            <w:vAlign w:val="center"/>
          </w:tcPr>
          <w:p w14:paraId="22504E3B" w14:textId="77777777" w:rsidR="00E87BAD" w:rsidRPr="006B044F" w:rsidRDefault="00E87BAD" w:rsidP="00E87BAD">
            <w:pPr>
              <w:spacing w:line="276" w:lineRule="auto"/>
              <w:rPr>
                <w:b/>
              </w:rPr>
            </w:pPr>
            <w:r w:rsidRPr="006B044F">
              <w:rPr>
                <w:b/>
              </w:rPr>
              <w:t>Lower</w:t>
            </w:r>
          </w:p>
        </w:tc>
        <w:tc>
          <w:tcPr>
            <w:tcW w:w="837" w:type="dxa"/>
            <w:tcBorders>
              <w:top w:val="nil"/>
              <w:left w:val="nil"/>
              <w:bottom w:val="single" w:sz="4" w:space="0" w:color="auto"/>
              <w:right w:val="nil"/>
            </w:tcBorders>
            <w:vAlign w:val="center"/>
          </w:tcPr>
          <w:p w14:paraId="7DD60399" w14:textId="77777777" w:rsidR="00E87BAD" w:rsidRPr="006B044F" w:rsidRDefault="00E87BAD" w:rsidP="00E87BAD">
            <w:pPr>
              <w:spacing w:line="276" w:lineRule="auto"/>
              <w:rPr>
                <w:b/>
              </w:rPr>
            </w:pPr>
            <w:r w:rsidRPr="006B044F">
              <w:rPr>
                <w:b/>
              </w:rPr>
              <w:t>Upper</w:t>
            </w:r>
          </w:p>
        </w:tc>
        <w:tc>
          <w:tcPr>
            <w:tcW w:w="905" w:type="dxa"/>
            <w:tcBorders>
              <w:top w:val="nil"/>
              <w:left w:val="nil"/>
              <w:bottom w:val="single" w:sz="4" w:space="0" w:color="auto"/>
              <w:right w:val="nil"/>
            </w:tcBorders>
          </w:tcPr>
          <w:p w14:paraId="16550071" w14:textId="77777777" w:rsidR="00E87BAD" w:rsidRPr="006B044F" w:rsidRDefault="00E87BAD" w:rsidP="00E87BAD">
            <w:pPr>
              <w:spacing w:line="276" w:lineRule="auto"/>
              <w:rPr>
                <w:b/>
              </w:rPr>
            </w:pPr>
            <w:r w:rsidRPr="006B044F">
              <w:rPr>
                <w:b/>
              </w:rPr>
              <w:t>CV (%)</w:t>
            </w:r>
          </w:p>
        </w:tc>
        <w:tc>
          <w:tcPr>
            <w:tcW w:w="1111" w:type="dxa"/>
            <w:gridSpan w:val="2"/>
            <w:tcBorders>
              <w:top w:val="nil"/>
              <w:left w:val="nil"/>
              <w:bottom w:val="single" w:sz="4" w:space="0" w:color="auto"/>
              <w:right w:val="nil"/>
            </w:tcBorders>
          </w:tcPr>
          <w:p w14:paraId="55FEAC44" w14:textId="77777777" w:rsidR="00E87BAD" w:rsidRPr="006B044F" w:rsidRDefault="00E87BAD" w:rsidP="00E87BAD">
            <w:pPr>
              <w:spacing w:line="276" w:lineRule="auto"/>
              <w:rPr>
                <w:b/>
              </w:rPr>
            </w:pPr>
            <w:r w:rsidRPr="006B044F">
              <w:rPr>
                <w:b/>
              </w:rPr>
              <w:t>P</w:t>
            </w:r>
          </w:p>
        </w:tc>
        <w:tc>
          <w:tcPr>
            <w:tcW w:w="764" w:type="dxa"/>
            <w:tcBorders>
              <w:top w:val="nil"/>
              <w:left w:val="nil"/>
              <w:bottom w:val="single" w:sz="4" w:space="0" w:color="auto"/>
              <w:right w:val="nil"/>
            </w:tcBorders>
          </w:tcPr>
          <w:p w14:paraId="262395E8" w14:textId="77777777" w:rsidR="00E87BAD" w:rsidRPr="006B044F" w:rsidRDefault="00E87BAD" w:rsidP="00E87BAD">
            <w:pPr>
              <w:spacing w:line="276" w:lineRule="auto"/>
              <w:rPr>
                <w:b/>
              </w:rPr>
            </w:pPr>
          </w:p>
        </w:tc>
        <w:tc>
          <w:tcPr>
            <w:tcW w:w="794" w:type="dxa"/>
            <w:gridSpan w:val="2"/>
            <w:tcBorders>
              <w:top w:val="nil"/>
              <w:left w:val="nil"/>
              <w:bottom w:val="single" w:sz="4" w:space="0" w:color="auto"/>
              <w:right w:val="nil"/>
            </w:tcBorders>
            <w:vAlign w:val="center"/>
          </w:tcPr>
          <w:p w14:paraId="3E3A99A8" w14:textId="77777777" w:rsidR="00E87BAD" w:rsidRPr="006B044F" w:rsidRDefault="00E87BAD" w:rsidP="00E87BAD">
            <w:pPr>
              <w:spacing w:line="276" w:lineRule="auto"/>
              <w:rPr>
                <w:b/>
              </w:rPr>
            </w:pPr>
            <w:r w:rsidRPr="006B044F">
              <w:rPr>
                <w:b/>
              </w:rPr>
              <w:t>Mean</w:t>
            </w:r>
          </w:p>
        </w:tc>
        <w:tc>
          <w:tcPr>
            <w:tcW w:w="832" w:type="dxa"/>
            <w:tcBorders>
              <w:top w:val="nil"/>
              <w:left w:val="nil"/>
              <w:bottom w:val="single" w:sz="4" w:space="0" w:color="auto"/>
              <w:right w:val="nil"/>
            </w:tcBorders>
            <w:vAlign w:val="center"/>
          </w:tcPr>
          <w:p w14:paraId="69259A98" w14:textId="77777777" w:rsidR="00E87BAD" w:rsidRPr="006B044F" w:rsidRDefault="00E87BAD" w:rsidP="00E87BAD">
            <w:pPr>
              <w:spacing w:line="276" w:lineRule="auto"/>
              <w:rPr>
                <w:b/>
              </w:rPr>
            </w:pPr>
            <w:r w:rsidRPr="006B044F">
              <w:rPr>
                <w:b/>
              </w:rPr>
              <w:t>Lower</w:t>
            </w:r>
          </w:p>
        </w:tc>
        <w:tc>
          <w:tcPr>
            <w:tcW w:w="837" w:type="dxa"/>
            <w:tcBorders>
              <w:top w:val="nil"/>
              <w:left w:val="nil"/>
              <w:bottom w:val="single" w:sz="4" w:space="0" w:color="auto"/>
              <w:right w:val="nil"/>
            </w:tcBorders>
            <w:vAlign w:val="center"/>
          </w:tcPr>
          <w:p w14:paraId="62A8ADE1" w14:textId="77777777" w:rsidR="00E87BAD" w:rsidRPr="006B044F" w:rsidRDefault="00E87BAD" w:rsidP="00E87BAD">
            <w:pPr>
              <w:spacing w:line="276" w:lineRule="auto"/>
              <w:rPr>
                <w:b/>
              </w:rPr>
            </w:pPr>
            <w:r w:rsidRPr="006B044F">
              <w:rPr>
                <w:b/>
              </w:rPr>
              <w:t>Upper</w:t>
            </w:r>
          </w:p>
        </w:tc>
        <w:tc>
          <w:tcPr>
            <w:tcW w:w="905" w:type="dxa"/>
            <w:tcBorders>
              <w:top w:val="nil"/>
              <w:left w:val="nil"/>
              <w:bottom w:val="single" w:sz="4" w:space="0" w:color="auto"/>
              <w:right w:val="nil"/>
            </w:tcBorders>
          </w:tcPr>
          <w:p w14:paraId="7C2389D2" w14:textId="77777777" w:rsidR="00E87BAD" w:rsidRPr="006B044F" w:rsidRDefault="00E87BAD" w:rsidP="00E87BAD">
            <w:pPr>
              <w:spacing w:line="276" w:lineRule="auto"/>
              <w:rPr>
                <w:b/>
              </w:rPr>
            </w:pPr>
            <w:r w:rsidRPr="006B044F">
              <w:rPr>
                <w:b/>
              </w:rPr>
              <w:t>CV (%)</w:t>
            </w:r>
          </w:p>
        </w:tc>
        <w:tc>
          <w:tcPr>
            <w:tcW w:w="1111" w:type="dxa"/>
            <w:gridSpan w:val="2"/>
            <w:tcBorders>
              <w:top w:val="nil"/>
              <w:left w:val="nil"/>
              <w:bottom w:val="single" w:sz="4" w:space="0" w:color="auto"/>
              <w:right w:val="nil"/>
            </w:tcBorders>
          </w:tcPr>
          <w:p w14:paraId="7A6B2B81" w14:textId="77777777" w:rsidR="00E87BAD" w:rsidRPr="006B044F" w:rsidRDefault="00E87BAD" w:rsidP="00E87BAD">
            <w:pPr>
              <w:spacing w:line="276" w:lineRule="auto"/>
              <w:rPr>
                <w:b/>
              </w:rPr>
            </w:pPr>
            <w:r w:rsidRPr="006B044F">
              <w:rPr>
                <w:b/>
              </w:rPr>
              <w:t>P</w:t>
            </w:r>
          </w:p>
        </w:tc>
      </w:tr>
      <w:tr w:rsidR="006B044F" w:rsidRPr="006B044F" w14:paraId="7904C4CA" w14:textId="77777777" w:rsidTr="00E87BAD">
        <w:trPr>
          <w:jc w:val="center"/>
        </w:trPr>
        <w:tc>
          <w:tcPr>
            <w:tcW w:w="1026" w:type="dxa"/>
            <w:vMerge w:val="restart"/>
            <w:tcBorders>
              <w:top w:val="single" w:sz="4" w:space="0" w:color="auto"/>
              <w:left w:val="nil"/>
              <w:right w:val="nil"/>
            </w:tcBorders>
            <w:vAlign w:val="center"/>
          </w:tcPr>
          <w:p w14:paraId="156F74FE" w14:textId="77777777" w:rsidR="00E87BAD" w:rsidRPr="006B044F" w:rsidRDefault="00E87BAD" w:rsidP="00E87BAD">
            <w:pPr>
              <w:spacing w:line="276" w:lineRule="auto"/>
              <w:rPr>
                <w:b/>
              </w:rPr>
            </w:pPr>
            <w:r w:rsidRPr="006B044F">
              <w:rPr>
                <w:b/>
              </w:rPr>
              <w:t>Within Orchard</w:t>
            </w:r>
          </w:p>
        </w:tc>
        <w:tc>
          <w:tcPr>
            <w:tcW w:w="775" w:type="dxa"/>
            <w:tcBorders>
              <w:top w:val="single" w:sz="4" w:space="0" w:color="auto"/>
              <w:left w:val="nil"/>
              <w:bottom w:val="nil"/>
              <w:right w:val="nil"/>
            </w:tcBorders>
            <w:vAlign w:val="center"/>
          </w:tcPr>
          <w:p w14:paraId="6FE7F83B" w14:textId="77777777" w:rsidR="00E87BAD" w:rsidRPr="006B044F" w:rsidRDefault="00E87BAD" w:rsidP="00E87BAD">
            <w:pPr>
              <w:spacing w:line="276" w:lineRule="auto"/>
              <w:rPr>
                <w:b/>
              </w:rPr>
            </w:pPr>
            <w:r w:rsidRPr="006B044F">
              <w:rPr>
                <w:b/>
              </w:rPr>
              <w:t>Patch</w:t>
            </w:r>
          </w:p>
        </w:tc>
        <w:tc>
          <w:tcPr>
            <w:tcW w:w="977" w:type="dxa"/>
            <w:tcBorders>
              <w:top w:val="single" w:sz="4" w:space="0" w:color="auto"/>
              <w:left w:val="nil"/>
              <w:bottom w:val="nil"/>
              <w:right w:val="nil"/>
            </w:tcBorders>
            <w:vAlign w:val="center"/>
          </w:tcPr>
          <w:p w14:paraId="312AE5F9" w14:textId="77777777" w:rsidR="00E87BAD" w:rsidRPr="006B044F" w:rsidRDefault="00E87BAD" w:rsidP="00E87BAD">
            <w:pPr>
              <w:spacing w:line="276" w:lineRule="auto"/>
              <w:rPr>
                <w:b/>
              </w:rPr>
            </w:pPr>
            <w:r w:rsidRPr="006B044F">
              <w:rPr>
                <w:b/>
              </w:rPr>
              <w:t>A</w:t>
            </w:r>
          </w:p>
        </w:tc>
        <w:tc>
          <w:tcPr>
            <w:tcW w:w="581" w:type="dxa"/>
            <w:tcBorders>
              <w:top w:val="single" w:sz="4" w:space="0" w:color="auto"/>
              <w:left w:val="nil"/>
              <w:bottom w:val="nil"/>
              <w:right w:val="nil"/>
            </w:tcBorders>
          </w:tcPr>
          <w:p w14:paraId="55C542B8" w14:textId="77777777" w:rsidR="00E87BAD" w:rsidRPr="006B044F" w:rsidRDefault="00E87BAD" w:rsidP="00E87BAD">
            <w:pPr>
              <w:spacing w:line="276" w:lineRule="auto"/>
            </w:pPr>
            <w:r w:rsidRPr="006B044F">
              <w:t>70</w:t>
            </w:r>
          </w:p>
        </w:tc>
        <w:tc>
          <w:tcPr>
            <w:tcW w:w="794" w:type="dxa"/>
            <w:tcBorders>
              <w:top w:val="single" w:sz="4" w:space="0" w:color="auto"/>
              <w:left w:val="nil"/>
              <w:bottom w:val="nil"/>
              <w:right w:val="nil"/>
            </w:tcBorders>
            <w:vAlign w:val="center"/>
          </w:tcPr>
          <w:p w14:paraId="0B9D6EB4" w14:textId="77777777" w:rsidR="00E87BAD" w:rsidRPr="006B044F" w:rsidRDefault="00E87BAD" w:rsidP="00E87BAD">
            <w:pPr>
              <w:spacing w:line="276" w:lineRule="auto"/>
            </w:pPr>
            <w:r w:rsidRPr="006B044F">
              <w:t>20.1</w:t>
            </w:r>
          </w:p>
        </w:tc>
        <w:tc>
          <w:tcPr>
            <w:tcW w:w="832" w:type="dxa"/>
            <w:tcBorders>
              <w:top w:val="single" w:sz="4" w:space="0" w:color="auto"/>
              <w:left w:val="nil"/>
              <w:bottom w:val="nil"/>
              <w:right w:val="nil"/>
            </w:tcBorders>
            <w:vAlign w:val="center"/>
          </w:tcPr>
          <w:p w14:paraId="31ACAB69" w14:textId="77777777" w:rsidR="00E87BAD" w:rsidRPr="006B044F" w:rsidRDefault="00E87BAD" w:rsidP="00E87BAD">
            <w:pPr>
              <w:spacing w:line="276" w:lineRule="auto"/>
            </w:pPr>
            <w:r w:rsidRPr="006B044F">
              <w:t>18</w:t>
            </w:r>
          </w:p>
        </w:tc>
        <w:tc>
          <w:tcPr>
            <w:tcW w:w="837" w:type="dxa"/>
            <w:tcBorders>
              <w:top w:val="single" w:sz="4" w:space="0" w:color="auto"/>
              <w:left w:val="nil"/>
              <w:bottom w:val="nil"/>
              <w:right w:val="nil"/>
            </w:tcBorders>
            <w:vAlign w:val="center"/>
          </w:tcPr>
          <w:p w14:paraId="4838A194" w14:textId="77777777" w:rsidR="00E87BAD" w:rsidRPr="006B044F" w:rsidRDefault="00E87BAD" w:rsidP="00E87BAD">
            <w:pPr>
              <w:spacing w:line="276" w:lineRule="auto"/>
            </w:pPr>
            <w:r w:rsidRPr="006B044F">
              <w:t>22.1</w:t>
            </w:r>
          </w:p>
        </w:tc>
        <w:tc>
          <w:tcPr>
            <w:tcW w:w="905" w:type="dxa"/>
            <w:tcBorders>
              <w:top w:val="single" w:sz="4" w:space="0" w:color="auto"/>
              <w:left w:val="nil"/>
              <w:bottom w:val="nil"/>
              <w:right w:val="nil"/>
            </w:tcBorders>
          </w:tcPr>
          <w:p w14:paraId="3F9B7AB7" w14:textId="77777777" w:rsidR="00E87BAD" w:rsidRPr="006B044F" w:rsidRDefault="00E87BAD" w:rsidP="00E87BAD">
            <w:pPr>
              <w:spacing w:line="276" w:lineRule="auto"/>
            </w:pPr>
            <w:r w:rsidRPr="006B044F">
              <w:t>43.1</w:t>
            </w:r>
          </w:p>
        </w:tc>
        <w:tc>
          <w:tcPr>
            <w:tcW w:w="1111" w:type="dxa"/>
            <w:gridSpan w:val="2"/>
            <w:vMerge w:val="restart"/>
            <w:tcBorders>
              <w:top w:val="single" w:sz="4" w:space="0" w:color="auto"/>
              <w:left w:val="nil"/>
              <w:right w:val="nil"/>
            </w:tcBorders>
            <w:vAlign w:val="center"/>
          </w:tcPr>
          <w:p w14:paraId="4ABF910D" w14:textId="77777777" w:rsidR="00E87BAD" w:rsidRPr="006B044F" w:rsidRDefault="00E87BAD" w:rsidP="00E87BAD">
            <w:pPr>
              <w:spacing w:line="276" w:lineRule="auto"/>
            </w:pPr>
            <w:r w:rsidRPr="006B044F">
              <w:t>&lt; 0.0001</w:t>
            </w:r>
          </w:p>
        </w:tc>
        <w:tc>
          <w:tcPr>
            <w:tcW w:w="764" w:type="dxa"/>
            <w:tcBorders>
              <w:top w:val="single" w:sz="4" w:space="0" w:color="auto"/>
              <w:left w:val="nil"/>
              <w:bottom w:val="nil"/>
              <w:right w:val="nil"/>
            </w:tcBorders>
          </w:tcPr>
          <w:p w14:paraId="322C8002" w14:textId="77777777" w:rsidR="00E87BAD" w:rsidRPr="006B044F" w:rsidRDefault="00E87BAD" w:rsidP="00E87BAD">
            <w:pPr>
              <w:spacing w:line="276" w:lineRule="auto"/>
            </w:pPr>
          </w:p>
        </w:tc>
        <w:tc>
          <w:tcPr>
            <w:tcW w:w="794" w:type="dxa"/>
            <w:gridSpan w:val="2"/>
            <w:tcBorders>
              <w:top w:val="single" w:sz="4" w:space="0" w:color="auto"/>
              <w:left w:val="nil"/>
              <w:bottom w:val="nil"/>
              <w:right w:val="nil"/>
            </w:tcBorders>
          </w:tcPr>
          <w:p w14:paraId="70378FDC" w14:textId="77777777" w:rsidR="00E87BAD" w:rsidRPr="006B044F" w:rsidRDefault="00E87BAD" w:rsidP="00E87BAD">
            <w:pPr>
              <w:spacing w:line="276" w:lineRule="auto"/>
            </w:pPr>
            <w:r w:rsidRPr="006B044F">
              <w:t>132.8</w:t>
            </w:r>
          </w:p>
        </w:tc>
        <w:tc>
          <w:tcPr>
            <w:tcW w:w="832" w:type="dxa"/>
            <w:tcBorders>
              <w:top w:val="single" w:sz="4" w:space="0" w:color="auto"/>
              <w:left w:val="nil"/>
              <w:bottom w:val="nil"/>
              <w:right w:val="nil"/>
            </w:tcBorders>
          </w:tcPr>
          <w:p w14:paraId="1E96E189" w14:textId="77777777" w:rsidR="00E87BAD" w:rsidRPr="006B044F" w:rsidRDefault="00E87BAD" w:rsidP="00E87BAD">
            <w:pPr>
              <w:spacing w:line="276" w:lineRule="auto"/>
            </w:pPr>
            <w:r w:rsidRPr="006B044F">
              <w:t>124.6</w:t>
            </w:r>
          </w:p>
        </w:tc>
        <w:tc>
          <w:tcPr>
            <w:tcW w:w="837" w:type="dxa"/>
            <w:tcBorders>
              <w:top w:val="single" w:sz="4" w:space="0" w:color="auto"/>
              <w:left w:val="nil"/>
              <w:bottom w:val="nil"/>
              <w:right w:val="nil"/>
            </w:tcBorders>
          </w:tcPr>
          <w:p w14:paraId="1D570CEE" w14:textId="77777777" w:rsidR="00E87BAD" w:rsidRPr="006B044F" w:rsidRDefault="00E87BAD" w:rsidP="00E87BAD">
            <w:pPr>
              <w:spacing w:line="276" w:lineRule="auto"/>
            </w:pPr>
            <w:r w:rsidRPr="006B044F">
              <w:t>141</w:t>
            </w:r>
          </w:p>
        </w:tc>
        <w:tc>
          <w:tcPr>
            <w:tcW w:w="905" w:type="dxa"/>
            <w:tcBorders>
              <w:top w:val="single" w:sz="4" w:space="0" w:color="auto"/>
              <w:left w:val="nil"/>
              <w:bottom w:val="nil"/>
              <w:right w:val="nil"/>
            </w:tcBorders>
          </w:tcPr>
          <w:p w14:paraId="2F97B6DE" w14:textId="77777777" w:rsidR="00E87BAD" w:rsidRPr="006B044F" w:rsidRDefault="00E87BAD" w:rsidP="00E87BAD">
            <w:pPr>
              <w:spacing w:line="276" w:lineRule="auto"/>
            </w:pPr>
            <w:r w:rsidRPr="006B044F">
              <w:t>25.9</w:t>
            </w:r>
          </w:p>
        </w:tc>
        <w:tc>
          <w:tcPr>
            <w:tcW w:w="1111" w:type="dxa"/>
            <w:gridSpan w:val="2"/>
            <w:vMerge w:val="restart"/>
            <w:tcBorders>
              <w:top w:val="single" w:sz="4" w:space="0" w:color="auto"/>
              <w:left w:val="nil"/>
              <w:right w:val="nil"/>
            </w:tcBorders>
            <w:vAlign w:val="center"/>
          </w:tcPr>
          <w:p w14:paraId="6A4F2329" w14:textId="77777777" w:rsidR="00E87BAD" w:rsidRPr="006B044F" w:rsidRDefault="00E87BAD" w:rsidP="00E87BAD">
            <w:pPr>
              <w:spacing w:line="276" w:lineRule="auto"/>
            </w:pPr>
            <w:r w:rsidRPr="006B044F">
              <w:t>&lt; 0.0001</w:t>
            </w:r>
          </w:p>
        </w:tc>
      </w:tr>
      <w:tr w:rsidR="006B044F" w:rsidRPr="006B044F" w14:paraId="6362A4AB" w14:textId="77777777" w:rsidTr="00E87BAD">
        <w:trPr>
          <w:jc w:val="center"/>
        </w:trPr>
        <w:tc>
          <w:tcPr>
            <w:tcW w:w="1026" w:type="dxa"/>
            <w:vMerge/>
            <w:tcBorders>
              <w:left w:val="nil"/>
              <w:right w:val="nil"/>
            </w:tcBorders>
            <w:vAlign w:val="center"/>
          </w:tcPr>
          <w:p w14:paraId="46FE84F9"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2D402D95"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122180E7" w14:textId="77777777" w:rsidR="00E87BAD" w:rsidRPr="006B044F" w:rsidRDefault="00E87BAD" w:rsidP="00E87BAD">
            <w:pPr>
              <w:spacing w:line="276" w:lineRule="auto"/>
              <w:rPr>
                <w:b/>
              </w:rPr>
            </w:pPr>
            <w:r w:rsidRPr="006B044F">
              <w:rPr>
                <w:b/>
              </w:rPr>
              <w:t>B</w:t>
            </w:r>
          </w:p>
        </w:tc>
        <w:tc>
          <w:tcPr>
            <w:tcW w:w="581" w:type="dxa"/>
            <w:tcBorders>
              <w:top w:val="nil"/>
              <w:left w:val="nil"/>
              <w:bottom w:val="nil"/>
              <w:right w:val="nil"/>
            </w:tcBorders>
          </w:tcPr>
          <w:p w14:paraId="2A5AD43E" w14:textId="77777777" w:rsidR="00E87BAD" w:rsidRPr="006B044F" w:rsidRDefault="00E87BAD" w:rsidP="00E87BAD">
            <w:pPr>
              <w:spacing w:line="276" w:lineRule="auto"/>
            </w:pPr>
            <w:r w:rsidRPr="006B044F">
              <w:t>73</w:t>
            </w:r>
          </w:p>
        </w:tc>
        <w:tc>
          <w:tcPr>
            <w:tcW w:w="794" w:type="dxa"/>
            <w:tcBorders>
              <w:top w:val="nil"/>
              <w:left w:val="nil"/>
              <w:bottom w:val="nil"/>
              <w:right w:val="nil"/>
            </w:tcBorders>
            <w:vAlign w:val="center"/>
          </w:tcPr>
          <w:p w14:paraId="798D1C72" w14:textId="77777777" w:rsidR="00E87BAD" w:rsidRPr="006B044F" w:rsidRDefault="00E87BAD" w:rsidP="00E87BAD">
            <w:pPr>
              <w:spacing w:line="276" w:lineRule="auto"/>
            </w:pPr>
            <w:r w:rsidRPr="006B044F">
              <w:t>14.9</w:t>
            </w:r>
          </w:p>
        </w:tc>
        <w:tc>
          <w:tcPr>
            <w:tcW w:w="832" w:type="dxa"/>
            <w:tcBorders>
              <w:top w:val="nil"/>
              <w:left w:val="nil"/>
              <w:bottom w:val="nil"/>
              <w:right w:val="nil"/>
            </w:tcBorders>
            <w:vAlign w:val="center"/>
          </w:tcPr>
          <w:p w14:paraId="35893E05" w14:textId="77777777" w:rsidR="00E87BAD" w:rsidRPr="006B044F" w:rsidRDefault="00E87BAD" w:rsidP="00E87BAD">
            <w:pPr>
              <w:spacing w:line="276" w:lineRule="auto"/>
            </w:pPr>
            <w:r w:rsidRPr="006B044F">
              <w:t>12.8</w:t>
            </w:r>
          </w:p>
        </w:tc>
        <w:tc>
          <w:tcPr>
            <w:tcW w:w="837" w:type="dxa"/>
            <w:tcBorders>
              <w:top w:val="nil"/>
              <w:left w:val="nil"/>
              <w:bottom w:val="nil"/>
              <w:right w:val="nil"/>
            </w:tcBorders>
            <w:vAlign w:val="center"/>
          </w:tcPr>
          <w:p w14:paraId="6D1D225A" w14:textId="77777777" w:rsidR="00E87BAD" w:rsidRPr="006B044F" w:rsidRDefault="00E87BAD" w:rsidP="00E87BAD">
            <w:pPr>
              <w:spacing w:line="276" w:lineRule="auto"/>
            </w:pPr>
            <w:r w:rsidRPr="006B044F">
              <w:t>17</w:t>
            </w:r>
          </w:p>
        </w:tc>
        <w:tc>
          <w:tcPr>
            <w:tcW w:w="905" w:type="dxa"/>
            <w:tcBorders>
              <w:top w:val="nil"/>
              <w:left w:val="nil"/>
              <w:bottom w:val="nil"/>
              <w:right w:val="nil"/>
            </w:tcBorders>
          </w:tcPr>
          <w:p w14:paraId="11BBBD0D" w14:textId="77777777" w:rsidR="00E87BAD" w:rsidRPr="006B044F" w:rsidRDefault="00E87BAD" w:rsidP="00E87BAD">
            <w:pPr>
              <w:spacing w:line="276" w:lineRule="auto"/>
            </w:pPr>
            <w:r w:rsidRPr="006B044F">
              <w:t>60.6</w:t>
            </w:r>
          </w:p>
        </w:tc>
        <w:tc>
          <w:tcPr>
            <w:tcW w:w="1111" w:type="dxa"/>
            <w:gridSpan w:val="2"/>
            <w:vMerge/>
            <w:tcBorders>
              <w:left w:val="nil"/>
              <w:right w:val="nil"/>
            </w:tcBorders>
            <w:vAlign w:val="center"/>
          </w:tcPr>
          <w:p w14:paraId="6A5053FE" w14:textId="77777777" w:rsidR="00E87BAD" w:rsidRPr="006B044F" w:rsidRDefault="00E87BAD" w:rsidP="00E87BAD">
            <w:pPr>
              <w:spacing w:line="276" w:lineRule="auto"/>
            </w:pPr>
          </w:p>
        </w:tc>
        <w:tc>
          <w:tcPr>
            <w:tcW w:w="764" w:type="dxa"/>
            <w:tcBorders>
              <w:top w:val="nil"/>
              <w:left w:val="nil"/>
              <w:bottom w:val="nil"/>
              <w:right w:val="nil"/>
            </w:tcBorders>
          </w:tcPr>
          <w:p w14:paraId="26B320ED"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4102DBEB" w14:textId="77777777" w:rsidR="00E87BAD" w:rsidRPr="006B044F" w:rsidRDefault="00E87BAD" w:rsidP="00E87BAD">
            <w:pPr>
              <w:spacing w:line="276" w:lineRule="auto"/>
            </w:pPr>
            <w:r w:rsidRPr="006B044F">
              <w:t>101.4</w:t>
            </w:r>
          </w:p>
        </w:tc>
        <w:tc>
          <w:tcPr>
            <w:tcW w:w="832" w:type="dxa"/>
            <w:tcBorders>
              <w:top w:val="nil"/>
              <w:left w:val="nil"/>
              <w:bottom w:val="nil"/>
              <w:right w:val="nil"/>
            </w:tcBorders>
          </w:tcPr>
          <w:p w14:paraId="25BBAC93" w14:textId="77777777" w:rsidR="00E87BAD" w:rsidRPr="006B044F" w:rsidRDefault="00E87BAD" w:rsidP="00E87BAD">
            <w:pPr>
              <w:spacing w:line="276" w:lineRule="auto"/>
            </w:pPr>
            <w:r w:rsidRPr="006B044F">
              <w:t>91.8</w:t>
            </w:r>
          </w:p>
        </w:tc>
        <w:tc>
          <w:tcPr>
            <w:tcW w:w="837" w:type="dxa"/>
            <w:tcBorders>
              <w:top w:val="nil"/>
              <w:left w:val="nil"/>
              <w:bottom w:val="nil"/>
              <w:right w:val="nil"/>
            </w:tcBorders>
          </w:tcPr>
          <w:p w14:paraId="2BD853F4" w14:textId="77777777" w:rsidR="00E87BAD" w:rsidRPr="006B044F" w:rsidRDefault="00E87BAD" w:rsidP="00E87BAD">
            <w:pPr>
              <w:spacing w:line="276" w:lineRule="auto"/>
            </w:pPr>
            <w:r w:rsidRPr="006B044F">
              <w:t>111</w:t>
            </w:r>
          </w:p>
        </w:tc>
        <w:tc>
          <w:tcPr>
            <w:tcW w:w="905" w:type="dxa"/>
            <w:tcBorders>
              <w:top w:val="nil"/>
              <w:left w:val="nil"/>
              <w:bottom w:val="nil"/>
              <w:right w:val="nil"/>
            </w:tcBorders>
          </w:tcPr>
          <w:p w14:paraId="2519753C" w14:textId="77777777" w:rsidR="00E87BAD" w:rsidRPr="006B044F" w:rsidRDefault="00E87BAD" w:rsidP="00E87BAD">
            <w:pPr>
              <w:spacing w:line="276" w:lineRule="auto"/>
            </w:pPr>
            <w:r w:rsidRPr="006B044F">
              <w:t>40.5</w:t>
            </w:r>
          </w:p>
        </w:tc>
        <w:tc>
          <w:tcPr>
            <w:tcW w:w="1111" w:type="dxa"/>
            <w:gridSpan w:val="2"/>
            <w:vMerge/>
            <w:tcBorders>
              <w:left w:val="nil"/>
              <w:right w:val="nil"/>
            </w:tcBorders>
            <w:vAlign w:val="center"/>
          </w:tcPr>
          <w:p w14:paraId="5CB33E1C" w14:textId="77777777" w:rsidR="00E87BAD" w:rsidRPr="006B044F" w:rsidRDefault="00E87BAD" w:rsidP="00E87BAD">
            <w:pPr>
              <w:spacing w:line="276" w:lineRule="auto"/>
            </w:pPr>
          </w:p>
        </w:tc>
      </w:tr>
      <w:tr w:rsidR="006B044F" w:rsidRPr="006B044F" w14:paraId="1B671513" w14:textId="77777777" w:rsidTr="00E87BAD">
        <w:trPr>
          <w:jc w:val="center"/>
        </w:trPr>
        <w:tc>
          <w:tcPr>
            <w:tcW w:w="1026" w:type="dxa"/>
            <w:vMerge/>
            <w:tcBorders>
              <w:left w:val="nil"/>
              <w:bottom w:val="nil"/>
              <w:right w:val="nil"/>
            </w:tcBorders>
            <w:vAlign w:val="center"/>
          </w:tcPr>
          <w:p w14:paraId="5A540E8F"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65BF6701"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7ADF7025" w14:textId="77777777" w:rsidR="00E87BAD" w:rsidRPr="006B044F" w:rsidRDefault="00E87BAD" w:rsidP="00E87BAD">
            <w:pPr>
              <w:spacing w:line="276" w:lineRule="auto"/>
              <w:rPr>
                <w:b/>
              </w:rPr>
            </w:pPr>
            <w:r w:rsidRPr="006B044F">
              <w:rPr>
                <w:b/>
              </w:rPr>
              <w:t>C</w:t>
            </w:r>
          </w:p>
        </w:tc>
        <w:tc>
          <w:tcPr>
            <w:tcW w:w="581" w:type="dxa"/>
            <w:tcBorders>
              <w:top w:val="nil"/>
              <w:left w:val="nil"/>
              <w:bottom w:val="nil"/>
              <w:right w:val="nil"/>
            </w:tcBorders>
          </w:tcPr>
          <w:p w14:paraId="68DE3306" w14:textId="77777777" w:rsidR="00E87BAD" w:rsidRPr="006B044F" w:rsidRDefault="00E87BAD" w:rsidP="00E87BAD">
            <w:pPr>
              <w:spacing w:line="276" w:lineRule="auto"/>
            </w:pPr>
            <w:r w:rsidRPr="006B044F">
              <w:t>72</w:t>
            </w:r>
          </w:p>
        </w:tc>
        <w:tc>
          <w:tcPr>
            <w:tcW w:w="794" w:type="dxa"/>
            <w:tcBorders>
              <w:top w:val="nil"/>
              <w:left w:val="nil"/>
              <w:bottom w:val="nil"/>
              <w:right w:val="nil"/>
            </w:tcBorders>
            <w:vAlign w:val="center"/>
          </w:tcPr>
          <w:p w14:paraId="2F58697D" w14:textId="77777777" w:rsidR="00E87BAD" w:rsidRPr="006B044F" w:rsidRDefault="00E87BAD" w:rsidP="00E87BAD">
            <w:pPr>
              <w:spacing w:line="276" w:lineRule="auto"/>
            </w:pPr>
            <w:r w:rsidRPr="006B044F">
              <w:t>14</w:t>
            </w:r>
          </w:p>
        </w:tc>
        <w:tc>
          <w:tcPr>
            <w:tcW w:w="832" w:type="dxa"/>
            <w:tcBorders>
              <w:top w:val="nil"/>
              <w:left w:val="nil"/>
              <w:bottom w:val="nil"/>
              <w:right w:val="nil"/>
            </w:tcBorders>
            <w:vAlign w:val="center"/>
          </w:tcPr>
          <w:p w14:paraId="6DD3A0FF" w14:textId="77777777" w:rsidR="00E87BAD" w:rsidRPr="006B044F" w:rsidRDefault="00E87BAD" w:rsidP="00E87BAD">
            <w:pPr>
              <w:spacing w:line="276" w:lineRule="auto"/>
            </w:pPr>
            <w:r w:rsidRPr="006B044F">
              <w:t>12.2</w:t>
            </w:r>
          </w:p>
        </w:tc>
        <w:tc>
          <w:tcPr>
            <w:tcW w:w="837" w:type="dxa"/>
            <w:tcBorders>
              <w:top w:val="nil"/>
              <w:left w:val="nil"/>
              <w:bottom w:val="nil"/>
              <w:right w:val="nil"/>
            </w:tcBorders>
            <w:vAlign w:val="center"/>
          </w:tcPr>
          <w:p w14:paraId="6AD44681" w14:textId="77777777" w:rsidR="00E87BAD" w:rsidRPr="006B044F" w:rsidRDefault="00E87BAD" w:rsidP="00E87BAD">
            <w:pPr>
              <w:spacing w:line="276" w:lineRule="auto"/>
            </w:pPr>
            <w:r w:rsidRPr="006B044F">
              <w:t>15.8</w:t>
            </w:r>
          </w:p>
        </w:tc>
        <w:tc>
          <w:tcPr>
            <w:tcW w:w="905" w:type="dxa"/>
            <w:tcBorders>
              <w:top w:val="nil"/>
              <w:left w:val="nil"/>
              <w:bottom w:val="nil"/>
              <w:right w:val="nil"/>
            </w:tcBorders>
          </w:tcPr>
          <w:p w14:paraId="6CA1A40B" w14:textId="77777777" w:rsidR="00E87BAD" w:rsidRPr="006B044F" w:rsidRDefault="00E87BAD" w:rsidP="00E87BAD">
            <w:pPr>
              <w:spacing w:line="276" w:lineRule="auto"/>
            </w:pPr>
            <w:r w:rsidRPr="006B044F">
              <w:t>53.7</w:t>
            </w:r>
          </w:p>
        </w:tc>
        <w:tc>
          <w:tcPr>
            <w:tcW w:w="1111" w:type="dxa"/>
            <w:gridSpan w:val="2"/>
            <w:vMerge/>
            <w:tcBorders>
              <w:left w:val="nil"/>
              <w:bottom w:val="nil"/>
              <w:right w:val="nil"/>
            </w:tcBorders>
            <w:vAlign w:val="center"/>
          </w:tcPr>
          <w:p w14:paraId="101F2A77" w14:textId="77777777" w:rsidR="00E87BAD" w:rsidRPr="006B044F" w:rsidRDefault="00E87BAD" w:rsidP="00E87BAD">
            <w:pPr>
              <w:spacing w:line="276" w:lineRule="auto"/>
            </w:pPr>
          </w:p>
        </w:tc>
        <w:tc>
          <w:tcPr>
            <w:tcW w:w="764" w:type="dxa"/>
            <w:tcBorders>
              <w:top w:val="nil"/>
              <w:left w:val="nil"/>
              <w:bottom w:val="nil"/>
              <w:right w:val="nil"/>
            </w:tcBorders>
          </w:tcPr>
          <w:p w14:paraId="16ACE36F"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019DE8C1" w14:textId="77777777" w:rsidR="00E87BAD" w:rsidRPr="006B044F" w:rsidRDefault="00E87BAD" w:rsidP="00E87BAD">
            <w:pPr>
              <w:spacing w:line="276" w:lineRule="auto"/>
            </w:pPr>
            <w:r w:rsidRPr="006B044F">
              <w:t>126.1</w:t>
            </w:r>
          </w:p>
        </w:tc>
        <w:tc>
          <w:tcPr>
            <w:tcW w:w="832" w:type="dxa"/>
            <w:tcBorders>
              <w:top w:val="nil"/>
              <w:left w:val="nil"/>
              <w:bottom w:val="nil"/>
              <w:right w:val="nil"/>
            </w:tcBorders>
          </w:tcPr>
          <w:p w14:paraId="21F6D5E8" w14:textId="77777777" w:rsidR="00E87BAD" w:rsidRPr="006B044F" w:rsidRDefault="00E87BAD" w:rsidP="00E87BAD">
            <w:pPr>
              <w:spacing w:line="276" w:lineRule="auto"/>
            </w:pPr>
            <w:r w:rsidRPr="006B044F">
              <w:t>115.3</w:t>
            </w:r>
          </w:p>
        </w:tc>
        <w:tc>
          <w:tcPr>
            <w:tcW w:w="837" w:type="dxa"/>
            <w:tcBorders>
              <w:top w:val="nil"/>
              <w:left w:val="nil"/>
              <w:bottom w:val="nil"/>
              <w:right w:val="nil"/>
            </w:tcBorders>
          </w:tcPr>
          <w:p w14:paraId="1578FC0D" w14:textId="77777777" w:rsidR="00E87BAD" w:rsidRPr="006B044F" w:rsidRDefault="00E87BAD" w:rsidP="00E87BAD">
            <w:pPr>
              <w:spacing w:line="276" w:lineRule="auto"/>
            </w:pPr>
            <w:r w:rsidRPr="006B044F">
              <w:t>136.9</w:t>
            </w:r>
          </w:p>
        </w:tc>
        <w:tc>
          <w:tcPr>
            <w:tcW w:w="905" w:type="dxa"/>
            <w:tcBorders>
              <w:top w:val="nil"/>
              <w:left w:val="nil"/>
              <w:bottom w:val="nil"/>
              <w:right w:val="nil"/>
            </w:tcBorders>
          </w:tcPr>
          <w:p w14:paraId="5D6A4ABC" w14:textId="77777777" w:rsidR="00E87BAD" w:rsidRPr="006B044F" w:rsidRDefault="00E87BAD" w:rsidP="00E87BAD">
            <w:pPr>
              <w:spacing w:line="276" w:lineRule="auto"/>
            </w:pPr>
            <w:r w:rsidRPr="006B044F">
              <w:t>36.3</w:t>
            </w:r>
          </w:p>
        </w:tc>
        <w:tc>
          <w:tcPr>
            <w:tcW w:w="1111" w:type="dxa"/>
            <w:gridSpan w:val="2"/>
            <w:vMerge/>
            <w:tcBorders>
              <w:left w:val="nil"/>
              <w:bottom w:val="nil"/>
              <w:right w:val="nil"/>
            </w:tcBorders>
            <w:vAlign w:val="center"/>
          </w:tcPr>
          <w:p w14:paraId="51C205D8" w14:textId="77777777" w:rsidR="00E87BAD" w:rsidRPr="006B044F" w:rsidRDefault="00E87BAD" w:rsidP="00E87BAD">
            <w:pPr>
              <w:spacing w:line="276" w:lineRule="auto"/>
            </w:pPr>
          </w:p>
        </w:tc>
      </w:tr>
      <w:tr w:rsidR="006B044F" w:rsidRPr="006B044F" w14:paraId="6EDA32AE" w14:textId="77777777" w:rsidTr="00E87BAD">
        <w:trPr>
          <w:jc w:val="center"/>
        </w:trPr>
        <w:tc>
          <w:tcPr>
            <w:tcW w:w="1026" w:type="dxa"/>
            <w:tcBorders>
              <w:top w:val="nil"/>
              <w:left w:val="nil"/>
              <w:bottom w:val="nil"/>
              <w:right w:val="nil"/>
            </w:tcBorders>
            <w:vAlign w:val="center"/>
          </w:tcPr>
          <w:p w14:paraId="5CA03911"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09BA1FBD"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446051FA" w14:textId="77777777" w:rsidR="00E87BAD" w:rsidRPr="006B044F" w:rsidRDefault="00E87BAD" w:rsidP="00E87BAD">
            <w:pPr>
              <w:spacing w:line="276" w:lineRule="auto"/>
              <w:rPr>
                <w:b/>
              </w:rPr>
            </w:pPr>
          </w:p>
        </w:tc>
        <w:tc>
          <w:tcPr>
            <w:tcW w:w="581" w:type="dxa"/>
            <w:tcBorders>
              <w:top w:val="nil"/>
              <w:left w:val="nil"/>
              <w:bottom w:val="nil"/>
              <w:right w:val="nil"/>
            </w:tcBorders>
          </w:tcPr>
          <w:p w14:paraId="3E35C620" w14:textId="77777777" w:rsidR="00E87BAD" w:rsidRPr="006B044F" w:rsidRDefault="00E87BAD" w:rsidP="00E87BAD">
            <w:pPr>
              <w:spacing w:line="276" w:lineRule="auto"/>
            </w:pPr>
          </w:p>
        </w:tc>
        <w:tc>
          <w:tcPr>
            <w:tcW w:w="794" w:type="dxa"/>
            <w:tcBorders>
              <w:top w:val="nil"/>
              <w:left w:val="nil"/>
              <w:bottom w:val="nil"/>
              <w:right w:val="nil"/>
            </w:tcBorders>
            <w:vAlign w:val="center"/>
          </w:tcPr>
          <w:p w14:paraId="2FFE9F74" w14:textId="77777777" w:rsidR="00E87BAD" w:rsidRPr="006B044F" w:rsidRDefault="00E87BAD" w:rsidP="00E87BAD">
            <w:pPr>
              <w:spacing w:line="276" w:lineRule="auto"/>
            </w:pPr>
          </w:p>
        </w:tc>
        <w:tc>
          <w:tcPr>
            <w:tcW w:w="832" w:type="dxa"/>
            <w:tcBorders>
              <w:top w:val="nil"/>
              <w:left w:val="nil"/>
              <w:bottom w:val="nil"/>
              <w:right w:val="nil"/>
            </w:tcBorders>
            <w:vAlign w:val="center"/>
          </w:tcPr>
          <w:p w14:paraId="5637F936" w14:textId="77777777" w:rsidR="00E87BAD" w:rsidRPr="006B044F" w:rsidRDefault="00E87BAD" w:rsidP="00E87BAD">
            <w:pPr>
              <w:spacing w:line="276" w:lineRule="auto"/>
            </w:pPr>
          </w:p>
        </w:tc>
        <w:tc>
          <w:tcPr>
            <w:tcW w:w="837" w:type="dxa"/>
            <w:tcBorders>
              <w:top w:val="nil"/>
              <w:left w:val="nil"/>
              <w:bottom w:val="nil"/>
              <w:right w:val="nil"/>
            </w:tcBorders>
            <w:vAlign w:val="center"/>
          </w:tcPr>
          <w:p w14:paraId="3C605ED0" w14:textId="77777777" w:rsidR="00E87BAD" w:rsidRPr="006B044F" w:rsidRDefault="00E87BAD" w:rsidP="00E87BAD">
            <w:pPr>
              <w:spacing w:line="276" w:lineRule="auto"/>
            </w:pPr>
          </w:p>
        </w:tc>
        <w:tc>
          <w:tcPr>
            <w:tcW w:w="905" w:type="dxa"/>
            <w:tcBorders>
              <w:top w:val="nil"/>
              <w:left w:val="nil"/>
              <w:bottom w:val="nil"/>
              <w:right w:val="nil"/>
            </w:tcBorders>
          </w:tcPr>
          <w:p w14:paraId="5822355E" w14:textId="77777777" w:rsidR="00E87BAD" w:rsidRPr="006B044F" w:rsidRDefault="00E87BAD" w:rsidP="00E87BAD">
            <w:pPr>
              <w:spacing w:line="276" w:lineRule="auto"/>
            </w:pPr>
          </w:p>
        </w:tc>
        <w:tc>
          <w:tcPr>
            <w:tcW w:w="1111" w:type="dxa"/>
            <w:gridSpan w:val="2"/>
            <w:tcBorders>
              <w:top w:val="nil"/>
              <w:left w:val="nil"/>
              <w:bottom w:val="nil"/>
              <w:right w:val="nil"/>
            </w:tcBorders>
            <w:vAlign w:val="center"/>
          </w:tcPr>
          <w:p w14:paraId="33662EE4" w14:textId="77777777" w:rsidR="00E87BAD" w:rsidRPr="006B044F" w:rsidRDefault="00E87BAD" w:rsidP="00E87BAD">
            <w:pPr>
              <w:spacing w:line="276" w:lineRule="auto"/>
            </w:pPr>
          </w:p>
        </w:tc>
        <w:tc>
          <w:tcPr>
            <w:tcW w:w="764" w:type="dxa"/>
            <w:tcBorders>
              <w:top w:val="nil"/>
              <w:left w:val="nil"/>
              <w:bottom w:val="nil"/>
              <w:right w:val="nil"/>
            </w:tcBorders>
          </w:tcPr>
          <w:p w14:paraId="7221AF33"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114B3795" w14:textId="77777777" w:rsidR="00E87BAD" w:rsidRPr="006B044F" w:rsidRDefault="00E87BAD" w:rsidP="00E87BAD">
            <w:pPr>
              <w:spacing w:line="276" w:lineRule="auto"/>
            </w:pPr>
          </w:p>
        </w:tc>
        <w:tc>
          <w:tcPr>
            <w:tcW w:w="832" w:type="dxa"/>
            <w:tcBorders>
              <w:top w:val="nil"/>
              <w:left w:val="nil"/>
              <w:bottom w:val="nil"/>
              <w:right w:val="nil"/>
            </w:tcBorders>
          </w:tcPr>
          <w:p w14:paraId="0DA012F1" w14:textId="77777777" w:rsidR="00E87BAD" w:rsidRPr="006B044F" w:rsidRDefault="00E87BAD" w:rsidP="00E87BAD">
            <w:pPr>
              <w:spacing w:line="276" w:lineRule="auto"/>
            </w:pPr>
          </w:p>
        </w:tc>
        <w:tc>
          <w:tcPr>
            <w:tcW w:w="837" w:type="dxa"/>
            <w:tcBorders>
              <w:top w:val="nil"/>
              <w:left w:val="nil"/>
              <w:bottom w:val="nil"/>
              <w:right w:val="nil"/>
            </w:tcBorders>
          </w:tcPr>
          <w:p w14:paraId="510369C9" w14:textId="77777777" w:rsidR="00E87BAD" w:rsidRPr="006B044F" w:rsidRDefault="00E87BAD" w:rsidP="00E87BAD">
            <w:pPr>
              <w:spacing w:line="276" w:lineRule="auto"/>
            </w:pPr>
          </w:p>
        </w:tc>
        <w:tc>
          <w:tcPr>
            <w:tcW w:w="905" w:type="dxa"/>
            <w:tcBorders>
              <w:top w:val="nil"/>
              <w:left w:val="nil"/>
              <w:bottom w:val="nil"/>
              <w:right w:val="nil"/>
            </w:tcBorders>
          </w:tcPr>
          <w:p w14:paraId="0AFE33BE" w14:textId="77777777" w:rsidR="00E87BAD" w:rsidRPr="006B044F" w:rsidRDefault="00E87BAD" w:rsidP="00E87BAD">
            <w:pPr>
              <w:spacing w:line="276" w:lineRule="auto"/>
            </w:pPr>
          </w:p>
        </w:tc>
        <w:tc>
          <w:tcPr>
            <w:tcW w:w="1111" w:type="dxa"/>
            <w:gridSpan w:val="2"/>
            <w:tcBorders>
              <w:top w:val="nil"/>
              <w:left w:val="nil"/>
              <w:bottom w:val="nil"/>
              <w:right w:val="nil"/>
            </w:tcBorders>
            <w:vAlign w:val="center"/>
          </w:tcPr>
          <w:p w14:paraId="5513ACD4" w14:textId="77777777" w:rsidR="00E87BAD" w:rsidRPr="006B044F" w:rsidRDefault="00E87BAD" w:rsidP="00E87BAD">
            <w:pPr>
              <w:spacing w:line="276" w:lineRule="auto"/>
            </w:pPr>
          </w:p>
        </w:tc>
      </w:tr>
      <w:tr w:rsidR="006B044F" w:rsidRPr="006B044F" w14:paraId="066B342E" w14:textId="77777777" w:rsidTr="00E87BAD">
        <w:trPr>
          <w:jc w:val="center"/>
        </w:trPr>
        <w:tc>
          <w:tcPr>
            <w:tcW w:w="1026" w:type="dxa"/>
            <w:vMerge w:val="restart"/>
            <w:tcBorders>
              <w:top w:val="nil"/>
              <w:left w:val="nil"/>
              <w:right w:val="nil"/>
            </w:tcBorders>
            <w:vAlign w:val="center"/>
          </w:tcPr>
          <w:p w14:paraId="43D72C1B" w14:textId="77777777" w:rsidR="00E87BAD" w:rsidRPr="006B044F" w:rsidRDefault="00E87BAD" w:rsidP="00E87BAD">
            <w:pPr>
              <w:spacing w:line="276" w:lineRule="auto"/>
              <w:rPr>
                <w:b/>
              </w:rPr>
            </w:pPr>
            <w:r w:rsidRPr="006B044F">
              <w:rPr>
                <w:b/>
              </w:rPr>
              <w:t>Within Patch</w:t>
            </w:r>
          </w:p>
        </w:tc>
        <w:tc>
          <w:tcPr>
            <w:tcW w:w="775" w:type="dxa"/>
            <w:tcBorders>
              <w:top w:val="nil"/>
              <w:left w:val="nil"/>
              <w:bottom w:val="nil"/>
              <w:right w:val="nil"/>
            </w:tcBorders>
            <w:vAlign w:val="center"/>
          </w:tcPr>
          <w:p w14:paraId="30C3DB0E" w14:textId="77777777" w:rsidR="00E87BAD" w:rsidRPr="006B044F" w:rsidRDefault="00E87BAD" w:rsidP="00E87BAD">
            <w:pPr>
              <w:spacing w:line="276" w:lineRule="auto"/>
              <w:rPr>
                <w:b/>
              </w:rPr>
            </w:pPr>
            <w:r w:rsidRPr="006B044F">
              <w:rPr>
                <w:b/>
              </w:rPr>
              <w:t>Tree</w:t>
            </w:r>
          </w:p>
        </w:tc>
        <w:tc>
          <w:tcPr>
            <w:tcW w:w="977" w:type="dxa"/>
            <w:tcBorders>
              <w:top w:val="nil"/>
              <w:left w:val="nil"/>
              <w:bottom w:val="nil"/>
              <w:right w:val="nil"/>
            </w:tcBorders>
            <w:vAlign w:val="center"/>
          </w:tcPr>
          <w:p w14:paraId="64B77A5B" w14:textId="77777777" w:rsidR="00E87BAD" w:rsidRPr="006B044F" w:rsidRDefault="00E87BAD" w:rsidP="00E87BAD">
            <w:pPr>
              <w:spacing w:line="276" w:lineRule="auto"/>
              <w:rPr>
                <w:b/>
              </w:rPr>
            </w:pPr>
            <w:r w:rsidRPr="006B044F">
              <w:rPr>
                <w:b/>
              </w:rPr>
              <w:t>1</w:t>
            </w:r>
          </w:p>
        </w:tc>
        <w:tc>
          <w:tcPr>
            <w:tcW w:w="581" w:type="dxa"/>
            <w:tcBorders>
              <w:top w:val="nil"/>
              <w:left w:val="nil"/>
              <w:bottom w:val="nil"/>
              <w:right w:val="nil"/>
            </w:tcBorders>
          </w:tcPr>
          <w:p w14:paraId="6DDDDFD4" w14:textId="77777777" w:rsidR="00E87BAD" w:rsidRPr="006B044F" w:rsidRDefault="00E87BAD" w:rsidP="00E87BAD">
            <w:pPr>
              <w:spacing w:line="276" w:lineRule="auto"/>
            </w:pPr>
            <w:r w:rsidRPr="006B044F">
              <w:t>24</w:t>
            </w:r>
          </w:p>
        </w:tc>
        <w:tc>
          <w:tcPr>
            <w:tcW w:w="794" w:type="dxa"/>
            <w:tcBorders>
              <w:top w:val="nil"/>
              <w:left w:val="nil"/>
              <w:bottom w:val="nil"/>
              <w:right w:val="nil"/>
            </w:tcBorders>
            <w:vAlign w:val="center"/>
          </w:tcPr>
          <w:p w14:paraId="73E0C1FF" w14:textId="77777777" w:rsidR="00E87BAD" w:rsidRPr="006B044F" w:rsidRDefault="00E87BAD" w:rsidP="00E87BAD">
            <w:pPr>
              <w:spacing w:line="276" w:lineRule="auto"/>
            </w:pPr>
            <w:r w:rsidRPr="006B044F">
              <w:t>22.8</w:t>
            </w:r>
          </w:p>
        </w:tc>
        <w:tc>
          <w:tcPr>
            <w:tcW w:w="832" w:type="dxa"/>
            <w:tcBorders>
              <w:top w:val="nil"/>
              <w:left w:val="nil"/>
              <w:bottom w:val="nil"/>
              <w:right w:val="nil"/>
            </w:tcBorders>
            <w:vAlign w:val="center"/>
          </w:tcPr>
          <w:p w14:paraId="107F48C1" w14:textId="77777777" w:rsidR="00E87BAD" w:rsidRPr="006B044F" w:rsidRDefault="00E87BAD" w:rsidP="00E87BAD">
            <w:pPr>
              <w:spacing w:line="276" w:lineRule="auto"/>
            </w:pPr>
            <w:r w:rsidRPr="006B044F">
              <w:t>18.6</w:t>
            </w:r>
          </w:p>
        </w:tc>
        <w:tc>
          <w:tcPr>
            <w:tcW w:w="837" w:type="dxa"/>
            <w:tcBorders>
              <w:top w:val="nil"/>
              <w:left w:val="nil"/>
              <w:bottom w:val="nil"/>
              <w:right w:val="nil"/>
            </w:tcBorders>
            <w:vAlign w:val="center"/>
          </w:tcPr>
          <w:p w14:paraId="7E16C3FD" w14:textId="77777777" w:rsidR="00E87BAD" w:rsidRPr="006B044F" w:rsidRDefault="00E87BAD" w:rsidP="00E87BAD">
            <w:pPr>
              <w:spacing w:line="276" w:lineRule="auto"/>
            </w:pPr>
            <w:r w:rsidRPr="006B044F">
              <w:t>27</w:t>
            </w:r>
          </w:p>
        </w:tc>
        <w:tc>
          <w:tcPr>
            <w:tcW w:w="905" w:type="dxa"/>
            <w:tcBorders>
              <w:top w:val="nil"/>
              <w:left w:val="nil"/>
              <w:bottom w:val="nil"/>
              <w:right w:val="nil"/>
            </w:tcBorders>
            <w:vAlign w:val="center"/>
          </w:tcPr>
          <w:p w14:paraId="4A69C3BC" w14:textId="77777777" w:rsidR="00E87BAD" w:rsidRPr="006B044F" w:rsidRDefault="00E87BAD" w:rsidP="00E87BAD">
            <w:pPr>
              <w:spacing w:line="276" w:lineRule="auto"/>
            </w:pPr>
            <w:r w:rsidRPr="006B044F">
              <w:t>43.9</w:t>
            </w:r>
          </w:p>
        </w:tc>
        <w:tc>
          <w:tcPr>
            <w:tcW w:w="1111" w:type="dxa"/>
            <w:gridSpan w:val="2"/>
            <w:vMerge w:val="restart"/>
            <w:tcBorders>
              <w:top w:val="nil"/>
              <w:left w:val="nil"/>
              <w:right w:val="nil"/>
            </w:tcBorders>
            <w:vAlign w:val="center"/>
          </w:tcPr>
          <w:p w14:paraId="5686E2D4" w14:textId="0B37DA45" w:rsidR="00E87BAD" w:rsidRPr="006B044F" w:rsidRDefault="00E87BAD" w:rsidP="00E87BAD">
            <w:pPr>
              <w:spacing w:line="276" w:lineRule="auto"/>
            </w:pPr>
            <w:r w:rsidRPr="006B044F">
              <w:t>0.1</w:t>
            </w:r>
            <w:r w:rsidR="008D2CE2" w:rsidRPr="006B044F">
              <w:t>3</w:t>
            </w:r>
          </w:p>
        </w:tc>
        <w:tc>
          <w:tcPr>
            <w:tcW w:w="764" w:type="dxa"/>
            <w:tcBorders>
              <w:top w:val="nil"/>
              <w:left w:val="nil"/>
              <w:bottom w:val="nil"/>
              <w:right w:val="nil"/>
            </w:tcBorders>
          </w:tcPr>
          <w:p w14:paraId="0FB8CF90"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3FFF740C" w14:textId="77777777" w:rsidR="00E87BAD" w:rsidRPr="006B044F" w:rsidRDefault="00E87BAD" w:rsidP="00E87BAD">
            <w:pPr>
              <w:spacing w:line="276" w:lineRule="auto"/>
            </w:pPr>
            <w:r w:rsidRPr="006B044F">
              <w:t>133.2</w:t>
            </w:r>
          </w:p>
        </w:tc>
        <w:tc>
          <w:tcPr>
            <w:tcW w:w="832" w:type="dxa"/>
            <w:tcBorders>
              <w:top w:val="nil"/>
              <w:left w:val="nil"/>
              <w:bottom w:val="nil"/>
              <w:right w:val="nil"/>
            </w:tcBorders>
          </w:tcPr>
          <w:p w14:paraId="4613B4B2" w14:textId="77777777" w:rsidR="00E87BAD" w:rsidRPr="006B044F" w:rsidRDefault="00E87BAD" w:rsidP="00E87BAD">
            <w:pPr>
              <w:spacing w:line="276" w:lineRule="auto"/>
            </w:pPr>
            <w:r w:rsidRPr="006B044F">
              <w:t>120.2</w:t>
            </w:r>
          </w:p>
        </w:tc>
        <w:tc>
          <w:tcPr>
            <w:tcW w:w="837" w:type="dxa"/>
            <w:tcBorders>
              <w:top w:val="nil"/>
              <w:left w:val="nil"/>
              <w:bottom w:val="nil"/>
              <w:right w:val="nil"/>
            </w:tcBorders>
          </w:tcPr>
          <w:p w14:paraId="7D07DD50" w14:textId="77777777" w:rsidR="00E87BAD" w:rsidRPr="006B044F" w:rsidRDefault="00E87BAD" w:rsidP="00E87BAD">
            <w:pPr>
              <w:spacing w:line="276" w:lineRule="auto"/>
            </w:pPr>
            <w:r w:rsidRPr="006B044F">
              <w:t>146.2</w:t>
            </w:r>
          </w:p>
        </w:tc>
        <w:tc>
          <w:tcPr>
            <w:tcW w:w="905" w:type="dxa"/>
            <w:tcBorders>
              <w:top w:val="nil"/>
              <w:left w:val="nil"/>
              <w:bottom w:val="nil"/>
              <w:right w:val="nil"/>
            </w:tcBorders>
            <w:vAlign w:val="center"/>
          </w:tcPr>
          <w:p w14:paraId="31C23F4C" w14:textId="77777777" w:rsidR="00E87BAD" w:rsidRPr="006B044F" w:rsidRDefault="00E87BAD" w:rsidP="00E87BAD">
            <w:pPr>
              <w:spacing w:line="276" w:lineRule="auto"/>
            </w:pPr>
            <w:r w:rsidRPr="006B044F">
              <w:t>23.1</w:t>
            </w:r>
          </w:p>
        </w:tc>
        <w:tc>
          <w:tcPr>
            <w:tcW w:w="1111" w:type="dxa"/>
            <w:gridSpan w:val="2"/>
            <w:vMerge w:val="restart"/>
            <w:tcBorders>
              <w:top w:val="nil"/>
              <w:left w:val="nil"/>
              <w:right w:val="nil"/>
            </w:tcBorders>
            <w:vAlign w:val="center"/>
          </w:tcPr>
          <w:p w14:paraId="04031C8E" w14:textId="77777777" w:rsidR="00E87BAD" w:rsidRPr="006B044F" w:rsidRDefault="00E87BAD" w:rsidP="00E87BAD">
            <w:pPr>
              <w:spacing w:line="276" w:lineRule="auto"/>
            </w:pPr>
            <w:r w:rsidRPr="006B044F">
              <w:t>0.95</w:t>
            </w:r>
          </w:p>
        </w:tc>
      </w:tr>
      <w:tr w:rsidR="006B044F" w:rsidRPr="006B044F" w14:paraId="1A23592A" w14:textId="77777777" w:rsidTr="00E87BAD">
        <w:trPr>
          <w:jc w:val="center"/>
        </w:trPr>
        <w:tc>
          <w:tcPr>
            <w:tcW w:w="1026" w:type="dxa"/>
            <w:vMerge/>
            <w:tcBorders>
              <w:left w:val="nil"/>
              <w:right w:val="nil"/>
            </w:tcBorders>
            <w:vAlign w:val="center"/>
          </w:tcPr>
          <w:p w14:paraId="59BD6BDA"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52DF6B4D"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60245265" w14:textId="77777777" w:rsidR="00E87BAD" w:rsidRPr="006B044F" w:rsidRDefault="00E87BAD" w:rsidP="00E87BAD">
            <w:pPr>
              <w:spacing w:line="276" w:lineRule="auto"/>
              <w:rPr>
                <w:b/>
              </w:rPr>
            </w:pPr>
            <w:r w:rsidRPr="006B044F">
              <w:rPr>
                <w:b/>
              </w:rPr>
              <w:t>2</w:t>
            </w:r>
          </w:p>
        </w:tc>
        <w:tc>
          <w:tcPr>
            <w:tcW w:w="581" w:type="dxa"/>
            <w:tcBorders>
              <w:top w:val="nil"/>
              <w:left w:val="nil"/>
              <w:bottom w:val="nil"/>
              <w:right w:val="nil"/>
            </w:tcBorders>
          </w:tcPr>
          <w:p w14:paraId="6C79DC55" w14:textId="77777777" w:rsidR="00E87BAD" w:rsidRPr="006B044F" w:rsidRDefault="00E87BAD" w:rsidP="00E87BAD">
            <w:pPr>
              <w:spacing w:line="276" w:lineRule="auto"/>
            </w:pPr>
            <w:r w:rsidRPr="006B044F">
              <w:t>23</w:t>
            </w:r>
          </w:p>
        </w:tc>
        <w:tc>
          <w:tcPr>
            <w:tcW w:w="794" w:type="dxa"/>
            <w:tcBorders>
              <w:top w:val="nil"/>
              <w:left w:val="nil"/>
              <w:bottom w:val="nil"/>
              <w:right w:val="nil"/>
            </w:tcBorders>
            <w:vAlign w:val="center"/>
          </w:tcPr>
          <w:p w14:paraId="1A069B72" w14:textId="77777777" w:rsidR="00E87BAD" w:rsidRPr="006B044F" w:rsidRDefault="00E87BAD" w:rsidP="00E87BAD">
            <w:pPr>
              <w:spacing w:line="276" w:lineRule="auto"/>
            </w:pPr>
            <w:r w:rsidRPr="006B044F">
              <w:t>19.4</w:t>
            </w:r>
          </w:p>
        </w:tc>
        <w:tc>
          <w:tcPr>
            <w:tcW w:w="832" w:type="dxa"/>
            <w:tcBorders>
              <w:top w:val="nil"/>
              <w:left w:val="nil"/>
              <w:bottom w:val="nil"/>
              <w:right w:val="nil"/>
            </w:tcBorders>
            <w:vAlign w:val="center"/>
          </w:tcPr>
          <w:p w14:paraId="0A8633EB" w14:textId="77777777" w:rsidR="00E87BAD" w:rsidRPr="006B044F" w:rsidRDefault="00E87BAD" w:rsidP="00E87BAD">
            <w:pPr>
              <w:spacing w:line="276" w:lineRule="auto"/>
            </w:pPr>
            <w:r w:rsidRPr="006B044F">
              <w:t>15.6</w:t>
            </w:r>
          </w:p>
        </w:tc>
        <w:tc>
          <w:tcPr>
            <w:tcW w:w="837" w:type="dxa"/>
            <w:tcBorders>
              <w:top w:val="nil"/>
              <w:left w:val="nil"/>
              <w:bottom w:val="nil"/>
              <w:right w:val="nil"/>
            </w:tcBorders>
            <w:vAlign w:val="center"/>
          </w:tcPr>
          <w:p w14:paraId="59826721" w14:textId="77777777" w:rsidR="00E87BAD" w:rsidRPr="006B044F" w:rsidRDefault="00E87BAD" w:rsidP="00E87BAD">
            <w:pPr>
              <w:spacing w:line="276" w:lineRule="auto"/>
            </w:pPr>
            <w:r w:rsidRPr="006B044F">
              <w:t>23.3</w:t>
            </w:r>
          </w:p>
        </w:tc>
        <w:tc>
          <w:tcPr>
            <w:tcW w:w="905" w:type="dxa"/>
            <w:tcBorders>
              <w:top w:val="nil"/>
              <w:left w:val="nil"/>
              <w:bottom w:val="nil"/>
              <w:right w:val="nil"/>
            </w:tcBorders>
            <w:vAlign w:val="center"/>
          </w:tcPr>
          <w:p w14:paraId="7ABB55FF" w14:textId="77777777" w:rsidR="00E87BAD" w:rsidRPr="006B044F" w:rsidRDefault="00E87BAD" w:rsidP="00E87BAD">
            <w:pPr>
              <w:spacing w:line="276" w:lineRule="auto"/>
            </w:pPr>
            <w:r w:rsidRPr="006B044F">
              <w:t>46.2</w:t>
            </w:r>
          </w:p>
        </w:tc>
        <w:tc>
          <w:tcPr>
            <w:tcW w:w="1111" w:type="dxa"/>
            <w:gridSpan w:val="2"/>
            <w:vMerge/>
            <w:tcBorders>
              <w:left w:val="nil"/>
              <w:right w:val="nil"/>
            </w:tcBorders>
            <w:vAlign w:val="center"/>
          </w:tcPr>
          <w:p w14:paraId="7FDEFEE2" w14:textId="77777777" w:rsidR="00E87BAD" w:rsidRPr="006B044F" w:rsidRDefault="00E87BAD" w:rsidP="00E87BAD">
            <w:pPr>
              <w:spacing w:line="276" w:lineRule="auto"/>
            </w:pPr>
          </w:p>
        </w:tc>
        <w:tc>
          <w:tcPr>
            <w:tcW w:w="764" w:type="dxa"/>
            <w:tcBorders>
              <w:top w:val="nil"/>
              <w:left w:val="nil"/>
              <w:bottom w:val="nil"/>
              <w:right w:val="nil"/>
            </w:tcBorders>
          </w:tcPr>
          <w:p w14:paraId="28E52FFF"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7B6F01E8" w14:textId="77777777" w:rsidR="00E87BAD" w:rsidRPr="006B044F" w:rsidRDefault="00E87BAD" w:rsidP="00E87BAD">
            <w:pPr>
              <w:spacing w:line="276" w:lineRule="auto"/>
            </w:pPr>
            <w:r w:rsidRPr="006B044F">
              <w:t>130.9</w:t>
            </w:r>
          </w:p>
        </w:tc>
        <w:tc>
          <w:tcPr>
            <w:tcW w:w="832" w:type="dxa"/>
            <w:tcBorders>
              <w:top w:val="nil"/>
              <w:left w:val="nil"/>
              <w:bottom w:val="nil"/>
              <w:right w:val="nil"/>
            </w:tcBorders>
          </w:tcPr>
          <w:p w14:paraId="6CA90AEE" w14:textId="77777777" w:rsidR="00E87BAD" w:rsidRPr="006B044F" w:rsidRDefault="00E87BAD" w:rsidP="00E87BAD">
            <w:pPr>
              <w:spacing w:line="276" w:lineRule="auto"/>
            </w:pPr>
            <w:r w:rsidRPr="006B044F">
              <w:t>113</w:t>
            </w:r>
          </w:p>
        </w:tc>
        <w:tc>
          <w:tcPr>
            <w:tcW w:w="837" w:type="dxa"/>
            <w:tcBorders>
              <w:top w:val="nil"/>
              <w:left w:val="nil"/>
              <w:bottom w:val="nil"/>
              <w:right w:val="nil"/>
            </w:tcBorders>
          </w:tcPr>
          <w:p w14:paraId="2C152ACC" w14:textId="77777777" w:rsidR="00E87BAD" w:rsidRPr="006B044F" w:rsidRDefault="00E87BAD" w:rsidP="00E87BAD">
            <w:pPr>
              <w:spacing w:line="276" w:lineRule="auto"/>
            </w:pPr>
            <w:r w:rsidRPr="006B044F">
              <w:t>148.8</w:t>
            </w:r>
          </w:p>
        </w:tc>
        <w:tc>
          <w:tcPr>
            <w:tcW w:w="905" w:type="dxa"/>
            <w:tcBorders>
              <w:top w:val="nil"/>
              <w:left w:val="nil"/>
              <w:bottom w:val="nil"/>
              <w:right w:val="nil"/>
            </w:tcBorders>
            <w:vAlign w:val="center"/>
          </w:tcPr>
          <w:p w14:paraId="4317A1F6" w14:textId="77777777" w:rsidR="00E87BAD" w:rsidRPr="006B044F" w:rsidRDefault="00E87BAD" w:rsidP="00E87BAD">
            <w:pPr>
              <w:spacing w:line="276" w:lineRule="auto"/>
            </w:pPr>
            <w:r w:rsidRPr="006B044F">
              <w:t>31.6</w:t>
            </w:r>
          </w:p>
        </w:tc>
        <w:tc>
          <w:tcPr>
            <w:tcW w:w="1111" w:type="dxa"/>
            <w:gridSpan w:val="2"/>
            <w:vMerge/>
            <w:tcBorders>
              <w:left w:val="nil"/>
              <w:right w:val="nil"/>
            </w:tcBorders>
            <w:vAlign w:val="center"/>
          </w:tcPr>
          <w:p w14:paraId="7CAD29A3" w14:textId="77777777" w:rsidR="00E87BAD" w:rsidRPr="006B044F" w:rsidRDefault="00E87BAD" w:rsidP="00E87BAD">
            <w:pPr>
              <w:spacing w:line="276" w:lineRule="auto"/>
            </w:pPr>
          </w:p>
        </w:tc>
      </w:tr>
      <w:tr w:rsidR="006B044F" w:rsidRPr="006B044F" w14:paraId="2AF39138" w14:textId="77777777" w:rsidTr="00E87BAD">
        <w:trPr>
          <w:jc w:val="center"/>
        </w:trPr>
        <w:tc>
          <w:tcPr>
            <w:tcW w:w="1026" w:type="dxa"/>
            <w:vMerge/>
            <w:tcBorders>
              <w:left w:val="nil"/>
              <w:right w:val="nil"/>
            </w:tcBorders>
            <w:vAlign w:val="center"/>
          </w:tcPr>
          <w:p w14:paraId="592058FA"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49025BEA"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7A8D0BD4" w14:textId="77777777" w:rsidR="00E87BAD" w:rsidRPr="006B044F" w:rsidRDefault="00E87BAD" w:rsidP="00E87BAD">
            <w:pPr>
              <w:spacing w:line="276" w:lineRule="auto"/>
              <w:rPr>
                <w:b/>
              </w:rPr>
            </w:pPr>
            <w:r w:rsidRPr="006B044F">
              <w:rPr>
                <w:b/>
              </w:rPr>
              <w:t>3</w:t>
            </w:r>
          </w:p>
        </w:tc>
        <w:tc>
          <w:tcPr>
            <w:tcW w:w="581" w:type="dxa"/>
            <w:tcBorders>
              <w:top w:val="nil"/>
              <w:left w:val="nil"/>
              <w:bottom w:val="nil"/>
              <w:right w:val="nil"/>
            </w:tcBorders>
          </w:tcPr>
          <w:p w14:paraId="100BAC78" w14:textId="77777777" w:rsidR="00E87BAD" w:rsidRPr="006B044F" w:rsidRDefault="00E87BAD" w:rsidP="00E87BAD">
            <w:pPr>
              <w:spacing w:line="276" w:lineRule="auto"/>
            </w:pPr>
            <w:r w:rsidRPr="006B044F">
              <w:t>23</w:t>
            </w:r>
          </w:p>
        </w:tc>
        <w:tc>
          <w:tcPr>
            <w:tcW w:w="794" w:type="dxa"/>
            <w:tcBorders>
              <w:top w:val="nil"/>
              <w:left w:val="nil"/>
              <w:bottom w:val="nil"/>
              <w:right w:val="nil"/>
            </w:tcBorders>
            <w:vAlign w:val="center"/>
          </w:tcPr>
          <w:p w14:paraId="2AE4332A" w14:textId="77777777" w:rsidR="00E87BAD" w:rsidRPr="006B044F" w:rsidRDefault="00E87BAD" w:rsidP="00E87BAD">
            <w:pPr>
              <w:spacing w:line="276" w:lineRule="auto"/>
            </w:pPr>
            <w:r w:rsidRPr="006B044F">
              <w:t>17.8</w:t>
            </w:r>
          </w:p>
        </w:tc>
        <w:tc>
          <w:tcPr>
            <w:tcW w:w="832" w:type="dxa"/>
            <w:tcBorders>
              <w:top w:val="nil"/>
              <w:left w:val="nil"/>
              <w:bottom w:val="nil"/>
              <w:right w:val="nil"/>
            </w:tcBorders>
            <w:vAlign w:val="center"/>
          </w:tcPr>
          <w:p w14:paraId="0F8B953F" w14:textId="77777777" w:rsidR="00E87BAD" w:rsidRPr="006B044F" w:rsidRDefault="00E87BAD" w:rsidP="00E87BAD">
            <w:pPr>
              <w:spacing w:line="276" w:lineRule="auto"/>
            </w:pPr>
            <w:r w:rsidRPr="006B044F">
              <w:t>15.2</w:t>
            </w:r>
          </w:p>
        </w:tc>
        <w:tc>
          <w:tcPr>
            <w:tcW w:w="837" w:type="dxa"/>
            <w:tcBorders>
              <w:top w:val="nil"/>
              <w:left w:val="nil"/>
              <w:bottom w:val="nil"/>
              <w:right w:val="nil"/>
            </w:tcBorders>
            <w:vAlign w:val="center"/>
          </w:tcPr>
          <w:p w14:paraId="78E95432" w14:textId="77777777" w:rsidR="00E87BAD" w:rsidRPr="006B044F" w:rsidRDefault="00E87BAD" w:rsidP="00E87BAD">
            <w:pPr>
              <w:spacing w:line="276" w:lineRule="auto"/>
            </w:pPr>
            <w:r w:rsidRPr="006B044F">
              <w:t>20.4</w:t>
            </w:r>
          </w:p>
        </w:tc>
        <w:tc>
          <w:tcPr>
            <w:tcW w:w="905" w:type="dxa"/>
            <w:tcBorders>
              <w:top w:val="nil"/>
              <w:left w:val="nil"/>
              <w:bottom w:val="nil"/>
              <w:right w:val="nil"/>
            </w:tcBorders>
            <w:vAlign w:val="center"/>
          </w:tcPr>
          <w:p w14:paraId="2A4FF8DA" w14:textId="77777777" w:rsidR="00E87BAD" w:rsidRPr="006B044F" w:rsidRDefault="00E87BAD" w:rsidP="00E87BAD">
            <w:pPr>
              <w:spacing w:line="276" w:lineRule="auto"/>
            </w:pPr>
            <w:r w:rsidRPr="006B044F">
              <w:t>33.7</w:t>
            </w:r>
          </w:p>
        </w:tc>
        <w:tc>
          <w:tcPr>
            <w:tcW w:w="1111" w:type="dxa"/>
            <w:gridSpan w:val="2"/>
            <w:vMerge/>
            <w:tcBorders>
              <w:left w:val="nil"/>
              <w:bottom w:val="nil"/>
              <w:right w:val="nil"/>
            </w:tcBorders>
            <w:vAlign w:val="center"/>
          </w:tcPr>
          <w:p w14:paraId="590A923E" w14:textId="77777777" w:rsidR="00E87BAD" w:rsidRPr="006B044F" w:rsidRDefault="00E87BAD" w:rsidP="00E87BAD">
            <w:pPr>
              <w:spacing w:line="276" w:lineRule="auto"/>
            </w:pPr>
          </w:p>
        </w:tc>
        <w:tc>
          <w:tcPr>
            <w:tcW w:w="764" w:type="dxa"/>
            <w:tcBorders>
              <w:top w:val="nil"/>
              <w:left w:val="nil"/>
              <w:bottom w:val="nil"/>
              <w:right w:val="nil"/>
            </w:tcBorders>
          </w:tcPr>
          <w:p w14:paraId="05994691"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6434EDAF" w14:textId="77777777" w:rsidR="00E87BAD" w:rsidRPr="006B044F" w:rsidRDefault="00E87BAD" w:rsidP="00E87BAD">
            <w:pPr>
              <w:spacing w:line="276" w:lineRule="auto"/>
            </w:pPr>
            <w:r w:rsidRPr="006B044F">
              <w:t>134.2</w:t>
            </w:r>
          </w:p>
        </w:tc>
        <w:tc>
          <w:tcPr>
            <w:tcW w:w="832" w:type="dxa"/>
            <w:tcBorders>
              <w:top w:val="nil"/>
              <w:left w:val="nil"/>
              <w:bottom w:val="nil"/>
              <w:right w:val="nil"/>
            </w:tcBorders>
          </w:tcPr>
          <w:p w14:paraId="5D8F3793" w14:textId="77777777" w:rsidR="00E87BAD" w:rsidRPr="006B044F" w:rsidRDefault="00E87BAD" w:rsidP="00E87BAD">
            <w:pPr>
              <w:spacing w:line="276" w:lineRule="auto"/>
            </w:pPr>
            <w:r w:rsidRPr="006B044F">
              <w:t>120.5</w:t>
            </w:r>
          </w:p>
        </w:tc>
        <w:tc>
          <w:tcPr>
            <w:tcW w:w="837" w:type="dxa"/>
            <w:tcBorders>
              <w:top w:val="nil"/>
              <w:left w:val="nil"/>
              <w:bottom w:val="nil"/>
              <w:right w:val="nil"/>
            </w:tcBorders>
          </w:tcPr>
          <w:p w14:paraId="5A53FCE9" w14:textId="77777777" w:rsidR="00E87BAD" w:rsidRPr="006B044F" w:rsidRDefault="00E87BAD" w:rsidP="00E87BAD">
            <w:pPr>
              <w:spacing w:line="276" w:lineRule="auto"/>
            </w:pPr>
            <w:r w:rsidRPr="006B044F">
              <w:t>147.9</w:t>
            </w:r>
          </w:p>
        </w:tc>
        <w:tc>
          <w:tcPr>
            <w:tcW w:w="905" w:type="dxa"/>
            <w:tcBorders>
              <w:top w:val="nil"/>
              <w:left w:val="nil"/>
              <w:bottom w:val="nil"/>
              <w:right w:val="nil"/>
            </w:tcBorders>
            <w:vAlign w:val="center"/>
          </w:tcPr>
          <w:p w14:paraId="631A4FCF" w14:textId="77777777" w:rsidR="00E87BAD" w:rsidRPr="006B044F" w:rsidRDefault="00E87BAD" w:rsidP="00E87BAD">
            <w:pPr>
              <w:spacing w:line="276" w:lineRule="auto"/>
            </w:pPr>
            <w:r w:rsidRPr="006B044F">
              <w:t>23.6</w:t>
            </w:r>
          </w:p>
        </w:tc>
        <w:tc>
          <w:tcPr>
            <w:tcW w:w="1111" w:type="dxa"/>
            <w:gridSpan w:val="2"/>
            <w:vMerge/>
            <w:tcBorders>
              <w:left w:val="nil"/>
              <w:bottom w:val="nil"/>
              <w:right w:val="nil"/>
            </w:tcBorders>
            <w:vAlign w:val="center"/>
          </w:tcPr>
          <w:p w14:paraId="037497E3" w14:textId="77777777" w:rsidR="00E87BAD" w:rsidRPr="006B044F" w:rsidRDefault="00E87BAD" w:rsidP="00E87BAD">
            <w:pPr>
              <w:spacing w:line="276" w:lineRule="auto"/>
            </w:pPr>
          </w:p>
        </w:tc>
      </w:tr>
      <w:tr w:rsidR="006B044F" w:rsidRPr="006B044F" w14:paraId="4DDE7613" w14:textId="77777777" w:rsidTr="00E87BAD">
        <w:trPr>
          <w:jc w:val="center"/>
        </w:trPr>
        <w:tc>
          <w:tcPr>
            <w:tcW w:w="1026" w:type="dxa"/>
            <w:vMerge/>
            <w:tcBorders>
              <w:left w:val="nil"/>
              <w:right w:val="nil"/>
            </w:tcBorders>
            <w:vAlign w:val="center"/>
          </w:tcPr>
          <w:p w14:paraId="5D16DC32"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510A559C"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14832DA6" w14:textId="77777777" w:rsidR="00E87BAD" w:rsidRPr="006B044F" w:rsidRDefault="00E87BAD" w:rsidP="00E87BAD">
            <w:pPr>
              <w:spacing w:line="276" w:lineRule="auto"/>
              <w:rPr>
                <w:b/>
              </w:rPr>
            </w:pPr>
            <w:r w:rsidRPr="006B044F">
              <w:rPr>
                <w:b/>
              </w:rPr>
              <w:t>4</w:t>
            </w:r>
          </w:p>
        </w:tc>
        <w:tc>
          <w:tcPr>
            <w:tcW w:w="581" w:type="dxa"/>
            <w:tcBorders>
              <w:top w:val="nil"/>
              <w:left w:val="nil"/>
              <w:bottom w:val="nil"/>
              <w:right w:val="nil"/>
            </w:tcBorders>
          </w:tcPr>
          <w:p w14:paraId="077AE2F8" w14:textId="77777777" w:rsidR="00E87BAD" w:rsidRPr="006B044F" w:rsidRDefault="00E87BAD" w:rsidP="00E87BAD">
            <w:pPr>
              <w:spacing w:line="276" w:lineRule="auto"/>
            </w:pPr>
            <w:r w:rsidRPr="006B044F">
              <w:t>24</w:t>
            </w:r>
          </w:p>
        </w:tc>
        <w:tc>
          <w:tcPr>
            <w:tcW w:w="794" w:type="dxa"/>
            <w:tcBorders>
              <w:top w:val="nil"/>
              <w:left w:val="nil"/>
              <w:bottom w:val="nil"/>
              <w:right w:val="nil"/>
            </w:tcBorders>
            <w:vAlign w:val="center"/>
          </w:tcPr>
          <w:p w14:paraId="1061F746" w14:textId="77777777" w:rsidR="00E87BAD" w:rsidRPr="006B044F" w:rsidRDefault="00E87BAD" w:rsidP="00E87BAD">
            <w:pPr>
              <w:spacing w:line="276" w:lineRule="auto"/>
            </w:pPr>
            <w:r w:rsidRPr="006B044F">
              <w:t>15.1</w:t>
            </w:r>
          </w:p>
        </w:tc>
        <w:tc>
          <w:tcPr>
            <w:tcW w:w="832" w:type="dxa"/>
            <w:tcBorders>
              <w:top w:val="nil"/>
              <w:left w:val="nil"/>
              <w:bottom w:val="nil"/>
              <w:right w:val="nil"/>
            </w:tcBorders>
            <w:vAlign w:val="center"/>
          </w:tcPr>
          <w:p w14:paraId="1957EE3B" w14:textId="77777777" w:rsidR="00E87BAD" w:rsidRPr="006B044F" w:rsidRDefault="00E87BAD" w:rsidP="00E87BAD">
            <w:pPr>
              <w:spacing w:line="276" w:lineRule="auto"/>
            </w:pPr>
            <w:r w:rsidRPr="006B044F">
              <w:t>10.9</w:t>
            </w:r>
          </w:p>
        </w:tc>
        <w:tc>
          <w:tcPr>
            <w:tcW w:w="837" w:type="dxa"/>
            <w:tcBorders>
              <w:top w:val="nil"/>
              <w:left w:val="nil"/>
              <w:bottom w:val="nil"/>
              <w:right w:val="nil"/>
            </w:tcBorders>
            <w:vAlign w:val="center"/>
          </w:tcPr>
          <w:p w14:paraId="5D5B10F1" w14:textId="77777777" w:rsidR="00E87BAD" w:rsidRPr="006B044F" w:rsidRDefault="00E87BAD" w:rsidP="00E87BAD">
            <w:pPr>
              <w:spacing w:line="276" w:lineRule="auto"/>
            </w:pPr>
            <w:r w:rsidRPr="006B044F">
              <w:t>19.3</w:t>
            </w:r>
          </w:p>
        </w:tc>
        <w:tc>
          <w:tcPr>
            <w:tcW w:w="905" w:type="dxa"/>
            <w:tcBorders>
              <w:top w:val="nil"/>
              <w:left w:val="nil"/>
              <w:bottom w:val="nil"/>
              <w:right w:val="nil"/>
            </w:tcBorders>
            <w:vAlign w:val="center"/>
          </w:tcPr>
          <w:p w14:paraId="09A5E0A5" w14:textId="77777777" w:rsidR="00E87BAD" w:rsidRPr="006B044F" w:rsidRDefault="00E87BAD" w:rsidP="00E87BAD">
            <w:pPr>
              <w:spacing w:line="276" w:lineRule="auto"/>
            </w:pPr>
            <w:r w:rsidRPr="006B044F">
              <w:t>65.9</w:t>
            </w:r>
          </w:p>
        </w:tc>
        <w:tc>
          <w:tcPr>
            <w:tcW w:w="1111" w:type="dxa"/>
            <w:gridSpan w:val="2"/>
            <w:vMerge w:val="restart"/>
            <w:tcBorders>
              <w:top w:val="nil"/>
              <w:left w:val="nil"/>
              <w:right w:val="nil"/>
            </w:tcBorders>
            <w:vAlign w:val="center"/>
          </w:tcPr>
          <w:p w14:paraId="3BA7CD6B" w14:textId="77777777" w:rsidR="00E87BAD" w:rsidRPr="006B044F" w:rsidRDefault="00E87BAD" w:rsidP="00E87BAD">
            <w:pPr>
              <w:spacing w:line="276" w:lineRule="auto"/>
            </w:pPr>
            <w:r w:rsidRPr="006B044F">
              <w:t>0.85</w:t>
            </w:r>
          </w:p>
        </w:tc>
        <w:tc>
          <w:tcPr>
            <w:tcW w:w="764" w:type="dxa"/>
            <w:tcBorders>
              <w:top w:val="nil"/>
              <w:left w:val="nil"/>
              <w:bottom w:val="nil"/>
              <w:right w:val="nil"/>
            </w:tcBorders>
          </w:tcPr>
          <w:p w14:paraId="2F80538B"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6911D4E2" w14:textId="77777777" w:rsidR="00E87BAD" w:rsidRPr="006B044F" w:rsidRDefault="00E87BAD" w:rsidP="00E87BAD">
            <w:pPr>
              <w:spacing w:line="276" w:lineRule="auto"/>
            </w:pPr>
            <w:r w:rsidRPr="006B044F">
              <w:t>101</w:t>
            </w:r>
          </w:p>
        </w:tc>
        <w:tc>
          <w:tcPr>
            <w:tcW w:w="832" w:type="dxa"/>
            <w:tcBorders>
              <w:top w:val="nil"/>
              <w:left w:val="nil"/>
              <w:bottom w:val="nil"/>
              <w:right w:val="nil"/>
            </w:tcBorders>
          </w:tcPr>
          <w:p w14:paraId="6C20D6B0" w14:textId="77777777" w:rsidR="00E87BAD" w:rsidRPr="006B044F" w:rsidRDefault="00E87BAD" w:rsidP="00E87BAD">
            <w:pPr>
              <w:spacing w:line="276" w:lineRule="auto"/>
            </w:pPr>
            <w:r w:rsidRPr="006B044F">
              <w:t>85.34</w:t>
            </w:r>
          </w:p>
        </w:tc>
        <w:tc>
          <w:tcPr>
            <w:tcW w:w="837" w:type="dxa"/>
            <w:tcBorders>
              <w:top w:val="nil"/>
              <w:left w:val="nil"/>
              <w:bottom w:val="nil"/>
              <w:right w:val="nil"/>
            </w:tcBorders>
          </w:tcPr>
          <w:p w14:paraId="42D9100E" w14:textId="77777777" w:rsidR="00E87BAD" w:rsidRPr="006B044F" w:rsidRDefault="00E87BAD" w:rsidP="00E87BAD">
            <w:pPr>
              <w:spacing w:line="276" w:lineRule="auto"/>
            </w:pPr>
            <w:r w:rsidRPr="006B044F">
              <w:t>116.6</w:t>
            </w:r>
          </w:p>
        </w:tc>
        <w:tc>
          <w:tcPr>
            <w:tcW w:w="905" w:type="dxa"/>
            <w:tcBorders>
              <w:top w:val="nil"/>
              <w:left w:val="nil"/>
              <w:bottom w:val="nil"/>
              <w:right w:val="nil"/>
            </w:tcBorders>
            <w:vAlign w:val="center"/>
          </w:tcPr>
          <w:p w14:paraId="1C49B524" w14:textId="77777777" w:rsidR="00E87BAD" w:rsidRPr="006B044F" w:rsidRDefault="00E87BAD" w:rsidP="00E87BAD">
            <w:pPr>
              <w:spacing w:line="276" w:lineRule="auto"/>
            </w:pPr>
            <w:r w:rsidRPr="006B044F">
              <w:t>36.7</w:t>
            </w:r>
          </w:p>
        </w:tc>
        <w:tc>
          <w:tcPr>
            <w:tcW w:w="1111" w:type="dxa"/>
            <w:gridSpan w:val="2"/>
            <w:vMerge w:val="restart"/>
            <w:tcBorders>
              <w:top w:val="nil"/>
              <w:left w:val="nil"/>
              <w:right w:val="nil"/>
            </w:tcBorders>
            <w:vAlign w:val="center"/>
          </w:tcPr>
          <w:p w14:paraId="52B6E791" w14:textId="77777777" w:rsidR="00E87BAD" w:rsidRPr="006B044F" w:rsidRDefault="00E87BAD" w:rsidP="00E87BAD">
            <w:pPr>
              <w:spacing w:line="276" w:lineRule="auto"/>
            </w:pPr>
            <w:r w:rsidRPr="006B044F">
              <w:t>0.88</w:t>
            </w:r>
          </w:p>
        </w:tc>
      </w:tr>
      <w:tr w:rsidR="006B044F" w:rsidRPr="006B044F" w14:paraId="15C7D9FB" w14:textId="77777777" w:rsidTr="00E87BAD">
        <w:trPr>
          <w:jc w:val="center"/>
        </w:trPr>
        <w:tc>
          <w:tcPr>
            <w:tcW w:w="1026" w:type="dxa"/>
            <w:vMerge/>
            <w:tcBorders>
              <w:left w:val="nil"/>
              <w:right w:val="nil"/>
            </w:tcBorders>
            <w:vAlign w:val="center"/>
          </w:tcPr>
          <w:p w14:paraId="6A648CEB"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2E7F014B"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59615FA1" w14:textId="77777777" w:rsidR="00E87BAD" w:rsidRPr="006B044F" w:rsidRDefault="00E87BAD" w:rsidP="00E87BAD">
            <w:pPr>
              <w:spacing w:line="276" w:lineRule="auto"/>
              <w:rPr>
                <w:b/>
              </w:rPr>
            </w:pPr>
            <w:r w:rsidRPr="006B044F">
              <w:rPr>
                <w:b/>
              </w:rPr>
              <w:t>5</w:t>
            </w:r>
          </w:p>
        </w:tc>
        <w:tc>
          <w:tcPr>
            <w:tcW w:w="581" w:type="dxa"/>
            <w:tcBorders>
              <w:top w:val="nil"/>
              <w:left w:val="nil"/>
              <w:bottom w:val="nil"/>
              <w:right w:val="nil"/>
            </w:tcBorders>
          </w:tcPr>
          <w:p w14:paraId="079E84F9" w14:textId="77777777" w:rsidR="00E87BAD" w:rsidRPr="006B044F" w:rsidRDefault="00E87BAD" w:rsidP="00E87BAD">
            <w:pPr>
              <w:spacing w:line="276" w:lineRule="auto"/>
            </w:pPr>
            <w:r w:rsidRPr="006B044F">
              <w:t>24</w:t>
            </w:r>
          </w:p>
        </w:tc>
        <w:tc>
          <w:tcPr>
            <w:tcW w:w="794" w:type="dxa"/>
            <w:tcBorders>
              <w:top w:val="nil"/>
              <w:left w:val="nil"/>
              <w:bottom w:val="nil"/>
              <w:right w:val="nil"/>
            </w:tcBorders>
            <w:vAlign w:val="center"/>
          </w:tcPr>
          <w:p w14:paraId="676003FF" w14:textId="77777777" w:rsidR="00E87BAD" w:rsidRPr="006B044F" w:rsidRDefault="00E87BAD" w:rsidP="00E87BAD">
            <w:pPr>
              <w:spacing w:line="276" w:lineRule="auto"/>
            </w:pPr>
            <w:r w:rsidRPr="006B044F">
              <w:t>15.6</w:t>
            </w:r>
          </w:p>
        </w:tc>
        <w:tc>
          <w:tcPr>
            <w:tcW w:w="832" w:type="dxa"/>
            <w:tcBorders>
              <w:top w:val="nil"/>
              <w:left w:val="nil"/>
              <w:bottom w:val="nil"/>
              <w:right w:val="nil"/>
            </w:tcBorders>
            <w:vAlign w:val="center"/>
          </w:tcPr>
          <w:p w14:paraId="698628AC" w14:textId="77777777" w:rsidR="00E87BAD" w:rsidRPr="006B044F" w:rsidRDefault="00E87BAD" w:rsidP="00E87BAD">
            <w:pPr>
              <w:spacing w:line="276" w:lineRule="auto"/>
            </w:pPr>
            <w:r w:rsidRPr="006B044F">
              <w:t>12.2</w:t>
            </w:r>
          </w:p>
        </w:tc>
        <w:tc>
          <w:tcPr>
            <w:tcW w:w="837" w:type="dxa"/>
            <w:tcBorders>
              <w:top w:val="nil"/>
              <w:left w:val="nil"/>
              <w:bottom w:val="nil"/>
              <w:right w:val="nil"/>
            </w:tcBorders>
            <w:vAlign w:val="center"/>
          </w:tcPr>
          <w:p w14:paraId="5AD342EC" w14:textId="77777777" w:rsidR="00E87BAD" w:rsidRPr="006B044F" w:rsidRDefault="00E87BAD" w:rsidP="00E87BAD">
            <w:pPr>
              <w:spacing w:line="276" w:lineRule="auto"/>
            </w:pPr>
            <w:r w:rsidRPr="006B044F">
              <w:t>18.9</w:t>
            </w:r>
          </w:p>
        </w:tc>
        <w:tc>
          <w:tcPr>
            <w:tcW w:w="905" w:type="dxa"/>
            <w:tcBorders>
              <w:top w:val="nil"/>
              <w:left w:val="nil"/>
              <w:bottom w:val="nil"/>
              <w:right w:val="nil"/>
            </w:tcBorders>
            <w:vAlign w:val="center"/>
          </w:tcPr>
          <w:p w14:paraId="75BB3BE9" w14:textId="77777777" w:rsidR="00E87BAD" w:rsidRPr="006B044F" w:rsidRDefault="00E87BAD" w:rsidP="00E87BAD">
            <w:pPr>
              <w:spacing w:line="276" w:lineRule="auto"/>
            </w:pPr>
            <w:r w:rsidRPr="006B044F">
              <w:t>50.4</w:t>
            </w:r>
          </w:p>
        </w:tc>
        <w:tc>
          <w:tcPr>
            <w:tcW w:w="1111" w:type="dxa"/>
            <w:gridSpan w:val="2"/>
            <w:vMerge/>
            <w:tcBorders>
              <w:left w:val="nil"/>
              <w:right w:val="nil"/>
            </w:tcBorders>
            <w:vAlign w:val="center"/>
          </w:tcPr>
          <w:p w14:paraId="2AF6543B" w14:textId="77777777" w:rsidR="00E87BAD" w:rsidRPr="006B044F" w:rsidRDefault="00E87BAD" w:rsidP="00E87BAD">
            <w:pPr>
              <w:spacing w:line="276" w:lineRule="auto"/>
            </w:pPr>
          </w:p>
        </w:tc>
        <w:tc>
          <w:tcPr>
            <w:tcW w:w="764" w:type="dxa"/>
            <w:tcBorders>
              <w:top w:val="nil"/>
              <w:left w:val="nil"/>
              <w:bottom w:val="nil"/>
              <w:right w:val="nil"/>
            </w:tcBorders>
          </w:tcPr>
          <w:p w14:paraId="470A1534"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68DC4773" w14:textId="77777777" w:rsidR="00E87BAD" w:rsidRPr="006B044F" w:rsidRDefault="00E87BAD" w:rsidP="00E87BAD">
            <w:pPr>
              <w:spacing w:line="276" w:lineRule="auto"/>
            </w:pPr>
            <w:r w:rsidRPr="006B044F">
              <w:t>104.5</w:t>
            </w:r>
          </w:p>
        </w:tc>
        <w:tc>
          <w:tcPr>
            <w:tcW w:w="832" w:type="dxa"/>
            <w:tcBorders>
              <w:top w:val="nil"/>
              <w:left w:val="nil"/>
              <w:bottom w:val="nil"/>
              <w:right w:val="nil"/>
            </w:tcBorders>
          </w:tcPr>
          <w:p w14:paraId="65AE05A1" w14:textId="77777777" w:rsidR="00E87BAD" w:rsidRPr="006B044F" w:rsidRDefault="00E87BAD" w:rsidP="00E87BAD">
            <w:pPr>
              <w:spacing w:line="276" w:lineRule="auto"/>
            </w:pPr>
            <w:r w:rsidRPr="006B044F">
              <w:t>88.7</w:t>
            </w:r>
          </w:p>
        </w:tc>
        <w:tc>
          <w:tcPr>
            <w:tcW w:w="837" w:type="dxa"/>
            <w:tcBorders>
              <w:top w:val="nil"/>
              <w:left w:val="nil"/>
              <w:bottom w:val="nil"/>
              <w:right w:val="nil"/>
            </w:tcBorders>
          </w:tcPr>
          <w:p w14:paraId="601ADF2F" w14:textId="77777777" w:rsidR="00E87BAD" w:rsidRPr="006B044F" w:rsidRDefault="00E87BAD" w:rsidP="00E87BAD">
            <w:pPr>
              <w:spacing w:line="276" w:lineRule="auto"/>
            </w:pPr>
            <w:r w:rsidRPr="006B044F">
              <w:t>120.4</w:t>
            </w:r>
          </w:p>
        </w:tc>
        <w:tc>
          <w:tcPr>
            <w:tcW w:w="905" w:type="dxa"/>
            <w:tcBorders>
              <w:top w:val="nil"/>
              <w:left w:val="nil"/>
              <w:bottom w:val="nil"/>
              <w:right w:val="nil"/>
            </w:tcBorders>
            <w:vAlign w:val="center"/>
          </w:tcPr>
          <w:p w14:paraId="01F0E4EC" w14:textId="77777777" w:rsidR="00E87BAD" w:rsidRPr="006B044F" w:rsidRDefault="00E87BAD" w:rsidP="00E87BAD">
            <w:pPr>
              <w:spacing w:line="276" w:lineRule="auto"/>
            </w:pPr>
            <w:r w:rsidRPr="006B044F">
              <w:t>36.7</w:t>
            </w:r>
          </w:p>
        </w:tc>
        <w:tc>
          <w:tcPr>
            <w:tcW w:w="1111" w:type="dxa"/>
            <w:gridSpan w:val="2"/>
            <w:vMerge/>
            <w:tcBorders>
              <w:left w:val="nil"/>
              <w:right w:val="nil"/>
            </w:tcBorders>
            <w:vAlign w:val="center"/>
          </w:tcPr>
          <w:p w14:paraId="118AD2DB" w14:textId="77777777" w:rsidR="00E87BAD" w:rsidRPr="006B044F" w:rsidRDefault="00E87BAD" w:rsidP="00E87BAD">
            <w:pPr>
              <w:spacing w:line="276" w:lineRule="auto"/>
            </w:pPr>
          </w:p>
        </w:tc>
      </w:tr>
      <w:tr w:rsidR="006B044F" w:rsidRPr="006B044F" w14:paraId="3887E478" w14:textId="77777777" w:rsidTr="00E87BAD">
        <w:trPr>
          <w:jc w:val="center"/>
        </w:trPr>
        <w:tc>
          <w:tcPr>
            <w:tcW w:w="1026" w:type="dxa"/>
            <w:vMerge/>
            <w:tcBorders>
              <w:left w:val="nil"/>
              <w:right w:val="nil"/>
            </w:tcBorders>
            <w:vAlign w:val="center"/>
          </w:tcPr>
          <w:p w14:paraId="2F022210"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7FE19C45"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0D3508D1" w14:textId="77777777" w:rsidR="00E87BAD" w:rsidRPr="006B044F" w:rsidRDefault="00E87BAD" w:rsidP="00E87BAD">
            <w:pPr>
              <w:spacing w:line="276" w:lineRule="auto"/>
              <w:rPr>
                <w:b/>
              </w:rPr>
            </w:pPr>
            <w:r w:rsidRPr="006B044F">
              <w:rPr>
                <w:b/>
              </w:rPr>
              <w:t>6</w:t>
            </w:r>
          </w:p>
        </w:tc>
        <w:tc>
          <w:tcPr>
            <w:tcW w:w="581" w:type="dxa"/>
            <w:tcBorders>
              <w:top w:val="nil"/>
              <w:left w:val="nil"/>
              <w:bottom w:val="nil"/>
              <w:right w:val="nil"/>
            </w:tcBorders>
          </w:tcPr>
          <w:p w14:paraId="469FF63E" w14:textId="77777777" w:rsidR="00E87BAD" w:rsidRPr="006B044F" w:rsidRDefault="00E87BAD" w:rsidP="00E87BAD">
            <w:pPr>
              <w:spacing w:line="276" w:lineRule="auto"/>
            </w:pPr>
            <w:r w:rsidRPr="006B044F">
              <w:t>25</w:t>
            </w:r>
          </w:p>
        </w:tc>
        <w:tc>
          <w:tcPr>
            <w:tcW w:w="794" w:type="dxa"/>
            <w:tcBorders>
              <w:top w:val="nil"/>
              <w:left w:val="nil"/>
              <w:bottom w:val="nil"/>
              <w:right w:val="nil"/>
            </w:tcBorders>
            <w:vAlign w:val="center"/>
          </w:tcPr>
          <w:p w14:paraId="01B68AD5" w14:textId="77777777" w:rsidR="00E87BAD" w:rsidRPr="006B044F" w:rsidRDefault="00E87BAD" w:rsidP="00E87BAD">
            <w:pPr>
              <w:spacing w:line="276" w:lineRule="auto"/>
            </w:pPr>
            <w:r w:rsidRPr="006B044F">
              <w:t>14.1</w:t>
            </w:r>
          </w:p>
        </w:tc>
        <w:tc>
          <w:tcPr>
            <w:tcW w:w="832" w:type="dxa"/>
            <w:tcBorders>
              <w:top w:val="nil"/>
              <w:left w:val="nil"/>
              <w:bottom w:val="nil"/>
              <w:right w:val="nil"/>
            </w:tcBorders>
            <w:vAlign w:val="center"/>
          </w:tcPr>
          <w:p w14:paraId="52F8CCD8" w14:textId="77777777" w:rsidR="00E87BAD" w:rsidRPr="006B044F" w:rsidRDefault="00E87BAD" w:rsidP="00E87BAD">
            <w:pPr>
              <w:spacing w:line="276" w:lineRule="auto"/>
            </w:pPr>
            <w:r w:rsidRPr="006B044F">
              <w:t>10.2</w:t>
            </w:r>
          </w:p>
        </w:tc>
        <w:tc>
          <w:tcPr>
            <w:tcW w:w="837" w:type="dxa"/>
            <w:tcBorders>
              <w:top w:val="nil"/>
              <w:left w:val="nil"/>
              <w:bottom w:val="nil"/>
              <w:right w:val="nil"/>
            </w:tcBorders>
            <w:vAlign w:val="center"/>
          </w:tcPr>
          <w:p w14:paraId="2DD74E8B" w14:textId="77777777" w:rsidR="00E87BAD" w:rsidRPr="006B044F" w:rsidRDefault="00E87BAD" w:rsidP="00E87BAD">
            <w:pPr>
              <w:spacing w:line="276" w:lineRule="auto"/>
            </w:pPr>
            <w:r w:rsidRPr="006B044F">
              <w:t>18</w:t>
            </w:r>
          </w:p>
        </w:tc>
        <w:tc>
          <w:tcPr>
            <w:tcW w:w="905" w:type="dxa"/>
            <w:tcBorders>
              <w:top w:val="nil"/>
              <w:left w:val="nil"/>
              <w:bottom w:val="nil"/>
              <w:right w:val="nil"/>
            </w:tcBorders>
            <w:vAlign w:val="center"/>
          </w:tcPr>
          <w:p w14:paraId="37ECED55" w14:textId="77777777" w:rsidR="00E87BAD" w:rsidRPr="006B044F" w:rsidRDefault="00E87BAD" w:rsidP="00E87BAD">
            <w:pPr>
              <w:spacing w:line="276" w:lineRule="auto"/>
            </w:pPr>
            <w:r w:rsidRPr="006B044F">
              <w:t>67.2</w:t>
            </w:r>
          </w:p>
        </w:tc>
        <w:tc>
          <w:tcPr>
            <w:tcW w:w="1111" w:type="dxa"/>
            <w:gridSpan w:val="2"/>
            <w:vMerge/>
            <w:tcBorders>
              <w:left w:val="nil"/>
              <w:bottom w:val="nil"/>
              <w:right w:val="nil"/>
            </w:tcBorders>
            <w:vAlign w:val="center"/>
          </w:tcPr>
          <w:p w14:paraId="1759B09F" w14:textId="77777777" w:rsidR="00E87BAD" w:rsidRPr="006B044F" w:rsidRDefault="00E87BAD" w:rsidP="00E87BAD">
            <w:pPr>
              <w:spacing w:line="276" w:lineRule="auto"/>
            </w:pPr>
          </w:p>
        </w:tc>
        <w:tc>
          <w:tcPr>
            <w:tcW w:w="764" w:type="dxa"/>
            <w:tcBorders>
              <w:top w:val="nil"/>
              <w:left w:val="nil"/>
              <w:bottom w:val="nil"/>
              <w:right w:val="nil"/>
            </w:tcBorders>
          </w:tcPr>
          <w:p w14:paraId="66D975F6"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3F8F5308" w14:textId="77777777" w:rsidR="00E87BAD" w:rsidRPr="006B044F" w:rsidRDefault="00E87BAD" w:rsidP="00E87BAD">
            <w:pPr>
              <w:spacing w:line="276" w:lineRule="auto"/>
            </w:pPr>
            <w:r w:rsidRPr="006B044F">
              <w:t>98.6</w:t>
            </w:r>
          </w:p>
        </w:tc>
        <w:tc>
          <w:tcPr>
            <w:tcW w:w="832" w:type="dxa"/>
            <w:tcBorders>
              <w:top w:val="nil"/>
              <w:left w:val="nil"/>
              <w:bottom w:val="nil"/>
              <w:right w:val="nil"/>
            </w:tcBorders>
          </w:tcPr>
          <w:p w14:paraId="78712CA0" w14:textId="77777777" w:rsidR="00E87BAD" w:rsidRPr="006B044F" w:rsidRDefault="00E87BAD" w:rsidP="00E87BAD">
            <w:pPr>
              <w:spacing w:line="276" w:lineRule="auto"/>
            </w:pPr>
            <w:r w:rsidRPr="006B044F">
              <w:t>78.1</w:t>
            </w:r>
          </w:p>
        </w:tc>
        <w:tc>
          <w:tcPr>
            <w:tcW w:w="837" w:type="dxa"/>
            <w:tcBorders>
              <w:top w:val="nil"/>
              <w:left w:val="nil"/>
              <w:bottom w:val="nil"/>
              <w:right w:val="nil"/>
            </w:tcBorders>
          </w:tcPr>
          <w:p w14:paraId="28C9E459" w14:textId="77777777" w:rsidR="00E87BAD" w:rsidRPr="006B044F" w:rsidRDefault="00E87BAD" w:rsidP="00E87BAD">
            <w:pPr>
              <w:spacing w:line="276" w:lineRule="auto"/>
            </w:pPr>
            <w:r w:rsidRPr="006B044F">
              <w:t>119.1</w:t>
            </w:r>
          </w:p>
        </w:tc>
        <w:tc>
          <w:tcPr>
            <w:tcW w:w="905" w:type="dxa"/>
            <w:tcBorders>
              <w:top w:val="nil"/>
              <w:left w:val="nil"/>
              <w:bottom w:val="nil"/>
              <w:right w:val="nil"/>
            </w:tcBorders>
            <w:vAlign w:val="center"/>
          </w:tcPr>
          <w:p w14:paraId="6449E54C" w14:textId="77777777" w:rsidR="00E87BAD" w:rsidRPr="006B044F" w:rsidRDefault="00E87BAD" w:rsidP="00E87BAD">
            <w:pPr>
              <w:spacing w:line="276" w:lineRule="auto"/>
            </w:pPr>
            <w:r w:rsidRPr="006B044F">
              <w:t>49.2</w:t>
            </w:r>
          </w:p>
        </w:tc>
        <w:tc>
          <w:tcPr>
            <w:tcW w:w="1111" w:type="dxa"/>
            <w:gridSpan w:val="2"/>
            <w:vMerge/>
            <w:tcBorders>
              <w:left w:val="nil"/>
              <w:bottom w:val="nil"/>
              <w:right w:val="nil"/>
            </w:tcBorders>
            <w:vAlign w:val="center"/>
          </w:tcPr>
          <w:p w14:paraId="01EE92F1" w14:textId="77777777" w:rsidR="00E87BAD" w:rsidRPr="006B044F" w:rsidRDefault="00E87BAD" w:rsidP="00E87BAD">
            <w:pPr>
              <w:spacing w:line="276" w:lineRule="auto"/>
            </w:pPr>
          </w:p>
        </w:tc>
      </w:tr>
      <w:tr w:rsidR="006B044F" w:rsidRPr="006B044F" w14:paraId="64FF7015" w14:textId="77777777" w:rsidTr="00E87BAD">
        <w:trPr>
          <w:jc w:val="center"/>
        </w:trPr>
        <w:tc>
          <w:tcPr>
            <w:tcW w:w="1026" w:type="dxa"/>
            <w:vMerge/>
            <w:tcBorders>
              <w:left w:val="nil"/>
              <w:right w:val="nil"/>
            </w:tcBorders>
            <w:vAlign w:val="center"/>
          </w:tcPr>
          <w:p w14:paraId="50549CEC"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5914E598"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11B8EC96" w14:textId="77777777" w:rsidR="00E87BAD" w:rsidRPr="006B044F" w:rsidRDefault="00E87BAD" w:rsidP="00E87BAD">
            <w:pPr>
              <w:spacing w:line="276" w:lineRule="auto"/>
              <w:rPr>
                <w:b/>
              </w:rPr>
            </w:pPr>
            <w:r w:rsidRPr="006B044F">
              <w:rPr>
                <w:b/>
              </w:rPr>
              <w:t>7</w:t>
            </w:r>
          </w:p>
        </w:tc>
        <w:tc>
          <w:tcPr>
            <w:tcW w:w="581" w:type="dxa"/>
            <w:tcBorders>
              <w:top w:val="nil"/>
              <w:left w:val="nil"/>
              <w:bottom w:val="nil"/>
              <w:right w:val="nil"/>
            </w:tcBorders>
          </w:tcPr>
          <w:p w14:paraId="7E58ED56" w14:textId="77777777" w:rsidR="00E87BAD" w:rsidRPr="006B044F" w:rsidRDefault="00E87BAD" w:rsidP="00E87BAD">
            <w:pPr>
              <w:spacing w:line="276" w:lineRule="auto"/>
            </w:pPr>
            <w:r w:rsidRPr="006B044F">
              <w:t>24</w:t>
            </w:r>
          </w:p>
        </w:tc>
        <w:tc>
          <w:tcPr>
            <w:tcW w:w="794" w:type="dxa"/>
            <w:tcBorders>
              <w:top w:val="nil"/>
              <w:left w:val="nil"/>
              <w:bottom w:val="nil"/>
              <w:right w:val="nil"/>
            </w:tcBorders>
            <w:vAlign w:val="center"/>
          </w:tcPr>
          <w:p w14:paraId="3495FAF2" w14:textId="77777777" w:rsidR="00E87BAD" w:rsidRPr="006B044F" w:rsidRDefault="00E87BAD" w:rsidP="00E87BAD">
            <w:pPr>
              <w:spacing w:line="276" w:lineRule="auto"/>
            </w:pPr>
            <w:r w:rsidRPr="006B044F">
              <w:t>14.6</w:t>
            </w:r>
          </w:p>
        </w:tc>
        <w:tc>
          <w:tcPr>
            <w:tcW w:w="832" w:type="dxa"/>
            <w:tcBorders>
              <w:top w:val="nil"/>
              <w:left w:val="nil"/>
              <w:bottom w:val="nil"/>
              <w:right w:val="nil"/>
            </w:tcBorders>
            <w:vAlign w:val="center"/>
          </w:tcPr>
          <w:p w14:paraId="78C8F5BF" w14:textId="77777777" w:rsidR="00E87BAD" w:rsidRPr="006B044F" w:rsidRDefault="00E87BAD" w:rsidP="00E87BAD">
            <w:pPr>
              <w:spacing w:line="276" w:lineRule="auto"/>
            </w:pPr>
            <w:r w:rsidRPr="006B044F">
              <w:t>11.9</w:t>
            </w:r>
          </w:p>
        </w:tc>
        <w:tc>
          <w:tcPr>
            <w:tcW w:w="837" w:type="dxa"/>
            <w:tcBorders>
              <w:top w:val="nil"/>
              <w:left w:val="nil"/>
              <w:bottom w:val="nil"/>
              <w:right w:val="nil"/>
            </w:tcBorders>
            <w:vAlign w:val="center"/>
          </w:tcPr>
          <w:p w14:paraId="50888670" w14:textId="77777777" w:rsidR="00E87BAD" w:rsidRPr="006B044F" w:rsidRDefault="00E87BAD" w:rsidP="00E87BAD">
            <w:pPr>
              <w:spacing w:line="276" w:lineRule="auto"/>
            </w:pPr>
            <w:r w:rsidRPr="006B044F">
              <w:t>17.3</w:t>
            </w:r>
          </w:p>
        </w:tc>
        <w:tc>
          <w:tcPr>
            <w:tcW w:w="905" w:type="dxa"/>
            <w:tcBorders>
              <w:top w:val="nil"/>
              <w:left w:val="nil"/>
              <w:bottom w:val="nil"/>
              <w:right w:val="nil"/>
            </w:tcBorders>
            <w:vAlign w:val="center"/>
          </w:tcPr>
          <w:p w14:paraId="209A5FD0" w14:textId="77777777" w:rsidR="00E87BAD" w:rsidRPr="006B044F" w:rsidRDefault="00E87BAD" w:rsidP="00E87BAD">
            <w:pPr>
              <w:spacing w:line="276" w:lineRule="auto"/>
            </w:pPr>
            <w:r w:rsidRPr="006B044F">
              <w:t>43.3</w:t>
            </w:r>
          </w:p>
        </w:tc>
        <w:tc>
          <w:tcPr>
            <w:tcW w:w="1111" w:type="dxa"/>
            <w:gridSpan w:val="2"/>
            <w:vMerge w:val="restart"/>
            <w:tcBorders>
              <w:top w:val="nil"/>
              <w:left w:val="nil"/>
              <w:right w:val="nil"/>
            </w:tcBorders>
            <w:vAlign w:val="center"/>
          </w:tcPr>
          <w:p w14:paraId="5D5A8255" w14:textId="77777777" w:rsidR="00E87BAD" w:rsidRPr="006B044F" w:rsidRDefault="00E87BAD" w:rsidP="00E87BAD">
            <w:pPr>
              <w:spacing w:line="276" w:lineRule="auto"/>
            </w:pPr>
            <w:r w:rsidRPr="006B044F">
              <w:t>0.87</w:t>
            </w:r>
          </w:p>
        </w:tc>
        <w:tc>
          <w:tcPr>
            <w:tcW w:w="764" w:type="dxa"/>
            <w:tcBorders>
              <w:top w:val="nil"/>
              <w:left w:val="nil"/>
              <w:bottom w:val="nil"/>
              <w:right w:val="nil"/>
            </w:tcBorders>
          </w:tcPr>
          <w:p w14:paraId="7446D390"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5C2F2F9A" w14:textId="77777777" w:rsidR="00E87BAD" w:rsidRPr="006B044F" w:rsidRDefault="00E87BAD" w:rsidP="00E87BAD">
            <w:pPr>
              <w:spacing w:line="276" w:lineRule="auto"/>
            </w:pPr>
            <w:r w:rsidRPr="006B044F">
              <w:t>121.9</w:t>
            </w:r>
          </w:p>
        </w:tc>
        <w:tc>
          <w:tcPr>
            <w:tcW w:w="832" w:type="dxa"/>
            <w:tcBorders>
              <w:top w:val="nil"/>
              <w:left w:val="nil"/>
              <w:bottom w:val="nil"/>
              <w:right w:val="nil"/>
            </w:tcBorders>
          </w:tcPr>
          <w:p w14:paraId="1941FD31" w14:textId="77777777" w:rsidR="00E87BAD" w:rsidRPr="006B044F" w:rsidRDefault="00E87BAD" w:rsidP="00E87BAD">
            <w:pPr>
              <w:spacing w:line="276" w:lineRule="auto"/>
            </w:pPr>
            <w:r w:rsidRPr="006B044F">
              <w:t>105.5</w:t>
            </w:r>
          </w:p>
        </w:tc>
        <w:tc>
          <w:tcPr>
            <w:tcW w:w="837" w:type="dxa"/>
            <w:tcBorders>
              <w:top w:val="nil"/>
              <w:left w:val="nil"/>
              <w:bottom w:val="nil"/>
              <w:right w:val="nil"/>
            </w:tcBorders>
          </w:tcPr>
          <w:p w14:paraId="139AF6E7" w14:textId="77777777" w:rsidR="00E87BAD" w:rsidRPr="006B044F" w:rsidRDefault="00E87BAD" w:rsidP="00E87BAD">
            <w:pPr>
              <w:spacing w:line="276" w:lineRule="auto"/>
            </w:pPr>
            <w:r w:rsidRPr="006B044F">
              <w:t>138.3</w:t>
            </w:r>
          </w:p>
        </w:tc>
        <w:tc>
          <w:tcPr>
            <w:tcW w:w="905" w:type="dxa"/>
            <w:tcBorders>
              <w:top w:val="nil"/>
              <w:left w:val="nil"/>
              <w:bottom w:val="nil"/>
              <w:right w:val="nil"/>
            </w:tcBorders>
            <w:vAlign w:val="center"/>
          </w:tcPr>
          <w:p w14:paraId="3AFEB4F0" w14:textId="77777777" w:rsidR="00E87BAD" w:rsidRPr="006B044F" w:rsidRDefault="00E87BAD" w:rsidP="00E87BAD">
            <w:pPr>
              <w:spacing w:line="276" w:lineRule="auto"/>
            </w:pPr>
            <w:r w:rsidRPr="006B044F">
              <w:t>31.8</w:t>
            </w:r>
          </w:p>
        </w:tc>
        <w:tc>
          <w:tcPr>
            <w:tcW w:w="1111" w:type="dxa"/>
            <w:gridSpan w:val="2"/>
            <w:vMerge w:val="restart"/>
            <w:tcBorders>
              <w:top w:val="nil"/>
              <w:left w:val="nil"/>
              <w:right w:val="nil"/>
            </w:tcBorders>
            <w:vAlign w:val="center"/>
          </w:tcPr>
          <w:p w14:paraId="58703DCB" w14:textId="77777777" w:rsidR="00E87BAD" w:rsidRPr="006B044F" w:rsidRDefault="00E87BAD" w:rsidP="00E87BAD">
            <w:pPr>
              <w:spacing w:line="276" w:lineRule="auto"/>
            </w:pPr>
            <w:r w:rsidRPr="006B044F">
              <w:t>0.86</w:t>
            </w:r>
          </w:p>
        </w:tc>
      </w:tr>
      <w:tr w:rsidR="006B044F" w:rsidRPr="006B044F" w14:paraId="7671BED6" w14:textId="77777777" w:rsidTr="00E87BAD">
        <w:trPr>
          <w:jc w:val="center"/>
        </w:trPr>
        <w:tc>
          <w:tcPr>
            <w:tcW w:w="1026" w:type="dxa"/>
            <w:vMerge/>
            <w:tcBorders>
              <w:left w:val="nil"/>
              <w:right w:val="nil"/>
            </w:tcBorders>
            <w:vAlign w:val="center"/>
          </w:tcPr>
          <w:p w14:paraId="367BBF94"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44716476"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4D27D896" w14:textId="77777777" w:rsidR="00E87BAD" w:rsidRPr="006B044F" w:rsidRDefault="00E87BAD" w:rsidP="00E87BAD">
            <w:pPr>
              <w:spacing w:line="276" w:lineRule="auto"/>
              <w:rPr>
                <w:b/>
              </w:rPr>
            </w:pPr>
            <w:r w:rsidRPr="006B044F">
              <w:rPr>
                <w:b/>
              </w:rPr>
              <w:t>8</w:t>
            </w:r>
          </w:p>
        </w:tc>
        <w:tc>
          <w:tcPr>
            <w:tcW w:w="581" w:type="dxa"/>
            <w:tcBorders>
              <w:top w:val="nil"/>
              <w:left w:val="nil"/>
              <w:bottom w:val="nil"/>
              <w:right w:val="nil"/>
            </w:tcBorders>
          </w:tcPr>
          <w:p w14:paraId="0CACC48B" w14:textId="77777777" w:rsidR="00E87BAD" w:rsidRPr="006B044F" w:rsidRDefault="00E87BAD" w:rsidP="00E87BAD">
            <w:pPr>
              <w:spacing w:line="276" w:lineRule="auto"/>
            </w:pPr>
            <w:r w:rsidRPr="006B044F">
              <w:t>24</w:t>
            </w:r>
          </w:p>
        </w:tc>
        <w:tc>
          <w:tcPr>
            <w:tcW w:w="794" w:type="dxa"/>
            <w:tcBorders>
              <w:top w:val="nil"/>
              <w:left w:val="nil"/>
              <w:bottom w:val="nil"/>
              <w:right w:val="nil"/>
            </w:tcBorders>
            <w:vAlign w:val="center"/>
          </w:tcPr>
          <w:p w14:paraId="5AFCB800" w14:textId="77777777" w:rsidR="00E87BAD" w:rsidRPr="006B044F" w:rsidRDefault="00E87BAD" w:rsidP="00E87BAD">
            <w:pPr>
              <w:spacing w:line="276" w:lineRule="auto"/>
            </w:pPr>
            <w:r w:rsidRPr="006B044F">
              <w:t>13.5</w:t>
            </w:r>
          </w:p>
        </w:tc>
        <w:tc>
          <w:tcPr>
            <w:tcW w:w="832" w:type="dxa"/>
            <w:tcBorders>
              <w:top w:val="nil"/>
              <w:left w:val="nil"/>
              <w:bottom w:val="nil"/>
              <w:right w:val="nil"/>
            </w:tcBorders>
            <w:vAlign w:val="center"/>
          </w:tcPr>
          <w:p w14:paraId="2C2BB7FC" w14:textId="77777777" w:rsidR="00E87BAD" w:rsidRPr="006B044F" w:rsidRDefault="00E87BAD" w:rsidP="00E87BAD">
            <w:pPr>
              <w:spacing w:line="276" w:lineRule="auto"/>
            </w:pPr>
            <w:r w:rsidRPr="006B044F">
              <w:t>10</w:t>
            </w:r>
          </w:p>
        </w:tc>
        <w:tc>
          <w:tcPr>
            <w:tcW w:w="837" w:type="dxa"/>
            <w:tcBorders>
              <w:top w:val="nil"/>
              <w:left w:val="nil"/>
              <w:bottom w:val="nil"/>
              <w:right w:val="nil"/>
            </w:tcBorders>
            <w:vAlign w:val="center"/>
          </w:tcPr>
          <w:p w14:paraId="243E0C2D" w14:textId="77777777" w:rsidR="00E87BAD" w:rsidRPr="006B044F" w:rsidRDefault="00E87BAD" w:rsidP="00E87BAD">
            <w:pPr>
              <w:spacing w:line="276" w:lineRule="auto"/>
            </w:pPr>
            <w:r w:rsidRPr="006B044F">
              <w:t>16.9</w:t>
            </w:r>
          </w:p>
        </w:tc>
        <w:tc>
          <w:tcPr>
            <w:tcW w:w="905" w:type="dxa"/>
            <w:tcBorders>
              <w:top w:val="nil"/>
              <w:left w:val="nil"/>
              <w:bottom w:val="nil"/>
              <w:right w:val="nil"/>
            </w:tcBorders>
            <w:vAlign w:val="center"/>
          </w:tcPr>
          <w:p w14:paraId="7B65D4B7" w14:textId="77777777" w:rsidR="00E87BAD" w:rsidRPr="006B044F" w:rsidRDefault="00E87BAD" w:rsidP="00E87BAD">
            <w:pPr>
              <w:spacing w:line="276" w:lineRule="auto"/>
            </w:pPr>
            <w:r w:rsidRPr="006B044F">
              <w:t>60.4</w:t>
            </w:r>
          </w:p>
        </w:tc>
        <w:tc>
          <w:tcPr>
            <w:tcW w:w="1111" w:type="dxa"/>
            <w:gridSpan w:val="2"/>
            <w:vMerge/>
            <w:tcBorders>
              <w:left w:val="nil"/>
              <w:right w:val="nil"/>
            </w:tcBorders>
            <w:vAlign w:val="center"/>
          </w:tcPr>
          <w:p w14:paraId="0C9E5D6E" w14:textId="77777777" w:rsidR="00E87BAD" w:rsidRPr="006B044F" w:rsidRDefault="00E87BAD" w:rsidP="00E87BAD">
            <w:pPr>
              <w:spacing w:line="276" w:lineRule="auto"/>
            </w:pPr>
          </w:p>
        </w:tc>
        <w:tc>
          <w:tcPr>
            <w:tcW w:w="764" w:type="dxa"/>
            <w:tcBorders>
              <w:top w:val="nil"/>
              <w:left w:val="nil"/>
              <w:bottom w:val="nil"/>
              <w:right w:val="nil"/>
            </w:tcBorders>
          </w:tcPr>
          <w:p w14:paraId="3272FCA2"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0052AB1F" w14:textId="77777777" w:rsidR="00E87BAD" w:rsidRPr="006B044F" w:rsidRDefault="00E87BAD" w:rsidP="00E87BAD">
            <w:pPr>
              <w:spacing w:line="276" w:lineRule="auto"/>
            </w:pPr>
            <w:r w:rsidRPr="006B044F">
              <w:t>128.7</w:t>
            </w:r>
          </w:p>
        </w:tc>
        <w:tc>
          <w:tcPr>
            <w:tcW w:w="832" w:type="dxa"/>
            <w:tcBorders>
              <w:top w:val="nil"/>
              <w:left w:val="nil"/>
              <w:bottom w:val="nil"/>
              <w:right w:val="nil"/>
            </w:tcBorders>
          </w:tcPr>
          <w:p w14:paraId="7E7B76AF" w14:textId="77777777" w:rsidR="00E87BAD" w:rsidRPr="006B044F" w:rsidRDefault="00E87BAD" w:rsidP="00E87BAD">
            <w:pPr>
              <w:spacing w:line="276" w:lineRule="auto"/>
            </w:pPr>
            <w:r w:rsidRPr="006B044F">
              <w:t>106.5</w:t>
            </w:r>
          </w:p>
        </w:tc>
        <w:tc>
          <w:tcPr>
            <w:tcW w:w="837" w:type="dxa"/>
            <w:tcBorders>
              <w:top w:val="nil"/>
              <w:left w:val="nil"/>
              <w:bottom w:val="nil"/>
              <w:right w:val="nil"/>
            </w:tcBorders>
          </w:tcPr>
          <w:p w14:paraId="61852124" w14:textId="77777777" w:rsidR="00E87BAD" w:rsidRPr="006B044F" w:rsidRDefault="00E87BAD" w:rsidP="00E87BAD">
            <w:pPr>
              <w:spacing w:line="276" w:lineRule="auto"/>
            </w:pPr>
            <w:r w:rsidRPr="006B044F">
              <w:t>150.9</w:t>
            </w:r>
          </w:p>
        </w:tc>
        <w:tc>
          <w:tcPr>
            <w:tcW w:w="905" w:type="dxa"/>
            <w:tcBorders>
              <w:top w:val="nil"/>
              <w:left w:val="nil"/>
              <w:bottom w:val="nil"/>
              <w:right w:val="nil"/>
            </w:tcBorders>
            <w:vAlign w:val="center"/>
          </w:tcPr>
          <w:p w14:paraId="4B555D2F" w14:textId="77777777" w:rsidR="00E87BAD" w:rsidRPr="006B044F" w:rsidRDefault="00E87BAD" w:rsidP="00E87BAD">
            <w:pPr>
              <w:spacing w:line="276" w:lineRule="auto"/>
            </w:pPr>
            <w:r w:rsidRPr="006B044F">
              <w:t>40.1</w:t>
            </w:r>
          </w:p>
        </w:tc>
        <w:tc>
          <w:tcPr>
            <w:tcW w:w="1111" w:type="dxa"/>
            <w:gridSpan w:val="2"/>
            <w:vMerge/>
            <w:tcBorders>
              <w:left w:val="nil"/>
              <w:right w:val="nil"/>
            </w:tcBorders>
            <w:vAlign w:val="center"/>
          </w:tcPr>
          <w:p w14:paraId="24E4BEA0" w14:textId="77777777" w:rsidR="00E87BAD" w:rsidRPr="006B044F" w:rsidRDefault="00E87BAD" w:rsidP="00E87BAD">
            <w:pPr>
              <w:spacing w:line="276" w:lineRule="auto"/>
            </w:pPr>
          </w:p>
        </w:tc>
      </w:tr>
      <w:tr w:rsidR="006B044F" w:rsidRPr="006B044F" w14:paraId="10002E91" w14:textId="77777777" w:rsidTr="00E87BAD">
        <w:trPr>
          <w:jc w:val="center"/>
        </w:trPr>
        <w:tc>
          <w:tcPr>
            <w:tcW w:w="1026" w:type="dxa"/>
            <w:vMerge/>
            <w:tcBorders>
              <w:left w:val="nil"/>
              <w:bottom w:val="nil"/>
              <w:right w:val="nil"/>
            </w:tcBorders>
            <w:vAlign w:val="center"/>
          </w:tcPr>
          <w:p w14:paraId="04B31939"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65DB4E63"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295B0C06" w14:textId="77777777" w:rsidR="00E87BAD" w:rsidRPr="006B044F" w:rsidRDefault="00E87BAD" w:rsidP="00E87BAD">
            <w:pPr>
              <w:spacing w:line="276" w:lineRule="auto"/>
              <w:rPr>
                <w:b/>
              </w:rPr>
            </w:pPr>
            <w:r w:rsidRPr="006B044F">
              <w:rPr>
                <w:b/>
              </w:rPr>
              <w:t>9</w:t>
            </w:r>
          </w:p>
        </w:tc>
        <w:tc>
          <w:tcPr>
            <w:tcW w:w="581" w:type="dxa"/>
            <w:tcBorders>
              <w:top w:val="nil"/>
              <w:left w:val="nil"/>
              <w:bottom w:val="nil"/>
              <w:right w:val="nil"/>
            </w:tcBorders>
          </w:tcPr>
          <w:p w14:paraId="24E916C7" w14:textId="77777777" w:rsidR="00E87BAD" w:rsidRPr="006B044F" w:rsidRDefault="00E87BAD" w:rsidP="00E87BAD">
            <w:pPr>
              <w:spacing w:line="276" w:lineRule="auto"/>
            </w:pPr>
            <w:r w:rsidRPr="006B044F">
              <w:t>24</w:t>
            </w:r>
          </w:p>
        </w:tc>
        <w:tc>
          <w:tcPr>
            <w:tcW w:w="794" w:type="dxa"/>
            <w:tcBorders>
              <w:top w:val="nil"/>
              <w:left w:val="nil"/>
              <w:bottom w:val="nil"/>
              <w:right w:val="nil"/>
            </w:tcBorders>
            <w:vAlign w:val="center"/>
          </w:tcPr>
          <w:p w14:paraId="1D1B868B" w14:textId="77777777" w:rsidR="00E87BAD" w:rsidRPr="006B044F" w:rsidRDefault="00E87BAD" w:rsidP="00E87BAD">
            <w:pPr>
              <w:spacing w:line="276" w:lineRule="auto"/>
            </w:pPr>
            <w:r w:rsidRPr="006B044F">
              <w:t>13.9</w:t>
            </w:r>
          </w:p>
        </w:tc>
        <w:tc>
          <w:tcPr>
            <w:tcW w:w="832" w:type="dxa"/>
            <w:tcBorders>
              <w:top w:val="nil"/>
              <w:left w:val="nil"/>
              <w:bottom w:val="nil"/>
              <w:right w:val="nil"/>
            </w:tcBorders>
            <w:vAlign w:val="center"/>
          </w:tcPr>
          <w:p w14:paraId="44054974" w14:textId="77777777" w:rsidR="00E87BAD" w:rsidRPr="006B044F" w:rsidRDefault="00E87BAD" w:rsidP="00E87BAD">
            <w:pPr>
              <w:spacing w:line="276" w:lineRule="auto"/>
            </w:pPr>
            <w:r w:rsidRPr="006B044F">
              <w:t>10.4</w:t>
            </w:r>
          </w:p>
        </w:tc>
        <w:tc>
          <w:tcPr>
            <w:tcW w:w="837" w:type="dxa"/>
            <w:tcBorders>
              <w:top w:val="nil"/>
              <w:left w:val="nil"/>
              <w:bottom w:val="nil"/>
              <w:right w:val="nil"/>
            </w:tcBorders>
            <w:vAlign w:val="center"/>
          </w:tcPr>
          <w:p w14:paraId="19DFC182" w14:textId="77777777" w:rsidR="00E87BAD" w:rsidRPr="006B044F" w:rsidRDefault="00E87BAD" w:rsidP="00E87BAD">
            <w:pPr>
              <w:spacing w:line="276" w:lineRule="auto"/>
            </w:pPr>
            <w:r w:rsidRPr="006B044F">
              <w:t>17.4</w:t>
            </w:r>
          </w:p>
        </w:tc>
        <w:tc>
          <w:tcPr>
            <w:tcW w:w="905" w:type="dxa"/>
            <w:tcBorders>
              <w:top w:val="nil"/>
              <w:left w:val="nil"/>
              <w:bottom w:val="nil"/>
              <w:right w:val="nil"/>
            </w:tcBorders>
            <w:vAlign w:val="center"/>
          </w:tcPr>
          <w:p w14:paraId="380F4DF3" w14:textId="77777777" w:rsidR="00E87BAD" w:rsidRPr="006B044F" w:rsidRDefault="00E87BAD" w:rsidP="00E87BAD">
            <w:pPr>
              <w:spacing w:line="276" w:lineRule="auto"/>
            </w:pPr>
            <w:r w:rsidRPr="006B044F">
              <w:t>59.2</w:t>
            </w:r>
          </w:p>
        </w:tc>
        <w:tc>
          <w:tcPr>
            <w:tcW w:w="1111" w:type="dxa"/>
            <w:gridSpan w:val="2"/>
            <w:vMerge/>
            <w:tcBorders>
              <w:left w:val="nil"/>
              <w:bottom w:val="nil"/>
              <w:right w:val="nil"/>
            </w:tcBorders>
            <w:vAlign w:val="center"/>
          </w:tcPr>
          <w:p w14:paraId="3E2E462F" w14:textId="77777777" w:rsidR="00E87BAD" w:rsidRPr="006B044F" w:rsidRDefault="00E87BAD" w:rsidP="00E87BAD">
            <w:pPr>
              <w:spacing w:line="276" w:lineRule="auto"/>
            </w:pPr>
          </w:p>
        </w:tc>
        <w:tc>
          <w:tcPr>
            <w:tcW w:w="764" w:type="dxa"/>
            <w:tcBorders>
              <w:top w:val="nil"/>
              <w:left w:val="nil"/>
              <w:bottom w:val="nil"/>
              <w:right w:val="nil"/>
            </w:tcBorders>
          </w:tcPr>
          <w:p w14:paraId="104749ED"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19EBBC34" w14:textId="77777777" w:rsidR="00E87BAD" w:rsidRPr="006B044F" w:rsidRDefault="00E87BAD" w:rsidP="00E87BAD">
            <w:pPr>
              <w:spacing w:line="276" w:lineRule="auto"/>
            </w:pPr>
            <w:r w:rsidRPr="006B044F">
              <w:t>127.8</w:t>
            </w:r>
          </w:p>
        </w:tc>
        <w:tc>
          <w:tcPr>
            <w:tcW w:w="832" w:type="dxa"/>
            <w:tcBorders>
              <w:top w:val="nil"/>
              <w:left w:val="nil"/>
              <w:bottom w:val="nil"/>
              <w:right w:val="nil"/>
            </w:tcBorders>
          </w:tcPr>
          <w:p w14:paraId="039FC5BA" w14:textId="77777777" w:rsidR="00E87BAD" w:rsidRPr="006B044F" w:rsidRDefault="00E87BAD" w:rsidP="00E87BAD">
            <w:pPr>
              <w:spacing w:line="276" w:lineRule="auto"/>
            </w:pPr>
            <w:r w:rsidRPr="006B044F">
              <w:t>108</w:t>
            </w:r>
          </w:p>
        </w:tc>
        <w:tc>
          <w:tcPr>
            <w:tcW w:w="837" w:type="dxa"/>
            <w:tcBorders>
              <w:top w:val="nil"/>
              <w:left w:val="nil"/>
              <w:bottom w:val="nil"/>
              <w:right w:val="nil"/>
            </w:tcBorders>
          </w:tcPr>
          <w:p w14:paraId="237111D7" w14:textId="77777777" w:rsidR="00E87BAD" w:rsidRPr="006B044F" w:rsidRDefault="00E87BAD" w:rsidP="00E87BAD">
            <w:pPr>
              <w:spacing w:line="276" w:lineRule="auto"/>
            </w:pPr>
            <w:r w:rsidRPr="006B044F">
              <w:t>147.5</w:t>
            </w:r>
          </w:p>
        </w:tc>
        <w:tc>
          <w:tcPr>
            <w:tcW w:w="905" w:type="dxa"/>
            <w:tcBorders>
              <w:top w:val="nil"/>
              <w:left w:val="nil"/>
              <w:bottom w:val="nil"/>
              <w:right w:val="nil"/>
            </w:tcBorders>
            <w:vAlign w:val="center"/>
          </w:tcPr>
          <w:p w14:paraId="43C63175" w14:textId="77777777" w:rsidR="00E87BAD" w:rsidRPr="006B044F" w:rsidRDefault="00E87BAD" w:rsidP="00E87BAD">
            <w:pPr>
              <w:spacing w:line="276" w:lineRule="auto"/>
            </w:pPr>
            <w:r w:rsidRPr="006B044F">
              <w:t>36.6</w:t>
            </w:r>
          </w:p>
        </w:tc>
        <w:tc>
          <w:tcPr>
            <w:tcW w:w="1111" w:type="dxa"/>
            <w:gridSpan w:val="2"/>
            <w:vMerge/>
            <w:tcBorders>
              <w:left w:val="nil"/>
              <w:bottom w:val="nil"/>
              <w:right w:val="nil"/>
            </w:tcBorders>
            <w:vAlign w:val="center"/>
          </w:tcPr>
          <w:p w14:paraId="256432DE" w14:textId="77777777" w:rsidR="00E87BAD" w:rsidRPr="006B044F" w:rsidRDefault="00E87BAD" w:rsidP="00E87BAD">
            <w:pPr>
              <w:spacing w:line="276" w:lineRule="auto"/>
            </w:pPr>
          </w:p>
        </w:tc>
      </w:tr>
      <w:tr w:rsidR="006B044F" w:rsidRPr="006B044F" w14:paraId="2A774D17" w14:textId="77777777" w:rsidTr="00E87BAD">
        <w:trPr>
          <w:jc w:val="center"/>
        </w:trPr>
        <w:tc>
          <w:tcPr>
            <w:tcW w:w="1026" w:type="dxa"/>
            <w:tcBorders>
              <w:top w:val="nil"/>
              <w:left w:val="nil"/>
              <w:bottom w:val="nil"/>
              <w:right w:val="nil"/>
            </w:tcBorders>
            <w:vAlign w:val="center"/>
          </w:tcPr>
          <w:p w14:paraId="720721D3" w14:textId="77777777" w:rsidR="00E87BAD" w:rsidRPr="006B044F" w:rsidRDefault="00E87BAD" w:rsidP="00E87BAD">
            <w:pPr>
              <w:spacing w:line="276" w:lineRule="auto"/>
              <w:rPr>
                <w:b/>
              </w:rPr>
            </w:pPr>
          </w:p>
        </w:tc>
        <w:tc>
          <w:tcPr>
            <w:tcW w:w="775" w:type="dxa"/>
            <w:tcBorders>
              <w:top w:val="nil"/>
              <w:left w:val="nil"/>
              <w:bottom w:val="nil"/>
              <w:right w:val="nil"/>
            </w:tcBorders>
            <w:vAlign w:val="center"/>
          </w:tcPr>
          <w:p w14:paraId="16A9A1DA" w14:textId="77777777" w:rsidR="00E87BAD" w:rsidRPr="006B044F" w:rsidRDefault="00E87BAD" w:rsidP="00E87BAD">
            <w:pPr>
              <w:spacing w:line="276" w:lineRule="auto"/>
              <w:rPr>
                <w:b/>
              </w:rPr>
            </w:pPr>
          </w:p>
        </w:tc>
        <w:tc>
          <w:tcPr>
            <w:tcW w:w="977" w:type="dxa"/>
            <w:tcBorders>
              <w:top w:val="nil"/>
              <w:left w:val="nil"/>
              <w:bottom w:val="nil"/>
              <w:right w:val="nil"/>
            </w:tcBorders>
            <w:vAlign w:val="center"/>
          </w:tcPr>
          <w:p w14:paraId="04B2E7F7" w14:textId="77777777" w:rsidR="00E87BAD" w:rsidRPr="006B044F" w:rsidRDefault="00E87BAD" w:rsidP="00E87BAD">
            <w:pPr>
              <w:spacing w:line="276" w:lineRule="auto"/>
              <w:rPr>
                <w:b/>
              </w:rPr>
            </w:pPr>
          </w:p>
        </w:tc>
        <w:tc>
          <w:tcPr>
            <w:tcW w:w="581" w:type="dxa"/>
            <w:tcBorders>
              <w:top w:val="nil"/>
              <w:left w:val="nil"/>
              <w:bottom w:val="nil"/>
              <w:right w:val="nil"/>
            </w:tcBorders>
          </w:tcPr>
          <w:p w14:paraId="5E7991F2" w14:textId="77777777" w:rsidR="00E87BAD" w:rsidRPr="006B044F" w:rsidRDefault="00E87BAD" w:rsidP="00E87BAD">
            <w:pPr>
              <w:spacing w:line="276" w:lineRule="auto"/>
            </w:pPr>
          </w:p>
        </w:tc>
        <w:tc>
          <w:tcPr>
            <w:tcW w:w="794" w:type="dxa"/>
            <w:tcBorders>
              <w:top w:val="nil"/>
              <w:left w:val="nil"/>
              <w:bottom w:val="nil"/>
              <w:right w:val="nil"/>
            </w:tcBorders>
            <w:vAlign w:val="center"/>
          </w:tcPr>
          <w:p w14:paraId="78E0D8FC" w14:textId="77777777" w:rsidR="00E87BAD" w:rsidRPr="006B044F" w:rsidRDefault="00E87BAD" w:rsidP="00E87BAD">
            <w:pPr>
              <w:spacing w:line="276" w:lineRule="auto"/>
            </w:pPr>
          </w:p>
        </w:tc>
        <w:tc>
          <w:tcPr>
            <w:tcW w:w="832" w:type="dxa"/>
            <w:tcBorders>
              <w:top w:val="nil"/>
              <w:left w:val="nil"/>
              <w:bottom w:val="nil"/>
              <w:right w:val="nil"/>
            </w:tcBorders>
            <w:vAlign w:val="center"/>
          </w:tcPr>
          <w:p w14:paraId="64F14736" w14:textId="77777777" w:rsidR="00E87BAD" w:rsidRPr="006B044F" w:rsidRDefault="00E87BAD" w:rsidP="00E87BAD">
            <w:pPr>
              <w:spacing w:line="276" w:lineRule="auto"/>
            </w:pPr>
          </w:p>
        </w:tc>
        <w:tc>
          <w:tcPr>
            <w:tcW w:w="837" w:type="dxa"/>
            <w:tcBorders>
              <w:top w:val="nil"/>
              <w:left w:val="nil"/>
              <w:bottom w:val="nil"/>
              <w:right w:val="nil"/>
            </w:tcBorders>
            <w:vAlign w:val="center"/>
          </w:tcPr>
          <w:p w14:paraId="1745D2A3" w14:textId="77777777" w:rsidR="00E87BAD" w:rsidRPr="006B044F" w:rsidRDefault="00E87BAD" w:rsidP="00E87BAD">
            <w:pPr>
              <w:spacing w:line="276" w:lineRule="auto"/>
            </w:pPr>
          </w:p>
        </w:tc>
        <w:tc>
          <w:tcPr>
            <w:tcW w:w="905" w:type="dxa"/>
            <w:tcBorders>
              <w:top w:val="nil"/>
              <w:left w:val="nil"/>
              <w:bottom w:val="nil"/>
              <w:right w:val="nil"/>
            </w:tcBorders>
          </w:tcPr>
          <w:p w14:paraId="6CAE7FE5" w14:textId="77777777" w:rsidR="00E87BAD" w:rsidRPr="006B044F" w:rsidRDefault="00E87BAD" w:rsidP="00E87BAD">
            <w:pPr>
              <w:spacing w:line="276" w:lineRule="auto"/>
            </w:pPr>
          </w:p>
        </w:tc>
        <w:tc>
          <w:tcPr>
            <w:tcW w:w="1111" w:type="dxa"/>
            <w:gridSpan w:val="2"/>
            <w:tcBorders>
              <w:top w:val="nil"/>
              <w:left w:val="nil"/>
              <w:bottom w:val="nil"/>
              <w:right w:val="nil"/>
            </w:tcBorders>
            <w:vAlign w:val="center"/>
          </w:tcPr>
          <w:p w14:paraId="7D6D555F" w14:textId="77777777" w:rsidR="00E87BAD" w:rsidRPr="006B044F" w:rsidRDefault="00E87BAD" w:rsidP="00E87BAD">
            <w:pPr>
              <w:spacing w:line="276" w:lineRule="auto"/>
            </w:pPr>
          </w:p>
        </w:tc>
        <w:tc>
          <w:tcPr>
            <w:tcW w:w="764" w:type="dxa"/>
            <w:tcBorders>
              <w:top w:val="nil"/>
              <w:left w:val="nil"/>
              <w:bottom w:val="nil"/>
              <w:right w:val="nil"/>
            </w:tcBorders>
          </w:tcPr>
          <w:p w14:paraId="66710DFA"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1A322263" w14:textId="77777777" w:rsidR="00E87BAD" w:rsidRPr="006B044F" w:rsidRDefault="00E87BAD" w:rsidP="00E87BAD">
            <w:pPr>
              <w:spacing w:line="276" w:lineRule="auto"/>
            </w:pPr>
          </w:p>
        </w:tc>
        <w:tc>
          <w:tcPr>
            <w:tcW w:w="832" w:type="dxa"/>
            <w:tcBorders>
              <w:top w:val="nil"/>
              <w:left w:val="nil"/>
              <w:bottom w:val="nil"/>
              <w:right w:val="nil"/>
            </w:tcBorders>
          </w:tcPr>
          <w:p w14:paraId="105DFF64" w14:textId="77777777" w:rsidR="00E87BAD" w:rsidRPr="006B044F" w:rsidRDefault="00E87BAD" w:rsidP="00E87BAD">
            <w:pPr>
              <w:spacing w:line="276" w:lineRule="auto"/>
            </w:pPr>
          </w:p>
        </w:tc>
        <w:tc>
          <w:tcPr>
            <w:tcW w:w="837" w:type="dxa"/>
            <w:tcBorders>
              <w:top w:val="nil"/>
              <w:left w:val="nil"/>
              <w:bottom w:val="nil"/>
              <w:right w:val="nil"/>
            </w:tcBorders>
          </w:tcPr>
          <w:p w14:paraId="011B677D" w14:textId="77777777" w:rsidR="00E87BAD" w:rsidRPr="006B044F" w:rsidRDefault="00E87BAD" w:rsidP="00E87BAD">
            <w:pPr>
              <w:spacing w:line="276" w:lineRule="auto"/>
            </w:pPr>
          </w:p>
        </w:tc>
        <w:tc>
          <w:tcPr>
            <w:tcW w:w="905" w:type="dxa"/>
            <w:tcBorders>
              <w:top w:val="nil"/>
              <w:left w:val="nil"/>
              <w:bottom w:val="nil"/>
              <w:right w:val="nil"/>
            </w:tcBorders>
          </w:tcPr>
          <w:p w14:paraId="135DD6D1" w14:textId="77777777" w:rsidR="00E87BAD" w:rsidRPr="006B044F" w:rsidRDefault="00E87BAD" w:rsidP="00E87BAD">
            <w:pPr>
              <w:spacing w:line="276" w:lineRule="auto"/>
            </w:pPr>
          </w:p>
        </w:tc>
        <w:tc>
          <w:tcPr>
            <w:tcW w:w="1111" w:type="dxa"/>
            <w:gridSpan w:val="2"/>
            <w:tcBorders>
              <w:top w:val="nil"/>
              <w:left w:val="nil"/>
              <w:bottom w:val="nil"/>
              <w:right w:val="nil"/>
            </w:tcBorders>
            <w:vAlign w:val="center"/>
          </w:tcPr>
          <w:p w14:paraId="1206D071" w14:textId="77777777" w:rsidR="00E87BAD" w:rsidRPr="006B044F" w:rsidRDefault="00E87BAD" w:rsidP="00E87BAD">
            <w:pPr>
              <w:spacing w:line="276" w:lineRule="auto"/>
            </w:pPr>
          </w:p>
        </w:tc>
      </w:tr>
      <w:tr w:rsidR="006B044F" w:rsidRPr="006B044F" w14:paraId="3287C732" w14:textId="77777777" w:rsidTr="00E87BAD">
        <w:trPr>
          <w:jc w:val="center"/>
        </w:trPr>
        <w:tc>
          <w:tcPr>
            <w:tcW w:w="1026" w:type="dxa"/>
            <w:vMerge w:val="restart"/>
            <w:tcBorders>
              <w:top w:val="nil"/>
              <w:left w:val="nil"/>
              <w:right w:val="nil"/>
            </w:tcBorders>
            <w:vAlign w:val="center"/>
          </w:tcPr>
          <w:p w14:paraId="3DD538DF" w14:textId="77777777" w:rsidR="00E87BAD" w:rsidRPr="006B044F" w:rsidRDefault="00E87BAD" w:rsidP="00E87BAD">
            <w:pPr>
              <w:spacing w:line="276" w:lineRule="auto"/>
              <w:rPr>
                <w:b/>
              </w:rPr>
            </w:pPr>
            <w:r w:rsidRPr="006B044F">
              <w:rPr>
                <w:b/>
              </w:rPr>
              <w:t>Within Tree</w:t>
            </w:r>
          </w:p>
        </w:tc>
        <w:tc>
          <w:tcPr>
            <w:tcW w:w="775" w:type="dxa"/>
            <w:tcBorders>
              <w:top w:val="nil"/>
              <w:left w:val="nil"/>
              <w:bottom w:val="nil"/>
              <w:right w:val="nil"/>
            </w:tcBorders>
            <w:vAlign w:val="center"/>
          </w:tcPr>
          <w:p w14:paraId="37F3861C" w14:textId="77777777" w:rsidR="00E87BAD" w:rsidRPr="006B044F" w:rsidRDefault="00E87BAD" w:rsidP="00E87BAD">
            <w:pPr>
              <w:spacing w:line="276" w:lineRule="auto"/>
              <w:rPr>
                <w:b/>
              </w:rPr>
            </w:pPr>
            <w:r w:rsidRPr="006B044F">
              <w:rPr>
                <w:b/>
              </w:rPr>
              <w:t>Zone</w:t>
            </w:r>
          </w:p>
        </w:tc>
        <w:tc>
          <w:tcPr>
            <w:tcW w:w="977" w:type="dxa"/>
            <w:tcBorders>
              <w:top w:val="nil"/>
              <w:left w:val="nil"/>
              <w:bottom w:val="nil"/>
              <w:right w:val="nil"/>
            </w:tcBorders>
            <w:vAlign w:val="center"/>
          </w:tcPr>
          <w:p w14:paraId="146CC015" w14:textId="77777777" w:rsidR="00E87BAD" w:rsidRPr="006B044F" w:rsidRDefault="00E87BAD" w:rsidP="00E87BAD">
            <w:pPr>
              <w:spacing w:line="276" w:lineRule="auto"/>
              <w:rPr>
                <w:b/>
              </w:rPr>
            </w:pPr>
            <w:r w:rsidRPr="006B044F">
              <w:rPr>
                <w:b/>
              </w:rPr>
              <w:t>Middle</w:t>
            </w:r>
          </w:p>
        </w:tc>
        <w:tc>
          <w:tcPr>
            <w:tcW w:w="581" w:type="dxa"/>
            <w:tcBorders>
              <w:top w:val="nil"/>
              <w:left w:val="nil"/>
              <w:bottom w:val="nil"/>
              <w:right w:val="nil"/>
            </w:tcBorders>
          </w:tcPr>
          <w:p w14:paraId="2B11AC4A" w14:textId="77777777" w:rsidR="00E87BAD" w:rsidRPr="006B044F" w:rsidRDefault="00E87BAD" w:rsidP="00E87BAD">
            <w:pPr>
              <w:spacing w:line="276" w:lineRule="auto"/>
            </w:pPr>
            <w:r w:rsidRPr="006B044F">
              <w:t>106</w:t>
            </w:r>
          </w:p>
        </w:tc>
        <w:tc>
          <w:tcPr>
            <w:tcW w:w="794" w:type="dxa"/>
            <w:tcBorders>
              <w:top w:val="nil"/>
              <w:left w:val="nil"/>
              <w:bottom w:val="nil"/>
              <w:right w:val="nil"/>
            </w:tcBorders>
            <w:vAlign w:val="center"/>
          </w:tcPr>
          <w:p w14:paraId="600B515F" w14:textId="77777777" w:rsidR="00E87BAD" w:rsidRPr="006B044F" w:rsidRDefault="00E87BAD" w:rsidP="00E87BAD">
            <w:pPr>
              <w:spacing w:line="276" w:lineRule="auto"/>
            </w:pPr>
            <w:r w:rsidRPr="006B044F">
              <w:t>15.3</w:t>
            </w:r>
          </w:p>
        </w:tc>
        <w:tc>
          <w:tcPr>
            <w:tcW w:w="832" w:type="dxa"/>
            <w:tcBorders>
              <w:top w:val="nil"/>
              <w:left w:val="nil"/>
              <w:bottom w:val="nil"/>
              <w:right w:val="nil"/>
            </w:tcBorders>
            <w:vAlign w:val="center"/>
          </w:tcPr>
          <w:p w14:paraId="2D3D9616" w14:textId="77777777" w:rsidR="00E87BAD" w:rsidRPr="006B044F" w:rsidRDefault="00E87BAD" w:rsidP="00E87BAD">
            <w:pPr>
              <w:spacing w:line="276" w:lineRule="auto"/>
            </w:pPr>
            <w:r w:rsidRPr="006B044F">
              <w:t>13.7</w:t>
            </w:r>
          </w:p>
        </w:tc>
        <w:tc>
          <w:tcPr>
            <w:tcW w:w="837" w:type="dxa"/>
            <w:tcBorders>
              <w:top w:val="nil"/>
              <w:left w:val="nil"/>
              <w:bottom w:val="nil"/>
              <w:right w:val="nil"/>
            </w:tcBorders>
            <w:vAlign w:val="center"/>
          </w:tcPr>
          <w:p w14:paraId="2EB38509" w14:textId="77777777" w:rsidR="00E87BAD" w:rsidRPr="006B044F" w:rsidRDefault="00E87BAD" w:rsidP="00E87BAD">
            <w:pPr>
              <w:spacing w:line="276" w:lineRule="auto"/>
            </w:pPr>
            <w:r w:rsidRPr="006B044F">
              <w:t>17</w:t>
            </w:r>
          </w:p>
        </w:tc>
        <w:tc>
          <w:tcPr>
            <w:tcW w:w="905" w:type="dxa"/>
            <w:tcBorders>
              <w:top w:val="nil"/>
              <w:left w:val="nil"/>
              <w:bottom w:val="nil"/>
              <w:right w:val="nil"/>
            </w:tcBorders>
          </w:tcPr>
          <w:p w14:paraId="38038934" w14:textId="77777777" w:rsidR="00E87BAD" w:rsidRPr="006B044F" w:rsidRDefault="00E87BAD" w:rsidP="00E87BAD">
            <w:pPr>
              <w:spacing w:line="276" w:lineRule="auto"/>
            </w:pPr>
            <w:r w:rsidRPr="006B044F">
              <w:t>55.8</w:t>
            </w:r>
          </w:p>
        </w:tc>
        <w:tc>
          <w:tcPr>
            <w:tcW w:w="1111" w:type="dxa"/>
            <w:gridSpan w:val="2"/>
            <w:vMerge w:val="restart"/>
            <w:tcBorders>
              <w:top w:val="nil"/>
              <w:left w:val="nil"/>
              <w:right w:val="nil"/>
            </w:tcBorders>
            <w:vAlign w:val="center"/>
          </w:tcPr>
          <w:p w14:paraId="7AB36F0C" w14:textId="77777777" w:rsidR="00E87BAD" w:rsidRPr="006B044F" w:rsidRDefault="00E87BAD" w:rsidP="00E87BAD">
            <w:pPr>
              <w:spacing w:line="276" w:lineRule="auto"/>
            </w:pPr>
            <w:r w:rsidRPr="006B044F">
              <w:t>0.12</w:t>
            </w:r>
          </w:p>
        </w:tc>
        <w:tc>
          <w:tcPr>
            <w:tcW w:w="764" w:type="dxa"/>
            <w:tcBorders>
              <w:top w:val="nil"/>
              <w:left w:val="nil"/>
              <w:bottom w:val="nil"/>
              <w:right w:val="nil"/>
            </w:tcBorders>
          </w:tcPr>
          <w:p w14:paraId="50B8136C" w14:textId="77777777" w:rsidR="00E87BAD" w:rsidRPr="006B044F" w:rsidRDefault="00E87BAD" w:rsidP="00E87BAD">
            <w:pPr>
              <w:spacing w:line="276" w:lineRule="auto"/>
            </w:pPr>
          </w:p>
        </w:tc>
        <w:tc>
          <w:tcPr>
            <w:tcW w:w="794" w:type="dxa"/>
            <w:gridSpan w:val="2"/>
            <w:tcBorders>
              <w:top w:val="nil"/>
              <w:left w:val="nil"/>
              <w:bottom w:val="nil"/>
              <w:right w:val="nil"/>
            </w:tcBorders>
          </w:tcPr>
          <w:p w14:paraId="40CDFE03" w14:textId="77777777" w:rsidR="00E87BAD" w:rsidRPr="006B044F" w:rsidRDefault="00E87BAD" w:rsidP="00E87BAD">
            <w:pPr>
              <w:spacing w:line="276" w:lineRule="auto"/>
            </w:pPr>
            <w:r w:rsidRPr="006B044F">
              <w:t>115.3</w:t>
            </w:r>
          </w:p>
        </w:tc>
        <w:tc>
          <w:tcPr>
            <w:tcW w:w="832" w:type="dxa"/>
            <w:tcBorders>
              <w:top w:val="nil"/>
              <w:left w:val="nil"/>
              <w:bottom w:val="nil"/>
              <w:right w:val="nil"/>
            </w:tcBorders>
          </w:tcPr>
          <w:p w14:paraId="39968285" w14:textId="77777777" w:rsidR="00E87BAD" w:rsidRPr="006B044F" w:rsidRDefault="00E87BAD" w:rsidP="00E87BAD">
            <w:pPr>
              <w:spacing w:line="276" w:lineRule="auto"/>
            </w:pPr>
            <w:r w:rsidRPr="006B044F">
              <w:t>106.8</w:t>
            </w:r>
          </w:p>
        </w:tc>
        <w:tc>
          <w:tcPr>
            <w:tcW w:w="837" w:type="dxa"/>
            <w:tcBorders>
              <w:top w:val="nil"/>
              <w:left w:val="nil"/>
              <w:bottom w:val="nil"/>
              <w:right w:val="nil"/>
            </w:tcBorders>
          </w:tcPr>
          <w:p w14:paraId="5E1A0274" w14:textId="77777777" w:rsidR="00E87BAD" w:rsidRPr="006B044F" w:rsidRDefault="00E87BAD" w:rsidP="00E87BAD">
            <w:pPr>
              <w:spacing w:line="276" w:lineRule="auto"/>
            </w:pPr>
            <w:r w:rsidRPr="006B044F">
              <w:t>123.8</w:t>
            </w:r>
          </w:p>
        </w:tc>
        <w:tc>
          <w:tcPr>
            <w:tcW w:w="905" w:type="dxa"/>
            <w:tcBorders>
              <w:top w:val="nil"/>
              <w:left w:val="nil"/>
              <w:bottom w:val="nil"/>
              <w:right w:val="nil"/>
            </w:tcBorders>
          </w:tcPr>
          <w:p w14:paraId="26DD09B0" w14:textId="77777777" w:rsidR="00E87BAD" w:rsidRPr="006B044F" w:rsidRDefault="00E87BAD" w:rsidP="00E87BAD">
            <w:pPr>
              <w:spacing w:line="276" w:lineRule="auto"/>
            </w:pPr>
            <w:r w:rsidRPr="006B044F">
              <w:t>38.2</w:t>
            </w:r>
          </w:p>
        </w:tc>
        <w:tc>
          <w:tcPr>
            <w:tcW w:w="1111" w:type="dxa"/>
            <w:gridSpan w:val="2"/>
            <w:vMerge w:val="restart"/>
            <w:tcBorders>
              <w:top w:val="nil"/>
              <w:left w:val="nil"/>
              <w:right w:val="nil"/>
            </w:tcBorders>
            <w:vAlign w:val="center"/>
          </w:tcPr>
          <w:p w14:paraId="08C96DD9" w14:textId="77777777" w:rsidR="00E87BAD" w:rsidRPr="006B044F" w:rsidRDefault="00E87BAD" w:rsidP="00E87BAD">
            <w:pPr>
              <w:spacing w:line="276" w:lineRule="auto"/>
            </w:pPr>
            <w:r w:rsidRPr="006B044F">
              <w:t>0.12</w:t>
            </w:r>
          </w:p>
        </w:tc>
      </w:tr>
      <w:tr w:rsidR="006B044F" w:rsidRPr="006B044F" w14:paraId="6A12F53E" w14:textId="77777777" w:rsidTr="00E87BAD">
        <w:trPr>
          <w:jc w:val="center"/>
        </w:trPr>
        <w:tc>
          <w:tcPr>
            <w:tcW w:w="1026" w:type="dxa"/>
            <w:vMerge/>
            <w:tcBorders>
              <w:left w:val="nil"/>
              <w:bottom w:val="single" w:sz="4" w:space="0" w:color="auto"/>
              <w:right w:val="nil"/>
            </w:tcBorders>
          </w:tcPr>
          <w:p w14:paraId="1DF186D5" w14:textId="77777777" w:rsidR="00E87BAD" w:rsidRPr="006B044F" w:rsidRDefault="00E87BAD" w:rsidP="00E87BAD">
            <w:pPr>
              <w:spacing w:line="276" w:lineRule="auto"/>
              <w:rPr>
                <w:b/>
              </w:rPr>
            </w:pPr>
          </w:p>
        </w:tc>
        <w:tc>
          <w:tcPr>
            <w:tcW w:w="775" w:type="dxa"/>
            <w:tcBorders>
              <w:top w:val="nil"/>
              <w:left w:val="nil"/>
              <w:bottom w:val="single" w:sz="4" w:space="0" w:color="auto"/>
              <w:right w:val="nil"/>
            </w:tcBorders>
            <w:vAlign w:val="center"/>
          </w:tcPr>
          <w:p w14:paraId="55CE5FA9" w14:textId="77777777" w:rsidR="00E87BAD" w:rsidRPr="006B044F" w:rsidRDefault="00E87BAD" w:rsidP="00E87BAD">
            <w:pPr>
              <w:spacing w:line="276" w:lineRule="auto"/>
              <w:rPr>
                <w:b/>
              </w:rPr>
            </w:pPr>
          </w:p>
        </w:tc>
        <w:tc>
          <w:tcPr>
            <w:tcW w:w="977" w:type="dxa"/>
            <w:tcBorders>
              <w:top w:val="nil"/>
              <w:left w:val="nil"/>
              <w:bottom w:val="single" w:sz="4" w:space="0" w:color="auto"/>
              <w:right w:val="nil"/>
            </w:tcBorders>
            <w:vAlign w:val="center"/>
          </w:tcPr>
          <w:p w14:paraId="6938BEC4" w14:textId="77777777" w:rsidR="00E87BAD" w:rsidRPr="006B044F" w:rsidRDefault="00E87BAD" w:rsidP="00E87BAD">
            <w:pPr>
              <w:spacing w:line="276" w:lineRule="auto"/>
              <w:rPr>
                <w:b/>
              </w:rPr>
            </w:pPr>
            <w:r w:rsidRPr="006B044F">
              <w:rPr>
                <w:b/>
              </w:rPr>
              <w:t>Outer</w:t>
            </w:r>
          </w:p>
        </w:tc>
        <w:tc>
          <w:tcPr>
            <w:tcW w:w="581" w:type="dxa"/>
            <w:tcBorders>
              <w:top w:val="nil"/>
              <w:left w:val="nil"/>
              <w:bottom w:val="single" w:sz="4" w:space="0" w:color="auto"/>
              <w:right w:val="nil"/>
            </w:tcBorders>
          </w:tcPr>
          <w:p w14:paraId="40FB6661" w14:textId="77777777" w:rsidR="00E87BAD" w:rsidRPr="006B044F" w:rsidRDefault="00E87BAD" w:rsidP="00E87BAD">
            <w:pPr>
              <w:spacing w:line="276" w:lineRule="auto"/>
            </w:pPr>
            <w:r w:rsidRPr="006B044F">
              <w:t>109</w:t>
            </w:r>
          </w:p>
        </w:tc>
        <w:tc>
          <w:tcPr>
            <w:tcW w:w="794" w:type="dxa"/>
            <w:tcBorders>
              <w:top w:val="nil"/>
              <w:left w:val="nil"/>
              <w:bottom w:val="single" w:sz="4" w:space="0" w:color="auto"/>
              <w:right w:val="nil"/>
            </w:tcBorders>
            <w:vAlign w:val="center"/>
          </w:tcPr>
          <w:p w14:paraId="079376C7" w14:textId="77777777" w:rsidR="00E87BAD" w:rsidRPr="006B044F" w:rsidRDefault="00E87BAD" w:rsidP="00E87BAD">
            <w:pPr>
              <w:spacing w:line="276" w:lineRule="auto"/>
            </w:pPr>
            <w:r w:rsidRPr="006B044F">
              <w:t>17.2</w:t>
            </w:r>
          </w:p>
        </w:tc>
        <w:tc>
          <w:tcPr>
            <w:tcW w:w="832" w:type="dxa"/>
            <w:tcBorders>
              <w:top w:val="nil"/>
              <w:left w:val="nil"/>
              <w:bottom w:val="single" w:sz="4" w:space="0" w:color="auto"/>
              <w:right w:val="nil"/>
            </w:tcBorders>
            <w:vAlign w:val="center"/>
          </w:tcPr>
          <w:p w14:paraId="3F40541C" w14:textId="77777777" w:rsidR="00E87BAD" w:rsidRPr="006B044F" w:rsidRDefault="00E87BAD" w:rsidP="00E87BAD">
            <w:pPr>
              <w:spacing w:line="276" w:lineRule="auto"/>
            </w:pPr>
            <w:r w:rsidRPr="006B044F">
              <w:t>15.5</w:t>
            </w:r>
          </w:p>
        </w:tc>
        <w:tc>
          <w:tcPr>
            <w:tcW w:w="837" w:type="dxa"/>
            <w:tcBorders>
              <w:top w:val="nil"/>
              <w:left w:val="nil"/>
              <w:bottom w:val="single" w:sz="4" w:space="0" w:color="auto"/>
              <w:right w:val="nil"/>
            </w:tcBorders>
            <w:vAlign w:val="center"/>
          </w:tcPr>
          <w:p w14:paraId="21E78945" w14:textId="77777777" w:rsidR="00E87BAD" w:rsidRPr="006B044F" w:rsidRDefault="00E87BAD" w:rsidP="00E87BAD">
            <w:pPr>
              <w:spacing w:line="276" w:lineRule="auto"/>
            </w:pPr>
            <w:r w:rsidRPr="006B044F">
              <w:t>18.9</w:t>
            </w:r>
          </w:p>
        </w:tc>
        <w:tc>
          <w:tcPr>
            <w:tcW w:w="905" w:type="dxa"/>
            <w:tcBorders>
              <w:top w:val="nil"/>
              <w:left w:val="nil"/>
              <w:bottom w:val="single" w:sz="4" w:space="0" w:color="auto"/>
              <w:right w:val="nil"/>
            </w:tcBorders>
          </w:tcPr>
          <w:p w14:paraId="4A89E067" w14:textId="77777777" w:rsidR="00E87BAD" w:rsidRPr="006B044F" w:rsidRDefault="00E87BAD" w:rsidP="00E87BAD">
            <w:pPr>
              <w:spacing w:line="276" w:lineRule="auto"/>
            </w:pPr>
            <w:r w:rsidRPr="006B044F">
              <w:t>52.2</w:t>
            </w:r>
          </w:p>
        </w:tc>
        <w:tc>
          <w:tcPr>
            <w:tcW w:w="1111" w:type="dxa"/>
            <w:gridSpan w:val="2"/>
            <w:vMerge/>
            <w:tcBorders>
              <w:left w:val="nil"/>
              <w:bottom w:val="single" w:sz="4" w:space="0" w:color="auto"/>
              <w:right w:val="nil"/>
            </w:tcBorders>
          </w:tcPr>
          <w:p w14:paraId="26729C12" w14:textId="77777777" w:rsidR="00E87BAD" w:rsidRPr="006B044F" w:rsidRDefault="00E87BAD" w:rsidP="00E87BAD">
            <w:pPr>
              <w:spacing w:line="276" w:lineRule="auto"/>
            </w:pPr>
          </w:p>
        </w:tc>
        <w:tc>
          <w:tcPr>
            <w:tcW w:w="764" w:type="dxa"/>
            <w:tcBorders>
              <w:top w:val="nil"/>
              <w:left w:val="nil"/>
              <w:bottom w:val="single" w:sz="4" w:space="0" w:color="auto"/>
              <w:right w:val="nil"/>
            </w:tcBorders>
          </w:tcPr>
          <w:p w14:paraId="15DA316A" w14:textId="77777777" w:rsidR="00E87BAD" w:rsidRPr="006B044F" w:rsidRDefault="00E87BAD" w:rsidP="00E87BAD">
            <w:pPr>
              <w:spacing w:line="276" w:lineRule="auto"/>
            </w:pPr>
          </w:p>
        </w:tc>
        <w:tc>
          <w:tcPr>
            <w:tcW w:w="794" w:type="dxa"/>
            <w:gridSpan w:val="2"/>
            <w:tcBorders>
              <w:top w:val="nil"/>
              <w:left w:val="nil"/>
              <w:bottom w:val="single" w:sz="4" w:space="0" w:color="auto"/>
              <w:right w:val="nil"/>
            </w:tcBorders>
          </w:tcPr>
          <w:p w14:paraId="6EA65EEF" w14:textId="77777777" w:rsidR="00E87BAD" w:rsidRPr="006B044F" w:rsidRDefault="00E87BAD" w:rsidP="00E87BAD">
            <w:pPr>
              <w:spacing w:line="276" w:lineRule="auto"/>
            </w:pPr>
            <w:r w:rsidRPr="006B044F">
              <w:t>124.4</w:t>
            </w:r>
          </w:p>
        </w:tc>
        <w:tc>
          <w:tcPr>
            <w:tcW w:w="832" w:type="dxa"/>
            <w:tcBorders>
              <w:top w:val="nil"/>
              <w:left w:val="nil"/>
              <w:bottom w:val="single" w:sz="4" w:space="0" w:color="auto"/>
              <w:right w:val="nil"/>
            </w:tcBorders>
          </w:tcPr>
          <w:p w14:paraId="7F94F633" w14:textId="77777777" w:rsidR="00E87BAD" w:rsidRPr="006B044F" w:rsidRDefault="00E87BAD" w:rsidP="00E87BAD">
            <w:pPr>
              <w:spacing w:line="276" w:lineRule="auto"/>
            </w:pPr>
            <w:r w:rsidRPr="006B044F">
              <w:t>116.6</w:t>
            </w:r>
          </w:p>
        </w:tc>
        <w:tc>
          <w:tcPr>
            <w:tcW w:w="837" w:type="dxa"/>
            <w:tcBorders>
              <w:top w:val="nil"/>
              <w:left w:val="nil"/>
              <w:bottom w:val="single" w:sz="4" w:space="0" w:color="auto"/>
              <w:right w:val="nil"/>
            </w:tcBorders>
          </w:tcPr>
          <w:p w14:paraId="10B5FAA4" w14:textId="77777777" w:rsidR="00E87BAD" w:rsidRPr="006B044F" w:rsidRDefault="00E87BAD" w:rsidP="00E87BAD">
            <w:pPr>
              <w:spacing w:line="276" w:lineRule="auto"/>
            </w:pPr>
            <w:r w:rsidRPr="006B044F">
              <w:t>132.2</w:t>
            </w:r>
          </w:p>
        </w:tc>
        <w:tc>
          <w:tcPr>
            <w:tcW w:w="905" w:type="dxa"/>
            <w:tcBorders>
              <w:top w:val="nil"/>
              <w:left w:val="nil"/>
              <w:bottom w:val="single" w:sz="4" w:space="0" w:color="auto"/>
              <w:right w:val="nil"/>
            </w:tcBorders>
          </w:tcPr>
          <w:p w14:paraId="305D1FA6" w14:textId="77777777" w:rsidR="00E87BAD" w:rsidRPr="006B044F" w:rsidRDefault="00E87BAD" w:rsidP="00E87BAD">
            <w:pPr>
              <w:spacing w:line="276" w:lineRule="auto"/>
            </w:pPr>
            <w:r w:rsidRPr="006B044F">
              <w:t>33.1</w:t>
            </w:r>
          </w:p>
        </w:tc>
        <w:tc>
          <w:tcPr>
            <w:tcW w:w="1111" w:type="dxa"/>
            <w:gridSpan w:val="2"/>
            <w:vMerge/>
            <w:tcBorders>
              <w:left w:val="nil"/>
              <w:bottom w:val="single" w:sz="4" w:space="0" w:color="auto"/>
              <w:right w:val="nil"/>
            </w:tcBorders>
          </w:tcPr>
          <w:p w14:paraId="7F93F460" w14:textId="77777777" w:rsidR="00E87BAD" w:rsidRPr="006B044F" w:rsidRDefault="00E87BAD" w:rsidP="00E87BAD">
            <w:pPr>
              <w:spacing w:line="276" w:lineRule="auto"/>
            </w:pPr>
          </w:p>
        </w:tc>
      </w:tr>
    </w:tbl>
    <w:p w14:paraId="74573ACA" w14:textId="77777777" w:rsidR="00751430" w:rsidRPr="006B044F" w:rsidRDefault="00751430" w:rsidP="00751430">
      <w:pPr>
        <w:spacing w:line="480" w:lineRule="auto"/>
        <w:sectPr w:rsidR="00751430" w:rsidRPr="006B044F" w:rsidSect="008D2CE2">
          <w:type w:val="continuous"/>
          <w:pgSz w:w="16838" w:h="11906" w:orient="landscape"/>
          <w:pgMar w:top="1440" w:right="1440" w:bottom="1440" w:left="1440" w:header="709" w:footer="709" w:gutter="0"/>
          <w:lnNumType w:countBy="1" w:restart="continuous"/>
          <w:cols w:space="708"/>
          <w:docGrid w:linePitch="360"/>
        </w:sectPr>
      </w:pPr>
    </w:p>
    <w:p w14:paraId="51774D78" w14:textId="77777777" w:rsidR="00751430" w:rsidRPr="006B044F" w:rsidRDefault="00751430" w:rsidP="00751430">
      <w:pPr>
        <w:spacing w:line="480" w:lineRule="auto"/>
      </w:pPr>
      <w:r w:rsidRPr="006B044F">
        <w:lastRenderedPageBreak/>
        <w:t>Table 3. Penconazole residues in apple leaves from Patch A, expressed as mean residue with 95% confidence intervals, split by tree and tree zone. Co-efficient of variance (CV) is also reported.</w:t>
      </w:r>
    </w:p>
    <w:tbl>
      <w:tblPr>
        <w:tblStyle w:val="TableGrid"/>
        <w:tblW w:w="0" w:type="auto"/>
        <w:jc w:val="center"/>
        <w:tblLook w:val="04A0" w:firstRow="1" w:lastRow="0" w:firstColumn="1" w:lastColumn="0" w:noHBand="0" w:noVBand="1"/>
      </w:tblPr>
      <w:tblGrid>
        <w:gridCol w:w="869"/>
        <w:gridCol w:w="923"/>
        <w:gridCol w:w="828"/>
        <w:gridCol w:w="884"/>
        <w:gridCol w:w="890"/>
        <w:gridCol w:w="891"/>
        <w:gridCol w:w="1019"/>
        <w:gridCol w:w="1130"/>
      </w:tblGrid>
      <w:tr w:rsidR="006B044F" w:rsidRPr="006B044F" w14:paraId="0E6EA4F3" w14:textId="77777777" w:rsidTr="00F11B05">
        <w:trPr>
          <w:jc w:val="center"/>
        </w:trPr>
        <w:tc>
          <w:tcPr>
            <w:tcW w:w="869" w:type="dxa"/>
            <w:tcBorders>
              <w:top w:val="single" w:sz="4" w:space="0" w:color="auto"/>
              <w:left w:val="nil"/>
              <w:bottom w:val="nil"/>
              <w:right w:val="nil"/>
            </w:tcBorders>
          </w:tcPr>
          <w:p w14:paraId="68E3D89F" w14:textId="77777777" w:rsidR="00F11B05" w:rsidRPr="006B044F" w:rsidRDefault="00F11B05" w:rsidP="00DE1055">
            <w:pPr>
              <w:spacing w:line="276" w:lineRule="auto"/>
            </w:pPr>
          </w:p>
        </w:tc>
        <w:tc>
          <w:tcPr>
            <w:tcW w:w="923" w:type="dxa"/>
            <w:tcBorders>
              <w:top w:val="single" w:sz="4" w:space="0" w:color="auto"/>
              <w:left w:val="nil"/>
              <w:bottom w:val="nil"/>
              <w:right w:val="nil"/>
            </w:tcBorders>
          </w:tcPr>
          <w:p w14:paraId="07FA3869" w14:textId="77777777" w:rsidR="00F11B05" w:rsidRPr="006B044F" w:rsidRDefault="00F11B05" w:rsidP="00DE1055">
            <w:pPr>
              <w:spacing w:line="276" w:lineRule="auto"/>
            </w:pPr>
          </w:p>
        </w:tc>
        <w:tc>
          <w:tcPr>
            <w:tcW w:w="828" w:type="dxa"/>
            <w:tcBorders>
              <w:top w:val="single" w:sz="4" w:space="0" w:color="auto"/>
              <w:left w:val="nil"/>
              <w:bottom w:val="nil"/>
              <w:right w:val="nil"/>
            </w:tcBorders>
          </w:tcPr>
          <w:p w14:paraId="2552D629" w14:textId="77777777" w:rsidR="00F11B05" w:rsidRPr="006B044F" w:rsidRDefault="00F11B05" w:rsidP="00DE1055">
            <w:pPr>
              <w:spacing w:line="276" w:lineRule="auto"/>
            </w:pPr>
          </w:p>
        </w:tc>
        <w:tc>
          <w:tcPr>
            <w:tcW w:w="3684" w:type="dxa"/>
            <w:gridSpan w:val="4"/>
            <w:tcBorders>
              <w:top w:val="single" w:sz="4" w:space="0" w:color="auto"/>
              <w:left w:val="nil"/>
              <w:bottom w:val="nil"/>
              <w:right w:val="nil"/>
            </w:tcBorders>
            <w:vAlign w:val="center"/>
          </w:tcPr>
          <w:p w14:paraId="5D30EA80" w14:textId="50E2A21F" w:rsidR="00F11B05" w:rsidRPr="006B044F" w:rsidRDefault="00F11B05" w:rsidP="00F11B05">
            <w:pPr>
              <w:spacing w:line="276" w:lineRule="auto"/>
              <w:jc w:val="center"/>
            </w:pPr>
            <w:r w:rsidRPr="006B044F">
              <w:rPr>
                <w:b/>
              </w:rPr>
              <w:t>Penconazole residue in apple leaf (mg kg</w:t>
            </w:r>
            <w:r w:rsidRPr="006B044F">
              <w:rPr>
                <w:b/>
                <w:vertAlign w:val="superscript"/>
              </w:rPr>
              <w:t>-1</w:t>
            </w:r>
            <w:r w:rsidRPr="006B044F">
              <w:rPr>
                <w:b/>
              </w:rPr>
              <w:t>)</w:t>
            </w:r>
          </w:p>
        </w:tc>
        <w:tc>
          <w:tcPr>
            <w:tcW w:w="1130" w:type="dxa"/>
            <w:tcBorders>
              <w:top w:val="single" w:sz="4" w:space="0" w:color="auto"/>
              <w:left w:val="nil"/>
              <w:bottom w:val="nil"/>
              <w:right w:val="nil"/>
            </w:tcBorders>
            <w:vAlign w:val="center"/>
          </w:tcPr>
          <w:p w14:paraId="38A1211E" w14:textId="77777777" w:rsidR="00F11B05" w:rsidRPr="006B044F" w:rsidRDefault="00F11B05" w:rsidP="00DE1055">
            <w:pPr>
              <w:spacing w:line="276" w:lineRule="auto"/>
            </w:pPr>
          </w:p>
        </w:tc>
      </w:tr>
      <w:tr w:rsidR="006B044F" w:rsidRPr="006B044F" w14:paraId="21C43123" w14:textId="77777777" w:rsidTr="00DE1055">
        <w:trPr>
          <w:jc w:val="center"/>
        </w:trPr>
        <w:tc>
          <w:tcPr>
            <w:tcW w:w="869" w:type="dxa"/>
            <w:tcBorders>
              <w:top w:val="nil"/>
              <w:left w:val="nil"/>
              <w:bottom w:val="nil"/>
              <w:right w:val="nil"/>
            </w:tcBorders>
          </w:tcPr>
          <w:p w14:paraId="45BAA4F1" w14:textId="77777777" w:rsidR="00F11B05" w:rsidRPr="006B044F" w:rsidRDefault="00F11B05" w:rsidP="00DE1055">
            <w:pPr>
              <w:spacing w:line="276" w:lineRule="auto"/>
            </w:pPr>
          </w:p>
        </w:tc>
        <w:tc>
          <w:tcPr>
            <w:tcW w:w="923" w:type="dxa"/>
            <w:tcBorders>
              <w:top w:val="nil"/>
              <w:left w:val="nil"/>
              <w:bottom w:val="nil"/>
              <w:right w:val="nil"/>
            </w:tcBorders>
          </w:tcPr>
          <w:p w14:paraId="245680E7" w14:textId="77777777" w:rsidR="00F11B05" w:rsidRPr="006B044F" w:rsidRDefault="00F11B05" w:rsidP="00DE1055">
            <w:pPr>
              <w:spacing w:line="276" w:lineRule="auto"/>
            </w:pPr>
          </w:p>
        </w:tc>
        <w:tc>
          <w:tcPr>
            <w:tcW w:w="828" w:type="dxa"/>
            <w:tcBorders>
              <w:top w:val="nil"/>
              <w:left w:val="nil"/>
              <w:bottom w:val="nil"/>
              <w:right w:val="nil"/>
            </w:tcBorders>
          </w:tcPr>
          <w:p w14:paraId="259BDF1C" w14:textId="77777777" w:rsidR="00F11B05" w:rsidRPr="006B044F" w:rsidRDefault="00F11B05" w:rsidP="00DE1055">
            <w:pPr>
              <w:spacing w:line="276" w:lineRule="auto"/>
            </w:pPr>
          </w:p>
        </w:tc>
        <w:tc>
          <w:tcPr>
            <w:tcW w:w="884" w:type="dxa"/>
            <w:tcBorders>
              <w:top w:val="nil"/>
              <w:left w:val="nil"/>
              <w:bottom w:val="nil"/>
              <w:right w:val="nil"/>
            </w:tcBorders>
            <w:vAlign w:val="center"/>
          </w:tcPr>
          <w:p w14:paraId="67CAE9B2" w14:textId="77777777" w:rsidR="00F11B05" w:rsidRPr="006B044F" w:rsidRDefault="00F11B05" w:rsidP="00DE1055">
            <w:pPr>
              <w:spacing w:line="276" w:lineRule="auto"/>
              <w:rPr>
                <w:b/>
              </w:rPr>
            </w:pPr>
          </w:p>
        </w:tc>
        <w:tc>
          <w:tcPr>
            <w:tcW w:w="1781" w:type="dxa"/>
            <w:gridSpan w:val="2"/>
            <w:tcBorders>
              <w:top w:val="nil"/>
              <w:left w:val="nil"/>
              <w:bottom w:val="nil"/>
              <w:right w:val="nil"/>
            </w:tcBorders>
            <w:vAlign w:val="center"/>
          </w:tcPr>
          <w:p w14:paraId="6E74382A" w14:textId="77777777" w:rsidR="00F11B05" w:rsidRPr="006B044F" w:rsidRDefault="00F11B05" w:rsidP="00751430">
            <w:pPr>
              <w:spacing w:line="276" w:lineRule="auto"/>
              <w:jc w:val="center"/>
              <w:rPr>
                <w:b/>
              </w:rPr>
            </w:pPr>
            <w:r w:rsidRPr="006B044F">
              <w:rPr>
                <w:b/>
              </w:rPr>
              <w:t>95% CIs</w:t>
            </w:r>
          </w:p>
        </w:tc>
        <w:tc>
          <w:tcPr>
            <w:tcW w:w="1019" w:type="dxa"/>
            <w:tcBorders>
              <w:top w:val="nil"/>
              <w:left w:val="nil"/>
              <w:bottom w:val="nil"/>
              <w:right w:val="nil"/>
            </w:tcBorders>
          </w:tcPr>
          <w:p w14:paraId="7B9B8FAD" w14:textId="77777777" w:rsidR="00F11B05" w:rsidRPr="006B044F" w:rsidRDefault="00F11B05" w:rsidP="00DE1055">
            <w:pPr>
              <w:spacing w:line="276" w:lineRule="auto"/>
            </w:pPr>
          </w:p>
        </w:tc>
        <w:tc>
          <w:tcPr>
            <w:tcW w:w="1130" w:type="dxa"/>
            <w:tcBorders>
              <w:top w:val="nil"/>
              <w:left w:val="nil"/>
              <w:bottom w:val="nil"/>
              <w:right w:val="nil"/>
            </w:tcBorders>
          </w:tcPr>
          <w:p w14:paraId="19E3D9C2" w14:textId="77777777" w:rsidR="00F11B05" w:rsidRPr="006B044F" w:rsidRDefault="00F11B05" w:rsidP="00DE1055">
            <w:pPr>
              <w:spacing w:line="276" w:lineRule="auto"/>
            </w:pPr>
          </w:p>
        </w:tc>
      </w:tr>
      <w:tr w:rsidR="006B044F" w:rsidRPr="006B044F" w14:paraId="586980F0" w14:textId="77777777" w:rsidTr="00DE1055">
        <w:trPr>
          <w:jc w:val="center"/>
        </w:trPr>
        <w:tc>
          <w:tcPr>
            <w:tcW w:w="869" w:type="dxa"/>
            <w:tcBorders>
              <w:top w:val="nil"/>
              <w:left w:val="nil"/>
              <w:bottom w:val="single" w:sz="4" w:space="0" w:color="auto"/>
              <w:right w:val="nil"/>
            </w:tcBorders>
          </w:tcPr>
          <w:p w14:paraId="7E9DDCB5" w14:textId="77777777" w:rsidR="00F11B05" w:rsidRPr="006B044F" w:rsidRDefault="00F11B05" w:rsidP="00DE1055">
            <w:pPr>
              <w:spacing w:line="276" w:lineRule="auto"/>
            </w:pPr>
          </w:p>
        </w:tc>
        <w:tc>
          <w:tcPr>
            <w:tcW w:w="923" w:type="dxa"/>
            <w:tcBorders>
              <w:top w:val="nil"/>
              <w:left w:val="nil"/>
              <w:bottom w:val="single" w:sz="4" w:space="0" w:color="auto"/>
              <w:right w:val="nil"/>
            </w:tcBorders>
          </w:tcPr>
          <w:p w14:paraId="09291986" w14:textId="77777777" w:rsidR="00F11B05" w:rsidRPr="006B044F" w:rsidRDefault="00F11B05" w:rsidP="00DE1055">
            <w:pPr>
              <w:spacing w:line="276" w:lineRule="auto"/>
            </w:pPr>
          </w:p>
        </w:tc>
        <w:tc>
          <w:tcPr>
            <w:tcW w:w="828" w:type="dxa"/>
            <w:tcBorders>
              <w:top w:val="nil"/>
              <w:left w:val="nil"/>
              <w:bottom w:val="single" w:sz="4" w:space="0" w:color="auto"/>
              <w:right w:val="nil"/>
            </w:tcBorders>
          </w:tcPr>
          <w:p w14:paraId="08C4D045" w14:textId="77777777" w:rsidR="00F11B05" w:rsidRPr="006B044F" w:rsidRDefault="00F11B05" w:rsidP="00DE1055">
            <w:pPr>
              <w:spacing w:line="276" w:lineRule="auto"/>
              <w:rPr>
                <w:b/>
                <w:i/>
              </w:rPr>
            </w:pPr>
            <w:r w:rsidRPr="006B044F">
              <w:rPr>
                <w:b/>
                <w:i/>
              </w:rPr>
              <w:t>n</w:t>
            </w:r>
          </w:p>
        </w:tc>
        <w:tc>
          <w:tcPr>
            <w:tcW w:w="884" w:type="dxa"/>
            <w:tcBorders>
              <w:top w:val="nil"/>
              <w:left w:val="nil"/>
              <w:bottom w:val="single" w:sz="4" w:space="0" w:color="auto"/>
              <w:right w:val="nil"/>
            </w:tcBorders>
            <w:vAlign w:val="center"/>
          </w:tcPr>
          <w:p w14:paraId="0176AF74" w14:textId="77777777" w:rsidR="00F11B05" w:rsidRPr="006B044F" w:rsidRDefault="00F11B05" w:rsidP="00DE1055">
            <w:pPr>
              <w:spacing w:line="276" w:lineRule="auto"/>
              <w:rPr>
                <w:b/>
              </w:rPr>
            </w:pPr>
            <w:r w:rsidRPr="006B044F">
              <w:rPr>
                <w:b/>
              </w:rPr>
              <w:t>Mean</w:t>
            </w:r>
          </w:p>
        </w:tc>
        <w:tc>
          <w:tcPr>
            <w:tcW w:w="890" w:type="dxa"/>
            <w:tcBorders>
              <w:top w:val="nil"/>
              <w:left w:val="nil"/>
              <w:bottom w:val="single" w:sz="4" w:space="0" w:color="auto"/>
              <w:right w:val="nil"/>
            </w:tcBorders>
            <w:vAlign w:val="center"/>
          </w:tcPr>
          <w:p w14:paraId="41359416" w14:textId="77777777" w:rsidR="00F11B05" w:rsidRPr="006B044F" w:rsidRDefault="00F11B05" w:rsidP="00DE1055">
            <w:pPr>
              <w:spacing w:line="276" w:lineRule="auto"/>
              <w:rPr>
                <w:b/>
              </w:rPr>
            </w:pPr>
            <w:r w:rsidRPr="006B044F">
              <w:rPr>
                <w:b/>
              </w:rPr>
              <w:t>Lower</w:t>
            </w:r>
          </w:p>
        </w:tc>
        <w:tc>
          <w:tcPr>
            <w:tcW w:w="891" w:type="dxa"/>
            <w:tcBorders>
              <w:top w:val="nil"/>
              <w:left w:val="nil"/>
              <w:bottom w:val="single" w:sz="4" w:space="0" w:color="auto"/>
              <w:right w:val="nil"/>
            </w:tcBorders>
            <w:vAlign w:val="center"/>
          </w:tcPr>
          <w:p w14:paraId="3F7EEA82" w14:textId="77777777" w:rsidR="00F11B05" w:rsidRPr="006B044F" w:rsidRDefault="00F11B05" w:rsidP="00DE1055">
            <w:pPr>
              <w:spacing w:line="276" w:lineRule="auto"/>
              <w:rPr>
                <w:b/>
              </w:rPr>
            </w:pPr>
            <w:r w:rsidRPr="006B044F">
              <w:rPr>
                <w:b/>
              </w:rPr>
              <w:t>Upper</w:t>
            </w:r>
          </w:p>
        </w:tc>
        <w:tc>
          <w:tcPr>
            <w:tcW w:w="1019" w:type="dxa"/>
            <w:tcBorders>
              <w:top w:val="nil"/>
              <w:left w:val="nil"/>
              <w:bottom w:val="single" w:sz="4" w:space="0" w:color="auto"/>
              <w:right w:val="nil"/>
            </w:tcBorders>
          </w:tcPr>
          <w:p w14:paraId="02F74C5B" w14:textId="77777777" w:rsidR="00F11B05" w:rsidRPr="006B044F" w:rsidRDefault="00F11B05" w:rsidP="00DE1055">
            <w:pPr>
              <w:spacing w:line="276" w:lineRule="auto"/>
              <w:rPr>
                <w:b/>
              </w:rPr>
            </w:pPr>
            <w:r w:rsidRPr="006B044F">
              <w:rPr>
                <w:b/>
              </w:rPr>
              <w:t>CV (%)</w:t>
            </w:r>
          </w:p>
        </w:tc>
        <w:tc>
          <w:tcPr>
            <w:tcW w:w="1130" w:type="dxa"/>
            <w:tcBorders>
              <w:top w:val="nil"/>
              <w:left w:val="nil"/>
              <w:bottom w:val="single" w:sz="4" w:space="0" w:color="auto"/>
              <w:right w:val="nil"/>
            </w:tcBorders>
          </w:tcPr>
          <w:p w14:paraId="6438EB57" w14:textId="77777777" w:rsidR="00F11B05" w:rsidRPr="006B044F" w:rsidRDefault="00F11B05" w:rsidP="00DE1055">
            <w:pPr>
              <w:spacing w:line="276" w:lineRule="auto"/>
              <w:rPr>
                <w:b/>
              </w:rPr>
            </w:pPr>
            <w:r w:rsidRPr="006B044F">
              <w:rPr>
                <w:b/>
              </w:rPr>
              <w:t>P</w:t>
            </w:r>
          </w:p>
        </w:tc>
      </w:tr>
      <w:tr w:rsidR="006B044F" w:rsidRPr="006B044F" w14:paraId="327D1C94" w14:textId="77777777" w:rsidTr="00DE1055">
        <w:trPr>
          <w:jc w:val="center"/>
        </w:trPr>
        <w:tc>
          <w:tcPr>
            <w:tcW w:w="869" w:type="dxa"/>
            <w:tcBorders>
              <w:top w:val="single" w:sz="4" w:space="0" w:color="auto"/>
              <w:left w:val="nil"/>
              <w:bottom w:val="nil"/>
              <w:right w:val="nil"/>
            </w:tcBorders>
            <w:vAlign w:val="center"/>
          </w:tcPr>
          <w:p w14:paraId="6284651B" w14:textId="77777777" w:rsidR="00F11B05" w:rsidRPr="006B044F" w:rsidRDefault="00F11B05" w:rsidP="00DE1055">
            <w:pPr>
              <w:spacing w:line="276" w:lineRule="auto"/>
              <w:rPr>
                <w:b/>
              </w:rPr>
            </w:pPr>
            <w:r w:rsidRPr="006B044F">
              <w:rPr>
                <w:b/>
              </w:rPr>
              <w:t>Patch</w:t>
            </w:r>
          </w:p>
        </w:tc>
        <w:tc>
          <w:tcPr>
            <w:tcW w:w="923" w:type="dxa"/>
            <w:tcBorders>
              <w:top w:val="single" w:sz="4" w:space="0" w:color="auto"/>
              <w:left w:val="nil"/>
              <w:bottom w:val="nil"/>
              <w:right w:val="nil"/>
            </w:tcBorders>
            <w:vAlign w:val="center"/>
          </w:tcPr>
          <w:p w14:paraId="0C27A88F" w14:textId="77777777" w:rsidR="00F11B05" w:rsidRPr="006B044F" w:rsidRDefault="00F11B05" w:rsidP="00DE1055">
            <w:pPr>
              <w:spacing w:line="276" w:lineRule="auto"/>
              <w:rPr>
                <w:b/>
              </w:rPr>
            </w:pPr>
            <w:r w:rsidRPr="006B044F">
              <w:rPr>
                <w:b/>
              </w:rPr>
              <w:t>A</w:t>
            </w:r>
          </w:p>
        </w:tc>
        <w:tc>
          <w:tcPr>
            <w:tcW w:w="828" w:type="dxa"/>
            <w:tcBorders>
              <w:top w:val="single" w:sz="4" w:space="0" w:color="auto"/>
              <w:left w:val="nil"/>
              <w:bottom w:val="nil"/>
              <w:right w:val="nil"/>
            </w:tcBorders>
          </w:tcPr>
          <w:p w14:paraId="687A3111" w14:textId="77777777" w:rsidR="00F11B05" w:rsidRPr="006B044F" w:rsidRDefault="00F11B05" w:rsidP="00DE1055">
            <w:pPr>
              <w:spacing w:line="276" w:lineRule="auto"/>
            </w:pPr>
            <w:r w:rsidRPr="006B044F">
              <w:t>135</w:t>
            </w:r>
          </w:p>
        </w:tc>
        <w:tc>
          <w:tcPr>
            <w:tcW w:w="884" w:type="dxa"/>
            <w:tcBorders>
              <w:top w:val="single" w:sz="4" w:space="0" w:color="auto"/>
              <w:left w:val="nil"/>
              <w:bottom w:val="nil"/>
              <w:right w:val="nil"/>
            </w:tcBorders>
            <w:vAlign w:val="center"/>
          </w:tcPr>
          <w:p w14:paraId="32B93F14" w14:textId="77777777" w:rsidR="00F11B05" w:rsidRPr="006B044F" w:rsidRDefault="00F11B05" w:rsidP="00DE1055">
            <w:pPr>
              <w:spacing w:line="276" w:lineRule="auto"/>
            </w:pPr>
            <w:r w:rsidRPr="006B044F">
              <w:t>2.28</w:t>
            </w:r>
          </w:p>
        </w:tc>
        <w:tc>
          <w:tcPr>
            <w:tcW w:w="890" w:type="dxa"/>
            <w:tcBorders>
              <w:top w:val="single" w:sz="4" w:space="0" w:color="auto"/>
              <w:left w:val="nil"/>
              <w:bottom w:val="nil"/>
              <w:right w:val="nil"/>
            </w:tcBorders>
            <w:vAlign w:val="center"/>
          </w:tcPr>
          <w:p w14:paraId="07B5BD4F" w14:textId="77777777" w:rsidR="00F11B05" w:rsidRPr="006B044F" w:rsidRDefault="00F11B05" w:rsidP="00DE1055">
            <w:pPr>
              <w:spacing w:line="276" w:lineRule="auto"/>
            </w:pPr>
            <w:r w:rsidRPr="006B044F">
              <w:t>2.09</w:t>
            </w:r>
          </w:p>
        </w:tc>
        <w:tc>
          <w:tcPr>
            <w:tcW w:w="891" w:type="dxa"/>
            <w:tcBorders>
              <w:top w:val="single" w:sz="4" w:space="0" w:color="auto"/>
              <w:left w:val="nil"/>
              <w:bottom w:val="nil"/>
              <w:right w:val="nil"/>
            </w:tcBorders>
            <w:vAlign w:val="center"/>
          </w:tcPr>
          <w:p w14:paraId="622C2769" w14:textId="77777777" w:rsidR="00F11B05" w:rsidRPr="006B044F" w:rsidRDefault="00F11B05" w:rsidP="00DE1055">
            <w:pPr>
              <w:spacing w:line="276" w:lineRule="auto"/>
            </w:pPr>
            <w:r w:rsidRPr="006B044F">
              <w:t>2.47</w:t>
            </w:r>
          </w:p>
        </w:tc>
        <w:tc>
          <w:tcPr>
            <w:tcW w:w="1019" w:type="dxa"/>
            <w:tcBorders>
              <w:top w:val="single" w:sz="4" w:space="0" w:color="auto"/>
              <w:left w:val="nil"/>
              <w:bottom w:val="nil"/>
              <w:right w:val="nil"/>
            </w:tcBorders>
          </w:tcPr>
          <w:p w14:paraId="52F0CB53" w14:textId="77777777" w:rsidR="00F11B05" w:rsidRPr="006B044F" w:rsidRDefault="00F11B05" w:rsidP="00DE1055">
            <w:pPr>
              <w:spacing w:line="276" w:lineRule="auto"/>
            </w:pPr>
            <w:r w:rsidRPr="006B044F">
              <w:t>48.31</w:t>
            </w:r>
          </w:p>
        </w:tc>
        <w:tc>
          <w:tcPr>
            <w:tcW w:w="1130" w:type="dxa"/>
            <w:tcBorders>
              <w:top w:val="single" w:sz="4" w:space="0" w:color="auto"/>
              <w:left w:val="nil"/>
              <w:bottom w:val="nil"/>
              <w:right w:val="nil"/>
            </w:tcBorders>
            <w:vAlign w:val="center"/>
          </w:tcPr>
          <w:p w14:paraId="7AB5035E" w14:textId="77777777" w:rsidR="00F11B05" w:rsidRPr="006B044F" w:rsidRDefault="00F11B05" w:rsidP="00DE1055">
            <w:pPr>
              <w:spacing w:line="276" w:lineRule="auto"/>
            </w:pPr>
            <w:r w:rsidRPr="006B044F">
              <w:t>-</w:t>
            </w:r>
          </w:p>
        </w:tc>
      </w:tr>
      <w:tr w:rsidR="006B044F" w:rsidRPr="006B044F" w14:paraId="5DEF7704" w14:textId="77777777" w:rsidTr="00DE1055">
        <w:trPr>
          <w:jc w:val="center"/>
        </w:trPr>
        <w:tc>
          <w:tcPr>
            <w:tcW w:w="869" w:type="dxa"/>
            <w:tcBorders>
              <w:top w:val="nil"/>
              <w:left w:val="nil"/>
              <w:bottom w:val="nil"/>
              <w:right w:val="nil"/>
            </w:tcBorders>
            <w:vAlign w:val="center"/>
          </w:tcPr>
          <w:p w14:paraId="04BE393A" w14:textId="77777777" w:rsidR="00F11B05" w:rsidRPr="006B044F" w:rsidRDefault="00F11B05" w:rsidP="00DE1055">
            <w:pPr>
              <w:spacing w:line="276" w:lineRule="auto"/>
              <w:rPr>
                <w:b/>
              </w:rPr>
            </w:pPr>
          </w:p>
        </w:tc>
        <w:tc>
          <w:tcPr>
            <w:tcW w:w="923" w:type="dxa"/>
            <w:tcBorders>
              <w:top w:val="nil"/>
              <w:left w:val="nil"/>
              <w:bottom w:val="nil"/>
              <w:right w:val="nil"/>
            </w:tcBorders>
            <w:vAlign w:val="center"/>
          </w:tcPr>
          <w:p w14:paraId="10A62949" w14:textId="77777777" w:rsidR="00F11B05" w:rsidRPr="006B044F" w:rsidRDefault="00F11B05" w:rsidP="00DE1055">
            <w:pPr>
              <w:spacing w:line="276" w:lineRule="auto"/>
              <w:rPr>
                <w:b/>
              </w:rPr>
            </w:pPr>
          </w:p>
        </w:tc>
        <w:tc>
          <w:tcPr>
            <w:tcW w:w="828" w:type="dxa"/>
            <w:tcBorders>
              <w:top w:val="nil"/>
              <w:left w:val="nil"/>
              <w:bottom w:val="nil"/>
              <w:right w:val="nil"/>
            </w:tcBorders>
          </w:tcPr>
          <w:p w14:paraId="518A865F" w14:textId="77777777" w:rsidR="00F11B05" w:rsidRPr="006B044F" w:rsidRDefault="00F11B05" w:rsidP="00DE1055">
            <w:pPr>
              <w:spacing w:line="276" w:lineRule="auto"/>
            </w:pPr>
          </w:p>
        </w:tc>
        <w:tc>
          <w:tcPr>
            <w:tcW w:w="884" w:type="dxa"/>
            <w:tcBorders>
              <w:top w:val="nil"/>
              <w:left w:val="nil"/>
              <w:bottom w:val="nil"/>
              <w:right w:val="nil"/>
            </w:tcBorders>
            <w:vAlign w:val="center"/>
          </w:tcPr>
          <w:p w14:paraId="4A51D4D6" w14:textId="77777777" w:rsidR="00F11B05" w:rsidRPr="006B044F" w:rsidRDefault="00F11B05" w:rsidP="00DE1055">
            <w:pPr>
              <w:spacing w:line="276" w:lineRule="auto"/>
            </w:pPr>
          </w:p>
        </w:tc>
        <w:tc>
          <w:tcPr>
            <w:tcW w:w="890" w:type="dxa"/>
            <w:tcBorders>
              <w:top w:val="nil"/>
              <w:left w:val="nil"/>
              <w:bottom w:val="nil"/>
              <w:right w:val="nil"/>
            </w:tcBorders>
            <w:vAlign w:val="center"/>
          </w:tcPr>
          <w:p w14:paraId="405EE5EA" w14:textId="77777777" w:rsidR="00F11B05" w:rsidRPr="006B044F" w:rsidRDefault="00F11B05" w:rsidP="00DE1055">
            <w:pPr>
              <w:spacing w:line="276" w:lineRule="auto"/>
            </w:pPr>
          </w:p>
        </w:tc>
        <w:tc>
          <w:tcPr>
            <w:tcW w:w="891" w:type="dxa"/>
            <w:tcBorders>
              <w:top w:val="nil"/>
              <w:left w:val="nil"/>
              <w:bottom w:val="nil"/>
              <w:right w:val="nil"/>
            </w:tcBorders>
            <w:vAlign w:val="center"/>
          </w:tcPr>
          <w:p w14:paraId="13A7297D" w14:textId="77777777" w:rsidR="00F11B05" w:rsidRPr="006B044F" w:rsidRDefault="00F11B05" w:rsidP="00DE1055">
            <w:pPr>
              <w:spacing w:line="276" w:lineRule="auto"/>
            </w:pPr>
          </w:p>
        </w:tc>
        <w:tc>
          <w:tcPr>
            <w:tcW w:w="1019" w:type="dxa"/>
            <w:tcBorders>
              <w:top w:val="nil"/>
              <w:left w:val="nil"/>
              <w:bottom w:val="nil"/>
              <w:right w:val="nil"/>
            </w:tcBorders>
          </w:tcPr>
          <w:p w14:paraId="0EEF4DF8" w14:textId="77777777" w:rsidR="00F11B05" w:rsidRPr="006B044F" w:rsidRDefault="00F11B05" w:rsidP="00DE1055">
            <w:pPr>
              <w:spacing w:line="276" w:lineRule="auto"/>
            </w:pPr>
          </w:p>
        </w:tc>
        <w:tc>
          <w:tcPr>
            <w:tcW w:w="1130" w:type="dxa"/>
            <w:tcBorders>
              <w:top w:val="nil"/>
              <w:left w:val="nil"/>
              <w:bottom w:val="nil"/>
              <w:right w:val="nil"/>
            </w:tcBorders>
            <w:vAlign w:val="center"/>
          </w:tcPr>
          <w:p w14:paraId="0D8EE75B" w14:textId="77777777" w:rsidR="00F11B05" w:rsidRPr="006B044F" w:rsidRDefault="00F11B05" w:rsidP="00DE1055">
            <w:pPr>
              <w:spacing w:line="276" w:lineRule="auto"/>
            </w:pPr>
          </w:p>
        </w:tc>
      </w:tr>
      <w:tr w:rsidR="006B044F" w:rsidRPr="006B044F" w14:paraId="3921D740" w14:textId="77777777" w:rsidTr="00DE1055">
        <w:trPr>
          <w:jc w:val="center"/>
        </w:trPr>
        <w:tc>
          <w:tcPr>
            <w:tcW w:w="869" w:type="dxa"/>
            <w:tcBorders>
              <w:top w:val="nil"/>
              <w:left w:val="nil"/>
              <w:bottom w:val="nil"/>
              <w:right w:val="nil"/>
            </w:tcBorders>
            <w:vAlign w:val="center"/>
          </w:tcPr>
          <w:p w14:paraId="46B5A9DF" w14:textId="77777777" w:rsidR="00F11B05" w:rsidRPr="006B044F" w:rsidRDefault="00F11B05" w:rsidP="00DE1055">
            <w:pPr>
              <w:spacing w:line="276" w:lineRule="auto"/>
              <w:rPr>
                <w:b/>
              </w:rPr>
            </w:pPr>
            <w:r w:rsidRPr="006B044F">
              <w:rPr>
                <w:b/>
              </w:rPr>
              <w:t>Tree</w:t>
            </w:r>
          </w:p>
        </w:tc>
        <w:tc>
          <w:tcPr>
            <w:tcW w:w="923" w:type="dxa"/>
            <w:tcBorders>
              <w:top w:val="nil"/>
              <w:left w:val="nil"/>
              <w:bottom w:val="nil"/>
              <w:right w:val="nil"/>
            </w:tcBorders>
            <w:vAlign w:val="center"/>
          </w:tcPr>
          <w:p w14:paraId="4242AC8C" w14:textId="77777777" w:rsidR="00F11B05" w:rsidRPr="006B044F" w:rsidRDefault="00F11B05" w:rsidP="00DE1055">
            <w:pPr>
              <w:spacing w:line="276" w:lineRule="auto"/>
              <w:rPr>
                <w:b/>
              </w:rPr>
            </w:pPr>
            <w:r w:rsidRPr="006B044F">
              <w:rPr>
                <w:b/>
              </w:rPr>
              <w:t>1</w:t>
            </w:r>
          </w:p>
        </w:tc>
        <w:tc>
          <w:tcPr>
            <w:tcW w:w="828" w:type="dxa"/>
            <w:tcBorders>
              <w:top w:val="nil"/>
              <w:left w:val="nil"/>
              <w:bottom w:val="nil"/>
              <w:right w:val="nil"/>
            </w:tcBorders>
          </w:tcPr>
          <w:p w14:paraId="12E25D37" w14:textId="77777777" w:rsidR="00F11B05" w:rsidRPr="006B044F" w:rsidRDefault="00F11B05" w:rsidP="00DE1055">
            <w:pPr>
              <w:spacing w:line="276" w:lineRule="auto"/>
            </w:pPr>
            <w:r w:rsidRPr="006B044F">
              <w:t>45</w:t>
            </w:r>
          </w:p>
        </w:tc>
        <w:tc>
          <w:tcPr>
            <w:tcW w:w="884" w:type="dxa"/>
            <w:tcBorders>
              <w:top w:val="nil"/>
              <w:left w:val="nil"/>
              <w:bottom w:val="nil"/>
              <w:right w:val="nil"/>
            </w:tcBorders>
            <w:vAlign w:val="center"/>
          </w:tcPr>
          <w:p w14:paraId="111EBF1B" w14:textId="77777777" w:rsidR="00F11B05" w:rsidRPr="006B044F" w:rsidRDefault="00F11B05" w:rsidP="00DE1055">
            <w:pPr>
              <w:spacing w:line="276" w:lineRule="auto"/>
            </w:pPr>
            <w:r w:rsidRPr="006B044F">
              <w:t>2.03</w:t>
            </w:r>
          </w:p>
        </w:tc>
        <w:tc>
          <w:tcPr>
            <w:tcW w:w="890" w:type="dxa"/>
            <w:tcBorders>
              <w:top w:val="nil"/>
              <w:left w:val="nil"/>
              <w:bottom w:val="nil"/>
              <w:right w:val="nil"/>
            </w:tcBorders>
            <w:vAlign w:val="center"/>
          </w:tcPr>
          <w:p w14:paraId="63962428" w14:textId="77777777" w:rsidR="00F11B05" w:rsidRPr="006B044F" w:rsidRDefault="00F11B05" w:rsidP="00DE1055">
            <w:pPr>
              <w:spacing w:line="276" w:lineRule="auto"/>
            </w:pPr>
            <w:r w:rsidRPr="006B044F">
              <w:t>1.7</w:t>
            </w:r>
          </w:p>
        </w:tc>
        <w:tc>
          <w:tcPr>
            <w:tcW w:w="891" w:type="dxa"/>
            <w:tcBorders>
              <w:top w:val="nil"/>
              <w:left w:val="nil"/>
              <w:bottom w:val="nil"/>
              <w:right w:val="nil"/>
            </w:tcBorders>
            <w:vAlign w:val="center"/>
          </w:tcPr>
          <w:p w14:paraId="11F5F8F6" w14:textId="77777777" w:rsidR="00F11B05" w:rsidRPr="006B044F" w:rsidRDefault="00F11B05" w:rsidP="00DE1055">
            <w:pPr>
              <w:spacing w:line="276" w:lineRule="auto"/>
            </w:pPr>
            <w:r w:rsidRPr="006B044F">
              <w:t>2.36</w:t>
            </w:r>
          </w:p>
        </w:tc>
        <w:tc>
          <w:tcPr>
            <w:tcW w:w="1019" w:type="dxa"/>
            <w:tcBorders>
              <w:top w:val="nil"/>
              <w:left w:val="nil"/>
              <w:bottom w:val="nil"/>
              <w:right w:val="nil"/>
            </w:tcBorders>
          </w:tcPr>
          <w:p w14:paraId="245CB475" w14:textId="77777777" w:rsidR="00F11B05" w:rsidRPr="006B044F" w:rsidRDefault="00F11B05" w:rsidP="00DE1055">
            <w:pPr>
              <w:spacing w:line="276" w:lineRule="auto"/>
            </w:pPr>
            <w:r w:rsidRPr="006B044F">
              <w:t>63.4</w:t>
            </w:r>
          </w:p>
        </w:tc>
        <w:tc>
          <w:tcPr>
            <w:tcW w:w="1130" w:type="dxa"/>
            <w:vMerge w:val="restart"/>
            <w:tcBorders>
              <w:top w:val="nil"/>
              <w:left w:val="nil"/>
              <w:bottom w:val="nil"/>
              <w:right w:val="nil"/>
            </w:tcBorders>
            <w:vAlign w:val="center"/>
          </w:tcPr>
          <w:p w14:paraId="1383C419" w14:textId="77777777" w:rsidR="00F11B05" w:rsidRPr="006B044F" w:rsidRDefault="00F11B05" w:rsidP="00DE1055">
            <w:pPr>
              <w:spacing w:line="276" w:lineRule="auto"/>
            </w:pPr>
            <w:r w:rsidRPr="006B044F">
              <w:t>0.18</w:t>
            </w:r>
          </w:p>
        </w:tc>
      </w:tr>
      <w:tr w:rsidR="006B044F" w:rsidRPr="006B044F" w14:paraId="048DC6E9" w14:textId="77777777" w:rsidTr="00DE1055">
        <w:trPr>
          <w:jc w:val="center"/>
        </w:trPr>
        <w:tc>
          <w:tcPr>
            <w:tcW w:w="869" w:type="dxa"/>
            <w:tcBorders>
              <w:top w:val="nil"/>
              <w:left w:val="nil"/>
              <w:bottom w:val="nil"/>
              <w:right w:val="nil"/>
            </w:tcBorders>
            <w:vAlign w:val="center"/>
          </w:tcPr>
          <w:p w14:paraId="624B753C" w14:textId="77777777" w:rsidR="00F11B05" w:rsidRPr="006B044F" w:rsidRDefault="00F11B05" w:rsidP="00DE1055">
            <w:pPr>
              <w:spacing w:line="276" w:lineRule="auto"/>
              <w:rPr>
                <w:b/>
              </w:rPr>
            </w:pPr>
          </w:p>
        </w:tc>
        <w:tc>
          <w:tcPr>
            <w:tcW w:w="923" w:type="dxa"/>
            <w:tcBorders>
              <w:top w:val="nil"/>
              <w:left w:val="nil"/>
              <w:bottom w:val="nil"/>
              <w:right w:val="nil"/>
            </w:tcBorders>
            <w:vAlign w:val="center"/>
          </w:tcPr>
          <w:p w14:paraId="03DD677A" w14:textId="77777777" w:rsidR="00F11B05" w:rsidRPr="006B044F" w:rsidRDefault="00F11B05" w:rsidP="00DE1055">
            <w:pPr>
              <w:spacing w:line="276" w:lineRule="auto"/>
              <w:rPr>
                <w:b/>
              </w:rPr>
            </w:pPr>
            <w:r w:rsidRPr="006B044F">
              <w:rPr>
                <w:b/>
              </w:rPr>
              <w:t>2</w:t>
            </w:r>
          </w:p>
        </w:tc>
        <w:tc>
          <w:tcPr>
            <w:tcW w:w="828" w:type="dxa"/>
            <w:tcBorders>
              <w:top w:val="nil"/>
              <w:left w:val="nil"/>
              <w:bottom w:val="nil"/>
              <w:right w:val="nil"/>
            </w:tcBorders>
          </w:tcPr>
          <w:p w14:paraId="5FD75D47" w14:textId="77777777" w:rsidR="00F11B05" w:rsidRPr="006B044F" w:rsidRDefault="00F11B05" w:rsidP="00DE1055">
            <w:pPr>
              <w:spacing w:line="276" w:lineRule="auto"/>
            </w:pPr>
            <w:r w:rsidRPr="006B044F">
              <w:t>45</w:t>
            </w:r>
          </w:p>
        </w:tc>
        <w:tc>
          <w:tcPr>
            <w:tcW w:w="884" w:type="dxa"/>
            <w:tcBorders>
              <w:top w:val="nil"/>
              <w:left w:val="nil"/>
              <w:bottom w:val="nil"/>
              <w:right w:val="nil"/>
            </w:tcBorders>
            <w:vAlign w:val="center"/>
          </w:tcPr>
          <w:p w14:paraId="64226234" w14:textId="77777777" w:rsidR="00F11B05" w:rsidRPr="006B044F" w:rsidRDefault="00F11B05" w:rsidP="00DE1055">
            <w:pPr>
              <w:spacing w:line="276" w:lineRule="auto"/>
            </w:pPr>
            <w:r w:rsidRPr="006B044F">
              <w:t>2.44</w:t>
            </w:r>
          </w:p>
        </w:tc>
        <w:tc>
          <w:tcPr>
            <w:tcW w:w="890" w:type="dxa"/>
            <w:tcBorders>
              <w:top w:val="nil"/>
              <w:left w:val="nil"/>
              <w:bottom w:val="nil"/>
              <w:right w:val="nil"/>
            </w:tcBorders>
            <w:vAlign w:val="center"/>
          </w:tcPr>
          <w:p w14:paraId="161E56EF" w14:textId="77777777" w:rsidR="00F11B05" w:rsidRPr="006B044F" w:rsidRDefault="00F11B05" w:rsidP="00DE1055">
            <w:pPr>
              <w:spacing w:line="276" w:lineRule="auto"/>
            </w:pPr>
            <w:r w:rsidRPr="006B044F">
              <w:t>2.08</w:t>
            </w:r>
          </w:p>
        </w:tc>
        <w:tc>
          <w:tcPr>
            <w:tcW w:w="891" w:type="dxa"/>
            <w:tcBorders>
              <w:top w:val="nil"/>
              <w:left w:val="nil"/>
              <w:bottom w:val="nil"/>
              <w:right w:val="nil"/>
            </w:tcBorders>
            <w:vAlign w:val="center"/>
          </w:tcPr>
          <w:p w14:paraId="24F9D3D6" w14:textId="77777777" w:rsidR="00F11B05" w:rsidRPr="006B044F" w:rsidRDefault="00F11B05" w:rsidP="00DE1055">
            <w:pPr>
              <w:spacing w:line="276" w:lineRule="auto"/>
            </w:pPr>
            <w:r w:rsidRPr="006B044F">
              <w:t>2.79</w:t>
            </w:r>
          </w:p>
        </w:tc>
        <w:tc>
          <w:tcPr>
            <w:tcW w:w="1019" w:type="dxa"/>
            <w:tcBorders>
              <w:top w:val="nil"/>
              <w:left w:val="nil"/>
              <w:bottom w:val="nil"/>
              <w:right w:val="nil"/>
            </w:tcBorders>
          </w:tcPr>
          <w:p w14:paraId="1F407762" w14:textId="77777777" w:rsidR="00F11B05" w:rsidRPr="006B044F" w:rsidRDefault="00F11B05" w:rsidP="00DE1055">
            <w:pPr>
              <w:spacing w:line="276" w:lineRule="auto"/>
            </w:pPr>
            <w:r w:rsidRPr="006B044F">
              <w:t>40.8</w:t>
            </w:r>
          </w:p>
        </w:tc>
        <w:tc>
          <w:tcPr>
            <w:tcW w:w="1130" w:type="dxa"/>
            <w:vMerge/>
            <w:tcBorders>
              <w:top w:val="nil"/>
              <w:left w:val="nil"/>
              <w:bottom w:val="nil"/>
              <w:right w:val="nil"/>
            </w:tcBorders>
          </w:tcPr>
          <w:p w14:paraId="0730BEC0" w14:textId="77777777" w:rsidR="00F11B05" w:rsidRPr="006B044F" w:rsidRDefault="00F11B05" w:rsidP="00DE1055">
            <w:pPr>
              <w:spacing w:line="276" w:lineRule="auto"/>
            </w:pPr>
          </w:p>
        </w:tc>
      </w:tr>
      <w:tr w:rsidR="006B044F" w:rsidRPr="006B044F" w14:paraId="00D71B2C" w14:textId="77777777" w:rsidTr="00DE1055">
        <w:trPr>
          <w:jc w:val="center"/>
        </w:trPr>
        <w:tc>
          <w:tcPr>
            <w:tcW w:w="869" w:type="dxa"/>
            <w:tcBorders>
              <w:top w:val="nil"/>
              <w:left w:val="nil"/>
              <w:bottom w:val="nil"/>
              <w:right w:val="nil"/>
            </w:tcBorders>
            <w:vAlign w:val="center"/>
          </w:tcPr>
          <w:p w14:paraId="4E148A79" w14:textId="77777777" w:rsidR="00F11B05" w:rsidRPr="006B044F" w:rsidRDefault="00F11B05" w:rsidP="00DE1055">
            <w:pPr>
              <w:spacing w:line="276" w:lineRule="auto"/>
              <w:rPr>
                <w:b/>
              </w:rPr>
            </w:pPr>
          </w:p>
        </w:tc>
        <w:tc>
          <w:tcPr>
            <w:tcW w:w="923" w:type="dxa"/>
            <w:tcBorders>
              <w:top w:val="nil"/>
              <w:left w:val="nil"/>
              <w:bottom w:val="nil"/>
              <w:right w:val="nil"/>
            </w:tcBorders>
            <w:vAlign w:val="center"/>
          </w:tcPr>
          <w:p w14:paraId="051115C8" w14:textId="77777777" w:rsidR="00F11B05" w:rsidRPr="006B044F" w:rsidRDefault="00F11B05" w:rsidP="00DE1055">
            <w:pPr>
              <w:spacing w:line="276" w:lineRule="auto"/>
              <w:rPr>
                <w:b/>
              </w:rPr>
            </w:pPr>
            <w:r w:rsidRPr="006B044F">
              <w:rPr>
                <w:b/>
              </w:rPr>
              <w:t>3</w:t>
            </w:r>
          </w:p>
        </w:tc>
        <w:tc>
          <w:tcPr>
            <w:tcW w:w="828" w:type="dxa"/>
            <w:tcBorders>
              <w:top w:val="nil"/>
              <w:left w:val="nil"/>
              <w:bottom w:val="nil"/>
              <w:right w:val="nil"/>
            </w:tcBorders>
          </w:tcPr>
          <w:p w14:paraId="7B7D5A9E" w14:textId="77777777" w:rsidR="00F11B05" w:rsidRPr="006B044F" w:rsidRDefault="00F11B05" w:rsidP="00DE1055">
            <w:pPr>
              <w:spacing w:line="276" w:lineRule="auto"/>
            </w:pPr>
            <w:r w:rsidRPr="006B044F">
              <w:t>45</w:t>
            </w:r>
          </w:p>
        </w:tc>
        <w:tc>
          <w:tcPr>
            <w:tcW w:w="884" w:type="dxa"/>
            <w:tcBorders>
              <w:top w:val="nil"/>
              <w:left w:val="nil"/>
              <w:bottom w:val="nil"/>
              <w:right w:val="nil"/>
            </w:tcBorders>
            <w:vAlign w:val="center"/>
          </w:tcPr>
          <w:p w14:paraId="130A4BBF" w14:textId="77777777" w:rsidR="00F11B05" w:rsidRPr="006B044F" w:rsidRDefault="00F11B05" w:rsidP="00DE1055">
            <w:pPr>
              <w:spacing w:line="276" w:lineRule="auto"/>
            </w:pPr>
            <w:r w:rsidRPr="006B044F">
              <w:t>2.37</w:t>
            </w:r>
          </w:p>
        </w:tc>
        <w:tc>
          <w:tcPr>
            <w:tcW w:w="890" w:type="dxa"/>
            <w:tcBorders>
              <w:top w:val="nil"/>
              <w:left w:val="nil"/>
              <w:bottom w:val="nil"/>
              <w:right w:val="nil"/>
            </w:tcBorders>
            <w:vAlign w:val="center"/>
          </w:tcPr>
          <w:p w14:paraId="0D08AB0B" w14:textId="77777777" w:rsidR="00F11B05" w:rsidRPr="006B044F" w:rsidRDefault="00F11B05" w:rsidP="00DE1055">
            <w:pPr>
              <w:spacing w:line="276" w:lineRule="auto"/>
            </w:pPr>
            <w:r w:rsidRPr="006B044F">
              <w:t>2.08</w:t>
            </w:r>
          </w:p>
        </w:tc>
        <w:tc>
          <w:tcPr>
            <w:tcW w:w="891" w:type="dxa"/>
            <w:tcBorders>
              <w:top w:val="nil"/>
              <w:left w:val="nil"/>
              <w:bottom w:val="nil"/>
              <w:right w:val="nil"/>
            </w:tcBorders>
            <w:vAlign w:val="center"/>
          </w:tcPr>
          <w:p w14:paraId="20967181" w14:textId="77777777" w:rsidR="00F11B05" w:rsidRPr="006B044F" w:rsidRDefault="00F11B05" w:rsidP="00DE1055">
            <w:pPr>
              <w:spacing w:line="276" w:lineRule="auto"/>
            </w:pPr>
            <w:r w:rsidRPr="006B044F">
              <w:t>2.67</w:t>
            </w:r>
          </w:p>
        </w:tc>
        <w:tc>
          <w:tcPr>
            <w:tcW w:w="1019" w:type="dxa"/>
            <w:tcBorders>
              <w:top w:val="nil"/>
              <w:left w:val="nil"/>
              <w:bottom w:val="nil"/>
              <w:right w:val="nil"/>
            </w:tcBorders>
          </w:tcPr>
          <w:p w14:paraId="468D37A8" w14:textId="77777777" w:rsidR="00F11B05" w:rsidRPr="006B044F" w:rsidRDefault="00F11B05" w:rsidP="00DE1055">
            <w:pPr>
              <w:spacing w:line="276" w:lineRule="auto"/>
            </w:pPr>
            <w:r w:rsidRPr="006B044F">
              <w:t>47.5</w:t>
            </w:r>
          </w:p>
        </w:tc>
        <w:tc>
          <w:tcPr>
            <w:tcW w:w="1130" w:type="dxa"/>
            <w:vMerge/>
            <w:tcBorders>
              <w:top w:val="nil"/>
              <w:left w:val="nil"/>
              <w:bottom w:val="nil"/>
              <w:right w:val="nil"/>
            </w:tcBorders>
          </w:tcPr>
          <w:p w14:paraId="329D010C" w14:textId="77777777" w:rsidR="00F11B05" w:rsidRPr="006B044F" w:rsidRDefault="00F11B05" w:rsidP="00DE1055">
            <w:pPr>
              <w:spacing w:line="276" w:lineRule="auto"/>
            </w:pPr>
          </w:p>
        </w:tc>
      </w:tr>
      <w:tr w:rsidR="006B044F" w:rsidRPr="006B044F" w14:paraId="78D5EDB0" w14:textId="77777777" w:rsidTr="00DE1055">
        <w:trPr>
          <w:jc w:val="center"/>
        </w:trPr>
        <w:tc>
          <w:tcPr>
            <w:tcW w:w="869" w:type="dxa"/>
            <w:tcBorders>
              <w:top w:val="nil"/>
              <w:left w:val="nil"/>
              <w:bottom w:val="nil"/>
              <w:right w:val="nil"/>
            </w:tcBorders>
            <w:vAlign w:val="center"/>
          </w:tcPr>
          <w:p w14:paraId="573A0AB9" w14:textId="77777777" w:rsidR="00F11B05" w:rsidRPr="006B044F" w:rsidRDefault="00F11B05" w:rsidP="00DE1055">
            <w:pPr>
              <w:spacing w:line="276" w:lineRule="auto"/>
              <w:rPr>
                <w:b/>
              </w:rPr>
            </w:pPr>
          </w:p>
        </w:tc>
        <w:tc>
          <w:tcPr>
            <w:tcW w:w="923" w:type="dxa"/>
            <w:tcBorders>
              <w:top w:val="nil"/>
              <w:left w:val="nil"/>
              <w:bottom w:val="nil"/>
              <w:right w:val="nil"/>
            </w:tcBorders>
            <w:vAlign w:val="center"/>
          </w:tcPr>
          <w:p w14:paraId="68BA4DB2" w14:textId="77777777" w:rsidR="00F11B05" w:rsidRPr="006B044F" w:rsidRDefault="00F11B05" w:rsidP="00DE1055">
            <w:pPr>
              <w:spacing w:line="276" w:lineRule="auto"/>
              <w:rPr>
                <w:b/>
              </w:rPr>
            </w:pPr>
          </w:p>
        </w:tc>
        <w:tc>
          <w:tcPr>
            <w:tcW w:w="828" w:type="dxa"/>
            <w:tcBorders>
              <w:top w:val="nil"/>
              <w:left w:val="nil"/>
              <w:bottom w:val="nil"/>
              <w:right w:val="nil"/>
            </w:tcBorders>
          </w:tcPr>
          <w:p w14:paraId="4E439FF2" w14:textId="77777777" w:rsidR="00F11B05" w:rsidRPr="006B044F" w:rsidRDefault="00F11B05" w:rsidP="00DE1055">
            <w:pPr>
              <w:spacing w:line="276" w:lineRule="auto"/>
            </w:pPr>
          </w:p>
        </w:tc>
        <w:tc>
          <w:tcPr>
            <w:tcW w:w="884" w:type="dxa"/>
            <w:tcBorders>
              <w:top w:val="nil"/>
              <w:left w:val="nil"/>
              <w:bottom w:val="nil"/>
              <w:right w:val="nil"/>
            </w:tcBorders>
            <w:vAlign w:val="center"/>
          </w:tcPr>
          <w:p w14:paraId="135BF18A" w14:textId="77777777" w:rsidR="00F11B05" w:rsidRPr="006B044F" w:rsidRDefault="00F11B05" w:rsidP="00DE1055">
            <w:pPr>
              <w:spacing w:line="276" w:lineRule="auto"/>
            </w:pPr>
          </w:p>
        </w:tc>
        <w:tc>
          <w:tcPr>
            <w:tcW w:w="890" w:type="dxa"/>
            <w:tcBorders>
              <w:top w:val="nil"/>
              <w:left w:val="nil"/>
              <w:bottom w:val="nil"/>
              <w:right w:val="nil"/>
            </w:tcBorders>
            <w:vAlign w:val="center"/>
          </w:tcPr>
          <w:p w14:paraId="494E00D1" w14:textId="77777777" w:rsidR="00F11B05" w:rsidRPr="006B044F" w:rsidRDefault="00F11B05" w:rsidP="00DE1055">
            <w:pPr>
              <w:spacing w:line="276" w:lineRule="auto"/>
            </w:pPr>
          </w:p>
        </w:tc>
        <w:tc>
          <w:tcPr>
            <w:tcW w:w="891" w:type="dxa"/>
            <w:tcBorders>
              <w:top w:val="nil"/>
              <w:left w:val="nil"/>
              <w:bottom w:val="nil"/>
              <w:right w:val="nil"/>
            </w:tcBorders>
            <w:vAlign w:val="center"/>
          </w:tcPr>
          <w:p w14:paraId="508228EB" w14:textId="77777777" w:rsidR="00F11B05" w:rsidRPr="006B044F" w:rsidRDefault="00F11B05" w:rsidP="00DE1055">
            <w:pPr>
              <w:spacing w:line="276" w:lineRule="auto"/>
            </w:pPr>
          </w:p>
        </w:tc>
        <w:tc>
          <w:tcPr>
            <w:tcW w:w="1019" w:type="dxa"/>
            <w:tcBorders>
              <w:top w:val="nil"/>
              <w:left w:val="nil"/>
              <w:bottom w:val="nil"/>
              <w:right w:val="nil"/>
            </w:tcBorders>
          </w:tcPr>
          <w:p w14:paraId="2C6894CA" w14:textId="77777777" w:rsidR="00F11B05" w:rsidRPr="006B044F" w:rsidRDefault="00F11B05" w:rsidP="00DE1055">
            <w:pPr>
              <w:spacing w:line="276" w:lineRule="auto"/>
            </w:pPr>
          </w:p>
        </w:tc>
        <w:tc>
          <w:tcPr>
            <w:tcW w:w="1130" w:type="dxa"/>
            <w:tcBorders>
              <w:top w:val="nil"/>
              <w:left w:val="nil"/>
              <w:bottom w:val="nil"/>
              <w:right w:val="nil"/>
            </w:tcBorders>
          </w:tcPr>
          <w:p w14:paraId="4320E5EB" w14:textId="77777777" w:rsidR="00F11B05" w:rsidRPr="006B044F" w:rsidRDefault="00F11B05" w:rsidP="00DE1055">
            <w:pPr>
              <w:spacing w:line="276" w:lineRule="auto"/>
            </w:pPr>
          </w:p>
        </w:tc>
      </w:tr>
      <w:tr w:rsidR="006B044F" w:rsidRPr="006B044F" w14:paraId="60523351" w14:textId="77777777" w:rsidTr="00DE1055">
        <w:trPr>
          <w:jc w:val="center"/>
        </w:trPr>
        <w:tc>
          <w:tcPr>
            <w:tcW w:w="869" w:type="dxa"/>
            <w:tcBorders>
              <w:top w:val="nil"/>
              <w:left w:val="nil"/>
              <w:bottom w:val="nil"/>
              <w:right w:val="nil"/>
            </w:tcBorders>
            <w:vAlign w:val="center"/>
          </w:tcPr>
          <w:p w14:paraId="420C7B03" w14:textId="77777777" w:rsidR="00F11B05" w:rsidRPr="006B044F" w:rsidRDefault="00F11B05" w:rsidP="00DE1055">
            <w:pPr>
              <w:spacing w:line="276" w:lineRule="auto"/>
              <w:rPr>
                <w:b/>
              </w:rPr>
            </w:pPr>
            <w:r w:rsidRPr="006B044F">
              <w:rPr>
                <w:b/>
              </w:rPr>
              <w:t>Zone</w:t>
            </w:r>
          </w:p>
        </w:tc>
        <w:tc>
          <w:tcPr>
            <w:tcW w:w="923" w:type="dxa"/>
            <w:tcBorders>
              <w:top w:val="nil"/>
              <w:left w:val="nil"/>
              <w:bottom w:val="nil"/>
              <w:right w:val="nil"/>
            </w:tcBorders>
            <w:vAlign w:val="center"/>
          </w:tcPr>
          <w:p w14:paraId="73D80884" w14:textId="77777777" w:rsidR="00F11B05" w:rsidRPr="006B044F" w:rsidRDefault="00F11B05" w:rsidP="00DE1055">
            <w:pPr>
              <w:spacing w:line="276" w:lineRule="auto"/>
              <w:rPr>
                <w:b/>
              </w:rPr>
            </w:pPr>
            <w:r w:rsidRPr="006B044F">
              <w:rPr>
                <w:b/>
              </w:rPr>
              <w:t>Top</w:t>
            </w:r>
          </w:p>
        </w:tc>
        <w:tc>
          <w:tcPr>
            <w:tcW w:w="828" w:type="dxa"/>
            <w:tcBorders>
              <w:top w:val="nil"/>
              <w:left w:val="nil"/>
              <w:bottom w:val="nil"/>
              <w:right w:val="nil"/>
            </w:tcBorders>
          </w:tcPr>
          <w:p w14:paraId="41CB9568" w14:textId="77777777" w:rsidR="00F11B05" w:rsidRPr="006B044F" w:rsidRDefault="00F11B05" w:rsidP="00DE1055">
            <w:pPr>
              <w:spacing w:line="276" w:lineRule="auto"/>
            </w:pPr>
            <w:r w:rsidRPr="006B044F">
              <w:t>45</w:t>
            </w:r>
          </w:p>
        </w:tc>
        <w:tc>
          <w:tcPr>
            <w:tcW w:w="884" w:type="dxa"/>
            <w:tcBorders>
              <w:top w:val="nil"/>
              <w:left w:val="nil"/>
              <w:bottom w:val="nil"/>
              <w:right w:val="nil"/>
            </w:tcBorders>
            <w:vAlign w:val="center"/>
          </w:tcPr>
          <w:p w14:paraId="3A2F8E86" w14:textId="77777777" w:rsidR="00F11B05" w:rsidRPr="006B044F" w:rsidRDefault="00F11B05" w:rsidP="00DE1055">
            <w:pPr>
              <w:spacing w:line="276" w:lineRule="auto"/>
            </w:pPr>
            <w:r w:rsidRPr="006B044F">
              <w:t>2.72</w:t>
            </w:r>
          </w:p>
        </w:tc>
        <w:tc>
          <w:tcPr>
            <w:tcW w:w="890" w:type="dxa"/>
            <w:tcBorders>
              <w:top w:val="nil"/>
              <w:left w:val="nil"/>
              <w:bottom w:val="nil"/>
              <w:right w:val="nil"/>
            </w:tcBorders>
            <w:vAlign w:val="center"/>
          </w:tcPr>
          <w:p w14:paraId="4D7B790E" w14:textId="77777777" w:rsidR="00F11B05" w:rsidRPr="006B044F" w:rsidRDefault="00F11B05" w:rsidP="00DE1055">
            <w:pPr>
              <w:spacing w:line="276" w:lineRule="auto"/>
            </w:pPr>
            <w:r w:rsidRPr="006B044F">
              <w:t>2.42</w:t>
            </w:r>
          </w:p>
        </w:tc>
        <w:tc>
          <w:tcPr>
            <w:tcW w:w="891" w:type="dxa"/>
            <w:tcBorders>
              <w:top w:val="nil"/>
              <w:left w:val="nil"/>
              <w:bottom w:val="nil"/>
              <w:right w:val="nil"/>
            </w:tcBorders>
            <w:vAlign w:val="center"/>
          </w:tcPr>
          <w:p w14:paraId="14DFE7C7" w14:textId="77777777" w:rsidR="00F11B05" w:rsidRPr="006B044F" w:rsidRDefault="00F11B05" w:rsidP="00DE1055">
            <w:pPr>
              <w:spacing w:line="276" w:lineRule="auto"/>
            </w:pPr>
            <w:r w:rsidRPr="006B044F">
              <w:t>3.01</w:t>
            </w:r>
          </w:p>
        </w:tc>
        <w:tc>
          <w:tcPr>
            <w:tcW w:w="1019" w:type="dxa"/>
            <w:tcBorders>
              <w:top w:val="nil"/>
              <w:left w:val="nil"/>
              <w:bottom w:val="nil"/>
              <w:right w:val="nil"/>
            </w:tcBorders>
          </w:tcPr>
          <w:p w14:paraId="6CCB8107" w14:textId="77777777" w:rsidR="00F11B05" w:rsidRPr="006B044F" w:rsidRDefault="00F11B05" w:rsidP="00DE1055">
            <w:pPr>
              <w:spacing w:line="276" w:lineRule="auto"/>
            </w:pPr>
            <w:r w:rsidRPr="006B044F">
              <w:t>43.2</w:t>
            </w:r>
          </w:p>
        </w:tc>
        <w:tc>
          <w:tcPr>
            <w:tcW w:w="1130" w:type="dxa"/>
            <w:vMerge w:val="restart"/>
            <w:tcBorders>
              <w:top w:val="nil"/>
              <w:left w:val="nil"/>
              <w:bottom w:val="nil"/>
              <w:right w:val="nil"/>
            </w:tcBorders>
            <w:vAlign w:val="center"/>
          </w:tcPr>
          <w:p w14:paraId="5621CB2C" w14:textId="77777777" w:rsidR="00F11B05" w:rsidRPr="006B044F" w:rsidRDefault="00F11B05" w:rsidP="00DE1055">
            <w:pPr>
              <w:spacing w:line="276" w:lineRule="auto"/>
            </w:pPr>
            <w:r w:rsidRPr="006B044F">
              <w:t>&lt; 0.0001</w:t>
            </w:r>
          </w:p>
        </w:tc>
      </w:tr>
      <w:tr w:rsidR="006B044F" w:rsidRPr="006B044F" w14:paraId="74E7E541" w14:textId="77777777" w:rsidTr="00DE1055">
        <w:trPr>
          <w:jc w:val="center"/>
        </w:trPr>
        <w:tc>
          <w:tcPr>
            <w:tcW w:w="869" w:type="dxa"/>
            <w:tcBorders>
              <w:top w:val="nil"/>
              <w:left w:val="nil"/>
              <w:bottom w:val="nil"/>
              <w:right w:val="nil"/>
            </w:tcBorders>
            <w:vAlign w:val="center"/>
          </w:tcPr>
          <w:p w14:paraId="4C879B7E" w14:textId="77777777" w:rsidR="00F11B05" w:rsidRPr="006B044F" w:rsidRDefault="00F11B05" w:rsidP="00DE1055">
            <w:pPr>
              <w:spacing w:line="276" w:lineRule="auto"/>
              <w:rPr>
                <w:b/>
              </w:rPr>
            </w:pPr>
          </w:p>
        </w:tc>
        <w:tc>
          <w:tcPr>
            <w:tcW w:w="923" w:type="dxa"/>
            <w:tcBorders>
              <w:top w:val="nil"/>
              <w:left w:val="nil"/>
              <w:bottom w:val="nil"/>
              <w:right w:val="nil"/>
            </w:tcBorders>
            <w:vAlign w:val="center"/>
          </w:tcPr>
          <w:p w14:paraId="09650E4A" w14:textId="77777777" w:rsidR="00F11B05" w:rsidRPr="006B044F" w:rsidRDefault="00F11B05" w:rsidP="00DE1055">
            <w:pPr>
              <w:spacing w:line="276" w:lineRule="auto"/>
              <w:rPr>
                <w:b/>
              </w:rPr>
            </w:pPr>
            <w:r w:rsidRPr="006B044F">
              <w:rPr>
                <w:b/>
              </w:rPr>
              <w:t>Middle</w:t>
            </w:r>
          </w:p>
        </w:tc>
        <w:tc>
          <w:tcPr>
            <w:tcW w:w="828" w:type="dxa"/>
            <w:tcBorders>
              <w:top w:val="nil"/>
              <w:left w:val="nil"/>
              <w:bottom w:val="nil"/>
              <w:right w:val="nil"/>
            </w:tcBorders>
          </w:tcPr>
          <w:p w14:paraId="04E1D460" w14:textId="77777777" w:rsidR="00F11B05" w:rsidRPr="006B044F" w:rsidRDefault="00F11B05" w:rsidP="00DE1055">
            <w:pPr>
              <w:spacing w:line="276" w:lineRule="auto"/>
            </w:pPr>
            <w:r w:rsidRPr="006B044F">
              <w:t>45</w:t>
            </w:r>
          </w:p>
        </w:tc>
        <w:tc>
          <w:tcPr>
            <w:tcW w:w="884" w:type="dxa"/>
            <w:tcBorders>
              <w:top w:val="nil"/>
              <w:left w:val="nil"/>
              <w:bottom w:val="nil"/>
              <w:right w:val="nil"/>
            </w:tcBorders>
            <w:vAlign w:val="center"/>
          </w:tcPr>
          <w:p w14:paraId="669D0FC9" w14:textId="77777777" w:rsidR="00F11B05" w:rsidRPr="006B044F" w:rsidRDefault="00F11B05" w:rsidP="00DE1055">
            <w:pPr>
              <w:spacing w:line="276" w:lineRule="auto"/>
            </w:pPr>
            <w:r w:rsidRPr="006B044F">
              <w:t>1.76</w:t>
            </w:r>
          </w:p>
        </w:tc>
        <w:tc>
          <w:tcPr>
            <w:tcW w:w="890" w:type="dxa"/>
            <w:tcBorders>
              <w:top w:val="nil"/>
              <w:left w:val="nil"/>
              <w:bottom w:val="nil"/>
              <w:right w:val="nil"/>
            </w:tcBorders>
            <w:vAlign w:val="center"/>
          </w:tcPr>
          <w:p w14:paraId="3273729A" w14:textId="77777777" w:rsidR="00F11B05" w:rsidRPr="006B044F" w:rsidRDefault="00F11B05" w:rsidP="00DE1055">
            <w:pPr>
              <w:spacing w:line="276" w:lineRule="auto"/>
            </w:pPr>
            <w:r w:rsidRPr="006B044F">
              <w:t>1.55</w:t>
            </w:r>
          </w:p>
        </w:tc>
        <w:tc>
          <w:tcPr>
            <w:tcW w:w="891" w:type="dxa"/>
            <w:tcBorders>
              <w:top w:val="nil"/>
              <w:left w:val="nil"/>
              <w:bottom w:val="nil"/>
              <w:right w:val="nil"/>
            </w:tcBorders>
            <w:vAlign w:val="center"/>
          </w:tcPr>
          <w:p w14:paraId="12005CF5" w14:textId="77777777" w:rsidR="00F11B05" w:rsidRPr="006B044F" w:rsidRDefault="00F11B05" w:rsidP="00DE1055">
            <w:pPr>
              <w:spacing w:line="276" w:lineRule="auto"/>
            </w:pPr>
            <w:r w:rsidRPr="006B044F">
              <w:t>1.98</w:t>
            </w:r>
          </w:p>
        </w:tc>
        <w:tc>
          <w:tcPr>
            <w:tcW w:w="1019" w:type="dxa"/>
            <w:tcBorders>
              <w:top w:val="nil"/>
              <w:left w:val="nil"/>
              <w:bottom w:val="nil"/>
              <w:right w:val="nil"/>
            </w:tcBorders>
          </w:tcPr>
          <w:p w14:paraId="32FAE2C5" w14:textId="77777777" w:rsidR="00F11B05" w:rsidRPr="006B044F" w:rsidRDefault="00F11B05" w:rsidP="00DE1055">
            <w:pPr>
              <w:spacing w:line="276" w:lineRule="auto"/>
            </w:pPr>
            <w:r w:rsidRPr="006B044F">
              <w:t>65.1</w:t>
            </w:r>
          </w:p>
        </w:tc>
        <w:tc>
          <w:tcPr>
            <w:tcW w:w="1130" w:type="dxa"/>
            <w:vMerge/>
            <w:tcBorders>
              <w:top w:val="nil"/>
              <w:left w:val="nil"/>
              <w:bottom w:val="nil"/>
              <w:right w:val="nil"/>
            </w:tcBorders>
          </w:tcPr>
          <w:p w14:paraId="5DDA6925" w14:textId="77777777" w:rsidR="00F11B05" w:rsidRPr="006B044F" w:rsidRDefault="00F11B05" w:rsidP="00DE1055">
            <w:pPr>
              <w:spacing w:line="276" w:lineRule="auto"/>
            </w:pPr>
          </w:p>
        </w:tc>
      </w:tr>
      <w:tr w:rsidR="00F11B05" w:rsidRPr="006B044F" w14:paraId="10627EA7" w14:textId="77777777" w:rsidTr="00DE1055">
        <w:trPr>
          <w:jc w:val="center"/>
        </w:trPr>
        <w:tc>
          <w:tcPr>
            <w:tcW w:w="869" w:type="dxa"/>
            <w:tcBorders>
              <w:top w:val="nil"/>
              <w:left w:val="nil"/>
              <w:bottom w:val="single" w:sz="4" w:space="0" w:color="auto"/>
              <w:right w:val="nil"/>
            </w:tcBorders>
            <w:vAlign w:val="center"/>
          </w:tcPr>
          <w:p w14:paraId="7F52DEA1" w14:textId="77777777" w:rsidR="00F11B05" w:rsidRPr="006B044F" w:rsidRDefault="00F11B05" w:rsidP="00DE1055">
            <w:pPr>
              <w:spacing w:line="276" w:lineRule="auto"/>
              <w:rPr>
                <w:b/>
              </w:rPr>
            </w:pPr>
          </w:p>
        </w:tc>
        <w:tc>
          <w:tcPr>
            <w:tcW w:w="923" w:type="dxa"/>
            <w:tcBorders>
              <w:top w:val="nil"/>
              <w:left w:val="nil"/>
              <w:bottom w:val="single" w:sz="4" w:space="0" w:color="auto"/>
              <w:right w:val="nil"/>
            </w:tcBorders>
            <w:vAlign w:val="center"/>
          </w:tcPr>
          <w:p w14:paraId="2933B59C" w14:textId="77777777" w:rsidR="00F11B05" w:rsidRPr="006B044F" w:rsidRDefault="00F11B05" w:rsidP="00DE1055">
            <w:pPr>
              <w:spacing w:line="276" w:lineRule="auto"/>
              <w:rPr>
                <w:b/>
              </w:rPr>
            </w:pPr>
            <w:r w:rsidRPr="006B044F">
              <w:rPr>
                <w:b/>
              </w:rPr>
              <w:t>Outer</w:t>
            </w:r>
          </w:p>
        </w:tc>
        <w:tc>
          <w:tcPr>
            <w:tcW w:w="828" w:type="dxa"/>
            <w:tcBorders>
              <w:top w:val="nil"/>
              <w:left w:val="nil"/>
              <w:bottom w:val="single" w:sz="4" w:space="0" w:color="auto"/>
              <w:right w:val="nil"/>
            </w:tcBorders>
          </w:tcPr>
          <w:p w14:paraId="3FCAE389" w14:textId="77777777" w:rsidR="00F11B05" w:rsidRPr="006B044F" w:rsidRDefault="00F11B05" w:rsidP="00DE1055">
            <w:pPr>
              <w:spacing w:line="276" w:lineRule="auto"/>
            </w:pPr>
            <w:r w:rsidRPr="006B044F">
              <w:t>45</w:t>
            </w:r>
          </w:p>
        </w:tc>
        <w:tc>
          <w:tcPr>
            <w:tcW w:w="884" w:type="dxa"/>
            <w:tcBorders>
              <w:top w:val="nil"/>
              <w:left w:val="nil"/>
              <w:bottom w:val="single" w:sz="4" w:space="0" w:color="auto"/>
              <w:right w:val="nil"/>
            </w:tcBorders>
            <w:vAlign w:val="center"/>
          </w:tcPr>
          <w:p w14:paraId="6587CBA5" w14:textId="77777777" w:rsidR="00F11B05" w:rsidRPr="006B044F" w:rsidRDefault="00F11B05" w:rsidP="00DE1055">
            <w:pPr>
              <w:spacing w:line="276" w:lineRule="auto"/>
            </w:pPr>
            <w:r w:rsidRPr="006B044F">
              <w:t>2.39</w:t>
            </w:r>
          </w:p>
        </w:tc>
        <w:tc>
          <w:tcPr>
            <w:tcW w:w="890" w:type="dxa"/>
            <w:tcBorders>
              <w:top w:val="nil"/>
              <w:left w:val="nil"/>
              <w:bottom w:val="single" w:sz="4" w:space="0" w:color="auto"/>
              <w:right w:val="nil"/>
            </w:tcBorders>
            <w:vAlign w:val="center"/>
          </w:tcPr>
          <w:p w14:paraId="259C60B8" w14:textId="77777777" w:rsidR="00F11B05" w:rsidRPr="006B044F" w:rsidRDefault="00F11B05" w:rsidP="00DE1055">
            <w:pPr>
              <w:spacing w:line="276" w:lineRule="auto"/>
            </w:pPr>
            <w:r w:rsidRPr="006B044F">
              <w:t>2.17</w:t>
            </w:r>
          </w:p>
        </w:tc>
        <w:tc>
          <w:tcPr>
            <w:tcW w:w="891" w:type="dxa"/>
            <w:tcBorders>
              <w:top w:val="nil"/>
              <w:left w:val="nil"/>
              <w:bottom w:val="single" w:sz="4" w:space="0" w:color="auto"/>
              <w:right w:val="nil"/>
            </w:tcBorders>
            <w:vAlign w:val="center"/>
          </w:tcPr>
          <w:p w14:paraId="7B373C45" w14:textId="77777777" w:rsidR="00F11B05" w:rsidRPr="006B044F" w:rsidRDefault="00F11B05" w:rsidP="00DE1055">
            <w:pPr>
              <w:spacing w:line="276" w:lineRule="auto"/>
            </w:pPr>
            <w:r w:rsidRPr="006B044F">
              <w:t>2.61</w:t>
            </w:r>
          </w:p>
        </w:tc>
        <w:tc>
          <w:tcPr>
            <w:tcW w:w="1019" w:type="dxa"/>
            <w:tcBorders>
              <w:top w:val="nil"/>
              <w:left w:val="nil"/>
              <w:bottom w:val="single" w:sz="4" w:space="0" w:color="auto"/>
              <w:right w:val="nil"/>
            </w:tcBorders>
          </w:tcPr>
          <w:p w14:paraId="11102392" w14:textId="77777777" w:rsidR="00F11B05" w:rsidRPr="006B044F" w:rsidRDefault="00F11B05" w:rsidP="00DE1055">
            <w:pPr>
              <w:spacing w:line="276" w:lineRule="auto"/>
            </w:pPr>
            <w:r w:rsidRPr="006B044F">
              <w:t>41.8</w:t>
            </w:r>
          </w:p>
        </w:tc>
        <w:tc>
          <w:tcPr>
            <w:tcW w:w="1130" w:type="dxa"/>
            <w:vMerge/>
            <w:tcBorders>
              <w:top w:val="nil"/>
              <w:left w:val="nil"/>
              <w:bottom w:val="single" w:sz="4" w:space="0" w:color="auto"/>
              <w:right w:val="nil"/>
            </w:tcBorders>
          </w:tcPr>
          <w:p w14:paraId="33315F4C" w14:textId="77777777" w:rsidR="00F11B05" w:rsidRPr="006B044F" w:rsidRDefault="00F11B05" w:rsidP="00DE1055">
            <w:pPr>
              <w:spacing w:line="276" w:lineRule="auto"/>
            </w:pPr>
          </w:p>
        </w:tc>
      </w:tr>
    </w:tbl>
    <w:p w14:paraId="2DA18AB6" w14:textId="77777777" w:rsidR="00751430" w:rsidRPr="006B044F" w:rsidRDefault="00751430" w:rsidP="00751430">
      <w:pPr>
        <w:spacing w:line="480" w:lineRule="auto"/>
      </w:pPr>
    </w:p>
    <w:p w14:paraId="29532AE1" w14:textId="77777777" w:rsidR="00751430" w:rsidRPr="006B044F" w:rsidRDefault="00751430">
      <w:r w:rsidRPr="006B044F">
        <w:br w:type="page"/>
      </w:r>
    </w:p>
    <w:p w14:paraId="76A0CD81" w14:textId="77777777" w:rsidR="00751430" w:rsidRPr="006B044F" w:rsidRDefault="00751430" w:rsidP="00751430">
      <w:pPr>
        <w:spacing w:line="480" w:lineRule="auto"/>
        <w:sectPr w:rsidR="00751430" w:rsidRPr="006B044F" w:rsidSect="008D2CE2">
          <w:type w:val="continuous"/>
          <w:pgSz w:w="11906" w:h="16838"/>
          <w:pgMar w:top="1440" w:right="1440" w:bottom="1440" w:left="1440" w:header="709" w:footer="709" w:gutter="0"/>
          <w:lnNumType w:countBy="1" w:restart="continuous"/>
          <w:cols w:space="708"/>
          <w:docGrid w:linePitch="360"/>
        </w:sectPr>
      </w:pPr>
    </w:p>
    <w:p w14:paraId="11F8D0EA" w14:textId="4FD19D61" w:rsidR="00751430" w:rsidRPr="006B044F" w:rsidRDefault="00751430" w:rsidP="00751430">
      <w:pPr>
        <w:spacing w:line="480" w:lineRule="auto"/>
      </w:pPr>
      <w:bookmarkStart w:id="61" w:name="_Hlk517363303"/>
      <w:bookmarkStart w:id="62" w:name="_Hlk517363317"/>
      <w:bookmarkStart w:id="63" w:name="_Hlk517364306"/>
      <w:r w:rsidRPr="006B044F">
        <w:lastRenderedPageBreak/>
        <w:t>Table 4 – The effect of two different spread factors on 6 stain diameter sizes.</w:t>
      </w:r>
      <w:r w:rsidR="004E2709" w:rsidRPr="006B044F">
        <w:t xml:space="preserve"> </w:t>
      </w:r>
      <w:bookmarkEnd w:id="61"/>
      <w:r w:rsidR="004E2709" w:rsidRPr="006B044F">
        <w:t>The spread fact</w:t>
      </w:r>
      <w:r w:rsidR="003F73FA" w:rsidRPr="00C73D75">
        <w:t xml:space="preserve">ors were determined </w:t>
      </w:r>
      <w:r w:rsidR="004E2709" w:rsidRPr="006B044F">
        <w:t>on water droplets.</w:t>
      </w:r>
      <w:bookmarkEnd w:id="62"/>
    </w:p>
    <w:bookmarkEnd w:id="63"/>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375"/>
      </w:tblGrid>
      <w:tr w:rsidR="006B044F" w:rsidRPr="006B044F" w14:paraId="4929A9CD" w14:textId="77777777" w:rsidTr="00F11B05">
        <w:tc>
          <w:tcPr>
            <w:tcW w:w="1701" w:type="dxa"/>
            <w:tcBorders>
              <w:bottom w:val="nil"/>
            </w:tcBorders>
          </w:tcPr>
          <w:p w14:paraId="11736F03" w14:textId="77777777" w:rsidR="00751430" w:rsidRPr="006B044F" w:rsidRDefault="00751430" w:rsidP="00DE1055">
            <w:pPr>
              <w:spacing w:line="276" w:lineRule="auto"/>
              <w:rPr>
                <w:b/>
              </w:rPr>
            </w:pPr>
          </w:p>
        </w:tc>
        <w:tc>
          <w:tcPr>
            <w:tcW w:w="3402" w:type="dxa"/>
            <w:gridSpan w:val="2"/>
            <w:tcBorders>
              <w:bottom w:val="nil"/>
            </w:tcBorders>
          </w:tcPr>
          <w:p w14:paraId="14767CF1" w14:textId="77777777" w:rsidR="00751430" w:rsidRPr="006B044F" w:rsidRDefault="00751430" w:rsidP="00751430">
            <w:pPr>
              <w:spacing w:line="276" w:lineRule="auto"/>
              <w:jc w:val="center"/>
              <w:rPr>
                <w:b/>
              </w:rPr>
            </w:pPr>
            <w:r w:rsidRPr="006B044F">
              <w:rPr>
                <w:b/>
              </w:rPr>
              <w:t>Droplet Diameter (μm)</w:t>
            </w:r>
          </w:p>
        </w:tc>
        <w:tc>
          <w:tcPr>
            <w:tcW w:w="1375" w:type="dxa"/>
            <w:tcBorders>
              <w:bottom w:val="nil"/>
            </w:tcBorders>
          </w:tcPr>
          <w:p w14:paraId="20A3DB88" w14:textId="77777777" w:rsidR="00751430" w:rsidRPr="006B044F" w:rsidRDefault="00751430" w:rsidP="00DE1055">
            <w:pPr>
              <w:spacing w:line="276" w:lineRule="auto"/>
              <w:rPr>
                <w:b/>
              </w:rPr>
            </w:pPr>
          </w:p>
        </w:tc>
      </w:tr>
      <w:tr w:rsidR="006B044F" w:rsidRPr="006B044F" w14:paraId="4A6D4AFD" w14:textId="77777777" w:rsidTr="00F11B05">
        <w:tc>
          <w:tcPr>
            <w:tcW w:w="1701" w:type="dxa"/>
            <w:tcBorders>
              <w:top w:val="nil"/>
              <w:bottom w:val="single" w:sz="4" w:space="0" w:color="auto"/>
            </w:tcBorders>
          </w:tcPr>
          <w:p w14:paraId="5E63FC8E" w14:textId="77777777" w:rsidR="00751430" w:rsidRPr="006B044F" w:rsidRDefault="00751430" w:rsidP="00DE1055">
            <w:pPr>
              <w:spacing w:line="276" w:lineRule="auto"/>
              <w:rPr>
                <w:b/>
              </w:rPr>
            </w:pPr>
            <w:r w:rsidRPr="006B044F">
              <w:rPr>
                <w:b/>
              </w:rPr>
              <w:t>Stain Diameter (μm)</w:t>
            </w:r>
          </w:p>
        </w:tc>
        <w:tc>
          <w:tcPr>
            <w:tcW w:w="1701" w:type="dxa"/>
            <w:tcBorders>
              <w:top w:val="nil"/>
              <w:bottom w:val="single" w:sz="4" w:space="0" w:color="auto"/>
            </w:tcBorders>
          </w:tcPr>
          <w:p w14:paraId="3CDCC0AF" w14:textId="77777777" w:rsidR="00751430" w:rsidRPr="006B044F" w:rsidRDefault="00751430" w:rsidP="00F11B05">
            <w:pPr>
              <w:spacing w:line="276" w:lineRule="auto"/>
              <w:jc w:val="left"/>
              <w:rPr>
                <w:b/>
              </w:rPr>
            </w:pPr>
            <w:r w:rsidRPr="006B044F">
              <w:rPr>
                <w:b/>
              </w:rPr>
              <w:t>DepositScan Spread Factor</w:t>
            </w:r>
          </w:p>
        </w:tc>
        <w:tc>
          <w:tcPr>
            <w:tcW w:w="1701" w:type="dxa"/>
            <w:tcBorders>
              <w:top w:val="nil"/>
              <w:bottom w:val="single" w:sz="4" w:space="0" w:color="auto"/>
            </w:tcBorders>
            <w:vAlign w:val="center"/>
          </w:tcPr>
          <w:p w14:paraId="7BD8BF08" w14:textId="77777777" w:rsidR="00751430" w:rsidRPr="006B044F" w:rsidRDefault="00751430" w:rsidP="00F11B05">
            <w:pPr>
              <w:spacing w:line="276" w:lineRule="auto"/>
              <w:jc w:val="left"/>
              <w:rPr>
                <w:b/>
              </w:rPr>
            </w:pPr>
            <w:r w:rsidRPr="006B044F">
              <w:rPr>
                <w:b/>
              </w:rPr>
              <w:t>Varied Spread Factor</w:t>
            </w:r>
          </w:p>
        </w:tc>
        <w:tc>
          <w:tcPr>
            <w:tcW w:w="1375" w:type="dxa"/>
            <w:tcBorders>
              <w:top w:val="nil"/>
              <w:bottom w:val="single" w:sz="4" w:space="0" w:color="auto"/>
            </w:tcBorders>
          </w:tcPr>
          <w:p w14:paraId="45257E5B" w14:textId="77777777" w:rsidR="00751430" w:rsidRPr="006B044F" w:rsidRDefault="00751430" w:rsidP="00DE1055">
            <w:pPr>
              <w:spacing w:line="276" w:lineRule="auto"/>
              <w:rPr>
                <w:b/>
              </w:rPr>
            </w:pPr>
            <w:r w:rsidRPr="006B044F">
              <w:rPr>
                <w:b/>
              </w:rPr>
              <w:t>Difference</w:t>
            </w:r>
          </w:p>
        </w:tc>
      </w:tr>
      <w:tr w:rsidR="006B044F" w:rsidRPr="006B044F" w14:paraId="6B1C05E7" w14:textId="77777777" w:rsidTr="00F11B05">
        <w:tc>
          <w:tcPr>
            <w:tcW w:w="1701" w:type="dxa"/>
            <w:tcBorders>
              <w:top w:val="single" w:sz="4" w:space="0" w:color="auto"/>
            </w:tcBorders>
          </w:tcPr>
          <w:p w14:paraId="5DE2B542" w14:textId="77777777" w:rsidR="00751430" w:rsidRPr="006B044F" w:rsidRDefault="00751430" w:rsidP="00DE1055">
            <w:pPr>
              <w:spacing w:line="276" w:lineRule="auto"/>
            </w:pPr>
            <w:r w:rsidRPr="006B044F">
              <w:t>100</w:t>
            </w:r>
          </w:p>
        </w:tc>
        <w:tc>
          <w:tcPr>
            <w:tcW w:w="1701" w:type="dxa"/>
            <w:tcBorders>
              <w:top w:val="single" w:sz="4" w:space="0" w:color="auto"/>
            </w:tcBorders>
            <w:vAlign w:val="bottom"/>
          </w:tcPr>
          <w:p w14:paraId="5D508DA6" w14:textId="77777777" w:rsidR="00751430" w:rsidRPr="00C73D75" w:rsidRDefault="00751430" w:rsidP="00DE1055">
            <w:pPr>
              <w:spacing w:line="276" w:lineRule="auto"/>
            </w:pPr>
            <w:r w:rsidRPr="00C73D75">
              <w:t>62.74</w:t>
            </w:r>
          </w:p>
        </w:tc>
        <w:tc>
          <w:tcPr>
            <w:tcW w:w="1701" w:type="dxa"/>
            <w:tcBorders>
              <w:top w:val="single" w:sz="4" w:space="0" w:color="auto"/>
            </w:tcBorders>
            <w:vAlign w:val="bottom"/>
          </w:tcPr>
          <w:p w14:paraId="76570FFD" w14:textId="77777777" w:rsidR="00751430" w:rsidRPr="006B044F" w:rsidRDefault="00751430" w:rsidP="00DE1055">
            <w:pPr>
              <w:spacing w:line="276" w:lineRule="auto"/>
              <w:rPr>
                <w:rFonts w:cs="Arial"/>
              </w:rPr>
            </w:pPr>
            <w:r w:rsidRPr="006B044F">
              <w:rPr>
                <w:rFonts w:cs="Arial"/>
              </w:rPr>
              <w:t>58.82</w:t>
            </w:r>
          </w:p>
        </w:tc>
        <w:tc>
          <w:tcPr>
            <w:tcW w:w="1375" w:type="dxa"/>
            <w:tcBorders>
              <w:top w:val="single" w:sz="4" w:space="0" w:color="auto"/>
            </w:tcBorders>
            <w:vAlign w:val="bottom"/>
          </w:tcPr>
          <w:p w14:paraId="050D5254" w14:textId="77777777" w:rsidR="00751430" w:rsidRPr="00C73D75" w:rsidRDefault="00751430" w:rsidP="00DE1055">
            <w:pPr>
              <w:spacing w:line="276" w:lineRule="auto"/>
              <w:rPr>
                <w:rFonts w:ascii="Calibri" w:hAnsi="Calibri"/>
              </w:rPr>
            </w:pPr>
            <w:r w:rsidRPr="00C73D75">
              <w:rPr>
                <w:rFonts w:ascii="Calibri" w:hAnsi="Calibri"/>
              </w:rPr>
              <w:t>6.25%</w:t>
            </w:r>
          </w:p>
        </w:tc>
      </w:tr>
      <w:tr w:rsidR="006B044F" w:rsidRPr="006B044F" w14:paraId="152C7D27" w14:textId="77777777" w:rsidTr="00F11B05">
        <w:tc>
          <w:tcPr>
            <w:tcW w:w="1701" w:type="dxa"/>
          </w:tcPr>
          <w:p w14:paraId="2D1B6143" w14:textId="77777777" w:rsidR="00751430" w:rsidRPr="006B044F" w:rsidRDefault="00751430" w:rsidP="00DE1055">
            <w:pPr>
              <w:spacing w:line="276" w:lineRule="auto"/>
            </w:pPr>
            <w:r w:rsidRPr="006B044F">
              <w:t>200</w:t>
            </w:r>
          </w:p>
        </w:tc>
        <w:tc>
          <w:tcPr>
            <w:tcW w:w="1701" w:type="dxa"/>
            <w:vAlign w:val="bottom"/>
          </w:tcPr>
          <w:p w14:paraId="0E6F0203" w14:textId="77777777" w:rsidR="00751430" w:rsidRPr="00C73D75" w:rsidRDefault="00751430" w:rsidP="00DE1055">
            <w:pPr>
              <w:spacing w:line="276" w:lineRule="auto"/>
            </w:pPr>
            <w:r w:rsidRPr="00C73D75">
              <w:t>117.90</w:t>
            </w:r>
          </w:p>
        </w:tc>
        <w:tc>
          <w:tcPr>
            <w:tcW w:w="1701" w:type="dxa"/>
            <w:vAlign w:val="bottom"/>
          </w:tcPr>
          <w:p w14:paraId="53ACE92E" w14:textId="77777777" w:rsidR="00751430" w:rsidRPr="006B044F" w:rsidRDefault="00751430" w:rsidP="00DE1055">
            <w:pPr>
              <w:spacing w:line="276" w:lineRule="auto"/>
              <w:rPr>
                <w:rFonts w:cs="Arial"/>
              </w:rPr>
            </w:pPr>
            <w:r w:rsidRPr="006B044F">
              <w:rPr>
                <w:rFonts w:cs="Arial"/>
              </w:rPr>
              <w:t>111.11</w:t>
            </w:r>
          </w:p>
        </w:tc>
        <w:tc>
          <w:tcPr>
            <w:tcW w:w="1375" w:type="dxa"/>
            <w:vAlign w:val="bottom"/>
          </w:tcPr>
          <w:p w14:paraId="2B7A7D7A" w14:textId="77777777" w:rsidR="00751430" w:rsidRPr="00C73D75" w:rsidRDefault="00751430" w:rsidP="00DE1055">
            <w:pPr>
              <w:spacing w:line="276" w:lineRule="auto"/>
              <w:rPr>
                <w:rFonts w:ascii="Calibri" w:hAnsi="Calibri"/>
              </w:rPr>
            </w:pPr>
            <w:r w:rsidRPr="00C73D75">
              <w:rPr>
                <w:rFonts w:ascii="Calibri" w:hAnsi="Calibri"/>
              </w:rPr>
              <w:t>5.76%</w:t>
            </w:r>
          </w:p>
        </w:tc>
      </w:tr>
      <w:tr w:rsidR="006B044F" w:rsidRPr="006B044F" w14:paraId="49F8E654" w14:textId="77777777" w:rsidTr="00F11B05">
        <w:tc>
          <w:tcPr>
            <w:tcW w:w="1701" w:type="dxa"/>
          </w:tcPr>
          <w:p w14:paraId="66C9EDC0" w14:textId="77777777" w:rsidR="00751430" w:rsidRPr="006B044F" w:rsidRDefault="00751430" w:rsidP="00DE1055">
            <w:pPr>
              <w:spacing w:line="276" w:lineRule="auto"/>
            </w:pPr>
            <w:r w:rsidRPr="006B044F">
              <w:t>300</w:t>
            </w:r>
          </w:p>
        </w:tc>
        <w:tc>
          <w:tcPr>
            <w:tcW w:w="1701" w:type="dxa"/>
            <w:vAlign w:val="bottom"/>
          </w:tcPr>
          <w:p w14:paraId="6BB2BB82" w14:textId="77777777" w:rsidR="00751430" w:rsidRPr="00C73D75" w:rsidRDefault="00751430" w:rsidP="00DE1055">
            <w:pPr>
              <w:spacing w:line="276" w:lineRule="auto"/>
            </w:pPr>
            <w:r w:rsidRPr="00C73D75">
              <w:t>170.51</w:t>
            </w:r>
          </w:p>
        </w:tc>
        <w:tc>
          <w:tcPr>
            <w:tcW w:w="1701" w:type="dxa"/>
            <w:vAlign w:val="bottom"/>
          </w:tcPr>
          <w:p w14:paraId="42D0657C" w14:textId="77777777" w:rsidR="00751430" w:rsidRPr="006B044F" w:rsidRDefault="00751430" w:rsidP="00DE1055">
            <w:pPr>
              <w:spacing w:line="276" w:lineRule="auto"/>
              <w:rPr>
                <w:rFonts w:cs="Arial"/>
              </w:rPr>
            </w:pPr>
            <w:r w:rsidRPr="006B044F">
              <w:rPr>
                <w:rFonts w:cs="Arial"/>
              </w:rPr>
              <w:t>157.89</w:t>
            </w:r>
          </w:p>
        </w:tc>
        <w:tc>
          <w:tcPr>
            <w:tcW w:w="1375" w:type="dxa"/>
            <w:vAlign w:val="bottom"/>
          </w:tcPr>
          <w:p w14:paraId="4FD2183E" w14:textId="77777777" w:rsidR="00751430" w:rsidRPr="00C73D75" w:rsidRDefault="00751430" w:rsidP="00DE1055">
            <w:pPr>
              <w:spacing w:line="276" w:lineRule="auto"/>
              <w:rPr>
                <w:rFonts w:ascii="Calibri" w:hAnsi="Calibri"/>
              </w:rPr>
            </w:pPr>
            <w:r w:rsidRPr="00C73D75">
              <w:rPr>
                <w:rFonts w:ascii="Calibri" w:hAnsi="Calibri"/>
              </w:rPr>
              <w:t>7.40%</w:t>
            </w:r>
          </w:p>
        </w:tc>
      </w:tr>
      <w:tr w:rsidR="006B044F" w:rsidRPr="006B044F" w14:paraId="7877D970" w14:textId="77777777" w:rsidTr="00F11B05">
        <w:tc>
          <w:tcPr>
            <w:tcW w:w="1701" w:type="dxa"/>
          </w:tcPr>
          <w:p w14:paraId="6CA8FC41" w14:textId="77777777" w:rsidR="00751430" w:rsidRPr="006B044F" w:rsidRDefault="00751430" w:rsidP="00DE1055">
            <w:pPr>
              <w:spacing w:line="276" w:lineRule="auto"/>
            </w:pPr>
            <w:r w:rsidRPr="006B044F">
              <w:t>400</w:t>
            </w:r>
          </w:p>
        </w:tc>
        <w:tc>
          <w:tcPr>
            <w:tcW w:w="1701" w:type="dxa"/>
            <w:vAlign w:val="bottom"/>
          </w:tcPr>
          <w:p w14:paraId="29E23E5A" w14:textId="77777777" w:rsidR="00751430" w:rsidRPr="00C73D75" w:rsidRDefault="00751430" w:rsidP="00DE1055">
            <w:pPr>
              <w:spacing w:line="276" w:lineRule="auto"/>
            </w:pPr>
            <w:r w:rsidRPr="00C73D75">
              <w:t>221.54</w:t>
            </w:r>
          </w:p>
        </w:tc>
        <w:tc>
          <w:tcPr>
            <w:tcW w:w="1701" w:type="dxa"/>
            <w:vAlign w:val="bottom"/>
          </w:tcPr>
          <w:p w14:paraId="677EDC88" w14:textId="77777777" w:rsidR="00751430" w:rsidRPr="006B044F" w:rsidRDefault="00751430" w:rsidP="00DE1055">
            <w:pPr>
              <w:spacing w:line="276" w:lineRule="auto"/>
              <w:rPr>
                <w:rFonts w:cs="Arial"/>
              </w:rPr>
            </w:pPr>
            <w:r w:rsidRPr="006B044F">
              <w:rPr>
                <w:rFonts w:cs="Arial"/>
              </w:rPr>
              <w:t>200.00</w:t>
            </w:r>
          </w:p>
        </w:tc>
        <w:tc>
          <w:tcPr>
            <w:tcW w:w="1375" w:type="dxa"/>
            <w:vAlign w:val="bottom"/>
          </w:tcPr>
          <w:p w14:paraId="08DF4572" w14:textId="77777777" w:rsidR="00751430" w:rsidRPr="00C73D75" w:rsidRDefault="00751430" w:rsidP="00DE1055">
            <w:pPr>
              <w:spacing w:line="276" w:lineRule="auto"/>
              <w:rPr>
                <w:rFonts w:ascii="Calibri" w:hAnsi="Calibri"/>
              </w:rPr>
            </w:pPr>
            <w:r w:rsidRPr="00C73D75">
              <w:rPr>
                <w:rFonts w:ascii="Calibri" w:hAnsi="Calibri"/>
              </w:rPr>
              <w:t>9.72%</w:t>
            </w:r>
          </w:p>
        </w:tc>
      </w:tr>
      <w:tr w:rsidR="006B044F" w:rsidRPr="006B044F" w14:paraId="32E68BA5" w14:textId="77777777" w:rsidTr="00F11B05">
        <w:tc>
          <w:tcPr>
            <w:tcW w:w="1701" w:type="dxa"/>
          </w:tcPr>
          <w:p w14:paraId="28DD9247" w14:textId="77777777" w:rsidR="00751430" w:rsidRPr="006B044F" w:rsidRDefault="00751430" w:rsidP="00DE1055">
            <w:pPr>
              <w:spacing w:line="276" w:lineRule="auto"/>
            </w:pPr>
            <w:r w:rsidRPr="006B044F">
              <w:t>500</w:t>
            </w:r>
          </w:p>
        </w:tc>
        <w:tc>
          <w:tcPr>
            <w:tcW w:w="1701" w:type="dxa"/>
            <w:vAlign w:val="bottom"/>
          </w:tcPr>
          <w:p w14:paraId="5741798B" w14:textId="77777777" w:rsidR="00751430" w:rsidRPr="00C73D75" w:rsidRDefault="00751430" w:rsidP="00DE1055">
            <w:pPr>
              <w:spacing w:line="276" w:lineRule="auto"/>
            </w:pPr>
            <w:r w:rsidRPr="00C73D75">
              <w:t>271.42</w:t>
            </w:r>
          </w:p>
        </w:tc>
        <w:tc>
          <w:tcPr>
            <w:tcW w:w="1701" w:type="dxa"/>
            <w:vAlign w:val="bottom"/>
          </w:tcPr>
          <w:p w14:paraId="05E0BBD7" w14:textId="77777777" w:rsidR="00751430" w:rsidRPr="006B044F" w:rsidRDefault="00751430" w:rsidP="00DE1055">
            <w:pPr>
              <w:spacing w:line="276" w:lineRule="auto"/>
              <w:rPr>
                <w:rFonts w:cs="Arial"/>
              </w:rPr>
            </w:pPr>
            <w:r w:rsidRPr="006B044F">
              <w:rPr>
                <w:rFonts w:cs="Arial"/>
              </w:rPr>
              <w:t>238.10</w:t>
            </w:r>
          </w:p>
        </w:tc>
        <w:tc>
          <w:tcPr>
            <w:tcW w:w="1375" w:type="dxa"/>
            <w:vAlign w:val="bottom"/>
          </w:tcPr>
          <w:p w14:paraId="1992E1A1" w14:textId="77777777" w:rsidR="00751430" w:rsidRPr="00C73D75" w:rsidRDefault="00751430" w:rsidP="00DE1055">
            <w:pPr>
              <w:spacing w:line="276" w:lineRule="auto"/>
              <w:rPr>
                <w:rFonts w:ascii="Calibri" w:hAnsi="Calibri"/>
              </w:rPr>
            </w:pPr>
            <w:r w:rsidRPr="00C73D75">
              <w:rPr>
                <w:rFonts w:ascii="Calibri" w:hAnsi="Calibri"/>
              </w:rPr>
              <w:t>12.28%</w:t>
            </w:r>
          </w:p>
        </w:tc>
      </w:tr>
      <w:tr w:rsidR="00751430" w:rsidRPr="006B044F" w14:paraId="79CDDF2F" w14:textId="77777777" w:rsidTr="00F11B05">
        <w:tc>
          <w:tcPr>
            <w:tcW w:w="1701" w:type="dxa"/>
          </w:tcPr>
          <w:p w14:paraId="51880E95" w14:textId="77777777" w:rsidR="00751430" w:rsidRPr="006B044F" w:rsidRDefault="00751430" w:rsidP="00DE1055">
            <w:pPr>
              <w:spacing w:line="276" w:lineRule="auto"/>
            </w:pPr>
            <w:r w:rsidRPr="006B044F">
              <w:t>600</w:t>
            </w:r>
          </w:p>
        </w:tc>
        <w:tc>
          <w:tcPr>
            <w:tcW w:w="1701" w:type="dxa"/>
            <w:vAlign w:val="bottom"/>
          </w:tcPr>
          <w:p w14:paraId="6BA45B91" w14:textId="77777777" w:rsidR="00751430" w:rsidRPr="00C73D75" w:rsidRDefault="00751430" w:rsidP="00DE1055">
            <w:pPr>
              <w:spacing w:line="276" w:lineRule="auto"/>
            </w:pPr>
            <w:r w:rsidRPr="00C73D75">
              <w:t>320.40</w:t>
            </w:r>
          </w:p>
        </w:tc>
        <w:tc>
          <w:tcPr>
            <w:tcW w:w="1701" w:type="dxa"/>
            <w:vAlign w:val="bottom"/>
          </w:tcPr>
          <w:p w14:paraId="1B59CA08" w14:textId="77777777" w:rsidR="00751430" w:rsidRPr="006B044F" w:rsidRDefault="00751430" w:rsidP="00DE1055">
            <w:pPr>
              <w:spacing w:line="276" w:lineRule="auto"/>
              <w:rPr>
                <w:rFonts w:cs="Arial"/>
              </w:rPr>
            </w:pPr>
            <w:r w:rsidRPr="006B044F">
              <w:rPr>
                <w:rFonts w:cs="Arial"/>
              </w:rPr>
              <w:t>285.71</w:t>
            </w:r>
          </w:p>
        </w:tc>
        <w:tc>
          <w:tcPr>
            <w:tcW w:w="1375" w:type="dxa"/>
            <w:vAlign w:val="bottom"/>
          </w:tcPr>
          <w:p w14:paraId="5EA84E3A" w14:textId="77777777" w:rsidR="00751430" w:rsidRPr="00C73D75" w:rsidRDefault="00751430" w:rsidP="00DE1055">
            <w:pPr>
              <w:spacing w:line="276" w:lineRule="auto"/>
              <w:rPr>
                <w:rFonts w:ascii="Calibri" w:hAnsi="Calibri"/>
              </w:rPr>
            </w:pPr>
            <w:r w:rsidRPr="00C73D75">
              <w:rPr>
                <w:rFonts w:ascii="Calibri" w:hAnsi="Calibri"/>
              </w:rPr>
              <w:t>10.83%</w:t>
            </w:r>
          </w:p>
        </w:tc>
      </w:tr>
    </w:tbl>
    <w:p w14:paraId="6A09A567" w14:textId="1FD5E038" w:rsidR="00E74E64" w:rsidRDefault="00E74E64">
      <w:pPr>
        <w:rPr>
          <w:b/>
        </w:rPr>
      </w:pPr>
    </w:p>
    <w:p w14:paraId="6B077D83" w14:textId="77777777" w:rsidR="00E74E64" w:rsidRDefault="00E74E64">
      <w:pPr>
        <w:rPr>
          <w:b/>
        </w:rPr>
      </w:pPr>
      <w:r>
        <w:rPr>
          <w:b/>
        </w:rPr>
        <w:br w:type="page"/>
      </w:r>
    </w:p>
    <w:p w14:paraId="361C09AC" w14:textId="77777777" w:rsidR="00E74E64" w:rsidRDefault="00E74E64">
      <w:pPr>
        <w:rPr>
          <w:b/>
        </w:rPr>
      </w:pPr>
      <w:r>
        <w:rPr>
          <w:b/>
        </w:rPr>
        <w:lastRenderedPageBreak/>
        <w:t>Fig. 1</w:t>
      </w:r>
    </w:p>
    <w:p w14:paraId="6F01627D" w14:textId="737BEFBB" w:rsidR="00E74E64" w:rsidRDefault="00E74E64">
      <w:pPr>
        <w:rPr>
          <w:b/>
        </w:rPr>
      </w:pPr>
      <w:r>
        <w:rPr>
          <w:b/>
          <w:noProof/>
          <w:lang w:val="en-US"/>
        </w:rPr>
        <w:drawing>
          <wp:inline distT="0" distB="0" distL="0" distR="0" wp14:anchorId="73272B0D" wp14:editId="1D1220C9">
            <wp:extent cx="2266950" cy="5876925"/>
            <wp:effectExtent l="0" t="0" r="0" b="9525"/>
            <wp:docPr id="1" name="Picture 1" descr="F:\Mark Hodson\PhD students\Jo Witton\Pesticide exposure paper\Final published version\PMS Manuscript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 Hodson\PhD students\Jo Witton\Pesticide exposure paper\Final published version\PMS Manuscript Figure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5876925"/>
                    </a:xfrm>
                    <a:prstGeom prst="rect">
                      <a:avLst/>
                    </a:prstGeom>
                    <a:noFill/>
                    <a:ln>
                      <a:noFill/>
                    </a:ln>
                  </pic:spPr>
                </pic:pic>
              </a:graphicData>
            </a:graphic>
          </wp:inline>
        </w:drawing>
      </w:r>
    </w:p>
    <w:p w14:paraId="740DC32C" w14:textId="77777777" w:rsidR="00E74E64" w:rsidRDefault="00E74E64" w:rsidP="00E74E64">
      <w:pPr>
        <w:spacing w:line="480" w:lineRule="auto"/>
      </w:pPr>
      <w:r w:rsidRPr="00C503DF">
        <w:t xml:space="preserve">Figure </w:t>
      </w:r>
      <w:r>
        <w:t>1. S</w:t>
      </w:r>
      <w:r w:rsidRPr="00C503DF">
        <w:t>chematic of the nested orchard sampling design showing the four spatial scales used for apple leaf residue and water sensitive paper analysis.</w:t>
      </w:r>
      <w:r>
        <w:t xml:space="preserve"> Each spatial scale is represented: (a) patch locations; (b) one patch consisting of three trees; (c) one tree consisting of three zones; (d) several samples within one zone.</w:t>
      </w:r>
    </w:p>
    <w:p w14:paraId="74A8C6DA" w14:textId="77777777" w:rsidR="00E74E64" w:rsidRDefault="00E74E64">
      <w:pPr>
        <w:rPr>
          <w:b/>
        </w:rPr>
      </w:pPr>
    </w:p>
    <w:p w14:paraId="42931693" w14:textId="5FF90353" w:rsidR="00E74E64" w:rsidRDefault="00E74E64">
      <w:pPr>
        <w:rPr>
          <w:b/>
        </w:rPr>
      </w:pPr>
      <w:r>
        <w:rPr>
          <w:b/>
        </w:rPr>
        <w:br w:type="page"/>
      </w:r>
    </w:p>
    <w:p w14:paraId="704ECBAC" w14:textId="77777777" w:rsidR="00E74E64" w:rsidRDefault="00E74E64">
      <w:pPr>
        <w:rPr>
          <w:b/>
        </w:rPr>
      </w:pPr>
      <w:r>
        <w:rPr>
          <w:b/>
        </w:rPr>
        <w:lastRenderedPageBreak/>
        <w:t>Fig. 2</w:t>
      </w:r>
    </w:p>
    <w:p w14:paraId="41C4976D" w14:textId="77777777" w:rsidR="00E74E64" w:rsidRDefault="00E74E64">
      <w:pPr>
        <w:rPr>
          <w:b/>
        </w:rPr>
      </w:pPr>
      <w:r>
        <w:rPr>
          <w:b/>
          <w:noProof/>
          <w:lang w:val="en-US"/>
        </w:rPr>
        <w:drawing>
          <wp:inline distT="0" distB="0" distL="0" distR="0" wp14:anchorId="3036AAFF" wp14:editId="6A832644">
            <wp:extent cx="4867275" cy="3381375"/>
            <wp:effectExtent l="0" t="0" r="9525" b="9525"/>
            <wp:docPr id="2" name="Picture 2" descr="F:\Mark Hodson\PhD students\Jo Witton\Pesticide exposure paper\Final published version\PMS Manuscript Figure 2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k Hodson\PhD students\Jo Witton\Pesticide exposure paper\Final published version\PMS Manuscript Figure 2 compress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7275" cy="3381375"/>
                    </a:xfrm>
                    <a:prstGeom prst="rect">
                      <a:avLst/>
                    </a:prstGeom>
                    <a:noFill/>
                    <a:ln>
                      <a:noFill/>
                    </a:ln>
                  </pic:spPr>
                </pic:pic>
              </a:graphicData>
            </a:graphic>
          </wp:inline>
        </w:drawing>
      </w:r>
    </w:p>
    <w:p w14:paraId="5E86D7D5" w14:textId="77777777" w:rsidR="00E74E64" w:rsidRDefault="00E74E64">
      <w:pPr>
        <w:rPr>
          <w:b/>
        </w:rPr>
      </w:pPr>
    </w:p>
    <w:p w14:paraId="5E7ABF13" w14:textId="77777777" w:rsidR="00E74E64" w:rsidRDefault="00E74E64" w:rsidP="00E74E64">
      <w:pPr>
        <w:rPr>
          <w:szCs w:val="24"/>
        </w:rPr>
      </w:pPr>
      <w:bookmarkStart w:id="64" w:name="_Hlk517363981"/>
      <w:r w:rsidRPr="00C503DF">
        <w:t xml:space="preserve">Figure </w:t>
      </w:r>
      <w:r>
        <w:t xml:space="preserve">2. </w:t>
      </w:r>
      <w:r w:rsidRPr="00C503DF">
        <w:t xml:space="preserve">Penconazole residues derived from GC-MS based on leaf mass </w:t>
      </w:r>
      <w:r>
        <w:t xml:space="preserve">(horizontal axis) </w:t>
      </w:r>
      <w:r w:rsidRPr="00C503DF">
        <w:t xml:space="preserve">and </w:t>
      </w:r>
      <w:r>
        <w:t xml:space="preserve">whole </w:t>
      </w:r>
      <w:r w:rsidRPr="00C503DF">
        <w:t>leaf upper surface area</w:t>
      </w:r>
      <w:r>
        <w:t xml:space="preserve"> (vertical axis)</w:t>
      </w:r>
      <w:r w:rsidRPr="00C503DF">
        <w:t xml:space="preserve">. </w:t>
      </w:r>
      <w:r>
        <w:t>Solid trend l</w:t>
      </w:r>
      <w:r w:rsidRPr="00C503DF">
        <w:t>ine shows regression with 95% confidence bands</w:t>
      </w:r>
      <w:r>
        <w:t xml:space="preserve"> (dotted lines)</w:t>
      </w:r>
      <w:r w:rsidRPr="00C503DF">
        <w:t>.</w:t>
      </w:r>
      <w:r>
        <w:rPr>
          <w:szCs w:val="24"/>
        </w:rPr>
        <w:t xml:space="preserve"> Regression:</w:t>
      </w:r>
      <w:r w:rsidRPr="006273E0">
        <w:rPr>
          <w:szCs w:val="24"/>
        </w:rPr>
        <w:t xml:space="preserve"> </w:t>
      </w:r>
      <w:r>
        <w:rPr>
          <w:szCs w:val="24"/>
        </w:rPr>
        <w:t xml:space="preserve">Y </w:t>
      </w:r>
      <w:r w:rsidRPr="006273E0">
        <w:rPr>
          <w:rFonts w:eastAsia="Times New Roman" w:cs="Arial"/>
          <w:szCs w:val="24"/>
          <w:lang w:eastAsia="en-GB"/>
        </w:rPr>
        <w:t>= 0.01675</w:t>
      </w:r>
      <w:r>
        <w:rPr>
          <w:rFonts w:eastAsia="Times New Roman" w:cs="Arial"/>
          <w:szCs w:val="24"/>
          <w:lang w:eastAsia="en-GB"/>
        </w:rPr>
        <w:t xml:space="preserve"> </w:t>
      </w:r>
      <w:r w:rsidRPr="00EC3655">
        <w:rPr>
          <w:rFonts w:eastAsia="Times New Roman" w:cs="Arial"/>
          <w:color w:val="FF0000"/>
          <w:szCs w:val="24"/>
          <w:lang w:eastAsia="en-GB"/>
        </w:rPr>
        <w:t>×</w:t>
      </w:r>
      <w:r>
        <w:rPr>
          <w:rFonts w:eastAsia="Times New Roman" w:cs="Arial"/>
          <w:szCs w:val="24"/>
          <w:lang w:eastAsia="en-GB"/>
        </w:rPr>
        <w:t xml:space="preserve"> X</w:t>
      </w:r>
      <w:r w:rsidRPr="006273E0">
        <w:rPr>
          <w:rFonts w:eastAsia="Times New Roman" w:cs="Arial"/>
          <w:szCs w:val="24"/>
          <w:lang w:eastAsia="en-GB"/>
        </w:rPr>
        <w:t xml:space="preserve"> + 0.005528.</w:t>
      </w:r>
      <w:r w:rsidRPr="006273E0">
        <w:rPr>
          <w:szCs w:val="24"/>
        </w:rPr>
        <w:t xml:space="preserve"> </w:t>
      </w:r>
      <w:r>
        <w:rPr>
          <w:rFonts w:eastAsia="Times New Roman" w:cs="Arial"/>
          <w:szCs w:val="24"/>
          <w:lang w:eastAsia="en-GB"/>
        </w:rPr>
        <w:t>R</w:t>
      </w:r>
      <w:r w:rsidRPr="00284312">
        <w:rPr>
          <w:rFonts w:eastAsia="Times New Roman" w:cs="Arial"/>
          <w:szCs w:val="24"/>
          <w:vertAlign w:val="superscript"/>
          <w:lang w:eastAsia="en-GB"/>
        </w:rPr>
        <w:t>2</w:t>
      </w:r>
      <w:r>
        <w:rPr>
          <w:rFonts w:eastAsia="Times New Roman" w:cs="Arial"/>
          <w:szCs w:val="24"/>
          <w:lang w:eastAsia="en-GB"/>
        </w:rPr>
        <w:t xml:space="preserve"> = 0.65; P &lt; 0.0001;</w:t>
      </w:r>
      <w:r w:rsidRPr="006273E0">
        <w:rPr>
          <w:szCs w:val="24"/>
        </w:rPr>
        <w:t xml:space="preserve"> </w:t>
      </w:r>
      <w:r w:rsidRPr="006273E0">
        <w:rPr>
          <w:i/>
          <w:szCs w:val="24"/>
        </w:rPr>
        <w:t>n</w:t>
      </w:r>
      <w:r w:rsidRPr="006273E0">
        <w:rPr>
          <w:szCs w:val="24"/>
        </w:rPr>
        <w:t xml:space="preserve"> = 135</w:t>
      </w:r>
    </w:p>
    <w:bookmarkEnd w:id="64"/>
    <w:p w14:paraId="6F8F6F25" w14:textId="33BFC21E" w:rsidR="00E74E64" w:rsidRDefault="00E74E64">
      <w:pPr>
        <w:rPr>
          <w:b/>
        </w:rPr>
      </w:pPr>
      <w:r>
        <w:rPr>
          <w:b/>
        </w:rPr>
        <w:br w:type="page"/>
      </w:r>
    </w:p>
    <w:p w14:paraId="588CD297" w14:textId="77777777" w:rsidR="00E74E64" w:rsidRDefault="00E74E64">
      <w:pPr>
        <w:rPr>
          <w:b/>
        </w:rPr>
      </w:pPr>
      <w:r>
        <w:rPr>
          <w:b/>
        </w:rPr>
        <w:lastRenderedPageBreak/>
        <w:t>Fig. 3.</w:t>
      </w:r>
    </w:p>
    <w:p w14:paraId="51F42C87" w14:textId="77777777" w:rsidR="00E74E64" w:rsidRDefault="00E74E64">
      <w:pPr>
        <w:rPr>
          <w:b/>
        </w:rPr>
      </w:pPr>
      <w:r>
        <w:rPr>
          <w:b/>
          <w:noProof/>
          <w:lang w:val="en-US"/>
        </w:rPr>
        <w:drawing>
          <wp:inline distT="0" distB="0" distL="0" distR="0" wp14:anchorId="77C173C4" wp14:editId="7179AF1C">
            <wp:extent cx="5734050" cy="2628900"/>
            <wp:effectExtent l="0" t="0" r="0" b="0"/>
            <wp:docPr id="3" name="Picture 3" descr="F:\Mark Hodson\PhD students\Jo Witton\Pesticide exposure paper\Final published version\PMS Manuscript Figure 3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rk Hodson\PhD students\Jo Witton\Pesticide exposure paper\Final published version\PMS Manuscript Figure 3 compress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2628900"/>
                    </a:xfrm>
                    <a:prstGeom prst="rect">
                      <a:avLst/>
                    </a:prstGeom>
                    <a:noFill/>
                    <a:ln>
                      <a:noFill/>
                    </a:ln>
                  </pic:spPr>
                </pic:pic>
              </a:graphicData>
            </a:graphic>
          </wp:inline>
        </w:drawing>
      </w:r>
    </w:p>
    <w:p w14:paraId="0B7B8E66" w14:textId="77777777" w:rsidR="00E74E64" w:rsidRDefault="00E74E64">
      <w:pPr>
        <w:rPr>
          <w:b/>
        </w:rPr>
      </w:pPr>
    </w:p>
    <w:p w14:paraId="271CA0E8" w14:textId="68B19668" w:rsidR="00E74E64" w:rsidRDefault="00E74E64">
      <w:pPr>
        <w:rPr>
          <w:b/>
        </w:rPr>
      </w:pPr>
      <w:r>
        <w:t>Figure 3.</w:t>
      </w:r>
      <w:r w:rsidRPr="00C503DF">
        <w:t xml:space="preserve"> Comparison of penconazole residue values based on surface area derived from leaf residue samples analysed via GC-MS and water sensitive paper (WSP) samples analysed via DepositScan image analysis with no correction factor (a) and with a correction factor applied</w:t>
      </w:r>
      <w:r>
        <w:t xml:space="preserve"> to individual data points</w:t>
      </w:r>
      <w:r w:rsidRPr="00C503DF">
        <w:t xml:space="preserve"> (b). The horizontal</w:t>
      </w:r>
      <w:r>
        <w:t xml:space="preserve"> middle, lower and upper</w:t>
      </w:r>
      <w:r w:rsidRPr="00C503DF">
        <w:t xml:space="preserve"> line</w:t>
      </w:r>
      <w:r>
        <w:t>s</w:t>
      </w:r>
      <w:r w:rsidRPr="00C503DF">
        <w:t xml:space="preserve"> within each box indicate mean</w:t>
      </w:r>
      <w:r>
        <w:t>, 25</w:t>
      </w:r>
      <w:r w:rsidRPr="00D65C47">
        <w:rPr>
          <w:vertAlign w:val="superscript"/>
        </w:rPr>
        <w:t>th</w:t>
      </w:r>
      <w:r>
        <w:t xml:space="preserve"> and 75</w:t>
      </w:r>
      <w:r w:rsidRPr="00D65C47">
        <w:rPr>
          <w:vertAlign w:val="superscript"/>
        </w:rPr>
        <w:t>th</w:t>
      </w:r>
      <w:r>
        <w:t xml:space="preserve"> percentiles</w:t>
      </w:r>
      <w:r w:rsidRPr="00C503DF">
        <w:t xml:space="preserve">; </w:t>
      </w:r>
      <w:r>
        <w:t xml:space="preserve">caps at the top of the </w:t>
      </w:r>
      <w:r w:rsidRPr="00C503DF">
        <w:t xml:space="preserve">vertical lines </w:t>
      </w:r>
      <w:r>
        <w:t>indicate the</w:t>
      </w:r>
      <w:r w:rsidRPr="00C503DF">
        <w:t xml:space="preserve"> 5</w:t>
      </w:r>
      <w:r w:rsidRPr="00C503DF">
        <w:rPr>
          <w:vertAlign w:val="superscript"/>
        </w:rPr>
        <w:t>th</w:t>
      </w:r>
      <w:r w:rsidRPr="00C503DF">
        <w:t xml:space="preserve"> and 95</w:t>
      </w:r>
      <w:r w:rsidRPr="00C503DF">
        <w:rPr>
          <w:vertAlign w:val="superscript"/>
        </w:rPr>
        <w:t>th</w:t>
      </w:r>
      <w:r w:rsidRPr="00C503DF">
        <w:t xml:space="preserve"> percentiles; dots depict extreme data points</w:t>
      </w:r>
      <w:r>
        <w:t xml:space="preserve"> (i.e. values less than 25</w:t>
      </w:r>
      <w:r w:rsidRPr="000448D8">
        <w:rPr>
          <w:vertAlign w:val="superscript"/>
        </w:rPr>
        <w:t>th</w:t>
      </w:r>
      <w:r>
        <w:t xml:space="preserve"> Percentile - 1.5 x inter-quartile distance, or greater than 75</w:t>
      </w:r>
      <w:r w:rsidRPr="000448D8">
        <w:rPr>
          <w:vertAlign w:val="superscript"/>
        </w:rPr>
        <w:t>th</w:t>
      </w:r>
      <w:r>
        <w:t xml:space="preserve"> Percentile + 1.5 x inter-quartile distance)</w:t>
      </w:r>
      <w:r w:rsidRPr="00C503DF">
        <w:t xml:space="preserve">. </w:t>
      </w:r>
      <w:r w:rsidRPr="00C503DF">
        <w:rPr>
          <w:i/>
        </w:rPr>
        <w:t>n</w:t>
      </w:r>
      <w:r w:rsidRPr="00C503DF">
        <w:t xml:space="preserve"> = 90; 61</w:t>
      </w:r>
      <w:r>
        <w:rPr>
          <w:b/>
        </w:rPr>
        <w:br w:type="page"/>
      </w:r>
    </w:p>
    <w:p w14:paraId="302ACB5F" w14:textId="77777777" w:rsidR="00E74E64" w:rsidRDefault="00E74E64">
      <w:pPr>
        <w:rPr>
          <w:b/>
        </w:rPr>
      </w:pPr>
      <w:r>
        <w:rPr>
          <w:b/>
        </w:rPr>
        <w:lastRenderedPageBreak/>
        <w:t>Fig. 4</w:t>
      </w:r>
    </w:p>
    <w:p w14:paraId="5629BDAE" w14:textId="77777777" w:rsidR="00E74E64" w:rsidRDefault="00E74E64">
      <w:pPr>
        <w:rPr>
          <w:b/>
        </w:rPr>
      </w:pPr>
      <w:r>
        <w:rPr>
          <w:b/>
          <w:noProof/>
          <w:lang w:val="en-US"/>
        </w:rPr>
        <w:drawing>
          <wp:inline distT="0" distB="0" distL="0" distR="0" wp14:anchorId="7DEADF97" wp14:editId="31B2C933">
            <wp:extent cx="5724525" cy="3143250"/>
            <wp:effectExtent l="0" t="0" r="9525" b="0"/>
            <wp:docPr id="4" name="Picture 4" descr="F:\Mark Hodson\PhD students\Jo Witton\Pesticide exposure paper\Final published version\PMS Manuscript Figure 4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rk Hodson\PhD students\Jo Witton\Pesticide exposure paper\Final published version\PMS Manuscript Figure 4 compress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14:paraId="5A3DAAAE" w14:textId="77777777" w:rsidR="00E74E64" w:rsidRDefault="00E74E64">
      <w:pPr>
        <w:rPr>
          <w:b/>
        </w:rPr>
      </w:pPr>
    </w:p>
    <w:p w14:paraId="6D074AE1" w14:textId="77777777" w:rsidR="00E74E64" w:rsidRDefault="00E74E64" w:rsidP="00E74E64">
      <w:pPr>
        <w:spacing w:line="480" w:lineRule="auto"/>
      </w:pPr>
      <w:r w:rsidRPr="00C503DF">
        <w:t xml:space="preserve">Figure </w:t>
      </w:r>
      <w:r>
        <w:t>4.</w:t>
      </w:r>
      <w:r w:rsidRPr="00C503DF">
        <w:t xml:space="preserve"> (a) Deposition values calculated from the same artificial stain using the default DepositScan spread factor and an alternative spread factor that varies based on stain diameter. </w:t>
      </w:r>
      <w:r w:rsidRPr="00C503DF">
        <w:rPr>
          <w:i/>
        </w:rPr>
        <w:t>n</w:t>
      </w:r>
      <w:r w:rsidRPr="00C503DF">
        <w:t xml:space="preserve"> = 33 (b) Deposition values calculated by DepositScan </w:t>
      </w:r>
      <w:r>
        <w:t xml:space="preserve">using the default DepositScan spread factor, </w:t>
      </w:r>
      <w:r w:rsidRPr="00C503DF">
        <w:t xml:space="preserve">based on whether two artificial circular stains of the same size touch or not. </w:t>
      </w:r>
      <w:r w:rsidRPr="00C503DF">
        <w:rPr>
          <w:i/>
        </w:rPr>
        <w:t xml:space="preserve">n </w:t>
      </w:r>
      <w:r>
        <w:t>= 33.</w:t>
      </w:r>
    </w:p>
    <w:p w14:paraId="68412439" w14:textId="4D6FEF57" w:rsidR="00E74E64" w:rsidRDefault="00E74E64">
      <w:pPr>
        <w:rPr>
          <w:b/>
        </w:rPr>
      </w:pPr>
      <w:r>
        <w:rPr>
          <w:b/>
        </w:rPr>
        <w:br w:type="page"/>
      </w:r>
    </w:p>
    <w:p w14:paraId="559AB3B6" w14:textId="6CE29C2D" w:rsidR="001242A8" w:rsidRDefault="00E74E64">
      <w:pPr>
        <w:rPr>
          <w:b/>
        </w:rPr>
      </w:pPr>
      <w:r>
        <w:rPr>
          <w:b/>
        </w:rPr>
        <w:lastRenderedPageBreak/>
        <w:t>Fig. 5</w:t>
      </w:r>
    </w:p>
    <w:p w14:paraId="4C8E69A6" w14:textId="2CB9FEC4" w:rsidR="00E74E64" w:rsidRDefault="00E74E64">
      <w:pPr>
        <w:rPr>
          <w:b/>
        </w:rPr>
      </w:pPr>
      <w:r>
        <w:rPr>
          <w:b/>
          <w:noProof/>
          <w:lang w:val="en-US"/>
        </w:rPr>
        <w:drawing>
          <wp:inline distT="0" distB="0" distL="0" distR="0" wp14:anchorId="1894D9A9" wp14:editId="370C1AFC">
            <wp:extent cx="3867150" cy="3143250"/>
            <wp:effectExtent l="0" t="0" r="0" b="0"/>
            <wp:docPr id="5" name="Picture 5" descr="F:\Mark Hodson\PhD students\Jo Witton\Pesticide exposure paper\Final published version\PMS Manuscript Figure 5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ark Hodson\PhD students\Jo Witton\Pesticide exposure paper\Final published version\PMS Manuscript Figure 5 compresse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67150" cy="3143250"/>
                    </a:xfrm>
                    <a:prstGeom prst="rect">
                      <a:avLst/>
                    </a:prstGeom>
                    <a:noFill/>
                    <a:ln>
                      <a:noFill/>
                    </a:ln>
                  </pic:spPr>
                </pic:pic>
              </a:graphicData>
            </a:graphic>
          </wp:inline>
        </w:drawing>
      </w:r>
    </w:p>
    <w:p w14:paraId="766F5EF8" w14:textId="4A7A5D73" w:rsidR="00E74E64" w:rsidRDefault="00E74E64">
      <w:pPr>
        <w:rPr>
          <w:b/>
        </w:rPr>
      </w:pPr>
    </w:p>
    <w:p w14:paraId="6682A69F" w14:textId="77777777" w:rsidR="00E74E64" w:rsidRPr="00C503DF" w:rsidRDefault="00E74E64" w:rsidP="00E74E64">
      <w:pPr>
        <w:spacing w:line="480" w:lineRule="auto"/>
      </w:pPr>
      <w:r w:rsidRPr="00C503DF">
        <w:t xml:space="preserve">Figure </w:t>
      </w:r>
      <w:r>
        <w:t>5.</w:t>
      </w:r>
      <w:r w:rsidRPr="00C503DF">
        <w:t xml:space="preserve"> Distribution of droplet diameters as a function of spray proportion </w:t>
      </w:r>
      <w:r>
        <w:t>on water sensitive papers from Patch A. Error b</w:t>
      </w:r>
      <w:r w:rsidRPr="00C503DF">
        <w:t>ars show 95% confidence intervals (</w:t>
      </w:r>
      <w:r w:rsidRPr="00C503DF">
        <w:rPr>
          <w:i/>
        </w:rPr>
        <w:t>n</w:t>
      </w:r>
      <w:r w:rsidRPr="00C503DF">
        <w:t xml:space="preserve"> = 70)</w:t>
      </w:r>
    </w:p>
    <w:p w14:paraId="535FE8CE" w14:textId="77777777" w:rsidR="00E74E64" w:rsidRPr="006B044F" w:rsidRDefault="00E74E64">
      <w:pPr>
        <w:rPr>
          <w:b/>
        </w:rPr>
      </w:pPr>
      <w:bookmarkStart w:id="65" w:name="_GoBack"/>
      <w:bookmarkEnd w:id="65"/>
    </w:p>
    <w:sectPr w:rsidR="00E74E64" w:rsidRPr="006B044F" w:rsidSect="008D2CE2">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CA00" w14:textId="77777777" w:rsidR="00745174" w:rsidRDefault="00745174" w:rsidP="00443B6F">
      <w:pPr>
        <w:spacing w:after="0" w:line="240" w:lineRule="auto"/>
      </w:pPr>
      <w:r>
        <w:separator/>
      </w:r>
    </w:p>
  </w:endnote>
  <w:endnote w:type="continuationSeparator" w:id="0">
    <w:p w14:paraId="2A5F23E2" w14:textId="77777777" w:rsidR="00745174" w:rsidRDefault="00745174" w:rsidP="0044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9267"/>
      <w:docPartObj>
        <w:docPartGallery w:val="Page Numbers (Bottom of Page)"/>
        <w:docPartUnique/>
      </w:docPartObj>
    </w:sdtPr>
    <w:sdtEndPr>
      <w:rPr>
        <w:noProof/>
      </w:rPr>
    </w:sdtEndPr>
    <w:sdtContent>
      <w:p w14:paraId="1A8002EE" w14:textId="601A5ED9" w:rsidR="008C126B" w:rsidRDefault="008C126B">
        <w:pPr>
          <w:pStyle w:val="Footer"/>
          <w:jc w:val="right"/>
        </w:pPr>
        <w:r>
          <w:fldChar w:fldCharType="begin"/>
        </w:r>
        <w:r>
          <w:instrText xml:space="preserve"> PAGE   \* MERGEFORMAT </w:instrText>
        </w:r>
        <w:r>
          <w:fldChar w:fldCharType="separate"/>
        </w:r>
        <w:r w:rsidR="00E74E64">
          <w:rPr>
            <w:noProof/>
          </w:rPr>
          <w:t>41</w:t>
        </w:r>
        <w:r>
          <w:rPr>
            <w:noProof/>
          </w:rPr>
          <w:fldChar w:fldCharType="end"/>
        </w:r>
      </w:p>
    </w:sdtContent>
  </w:sdt>
  <w:p w14:paraId="3BFD3635" w14:textId="77777777" w:rsidR="008C126B" w:rsidRDefault="008C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578849"/>
      <w:docPartObj>
        <w:docPartGallery w:val="Page Numbers (Bottom of Page)"/>
        <w:docPartUnique/>
      </w:docPartObj>
    </w:sdtPr>
    <w:sdtEndPr>
      <w:rPr>
        <w:noProof/>
      </w:rPr>
    </w:sdtEndPr>
    <w:sdtContent>
      <w:p w14:paraId="5D67A423" w14:textId="77777777" w:rsidR="008C126B" w:rsidRDefault="008C126B" w:rsidP="00174683">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6C10C547" w14:textId="77777777" w:rsidR="008C126B" w:rsidRDefault="008C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BCFF0" w14:textId="77777777" w:rsidR="00745174" w:rsidRDefault="00745174" w:rsidP="00443B6F">
      <w:pPr>
        <w:spacing w:after="0" w:line="240" w:lineRule="auto"/>
      </w:pPr>
      <w:r>
        <w:separator/>
      </w:r>
    </w:p>
  </w:footnote>
  <w:footnote w:type="continuationSeparator" w:id="0">
    <w:p w14:paraId="627F0C9D" w14:textId="77777777" w:rsidR="00745174" w:rsidRDefault="00745174" w:rsidP="00443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3380"/>
    <w:multiLevelType w:val="hybridMultilevel"/>
    <w:tmpl w:val="D6E4845E"/>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1" w15:restartNumberingAfterBreak="0">
    <w:nsid w:val="121C676B"/>
    <w:multiLevelType w:val="hybridMultilevel"/>
    <w:tmpl w:val="2E888458"/>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2" w15:restartNumberingAfterBreak="0">
    <w:nsid w:val="53C85501"/>
    <w:multiLevelType w:val="multilevel"/>
    <w:tmpl w:val="A75CF030"/>
    <w:lvl w:ilvl="0">
      <w:start w:val="1"/>
      <w:numFmt w:val="decimal"/>
      <w:lvlText w:val="%1."/>
      <w:lvlJc w:val="left"/>
      <w:pPr>
        <w:ind w:left="581" w:hanging="360"/>
      </w:pPr>
      <w:rPr>
        <w:rFonts w:hint="default"/>
      </w:rPr>
    </w:lvl>
    <w:lvl w:ilvl="1">
      <w:start w:val="1"/>
      <w:numFmt w:val="decimal"/>
      <w:isLgl/>
      <w:lvlText w:val="%1.%2"/>
      <w:lvlJc w:val="left"/>
      <w:pPr>
        <w:ind w:left="641" w:hanging="42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1661"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vzs5aa4xvdeiewzwbp2zrp05dfrwvdzasx&quot;&gt;PANTA&lt;record-ids&gt;&lt;item&gt;1215&lt;/item&gt;&lt;/record-ids&gt;&lt;/item&gt;&lt;/Libraries&gt;"/>
  </w:docVars>
  <w:rsids>
    <w:rsidRoot w:val="00647943"/>
    <w:rsid w:val="00014D6F"/>
    <w:rsid w:val="00021BBC"/>
    <w:rsid w:val="000327A0"/>
    <w:rsid w:val="000328B5"/>
    <w:rsid w:val="00041AD0"/>
    <w:rsid w:val="00042C96"/>
    <w:rsid w:val="000448D8"/>
    <w:rsid w:val="000534F7"/>
    <w:rsid w:val="00062E05"/>
    <w:rsid w:val="00062FA0"/>
    <w:rsid w:val="00065081"/>
    <w:rsid w:val="000667CE"/>
    <w:rsid w:val="00066830"/>
    <w:rsid w:val="00067B29"/>
    <w:rsid w:val="00076707"/>
    <w:rsid w:val="00077FB8"/>
    <w:rsid w:val="0008483E"/>
    <w:rsid w:val="00085413"/>
    <w:rsid w:val="00091523"/>
    <w:rsid w:val="000A005B"/>
    <w:rsid w:val="000A2093"/>
    <w:rsid w:val="000A4E2A"/>
    <w:rsid w:val="000B60B1"/>
    <w:rsid w:val="000C12E3"/>
    <w:rsid w:val="000C42DE"/>
    <w:rsid w:val="000C45E0"/>
    <w:rsid w:val="000D0E8A"/>
    <w:rsid w:val="000D6A62"/>
    <w:rsid w:val="000E0B8C"/>
    <w:rsid w:val="000E35D1"/>
    <w:rsid w:val="000F4F89"/>
    <w:rsid w:val="000F5290"/>
    <w:rsid w:val="001014CA"/>
    <w:rsid w:val="00104DB4"/>
    <w:rsid w:val="0011063A"/>
    <w:rsid w:val="001147E1"/>
    <w:rsid w:val="0011548F"/>
    <w:rsid w:val="00115663"/>
    <w:rsid w:val="00116E62"/>
    <w:rsid w:val="0012231F"/>
    <w:rsid w:val="00123EA8"/>
    <w:rsid w:val="001242A8"/>
    <w:rsid w:val="00125458"/>
    <w:rsid w:val="00126A99"/>
    <w:rsid w:val="00133260"/>
    <w:rsid w:val="00134074"/>
    <w:rsid w:val="0013420D"/>
    <w:rsid w:val="001356E2"/>
    <w:rsid w:val="001403FB"/>
    <w:rsid w:val="00141956"/>
    <w:rsid w:val="00141CCA"/>
    <w:rsid w:val="0014262C"/>
    <w:rsid w:val="001444B6"/>
    <w:rsid w:val="00147AFA"/>
    <w:rsid w:val="00150DFD"/>
    <w:rsid w:val="0015593F"/>
    <w:rsid w:val="00155EE4"/>
    <w:rsid w:val="001625F6"/>
    <w:rsid w:val="00166BE0"/>
    <w:rsid w:val="00167CB3"/>
    <w:rsid w:val="00170A7B"/>
    <w:rsid w:val="00174683"/>
    <w:rsid w:val="0017592D"/>
    <w:rsid w:val="00181C1C"/>
    <w:rsid w:val="00181CD5"/>
    <w:rsid w:val="00196867"/>
    <w:rsid w:val="001A4D2B"/>
    <w:rsid w:val="001A5A7C"/>
    <w:rsid w:val="001A6C89"/>
    <w:rsid w:val="001B3341"/>
    <w:rsid w:val="001C6804"/>
    <w:rsid w:val="001C760A"/>
    <w:rsid w:val="001D0EC1"/>
    <w:rsid w:val="001D0F6F"/>
    <w:rsid w:val="001D31D4"/>
    <w:rsid w:val="001D3440"/>
    <w:rsid w:val="001D50D2"/>
    <w:rsid w:val="001E319B"/>
    <w:rsid w:val="001E62E5"/>
    <w:rsid w:val="001F4ACE"/>
    <w:rsid w:val="001F5DA0"/>
    <w:rsid w:val="001F7BA2"/>
    <w:rsid w:val="00202F8F"/>
    <w:rsid w:val="00210056"/>
    <w:rsid w:val="00213623"/>
    <w:rsid w:val="00216225"/>
    <w:rsid w:val="00220797"/>
    <w:rsid w:val="00224C55"/>
    <w:rsid w:val="002459D2"/>
    <w:rsid w:val="00257536"/>
    <w:rsid w:val="00263910"/>
    <w:rsid w:val="00263C22"/>
    <w:rsid w:val="002649BA"/>
    <w:rsid w:val="00270279"/>
    <w:rsid w:val="0027183F"/>
    <w:rsid w:val="0027309D"/>
    <w:rsid w:val="00274D82"/>
    <w:rsid w:val="00282A6B"/>
    <w:rsid w:val="00284312"/>
    <w:rsid w:val="002901DF"/>
    <w:rsid w:val="00296A98"/>
    <w:rsid w:val="00297B48"/>
    <w:rsid w:val="002A0E86"/>
    <w:rsid w:val="002A5E62"/>
    <w:rsid w:val="002B42BE"/>
    <w:rsid w:val="002B4CC1"/>
    <w:rsid w:val="002D0F9D"/>
    <w:rsid w:val="002D432B"/>
    <w:rsid w:val="002D7678"/>
    <w:rsid w:val="002D7D07"/>
    <w:rsid w:val="002E4477"/>
    <w:rsid w:val="002E44E5"/>
    <w:rsid w:val="002E504D"/>
    <w:rsid w:val="002F5BF8"/>
    <w:rsid w:val="003016FC"/>
    <w:rsid w:val="003026CA"/>
    <w:rsid w:val="0030341A"/>
    <w:rsid w:val="00306379"/>
    <w:rsid w:val="00313B36"/>
    <w:rsid w:val="00314232"/>
    <w:rsid w:val="0032723A"/>
    <w:rsid w:val="003300B8"/>
    <w:rsid w:val="00331BD2"/>
    <w:rsid w:val="00341C51"/>
    <w:rsid w:val="00341FCB"/>
    <w:rsid w:val="0035660B"/>
    <w:rsid w:val="00357068"/>
    <w:rsid w:val="0036006C"/>
    <w:rsid w:val="00361047"/>
    <w:rsid w:val="00366E2B"/>
    <w:rsid w:val="003679E7"/>
    <w:rsid w:val="003723FF"/>
    <w:rsid w:val="00372E98"/>
    <w:rsid w:val="003805B0"/>
    <w:rsid w:val="00380D05"/>
    <w:rsid w:val="00383E9C"/>
    <w:rsid w:val="00384232"/>
    <w:rsid w:val="00387724"/>
    <w:rsid w:val="00391C87"/>
    <w:rsid w:val="00396E60"/>
    <w:rsid w:val="003A3671"/>
    <w:rsid w:val="003A3EE1"/>
    <w:rsid w:val="003B1FA1"/>
    <w:rsid w:val="003B2703"/>
    <w:rsid w:val="003B343B"/>
    <w:rsid w:val="003B476E"/>
    <w:rsid w:val="003B55ED"/>
    <w:rsid w:val="003B6B4A"/>
    <w:rsid w:val="003C3B86"/>
    <w:rsid w:val="003C4E92"/>
    <w:rsid w:val="003C5EB4"/>
    <w:rsid w:val="003C67F4"/>
    <w:rsid w:val="003C7E62"/>
    <w:rsid w:val="003D1A38"/>
    <w:rsid w:val="003D1B51"/>
    <w:rsid w:val="003E1E13"/>
    <w:rsid w:val="003E3D52"/>
    <w:rsid w:val="003E4733"/>
    <w:rsid w:val="003E4A37"/>
    <w:rsid w:val="003E5D5A"/>
    <w:rsid w:val="003E6615"/>
    <w:rsid w:val="003E67D7"/>
    <w:rsid w:val="003F0D62"/>
    <w:rsid w:val="003F6423"/>
    <w:rsid w:val="003F73FA"/>
    <w:rsid w:val="00400100"/>
    <w:rsid w:val="004005B2"/>
    <w:rsid w:val="004016F1"/>
    <w:rsid w:val="00403075"/>
    <w:rsid w:val="0040714C"/>
    <w:rsid w:val="00413799"/>
    <w:rsid w:val="00425804"/>
    <w:rsid w:val="00431219"/>
    <w:rsid w:val="004355DC"/>
    <w:rsid w:val="00443B6F"/>
    <w:rsid w:val="00443D1F"/>
    <w:rsid w:val="00444F3B"/>
    <w:rsid w:val="004462F4"/>
    <w:rsid w:val="004502F4"/>
    <w:rsid w:val="0045379C"/>
    <w:rsid w:val="00456561"/>
    <w:rsid w:val="00457F0D"/>
    <w:rsid w:val="0046162D"/>
    <w:rsid w:val="00461FDD"/>
    <w:rsid w:val="004638BF"/>
    <w:rsid w:val="00463A6B"/>
    <w:rsid w:val="00473302"/>
    <w:rsid w:val="00483489"/>
    <w:rsid w:val="0048543B"/>
    <w:rsid w:val="00485C4E"/>
    <w:rsid w:val="004869AA"/>
    <w:rsid w:val="00487849"/>
    <w:rsid w:val="004912F8"/>
    <w:rsid w:val="0049232C"/>
    <w:rsid w:val="004942E5"/>
    <w:rsid w:val="004A034A"/>
    <w:rsid w:val="004A47FA"/>
    <w:rsid w:val="004A6BF0"/>
    <w:rsid w:val="004D0695"/>
    <w:rsid w:val="004D0B54"/>
    <w:rsid w:val="004D14E4"/>
    <w:rsid w:val="004E01D8"/>
    <w:rsid w:val="004E0F5B"/>
    <w:rsid w:val="004E2709"/>
    <w:rsid w:val="004E33A4"/>
    <w:rsid w:val="004E4CBE"/>
    <w:rsid w:val="004E58D8"/>
    <w:rsid w:val="004F5438"/>
    <w:rsid w:val="00511292"/>
    <w:rsid w:val="0052086D"/>
    <w:rsid w:val="00521CDA"/>
    <w:rsid w:val="0052301A"/>
    <w:rsid w:val="005268DF"/>
    <w:rsid w:val="005303A3"/>
    <w:rsid w:val="00532271"/>
    <w:rsid w:val="00535E46"/>
    <w:rsid w:val="005361A0"/>
    <w:rsid w:val="005475DB"/>
    <w:rsid w:val="00547CAC"/>
    <w:rsid w:val="0055072B"/>
    <w:rsid w:val="005513CF"/>
    <w:rsid w:val="00551BDE"/>
    <w:rsid w:val="0055588E"/>
    <w:rsid w:val="00564F3C"/>
    <w:rsid w:val="005679BB"/>
    <w:rsid w:val="005715A8"/>
    <w:rsid w:val="00572B47"/>
    <w:rsid w:val="0057570F"/>
    <w:rsid w:val="00586485"/>
    <w:rsid w:val="005873F3"/>
    <w:rsid w:val="005A1BC1"/>
    <w:rsid w:val="005B0B20"/>
    <w:rsid w:val="005B0B87"/>
    <w:rsid w:val="005B6CD5"/>
    <w:rsid w:val="005B6E07"/>
    <w:rsid w:val="005C1B33"/>
    <w:rsid w:val="005D29E2"/>
    <w:rsid w:val="005D2EC1"/>
    <w:rsid w:val="005E1FC5"/>
    <w:rsid w:val="005E3F26"/>
    <w:rsid w:val="005E65E9"/>
    <w:rsid w:val="005F1046"/>
    <w:rsid w:val="00601C72"/>
    <w:rsid w:val="00611611"/>
    <w:rsid w:val="006273E0"/>
    <w:rsid w:val="00627BB3"/>
    <w:rsid w:val="0063059B"/>
    <w:rsid w:val="00635043"/>
    <w:rsid w:val="00637C6E"/>
    <w:rsid w:val="00643734"/>
    <w:rsid w:val="00645C84"/>
    <w:rsid w:val="006471DF"/>
    <w:rsid w:val="00647579"/>
    <w:rsid w:val="00647943"/>
    <w:rsid w:val="0065069F"/>
    <w:rsid w:val="006636A2"/>
    <w:rsid w:val="006662D1"/>
    <w:rsid w:val="00676545"/>
    <w:rsid w:val="00681A77"/>
    <w:rsid w:val="006824A6"/>
    <w:rsid w:val="00684328"/>
    <w:rsid w:val="00690308"/>
    <w:rsid w:val="0069728A"/>
    <w:rsid w:val="006A19EC"/>
    <w:rsid w:val="006A3E84"/>
    <w:rsid w:val="006A6968"/>
    <w:rsid w:val="006B044F"/>
    <w:rsid w:val="006B233D"/>
    <w:rsid w:val="006B2CDE"/>
    <w:rsid w:val="006C6ECA"/>
    <w:rsid w:val="006D03D5"/>
    <w:rsid w:val="006D1420"/>
    <w:rsid w:val="006D1943"/>
    <w:rsid w:val="006D77F1"/>
    <w:rsid w:val="006F1387"/>
    <w:rsid w:val="006F3E78"/>
    <w:rsid w:val="006F7E62"/>
    <w:rsid w:val="00705A3F"/>
    <w:rsid w:val="007139DE"/>
    <w:rsid w:val="00715D48"/>
    <w:rsid w:val="0071663B"/>
    <w:rsid w:val="00717A1D"/>
    <w:rsid w:val="00721668"/>
    <w:rsid w:val="007225B0"/>
    <w:rsid w:val="00723E25"/>
    <w:rsid w:val="00730A51"/>
    <w:rsid w:val="00731127"/>
    <w:rsid w:val="007333D6"/>
    <w:rsid w:val="007377F1"/>
    <w:rsid w:val="0074258A"/>
    <w:rsid w:val="00743FBE"/>
    <w:rsid w:val="00745174"/>
    <w:rsid w:val="00747A26"/>
    <w:rsid w:val="007506FB"/>
    <w:rsid w:val="00751430"/>
    <w:rsid w:val="0075258F"/>
    <w:rsid w:val="007537F9"/>
    <w:rsid w:val="00765062"/>
    <w:rsid w:val="00765DC6"/>
    <w:rsid w:val="007662AF"/>
    <w:rsid w:val="00773220"/>
    <w:rsid w:val="0077337F"/>
    <w:rsid w:val="00773EF2"/>
    <w:rsid w:val="007911E1"/>
    <w:rsid w:val="00795372"/>
    <w:rsid w:val="00796A01"/>
    <w:rsid w:val="007A0C81"/>
    <w:rsid w:val="007A1046"/>
    <w:rsid w:val="007A1A84"/>
    <w:rsid w:val="007A3FEA"/>
    <w:rsid w:val="007B085E"/>
    <w:rsid w:val="007B1FFF"/>
    <w:rsid w:val="007B3042"/>
    <w:rsid w:val="007B4697"/>
    <w:rsid w:val="007B5332"/>
    <w:rsid w:val="007C40FF"/>
    <w:rsid w:val="007D1D8B"/>
    <w:rsid w:val="007D2BA9"/>
    <w:rsid w:val="007D437F"/>
    <w:rsid w:val="007D49CE"/>
    <w:rsid w:val="007E3DAF"/>
    <w:rsid w:val="007E5F00"/>
    <w:rsid w:val="007E699F"/>
    <w:rsid w:val="007F285D"/>
    <w:rsid w:val="007F309B"/>
    <w:rsid w:val="007F5948"/>
    <w:rsid w:val="00811510"/>
    <w:rsid w:val="00812338"/>
    <w:rsid w:val="00822DB2"/>
    <w:rsid w:val="008254BC"/>
    <w:rsid w:val="00831865"/>
    <w:rsid w:val="00831F0C"/>
    <w:rsid w:val="00834F9A"/>
    <w:rsid w:val="00846CA6"/>
    <w:rsid w:val="00847273"/>
    <w:rsid w:val="00852D8E"/>
    <w:rsid w:val="00853F61"/>
    <w:rsid w:val="00860789"/>
    <w:rsid w:val="00873767"/>
    <w:rsid w:val="00880440"/>
    <w:rsid w:val="00884225"/>
    <w:rsid w:val="0088488E"/>
    <w:rsid w:val="0088744B"/>
    <w:rsid w:val="00887B40"/>
    <w:rsid w:val="00891F70"/>
    <w:rsid w:val="0089263C"/>
    <w:rsid w:val="008A3148"/>
    <w:rsid w:val="008A47B7"/>
    <w:rsid w:val="008A7F53"/>
    <w:rsid w:val="008B22F0"/>
    <w:rsid w:val="008B7392"/>
    <w:rsid w:val="008C016B"/>
    <w:rsid w:val="008C126B"/>
    <w:rsid w:val="008C33FD"/>
    <w:rsid w:val="008D2CE2"/>
    <w:rsid w:val="008D7617"/>
    <w:rsid w:val="008E0806"/>
    <w:rsid w:val="008E46D4"/>
    <w:rsid w:val="008E4E25"/>
    <w:rsid w:val="00900869"/>
    <w:rsid w:val="0090137F"/>
    <w:rsid w:val="00901C3A"/>
    <w:rsid w:val="00903349"/>
    <w:rsid w:val="00905B29"/>
    <w:rsid w:val="00906388"/>
    <w:rsid w:val="009064BF"/>
    <w:rsid w:val="00906E76"/>
    <w:rsid w:val="00913C21"/>
    <w:rsid w:val="009167BA"/>
    <w:rsid w:val="00916883"/>
    <w:rsid w:val="00917F6B"/>
    <w:rsid w:val="00921F26"/>
    <w:rsid w:val="00933D66"/>
    <w:rsid w:val="009342BA"/>
    <w:rsid w:val="00940F6F"/>
    <w:rsid w:val="00942C2C"/>
    <w:rsid w:val="00943828"/>
    <w:rsid w:val="00947FF9"/>
    <w:rsid w:val="009539B9"/>
    <w:rsid w:val="00954647"/>
    <w:rsid w:val="00956163"/>
    <w:rsid w:val="00956856"/>
    <w:rsid w:val="00962D08"/>
    <w:rsid w:val="00963154"/>
    <w:rsid w:val="0097302D"/>
    <w:rsid w:val="00975D73"/>
    <w:rsid w:val="0097728E"/>
    <w:rsid w:val="00982DBD"/>
    <w:rsid w:val="009854D5"/>
    <w:rsid w:val="009966E7"/>
    <w:rsid w:val="009A0388"/>
    <w:rsid w:val="009A4040"/>
    <w:rsid w:val="009A7E60"/>
    <w:rsid w:val="009B3494"/>
    <w:rsid w:val="009C093E"/>
    <w:rsid w:val="009C2DB3"/>
    <w:rsid w:val="009C3A0D"/>
    <w:rsid w:val="009E08E4"/>
    <w:rsid w:val="009E4795"/>
    <w:rsid w:val="009E48D5"/>
    <w:rsid w:val="009F23B0"/>
    <w:rsid w:val="009F40DD"/>
    <w:rsid w:val="00A0056F"/>
    <w:rsid w:val="00A03B2E"/>
    <w:rsid w:val="00A13051"/>
    <w:rsid w:val="00A15E7F"/>
    <w:rsid w:val="00A16608"/>
    <w:rsid w:val="00A26B9F"/>
    <w:rsid w:val="00A26DEA"/>
    <w:rsid w:val="00A27540"/>
    <w:rsid w:val="00A27600"/>
    <w:rsid w:val="00A32081"/>
    <w:rsid w:val="00A32FC4"/>
    <w:rsid w:val="00A33036"/>
    <w:rsid w:val="00A40E10"/>
    <w:rsid w:val="00A43A29"/>
    <w:rsid w:val="00A5455D"/>
    <w:rsid w:val="00A628DF"/>
    <w:rsid w:val="00A62D5E"/>
    <w:rsid w:val="00A66DE3"/>
    <w:rsid w:val="00A67A78"/>
    <w:rsid w:val="00A70248"/>
    <w:rsid w:val="00A710B6"/>
    <w:rsid w:val="00A73701"/>
    <w:rsid w:val="00A86C36"/>
    <w:rsid w:val="00A92E44"/>
    <w:rsid w:val="00A93EEE"/>
    <w:rsid w:val="00A93F0F"/>
    <w:rsid w:val="00A95A5E"/>
    <w:rsid w:val="00AA1F7F"/>
    <w:rsid w:val="00AA5021"/>
    <w:rsid w:val="00AA7047"/>
    <w:rsid w:val="00AB1801"/>
    <w:rsid w:val="00AB20C1"/>
    <w:rsid w:val="00AB5DB1"/>
    <w:rsid w:val="00AC0477"/>
    <w:rsid w:val="00AC7B7D"/>
    <w:rsid w:val="00AD1811"/>
    <w:rsid w:val="00AD2C4A"/>
    <w:rsid w:val="00AD51A0"/>
    <w:rsid w:val="00AE2301"/>
    <w:rsid w:val="00AF1A9A"/>
    <w:rsid w:val="00AF3A2F"/>
    <w:rsid w:val="00B03E95"/>
    <w:rsid w:val="00B103DE"/>
    <w:rsid w:val="00B11A7D"/>
    <w:rsid w:val="00B202C6"/>
    <w:rsid w:val="00B20D73"/>
    <w:rsid w:val="00B217B6"/>
    <w:rsid w:val="00B2205A"/>
    <w:rsid w:val="00B266A1"/>
    <w:rsid w:val="00B32B1E"/>
    <w:rsid w:val="00B352D2"/>
    <w:rsid w:val="00B44C32"/>
    <w:rsid w:val="00B4654F"/>
    <w:rsid w:val="00B55CAE"/>
    <w:rsid w:val="00B577B0"/>
    <w:rsid w:val="00B6228E"/>
    <w:rsid w:val="00B645AF"/>
    <w:rsid w:val="00B6557B"/>
    <w:rsid w:val="00B65801"/>
    <w:rsid w:val="00B65AC4"/>
    <w:rsid w:val="00B67B61"/>
    <w:rsid w:val="00B725B1"/>
    <w:rsid w:val="00B7325A"/>
    <w:rsid w:val="00B74D89"/>
    <w:rsid w:val="00B75929"/>
    <w:rsid w:val="00B7673A"/>
    <w:rsid w:val="00B80E06"/>
    <w:rsid w:val="00B829CE"/>
    <w:rsid w:val="00B85F62"/>
    <w:rsid w:val="00B86ACA"/>
    <w:rsid w:val="00B91817"/>
    <w:rsid w:val="00B9211C"/>
    <w:rsid w:val="00B944E9"/>
    <w:rsid w:val="00B95CDA"/>
    <w:rsid w:val="00B96A6E"/>
    <w:rsid w:val="00B971B3"/>
    <w:rsid w:val="00BA28F2"/>
    <w:rsid w:val="00BA2DDB"/>
    <w:rsid w:val="00BA30C9"/>
    <w:rsid w:val="00BA44FA"/>
    <w:rsid w:val="00BA4510"/>
    <w:rsid w:val="00BB4AC9"/>
    <w:rsid w:val="00BC151C"/>
    <w:rsid w:val="00BD7669"/>
    <w:rsid w:val="00BE4AE4"/>
    <w:rsid w:val="00BE6BF9"/>
    <w:rsid w:val="00C2006C"/>
    <w:rsid w:val="00C255AF"/>
    <w:rsid w:val="00C324A2"/>
    <w:rsid w:val="00C34D6F"/>
    <w:rsid w:val="00C36FED"/>
    <w:rsid w:val="00C413A7"/>
    <w:rsid w:val="00C44D4C"/>
    <w:rsid w:val="00C4794D"/>
    <w:rsid w:val="00C503DF"/>
    <w:rsid w:val="00C55CE2"/>
    <w:rsid w:val="00C65E67"/>
    <w:rsid w:val="00C6617C"/>
    <w:rsid w:val="00C6734A"/>
    <w:rsid w:val="00C73D75"/>
    <w:rsid w:val="00C8427C"/>
    <w:rsid w:val="00C8440D"/>
    <w:rsid w:val="00C84FD7"/>
    <w:rsid w:val="00C8501F"/>
    <w:rsid w:val="00C927BD"/>
    <w:rsid w:val="00C94D14"/>
    <w:rsid w:val="00C9751D"/>
    <w:rsid w:val="00CA0A90"/>
    <w:rsid w:val="00CA0D74"/>
    <w:rsid w:val="00CA7D24"/>
    <w:rsid w:val="00CB07DF"/>
    <w:rsid w:val="00CB132D"/>
    <w:rsid w:val="00CB1ECC"/>
    <w:rsid w:val="00CB4446"/>
    <w:rsid w:val="00CB5140"/>
    <w:rsid w:val="00CC01DB"/>
    <w:rsid w:val="00CD4578"/>
    <w:rsid w:val="00CD7197"/>
    <w:rsid w:val="00CF2BB7"/>
    <w:rsid w:val="00CF581C"/>
    <w:rsid w:val="00CF594D"/>
    <w:rsid w:val="00D0031F"/>
    <w:rsid w:val="00D04A79"/>
    <w:rsid w:val="00D141FB"/>
    <w:rsid w:val="00D31CBE"/>
    <w:rsid w:val="00D37A05"/>
    <w:rsid w:val="00D43FE3"/>
    <w:rsid w:val="00D455D6"/>
    <w:rsid w:val="00D554AE"/>
    <w:rsid w:val="00D63471"/>
    <w:rsid w:val="00D65C47"/>
    <w:rsid w:val="00D665AB"/>
    <w:rsid w:val="00D7048A"/>
    <w:rsid w:val="00D735CC"/>
    <w:rsid w:val="00D73C4D"/>
    <w:rsid w:val="00D75531"/>
    <w:rsid w:val="00D83D3E"/>
    <w:rsid w:val="00D86CAD"/>
    <w:rsid w:val="00D87CC0"/>
    <w:rsid w:val="00D902D3"/>
    <w:rsid w:val="00D90769"/>
    <w:rsid w:val="00D94898"/>
    <w:rsid w:val="00D949D0"/>
    <w:rsid w:val="00D950F0"/>
    <w:rsid w:val="00D95111"/>
    <w:rsid w:val="00DA2DA7"/>
    <w:rsid w:val="00DA34D0"/>
    <w:rsid w:val="00DA3899"/>
    <w:rsid w:val="00DA3BCA"/>
    <w:rsid w:val="00DA43CF"/>
    <w:rsid w:val="00DB7332"/>
    <w:rsid w:val="00DC1634"/>
    <w:rsid w:val="00DC20A8"/>
    <w:rsid w:val="00DC2CC0"/>
    <w:rsid w:val="00DC4EB5"/>
    <w:rsid w:val="00DC5699"/>
    <w:rsid w:val="00DC6247"/>
    <w:rsid w:val="00DC6B07"/>
    <w:rsid w:val="00DD2B7D"/>
    <w:rsid w:val="00DE09E4"/>
    <w:rsid w:val="00DE1055"/>
    <w:rsid w:val="00DF02FC"/>
    <w:rsid w:val="00DF05D9"/>
    <w:rsid w:val="00DF1EEC"/>
    <w:rsid w:val="00DF4612"/>
    <w:rsid w:val="00DF4CB2"/>
    <w:rsid w:val="00DF78FD"/>
    <w:rsid w:val="00E0091F"/>
    <w:rsid w:val="00E01B9A"/>
    <w:rsid w:val="00E15C2A"/>
    <w:rsid w:val="00E22B47"/>
    <w:rsid w:val="00E24684"/>
    <w:rsid w:val="00E2738E"/>
    <w:rsid w:val="00E32464"/>
    <w:rsid w:val="00E34793"/>
    <w:rsid w:val="00E4626C"/>
    <w:rsid w:val="00E463A6"/>
    <w:rsid w:val="00E5035D"/>
    <w:rsid w:val="00E5532B"/>
    <w:rsid w:val="00E57CEA"/>
    <w:rsid w:val="00E60C50"/>
    <w:rsid w:val="00E633E2"/>
    <w:rsid w:val="00E74033"/>
    <w:rsid w:val="00E74E64"/>
    <w:rsid w:val="00E750B3"/>
    <w:rsid w:val="00E761A2"/>
    <w:rsid w:val="00E767CA"/>
    <w:rsid w:val="00E84411"/>
    <w:rsid w:val="00E84EDF"/>
    <w:rsid w:val="00E87BAD"/>
    <w:rsid w:val="00E91AD1"/>
    <w:rsid w:val="00E94812"/>
    <w:rsid w:val="00E949C6"/>
    <w:rsid w:val="00E974AE"/>
    <w:rsid w:val="00EA7BBF"/>
    <w:rsid w:val="00EB3AFE"/>
    <w:rsid w:val="00EB56BC"/>
    <w:rsid w:val="00EB628B"/>
    <w:rsid w:val="00EB6A71"/>
    <w:rsid w:val="00ED4FB7"/>
    <w:rsid w:val="00ED52C9"/>
    <w:rsid w:val="00ED6101"/>
    <w:rsid w:val="00EE294A"/>
    <w:rsid w:val="00EE5F82"/>
    <w:rsid w:val="00EF396A"/>
    <w:rsid w:val="00EF40A8"/>
    <w:rsid w:val="00F04579"/>
    <w:rsid w:val="00F05E61"/>
    <w:rsid w:val="00F06269"/>
    <w:rsid w:val="00F066F4"/>
    <w:rsid w:val="00F11B05"/>
    <w:rsid w:val="00F12861"/>
    <w:rsid w:val="00F14BE8"/>
    <w:rsid w:val="00F17A8A"/>
    <w:rsid w:val="00F17D07"/>
    <w:rsid w:val="00F22E5C"/>
    <w:rsid w:val="00F24EE5"/>
    <w:rsid w:val="00F33668"/>
    <w:rsid w:val="00F336B7"/>
    <w:rsid w:val="00F34239"/>
    <w:rsid w:val="00F354C6"/>
    <w:rsid w:val="00F3650F"/>
    <w:rsid w:val="00F4069E"/>
    <w:rsid w:val="00F40B36"/>
    <w:rsid w:val="00F52C6D"/>
    <w:rsid w:val="00F549F7"/>
    <w:rsid w:val="00F55DAB"/>
    <w:rsid w:val="00F763A6"/>
    <w:rsid w:val="00F76EF2"/>
    <w:rsid w:val="00F87BE7"/>
    <w:rsid w:val="00F93EA2"/>
    <w:rsid w:val="00F93FAB"/>
    <w:rsid w:val="00F944AB"/>
    <w:rsid w:val="00F95A41"/>
    <w:rsid w:val="00FA00BF"/>
    <w:rsid w:val="00FA4912"/>
    <w:rsid w:val="00FA7FA3"/>
    <w:rsid w:val="00FB0624"/>
    <w:rsid w:val="00FB49B8"/>
    <w:rsid w:val="00FB53AF"/>
    <w:rsid w:val="00FB7A95"/>
    <w:rsid w:val="00FC09BA"/>
    <w:rsid w:val="00FC3D10"/>
    <w:rsid w:val="00FD6D26"/>
    <w:rsid w:val="00FE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D76C3"/>
  <w15:docId w15:val="{CB972CB2-83D8-456B-B5DD-095F57DA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5A"/>
    <w:rPr>
      <w:sz w:val="24"/>
    </w:rPr>
  </w:style>
  <w:style w:type="paragraph" w:styleId="Heading1">
    <w:name w:val="heading 1"/>
    <w:basedOn w:val="Normal"/>
    <w:next w:val="Normal"/>
    <w:link w:val="Heading1Char"/>
    <w:uiPriority w:val="9"/>
    <w:qFormat/>
    <w:rsid w:val="004E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5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2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645AF"/>
    <w:pPr>
      <w:spacing w:after="0"/>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B645AF"/>
    <w:rPr>
      <w:rFonts w:ascii="Calibri" w:hAnsi="Calibri"/>
      <w:noProof/>
      <w:lang w:val="en-US"/>
    </w:rPr>
  </w:style>
  <w:style w:type="paragraph" w:customStyle="1" w:styleId="EndNoteBibliography">
    <w:name w:val="EndNote Bibliography"/>
    <w:basedOn w:val="Normal"/>
    <w:link w:val="EndNoteBibliographyChar"/>
    <w:rsid w:val="00B645AF"/>
    <w:pPr>
      <w:spacing w:line="240" w:lineRule="auto"/>
    </w:pPr>
    <w:rPr>
      <w:rFonts w:ascii="Calibri" w:hAnsi="Calibri"/>
      <w:noProof/>
      <w:sz w:val="22"/>
      <w:lang w:val="en-US"/>
    </w:rPr>
  </w:style>
  <w:style w:type="character" w:customStyle="1" w:styleId="EndNoteBibliographyChar">
    <w:name w:val="EndNote Bibliography Char"/>
    <w:basedOn w:val="DefaultParagraphFont"/>
    <w:link w:val="EndNoteBibliography"/>
    <w:rsid w:val="00B645AF"/>
    <w:rPr>
      <w:rFonts w:ascii="Calibri" w:hAnsi="Calibri"/>
      <w:noProof/>
      <w:lang w:val="en-US"/>
    </w:rPr>
  </w:style>
  <w:style w:type="paragraph" w:styleId="ListParagraph">
    <w:name w:val="List Paragraph"/>
    <w:basedOn w:val="Normal"/>
    <w:uiPriority w:val="34"/>
    <w:qFormat/>
    <w:rsid w:val="004E58D8"/>
    <w:pPr>
      <w:ind w:left="720"/>
      <w:contextualSpacing/>
    </w:pPr>
  </w:style>
  <w:style w:type="character" w:customStyle="1" w:styleId="Heading1Char">
    <w:name w:val="Heading 1 Char"/>
    <w:basedOn w:val="DefaultParagraphFont"/>
    <w:link w:val="Heading1"/>
    <w:uiPriority w:val="9"/>
    <w:rsid w:val="004E58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58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2A6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2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BC"/>
    <w:rPr>
      <w:rFonts w:ascii="Tahoma" w:hAnsi="Tahoma" w:cs="Tahoma"/>
      <w:sz w:val="16"/>
      <w:szCs w:val="16"/>
    </w:rPr>
  </w:style>
  <w:style w:type="paragraph" w:styleId="NoSpacing">
    <w:name w:val="No Spacing"/>
    <w:link w:val="NoSpacingChar"/>
    <w:uiPriority w:val="1"/>
    <w:qFormat/>
    <w:rsid w:val="00443B6F"/>
    <w:pPr>
      <w:spacing w:after="0" w:line="240" w:lineRule="auto"/>
    </w:pPr>
  </w:style>
  <w:style w:type="character" w:customStyle="1" w:styleId="NoSpacingChar">
    <w:name w:val="No Spacing Char"/>
    <w:basedOn w:val="DefaultParagraphFont"/>
    <w:link w:val="NoSpacing"/>
    <w:uiPriority w:val="1"/>
    <w:rsid w:val="00443B6F"/>
  </w:style>
  <w:style w:type="paragraph" w:styleId="TOCHeading">
    <w:name w:val="TOC Heading"/>
    <w:basedOn w:val="Heading1"/>
    <w:next w:val="Normal"/>
    <w:uiPriority w:val="39"/>
    <w:unhideWhenUsed/>
    <w:qFormat/>
    <w:rsid w:val="00443B6F"/>
    <w:pPr>
      <w:spacing w:line="276" w:lineRule="auto"/>
      <w:outlineLvl w:val="9"/>
    </w:pPr>
    <w:rPr>
      <w:lang w:val="en-US" w:eastAsia="ja-JP"/>
    </w:rPr>
  </w:style>
  <w:style w:type="paragraph" w:styleId="TOC1">
    <w:name w:val="toc 1"/>
    <w:basedOn w:val="Normal"/>
    <w:next w:val="Normal"/>
    <w:autoRedefine/>
    <w:uiPriority w:val="39"/>
    <w:unhideWhenUsed/>
    <w:rsid w:val="00E463A6"/>
    <w:pPr>
      <w:suppressLineNumbers/>
      <w:tabs>
        <w:tab w:val="right" w:leader="dot" w:pos="9016"/>
      </w:tabs>
    </w:pPr>
  </w:style>
  <w:style w:type="paragraph" w:styleId="TOC2">
    <w:name w:val="toc 2"/>
    <w:basedOn w:val="Normal"/>
    <w:next w:val="Normal"/>
    <w:autoRedefine/>
    <w:uiPriority w:val="39"/>
    <w:unhideWhenUsed/>
    <w:rsid w:val="00E463A6"/>
    <w:pPr>
      <w:suppressLineNumbers/>
      <w:tabs>
        <w:tab w:val="right" w:leader="dot" w:pos="9016"/>
      </w:tabs>
      <w:ind w:left="220"/>
    </w:pPr>
  </w:style>
  <w:style w:type="character" w:styleId="Hyperlink">
    <w:name w:val="Hyperlink"/>
    <w:basedOn w:val="DefaultParagraphFont"/>
    <w:uiPriority w:val="99"/>
    <w:unhideWhenUsed/>
    <w:rsid w:val="00443B6F"/>
    <w:rPr>
      <w:color w:val="0000FF" w:themeColor="hyperlink"/>
      <w:u w:val="single"/>
    </w:rPr>
  </w:style>
  <w:style w:type="paragraph" w:styleId="Header">
    <w:name w:val="header"/>
    <w:basedOn w:val="Normal"/>
    <w:link w:val="HeaderChar"/>
    <w:uiPriority w:val="99"/>
    <w:unhideWhenUsed/>
    <w:rsid w:val="00443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B6F"/>
  </w:style>
  <w:style w:type="paragraph" w:styleId="Footer">
    <w:name w:val="footer"/>
    <w:basedOn w:val="Normal"/>
    <w:link w:val="FooterChar"/>
    <w:uiPriority w:val="99"/>
    <w:unhideWhenUsed/>
    <w:rsid w:val="00443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B6F"/>
  </w:style>
  <w:style w:type="character" w:styleId="PlaceholderText">
    <w:name w:val="Placeholder Text"/>
    <w:basedOn w:val="DefaultParagraphFont"/>
    <w:uiPriority w:val="99"/>
    <w:semiHidden/>
    <w:rsid w:val="00380D05"/>
    <w:rPr>
      <w:color w:val="808080"/>
    </w:rPr>
  </w:style>
  <w:style w:type="character" w:styleId="LineNumber">
    <w:name w:val="line number"/>
    <w:basedOn w:val="DefaultParagraphFont"/>
    <w:uiPriority w:val="99"/>
    <w:semiHidden/>
    <w:unhideWhenUsed/>
    <w:rsid w:val="00E463A6"/>
  </w:style>
  <w:style w:type="character" w:styleId="CommentReference">
    <w:name w:val="annotation reference"/>
    <w:basedOn w:val="DefaultParagraphFont"/>
    <w:uiPriority w:val="99"/>
    <w:semiHidden/>
    <w:unhideWhenUsed/>
    <w:rsid w:val="004D0695"/>
    <w:rPr>
      <w:sz w:val="16"/>
      <w:szCs w:val="16"/>
    </w:rPr>
  </w:style>
  <w:style w:type="paragraph" w:styleId="CommentText">
    <w:name w:val="annotation text"/>
    <w:basedOn w:val="Normal"/>
    <w:link w:val="CommentTextChar"/>
    <w:uiPriority w:val="99"/>
    <w:semiHidden/>
    <w:unhideWhenUsed/>
    <w:rsid w:val="004D0695"/>
    <w:pPr>
      <w:spacing w:line="240" w:lineRule="auto"/>
    </w:pPr>
    <w:rPr>
      <w:sz w:val="20"/>
      <w:szCs w:val="20"/>
    </w:rPr>
  </w:style>
  <w:style w:type="character" w:customStyle="1" w:styleId="CommentTextChar">
    <w:name w:val="Comment Text Char"/>
    <w:basedOn w:val="DefaultParagraphFont"/>
    <w:link w:val="CommentText"/>
    <w:uiPriority w:val="99"/>
    <w:semiHidden/>
    <w:rsid w:val="004D0695"/>
    <w:rPr>
      <w:sz w:val="20"/>
      <w:szCs w:val="20"/>
    </w:rPr>
  </w:style>
  <w:style w:type="paragraph" w:styleId="CommentSubject">
    <w:name w:val="annotation subject"/>
    <w:basedOn w:val="CommentText"/>
    <w:next w:val="CommentText"/>
    <w:link w:val="CommentSubjectChar"/>
    <w:uiPriority w:val="99"/>
    <w:semiHidden/>
    <w:unhideWhenUsed/>
    <w:rsid w:val="004D0695"/>
    <w:rPr>
      <w:b/>
      <w:bCs/>
    </w:rPr>
  </w:style>
  <w:style w:type="character" w:customStyle="1" w:styleId="CommentSubjectChar">
    <w:name w:val="Comment Subject Char"/>
    <w:basedOn w:val="CommentTextChar"/>
    <w:link w:val="CommentSubject"/>
    <w:uiPriority w:val="99"/>
    <w:semiHidden/>
    <w:rsid w:val="004D0695"/>
    <w:rPr>
      <w:b/>
      <w:bCs/>
      <w:sz w:val="20"/>
      <w:szCs w:val="20"/>
    </w:rPr>
  </w:style>
  <w:style w:type="character" w:customStyle="1" w:styleId="UnresolvedMention1">
    <w:name w:val="Unresolved Mention1"/>
    <w:basedOn w:val="DefaultParagraphFont"/>
    <w:uiPriority w:val="99"/>
    <w:semiHidden/>
    <w:unhideWhenUsed/>
    <w:rsid w:val="00532271"/>
    <w:rPr>
      <w:color w:val="808080"/>
      <w:shd w:val="clear" w:color="auto" w:fill="E6E6E6"/>
    </w:rPr>
  </w:style>
  <w:style w:type="character" w:customStyle="1" w:styleId="UnresolvedMention">
    <w:name w:val="Unresolved Mention"/>
    <w:basedOn w:val="DefaultParagraphFont"/>
    <w:uiPriority w:val="99"/>
    <w:semiHidden/>
    <w:unhideWhenUsed/>
    <w:rsid w:val="00705A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8209">
      <w:bodyDiv w:val="1"/>
      <w:marLeft w:val="0"/>
      <w:marRight w:val="0"/>
      <w:marTop w:val="0"/>
      <w:marBottom w:val="0"/>
      <w:divBdr>
        <w:top w:val="none" w:sz="0" w:space="0" w:color="auto"/>
        <w:left w:val="none" w:sz="0" w:space="0" w:color="auto"/>
        <w:bottom w:val="none" w:sz="0" w:space="0" w:color="auto"/>
        <w:right w:val="none" w:sz="0" w:space="0" w:color="auto"/>
      </w:divBdr>
    </w:div>
    <w:div w:id="514074027">
      <w:bodyDiv w:val="1"/>
      <w:marLeft w:val="0"/>
      <w:marRight w:val="0"/>
      <w:marTop w:val="0"/>
      <w:marBottom w:val="0"/>
      <w:divBdr>
        <w:top w:val="none" w:sz="0" w:space="0" w:color="auto"/>
        <w:left w:val="none" w:sz="0" w:space="0" w:color="auto"/>
        <w:bottom w:val="none" w:sz="0" w:space="0" w:color="auto"/>
        <w:right w:val="none" w:sz="0" w:space="0" w:color="auto"/>
      </w:divBdr>
    </w:div>
    <w:div w:id="534270480">
      <w:bodyDiv w:val="1"/>
      <w:marLeft w:val="0"/>
      <w:marRight w:val="0"/>
      <w:marTop w:val="0"/>
      <w:marBottom w:val="0"/>
      <w:divBdr>
        <w:top w:val="none" w:sz="0" w:space="0" w:color="auto"/>
        <w:left w:val="none" w:sz="0" w:space="0" w:color="auto"/>
        <w:bottom w:val="none" w:sz="0" w:space="0" w:color="auto"/>
        <w:right w:val="none" w:sz="0" w:space="0" w:color="auto"/>
      </w:divBdr>
    </w:div>
    <w:div w:id="919218737">
      <w:bodyDiv w:val="1"/>
      <w:marLeft w:val="0"/>
      <w:marRight w:val="0"/>
      <w:marTop w:val="0"/>
      <w:marBottom w:val="0"/>
      <w:divBdr>
        <w:top w:val="none" w:sz="0" w:space="0" w:color="auto"/>
        <w:left w:val="none" w:sz="0" w:space="0" w:color="auto"/>
        <w:bottom w:val="none" w:sz="0" w:space="0" w:color="auto"/>
        <w:right w:val="none" w:sz="0" w:space="0" w:color="auto"/>
      </w:divBdr>
    </w:div>
    <w:div w:id="16994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an.ashauer@york.ac.u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mark.hodson@york.ac.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oanna.witton@york.ac.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E5D1F1-0ABF-4C25-8BBE-502843F0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30533</Words>
  <Characters>174042</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Quantifying pesticide residues and spray patterns at micro-scales on apple leaves</vt:lpstr>
    </vt:vector>
  </TitlesOfParts>
  <Company/>
  <LinksUpToDate>false</LinksUpToDate>
  <CharactersWithSpaces>204167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Quantifying pesticide residues and spray patterns at micro-scales on apple leaves</dc:title>
  <dc:subject>Draft 2</dc:subject>
  <dc:creator>Joanna Witton</dc:creator>
  <cp:keywords/>
  <dc:description/>
  <cp:lastModifiedBy>meh519</cp:lastModifiedBy>
  <cp:revision>2</cp:revision>
  <cp:lastPrinted>2018-03-27T13:03:00Z</cp:lastPrinted>
  <dcterms:created xsi:type="dcterms:W3CDTF">2018-08-10T10:56:00Z</dcterms:created>
  <dcterms:modified xsi:type="dcterms:W3CDTF">2018-08-10T10:56:00Z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http://www.zotero.org/styles/pest-management-science</vt:lpwstr>
  </property>
  <property fmtid="{D5CDD505-2E9C-101B-9397-08002B2CF9AE}" pid="19" name="Mendeley Recent Style Name 8_1">
    <vt:lpwstr>Pest Management Science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16046210-9a48-3d71-8c82-61d574e8319b</vt:lpwstr>
  </property>
  <property fmtid="{D5CDD505-2E9C-101B-9397-08002B2CF9AE}" pid="24" name="Mendeley Citation Style_1">
    <vt:lpwstr>http://www.zotero.org/styles/pest-management-science</vt:lpwstr>
  </property>
</Properties>
</file>