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C342F" w14:textId="77777777" w:rsidR="0004340F" w:rsidRDefault="001E40DE" w:rsidP="00581599">
      <w:pPr>
        <w:spacing w:after="160" w:line="480" w:lineRule="auto"/>
        <w:rPr>
          <w:rFonts w:ascii="Times New Roman" w:hAnsi="Times New Roman"/>
          <w:b/>
          <w:sz w:val="24"/>
        </w:rPr>
      </w:pPr>
      <w:r>
        <w:rPr>
          <w:rFonts w:ascii="Times New Roman" w:hAnsi="Times New Roman"/>
          <w:b/>
          <w:sz w:val="24"/>
        </w:rPr>
        <w:t xml:space="preserve">Between Aquinas and Eymerich: The Roman Inquisition’s </w:t>
      </w:r>
      <w:r w:rsidR="00781B0A">
        <w:rPr>
          <w:rFonts w:ascii="Times New Roman" w:hAnsi="Times New Roman"/>
          <w:b/>
          <w:sz w:val="24"/>
        </w:rPr>
        <w:t>U</w:t>
      </w:r>
      <w:r>
        <w:rPr>
          <w:rFonts w:ascii="Times New Roman" w:hAnsi="Times New Roman"/>
          <w:b/>
          <w:sz w:val="24"/>
        </w:rPr>
        <w:t xml:space="preserve">se of Dominican </w:t>
      </w:r>
      <w:r w:rsidR="00781B0A">
        <w:rPr>
          <w:rFonts w:ascii="Times New Roman" w:hAnsi="Times New Roman"/>
          <w:b/>
          <w:sz w:val="24"/>
        </w:rPr>
        <w:t>T</w:t>
      </w:r>
      <w:r>
        <w:rPr>
          <w:rFonts w:ascii="Times New Roman" w:hAnsi="Times New Roman"/>
          <w:b/>
          <w:sz w:val="24"/>
        </w:rPr>
        <w:t xml:space="preserve">hought in the </w:t>
      </w:r>
      <w:r w:rsidR="00781B0A">
        <w:rPr>
          <w:rFonts w:ascii="Times New Roman" w:hAnsi="Times New Roman"/>
          <w:b/>
          <w:sz w:val="24"/>
        </w:rPr>
        <w:t>C</w:t>
      </w:r>
      <w:r>
        <w:rPr>
          <w:rFonts w:ascii="Times New Roman" w:hAnsi="Times New Roman"/>
          <w:b/>
          <w:sz w:val="24"/>
        </w:rPr>
        <w:t xml:space="preserve">ensorship of </w:t>
      </w:r>
      <w:r w:rsidR="00781B0A">
        <w:rPr>
          <w:rFonts w:ascii="Times New Roman" w:hAnsi="Times New Roman"/>
          <w:b/>
          <w:sz w:val="24"/>
        </w:rPr>
        <w:t>A</w:t>
      </w:r>
      <w:r>
        <w:rPr>
          <w:rFonts w:ascii="Times New Roman" w:hAnsi="Times New Roman"/>
          <w:b/>
          <w:sz w:val="24"/>
        </w:rPr>
        <w:t>lchemy</w:t>
      </w:r>
      <w:r w:rsidR="0004340F">
        <w:rPr>
          <w:rStyle w:val="FootnoteReference"/>
          <w:rFonts w:ascii="Times New Roman" w:hAnsi="Times New Roman"/>
          <w:b/>
          <w:sz w:val="24"/>
        </w:rPr>
        <w:footnoteReference w:id="1"/>
      </w:r>
    </w:p>
    <w:p w14:paraId="468AA00A" w14:textId="77777777" w:rsidR="0004340F" w:rsidRDefault="004B39AF" w:rsidP="00581599">
      <w:pPr>
        <w:spacing w:after="160" w:line="480" w:lineRule="auto"/>
        <w:rPr>
          <w:rFonts w:ascii="Times New Roman" w:hAnsi="Times New Roman"/>
          <w:b/>
          <w:sz w:val="24"/>
        </w:rPr>
      </w:pPr>
      <w:r>
        <w:rPr>
          <w:rFonts w:ascii="Times New Roman" w:hAnsi="Times New Roman"/>
          <w:b/>
          <w:sz w:val="24"/>
        </w:rPr>
        <w:t>Abstract</w:t>
      </w:r>
    </w:p>
    <w:p w14:paraId="4F2A6A39" w14:textId="77777777" w:rsidR="00EB65A8" w:rsidRPr="004B39AF" w:rsidRDefault="003E27E5" w:rsidP="00581599">
      <w:pPr>
        <w:spacing w:after="160" w:line="480" w:lineRule="auto"/>
        <w:rPr>
          <w:rFonts w:ascii="Times New Roman" w:hAnsi="Times New Roman"/>
          <w:sz w:val="24"/>
        </w:rPr>
      </w:pPr>
      <w:bookmarkStart w:id="0" w:name="_GoBack"/>
      <w:r>
        <w:rPr>
          <w:rFonts w:ascii="Times New Roman" w:hAnsi="Times New Roman"/>
          <w:sz w:val="24"/>
        </w:rPr>
        <w:t xml:space="preserve">In the latter half of the sixteenth century </w:t>
      </w:r>
      <w:r w:rsidR="003D67D5">
        <w:rPr>
          <w:rFonts w:ascii="Times New Roman" w:hAnsi="Times New Roman"/>
          <w:sz w:val="24"/>
        </w:rPr>
        <w:t>t</w:t>
      </w:r>
      <w:r w:rsidR="00EB65A8">
        <w:rPr>
          <w:rFonts w:ascii="Times New Roman" w:hAnsi="Times New Roman"/>
          <w:sz w:val="24"/>
        </w:rPr>
        <w:t>he Roman I</w:t>
      </w:r>
      <w:r w:rsidR="003D67D5">
        <w:rPr>
          <w:rFonts w:ascii="Times New Roman" w:hAnsi="Times New Roman"/>
          <w:sz w:val="24"/>
        </w:rPr>
        <w:t>nquisition developed criteria to prosecute</w:t>
      </w:r>
      <w:r w:rsidR="00DF5D1F">
        <w:rPr>
          <w:rFonts w:ascii="Times New Roman" w:hAnsi="Times New Roman"/>
          <w:sz w:val="24"/>
        </w:rPr>
        <w:t xml:space="preserve"> a</w:t>
      </w:r>
      <w:r>
        <w:rPr>
          <w:rFonts w:ascii="Times New Roman" w:hAnsi="Times New Roman"/>
          <w:sz w:val="24"/>
        </w:rPr>
        <w:t xml:space="preserve"> series of operative arts, </w:t>
      </w:r>
      <w:r w:rsidR="003D67D5">
        <w:rPr>
          <w:rFonts w:ascii="Times New Roman" w:hAnsi="Times New Roman"/>
          <w:sz w:val="24"/>
        </w:rPr>
        <w:t>including</w:t>
      </w:r>
      <w:r>
        <w:rPr>
          <w:rFonts w:ascii="Times New Roman" w:hAnsi="Times New Roman"/>
          <w:sz w:val="24"/>
        </w:rPr>
        <w:t xml:space="preserve"> various forms of divination and magic. Its officials h</w:t>
      </w:r>
      <w:r w:rsidR="00DF5D1F">
        <w:rPr>
          <w:rFonts w:ascii="Times New Roman" w:hAnsi="Times New Roman"/>
          <w:sz w:val="24"/>
        </w:rPr>
        <w:t>ad little interest in alchemy. During that period t</w:t>
      </w:r>
      <w:r>
        <w:rPr>
          <w:rFonts w:ascii="Times New Roman" w:hAnsi="Times New Roman"/>
          <w:sz w:val="24"/>
        </w:rPr>
        <w:t xml:space="preserve">he Roman Inquisition </w:t>
      </w:r>
      <w:r w:rsidR="00EB65A8">
        <w:rPr>
          <w:rFonts w:ascii="Times New Roman" w:hAnsi="Times New Roman"/>
          <w:sz w:val="24"/>
        </w:rPr>
        <w:t xml:space="preserve">tried few </w:t>
      </w:r>
      <w:r w:rsidR="00DF5D1F">
        <w:rPr>
          <w:rFonts w:ascii="Times New Roman" w:hAnsi="Times New Roman"/>
          <w:sz w:val="24"/>
        </w:rPr>
        <w:t>people for practising alchemy,</w:t>
      </w:r>
      <w:r>
        <w:rPr>
          <w:rFonts w:ascii="Times New Roman" w:hAnsi="Times New Roman"/>
          <w:sz w:val="24"/>
        </w:rPr>
        <w:t xml:space="preserve"> and it</w:t>
      </w:r>
      <w:r w:rsidR="00EB65A8">
        <w:rPr>
          <w:rFonts w:ascii="Times New Roman" w:hAnsi="Times New Roman"/>
          <w:sz w:val="24"/>
        </w:rPr>
        <w:t xml:space="preserve"> was rarely discussed in official documents. </w:t>
      </w:r>
      <w:r>
        <w:rPr>
          <w:rFonts w:ascii="Times New Roman" w:hAnsi="Times New Roman"/>
          <w:sz w:val="24"/>
        </w:rPr>
        <w:t xml:space="preserve">Justifications for prosecuting alchemists </w:t>
      </w:r>
      <w:r w:rsidR="003D67D5">
        <w:rPr>
          <w:rFonts w:ascii="Times New Roman" w:hAnsi="Times New Roman"/>
          <w:sz w:val="24"/>
        </w:rPr>
        <w:t>did exist</w:t>
      </w:r>
      <w:r>
        <w:rPr>
          <w:rFonts w:ascii="Times New Roman" w:hAnsi="Times New Roman"/>
          <w:sz w:val="24"/>
        </w:rPr>
        <w:t>, however. In his influential handbook</w:t>
      </w:r>
      <w:r w:rsidR="003D67D5">
        <w:rPr>
          <w:rFonts w:ascii="Times New Roman" w:hAnsi="Times New Roman"/>
          <w:sz w:val="24"/>
        </w:rPr>
        <w:t>,</w:t>
      </w:r>
      <w:r w:rsidR="00240DB5">
        <w:rPr>
          <w:rFonts w:ascii="Times New Roman" w:hAnsi="Times New Roman"/>
          <w:sz w:val="24"/>
        </w:rPr>
        <w:t xml:space="preserve"> </w:t>
      </w:r>
      <w:r w:rsidRPr="003E27E5">
        <w:rPr>
          <w:rFonts w:ascii="Times New Roman" w:hAnsi="Times New Roman"/>
          <w:i/>
          <w:sz w:val="24"/>
        </w:rPr>
        <w:t>Directorium</w:t>
      </w:r>
      <w:r w:rsidR="00240DB5">
        <w:rPr>
          <w:rFonts w:ascii="Times New Roman" w:hAnsi="Times New Roman"/>
          <w:i/>
          <w:sz w:val="24"/>
        </w:rPr>
        <w:t xml:space="preserve"> </w:t>
      </w:r>
      <w:r w:rsidRPr="003E27E5">
        <w:rPr>
          <w:rFonts w:ascii="Times New Roman" w:hAnsi="Times New Roman"/>
          <w:i/>
          <w:sz w:val="24"/>
        </w:rPr>
        <w:t>inquisitorum</w:t>
      </w:r>
      <w:r>
        <w:rPr>
          <w:rFonts w:ascii="Times New Roman" w:hAnsi="Times New Roman"/>
          <w:sz w:val="24"/>
        </w:rPr>
        <w:t>, the fourteenth-century inquisitor Nicholas Eymerich had developed a clear rationale for the investigation and prosecution of alchemists as her</w:t>
      </w:r>
      <w:r w:rsidR="003D67D5">
        <w:rPr>
          <w:rFonts w:ascii="Times New Roman" w:hAnsi="Times New Roman"/>
          <w:sz w:val="24"/>
        </w:rPr>
        <w:t>etics. His position</w:t>
      </w:r>
      <w:r>
        <w:rPr>
          <w:rFonts w:ascii="Times New Roman" w:hAnsi="Times New Roman"/>
          <w:sz w:val="24"/>
        </w:rPr>
        <w:t xml:space="preserve"> was endorsed in the 1570s by Francisco Peña</w:t>
      </w:r>
      <w:r w:rsidR="003D67D5">
        <w:rPr>
          <w:rFonts w:ascii="Times New Roman" w:hAnsi="Times New Roman"/>
          <w:sz w:val="24"/>
        </w:rPr>
        <w:t xml:space="preserve"> in his commentary on Eymerich’s handbook</w:t>
      </w:r>
      <w:r>
        <w:rPr>
          <w:rFonts w:ascii="Times New Roman" w:hAnsi="Times New Roman"/>
          <w:sz w:val="24"/>
        </w:rPr>
        <w:t xml:space="preserve">. </w:t>
      </w:r>
      <w:r w:rsidR="00EB65A8">
        <w:rPr>
          <w:rFonts w:ascii="Times New Roman" w:hAnsi="Times New Roman"/>
          <w:sz w:val="24"/>
        </w:rPr>
        <w:t xml:space="preserve">In this article I explore the reasons why alchemy </w:t>
      </w:r>
      <w:r>
        <w:rPr>
          <w:rFonts w:ascii="Times New Roman" w:hAnsi="Times New Roman"/>
          <w:sz w:val="24"/>
        </w:rPr>
        <w:t xml:space="preserve">held this ambiguous status. I argue that </w:t>
      </w:r>
      <w:r w:rsidR="003D67D5">
        <w:rPr>
          <w:rFonts w:ascii="Times New Roman" w:hAnsi="Times New Roman"/>
          <w:sz w:val="24"/>
        </w:rPr>
        <w:t>members of the Dominican O</w:t>
      </w:r>
      <w:r>
        <w:rPr>
          <w:rFonts w:ascii="Times New Roman" w:hAnsi="Times New Roman"/>
          <w:sz w:val="24"/>
        </w:rPr>
        <w:t>rder developed two traditions of thinking about alchemy from Aquinas</w:t>
      </w:r>
      <w:r w:rsidR="003D67D5">
        <w:rPr>
          <w:rFonts w:ascii="Times New Roman" w:hAnsi="Times New Roman"/>
          <w:sz w:val="24"/>
        </w:rPr>
        <w:t>’s thought</w:t>
      </w:r>
      <w:r>
        <w:rPr>
          <w:rFonts w:ascii="Times New Roman" w:hAnsi="Times New Roman"/>
          <w:sz w:val="24"/>
        </w:rPr>
        <w:t>. The first, and closest to Aquinas’</w:t>
      </w:r>
      <w:r w:rsidR="003D67D5">
        <w:rPr>
          <w:rFonts w:ascii="Times New Roman" w:hAnsi="Times New Roman"/>
          <w:sz w:val="24"/>
        </w:rPr>
        <w:t>s own belief, held</w:t>
      </w:r>
      <w:r>
        <w:rPr>
          <w:rFonts w:ascii="Times New Roman" w:hAnsi="Times New Roman"/>
          <w:sz w:val="24"/>
        </w:rPr>
        <w:t xml:space="preserve"> that alchemy was a natural art that posed no danger to the Christian faith. The second, developed by Eymerich from a selective reading of Aquinas’</w:t>
      </w:r>
      <w:r w:rsidR="003D67D5">
        <w:rPr>
          <w:rFonts w:ascii="Times New Roman" w:hAnsi="Times New Roman"/>
          <w:sz w:val="24"/>
        </w:rPr>
        <w:t>s writings</w:t>
      </w:r>
      <w:r>
        <w:rPr>
          <w:rFonts w:ascii="Times New Roman" w:hAnsi="Times New Roman"/>
          <w:sz w:val="24"/>
        </w:rPr>
        <w:t xml:space="preserve">, indicated specific circumstances in which alchemists could be investigated. </w:t>
      </w:r>
      <w:r w:rsidR="003D67D5">
        <w:rPr>
          <w:rFonts w:ascii="Times New Roman" w:hAnsi="Times New Roman"/>
          <w:sz w:val="24"/>
        </w:rPr>
        <w:t>The Roman Inquisition’s response to alchemy vacillated between the positions advocated by Aquinas and Eymerich.</w:t>
      </w:r>
    </w:p>
    <w:bookmarkEnd w:id="0"/>
    <w:p w14:paraId="2939F2E9" w14:textId="77777777" w:rsidR="003D67D5" w:rsidRDefault="003D67D5" w:rsidP="00581599">
      <w:pPr>
        <w:spacing w:after="160" w:line="480" w:lineRule="auto"/>
        <w:rPr>
          <w:rFonts w:ascii="Times New Roman" w:hAnsi="Times New Roman"/>
          <w:b/>
          <w:sz w:val="24"/>
        </w:rPr>
      </w:pPr>
    </w:p>
    <w:p w14:paraId="2F28A532" w14:textId="77777777" w:rsidR="009526FC" w:rsidRPr="00581599" w:rsidRDefault="009526FC" w:rsidP="00581599">
      <w:pPr>
        <w:spacing w:after="160" w:line="480" w:lineRule="auto"/>
        <w:rPr>
          <w:rFonts w:ascii="Times New Roman" w:hAnsi="Times New Roman"/>
          <w:b/>
          <w:sz w:val="24"/>
        </w:rPr>
      </w:pPr>
      <w:r w:rsidRPr="00581599">
        <w:rPr>
          <w:rFonts w:ascii="Times New Roman" w:hAnsi="Times New Roman"/>
          <w:b/>
          <w:sz w:val="24"/>
        </w:rPr>
        <w:t>Introduction</w:t>
      </w:r>
    </w:p>
    <w:p w14:paraId="45562CC1" w14:textId="77777777" w:rsidR="00370F5E" w:rsidRPr="00370F5E" w:rsidRDefault="00370F5E" w:rsidP="00370F5E">
      <w:pPr>
        <w:spacing w:line="480" w:lineRule="auto"/>
        <w:rPr>
          <w:rFonts w:ascii="Times New Roman" w:hAnsi="Times New Roman"/>
          <w:sz w:val="24"/>
          <w:szCs w:val="24"/>
        </w:rPr>
      </w:pPr>
    </w:p>
    <w:p w14:paraId="15FFCDCB" w14:textId="77777777" w:rsidR="00370F5E" w:rsidRPr="00370F5E" w:rsidRDefault="00370F5E" w:rsidP="00370F5E">
      <w:pPr>
        <w:spacing w:line="480" w:lineRule="auto"/>
        <w:rPr>
          <w:rFonts w:ascii="Times New Roman" w:hAnsi="Times New Roman"/>
          <w:sz w:val="24"/>
          <w:szCs w:val="24"/>
        </w:rPr>
      </w:pPr>
      <w:r w:rsidRPr="00370F5E">
        <w:rPr>
          <w:rFonts w:ascii="Times New Roman" w:hAnsi="Times New Roman"/>
          <w:sz w:val="24"/>
          <w:szCs w:val="24"/>
        </w:rPr>
        <w:lastRenderedPageBreak/>
        <w:t xml:space="preserve">Studies of the early modern Catholic Church’s apparatus of censorship – the Roman Inquisition and Index of Forbidden Books – were </w:t>
      </w:r>
      <w:r w:rsidR="00FE7578">
        <w:rPr>
          <w:rFonts w:ascii="Times New Roman" w:hAnsi="Times New Roman"/>
          <w:sz w:val="24"/>
          <w:szCs w:val="24"/>
        </w:rPr>
        <w:t>transformed in</w:t>
      </w:r>
      <w:r w:rsidRPr="00370F5E">
        <w:rPr>
          <w:rFonts w:ascii="Times New Roman" w:hAnsi="Times New Roman"/>
          <w:sz w:val="24"/>
          <w:szCs w:val="24"/>
        </w:rPr>
        <w:t xml:space="preserve"> 1998 by the opening of the Archives of the Congregation of the Doctrine of Faith (ACDF). Ugo Baldini and Leen Spruit have made major contributions </w:t>
      </w:r>
      <w:r w:rsidR="003C4C52">
        <w:rPr>
          <w:rFonts w:ascii="Times New Roman" w:hAnsi="Times New Roman"/>
          <w:sz w:val="24"/>
          <w:szCs w:val="24"/>
        </w:rPr>
        <w:t xml:space="preserve">to </w:t>
      </w:r>
      <w:r w:rsidRPr="00370F5E">
        <w:rPr>
          <w:rFonts w:ascii="Times New Roman" w:hAnsi="Times New Roman"/>
          <w:sz w:val="24"/>
          <w:szCs w:val="24"/>
        </w:rPr>
        <w:t>the study of these institutions’ attitudes towards science, primarily by locating and publishing relevant documents from these archives.</w:t>
      </w:r>
      <w:r w:rsidRPr="00370F5E">
        <w:rPr>
          <w:rStyle w:val="FootnoteReference"/>
          <w:rFonts w:ascii="Times New Roman" w:hAnsi="Times New Roman"/>
          <w:sz w:val="24"/>
          <w:szCs w:val="24"/>
        </w:rPr>
        <w:footnoteReference w:id="2"/>
      </w:r>
      <w:r w:rsidR="00240DB5">
        <w:rPr>
          <w:rFonts w:ascii="Times New Roman" w:hAnsi="Times New Roman"/>
          <w:sz w:val="24"/>
          <w:szCs w:val="24"/>
        </w:rPr>
        <w:t xml:space="preserve"> </w:t>
      </w:r>
      <w:r w:rsidR="00B85665">
        <w:rPr>
          <w:rFonts w:ascii="Times New Roman" w:hAnsi="Times New Roman"/>
          <w:sz w:val="24"/>
          <w:szCs w:val="24"/>
        </w:rPr>
        <w:t>They have also provided valuable introductory essays describing the Roman Inquisition’s approach t</w:t>
      </w:r>
      <w:r w:rsidR="00DF5D1F">
        <w:rPr>
          <w:rFonts w:ascii="Times New Roman" w:hAnsi="Times New Roman"/>
          <w:sz w:val="24"/>
          <w:szCs w:val="24"/>
        </w:rPr>
        <w:t>o</w:t>
      </w:r>
      <w:r w:rsidR="00B85665">
        <w:rPr>
          <w:rFonts w:ascii="Times New Roman" w:hAnsi="Times New Roman"/>
          <w:sz w:val="24"/>
          <w:szCs w:val="24"/>
        </w:rPr>
        <w:t xml:space="preserve"> various operative arts. </w:t>
      </w:r>
      <w:r w:rsidR="0080661A">
        <w:rPr>
          <w:rFonts w:ascii="Times New Roman" w:hAnsi="Times New Roman"/>
          <w:sz w:val="24"/>
          <w:szCs w:val="24"/>
        </w:rPr>
        <w:t>When discussing alchemy, t</w:t>
      </w:r>
      <w:r w:rsidRPr="00370F5E">
        <w:rPr>
          <w:rFonts w:ascii="Times New Roman" w:hAnsi="Times New Roman"/>
          <w:sz w:val="24"/>
          <w:szCs w:val="24"/>
        </w:rPr>
        <w:t>hey observed t</w:t>
      </w:r>
      <w:r w:rsidR="0080661A">
        <w:rPr>
          <w:rFonts w:ascii="Times New Roman" w:hAnsi="Times New Roman"/>
          <w:sz w:val="24"/>
          <w:szCs w:val="24"/>
        </w:rPr>
        <w:t>hat</w:t>
      </w:r>
      <w:r w:rsidRPr="00370F5E">
        <w:rPr>
          <w:rFonts w:ascii="Times New Roman" w:hAnsi="Times New Roman"/>
          <w:sz w:val="24"/>
          <w:szCs w:val="24"/>
        </w:rPr>
        <w:t xml:space="preserve"> the</w:t>
      </w:r>
      <w:r w:rsidR="0080661A">
        <w:rPr>
          <w:rFonts w:ascii="Times New Roman" w:hAnsi="Times New Roman"/>
          <w:sz w:val="24"/>
          <w:szCs w:val="24"/>
        </w:rPr>
        <w:t>re had been few trials connected to this art. They also noted that</w:t>
      </w:r>
      <w:r w:rsidR="00240DB5">
        <w:rPr>
          <w:rFonts w:ascii="Times New Roman" w:hAnsi="Times New Roman"/>
          <w:sz w:val="24"/>
          <w:szCs w:val="24"/>
        </w:rPr>
        <w:t xml:space="preserve"> </w:t>
      </w:r>
      <w:r w:rsidR="00B85665">
        <w:rPr>
          <w:rFonts w:ascii="Times New Roman" w:hAnsi="Times New Roman"/>
          <w:sz w:val="24"/>
          <w:szCs w:val="24"/>
        </w:rPr>
        <w:t>alchemy’s status</w:t>
      </w:r>
      <w:r w:rsidRPr="00370F5E">
        <w:rPr>
          <w:rFonts w:ascii="Times New Roman" w:hAnsi="Times New Roman"/>
          <w:sz w:val="24"/>
          <w:szCs w:val="24"/>
        </w:rPr>
        <w:t xml:space="preserve"> was rarely discussed in offici</w:t>
      </w:r>
      <w:r w:rsidR="00DF5D1F">
        <w:rPr>
          <w:rFonts w:ascii="Times New Roman" w:hAnsi="Times New Roman"/>
          <w:sz w:val="24"/>
          <w:szCs w:val="24"/>
        </w:rPr>
        <w:t>al documents, and that</w:t>
      </w:r>
      <w:r w:rsidR="0080661A" w:rsidRPr="00370F5E">
        <w:rPr>
          <w:rFonts w:ascii="Times New Roman" w:hAnsi="Times New Roman"/>
          <w:sz w:val="24"/>
          <w:szCs w:val="24"/>
        </w:rPr>
        <w:t xml:space="preserve"> </w:t>
      </w:r>
      <w:r w:rsidR="0080661A">
        <w:rPr>
          <w:rFonts w:ascii="Times New Roman" w:hAnsi="Times New Roman"/>
          <w:sz w:val="24"/>
          <w:szCs w:val="24"/>
        </w:rPr>
        <w:t xml:space="preserve">understanding </w:t>
      </w:r>
      <w:r w:rsidR="00DF5D1F">
        <w:rPr>
          <w:rFonts w:ascii="Times New Roman" w:hAnsi="Times New Roman"/>
          <w:sz w:val="24"/>
          <w:szCs w:val="24"/>
        </w:rPr>
        <w:t>of</w:t>
      </w:r>
      <w:r w:rsidR="0080661A">
        <w:rPr>
          <w:rFonts w:ascii="Times New Roman" w:hAnsi="Times New Roman"/>
          <w:sz w:val="24"/>
          <w:szCs w:val="24"/>
        </w:rPr>
        <w:t xml:space="preserve"> </w:t>
      </w:r>
      <w:r w:rsidR="00BB39CF">
        <w:rPr>
          <w:rFonts w:ascii="Times New Roman" w:hAnsi="Times New Roman"/>
          <w:sz w:val="24"/>
          <w:szCs w:val="24"/>
        </w:rPr>
        <w:t xml:space="preserve">the </w:t>
      </w:r>
      <w:r w:rsidR="0080661A" w:rsidRPr="00370F5E">
        <w:rPr>
          <w:rFonts w:ascii="Times New Roman" w:hAnsi="Times New Roman"/>
          <w:sz w:val="24"/>
          <w:szCs w:val="24"/>
        </w:rPr>
        <w:t>Inquisition’s</w:t>
      </w:r>
      <w:r w:rsidR="0080661A">
        <w:rPr>
          <w:rFonts w:ascii="Times New Roman" w:hAnsi="Times New Roman"/>
          <w:sz w:val="24"/>
          <w:szCs w:val="24"/>
        </w:rPr>
        <w:t xml:space="preserve"> </w:t>
      </w:r>
      <w:r w:rsidR="0093116C">
        <w:rPr>
          <w:rFonts w:ascii="Times New Roman" w:hAnsi="Times New Roman"/>
          <w:sz w:val="24"/>
          <w:szCs w:val="24"/>
        </w:rPr>
        <w:t xml:space="preserve">changing </w:t>
      </w:r>
      <w:r w:rsidR="0080661A">
        <w:rPr>
          <w:rFonts w:ascii="Times New Roman" w:hAnsi="Times New Roman"/>
          <w:sz w:val="24"/>
          <w:szCs w:val="24"/>
        </w:rPr>
        <w:t>attitude towards this art was</w:t>
      </w:r>
      <w:r w:rsidR="00D10B1F">
        <w:rPr>
          <w:rFonts w:ascii="Times New Roman" w:hAnsi="Times New Roman"/>
          <w:sz w:val="24"/>
          <w:szCs w:val="24"/>
        </w:rPr>
        <w:t xml:space="preserve"> </w:t>
      </w:r>
      <w:r w:rsidR="0080661A">
        <w:rPr>
          <w:rFonts w:ascii="Times New Roman" w:hAnsi="Times New Roman"/>
          <w:sz w:val="24"/>
          <w:szCs w:val="24"/>
        </w:rPr>
        <w:t xml:space="preserve">made more </w:t>
      </w:r>
      <w:r w:rsidR="0080661A" w:rsidRPr="00370F5E">
        <w:rPr>
          <w:rFonts w:ascii="Times New Roman" w:hAnsi="Times New Roman"/>
          <w:sz w:val="24"/>
          <w:szCs w:val="24"/>
        </w:rPr>
        <w:t>complicated by its ambiguous status in theological thought.</w:t>
      </w:r>
      <w:r w:rsidR="0080661A">
        <w:rPr>
          <w:rFonts w:ascii="Times New Roman" w:hAnsi="Times New Roman"/>
          <w:sz w:val="24"/>
          <w:szCs w:val="24"/>
        </w:rPr>
        <w:t xml:space="preserve"> They, nevertheless</w:t>
      </w:r>
      <w:r w:rsidR="00DF5D1F">
        <w:rPr>
          <w:rFonts w:ascii="Times New Roman" w:hAnsi="Times New Roman"/>
          <w:sz w:val="24"/>
          <w:szCs w:val="24"/>
        </w:rPr>
        <w:t>,</w:t>
      </w:r>
      <w:r w:rsidR="0080661A">
        <w:rPr>
          <w:rFonts w:ascii="Times New Roman" w:hAnsi="Times New Roman"/>
          <w:sz w:val="24"/>
          <w:szCs w:val="24"/>
        </w:rPr>
        <w:t xml:space="preserve"> drew the general conclusion</w:t>
      </w:r>
      <w:r w:rsidR="00D10B1F">
        <w:rPr>
          <w:rFonts w:ascii="Times New Roman" w:hAnsi="Times New Roman"/>
          <w:sz w:val="24"/>
          <w:szCs w:val="24"/>
        </w:rPr>
        <w:t xml:space="preserve"> </w:t>
      </w:r>
      <w:r w:rsidR="0080661A">
        <w:rPr>
          <w:rFonts w:ascii="Times New Roman" w:hAnsi="Times New Roman"/>
          <w:sz w:val="24"/>
          <w:szCs w:val="24"/>
        </w:rPr>
        <w:t xml:space="preserve">that alchemy was not necessarily heterodox. When </w:t>
      </w:r>
      <w:r w:rsidRPr="00370F5E">
        <w:rPr>
          <w:rFonts w:ascii="Times New Roman" w:hAnsi="Times New Roman"/>
          <w:sz w:val="24"/>
          <w:szCs w:val="24"/>
        </w:rPr>
        <w:t>individuals were prosecuted for practising alchemy</w:t>
      </w:r>
      <w:r w:rsidR="0080661A">
        <w:rPr>
          <w:rFonts w:ascii="Times New Roman" w:hAnsi="Times New Roman"/>
          <w:sz w:val="24"/>
          <w:szCs w:val="24"/>
        </w:rPr>
        <w:t>,</w:t>
      </w:r>
      <w:r w:rsidRPr="00370F5E">
        <w:rPr>
          <w:rFonts w:ascii="Times New Roman" w:hAnsi="Times New Roman"/>
          <w:sz w:val="24"/>
          <w:szCs w:val="24"/>
        </w:rPr>
        <w:t xml:space="preserve"> it was because they had in some way introduced magic into their activities.</w:t>
      </w:r>
      <w:r w:rsidRPr="00370F5E">
        <w:rPr>
          <w:rFonts w:ascii="Times New Roman" w:hAnsi="Times New Roman"/>
          <w:sz w:val="24"/>
          <w:szCs w:val="24"/>
          <w:vertAlign w:val="superscript"/>
        </w:rPr>
        <w:footnoteReference w:id="3"/>
      </w:r>
      <w:r w:rsidR="00D10B1F">
        <w:rPr>
          <w:rFonts w:ascii="Times New Roman" w:hAnsi="Times New Roman"/>
          <w:sz w:val="24"/>
          <w:szCs w:val="24"/>
        </w:rPr>
        <w:t xml:space="preserve"> </w:t>
      </w:r>
      <w:r w:rsidR="0080661A">
        <w:rPr>
          <w:rFonts w:ascii="Times New Roman" w:hAnsi="Times New Roman"/>
          <w:sz w:val="24"/>
          <w:szCs w:val="24"/>
        </w:rPr>
        <w:t>The complex connection between</w:t>
      </w:r>
      <w:r w:rsidR="00B85665">
        <w:rPr>
          <w:rFonts w:ascii="Times New Roman" w:hAnsi="Times New Roman"/>
          <w:sz w:val="24"/>
          <w:szCs w:val="24"/>
        </w:rPr>
        <w:t xml:space="preserve"> heterodox forms of alchemy</w:t>
      </w:r>
      <w:r w:rsidR="0080661A">
        <w:rPr>
          <w:rFonts w:ascii="Times New Roman" w:hAnsi="Times New Roman"/>
          <w:sz w:val="24"/>
          <w:szCs w:val="24"/>
        </w:rPr>
        <w:t xml:space="preserve"> and magic</w:t>
      </w:r>
      <w:r w:rsidR="00D10B1F">
        <w:rPr>
          <w:rFonts w:ascii="Times New Roman" w:hAnsi="Times New Roman"/>
          <w:sz w:val="24"/>
          <w:szCs w:val="24"/>
        </w:rPr>
        <w:t xml:space="preserve"> </w:t>
      </w:r>
      <w:r w:rsidR="0080661A">
        <w:rPr>
          <w:rFonts w:ascii="Times New Roman" w:hAnsi="Times New Roman"/>
          <w:sz w:val="24"/>
          <w:szCs w:val="24"/>
        </w:rPr>
        <w:t>has also been noted</w:t>
      </w:r>
      <w:r w:rsidR="0078670B">
        <w:rPr>
          <w:rFonts w:ascii="Times New Roman" w:hAnsi="Times New Roman"/>
          <w:sz w:val="24"/>
          <w:szCs w:val="24"/>
        </w:rPr>
        <w:t xml:space="preserve"> by historians of alchemy. </w:t>
      </w:r>
      <w:r w:rsidRPr="00370F5E">
        <w:rPr>
          <w:rFonts w:ascii="Times New Roman" w:hAnsi="Times New Roman"/>
          <w:sz w:val="24"/>
          <w:szCs w:val="24"/>
        </w:rPr>
        <w:t>In a recent review article considering the theme of alchemy and religion in the Middle Ages, Zacharay A. Matus observed that: “There seems to have been no consensus on the part of churchmen as to whether alchemy was, or should have been, associated with magic or necromancy.”</w:t>
      </w:r>
      <w:r w:rsidRPr="00370F5E">
        <w:rPr>
          <w:rFonts w:ascii="Times New Roman" w:hAnsi="Times New Roman"/>
          <w:sz w:val="24"/>
          <w:szCs w:val="24"/>
          <w:vertAlign w:val="superscript"/>
        </w:rPr>
        <w:footnoteReference w:id="4"/>
      </w:r>
      <w:r w:rsidR="00FE7578">
        <w:rPr>
          <w:rFonts w:ascii="Times New Roman" w:hAnsi="Times New Roman"/>
          <w:sz w:val="24"/>
          <w:szCs w:val="24"/>
        </w:rPr>
        <w:t xml:space="preserve"> In short, there was no consensus about whether or not </w:t>
      </w:r>
      <w:r w:rsidR="0080661A">
        <w:rPr>
          <w:rFonts w:ascii="Times New Roman" w:hAnsi="Times New Roman"/>
          <w:sz w:val="24"/>
          <w:szCs w:val="24"/>
        </w:rPr>
        <w:t>it was legi</w:t>
      </w:r>
      <w:r w:rsidR="00453EDC">
        <w:rPr>
          <w:rFonts w:ascii="Times New Roman" w:hAnsi="Times New Roman"/>
          <w:sz w:val="24"/>
          <w:szCs w:val="24"/>
        </w:rPr>
        <w:t>timate for Christians to practis</w:t>
      </w:r>
      <w:r w:rsidR="0080661A">
        <w:rPr>
          <w:rFonts w:ascii="Times New Roman" w:hAnsi="Times New Roman"/>
          <w:sz w:val="24"/>
          <w:szCs w:val="24"/>
        </w:rPr>
        <w:t xml:space="preserve">e </w:t>
      </w:r>
      <w:r w:rsidR="00FE7578">
        <w:rPr>
          <w:rFonts w:ascii="Times New Roman" w:hAnsi="Times New Roman"/>
          <w:sz w:val="24"/>
          <w:szCs w:val="24"/>
        </w:rPr>
        <w:t xml:space="preserve">alchemy. </w:t>
      </w:r>
    </w:p>
    <w:p w14:paraId="1186AAE2" w14:textId="77777777" w:rsidR="00370F5E" w:rsidRPr="00370F5E" w:rsidRDefault="00370F5E" w:rsidP="00370F5E">
      <w:pPr>
        <w:spacing w:line="480" w:lineRule="auto"/>
        <w:ind w:firstLine="720"/>
        <w:rPr>
          <w:rFonts w:ascii="Times New Roman" w:hAnsi="Times New Roman"/>
          <w:sz w:val="24"/>
          <w:szCs w:val="24"/>
        </w:rPr>
      </w:pPr>
      <w:r w:rsidRPr="00370F5E">
        <w:rPr>
          <w:rFonts w:ascii="Times New Roman" w:hAnsi="Times New Roman"/>
          <w:sz w:val="24"/>
          <w:szCs w:val="24"/>
        </w:rPr>
        <w:lastRenderedPageBreak/>
        <w:t xml:space="preserve">Scholars </w:t>
      </w:r>
      <w:r w:rsidR="003C4C52">
        <w:rPr>
          <w:rFonts w:ascii="Times New Roman" w:hAnsi="Times New Roman"/>
          <w:sz w:val="24"/>
          <w:szCs w:val="24"/>
        </w:rPr>
        <w:t xml:space="preserve">have, </w:t>
      </w:r>
      <w:r w:rsidR="00BB39CF">
        <w:rPr>
          <w:rFonts w:ascii="Times New Roman" w:hAnsi="Times New Roman"/>
          <w:sz w:val="24"/>
          <w:szCs w:val="24"/>
        </w:rPr>
        <w:t>nonetheless</w:t>
      </w:r>
      <w:r w:rsidR="003C4C52">
        <w:rPr>
          <w:rFonts w:ascii="Times New Roman" w:hAnsi="Times New Roman"/>
          <w:sz w:val="24"/>
          <w:szCs w:val="24"/>
        </w:rPr>
        <w:t>, reconstructed individual clerics</w:t>
      </w:r>
      <w:r w:rsidR="0093116C">
        <w:rPr>
          <w:rFonts w:ascii="Times New Roman" w:hAnsi="Times New Roman"/>
          <w:sz w:val="24"/>
          <w:szCs w:val="24"/>
        </w:rPr>
        <w:t>’</w:t>
      </w:r>
      <w:r w:rsidR="003C4C52">
        <w:rPr>
          <w:rFonts w:ascii="Times New Roman" w:hAnsi="Times New Roman"/>
          <w:sz w:val="24"/>
          <w:szCs w:val="24"/>
        </w:rPr>
        <w:t xml:space="preserve"> attitudes towards alchemy</w:t>
      </w:r>
      <w:r w:rsidRPr="00370F5E">
        <w:rPr>
          <w:rFonts w:ascii="Times New Roman" w:hAnsi="Times New Roman"/>
          <w:sz w:val="24"/>
          <w:szCs w:val="24"/>
        </w:rPr>
        <w:t xml:space="preserve">. In 1993, Martha Baldwin discussed </w:t>
      </w:r>
      <w:r w:rsidR="00B85665">
        <w:rPr>
          <w:rFonts w:ascii="Times New Roman" w:hAnsi="Times New Roman"/>
          <w:sz w:val="24"/>
          <w:szCs w:val="24"/>
        </w:rPr>
        <w:t>the manner in which</w:t>
      </w:r>
      <w:r w:rsidRPr="00370F5E">
        <w:rPr>
          <w:rFonts w:ascii="Times New Roman" w:hAnsi="Times New Roman"/>
          <w:sz w:val="24"/>
          <w:szCs w:val="24"/>
        </w:rPr>
        <w:t xml:space="preserve"> alchemy </w:t>
      </w:r>
      <w:r w:rsidR="00B85665">
        <w:rPr>
          <w:rFonts w:ascii="Times New Roman" w:hAnsi="Times New Roman"/>
          <w:sz w:val="24"/>
          <w:szCs w:val="24"/>
        </w:rPr>
        <w:t xml:space="preserve">was practised </w:t>
      </w:r>
      <w:r w:rsidRPr="00370F5E">
        <w:rPr>
          <w:rFonts w:ascii="Times New Roman" w:hAnsi="Times New Roman"/>
          <w:sz w:val="24"/>
          <w:szCs w:val="24"/>
        </w:rPr>
        <w:t xml:space="preserve">within the Society of Jesus. She noted that, in his </w:t>
      </w:r>
      <w:r w:rsidRPr="00370F5E">
        <w:rPr>
          <w:rFonts w:ascii="Times New Roman" w:hAnsi="Times New Roman"/>
          <w:i/>
          <w:sz w:val="24"/>
          <w:szCs w:val="24"/>
        </w:rPr>
        <w:t>Disquisitionum</w:t>
      </w:r>
      <w:r w:rsidR="00D10B1F">
        <w:rPr>
          <w:rFonts w:ascii="Times New Roman" w:hAnsi="Times New Roman"/>
          <w:i/>
          <w:sz w:val="24"/>
          <w:szCs w:val="24"/>
        </w:rPr>
        <w:t xml:space="preserve"> </w:t>
      </w:r>
      <w:r w:rsidRPr="00370F5E">
        <w:rPr>
          <w:rFonts w:ascii="Times New Roman" w:hAnsi="Times New Roman"/>
          <w:i/>
          <w:sz w:val="24"/>
          <w:szCs w:val="24"/>
        </w:rPr>
        <w:t>magicarum</w:t>
      </w:r>
      <w:r w:rsidRPr="00370F5E">
        <w:rPr>
          <w:rFonts w:ascii="Times New Roman" w:hAnsi="Times New Roman"/>
          <w:sz w:val="24"/>
          <w:szCs w:val="24"/>
        </w:rPr>
        <w:t>,</w:t>
      </w:r>
      <w:r w:rsidR="00DF5D1F">
        <w:rPr>
          <w:rFonts w:ascii="Times New Roman" w:hAnsi="Times New Roman"/>
          <w:sz w:val="24"/>
          <w:szCs w:val="24"/>
        </w:rPr>
        <w:t xml:space="preserve"> </w:t>
      </w:r>
      <w:r w:rsidRPr="00370F5E">
        <w:rPr>
          <w:rFonts w:ascii="Times New Roman" w:hAnsi="Times New Roman"/>
          <w:sz w:val="24"/>
          <w:szCs w:val="24"/>
        </w:rPr>
        <w:t>Martin del Rio (1551</w:t>
      </w:r>
      <w:r w:rsidR="00BB39CF">
        <w:rPr>
          <w:rFonts w:ascii="Times New Roman" w:hAnsi="Times New Roman"/>
          <w:sz w:val="24"/>
          <w:szCs w:val="24"/>
        </w:rPr>
        <w:t>–</w:t>
      </w:r>
      <w:r w:rsidRPr="00370F5E">
        <w:rPr>
          <w:rFonts w:ascii="Times New Roman" w:hAnsi="Times New Roman"/>
          <w:sz w:val="24"/>
          <w:szCs w:val="24"/>
        </w:rPr>
        <w:t xml:space="preserve">1608) recognised that alchemy often functioned by natural means, and so the possibility of the transmutation of gold should not be dismissed out of hand. Del Rio nevertheless cautioned that when alchemists failed to achieve their desired ends, they might turn to necromancy. </w:t>
      </w:r>
      <w:r w:rsidR="0093116C">
        <w:rPr>
          <w:rFonts w:ascii="Times New Roman" w:hAnsi="Times New Roman"/>
          <w:sz w:val="24"/>
          <w:szCs w:val="24"/>
        </w:rPr>
        <w:t xml:space="preserve">Yet </w:t>
      </w:r>
      <w:r w:rsidRPr="00370F5E">
        <w:rPr>
          <w:rFonts w:ascii="Times New Roman" w:hAnsi="Times New Roman"/>
          <w:sz w:val="24"/>
          <w:szCs w:val="24"/>
        </w:rPr>
        <w:t>Baldwin did not discuss the origins of Del Rio’s thought, or the breadth of support for his opinion.</w:t>
      </w:r>
      <w:r w:rsidRPr="00370F5E">
        <w:rPr>
          <w:rFonts w:ascii="Times New Roman" w:hAnsi="Times New Roman"/>
          <w:sz w:val="24"/>
          <w:szCs w:val="24"/>
          <w:vertAlign w:val="superscript"/>
        </w:rPr>
        <w:footnoteReference w:id="5"/>
      </w:r>
      <w:r w:rsidRPr="00370F5E">
        <w:rPr>
          <w:rFonts w:ascii="Times New Roman" w:hAnsi="Times New Roman"/>
          <w:sz w:val="24"/>
          <w:szCs w:val="24"/>
        </w:rPr>
        <w:t xml:space="preserve"> In 2002, Chiara Crisciani made a similar point. She noted that papal documents, which played a pivotal role in defining heretical magic – most notably </w:t>
      </w:r>
      <w:r w:rsidRPr="00370F5E">
        <w:rPr>
          <w:rFonts w:ascii="Times New Roman" w:hAnsi="Times New Roman"/>
          <w:i/>
          <w:sz w:val="24"/>
          <w:szCs w:val="24"/>
        </w:rPr>
        <w:t>Super</w:t>
      </w:r>
      <w:r w:rsidR="00FD7B56">
        <w:rPr>
          <w:rFonts w:ascii="Times New Roman" w:hAnsi="Times New Roman"/>
          <w:i/>
          <w:sz w:val="24"/>
          <w:szCs w:val="24"/>
        </w:rPr>
        <w:t xml:space="preserve"> </w:t>
      </w:r>
      <w:r w:rsidRPr="00370F5E">
        <w:rPr>
          <w:rFonts w:ascii="Times New Roman" w:hAnsi="Times New Roman"/>
          <w:i/>
          <w:sz w:val="24"/>
          <w:szCs w:val="24"/>
        </w:rPr>
        <w:t>illius specula</w:t>
      </w:r>
      <w:r w:rsidRPr="00370F5E">
        <w:rPr>
          <w:rFonts w:ascii="Times New Roman" w:hAnsi="Times New Roman"/>
          <w:sz w:val="24"/>
          <w:szCs w:val="24"/>
        </w:rPr>
        <w:t xml:space="preserve"> (1326/7) – did not specifically condemn alchemy. She did, however,</w:t>
      </w:r>
      <w:r w:rsidR="00DF5D1F">
        <w:rPr>
          <w:rFonts w:ascii="Times New Roman" w:hAnsi="Times New Roman"/>
          <w:sz w:val="24"/>
          <w:szCs w:val="24"/>
        </w:rPr>
        <w:t xml:space="preserve"> </w:t>
      </w:r>
      <w:r w:rsidRPr="00370F5E">
        <w:rPr>
          <w:rFonts w:ascii="Times New Roman" w:hAnsi="Times New Roman"/>
          <w:sz w:val="24"/>
          <w:szCs w:val="24"/>
        </w:rPr>
        <w:t xml:space="preserve">observe that Nicholas Eymerich, a Dominican Friar, and former Inquisitor General of Aragon, explicitly stated in his </w:t>
      </w:r>
      <w:r w:rsidRPr="00370F5E">
        <w:rPr>
          <w:rFonts w:ascii="Times New Roman" w:hAnsi="Times New Roman"/>
          <w:i/>
          <w:sz w:val="24"/>
          <w:szCs w:val="24"/>
        </w:rPr>
        <w:t>Contra alchimistas</w:t>
      </w:r>
      <w:r w:rsidR="00DF5D1F">
        <w:rPr>
          <w:rFonts w:ascii="Times New Roman" w:hAnsi="Times New Roman"/>
          <w:i/>
          <w:sz w:val="24"/>
          <w:szCs w:val="24"/>
        </w:rPr>
        <w:t xml:space="preserve"> </w:t>
      </w:r>
      <w:r w:rsidRPr="00370F5E">
        <w:rPr>
          <w:rFonts w:ascii="Times New Roman" w:hAnsi="Times New Roman"/>
          <w:sz w:val="24"/>
          <w:szCs w:val="24"/>
        </w:rPr>
        <w:t xml:space="preserve">that when alchemists failed to create gold by natural means they turned to demons for assistance. Consequently, the alchemist could be accused of offering </w:t>
      </w:r>
      <w:r w:rsidRPr="00370F5E">
        <w:rPr>
          <w:rFonts w:ascii="Times New Roman" w:hAnsi="Times New Roman"/>
          <w:i/>
          <w:sz w:val="24"/>
          <w:szCs w:val="24"/>
        </w:rPr>
        <w:t xml:space="preserve">latria </w:t>
      </w:r>
      <w:r w:rsidRPr="00370F5E">
        <w:rPr>
          <w:rFonts w:ascii="Times New Roman" w:hAnsi="Times New Roman"/>
          <w:sz w:val="24"/>
          <w:szCs w:val="24"/>
        </w:rPr>
        <w:t xml:space="preserve">or </w:t>
      </w:r>
      <w:r w:rsidRPr="00370F5E">
        <w:rPr>
          <w:rFonts w:ascii="Times New Roman" w:hAnsi="Times New Roman"/>
          <w:i/>
          <w:sz w:val="24"/>
          <w:szCs w:val="24"/>
        </w:rPr>
        <w:t>dulia</w:t>
      </w:r>
      <w:r w:rsidRPr="00370F5E">
        <w:rPr>
          <w:rFonts w:ascii="Times New Roman" w:hAnsi="Times New Roman"/>
          <w:sz w:val="24"/>
          <w:szCs w:val="24"/>
        </w:rPr>
        <w:t xml:space="preserve"> – that is, the reverence due respectively to God or the saints – to demons, an offence defined in the fourteenth century as a heresy.</w:t>
      </w:r>
      <w:r w:rsidRPr="00370F5E">
        <w:rPr>
          <w:rFonts w:ascii="Times New Roman" w:hAnsi="Times New Roman"/>
          <w:sz w:val="24"/>
          <w:szCs w:val="24"/>
          <w:vertAlign w:val="superscript"/>
        </w:rPr>
        <w:footnoteReference w:id="6"/>
      </w:r>
      <w:r w:rsidR="00481006">
        <w:rPr>
          <w:rFonts w:ascii="Times New Roman" w:hAnsi="Times New Roman"/>
          <w:sz w:val="24"/>
          <w:szCs w:val="24"/>
        </w:rPr>
        <w:t xml:space="preserve"> </w:t>
      </w:r>
      <w:r w:rsidR="00BC580B">
        <w:rPr>
          <w:rFonts w:ascii="Times New Roman" w:hAnsi="Times New Roman"/>
          <w:sz w:val="24"/>
          <w:szCs w:val="24"/>
        </w:rPr>
        <w:t xml:space="preserve">In an important series of publications exploring medieval conceptions of the relationship between art and nature, William R. Newman has argued that </w:t>
      </w:r>
      <w:r w:rsidR="002D2609">
        <w:rPr>
          <w:rFonts w:ascii="Times New Roman" w:hAnsi="Times New Roman"/>
          <w:sz w:val="24"/>
          <w:szCs w:val="24"/>
        </w:rPr>
        <w:t xml:space="preserve">although </w:t>
      </w:r>
      <w:r w:rsidR="00BC580B">
        <w:rPr>
          <w:rFonts w:ascii="Times New Roman" w:hAnsi="Times New Roman"/>
          <w:sz w:val="24"/>
          <w:szCs w:val="24"/>
        </w:rPr>
        <w:t>many influential theologians such as Albertus Magnus and Thomas Aq</w:t>
      </w:r>
      <w:r w:rsidR="002D2609">
        <w:rPr>
          <w:rFonts w:ascii="Times New Roman" w:hAnsi="Times New Roman"/>
          <w:sz w:val="24"/>
          <w:szCs w:val="24"/>
        </w:rPr>
        <w:t>uinas discussed</w:t>
      </w:r>
      <w:r w:rsidR="00BC580B">
        <w:rPr>
          <w:rFonts w:ascii="Times New Roman" w:hAnsi="Times New Roman"/>
          <w:sz w:val="24"/>
          <w:szCs w:val="24"/>
        </w:rPr>
        <w:t xml:space="preserve"> alchemy</w:t>
      </w:r>
      <w:r w:rsidR="002D2609">
        <w:rPr>
          <w:rFonts w:ascii="Times New Roman" w:hAnsi="Times New Roman"/>
          <w:sz w:val="24"/>
          <w:szCs w:val="24"/>
        </w:rPr>
        <w:t>, they were not specifically concerned with determining the orthodoxy of alchemy. Instead, they viewed it as a natural art which could be used to determine the limits of demonic power.</w:t>
      </w:r>
      <w:r w:rsidR="002D2609">
        <w:rPr>
          <w:rStyle w:val="FootnoteReference"/>
          <w:rFonts w:ascii="Times New Roman" w:hAnsi="Times New Roman"/>
          <w:sz w:val="24"/>
          <w:szCs w:val="24"/>
        </w:rPr>
        <w:footnoteReference w:id="7"/>
      </w:r>
    </w:p>
    <w:p w14:paraId="7656542C" w14:textId="77777777" w:rsidR="00034B68" w:rsidRDefault="00305881" w:rsidP="00370F5E">
      <w:pPr>
        <w:spacing w:line="480" w:lineRule="auto"/>
        <w:ind w:firstLine="720"/>
        <w:rPr>
          <w:rFonts w:ascii="Times New Roman" w:hAnsi="Times New Roman"/>
          <w:sz w:val="24"/>
          <w:szCs w:val="24"/>
        </w:rPr>
      </w:pPr>
      <w:r>
        <w:rPr>
          <w:rFonts w:ascii="Times New Roman" w:hAnsi="Times New Roman"/>
          <w:sz w:val="24"/>
          <w:szCs w:val="24"/>
        </w:rPr>
        <w:lastRenderedPageBreak/>
        <w:t>In this article I</w:t>
      </w:r>
      <w:r w:rsidR="00D10B1F">
        <w:rPr>
          <w:rFonts w:ascii="Times New Roman" w:hAnsi="Times New Roman"/>
          <w:sz w:val="24"/>
          <w:szCs w:val="24"/>
        </w:rPr>
        <w:t xml:space="preserve"> </w:t>
      </w:r>
      <w:r>
        <w:rPr>
          <w:rFonts w:ascii="Times New Roman" w:hAnsi="Times New Roman"/>
          <w:sz w:val="24"/>
          <w:szCs w:val="24"/>
        </w:rPr>
        <w:t>place the</w:t>
      </w:r>
      <w:r w:rsidR="0080661A">
        <w:rPr>
          <w:rFonts w:ascii="Times New Roman" w:hAnsi="Times New Roman"/>
          <w:sz w:val="24"/>
          <w:szCs w:val="24"/>
        </w:rPr>
        <w:t>se insights</w:t>
      </w:r>
      <w:r w:rsidR="00D10B1F">
        <w:rPr>
          <w:rFonts w:ascii="Times New Roman" w:hAnsi="Times New Roman"/>
          <w:sz w:val="24"/>
          <w:szCs w:val="24"/>
        </w:rPr>
        <w:t xml:space="preserve"> </w:t>
      </w:r>
      <w:r w:rsidR="00034B68">
        <w:rPr>
          <w:rFonts w:ascii="Times New Roman" w:hAnsi="Times New Roman"/>
          <w:sz w:val="24"/>
          <w:szCs w:val="24"/>
        </w:rPr>
        <w:t>into a broader narrative</w:t>
      </w:r>
      <w:r>
        <w:rPr>
          <w:rFonts w:ascii="Times New Roman" w:hAnsi="Times New Roman"/>
          <w:sz w:val="24"/>
          <w:szCs w:val="24"/>
        </w:rPr>
        <w:t xml:space="preserve"> that</w:t>
      </w:r>
      <w:r w:rsidR="00034B68">
        <w:rPr>
          <w:rFonts w:ascii="Times New Roman" w:hAnsi="Times New Roman"/>
          <w:sz w:val="24"/>
          <w:szCs w:val="24"/>
        </w:rPr>
        <w:t xml:space="preserve"> traces the origins of the Roman Inquisition’s approach </w:t>
      </w:r>
      <w:r w:rsidR="00A630B2">
        <w:rPr>
          <w:rFonts w:ascii="Times New Roman" w:hAnsi="Times New Roman"/>
          <w:sz w:val="24"/>
          <w:szCs w:val="24"/>
        </w:rPr>
        <w:t xml:space="preserve">to </w:t>
      </w:r>
      <w:r w:rsidR="00034B68">
        <w:rPr>
          <w:rFonts w:ascii="Times New Roman" w:hAnsi="Times New Roman"/>
          <w:sz w:val="24"/>
          <w:szCs w:val="24"/>
        </w:rPr>
        <w:t xml:space="preserve">alchemy. </w:t>
      </w:r>
      <w:r w:rsidR="00E27CE7">
        <w:rPr>
          <w:rFonts w:ascii="Times New Roman" w:hAnsi="Times New Roman"/>
          <w:sz w:val="24"/>
          <w:szCs w:val="24"/>
        </w:rPr>
        <w:t xml:space="preserve">By these means I hope to explain the source of some of the ambiguities surrounding the inquisition of </w:t>
      </w:r>
      <w:r w:rsidR="00DE4471">
        <w:rPr>
          <w:rFonts w:ascii="Times New Roman" w:hAnsi="Times New Roman"/>
          <w:sz w:val="24"/>
          <w:szCs w:val="24"/>
        </w:rPr>
        <w:t xml:space="preserve">alchemy in early modern Italy. </w:t>
      </w:r>
      <w:r w:rsidR="003C7DE6">
        <w:rPr>
          <w:rFonts w:ascii="Times New Roman" w:hAnsi="Times New Roman"/>
          <w:sz w:val="24"/>
          <w:szCs w:val="24"/>
        </w:rPr>
        <w:t>As I have argued elsewhere, Thomas Aquinas’s thought provided the basis for the Roman Inquisition’s prosecution of learned magic.</w:t>
      </w:r>
      <w:r w:rsidR="003C7DE6">
        <w:rPr>
          <w:rStyle w:val="FootnoteReference"/>
          <w:rFonts w:ascii="Times New Roman" w:hAnsi="Times New Roman"/>
          <w:sz w:val="24"/>
          <w:szCs w:val="24"/>
        </w:rPr>
        <w:footnoteReference w:id="8"/>
      </w:r>
      <w:r w:rsidR="00D10B1F">
        <w:rPr>
          <w:rFonts w:ascii="Times New Roman" w:hAnsi="Times New Roman"/>
          <w:sz w:val="24"/>
          <w:szCs w:val="24"/>
        </w:rPr>
        <w:t xml:space="preserve"> </w:t>
      </w:r>
      <w:r w:rsidR="00885E0D">
        <w:rPr>
          <w:rFonts w:ascii="Times New Roman" w:hAnsi="Times New Roman"/>
          <w:sz w:val="24"/>
          <w:szCs w:val="24"/>
        </w:rPr>
        <w:t>This institution</w:t>
      </w:r>
      <w:r w:rsidR="003C7DE6">
        <w:rPr>
          <w:rFonts w:ascii="Times New Roman" w:hAnsi="Times New Roman"/>
          <w:sz w:val="24"/>
          <w:szCs w:val="24"/>
        </w:rPr>
        <w:t xml:space="preserve"> </w:t>
      </w:r>
      <w:r w:rsidR="00885E0D">
        <w:rPr>
          <w:rFonts w:ascii="Times New Roman" w:hAnsi="Times New Roman"/>
          <w:sz w:val="24"/>
          <w:szCs w:val="24"/>
        </w:rPr>
        <w:t>possessed</w:t>
      </w:r>
      <w:r>
        <w:rPr>
          <w:rFonts w:ascii="Times New Roman" w:hAnsi="Times New Roman"/>
          <w:sz w:val="24"/>
          <w:szCs w:val="24"/>
        </w:rPr>
        <w:t xml:space="preserve"> no clear criteria for censoring alchemy in the second half of the sixteenth century</w:t>
      </w:r>
      <w:r w:rsidR="007847B2">
        <w:rPr>
          <w:rFonts w:ascii="Times New Roman" w:hAnsi="Times New Roman"/>
          <w:sz w:val="24"/>
          <w:szCs w:val="24"/>
        </w:rPr>
        <w:t>, however</w:t>
      </w:r>
      <w:r>
        <w:rPr>
          <w:rFonts w:ascii="Times New Roman" w:hAnsi="Times New Roman"/>
          <w:sz w:val="24"/>
          <w:szCs w:val="24"/>
        </w:rPr>
        <w:t xml:space="preserve">. </w:t>
      </w:r>
      <w:r w:rsidR="00E27CE7">
        <w:rPr>
          <w:rFonts w:ascii="Times New Roman" w:hAnsi="Times New Roman"/>
          <w:sz w:val="24"/>
          <w:szCs w:val="24"/>
        </w:rPr>
        <w:t xml:space="preserve">I </w:t>
      </w:r>
      <w:r w:rsidR="00885E0D">
        <w:rPr>
          <w:rFonts w:ascii="Times New Roman" w:hAnsi="Times New Roman"/>
          <w:sz w:val="24"/>
          <w:szCs w:val="24"/>
        </w:rPr>
        <w:t>suggest here that the confusion surrounding alchemy stems from</w:t>
      </w:r>
      <w:r w:rsidR="00E27CE7">
        <w:rPr>
          <w:rFonts w:ascii="Times New Roman" w:hAnsi="Times New Roman"/>
          <w:sz w:val="24"/>
          <w:szCs w:val="24"/>
        </w:rPr>
        <w:t xml:space="preserve"> the </w:t>
      </w:r>
      <w:r>
        <w:rPr>
          <w:rFonts w:ascii="Times New Roman" w:hAnsi="Times New Roman"/>
          <w:sz w:val="24"/>
          <w:szCs w:val="24"/>
        </w:rPr>
        <w:t xml:space="preserve">multiple ways </w:t>
      </w:r>
      <w:r w:rsidR="00885E0D">
        <w:rPr>
          <w:rFonts w:ascii="Times New Roman" w:hAnsi="Times New Roman"/>
          <w:sz w:val="24"/>
          <w:szCs w:val="24"/>
        </w:rPr>
        <w:t xml:space="preserve">that </w:t>
      </w:r>
      <w:r>
        <w:rPr>
          <w:rFonts w:ascii="Times New Roman" w:hAnsi="Times New Roman"/>
          <w:sz w:val="24"/>
          <w:szCs w:val="24"/>
        </w:rPr>
        <w:t>the va</w:t>
      </w:r>
      <w:r w:rsidR="0080661A">
        <w:rPr>
          <w:rFonts w:ascii="Times New Roman" w:hAnsi="Times New Roman"/>
          <w:sz w:val="24"/>
          <w:szCs w:val="24"/>
        </w:rPr>
        <w:t xml:space="preserve">rious ideas expressed in </w:t>
      </w:r>
      <w:r>
        <w:rPr>
          <w:rFonts w:ascii="Times New Roman" w:hAnsi="Times New Roman"/>
          <w:sz w:val="24"/>
          <w:szCs w:val="24"/>
        </w:rPr>
        <w:t>Aquinas’s corpus could be interpreted and deployed</w:t>
      </w:r>
      <w:r w:rsidR="00885E0D">
        <w:rPr>
          <w:rFonts w:ascii="Times New Roman" w:hAnsi="Times New Roman"/>
          <w:sz w:val="24"/>
          <w:szCs w:val="24"/>
        </w:rPr>
        <w:t xml:space="preserve">. </w:t>
      </w:r>
      <w:r w:rsidR="00084153">
        <w:rPr>
          <w:rFonts w:ascii="Times New Roman" w:hAnsi="Times New Roman"/>
          <w:sz w:val="24"/>
          <w:szCs w:val="24"/>
        </w:rPr>
        <w:t>Aquinas left an extensive body of thought concerned with the acceptable limits of operative arts such as astrology. He never directly addressed the question of alchemy’s legitimacy, however. Indeed, he mentioned it only infrequently, and when he did so he used it to discuss</w:t>
      </w:r>
      <w:r>
        <w:rPr>
          <w:rFonts w:ascii="Times New Roman" w:hAnsi="Times New Roman"/>
          <w:sz w:val="24"/>
          <w:szCs w:val="24"/>
        </w:rPr>
        <w:t xml:space="preserve"> issues such as the limits of demonic pow</w:t>
      </w:r>
      <w:r w:rsidR="00084153">
        <w:rPr>
          <w:rFonts w:ascii="Times New Roman" w:hAnsi="Times New Roman"/>
          <w:sz w:val="24"/>
          <w:szCs w:val="24"/>
        </w:rPr>
        <w:t>er or the punishment of fraud.</w:t>
      </w:r>
      <w:r>
        <w:rPr>
          <w:rFonts w:ascii="Times New Roman" w:hAnsi="Times New Roman"/>
          <w:sz w:val="24"/>
          <w:szCs w:val="24"/>
        </w:rPr>
        <w:t xml:space="preserve"> In his </w:t>
      </w:r>
      <w:r w:rsidRPr="00305881">
        <w:rPr>
          <w:rFonts w:ascii="Times New Roman" w:hAnsi="Times New Roman"/>
          <w:i/>
          <w:sz w:val="24"/>
          <w:szCs w:val="24"/>
        </w:rPr>
        <w:t>Directorium</w:t>
      </w:r>
      <w:r w:rsidR="00670BE1">
        <w:rPr>
          <w:rFonts w:ascii="Times New Roman" w:hAnsi="Times New Roman"/>
          <w:i/>
          <w:sz w:val="24"/>
          <w:szCs w:val="24"/>
        </w:rPr>
        <w:t xml:space="preserve"> </w:t>
      </w:r>
      <w:r w:rsidRPr="00305881">
        <w:rPr>
          <w:rFonts w:ascii="Times New Roman" w:hAnsi="Times New Roman"/>
          <w:i/>
          <w:sz w:val="24"/>
          <w:szCs w:val="24"/>
        </w:rPr>
        <w:t>inquisitorum</w:t>
      </w:r>
      <w:r>
        <w:rPr>
          <w:rFonts w:ascii="Times New Roman" w:hAnsi="Times New Roman"/>
          <w:sz w:val="24"/>
          <w:szCs w:val="24"/>
        </w:rPr>
        <w:t>,</w:t>
      </w:r>
      <w:r w:rsidR="00481006">
        <w:rPr>
          <w:rFonts w:ascii="Times New Roman" w:hAnsi="Times New Roman"/>
          <w:sz w:val="24"/>
          <w:szCs w:val="24"/>
        </w:rPr>
        <w:t xml:space="preserve"> </w:t>
      </w:r>
      <w:r w:rsidR="00A36A8E">
        <w:rPr>
          <w:rFonts w:ascii="Times New Roman" w:hAnsi="Times New Roman"/>
          <w:sz w:val="24"/>
          <w:szCs w:val="24"/>
        </w:rPr>
        <w:t>Eymerich</w:t>
      </w:r>
      <w:r>
        <w:rPr>
          <w:rFonts w:ascii="Times New Roman" w:hAnsi="Times New Roman"/>
          <w:sz w:val="24"/>
          <w:szCs w:val="24"/>
        </w:rPr>
        <w:t xml:space="preserve"> selectively drew upon Aquinas’s corpus to construct an idiosyncratic justification </w:t>
      </w:r>
      <w:r w:rsidR="00DE4471">
        <w:rPr>
          <w:rFonts w:ascii="Times New Roman" w:hAnsi="Times New Roman"/>
          <w:sz w:val="24"/>
          <w:szCs w:val="24"/>
        </w:rPr>
        <w:t>for the inquisition</w:t>
      </w:r>
      <w:r>
        <w:rPr>
          <w:rFonts w:ascii="Times New Roman" w:hAnsi="Times New Roman"/>
          <w:sz w:val="24"/>
          <w:szCs w:val="24"/>
        </w:rPr>
        <w:t xml:space="preserve"> of </w:t>
      </w:r>
      <w:r w:rsidR="00DE4471">
        <w:rPr>
          <w:rFonts w:ascii="Times New Roman" w:hAnsi="Times New Roman"/>
          <w:sz w:val="24"/>
          <w:szCs w:val="24"/>
        </w:rPr>
        <w:t>various operative</w:t>
      </w:r>
      <w:r>
        <w:rPr>
          <w:rFonts w:ascii="Times New Roman" w:hAnsi="Times New Roman"/>
          <w:sz w:val="24"/>
          <w:szCs w:val="24"/>
        </w:rPr>
        <w:t xml:space="preserve"> arts, including alchemy.Later thinkers </w:t>
      </w:r>
      <w:r w:rsidR="00DE4471">
        <w:rPr>
          <w:rFonts w:ascii="Times New Roman" w:hAnsi="Times New Roman"/>
          <w:sz w:val="24"/>
          <w:szCs w:val="24"/>
        </w:rPr>
        <w:t xml:space="preserve">engaged with the work of both Aquinas and Eymerich in an equally selective manner. A number of </w:t>
      </w:r>
      <w:r>
        <w:rPr>
          <w:rFonts w:ascii="Times New Roman" w:hAnsi="Times New Roman"/>
          <w:sz w:val="24"/>
          <w:szCs w:val="24"/>
        </w:rPr>
        <w:t xml:space="preserve">Dominican friars </w:t>
      </w:r>
      <w:r w:rsidR="00DE4471">
        <w:rPr>
          <w:rFonts w:ascii="Times New Roman" w:hAnsi="Times New Roman"/>
          <w:sz w:val="24"/>
          <w:szCs w:val="24"/>
        </w:rPr>
        <w:t>who wrote important works on magic</w:t>
      </w:r>
      <w:r w:rsidR="00084153">
        <w:rPr>
          <w:rFonts w:ascii="Times New Roman" w:hAnsi="Times New Roman"/>
          <w:sz w:val="24"/>
          <w:szCs w:val="24"/>
        </w:rPr>
        <w:t xml:space="preserve"> during the fifteenth century</w:t>
      </w:r>
      <w:r w:rsidR="00DE4471">
        <w:rPr>
          <w:rFonts w:ascii="Times New Roman" w:hAnsi="Times New Roman"/>
          <w:sz w:val="24"/>
          <w:szCs w:val="24"/>
        </w:rPr>
        <w:t xml:space="preserve">, such </w:t>
      </w:r>
      <w:r>
        <w:rPr>
          <w:rFonts w:ascii="Times New Roman" w:hAnsi="Times New Roman"/>
          <w:sz w:val="24"/>
          <w:szCs w:val="24"/>
        </w:rPr>
        <w:t xml:space="preserve">Johannes Nider, </w:t>
      </w:r>
      <w:r w:rsidR="00845B99">
        <w:rPr>
          <w:rFonts w:ascii="Times New Roman" w:hAnsi="Times New Roman"/>
          <w:sz w:val="24"/>
          <w:szCs w:val="24"/>
        </w:rPr>
        <w:t>Henricus Institoris</w:t>
      </w:r>
      <w:r w:rsidR="001B44E2">
        <w:rPr>
          <w:rFonts w:ascii="Times New Roman" w:hAnsi="Times New Roman"/>
          <w:sz w:val="24"/>
          <w:szCs w:val="24"/>
        </w:rPr>
        <w:t>,</w:t>
      </w:r>
      <w:r w:rsidR="00845B99">
        <w:rPr>
          <w:rFonts w:ascii="Times New Roman" w:hAnsi="Times New Roman"/>
          <w:sz w:val="24"/>
          <w:szCs w:val="24"/>
        </w:rPr>
        <w:t xml:space="preserve"> and Jac</w:t>
      </w:r>
      <w:r w:rsidR="00DE4471">
        <w:rPr>
          <w:rFonts w:ascii="Times New Roman" w:hAnsi="Times New Roman"/>
          <w:sz w:val="24"/>
          <w:szCs w:val="24"/>
        </w:rPr>
        <w:t>ob</w:t>
      </w:r>
      <w:r w:rsidR="00845B99">
        <w:rPr>
          <w:rFonts w:ascii="Times New Roman" w:hAnsi="Times New Roman"/>
          <w:sz w:val="24"/>
          <w:szCs w:val="24"/>
        </w:rPr>
        <w:t>us</w:t>
      </w:r>
      <w:r w:rsidR="00DE4471">
        <w:rPr>
          <w:rFonts w:ascii="Times New Roman" w:hAnsi="Times New Roman"/>
          <w:sz w:val="24"/>
          <w:szCs w:val="24"/>
        </w:rPr>
        <w:t xml:space="preserve"> Sprenger</w:t>
      </w:r>
      <w:r w:rsidR="00084153">
        <w:rPr>
          <w:rFonts w:ascii="Times New Roman" w:hAnsi="Times New Roman"/>
          <w:sz w:val="24"/>
          <w:szCs w:val="24"/>
        </w:rPr>
        <w:t xml:space="preserve"> appeared</w:t>
      </w:r>
      <w:r w:rsidR="00DE4471">
        <w:rPr>
          <w:rFonts w:ascii="Times New Roman" w:hAnsi="Times New Roman"/>
          <w:sz w:val="24"/>
          <w:szCs w:val="24"/>
        </w:rPr>
        <w:t xml:space="preserve">, like Aquinas, </w:t>
      </w:r>
      <w:r w:rsidR="00084153">
        <w:rPr>
          <w:rFonts w:ascii="Times New Roman" w:hAnsi="Times New Roman"/>
          <w:sz w:val="24"/>
          <w:szCs w:val="24"/>
        </w:rPr>
        <w:t xml:space="preserve">to have been </w:t>
      </w:r>
      <w:r w:rsidR="00DE4471">
        <w:rPr>
          <w:rFonts w:ascii="Times New Roman" w:hAnsi="Times New Roman"/>
          <w:sz w:val="24"/>
          <w:szCs w:val="24"/>
        </w:rPr>
        <w:t xml:space="preserve">relatively unconcerned by the practice of alchemy. By contrast the jurist Francisco Peña, editor of the </w:t>
      </w:r>
      <w:r w:rsidR="00DE4471" w:rsidRPr="00DE4471">
        <w:rPr>
          <w:rFonts w:ascii="Times New Roman" w:hAnsi="Times New Roman"/>
          <w:i/>
          <w:sz w:val="24"/>
          <w:szCs w:val="24"/>
        </w:rPr>
        <w:t>Directorium</w:t>
      </w:r>
      <w:r w:rsidR="00845B99">
        <w:rPr>
          <w:rFonts w:ascii="Times New Roman" w:hAnsi="Times New Roman"/>
          <w:sz w:val="24"/>
          <w:szCs w:val="24"/>
        </w:rPr>
        <w:t xml:space="preserve"> and, from 15</w:t>
      </w:r>
      <w:r w:rsidR="00845B99" w:rsidRPr="00BC580B">
        <w:rPr>
          <w:rFonts w:ascii="Times New Roman" w:hAnsi="Times New Roman"/>
          <w:sz w:val="24"/>
          <w:szCs w:val="24"/>
        </w:rPr>
        <w:t>8</w:t>
      </w:r>
      <w:r w:rsidR="00BC580B" w:rsidRPr="00BC580B">
        <w:rPr>
          <w:rFonts w:ascii="Times New Roman" w:hAnsi="Times New Roman"/>
          <w:sz w:val="24"/>
          <w:szCs w:val="24"/>
        </w:rPr>
        <w:t>3</w:t>
      </w:r>
      <w:r w:rsidR="001B44E2">
        <w:rPr>
          <w:rFonts w:ascii="Times New Roman" w:hAnsi="Times New Roman"/>
          <w:sz w:val="24"/>
          <w:szCs w:val="24"/>
        </w:rPr>
        <w:t>,</w:t>
      </w:r>
      <w:r w:rsidR="00670BE1">
        <w:rPr>
          <w:rFonts w:ascii="Times New Roman" w:hAnsi="Times New Roman"/>
          <w:sz w:val="24"/>
          <w:szCs w:val="24"/>
        </w:rPr>
        <w:t xml:space="preserve"> </w:t>
      </w:r>
      <w:r w:rsidR="00DE4471">
        <w:rPr>
          <w:rFonts w:ascii="Times New Roman" w:hAnsi="Times New Roman"/>
          <w:sz w:val="24"/>
          <w:szCs w:val="24"/>
        </w:rPr>
        <w:t xml:space="preserve">consultor to the </w:t>
      </w:r>
      <w:r w:rsidR="00845B99">
        <w:rPr>
          <w:rFonts w:ascii="Times New Roman" w:hAnsi="Times New Roman"/>
          <w:sz w:val="24"/>
          <w:szCs w:val="24"/>
        </w:rPr>
        <w:t>Congregation of the Index</w:t>
      </w:r>
      <w:r w:rsidR="00DE4471">
        <w:rPr>
          <w:rFonts w:ascii="Times New Roman" w:hAnsi="Times New Roman"/>
          <w:sz w:val="24"/>
          <w:szCs w:val="24"/>
        </w:rPr>
        <w:t xml:space="preserve">, endorsed Eymerich’s view that the activities of alchemists were potentially heretical and </w:t>
      </w:r>
      <w:r w:rsidR="00DE4471">
        <w:rPr>
          <w:rFonts w:ascii="Times New Roman" w:hAnsi="Times New Roman"/>
          <w:sz w:val="24"/>
          <w:szCs w:val="24"/>
        </w:rPr>
        <w:lastRenderedPageBreak/>
        <w:t>often warranted further investigation.</w:t>
      </w:r>
      <w:r w:rsidR="00845B99">
        <w:rPr>
          <w:rStyle w:val="FootnoteReference"/>
          <w:rFonts w:ascii="Times New Roman" w:hAnsi="Times New Roman"/>
          <w:sz w:val="24"/>
          <w:szCs w:val="24"/>
        </w:rPr>
        <w:footnoteReference w:id="9"/>
      </w:r>
      <w:r w:rsidR="00DE4471">
        <w:rPr>
          <w:rFonts w:ascii="Times New Roman" w:hAnsi="Times New Roman"/>
          <w:sz w:val="24"/>
          <w:szCs w:val="24"/>
        </w:rPr>
        <w:t xml:space="preserve"> I </w:t>
      </w:r>
      <w:r w:rsidR="0093116C">
        <w:rPr>
          <w:rFonts w:ascii="Times New Roman" w:hAnsi="Times New Roman"/>
          <w:sz w:val="24"/>
          <w:szCs w:val="24"/>
        </w:rPr>
        <w:t>propose</w:t>
      </w:r>
      <w:r w:rsidR="00DE4471">
        <w:rPr>
          <w:rFonts w:ascii="Times New Roman" w:hAnsi="Times New Roman"/>
          <w:sz w:val="24"/>
          <w:szCs w:val="24"/>
        </w:rPr>
        <w:t xml:space="preserve"> that throughout the first half century of its existence, the Roman </w:t>
      </w:r>
      <w:r w:rsidR="0080661A">
        <w:rPr>
          <w:rFonts w:ascii="Times New Roman" w:hAnsi="Times New Roman"/>
          <w:sz w:val="24"/>
          <w:szCs w:val="24"/>
        </w:rPr>
        <w:t>Inquisition’s approach</w:t>
      </w:r>
      <w:r w:rsidR="00DE4471">
        <w:rPr>
          <w:rFonts w:ascii="Times New Roman" w:hAnsi="Times New Roman"/>
          <w:sz w:val="24"/>
          <w:szCs w:val="24"/>
        </w:rPr>
        <w:t xml:space="preserve"> to alchemy </w:t>
      </w:r>
      <w:r w:rsidR="00084153">
        <w:rPr>
          <w:rFonts w:ascii="Times New Roman" w:hAnsi="Times New Roman"/>
          <w:sz w:val="24"/>
          <w:szCs w:val="24"/>
        </w:rPr>
        <w:t>vacillated between the two contrasting models provided by Aquinas and Eymerich.</w:t>
      </w:r>
    </w:p>
    <w:p w14:paraId="68E82567" w14:textId="77777777" w:rsidR="009526FC" w:rsidRPr="00854576" w:rsidRDefault="009526FC" w:rsidP="00153E5C">
      <w:pPr>
        <w:spacing w:after="160" w:line="480" w:lineRule="auto"/>
        <w:jc w:val="center"/>
        <w:rPr>
          <w:rFonts w:ascii="Times New Roman" w:hAnsi="Times New Roman"/>
          <w:sz w:val="24"/>
        </w:rPr>
      </w:pPr>
    </w:p>
    <w:p w14:paraId="2CEFBF5B" w14:textId="77777777" w:rsidR="009526FC" w:rsidRPr="00581599" w:rsidRDefault="009526FC" w:rsidP="00581599">
      <w:pPr>
        <w:spacing w:after="160" w:line="480" w:lineRule="auto"/>
        <w:rPr>
          <w:rFonts w:ascii="Times New Roman" w:hAnsi="Times New Roman"/>
          <w:b/>
          <w:sz w:val="24"/>
        </w:rPr>
      </w:pPr>
      <w:r w:rsidRPr="00581599">
        <w:rPr>
          <w:rFonts w:ascii="Times New Roman" w:hAnsi="Times New Roman"/>
          <w:b/>
          <w:sz w:val="24"/>
        </w:rPr>
        <w:t>The reception of alchemy in medieval Europe</w:t>
      </w:r>
    </w:p>
    <w:p w14:paraId="048CBEDC" w14:textId="77777777" w:rsidR="009526FC" w:rsidRPr="00854576" w:rsidRDefault="009526FC" w:rsidP="00854576">
      <w:pPr>
        <w:spacing w:after="160" w:line="480" w:lineRule="auto"/>
        <w:rPr>
          <w:rFonts w:ascii="Times New Roman" w:hAnsi="Times New Roman"/>
          <w:sz w:val="24"/>
        </w:rPr>
      </w:pPr>
    </w:p>
    <w:p w14:paraId="2682A543" w14:textId="77777777" w:rsidR="009526FC" w:rsidRPr="00854576" w:rsidRDefault="009526FC" w:rsidP="00581599">
      <w:pPr>
        <w:spacing w:after="160" w:line="480" w:lineRule="auto"/>
        <w:rPr>
          <w:rFonts w:ascii="Times New Roman" w:hAnsi="Times New Roman"/>
          <w:sz w:val="24"/>
        </w:rPr>
      </w:pPr>
      <w:r w:rsidRPr="00854576">
        <w:rPr>
          <w:rFonts w:ascii="Times New Roman" w:hAnsi="Times New Roman"/>
          <w:sz w:val="24"/>
        </w:rPr>
        <w:t xml:space="preserve">Alchemy was one of a number of operative arts that came to the attention of Christian intellectuals during the </w:t>
      </w:r>
      <w:r>
        <w:rPr>
          <w:rFonts w:ascii="Times New Roman" w:hAnsi="Times New Roman"/>
          <w:sz w:val="24"/>
        </w:rPr>
        <w:t xml:space="preserve">course of the twelfth century. </w:t>
      </w:r>
      <w:r w:rsidRPr="00854576">
        <w:rPr>
          <w:rFonts w:ascii="Times New Roman" w:hAnsi="Times New Roman"/>
          <w:sz w:val="24"/>
        </w:rPr>
        <w:t>At this time there was no agreed set of criteria f</w:t>
      </w:r>
      <w:r>
        <w:rPr>
          <w:rFonts w:ascii="Times New Roman" w:hAnsi="Times New Roman"/>
          <w:sz w:val="24"/>
        </w:rPr>
        <w:t xml:space="preserve">or assessing their legitimacy. </w:t>
      </w:r>
      <w:r w:rsidRPr="00854576">
        <w:rPr>
          <w:rFonts w:ascii="Times New Roman" w:hAnsi="Times New Roman"/>
          <w:sz w:val="24"/>
        </w:rPr>
        <w:t>Medieval Christians expended considerable energy trying to establish which, if any, were acceptable according to the faith, and determining the correct basi</w:t>
      </w:r>
      <w:r>
        <w:rPr>
          <w:rFonts w:ascii="Times New Roman" w:hAnsi="Times New Roman"/>
          <w:sz w:val="24"/>
        </w:rPr>
        <w:t xml:space="preserve">s for making such a judgement. </w:t>
      </w:r>
      <w:r w:rsidRPr="00854576">
        <w:rPr>
          <w:rFonts w:ascii="Times New Roman" w:hAnsi="Times New Roman"/>
          <w:sz w:val="24"/>
        </w:rPr>
        <w:t>Throughout this period alchemy tended to be treated differ</w:t>
      </w:r>
      <w:r>
        <w:rPr>
          <w:rFonts w:ascii="Times New Roman" w:hAnsi="Times New Roman"/>
          <w:sz w:val="24"/>
        </w:rPr>
        <w:t xml:space="preserve">ently </w:t>
      </w:r>
      <w:r w:rsidR="001D2B92">
        <w:rPr>
          <w:rFonts w:ascii="Times New Roman" w:hAnsi="Times New Roman"/>
          <w:sz w:val="24"/>
        </w:rPr>
        <w:t>from</w:t>
      </w:r>
      <w:r>
        <w:rPr>
          <w:rFonts w:ascii="Times New Roman" w:hAnsi="Times New Roman"/>
          <w:sz w:val="24"/>
        </w:rPr>
        <w:t xml:space="preserve"> other operative arts. </w:t>
      </w:r>
      <w:r w:rsidRPr="00854576">
        <w:rPr>
          <w:rFonts w:ascii="Times New Roman" w:hAnsi="Times New Roman"/>
          <w:sz w:val="24"/>
        </w:rPr>
        <w:t>Unlike astrology, for example, alchemy was rarely, if ever, conceived as a potentially superstitious art, that is, one that may have required the operator to make illicit contact with demons in order to wo</w:t>
      </w:r>
      <w:r>
        <w:rPr>
          <w:rFonts w:ascii="Times New Roman" w:hAnsi="Times New Roman"/>
          <w:sz w:val="24"/>
        </w:rPr>
        <w:t xml:space="preserve">rk his or her desired effects. </w:t>
      </w:r>
      <w:r w:rsidRPr="00854576">
        <w:rPr>
          <w:rFonts w:ascii="Times New Roman" w:hAnsi="Times New Roman"/>
          <w:sz w:val="24"/>
        </w:rPr>
        <w:t xml:space="preserve">This was probably because, unlike </w:t>
      </w:r>
      <w:r>
        <w:rPr>
          <w:rFonts w:ascii="Times New Roman" w:hAnsi="Times New Roman"/>
          <w:sz w:val="24"/>
        </w:rPr>
        <w:t xml:space="preserve">arts such as </w:t>
      </w:r>
      <w:r w:rsidRPr="00854576">
        <w:rPr>
          <w:rFonts w:ascii="Times New Roman" w:hAnsi="Times New Roman"/>
          <w:sz w:val="24"/>
        </w:rPr>
        <w:t>astrology or theurgy, alchemy had never been the subject of a developed tradition of Christian polemic.</w:t>
      </w:r>
      <w:r w:rsidRPr="00854576">
        <w:rPr>
          <w:rFonts w:ascii="Times New Roman" w:hAnsi="Times New Roman"/>
          <w:sz w:val="24"/>
          <w:vertAlign w:val="superscript"/>
        </w:rPr>
        <w:footnoteReference w:id="10"/>
      </w:r>
      <w:r w:rsidR="00481006">
        <w:rPr>
          <w:rFonts w:ascii="Times New Roman" w:hAnsi="Times New Roman"/>
          <w:sz w:val="24"/>
        </w:rPr>
        <w:t xml:space="preserve"> </w:t>
      </w:r>
      <w:r w:rsidRPr="00854576">
        <w:rPr>
          <w:rFonts w:ascii="Times New Roman" w:hAnsi="Times New Roman"/>
          <w:sz w:val="24"/>
        </w:rPr>
        <w:t>Christians were, however, concerned about alc</w:t>
      </w:r>
      <w:r>
        <w:rPr>
          <w:rFonts w:ascii="Times New Roman" w:hAnsi="Times New Roman"/>
          <w:sz w:val="24"/>
        </w:rPr>
        <w:t xml:space="preserve">hemy’s practical implications. </w:t>
      </w:r>
      <w:r w:rsidRPr="00854576">
        <w:rPr>
          <w:rFonts w:ascii="Times New Roman" w:hAnsi="Times New Roman"/>
          <w:sz w:val="24"/>
        </w:rPr>
        <w:t xml:space="preserve">In 1123 the Fathers of the First Lateran Council passed a canon that would shape </w:t>
      </w:r>
      <w:r>
        <w:rPr>
          <w:rFonts w:ascii="Times New Roman" w:hAnsi="Times New Roman"/>
          <w:sz w:val="24"/>
        </w:rPr>
        <w:t>the Church’s response to this art</w:t>
      </w:r>
      <w:r w:rsidRPr="00854576">
        <w:rPr>
          <w:rFonts w:ascii="Times New Roman" w:hAnsi="Times New Roman"/>
          <w:sz w:val="24"/>
        </w:rPr>
        <w:t xml:space="preserve"> over the course o</w:t>
      </w:r>
      <w:r>
        <w:rPr>
          <w:rFonts w:ascii="Times New Roman" w:hAnsi="Times New Roman"/>
          <w:sz w:val="24"/>
        </w:rPr>
        <w:t xml:space="preserve">f the following two centuries. </w:t>
      </w:r>
      <w:r w:rsidRPr="00854576">
        <w:rPr>
          <w:rFonts w:ascii="Times New Roman" w:hAnsi="Times New Roman"/>
          <w:sz w:val="24"/>
        </w:rPr>
        <w:t>It warned that: “Whoeve</w:t>
      </w:r>
      <w:r>
        <w:rPr>
          <w:rFonts w:ascii="Times New Roman" w:hAnsi="Times New Roman"/>
          <w:sz w:val="24"/>
        </w:rPr>
        <w:t xml:space="preserve">r knowingly makes or intentionally spends false money </w:t>
      </w:r>
      <w:r w:rsidRPr="00854576">
        <w:rPr>
          <w:rFonts w:ascii="Times New Roman" w:hAnsi="Times New Roman"/>
          <w:sz w:val="24"/>
        </w:rPr>
        <w:t>is to be separated from the community of the faithful</w:t>
      </w:r>
      <w:r>
        <w:rPr>
          <w:rFonts w:ascii="Times New Roman" w:hAnsi="Times New Roman"/>
          <w:sz w:val="24"/>
        </w:rPr>
        <w:t xml:space="preserve">, as the cursed </w:t>
      </w:r>
      <w:r>
        <w:rPr>
          <w:rFonts w:ascii="Times New Roman" w:hAnsi="Times New Roman"/>
          <w:sz w:val="24"/>
        </w:rPr>
        <w:lastRenderedPageBreak/>
        <w:t>oppressor of</w:t>
      </w:r>
      <w:r w:rsidR="00670BE1">
        <w:rPr>
          <w:rFonts w:ascii="Times New Roman" w:hAnsi="Times New Roman"/>
          <w:sz w:val="24"/>
        </w:rPr>
        <w:t xml:space="preserve"> </w:t>
      </w:r>
      <w:r w:rsidRPr="009229B5">
        <w:rPr>
          <w:rFonts w:ascii="Times New Roman" w:hAnsi="Times New Roman"/>
          <w:sz w:val="24"/>
        </w:rPr>
        <w:t>poor men,</w:t>
      </w:r>
      <w:r w:rsidRPr="00854576">
        <w:rPr>
          <w:rFonts w:ascii="Times New Roman" w:hAnsi="Times New Roman"/>
          <w:sz w:val="24"/>
        </w:rPr>
        <w:t xml:space="preserve"> and also as a disturber of the </w:t>
      </w:r>
      <w:r w:rsidRPr="00854576">
        <w:rPr>
          <w:rFonts w:ascii="Times New Roman" w:hAnsi="Times New Roman"/>
          <w:i/>
          <w:sz w:val="24"/>
        </w:rPr>
        <w:t>civitas</w:t>
      </w:r>
      <w:r w:rsidRPr="00854576">
        <w:rPr>
          <w:rFonts w:ascii="Times New Roman" w:hAnsi="Times New Roman"/>
          <w:sz w:val="24"/>
        </w:rPr>
        <w:t>.”</w:t>
      </w:r>
      <w:r w:rsidRPr="00854576">
        <w:rPr>
          <w:rFonts w:ascii="Times New Roman" w:hAnsi="Times New Roman"/>
          <w:sz w:val="24"/>
          <w:szCs w:val="24"/>
          <w:shd w:val="clear" w:color="auto" w:fill="FFFFFF"/>
          <w:vertAlign w:val="superscript"/>
        </w:rPr>
        <w:footnoteReference w:id="11"/>
      </w:r>
      <w:r w:rsidR="00481006">
        <w:rPr>
          <w:rFonts w:ascii="Times New Roman" w:hAnsi="Times New Roman"/>
          <w:sz w:val="24"/>
        </w:rPr>
        <w:t xml:space="preserve"> </w:t>
      </w:r>
      <w:r w:rsidRPr="00854576">
        <w:rPr>
          <w:rFonts w:ascii="Times New Roman" w:hAnsi="Times New Roman"/>
          <w:sz w:val="24"/>
          <w:szCs w:val="24"/>
          <w:shd w:val="clear" w:color="auto" w:fill="FFFFFF"/>
        </w:rPr>
        <w:t>Although the canon did not specifically mention alchemy or transmutation, it authorised the use of ecclesiastical sanctio</w:t>
      </w:r>
      <w:r>
        <w:rPr>
          <w:rFonts w:ascii="Times New Roman" w:hAnsi="Times New Roman"/>
          <w:sz w:val="24"/>
          <w:szCs w:val="24"/>
          <w:shd w:val="clear" w:color="auto" w:fill="FFFFFF"/>
        </w:rPr>
        <w:t>ns to punish those who produced</w:t>
      </w:r>
      <w:r w:rsidR="00670BE1">
        <w:rPr>
          <w:rFonts w:ascii="Times New Roman" w:hAnsi="Times New Roman"/>
          <w:sz w:val="24"/>
          <w:szCs w:val="24"/>
          <w:shd w:val="clear" w:color="auto" w:fill="FFFFFF"/>
        </w:rPr>
        <w:t xml:space="preserve"> </w:t>
      </w:r>
      <w:r w:rsidRPr="009229B5">
        <w:rPr>
          <w:rFonts w:ascii="Times New Roman" w:hAnsi="Times New Roman"/>
          <w:sz w:val="24"/>
          <w:szCs w:val="24"/>
          <w:shd w:val="clear" w:color="auto" w:fill="FFFFFF"/>
        </w:rPr>
        <w:t xml:space="preserve">or </w:t>
      </w:r>
      <w:r>
        <w:rPr>
          <w:rFonts w:ascii="Times New Roman" w:hAnsi="Times New Roman"/>
          <w:sz w:val="24"/>
          <w:szCs w:val="24"/>
          <w:shd w:val="clear" w:color="auto" w:fill="FFFFFF"/>
        </w:rPr>
        <w:t>used</w:t>
      </w:r>
      <w:r w:rsidRPr="00854576">
        <w:rPr>
          <w:rFonts w:ascii="Times New Roman" w:hAnsi="Times New Roman"/>
          <w:sz w:val="24"/>
          <w:szCs w:val="24"/>
          <w:shd w:val="clear" w:color="auto" w:fill="FFFFFF"/>
        </w:rPr>
        <w:t xml:space="preserve"> fake coin.</w:t>
      </w:r>
    </w:p>
    <w:p w14:paraId="7D0ABCAD" w14:textId="77777777" w:rsidR="00DA39AA" w:rsidRDefault="009526FC" w:rsidP="00D054AA">
      <w:pPr>
        <w:spacing w:after="160" w:line="480" w:lineRule="auto"/>
        <w:ind w:firstLine="720"/>
        <w:rPr>
          <w:rFonts w:ascii="Times New Roman" w:hAnsi="Times New Roman"/>
          <w:sz w:val="24"/>
        </w:rPr>
      </w:pPr>
      <w:r w:rsidRPr="00854576">
        <w:rPr>
          <w:rFonts w:ascii="Times New Roman" w:hAnsi="Times New Roman"/>
          <w:sz w:val="24"/>
          <w:szCs w:val="24"/>
          <w:shd w:val="clear" w:color="auto" w:fill="FFFFFF"/>
        </w:rPr>
        <w:t xml:space="preserve">Discussion of alchemy became more detailed and specific over the course of the thirteenth century. </w:t>
      </w:r>
      <w:r w:rsidRPr="00854576">
        <w:rPr>
          <w:rFonts w:ascii="Times New Roman" w:hAnsi="Times New Roman"/>
          <w:sz w:val="24"/>
        </w:rPr>
        <w:t>By the 1260s</w:t>
      </w:r>
      <w:r>
        <w:rPr>
          <w:rFonts w:ascii="Times New Roman" w:hAnsi="Times New Roman"/>
          <w:sz w:val="24"/>
        </w:rPr>
        <w:t>,</w:t>
      </w:r>
      <w:r w:rsidRPr="00854576">
        <w:rPr>
          <w:rFonts w:ascii="Times New Roman" w:hAnsi="Times New Roman"/>
          <w:sz w:val="24"/>
        </w:rPr>
        <w:t xml:space="preserve"> Christian authors had begun to debate one important aspect of alchemical practice: whether </w:t>
      </w:r>
      <w:r w:rsidRPr="001D2B92">
        <w:rPr>
          <w:rFonts w:ascii="Times New Roman" w:hAnsi="Times New Roman"/>
          <w:i/>
          <w:sz w:val="24"/>
        </w:rPr>
        <w:t>chrysopoeia</w:t>
      </w:r>
      <w:r w:rsidRPr="00854576">
        <w:rPr>
          <w:rFonts w:ascii="Times New Roman" w:hAnsi="Times New Roman"/>
          <w:sz w:val="24"/>
        </w:rPr>
        <w:t xml:space="preserve"> </w:t>
      </w:r>
      <w:r>
        <w:rPr>
          <w:rFonts w:ascii="Times New Roman" w:hAnsi="Times New Roman"/>
          <w:sz w:val="24"/>
        </w:rPr>
        <w:t xml:space="preserve">– the art of transmuting metals – was naturally possible. </w:t>
      </w:r>
      <w:r w:rsidR="00DA40FD">
        <w:rPr>
          <w:rFonts w:ascii="Times New Roman" w:hAnsi="Times New Roman"/>
          <w:sz w:val="24"/>
        </w:rPr>
        <w:t>As William Newman has observed, at this time alchemy was rarely</w:t>
      </w:r>
      <w:r w:rsidR="00E5211D">
        <w:rPr>
          <w:rFonts w:ascii="Times New Roman" w:hAnsi="Times New Roman"/>
          <w:sz w:val="24"/>
        </w:rPr>
        <w:t>,</w:t>
      </w:r>
      <w:r w:rsidR="00DA40FD">
        <w:rPr>
          <w:rFonts w:ascii="Times New Roman" w:hAnsi="Times New Roman"/>
          <w:sz w:val="24"/>
        </w:rPr>
        <w:t xml:space="preserve"> if ever</w:t>
      </w:r>
      <w:r w:rsidR="00E5211D">
        <w:rPr>
          <w:rFonts w:ascii="Times New Roman" w:hAnsi="Times New Roman"/>
          <w:sz w:val="24"/>
        </w:rPr>
        <w:t>,</w:t>
      </w:r>
      <w:r w:rsidR="00DA40FD">
        <w:rPr>
          <w:rFonts w:ascii="Times New Roman" w:hAnsi="Times New Roman"/>
          <w:sz w:val="24"/>
        </w:rPr>
        <w:t xml:space="preserve"> considered a heterodox activity. Instead</w:t>
      </w:r>
      <w:r w:rsidR="00E5211D">
        <w:rPr>
          <w:rFonts w:ascii="Times New Roman" w:hAnsi="Times New Roman"/>
          <w:sz w:val="24"/>
        </w:rPr>
        <w:t>,</w:t>
      </w:r>
      <w:r w:rsidR="00DA40FD">
        <w:rPr>
          <w:rFonts w:ascii="Times New Roman" w:hAnsi="Times New Roman"/>
          <w:sz w:val="24"/>
        </w:rPr>
        <w:t xml:space="preserve"> contemporaries regarded it as </w:t>
      </w:r>
      <w:r w:rsidR="00DA40FD" w:rsidRPr="00DA40FD">
        <w:rPr>
          <w:rFonts w:ascii="Times New Roman" w:hAnsi="Times New Roman"/>
          <w:sz w:val="24"/>
        </w:rPr>
        <w:t>“a perfectly reasonable and sob</w:t>
      </w:r>
      <w:r w:rsidR="001D2B92">
        <w:rPr>
          <w:rFonts w:ascii="Times New Roman" w:hAnsi="Times New Roman"/>
          <w:sz w:val="24"/>
        </w:rPr>
        <w:t>er</w:t>
      </w:r>
      <w:r w:rsidR="00DA40FD" w:rsidRPr="00DA40FD">
        <w:rPr>
          <w:rFonts w:ascii="Times New Roman" w:hAnsi="Times New Roman"/>
          <w:sz w:val="24"/>
        </w:rPr>
        <w:t xml:space="preserve"> offshoot of Aristotle’s matter theory</w:t>
      </w:r>
      <w:r w:rsidR="001B44E2">
        <w:rPr>
          <w:rFonts w:ascii="Times New Roman" w:hAnsi="Times New Roman"/>
          <w:sz w:val="24"/>
        </w:rPr>
        <w:t>.</w:t>
      </w:r>
      <w:r w:rsidR="00DA40FD" w:rsidRPr="00DA40FD">
        <w:rPr>
          <w:rFonts w:ascii="Times New Roman" w:hAnsi="Times New Roman"/>
          <w:sz w:val="24"/>
        </w:rPr>
        <w:t>”</w:t>
      </w:r>
      <w:r w:rsidR="00DA40FD">
        <w:rPr>
          <w:rStyle w:val="FootnoteReference"/>
          <w:rFonts w:ascii="Times New Roman" w:hAnsi="Times New Roman"/>
          <w:sz w:val="24"/>
        </w:rPr>
        <w:footnoteReference w:id="12"/>
      </w:r>
      <w:r w:rsidR="00DF5D1F">
        <w:rPr>
          <w:rFonts w:ascii="Times New Roman" w:hAnsi="Times New Roman"/>
          <w:sz w:val="24"/>
        </w:rPr>
        <w:t xml:space="preserve"> </w:t>
      </w:r>
      <w:r w:rsidR="00DA40FD">
        <w:rPr>
          <w:rFonts w:ascii="Times New Roman" w:hAnsi="Times New Roman"/>
          <w:sz w:val="24"/>
        </w:rPr>
        <w:t xml:space="preserve">Discussion </w:t>
      </w:r>
      <w:r w:rsidR="00845483">
        <w:rPr>
          <w:rFonts w:ascii="Times New Roman" w:hAnsi="Times New Roman"/>
          <w:sz w:val="24"/>
        </w:rPr>
        <w:t xml:space="preserve">therefore </w:t>
      </w:r>
      <w:r w:rsidR="00DA40FD">
        <w:rPr>
          <w:rFonts w:ascii="Times New Roman" w:hAnsi="Times New Roman"/>
          <w:sz w:val="24"/>
        </w:rPr>
        <w:t xml:space="preserve">focussed on the question of whether activities such as </w:t>
      </w:r>
      <w:r w:rsidR="00DA40FD" w:rsidRPr="0033011C">
        <w:rPr>
          <w:rFonts w:ascii="Times New Roman" w:hAnsi="Times New Roman"/>
          <w:i/>
          <w:sz w:val="24"/>
        </w:rPr>
        <w:t xml:space="preserve">chrysopoeia </w:t>
      </w:r>
      <w:r w:rsidR="00DA40FD">
        <w:rPr>
          <w:rFonts w:ascii="Times New Roman" w:hAnsi="Times New Roman"/>
          <w:sz w:val="24"/>
        </w:rPr>
        <w:t>were physically possible rather than whether they were orthodox. D</w:t>
      </w:r>
      <w:r>
        <w:rPr>
          <w:rFonts w:ascii="Times New Roman" w:hAnsi="Times New Roman"/>
          <w:sz w:val="24"/>
        </w:rPr>
        <w:t>ebate tended to centre on a series of</w:t>
      </w:r>
      <w:r w:rsidRPr="00854576">
        <w:rPr>
          <w:rFonts w:ascii="Times New Roman" w:hAnsi="Times New Roman"/>
          <w:sz w:val="24"/>
        </w:rPr>
        <w:t xml:space="preserve"> argument</w:t>
      </w:r>
      <w:r>
        <w:rPr>
          <w:rFonts w:ascii="Times New Roman" w:hAnsi="Times New Roman"/>
          <w:sz w:val="24"/>
        </w:rPr>
        <w:t xml:space="preserve">s developed in the </w:t>
      </w:r>
      <w:r>
        <w:rPr>
          <w:rFonts w:ascii="Times New Roman" w:hAnsi="Times New Roman"/>
          <w:i/>
          <w:sz w:val="24"/>
        </w:rPr>
        <w:t>Kitāb-al Shifāʼ</w:t>
      </w:r>
      <w:r w:rsidR="00ED72C8">
        <w:rPr>
          <w:rFonts w:ascii="Times New Roman" w:hAnsi="Times New Roman"/>
          <w:sz w:val="24"/>
        </w:rPr>
        <w:t xml:space="preserve"> </w:t>
      </w:r>
      <w:r>
        <w:rPr>
          <w:rFonts w:ascii="Times New Roman" w:hAnsi="Times New Roman"/>
          <w:sz w:val="24"/>
        </w:rPr>
        <w:t>(</w:t>
      </w:r>
      <w:r w:rsidRPr="00854576">
        <w:rPr>
          <w:rFonts w:ascii="Times New Roman" w:hAnsi="Times New Roman"/>
          <w:i/>
          <w:sz w:val="24"/>
        </w:rPr>
        <w:t>Book of the Remedy</w:t>
      </w:r>
      <w:r>
        <w:rPr>
          <w:rFonts w:ascii="Times New Roman" w:hAnsi="Times New Roman"/>
          <w:sz w:val="24"/>
        </w:rPr>
        <w:t xml:space="preserve">) </w:t>
      </w:r>
      <w:r w:rsidRPr="00854576">
        <w:rPr>
          <w:rFonts w:ascii="Times New Roman" w:hAnsi="Times New Roman"/>
          <w:sz w:val="24"/>
        </w:rPr>
        <w:t xml:space="preserve">by the Persian philosopher </w:t>
      </w:r>
      <w:r>
        <w:rPr>
          <w:rFonts w:ascii="Times New Roman" w:hAnsi="Times New Roman"/>
          <w:sz w:val="24"/>
        </w:rPr>
        <w:t>ibn-Sīnā (980</w:t>
      </w:r>
      <w:r w:rsidR="00ED72C8">
        <w:rPr>
          <w:rFonts w:ascii="Times New Roman" w:hAnsi="Times New Roman"/>
          <w:sz w:val="24"/>
        </w:rPr>
        <w:t>–</w:t>
      </w:r>
      <w:r>
        <w:rPr>
          <w:rFonts w:ascii="Times New Roman" w:hAnsi="Times New Roman"/>
          <w:sz w:val="24"/>
        </w:rPr>
        <w:t xml:space="preserve">1037), often referred to as </w:t>
      </w:r>
      <w:r w:rsidRPr="00854576">
        <w:rPr>
          <w:rFonts w:ascii="Times New Roman" w:hAnsi="Times New Roman"/>
          <w:sz w:val="24"/>
        </w:rPr>
        <w:t>Avicenna</w:t>
      </w:r>
      <w:r>
        <w:rPr>
          <w:rFonts w:ascii="Times New Roman" w:hAnsi="Times New Roman"/>
          <w:sz w:val="24"/>
        </w:rPr>
        <w:t xml:space="preserve"> in the Latin West. By 1200 an English translator, Alfred of Sarashel</w:t>
      </w:r>
      <w:r w:rsidR="00B85665">
        <w:rPr>
          <w:rFonts w:ascii="Times New Roman" w:hAnsi="Times New Roman"/>
          <w:sz w:val="24"/>
        </w:rPr>
        <w:t>,</w:t>
      </w:r>
      <w:r>
        <w:rPr>
          <w:rFonts w:ascii="Times New Roman" w:hAnsi="Times New Roman"/>
          <w:sz w:val="24"/>
        </w:rPr>
        <w:t xml:space="preserve"> had translated into Latin a section of t</w:t>
      </w:r>
      <w:r w:rsidRPr="00854576">
        <w:rPr>
          <w:rFonts w:ascii="Times New Roman" w:hAnsi="Times New Roman"/>
          <w:sz w:val="24"/>
        </w:rPr>
        <w:t xml:space="preserve">his text </w:t>
      </w:r>
      <w:r>
        <w:rPr>
          <w:rFonts w:ascii="Times New Roman" w:hAnsi="Times New Roman"/>
          <w:sz w:val="24"/>
        </w:rPr>
        <w:t>concerning mete</w:t>
      </w:r>
      <w:r w:rsidR="00DF5D1F">
        <w:rPr>
          <w:rFonts w:ascii="Times New Roman" w:hAnsi="Times New Roman"/>
          <w:sz w:val="24"/>
        </w:rPr>
        <w:t>o</w:t>
      </w:r>
      <w:r>
        <w:rPr>
          <w:rFonts w:ascii="Times New Roman" w:hAnsi="Times New Roman"/>
          <w:sz w:val="24"/>
        </w:rPr>
        <w:t xml:space="preserve">rology. It came to be known as </w:t>
      </w:r>
      <w:r>
        <w:rPr>
          <w:rFonts w:ascii="Times New Roman" w:hAnsi="Times New Roman"/>
          <w:i/>
          <w:sz w:val="24"/>
        </w:rPr>
        <w:t>De congelatione</w:t>
      </w:r>
      <w:r w:rsidR="00670BE1">
        <w:rPr>
          <w:rFonts w:ascii="Times New Roman" w:hAnsi="Times New Roman"/>
          <w:i/>
          <w:sz w:val="24"/>
        </w:rPr>
        <w:t xml:space="preserve"> </w:t>
      </w:r>
      <w:r>
        <w:rPr>
          <w:rFonts w:ascii="Times New Roman" w:hAnsi="Times New Roman"/>
          <w:i/>
          <w:sz w:val="24"/>
        </w:rPr>
        <w:t>et</w:t>
      </w:r>
      <w:r w:rsidR="00670BE1">
        <w:rPr>
          <w:rFonts w:ascii="Times New Roman" w:hAnsi="Times New Roman"/>
          <w:i/>
          <w:sz w:val="24"/>
        </w:rPr>
        <w:t xml:space="preserve"> </w:t>
      </w:r>
      <w:r>
        <w:rPr>
          <w:rFonts w:ascii="Times New Roman" w:hAnsi="Times New Roman"/>
          <w:i/>
          <w:sz w:val="24"/>
        </w:rPr>
        <w:t>conglutinatione</w:t>
      </w:r>
      <w:r w:rsidR="00670BE1">
        <w:rPr>
          <w:rFonts w:ascii="Times New Roman" w:hAnsi="Times New Roman"/>
          <w:i/>
          <w:sz w:val="24"/>
        </w:rPr>
        <w:t xml:space="preserve"> </w:t>
      </w:r>
      <w:r>
        <w:rPr>
          <w:rFonts w:ascii="Times New Roman" w:hAnsi="Times New Roman"/>
          <w:i/>
          <w:sz w:val="24"/>
        </w:rPr>
        <w:t>lapidum</w:t>
      </w:r>
      <w:r>
        <w:rPr>
          <w:rFonts w:ascii="Times New Roman" w:hAnsi="Times New Roman"/>
          <w:sz w:val="24"/>
        </w:rPr>
        <w:t>. Later Christian scholars</w:t>
      </w:r>
      <w:r w:rsidRPr="00854576">
        <w:rPr>
          <w:rFonts w:ascii="Times New Roman" w:hAnsi="Times New Roman"/>
          <w:sz w:val="24"/>
        </w:rPr>
        <w:t xml:space="preserve"> erroneously attributed it to Arist</w:t>
      </w:r>
      <w:r>
        <w:rPr>
          <w:rFonts w:ascii="Times New Roman" w:hAnsi="Times New Roman"/>
          <w:sz w:val="24"/>
        </w:rPr>
        <w:t>otle. In one section of this text Avicenna developed a clear dictum, rendered in</w:t>
      </w:r>
      <w:r w:rsidRPr="00854576">
        <w:rPr>
          <w:rFonts w:ascii="Times New Roman" w:hAnsi="Times New Roman"/>
          <w:sz w:val="24"/>
        </w:rPr>
        <w:t xml:space="preserve"> Latin as</w:t>
      </w:r>
      <w:r>
        <w:rPr>
          <w:rFonts w:ascii="Times New Roman" w:hAnsi="Times New Roman"/>
          <w:sz w:val="24"/>
        </w:rPr>
        <w:t>:</w:t>
      </w:r>
      <w:r w:rsidR="00DF5D1F">
        <w:rPr>
          <w:rFonts w:ascii="Times New Roman" w:hAnsi="Times New Roman"/>
          <w:sz w:val="24"/>
        </w:rPr>
        <w:t xml:space="preserve"> </w:t>
      </w:r>
      <w:r>
        <w:rPr>
          <w:rFonts w:ascii="Times New Roman" w:hAnsi="Times New Roman"/>
          <w:sz w:val="24"/>
        </w:rPr>
        <w:t>“</w:t>
      </w:r>
      <w:r w:rsidRPr="00A61EE5">
        <w:rPr>
          <w:rFonts w:ascii="Times New Roman" w:hAnsi="Times New Roman"/>
          <w:sz w:val="24"/>
        </w:rPr>
        <w:t>Sciant artifices alchimiae, species transformari non posse</w:t>
      </w:r>
      <w:r>
        <w:rPr>
          <w:rFonts w:ascii="Times New Roman" w:hAnsi="Times New Roman"/>
          <w:sz w:val="24"/>
        </w:rPr>
        <w:t>.”</w:t>
      </w:r>
      <w:r w:rsidRPr="00854576">
        <w:rPr>
          <w:rFonts w:ascii="Times New Roman" w:hAnsi="Times New Roman"/>
          <w:sz w:val="24"/>
        </w:rPr>
        <w:t xml:space="preserve"> (Alchemical authors should know that species cannot be transformed</w:t>
      </w:r>
      <w:r w:rsidR="001D2B92">
        <w:rPr>
          <w:rFonts w:ascii="Times New Roman" w:hAnsi="Times New Roman"/>
          <w:sz w:val="24"/>
        </w:rPr>
        <w:t>.</w:t>
      </w:r>
      <w:r w:rsidRPr="00854576">
        <w:rPr>
          <w:rFonts w:ascii="Times New Roman" w:hAnsi="Times New Roman"/>
          <w:sz w:val="24"/>
        </w:rPr>
        <w:t xml:space="preserve">) Avicenna’s point was </w:t>
      </w:r>
      <w:r w:rsidRPr="00854576">
        <w:rPr>
          <w:rFonts w:ascii="Times New Roman" w:hAnsi="Times New Roman"/>
          <w:sz w:val="24"/>
        </w:rPr>
        <w:lastRenderedPageBreak/>
        <w:t>that since humans could not know the specific underlying differences that constituted the species of a particular metal, they could not change them.</w:t>
      </w:r>
      <w:r w:rsidR="00DA39AA" w:rsidRPr="00854576">
        <w:rPr>
          <w:rFonts w:ascii="Times New Roman" w:hAnsi="Times New Roman"/>
          <w:sz w:val="24"/>
          <w:vertAlign w:val="superscript"/>
        </w:rPr>
        <w:footnoteReference w:id="13"/>
      </w:r>
    </w:p>
    <w:p w14:paraId="1FF521AD" w14:textId="77777777" w:rsidR="00DF74DB" w:rsidRDefault="001052D5" w:rsidP="00DF74DB">
      <w:pPr>
        <w:spacing w:after="160" w:line="480" w:lineRule="auto"/>
        <w:ind w:firstLine="720"/>
        <w:rPr>
          <w:rFonts w:ascii="Times New Roman" w:hAnsi="Times New Roman"/>
          <w:sz w:val="24"/>
          <w:szCs w:val="24"/>
        </w:rPr>
      </w:pPr>
      <w:r>
        <w:rPr>
          <w:rFonts w:ascii="Times New Roman" w:hAnsi="Times New Roman"/>
          <w:sz w:val="24"/>
        </w:rPr>
        <w:t xml:space="preserve">Christian theologians began to use </w:t>
      </w:r>
      <w:r>
        <w:rPr>
          <w:rFonts w:ascii="Times New Roman" w:hAnsi="Times New Roman"/>
          <w:i/>
          <w:sz w:val="24"/>
        </w:rPr>
        <w:t xml:space="preserve">Sciant artifices </w:t>
      </w:r>
      <w:r>
        <w:rPr>
          <w:rFonts w:ascii="Times New Roman" w:hAnsi="Times New Roman"/>
          <w:sz w:val="24"/>
        </w:rPr>
        <w:t xml:space="preserve">in unexpected ways. </w:t>
      </w:r>
      <w:r w:rsidR="00C23586">
        <w:rPr>
          <w:rFonts w:ascii="Times New Roman" w:hAnsi="Times New Roman"/>
          <w:sz w:val="24"/>
        </w:rPr>
        <w:t>In</w:t>
      </w:r>
      <w:r w:rsidR="00F66AAF">
        <w:rPr>
          <w:rFonts w:ascii="Times New Roman" w:hAnsi="Times New Roman"/>
          <w:sz w:val="24"/>
        </w:rPr>
        <w:t xml:space="preserve"> t</w:t>
      </w:r>
      <w:r w:rsidR="009526FC" w:rsidRPr="00854576">
        <w:rPr>
          <w:rFonts w:ascii="Times New Roman" w:hAnsi="Times New Roman"/>
          <w:sz w:val="24"/>
        </w:rPr>
        <w:t>he</w:t>
      </w:r>
      <w:r w:rsidR="00C23586">
        <w:rPr>
          <w:rFonts w:ascii="Times New Roman" w:hAnsi="Times New Roman"/>
          <w:sz w:val="24"/>
        </w:rPr>
        <w:t xml:space="preserve"> late 1240s the</w:t>
      </w:r>
      <w:r w:rsidR="009526FC" w:rsidRPr="00854576">
        <w:rPr>
          <w:rFonts w:ascii="Times New Roman" w:hAnsi="Times New Roman"/>
          <w:sz w:val="24"/>
        </w:rPr>
        <w:t xml:space="preserve"> Dominican friar Albertus Magnus (</w:t>
      </w:r>
      <w:r w:rsidR="00ED72C8">
        <w:rPr>
          <w:rFonts w:ascii="Times New Roman" w:hAnsi="Times New Roman"/>
          <w:i/>
          <w:sz w:val="24"/>
        </w:rPr>
        <w:t>ca.</w:t>
      </w:r>
      <w:r w:rsidR="00ED72C8">
        <w:rPr>
          <w:rFonts w:ascii="Times New Roman" w:hAnsi="Times New Roman"/>
          <w:sz w:val="24"/>
        </w:rPr>
        <w:t xml:space="preserve"> </w:t>
      </w:r>
      <w:r w:rsidR="009526FC" w:rsidRPr="00854576">
        <w:rPr>
          <w:rFonts w:ascii="Times New Roman" w:hAnsi="Times New Roman"/>
          <w:sz w:val="24"/>
        </w:rPr>
        <w:t>1200</w:t>
      </w:r>
      <w:r w:rsidR="00ED72C8">
        <w:rPr>
          <w:rFonts w:ascii="Times New Roman" w:hAnsi="Times New Roman"/>
          <w:sz w:val="24"/>
        </w:rPr>
        <w:t>–</w:t>
      </w:r>
      <w:r w:rsidR="009526FC" w:rsidRPr="00854576">
        <w:rPr>
          <w:rFonts w:ascii="Times New Roman" w:hAnsi="Times New Roman"/>
          <w:sz w:val="24"/>
        </w:rPr>
        <w:t xml:space="preserve">1280) </w:t>
      </w:r>
      <w:r w:rsidR="00401E0B">
        <w:rPr>
          <w:rFonts w:ascii="Times New Roman" w:hAnsi="Times New Roman"/>
          <w:sz w:val="24"/>
        </w:rPr>
        <w:t>completed his</w:t>
      </w:r>
      <w:r w:rsidR="00F66AAF">
        <w:rPr>
          <w:rFonts w:ascii="Times New Roman" w:hAnsi="Times New Roman"/>
          <w:sz w:val="24"/>
        </w:rPr>
        <w:t xml:space="preserve"> commentary</w:t>
      </w:r>
      <w:r w:rsidR="00401E0B">
        <w:rPr>
          <w:rFonts w:ascii="Times New Roman" w:hAnsi="Times New Roman"/>
          <w:sz w:val="24"/>
        </w:rPr>
        <w:t xml:space="preserve"> on </w:t>
      </w:r>
      <w:r w:rsidR="00401E0B">
        <w:rPr>
          <w:rFonts w:ascii="Times New Roman" w:hAnsi="Times New Roman"/>
          <w:i/>
          <w:sz w:val="24"/>
        </w:rPr>
        <w:t>The</w:t>
      </w:r>
      <w:r w:rsidR="00ED72C8">
        <w:rPr>
          <w:rFonts w:ascii="Times New Roman" w:hAnsi="Times New Roman"/>
          <w:i/>
          <w:sz w:val="24"/>
        </w:rPr>
        <w:t xml:space="preserve"> </w:t>
      </w:r>
      <w:r w:rsidRPr="00F66AAF">
        <w:rPr>
          <w:rFonts w:ascii="Times New Roman" w:hAnsi="Times New Roman"/>
          <w:i/>
          <w:sz w:val="24"/>
        </w:rPr>
        <w:t>Sentences</w:t>
      </w:r>
      <w:r>
        <w:rPr>
          <w:rFonts w:ascii="Times New Roman" w:hAnsi="Times New Roman"/>
          <w:sz w:val="24"/>
        </w:rPr>
        <w:t xml:space="preserve"> of Peter Lombard.</w:t>
      </w:r>
      <w:r w:rsidR="00A51E78">
        <w:rPr>
          <w:rFonts w:ascii="Times New Roman" w:hAnsi="Times New Roman"/>
          <w:sz w:val="24"/>
        </w:rPr>
        <w:t xml:space="preserve"> Displaying mastery of this text was one of the stages in the training of a theologian.</w:t>
      </w:r>
      <w:r w:rsidR="003F188C">
        <w:rPr>
          <w:rFonts w:ascii="Times New Roman" w:hAnsi="Times New Roman"/>
          <w:sz w:val="24"/>
        </w:rPr>
        <w:t xml:space="preserve"> </w:t>
      </w:r>
      <w:r>
        <w:rPr>
          <w:rFonts w:ascii="Times New Roman" w:hAnsi="Times New Roman"/>
          <w:sz w:val="24"/>
        </w:rPr>
        <w:t>In book 2 distinction 7</w:t>
      </w:r>
      <w:r w:rsidR="00F66AAF">
        <w:rPr>
          <w:rFonts w:ascii="Times New Roman" w:hAnsi="Times New Roman"/>
          <w:sz w:val="24"/>
        </w:rPr>
        <w:t>,</w:t>
      </w:r>
      <w:r w:rsidR="003F188C">
        <w:rPr>
          <w:rFonts w:ascii="Times New Roman" w:hAnsi="Times New Roman"/>
          <w:sz w:val="24"/>
        </w:rPr>
        <w:t xml:space="preserve"> </w:t>
      </w:r>
      <w:r w:rsidR="00F66AAF">
        <w:rPr>
          <w:rFonts w:ascii="Times New Roman" w:hAnsi="Times New Roman"/>
          <w:sz w:val="24"/>
        </w:rPr>
        <w:t xml:space="preserve">Albertus discussed the question of whether demons can induce a substantial form in transmuted bodies. </w:t>
      </w:r>
      <w:r w:rsidR="00DF74DB" w:rsidRPr="00854576">
        <w:rPr>
          <w:rFonts w:ascii="Times New Roman" w:hAnsi="Times New Roman"/>
          <w:sz w:val="24"/>
        </w:rPr>
        <w:t>Following established scholastic methods, he p</w:t>
      </w:r>
      <w:r w:rsidR="00DF74DB">
        <w:rPr>
          <w:rFonts w:ascii="Times New Roman" w:hAnsi="Times New Roman"/>
          <w:sz w:val="24"/>
        </w:rPr>
        <w:t>roduced a number of arguments</w:t>
      </w:r>
      <w:r w:rsidR="003F188C">
        <w:rPr>
          <w:rFonts w:ascii="Times New Roman" w:hAnsi="Times New Roman"/>
          <w:sz w:val="24"/>
        </w:rPr>
        <w:t xml:space="preserve"> </w:t>
      </w:r>
      <w:r w:rsidR="00DF74DB">
        <w:rPr>
          <w:rFonts w:ascii="Times New Roman" w:hAnsi="Times New Roman"/>
          <w:sz w:val="24"/>
        </w:rPr>
        <w:t xml:space="preserve">against </w:t>
      </w:r>
      <w:r w:rsidR="00401E0B">
        <w:rPr>
          <w:rFonts w:ascii="Times New Roman" w:hAnsi="Times New Roman"/>
          <w:sz w:val="24"/>
        </w:rPr>
        <w:t xml:space="preserve">and for </w:t>
      </w:r>
      <w:r w:rsidR="00DF74DB">
        <w:rPr>
          <w:rFonts w:ascii="Times New Roman" w:hAnsi="Times New Roman"/>
          <w:sz w:val="24"/>
        </w:rPr>
        <w:t xml:space="preserve">the proposition. </w:t>
      </w:r>
      <w:r w:rsidR="00F66AAF">
        <w:rPr>
          <w:rFonts w:ascii="Times New Roman" w:hAnsi="Times New Roman"/>
          <w:sz w:val="24"/>
        </w:rPr>
        <w:t xml:space="preserve">In a novel departure, Albertus presented the </w:t>
      </w:r>
      <w:r w:rsidR="00B85665" w:rsidRPr="00B85665">
        <w:rPr>
          <w:rFonts w:ascii="Times New Roman" w:hAnsi="Times New Roman"/>
          <w:i/>
          <w:sz w:val="24"/>
        </w:rPr>
        <w:t>Sciant artifices</w:t>
      </w:r>
      <w:r w:rsidR="00B85665">
        <w:rPr>
          <w:rFonts w:ascii="Times New Roman" w:hAnsi="Times New Roman"/>
          <w:sz w:val="24"/>
        </w:rPr>
        <w:t xml:space="preserve"> – which he attributed to Aristotle – as an argument</w:t>
      </w:r>
      <w:r w:rsidR="00401E0B">
        <w:rPr>
          <w:rFonts w:ascii="Times New Roman" w:hAnsi="Times New Roman"/>
          <w:sz w:val="24"/>
        </w:rPr>
        <w:t xml:space="preserve"> against the proposition</w:t>
      </w:r>
      <w:r w:rsidR="00F66AAF">
        <w:rPr>
          <w:rFonts w:ascii="Times New Roman" w:hAnsi="Times New Roman"/>
          <w:sz w:val="24"/>
        </w:rPr>
        <w:t xml:space="preserve">. </w:t>
      </w:r>
      <w:r w:rsidR="00F66AAF" w:rsidRPr="00F66AAF">
        <w:rPr>
          <w:rFonts w:ascii="Times New Roman" w:hAnsi="Times New Roman"/>
          <w:sz w:val="24"/>
          <w:szCs w:val="24"/>
        </w:rPr>
        <w:t xml:space="preserve">“Aristotle says in </w:t>
      </w:r>
      <w:r w:rsidR="00F66AAF" w:rsidRPr="00F66AAF">
        <w:rPr>
          <w:rFonts w:ascii="Times New Roman" w:hAnsi="Times New Roman"/>
          <w:i/>
          <w:sz w:val="24"/>
          <w:szCs w:val="24"/>
        </w:rPr>
        <w:t>Meteorology IV</w:t>
      </w:r>
      <w:r w:rsidR="00F66AAF" w:rsidRPr="00F66AAF">
        <w:rPr>
          <w:rFonts w:ascii="Times New Roman" w:hAnsi="Times New Roman"/>
          <w:sz w:val="24"/>
          <w:szCs w:val="24"/>
        </w:rPr>
        <w:t xml:space="preserve"> that ‘the artificers of alchemy should know that species cannot be transmuted’; therefore demons cannot [transmute them], because they work only b</w:t>
      </w:r>
      <w:r w:rsidR="00DF5D1F">
        <w:rPr>
          <w:rFonts w:ascii="Times New Roman" w:hAnsi="Times New Roman"/>
          <w:sz w:val="24"/>
          <w:szCs w:val="24"/>
        </w:rPr>
        <w:t>y</w:t>
      </w:r>
      <w:r w:rsidR="00F66AAF" w:rsidRPr="00F66AAF">
        <w:rPr>
          <w:rFonts w:ascii="Times New Roman" w:hAnsi="Times New Roman"/>
          <w:sz w:val="24"/>
          <w:szCs w:val="24"/>
        </w:rPr>
        <w:t xml:space="preserve"> means of art.”</w:t>
      </w:r>
      <w:r w:rsidR="003F188C">
        <w:rPr>
          <w:rFonts w:ascii="Times New Roman" w:hAnsi="Times New Roman"/>
          <w:sz w:val="24"/>
          <w:szCs w:val="24"/>
        </w:rPr>
        <w:t xml:space="preserve"> </w:t>
      </w:r>
      <w:r w:rsidR="00200466">
        <w:rPr>
          <w:rFonts w:ascii="Times New Roman" w:hAnsi="Times New Roman"/>
          <w:sz w:val="24"/>
          <w:szCs w:val="24"/>
        </w:rPr>
        <w:t xml:space="preserve">This was an early example of alchemy being used to consider the limits of demonic power. </w:t>
      </w:r>
      <w:r w:rsidR="00DF74DB">
        <w:rPr>
          <w:rFonts w:ascii="Times New Roman" w:hAnsi="Times New Roman"/>
          <w:sz w:val="24"/>
        </w:rPr>
        <w:t>Albertus did not</w:t>
      </w:r>
      <w:r w:rsidR="00200466">
        <w:rPr>
          <w:rFonts w:ascii="Times New Roman" w:hAnsi="Times New Roman"/>
          <w:sz w:val="24"/>
        </w:rPr>
        <w:t xml:space="preserve"> use it</w:t>
      </w:r>
      <w:r w:rsidR="00DF74DB" w:rsidRPr="00854576">
        <w:rPr>
          <w:rFonts w:ascii="Times New Roman" w:hAnsi="Times New Roman"/>
          <w:sz w:val="24"/>
        </w:rPr>
        <w:t xml:space="preserve"> because he considered alchemy to be </w:t>
      </w:r>
      <w:r w:rsidR="00DF74DB">
        <w:rPr>
          <w:rFonts w:ascii="Times New Roman" w:hAnsi="Times New Roman"/>
          <w:sz w:val="24"/>
        </w:rPr>
        <w:t>necessarily</w:t>
      </w:r>
      <w:r w:rsidR="00DF74DB" w:rsidRPr="00854576">
        <w:rPr>
          <w:rFonts w:ascii="Times New Roman" w:hAnsi="Times New Roman"/>
          <w:sz w:val="24"/>
        </w:rPr>
        <w:t xml:space="preserve"> connected with dem</w:t>
      </w:r>
      <w:r w:rsidR="00DF74DB">
        <w:rPr>
          <w:rFonts w:ascii="Times New Roman" w:hAnsi="Times New Roman"/>
          <w:sz w:val="24"/>
        </w:rPr>
        <w:t>ons. On the contrary, as</w:t>
      </w:r>
      <w:r w:rsidR="00DF74DB" w:rsidRPr="00854576">
        <w:rPr>
          <w:rFonts w:ascii="Times New Roman" w:hAnsi="Times New Roman"/>
          <w:sz w:val="24"/>
        </w:rPr>
        <w:t xml:space="preserve"> Newman has observed, this argument derived its </w:t>
      </w:r>
      <w:r w:rsidR="00DF74DB">
        <w:rPr>
          <w:rFonts w:ascii="Times New Roman" w:hAnsi="Times New Roman"/>
          <w:sz w:val="24"/>
        </w:rPr>
        <w:t xml:space="preserve">heuristic </w:t>
      </w:r>
      <w:r w:rsidR="00DF74DB" w:rsidRPr="00854576">
        <w:rPr>
          <w:rFonts w:ascii="Times New Roman" w:hAnsi="Times New Roman"/>
          <w:sz w:val="24"/>
        </w:rPr>
        <w:t>power from the fact tha</w:t>
      </w:r>
      <w:r w:rsidR="00DF74DB">
        <w:rPr>
          <w:rFonts w:ascii="Times New Roman" w:hAnsi="Times New Roman"/>
          <w:sz w:val="24"/>
        </w:rPr>
        <w:t>t he and many of his contemporaries</w:t>
      </w:r>
      <w:r w:rsidR="003F188C">
        <w:rPr>
          <w:rFonts w:ascii="Times New Roman" w:hAnsi="Times New Roman"/>
          <w:sz w:val="24"/>
        </w:rPr>
        <w:t xml:space="preserve"> </w:t>
      </w:r>
      <w:r w:rsidR="00DF74DB">
        <w:rPr>
          <w:rFonts w:ascii="Times New Roman" w:hAnsi="Times New Roman"/>
          <w:sz w:val="24"/>
        </w:rPr>
        <w:t>considered it to be a human art</w:t>
      </w:r>
      <w:r w:rsidR="00DF74DB" w:rsidRPr="00854576">
        <w:rPr>
          <w:rFonts w:ascii="Times New Roman" w:hAnsi="Times New Roman"/>
          <w:sz w:val="24"/>
        </w:rPr>
        <w:t>.</w:t>
      </w:r>
      <w:r w:rsidR="00A813ED">
        <w:rPr>
          <w:rFonts w:ascii="Times New Roman" w:hAnsi="Times New Roman"/>
          <w:sz w:val="24"/>
        </w:rPr>
        <w:t xml:space="preserve"> </w:t>
      </w:r>
      <w:r w:rsidR="00F66AAF">
        <w:rPr>
          <w:rFonts w:ascii="Times New Roman" w:hAnsi="Times New Roman"/>
          <w:sz w:val="24"/>
          <w:szCs w:val="24"/>
        </w:rPr>
        <w:t>In this particular commentary, Albertus agreed that</w:t>
      </w:r>
      <w:r w:rsidR="00F66AAF" w:rsidRPr="0033011C">
        <w:rPr>
          <w:rFonts w:ascii="Times New Roman" w:hAnsi="Times New Roman"/>
          <w:i/>
          <w:sz w:val="24"/>
          <w:szCs w:val="24"/>
        </w:rPr>
        <w:t xml:space="preserve"> chrysopoeia</w:t>
      </w:r>
      <w:r w:rsidR="00F66AAF">
        <w:rPr>
          <w:rFonts w:ascii="Times New Roman" w:hAnsi="Times New Roman"/>
          <w:sz w:val="24"/>
          <w:szCs w:val="24"/>
        </w:rPr>
        <w:t xml:space="preserve"> </w:t>
      </w:r>
      <w:r w:rsidR="00DF74DB">
        <w:rPr>
          <w:rFonts w:ascii="Times New Roman" w:hAnsi="Times New Roman"/>
          <w:sz w:val="24"/>
          <w:szCs w:val="24"/>
        </w:rPr>
        <w:t>was indeed impossible.</w:t>
      </w:r>
      <w:r w:rsidR="00E97FD6" w:rsidRPr="00854576">
        <w:rPr>
          <w:rFonts w:ascii="Times New Roman" w:hAnsi="Times New Roman"/>
          <w:sz w:val="24"/>
          <w:vertAlign w:val="superscript"/>
        </w:rPr>
        <w:footnoteReference w:id="14"/>
      </w:r>
    </w:p>
    <w:p w14:paraId="1A19A1D2" w14:textId="77777777" w:rsidR="009526FC" w:rsidRPr="00DF74DB" w:rsidRDefault="00F66AAF" w:rsidP="00DF74DB">
      <w:pPr>
        <w:spacing w:after="160" w:line="480" w:lineRule="auto"/>
        <w:ind w:firstLine="720"/>
        <w:rPr>
          <w:rFonts w:ascii="Times New Roman" w:hAnsi="Times New Roman"/>
          <w:sz w:val="24"/>
          <w:szCs w:val="24"/>
        </w:rPr>
      </w:pPr>
      <w:r>
        <w:rPr>
          <w:rFonts w:ascii="Times New Roman" w:hAnsi="Times New Roman"/>
          <w:sz w:val="24"/>
          <w:szCs w:val="24"/>
        </w:rPr>
        <w:t>Albertus’</w:t>
      </w:r>
      <w:r w:rsidR="00401E0B">
        <w:rPr>
          <w:rFonts w:ascii="Times New Roman" w:hAnsi="Times New Roman"/>
          <w:sz w:val="24"/>
          <w:szCs w:val="24"/>
        </w:rPr>
        <w:t>s thought on alchemy</w:t>
      </w:r>
      <w:r>
        <w:rPr>
          <w:rFonts w:ascii="Times New Roman" w:hAnsi="Times New Roman"/>
          <w:sz w:val="24"/>
          <w:szCs w:val="24"/>
        </w:rPr>
        <w:t xml:space="preserve"> changed over the course of his lifetime. </w:t>
      </w:r>
      <w:r w:rsidR="00E0194F">
        <w:rPr>
          <w:rFonts w:ascii="Times New Roman" w:hAnsi="Times New Roman"/>
          <w:sz w:val="24"/>
          <w:szCs w:val="24"/>
        </w:rPr>
        <w:t>These changes</w:t>
      </w:r>
      <w:r w:rsidR="00401E0B">
        <w:rPr>
          <w:rFonts w:ascii="Times New Roman" w:hAnsi="Times New Roman"/>
          <w:sz w:val="24"/>
          <w:szCs w:val="24"/>
        </w:rPr>
        <w:t xml:space="preserve"> coincided with the development of his understanding of pagan philosophical writings, especially the works of Aristotle. </w:t>
      </w:r>
      <w:r>
        <w:rPr>
          <w:rFonts w:ascii="Times New Roman" w:hAnsi="Times New Roman"/>
          <w:sz w:val="24"/>
          <w:szCs w:val="24"/>
        </w:rPr>
        <w:t xml:space="preserve">In later writings, </w:t>
      </w:r>
      <w:r w:rsidR="00DF74DB">
        <w:rPr>
          <w:rFonts w:ascii="Times New Roman" w:hAnsi="Times New Roman"/>
          <w:sz w:val="24"/>
          <w:szCs w:val="24"/>
        </w:rPr>
        <w:t>Albertus advocated the practi</w:t>
      </w:r>
      <w:r w:rsidR="00A813ED">
        <w:rPr>
          <w:rFonts w:ascii="Times New Roman" w:hAnsi="Times New Roman"/>
          <w:sz w:val="24"/>
          <w:szCs w:val="24"/>
        </w:rPr>
        <w:t>c</w:t>
      </w:r>
      <w:r w:rsidR="00DF74DB">
        <w:rPr>
          <w:rFonts w:ascii="Times New Roman" w:hAnsi="Times New Roman"/>
          <w:sz w:val="24"/>
          <w:szCs w:val="24"/>
        </w:rPr>
        <w:t xml:space="preserve">e of </w:t>
      </w:r>
      <w:r w:rsidR="00DF74DB">
        <w:rPr>
          <w:rFonts w:ascii="Times New Roman" w:hAnsi="Times New Roman"/>
          <w:sz w:val="24"/>
          <w:szCs w:val="24"/>
        </w:rPr>
        <w:lastRenderedPageBreak/>
        <w:t xml:space="preserve">alchemy and defended </w:t>
      </w:r>
      <w:r w:rsidR="00DF74DB" w:rsidRPr="0033011C">
        <w:rPr>
          <w:rFonts w:ascii="Times New Roman" w:hAnsi="Times New Roman"/>
          <w:i/>
          <w:sz w:val="24"/>
          <w:szCs w:val="24"/>
        </w:rPr>
        <w:t>chrysopoeia</w:t>
      </w:r>
      <w:r w:rsidR="00DF74DB">
        <w:rPr>
          <w:rFonts w:ascii="Times New Roman" w:hAnsi="Times New Roman"/>
          <w:sz w:val="24"/>
          <w:szCs w:val="24"/>
        </w:rPr>
        <w:t>.</w:t>
      </w:r>
      <w:r w:rsidR="00DF74DB">
        <w:rPr>
          <w:rStyle w:val="FootnoteReference"/>
          <w:rFonts w:ascii="Times New Roman" w:hAnsi="Times New Roman"/>
          <w:sz w:val="24"/>
        </w:rPr>
        <w:footnoteReference w:id="15"/>
      </w:r>
      <w:r w:rsidR="00DF74DB">
        <w:rPr>
          <w:rFonts w:ascii="Times New Roman" w:hAnsi="Times New Roman"/>
          <w:sz w:val="24"/>
        </w:rPr>
        <w:t xml:space="preserve"> I</w:t>
      </w:r>
      <w:r w:rsidR="00DF74DB">
        <w:rPr>
          <w:rFonts w:ascii="Times New Roman" w:hAnsi="Times New Roman"/>
          <w:sz w:val="24"/>
          <w:szCs w:val="24"/>
        </w:rPr>
        <w:t>n</w:t>
      </w:r>
      <w:r w:rsidR="003F188C">
        <w:rPr>
          <w:rFonts w:ascii="Times New Roman" w:hAnsi="Times New Roman"/>
          <w:sz w:val="24"/>
          <w:szCs w:val="24"/>
        </w:rPr>
        <w:t xml:space="preserve"> </w:t>
      </w:r>
      <w:r w:rsidRPr="00F66AAF">
        <w:rPr>
          <w:rFonts w:ascii="Times New Roman" w:hAnsi="Times New Roman"/>
          <w:i/>
          <w:sz w:val="24"/>
          <w:szCs w:val="24"/>
        </w:rPr>
        <w:t>De mineralia</w:t>
      </w:r>
      <w:r w:rsidR="003F188C">
        <w:rPr>
          <w:rFonts w:ascii="Times New Roman" w:hAnsi="Times New Roman"/>
          <w:i/>
          <w:sz w:val="24"/>
          <w:szCs w:val="24"/>
        </w:rPr>
        <w:t xml:space="preserve"> </w:t>
      </w:r>
      <w:r w:rsidR="00DF74DB">
        <w:rPr>
          <w:rFonts w:ascii="Times New Roman" w:hAnsi="Times New Roman"/>
          <w:sz w:val="24"/>
          <w:szCs w:val="24"/>
        </w:rPr>
        <w:t>Albertus</w:t>
      </w:r>
      <w:r>
        <w:rPr>
          <w:rFonts w:ascii="Times New Roman" w:hAnsi="Times New Roman"/>
          <w:sz w:val="24"/>
          <w:szCs w:val="24"/>
        </w:rPr>
        <w:t xml:space="preserve"> correctly attributed </w:t>
      </w:r>
      <w:r w:rsidRPr="00DF74DB">
        <w:rPr>
          <w:rFonts w:ascii="Times New Roman" w:hAnsi="Times New Roman"/>
          <w:i/>
          <w:sz w:val="24"/>
          <w:szCs w:val="24"/>
        </w:rPr>
        <w:t>Sciant artifices</w:t>
      </w:r>
      <w:r>
        <w:rPr>
          <w:rFonts w:ascii="Times New Roman" w:hAnsi="Times New Roman"/>
          <w:sz w:val="24"/>
          <w:szCs w:val="24"/>
        </w:rPr>
        <w:t xml:space="preserve"> to Avicenna, and rejected the argument in order to </w:t>
      </w:r>
      <w:r w:rsidR="00DF74DB">
        <w:rPr>
          <w:rFonts w:ascii="Times New Roman" w:hAnsi="Times New Roman"/>
          <w:sz w:val="24"/>
          <w:szCs w:val="24"/>
        </w:rPr>
        <w:t>provide a justification for the transmutation of metals</w:t>
      </w:r>
      <w:r>
        <w:rPr>
          <w:rFonts w:ascii="Times New Roman" w:hAnsi="Times New Roman"/>
          <w:sz w:val="24"/>
          <w:szCs w:val="24"/>
        </w:rPr>
        <w:t>.</w:t>
      </w:r>
      <w:r w:rsidR="00DF74DB">
        <w:rPr>
          <w:rFonts w:ascii="Times New Roman" w:hAnsi="Times New Roman"/>
          <w:sz w:val="24"/>
        </w:rPr>
        <w:t xml:space="preserve"> As Newman has argued, by identifying the </w:t>
      </w:r>
      <w:r w:rsidR="00196483">
        <w:rPr>
          <w:rFonts w:ascii="Times New Roman" w:hAnsi="Times New Roman"/>
          <w:sz w:val="24"/>
        </w:rPr>
        <w:t xml:space="preserve">Latin </w:t>
      </w:r>
      <w:r w:rsidR="00DF74DB">
        <w:rPr>
          <w:rFonts w:ascii="Times New Roman" w:hAnsi="Times New Roman"/>
          <w:sz w:val="24"/>
        </w:rPr>
        <w:t xml:space="preserve">term </w:t>
      </w:r>
      <w:r w:rsidR="00196483" w:rsidRPr="00196483">
        <w:rPr>
          <w:rFonts w:ascii="Times New Roman" w:hAnsi="Times New Roman"/>
          <w:i/>
          <w:sz w:val="24"/>
        </w:rPr>
        <w:t>species</w:t>
      </w:r>
      <w:r w:rsidR="00196483">
        <w:rPr>
          <w:rFonts w:ascii="Times New Roman" w:hAnsi="Times New Roman"/>
          <w:sz w:val="24"/>
        </w:rPr>
        <w:t xml:space="preserve"> with the Aristotelian concept of “specific forms,” Albertus could “draw on a well-defined Scholastic theory concerning the physical corruption of a preexistent form followed by the induction of a subsequent form.” </w:t>
      </w:r>
      <w:r w:rsidR="00E4019F">
        <w:rPr>
          <w:rFonts w:ascii="Times New Roman" w:hAnsi="Times New Roman"/>
          <w:sz w:val="24"/>
        </w:rPr>
        <w:t>Hence</w:t>
      </w:r>
      <w:r w:rsidR="00845483">
        <w:rPr>
          <w:rFonts w:ascii="Times New Roman" w:hAnsi="Times New Roman"/>
          <w:sz w:val="24"/>
        </w:rPr>
        <w:t>,</w:t>
      </w:r>
      <w:r w:rsidR="00E4019F">
        <w:rPr>
          <w:rFonts w:ascii="Times New Roman" w:hAnsi="Times New Roman"/>
          <w:sz w:val="24"/>
        </w:rPr>
        <w:t xml:space="preserve"> he could argue that transmutation of specific forms – or </w:t>
      </w:r>
      <w:r w:rsidR="00E4019F" w:rsidRPr="00E4019F">
        <w:rPr>
          <w:rFonts w:ascii="Times New Roman" w:hAnsi="Times New Roman"/>
          <w:i/>
          <w:sz w:val="24"/>
        </w:rPr>
        <w:t>species</w:t>
      </w:r>
      <w:r w:rsidR="00845483">
        <w:rPr>
          <w:rFonts w:ascii="Times New Roman" w:hAnsi="Times New Roman"/>
          <w:sz w:val="24"/>
        </w:rPr>
        <w:t xml:space="preserve"> –</w:t>
      </w:r>
      <w:r w:rsidR="00E4019F">
        <w:rPr>
          <w:rFonts w:ascii="Times New Roman" w:hAnsi="Times New Roman"/>
          <w:sz w:val="24"/>
        </w:rPr>
        <w:t xml:space="preserve"> of metal was possible. </w:t>
      </w:r>
      <w:r w:rsidR="009526FC" w:rsidRPr="00DA40FD">
        <w:rPr>
          <w:rFonts w:ascii="Times New Roman" w:hAnsi="Times New Roman"/>
          <w:sz w:val="24"/>
        </w:rPr>
        <w:t>It</w:t>
      </w:r>
      <w:r w:rsidR="009526FC" w:rsidRPr="00854576">
        <w:rPr>
          <w:rFonts w:ascii="Times New Roman" w:hAnsi="Times New Roman"/>
          <w:sz w:val="24"/>
        </w:rPr>
        <w:t xml:space="preserve"> is important </w:t>
      </w:r>
      <w:r w:rsidR="00DF74DB">
        <w:rPr>
          <w:rFonts w:ascii="Times New Roman" w:hAnsi="Times New Roman"/>
          <w:sz w:val="24"/>
        </w:rPr>
        <w:t>to note the terms of Albertus</w:t>
      </w:r>
      <w:r w:rsidR="00DF5D1F">
        <w:rPr>
          <w:rFonts w:ascii="Times New Roman" w:hAnsi="Times New Roman"/>
          <w:sz w:val="24"/>
        </w:rPr>
        <w:t>’s</w:t>
      </w:r>
      <w:r w:rsidR="00DF74DB">
        <w:rPr>
          <w:rFonts w:ascii="Times New Roman" w:hAnsi="Times New Roman"/>
          <w:sz w:val="24"/>
        </w:rPr>
        <w:t xml:space="preserve"> discussion</w:t>
      </w:r>
      <w:r w:rsidR="009526FC" w:rsidRPr="00854576">
        <w:rPr>
          <w:rFonts w:ascii="Times New Roman" w:hAnsi="Times New Roman"/>
          <w:sz w:val="24"/>
        </w:rPr>
        <w:t xml:space="preserve">. </w:t>
      </w:r>
      <w:r w:rsidR="00DF74DB">
        <w:rPr>
          <w:rFonts w:ascii="Times New Roman" w:hAnsi="Times New Roman"/>
          <w:sz w:val="24"/>
        </w:rPr>
        <w:t>He contested</w:t>
      </w:r>
      <w:r w:rsidR="00E4019F">
        <w:rPr>
          <w:rFonts w:ascii="Times New Roman" w:hAnsi="Times New Roman"/>
          <w:sz w:val="24"/>
        </w:rPr>
        <w:t xml:space="preserve"> the principle of whether or not it was physically possible </w:t>
      </w:r>
      <w:r w:rsidR="00DF74DB">
        <w:rPr>
          <w:rFonts w:ascii="Times New Roman" w:hAnsi="Times New Roman"/>
          <w:sz w:val="24"/>
        </w:rPr>
        <w:t>to transmute metals, but remained</w:t>
      </w:r>
      <w:r w:rsidR="00E4019F">
        <w:rPr>
          <w:rFonts w:ascii="Times New Roman" w:hAnsi="Times New Roman"/>
          <w:sz w:val="24"/>
        </w:rPr>
        <w:t xml:space="preserve"> unconcerned by the question of whether or not it was acce</w:t>
      </w:r>
      <w:r w:rsidR="00453EDC">
        <w:rPr>
          <w:rFonts w:ascii="Times New Roman" w:hAnsi="Times New Roman"/>
          <w:sz w:val="24"/>
        </w:rPr>
        <w:t>ptable for Christians to practis</w:t>
      </w:r>
      <w:r w:rsidR="00E4019F">
        <w:rPr>
          <w:rFonts w:ascii="Times New Roman" w:hAnsi="Times New Roman"/>
          <w:sz w:val="24"/>
        </w:rPr>
        <w:t>e this art.</w:t>
      </w:r>
      <w:r w:rsidR="00E4019F">
        <w:rPr>
          <w:rStyle w:val="FootnoteReference"/>
          <w:rFonts w:ascii="Times New Roman" w:hAnsi="Times New Roman"/>
          <w:sz w:val="24"/>
        </w:rPr>
        <w:footnoteReference w:id="16"/>
      </w:r>
    </w:p>
    <w:p w14:paraId="6461C310" w14:textId="77777777" w:rsidR="009526FC" w:rsidRPr="00A263C1" w:rsidRDefault="009526FC" w:rsidP="00854576">
      <w:pPr>
        <w:spacing w:after="160" w:line="480" w:lineRule="auto"/>
        <w:jc w:val="center"/>
        <w:rPr>
          <w:rFonts w:ascii="Times New Roman" w:hAnsi="Times New Roman"/>
          <w:b/>
          <w:sz w:val="24"/>
        </w:rPr>
      </w:pPr>
    </w:p>
    <w:p w14:paraId="15852B7C" w14:textId="77777777" w:rsidR="009526FC" w:rsidRPr="00A263C1" w:rsidRDefault="009526FC" w:rsidP="00A263C1">
      <w:pPr>
        <w:spacing w:after="160" w:line="480" w:lineRule="auto"/>
        <w:rPr>
          <w:rFonts w:ascii="Times New Roman" w:hAnsi="Times New Roman"/>
          <w:b/>
          <w:sz w:val="24"/>
        </w:rPr>
      </w:pPr>
      <w:r w:rsidRPr="00A263C1">
        <w:rPr>
          <w:rFonts w:ascii="Times New Roman" w:hAnsi="Times New Roman"/>
          <w:b/>
          <w:sz w:val="24"/>
        </w:rPr>
        <w:t>Alchemy in the thought of Thomas Aquinas</w:t>
      </w:r>
    </w:p>
    <w:p w14:paraId="30E1F263" w14:textId="77777777" w:rsidR="009526FC" w:rsidRDefault="009526FC" w:rsidP="00A263C1">
      <w:pPr>
        <w:spacing w:after="160" w:line="480" w:lineRule="auto"/>
        <w:rPr>
          <w:rFonts w:ascii="Times New Roman" w:hAnsi="Times New Roman"/>
          <w:sz w:val="24"/>
        </w:rPr>
      </w:pPr>
    </w:p>
    <w:p w14:paraId="671C9E99" w14:textId="77777777" w:rsidR="009526FC" w:rsidRPr="00854576" w:rsidRDefault="009526FC" w:rsidP="00A263C1">
      <w:pPr>
        <w:spacing w:after="160" w:line="480" w:lineRule="auto"/>
        <w:rPr>
          <w:rFonts w:ascii="Times New Roman" w:hAnsi="Times New Roman"/>
          <w:sz w:val="24"/>
        </w:rPr>
      </w:pPr>
      <w:r w:rsidRPr="00854576">
        <w:rPr>
          <w:rFonts w:ascii="Times New Roman" w:hAnsi="Times New Roman"/>
          <w:sz w:val="24"/>
        </w:rPr>
        <w:t>Thomas Aquinas (1225</w:t>
      </w:r>
      <w:r w:rsidR="00A813ED">
        <w:rPr>
          <w:rFonts w:ascii="Times New Roman" w:hAnsi="Times New Roman"/>
          <w:sz w:val="24"/>
        </w:rPr>
        <w:t>–</w:t>
      </w:r>
      <w:r w:rsidR="00537971">
        <w:rPr>
          <w:rFonts w:ascii="Times New Roman" w:hAnsi="Times New Roman"/>
          <w:sz w:val="24"/>
        </w:rPr>
        <w:t>12</w:t>
      </w:r>
      <w:r w:rsidR="00E4019F">
        <w:rPr>
          <w:rFonts w:ascii="Times New Roman" w:hAnsi="Times New Roman"/>
          <w:sz w:val="24"/>
        </w:rPr>
        <w:t xml:space="preserve">74) </w:t>
      </w:r>
      <w:r w:rsidR="00E0194F">
        <w:rPr>
          <w:rFonts w:ascii="Times New Roman" w:hAnsi="Times New Roman"/>
          <w:sz w:val="24"/>
        </w:rPr>
        <w:t xml:space="preserve">was one of Albertus’s students. Unlike his master, he did not produce any texts concerned with alchemy. Indeed, he </w:t>
      </w:r>
      <w:r w:rsidR="00E4019F">
        <w:rPr>
          <w:rFonts w:ascii="Times New Roman" w:hAnsi="Times New Roman"/>
          <w:sz w:val="24"/>
        </w:rPr>
        <w:t xml:space="preserve">rarely commented on </w:t>
      </w:r>
      <w:r w:rsidR="00E0194F">
        <w:rPr>
          <w:rFonts w:ascii="Times New Roman" w:hAnsi="Times New Roman"/>
          <w:sz w:val="24"/>
        </w:rPr>
        <w:t>this art</w:t>
      </w:r>
      <w:r w:rsidR="00E4019F">
        <w:rPr>
          <w:rFonts w:ascii="Times New Roman" w:hAnsi="Times New Roman"/>
          <w:sz w:val="24"/>
        </w:rPr>
        <w:t>. W</w:t>
      </w:r>
      <w:r w:rsidRPr="00854576">
        <w:rPr>
          <w:rFonts w:ascii="Times New Roman" w:hAnsi="Times New Roman"/>
          <w:sz w:val="24"/>
        </w:rPr>
        <w:t xml:space="preserve">hen he did so he </w:t>
      </w:r>
      <w:r w:rsidR="00E4019F">
        <w:rPr>
          <w:rFonts w:ascii="Times New Roman" w:hAnsi="Times New Roman"/>
          <w:sz w:val="24"/>
        </w:rPr>
        <w:t xml:space="preserve">did not discuss it directly, but </w:t>
      </w:r>
      <w:r w:rsidRPr="00854576">
        <w:rPr>
          <w:rFonts w:ascii="Times New Roman" w:hAnsi="Times New Roman"/>
          <w:sz w:val="24"/>
        </w:rPr>
        <w:t>used it as a mean</w:t>
      </w:r>
      <w:r>
        <w:rPr>
          <w:rFonts w:ascii="Times New Roman" w:hAnsi="Times New Roman"/>
          <w:sz w:val="24"/>
        </w:rPr>
        <w:t xml:space="preserve">s to consider other questions. </w:t>
      </w:r>
      <w:r w:rsidR="00DF74DB">
        <w:rPr>
          <w:rFonts w:ascii="Times New Roman" w:hAnsi="Times New Roman"/>
          <w:sz w:val="24"/>
        </w:rPr>
        <w:t xml:space="preserve">At the beginning of the 1250s Aquinas </w:t>
      </w:r>
      <w:r w:rsidR="00200466">
        <w:rPr>
          <w:rFonts w:ascii="Times New Roman" w:hAnsi="Times New Roman"/>
          <w:sz w:val="24"/>
        </w:rPr>
        <w:t xml:space="preserve">completed his own </w:t>
      </w:r>
      <w:r w:rsidR="00B85665">
        <w:rPr>
          <w:rFonts w:ascii="Times New Roman" w:hAnsi="Times New Roman"/>
          <w:sz w:val="24"/>
        </w:rPr>
        <w:t xml:space="preserve">commentary on </w:t>
      </w:r>
      <w:r w:rsidR="00B85665" w:rsidRPr="00B85665">
        <w:rPr>
          <w:rFonts w:ascii="Times New Roman" w:hAnsi="Times New Roman"/>
          <w:i/>
          <w:sz w:val="24"/>
        </w:rPr>
        <w:t>The Sentences</w:t>
      </w:r>
      <w:r w:rsidR="00B85665">
        <w:rPr>
          <w:rFonts w:ascii="Times New Roman" w:hAnsi="Times New Roman"/>
          <w:sz w:val="24"/>
        </w:rPr>
        <w:t xml:space="preserve">, the </w:t>
      </w:r>
      <w:r w:rsidR="00200466" w:rsidRPr="00854576">
        <w:rPr>
          <w:rFonts w:ascii="Times New Roman" w:hAnsi="Times New Roman"/>
          <w:i/>
          <w:sz w:val="24"/>
        </w:rPr>
        <w:t>Scriptum super sententiis</w:t>
      </w:r>
      <w:r w:rsidR="00DF74DB">
        <w:rPr>
          <w:rFonts w:ascii="Times New Roman" w:hAnsi="Times New Roman"/>
          <w:sz w:val="24"/>
        </w:rPr>
        <w:t xml:space="preserve">. </w:t>
      </w:r>
      <w:r w:rsidR="00200466">
        <w:rPr>
          <w:rFonts w:ascii="Times New Roman" w:hAnsi="Times New Roman"/>
          <w:sz w:val="24"/>
        </w:rPr>
        <w:t>Like Albertus, in his discussion of</w:t>
      </w:r>
      <w:r w:rsidR="003F188C">
        <w:rPr>
          <w:rFonts w:ascii="Times New Roman" w:hAnsi="Times New Roman"/>
          <w:sz w:val="24"/>
        </w:rPr>
        <w:t xml:space="preserve"> </w:t>
      </w:r>
      <w:r w:rsidRPr="009229B5">
        <w:rPr>
          <w:rFonts w:ascii="Times New Roman" w:hAnsi="Times New Roman"/>
          <w:sz w:val="24"/>
        </w:rPr>
        <w:t>book 2,</w:t>
      </w:r>
      <w:r w:rsidRPr="00854576">
        <w:rPr>
          <w:rFonts w:ascii="Times New Roman" w:hAnsi="Times New Roman"/>
          <w:sz w:val="24"/>
        </w:rPr>
        <w:t xml:space="preserve"> distinction 7</w:t>
      </w:r>
      <w:r w:rsidR="00200466">
        <w:rPr>
          <w:rFonts w:ascii="Times New Roman" w:hAnsi="Times New Roman"/>
          <w:sz w:val="24"/>
        </w:rPr>
        <w:t>, he introduced a version of Avicenna’s argument, which he rendered as</w:t>
      </w:r>
      <w:r w:rsidR="00DF5D1F">
        <w:rPr>
          <w:rFonts w:ascii="Times New Roman" w:hAnsi="Times New Roman"/>
          <w:sz w:val="24"/>
        </w:rPr>
        <w:t>:</w:t>
      </w:r>
      <w:r w:rsidR="003F188C">
        <w:rPr>
          <w:rFonts w:ascii="Times New Roman" w:hAnsi="Times New Roman"/>
          <w:sz w:val="24"/>
        </w:rPr>
        <w:t xml:space="preserve"> </w:t>
      </w:r>
      <w:r w:rsidRPr="00024870">
        <w:rPr>
          <w:rFonts w:ascii="Times New Roman" w:hAnsi="Times New Roman"/>
          <w:i/>
          <w:sz w:val="24"/>
        </w:rPr>
        <w:t>Sciant</w:t>
      </w:r>
      <w:r w:rsidR="003F188C" w:rsidRPr="00024870">
        <w:rPr>
          <w:rFonts w:ascii="Times New Roman" w:hAnsi="Times New Roman"/>
          <w:i/>
          <w:sz w:val="24"/>
        </w:rPr>
        <w:t xml:space="preserve"> </w:t>
      </w:r>
      <w:r w:rsidRPr="00024870">
        <w:rPr>
          <w:rFonts w:ascii="Times New Roman" w:hAnsi="Times New Roman"/>
          <w:i/>
          <w:sz w:val="24"/>
        </w:rPr>
        <w:t>auctores, species transformari non posse</w:t>
      </w:r>
      <w:r>
        <w:rPr>
          <w:rFonts w:ascii="Times New Roman" w:hAnsi="Times New Roman"/>
          <w:sz w:val="24"/>
        </w:rPr>
        <w:t xml:space="preserve">. Aquinas explained that </w:t>
      </w:r>
      <w:r w:rsidRPr="00854576">
        <w:rPr>
          <w:rFonts w:ascii="Times New Roman" w:hAnsi="Times New Roman"/>
          <w:sz w:val="24"/>
        </w:rPr>
        <w:t xml:space="preserve">this statement implied that it was impossible </w:t>
      </w:r>
      <w:r w:rsidRPr="00854576">
        <w:rPr>
          <w:rFonts w:ascii="Times New Roman" w:hAnsi="Times New Roman"/>
          <w:sz w:val="24"/>
        </w:rPr>
        <w:lastRenderedPageBreak/>
        <w:t>genuinely to transmute b</w:t>
      </w:r>
      <w:r>
        <w:rPr>
          <w:rFonts w:ascii="Times New Roman" w:hAnsi="Times New Roman"/>
          <w:sz w:val="24"/>
        </w:rPr>
        <w:t xml:space="preserve">ase metals into precious ones. </w:t>
      </w:r>
      <w:r w:rsidRPr="00854576">
        <w:rPr>
          <w:rFonts w:ascii="Times New Roman" w:hAnsi="Times New Roman"/>
          <w:sz w:val="24"/>
        </w:rPr>
        <w:t xml:space="preserve">From this conclusion, </w:t>
      </w:r>
      <w:r>
        <w:rPr>
          <w:rFonts w:ascii="Times New Roman" w:hAnsi="Times New Roman"/>
          <w:sz w:val="24"/>
        </w:rPr>
        <w:t>he</w:t>
      </w:r>
      <w:r w:rsidRPr="00854576">
        <w:rPr>
          <w:rFonts w:ascii="Times New Roman" w:hAnsi="Times New Roman"/>
          <w:sz w:val="24"/>
        </w:rPr>
        <w:t xml:space="preserve"> developed the further argument that demons were unable to change the substantial form of any given thing. In this instance</w:t>
      </w:r>
      <w:r>
        <w:rPr>
          <w:rFonts w:ascii="Times New Roman" w:hAnsi="Times New Roman"/>
          <w:sz w:val="24"/>
        </w:rPr>
        <w:t>,</w:t>
      </w:r>
      <w:r w:rsidRPr="00854576">
        <w:rPr>
          <w:rFonts w:ascii="Times New Roman" w:hAnsi="Times New Roman"/>
          <w:sz w:val="24"/>
        </w:rPr>
        <w:t xml:space="preserve"> Aquinas was not directly discussing the legitimacy of alchemy, but instead </w:t>
      </w:r>
      <w:r w:rsidR="00B85665">
        <w:rPr>
          <w:rFonts w:ascii="Times New Roman" w:hAnsi="Times New Roman"/>
          <w:sz w:val="24"/>
        </w:rPr>
        <w:t xml:space="preserve">– like Albertus – he was </w:t>
      </w:r>
      <w:r w:rsidRPr="00854576">
        <w:rPr>
          <w:rFonts w:ascii="Times New Roman" w:hAnsi="Times New Roman"/>
          <w:sz w:val="24"/>
        </w:rPr>
        <w:t xml:space="preserve">using it as a device to </w:t>
      </w:r>
      <w:r w:rsidR="00200466">
        <w:rPr>
          <w:rFonts w:ascii="Times New Roman" w:hAnsi="Times New Roman"/>
          <w:sz w:val="24"/>
        </w:rPr>
        <w:t>determine the power of demons.</w:t>
      </w:r>
      <w:r w:rsidR="00200466">
        <w:rPr>
          <w:rStyle w:val="FootnoteReference"/>
          <w:rFonts w:ascii="Times New Roman" w:hAnsi="Times New Roman"/>
          <w:sz w:val="24"/>
        </w:rPr>
        <w:footnoteReference w:id="17"/>
      </w:r>
    </w:p>
    <w:p w14:paraId="4FFD3D3B" w14:textId="77777777" w:rsidR="009526FC" w:rsidRPr="00854576" w:rsidRDefault="009526FC" w:rsidP="00D054AA">
      <w:pPr>
        <w:spacing w:after="160" w:line="480" w:lineRule="auto"/>
        <w:ind w:firstLine="720"/>
        <w:rPr>
          <w:rFonts w:ascii="Times New Roman" w:hAnsi="Times New Roman"/>
          <w:sz w:val="24"/>
        </w:rPr>
      </w:pPr>
      <w:r w:rsidRPr="00854576">
        <w:rPr>
          <w:rFonts w:ascii="Times New Roman" w:hAnsi="Times New Roman"/>
          <w:sz w:val="24"/>
        </w:rPr>
        <w:t>In the body of his discussion, Aquinas offered his own opinion on the limits of demonic power, stating that: “Demons can by their own power press no forms, whether accidental or substantial, into material.”</w:t>
      </w:r>
      <w:r>
        <w:rPr>
          <w:rStyle w:val="FootnoteReference"/>
          <w:rFonts w:ascii="Times New Roman" w:hAnsi="Times New Roman"/>
          <w:sz w:val="24"/>
        </w:rPr>
        <w:footnoteReference w:id="18"/>
      </w:r>
      <w:r w:rsidRPr="00854576">
        <w:rPr>
          <w:rFonts w:ascii="Times New Roman" w:hAnsi="Times New Roman"/>
          <w:sz w:val="24"/>
        </w:rPr>
        <w:t xml:space="preserve"> With these words Aquinas placed clear limit</w:t>
      </w:r>
      <w:r>
        <w:rPr>
          <w:rFonts w:ascii="Times New Roman" w:hAnsi="Times New Roman"/>
          <w:sz w:val="24"/>
        </w:rPr>
        <w:t>s on the innate power of demons. H</w:t>
      </w:r>
      <w:r w:rsidRPr="00854576">
        <w:rPr>
          <w:rFonts w:ascii="Times New Roman" w:hAnsi="Times New Roman"/>
          <w:sz w:val="24"/>
        </w:rPr>
        <w:t>e nevertheless went on to concede that it was possible for them to effect changes by the manipulation of na</w:t>
      </w:r>
      <w:r>
        <w:rPr>
          <w:rFonts w:ascii="Times New Roman" w:hAnsi="Times New Roman"/>
          <w:sz w:val="24"/>
        </w:rPr>
        <w:t xml:space="preserve">tural agents, that is, by art. </w:t>
      </w:r>
      <w:r w:rsidRPr="00854576">
        <w:rPr>
          <w:rFonts w:ascii="Times New Roman" w:hAnsi="Times New Roman"/>
          <w:sz w:val="24"/>
        </w:rPr>
        <w:t xml:space="preserve">Since demons relied upon the manipulation of natural agents to achieve their ends, they were unable to achieve anything </w:t>
      </w:r>
      <w:r>
        <w:rPr>
          <w:rFonts w:ascii="Times New Roman" w:hAnsi="Times New Roman"/>
          <w:sz w:val="24"/>
        </w:rPr>
        <w:t xml:space="preserve">that was naturally impossible. </w:t>
      </w:r>
      <w:r w:rsidRPr="00854576">
        <w:rPr>
          <w:rFonts w:ascii="Times New Roman" w:hAnsi="Times New Roman"/>
          <w:sz w:val="24"/>
        </w:rPr>
        <w:t xml:space="preserve">Consequently, they could not perform a genuine miracle, </w:t>
      </w:r>
      <w:r>
        <w:rPr>
          <w:rFonts w:ascii="Times New Roman" w:hAnsi="Times New Roman"/>
          <w:sz w:val="24"/>
        </w:rPr>
        <w:t>such as</w:t>
      </w:r>
      <w:r w:rsidRPr="00854576">
        <w:rPr>
          <w:rFonts w:ascii="Times New Roman" w:hAnsi="Times New Roman"/>
          <w:sz w:val="24"/>
        </w:rPr>
        <w:t xml:space="preserve"> reviving the dead. Addressing the argument relating to alchemy, Aquinas stated that it was </w:t>
      </w:r>
      <w:r w:rsidR="007847B2">
        <w:rPr>
          <w:rFonts w:ascii="Times New Roman" w:hAnsi="Times New Roman"/>
          <w:sz w:val="24"/>
        </w:rPr>
        <w:t xml:space="preserve">in fact </w:t>
      </w:r>
      <w:r w:rsidRPr="00854576">
        <w:rPr>
          <w:rFonts w:ascii="Times New Roman" w:hAnsi="Times New Roman"/>
          <w:sz w:val="24"/>
        </w:rPr>
        <w:t>impossible to change a su</w:t>
      </w:r>
      <w:r>
        <w:rPr>
          <w:rFonts w:ascii="Times New Roman" w:hAnsi="Times New Roman"/>
          <w:sz w:val="24"/>
        </w:rPr>
        <w:t>bstantial form by means of art.</w:t>
      </w:r>
      <w:r w:rsidRPr="00854576">
        <w:rPr>
          <w:rFonts w:ascii="Times New Roman" w:hAnsi="Times New Roman"/>
          <w:sz w:val="24"/>
        </w:rPr>
        <w:t xml:space="preserve"> For this reason alchemists, and by extension demons, could not genuinely transmute metals, but merely produce a similar material. This conclusion did not represent a condemnation of the practi</w:t>
      </w:r>
      <w:r>
        <w:rPr>
          <w:rFonts w:ascii="Times New Roman" w:hAnsi="Times New Roman"/>
          <w:sz w:val="24"/>
        </w:rPr>
        <w:t>c</w:t>
      </w:r>
      <w:r w:rsidRPr="00854576">
        <w:rPr>
          <w:rFonts w:ascii="Times New Roman" w:hAnsi="Times New Roman"/>
          <w:sz w:val="24"/>
        </w:rPr>
        <w:t xml:space="preserve">e of alchemy, but </w:t>
      </w:r>
      <w:r w:rsidR="007532AF">
        <w:rPr>
          <w:rFonts w:ascii="Times New Roman" w:hAnsi="Times New Roman"/>
          <w:sz w:val="24"/>
        </w:rPr>
        <w:t>rather</w:t>
      </w:r>
      <w:r w:rsidRPr="00854576">
        <w:rPr>
          <w:rFonts w:ascii="Times New Roman" w:hAnsi="Times New Roman"/>
          <w:sz w:val="24"/>
        </w:rPr>
        <w:t xml:space="preserve"> a rejection of the claim that it was naturally possible to effect a genuine change in substantial forms. There is no evidence in this passage to suggest that Aquinas considered alchemists’ futile attempts to trans</w:t>
      </w:r>
      <w:r>
        <w:rPr>
          <w:rFonts w:ascii="Times New Roman" w:hAnsi="Times New Roman"/>
          <w:sz w:val="24"/>
        </w:rPr>
        <w:t>mute metals to be superstitious</w:t>
      </w:r>
      <w:r w:rsidRPr="00854576">
        <w:rPr>
          <w:rFonts w:ascii="Times New Roman" w:hAnsi="Times New Roman"/>
          <w:sz w:val="24"/>
        </w:rPr>
        <w:t>.</w:t>
      </w:r>
      <w:r w:rsidRPr="00854576">
        <w:rPr>
          <w:rFonts w:ascii="Times New Roman" w:hAnsi="Times New Roman"/>
          <w:sz w:val="24"/>
          <w:vertAlign w:val="superscript"/>
        </w:rPr>
        <w:footnoteReference w:id="19"/>
      </w:r>
    </w:p>
    <w:p w14:paraId="4122DE9E" w14:textId="77777777" w:rsidR="00CB56A9" w:rsidRDefault="00B85665" w:rsidP="005B25FE">
      <w:pPr>
        <w:spacing w:line="480" w:lineRule="auto"/>
        <w:ind w:firstLine="720"/>
        <w:rPr>
          <w:rFonts w:ascii="Times New Roman" w:hAnsi="Times New Roman"/>
          <w:sz w:val="24"/>
          <w:szCs w:val="24"/>
        </w:rPr>
      </w:pPr>
      <w:r>
        <w:rPr>
          <w:rFonts w:ascii="Times New Roman" w:hAnsi="Times New Roman"/>
          <w:sz w:val="24"/>
          <w:szCs w:val="24"/>
        </w:rPr>
        <w:t>Aquinas’s views developed substantially over</w:t>
      </w:r>
      <w:r w:rsidR="0086337A">
        <w:rPr>
          <w:rFonts w:ascii="Times New Roman" w:hAnsi="Times New Roman"/>
          <w:sz w:val="24"/>
          <w:szCs w:val="24"/>
        </w:rPr>
        <w:t xml:space="preserve"> </w:t>
      </w:r>
      <w:r w:rsidR="00DF5D1F">
        <w:rPr>
          <w:rFonts w:ascii="Times New Roman" w:hAnsi="Times New Roman"/>
          <w:sz w:val="24"/>
          <w:szCs w:val="24"/>
        </w:rPr>
        <w:t>the</w:t>
      </w:r>
      <w:r>
        <w:rPr>
          <w:rFonts w:ascii="Times New Roman" w:hAnsi="Times New Roman"/>
          <w:sz w:val="24"/>
          <w:szCs w:val="24"/>
        </w:rPr>
        <w:t xml:space="preserve"> course of his lifetime. In the 1270s he </w:t>
      </w:r>
      <w:r w:rsidR="009526FC" w:rsidRPr="00883EFD">
        <w:rPr>
          <w:rFonts w:ascii="Times New Roman" w:hAnsi="Times New Roman"/>
          <w:sz w:val="24"/>
          <w:szCs w:val="24"/>
        </w:rPr>
        <w:t xml:space="preserve">completed </w:t>
      </w:r>
      <w:r>
        <w:rPr>
          <w:rFonts w:ascii="Times New Roman" w:hAnsi="Times New Roman"/>
          <w:sz w:val="24"/>
          <w:szCs w:val="24"/>
        </w:rPr>
        <w:t xml:space="preserve">his masterpiece, </w:t>
      </w:r>
      <w:r w:rsidR="009526FC" w:rsidRPr="00883EFD">
        <w:rPr>
          <w:rFonts w:ascii="Times New Roman" w:hAnsi="Times New Roman"/>
          <w:sz w:val="24"/>
          <w:szCs w:val="24"/>
        </w:rPr>
        <w:t xml:space="preserve">the </w:t>
      </w:r>
      <w:r w:rsidR="009526FC" w:rsidRPr="00883EFD">
        <w:rPr>
          <w:rFonts w:ascii="Times New Roman" w:hAnsi="Times New Roman"/>
          <w:i/>
          <w:sz w:val="24"/>
          <w:szCs w:val="24"/>
        </w:rPr>
        <w:t>Summa theologica</w:t>
      </w:r>
      <w:r>
        <w:rPr>
          <w:rFonts w:ascii="Times New Roman" w:hAnsi="Times New Roman"/>
          <w:sz w:val="24"/>
          <w:szCs w:val="24"/>
        </w:rPr>
        <w:t xml:space="preserve">. </w:t>
      </w:r>
      <w:r w:rsidR="009526FC" w:rsidRPr="00883EFD">
        <w:rPr>
          <w:rFonts w:ascii="Times New Roman" w:hAnsi="Times New Roman"/>
          <w:sz w:val="24"/>
          <w:szCs w:val="24"/>
        </w:rPr>
        <w:t xml:space="preserve">In the </w:t>
      </w:r>
      <w:r w:rsidR="009526FC" w:rsidRPr="00883EFD">
        <w:rPr>
          <w:rFonts w:ascii="Times New Roman" w:hAnsi="Times New Roman"/>
          <w:i/>
          <w:sz w:val="24"/>
          <w:szCs w:val="24"/>
        </w:rPr>
        <w:t>secunda secundae</w:t>
      </w:r>
      <w:r w:rsidR="009526FC" w:rsidRPr="00883EFD">
        <w:rPr>
          <w:rFonts w:ascii="Times New Roman" w:hAnsi="Times New Roman"/>
          <w:sz w:val="24"/>
          <w:szCs w:val="24"/>
        </w:rPr>
        <w:t xml:space="preserve">, he distinguished between heresy and superstition. </w:t>
      </w:r>
      <w:r w:rsidR="00576357" w:rsidRPr="00883EFD">
        <w:rPr>
          <w:rFonts w:ascii="Times New Roman" w:hAnsi="Times New Roman"/>
          <w:sz w:val="24"/>
          <w:szCs w:val="24"/>
        </w:rPr>
        <w:t>For Aquinas her</w:t>
      </w:r>
      <w:r w:rsidR="00845483">
        <w:rPr>
          <w:rFonts w:ascii="Times New Roman" w:hAnsi="Times New Roman"/>
          <w:sz w:val="24"/>
          <w:szCs w:val="24"/>
        </w:rPr>
        <w:t>esy was one of two species of</w:t>
      </w:r>
      <w:r w:rsidR="00C44C56" w:rsidRPr="00883EFD">
        <w:rPr>
          <w:rFonts w:ascii="Times New Roman" w:hAnsi="Times New Roman"/>
          <w:sz w:val="24"/>
          <w:szCs w:val="24"/>
        </w:rPr>
        <w:t xml:space="preserve"> unbelief. The first </w:t>
      </w:r>
      <w:r w:rsidR="001E5D17" w:rsidRPr="00883EFD">
        <w:rPr>
          <w:rFonts w:ascii="Times New Roman" w:hAnsi="Times New Roman"/>
          <w:sz w:val="24"/>
          <w:szCs w:val="24"/>
        </w:rPr>
        <w:t xml:space="preserve">was maintained by </w:t>
      </w:r>
      <w:r w:rsidR="00C44C56" w:rsidRPr="00883EFD">
        <w:rPr>
          <w:rFonts w:ascii="Times New Roman" w:hAnsi="Times New Roman"/>
          <w:sz w:val="24"/>
          <w:szCs w:val="24"/>
        </w:rPr>
        <w:t xml:space="preserve">those </w:t>
      </w:r>
      <w:r w:rsidR="001E5D17" w:rsidRPr="00883EFD">
        <w:rPr>
          <w:rFonts w:ascii="Times New Roman" w:hAnsi="Times New Roman"/>
          <w:sz w:val="24"/>
          <w:szCs w:val="24"/>
        </w:rPr>
        <w:t>who</w:t>
      </w:r>
      <w:r w:rsidR="00C44C56" w:rsidRPr="00883EFD">
        <w:rPr>
          <w:rFonts w:ascii="Times New Roman" w:hAnsi="Times New Roman"/>
          <w:sz w:val="24"/>
          <w:szCs w:val="24"/>
        </w:rPr>
        <w:t xml:space="preserve"> wilfully </w:t>
      </w:r>
      <w:r w:rsidR="001E5D17" w:rsidRPr="00883EFD">
        <w:rPr>
          <w:rFonts w:ascii="Times New Roman" w:hAnsi="Times New Roman"/>
          <w:sz w:val="24"/>
          <w:szCs w:val="24"/>
        </w:rPr>
        <w:t>refused</w:t>
      </w:r>
      <w:r w:rsidR="00C44C56" w:rsidRPr="00883EFD">
        <w:rPr>
          <w:rFonts w:ascii="Times New Roman" w:hAnsi="Times New Roman"/>
          <w:sz w:val="24"/>
          <w:szCs w:val="24"/>
        </w:rPr>
        <w:t xml:space="preserve"> to assent to Christ</w:t>
      </w:r>
      <w:r w:rsidR="001E5D17" w:rsidRPr="00883EFD">
        <w:rPr>
          <w:rFonts w:ascii="Times New Roman" w:hAnsi="Times New Roman"/>
          <w:sz w:val="24"/>
          <w:szCs w:val="24"/>
        </w:rPr>
        <w:t xml:space="preserve">, for </w:t>
      </w:r>
      <w:r w:rsidR="001E5D17" w:rsidRPr="00883EFD">
        <w:rPr>
          <w:rFonts w:ascii="Times New Roman" w:hAnsi="Times New Roman"/>
          <w:sz w:val="24"/>
          <w:szCs w:val="24"/>
        </w:rPr>
        <w:lastRenderedPageBreak/>
        <w:t xml:space="preserve">example </w:t>
      </w:r>
      <w:r w:rsidR="00C44C56" w:rsidRPr="00883EFD">
        <w:rPr>
          <w:rFonts w:ascii="Times New Roman" w:hAnsi="Times New Roman"/>
          <w:sz w:val="24"/>
          <w:szCs w:val="24"/>
        </w:rPr>
        <w:t>the pagans or the Jews. The second</w:t>
      </w:r>
      <w:r w:rsidR="001E5D17" w:rsidRPr="00883EFD">
        <w:rPr>
          <w:rFonts w:ascii="Times New Roman" w:hAnsi="Times New Roman"/>
          <w:sz w:val="24"/>
          <w:szCs w:val="24"/>
        </w:rPr>
        <w:t xml:space="preserve"> species of unbelief</w:t>
      </w:r>
      <w:r w:rsidR="00897DEA">
        <w:rPr>
          <w:rFonts w:ascii="Times New Roman" w:hAnsi="Times New Roman"/>
          <w:sz w:val="24"/>
          <w:szCs w:val="24"/>
        </w:rPr>
        <w:t xml:space="preserve"> was specific </w:t>
      </w:r>
      <w:r w:rsidR="00845483">
        <w:rPr>
          <w:rFonts w:ascii="Times New Roman" w:hAnsi="Times New Roman"/>
          <w:sz w:val="24"/>
          <w:szCs w:val="24"/>
        </w:rPr>
        <w:t>to</w:t>
      </w:r>
      <w:r w:rsidR="001E5D17" w:rsidRPr="00883EFD">
        <w:rPr>
          <w:rFonts w:ascii="Times New Roman" w:hAnsi="Times New Roman"/>
          <w:sz w:val="24"/>
          <w:szCs w:val="24"/>
        </w:rPr>
        <w:t xml:space="preserve"> heretics. It was the preserve of those</w:t>
      </w:r>
      <w:r w:rsidR="00C44C56" w:rsidRPr="00883EFD">
        <w:rPr>
          <w:rFonts w:ascii="Times New Roman" w:hAnsi="Times New Roman"/>
          <w:sz w:val="24"/>
          <w:szCs w:val="24"/>
        </w:rPr>
        <w:t xml:space="preserve"> who wished to assent to Christ, but </w:t>
      </w:r>
      <w:r w:rsidR="001E5D17" w:rsidRPr="00883EFD">
        <w:rPr>
          <w:rFonts w:ascii="Times New Roman" w:hAnsi="Times New Roman"/>
          <w:sz w:val="24"/>
          <w:szCs w:val="24"/>
        </w:rPr>
        <w:t xml:space="preserve">who nonetheless </w:t>
      </w:r>
      <w:r w:rsidR="00C44C56" w:rsidRPr="00883EFD">
        <w:rPr>
          <w:rFonts w:ascii="Times New Roman" w:hAnsi="Times New Roman"/>
          <w:sz w:val="24"/>
          <w:szCs w:val="24"/>
        </w:rPr>
        <w:t>chose to maintain false beliefs</w:t>
      </w:r>
      <w:r w:rsidR="001E5D17" w:rsidRPr="00883EFD">
        <w:rPr>
          <w:rFonts w:ascii="Times New Roman" w:hAnsi="Times New Roman"/>
          <w:sz w:val="24"/>
          <w:szCs w:val="24"/>
        </w:rPr>
        <w:t xml:space="preserve"> about the faith</w:t>
      </w:r>
      <w:r w:rsidR="00C44C56" w:rsidRPr="00883EFD">
        <w:rPr>
          <w:rFonts w:ascii="Times New Roman" w:hAnsi="Times New Roman"/>
          <w:sz w:val="24"/>
          <w:szCs w:val="24"/>
        </w:rPr>
        <w:t xml:space="preserve">. </w:t>
      </w:r>
      <w:r w:rsidR="001E5D17" w:rsidRPr="00F928D7">
        <w:rPr>
          <w:rFonts w:ascii="Times New Roman" w:hAnsi="Times New Roman"/>
          <w:sz w:val="24"/>
          <w:szCs w:val="24"/>
        </w:rPr>
        <w:t>Aquinas</w:t>
      </w:r>
      <w:r w:rsidR="00C44C56" w:rsidRPr="00F928D7">
        <w:rPr>
          <w:rFonts w:ascii="Times New Roman" w:hAnsi="Times New Roman"/>
          <w:sz w:val="24"/>
          <w:szCs w:val="24"/>
        </w:rPr>
        <w:t xml:space="preserve"> further refin</w:t>
      </w:r>
      <w:r w:rsidR="001E5D17" w:rsidRPr="00F928D7">
        <w:rPr>
          <w:rFonts w:ascii="Times New Roman" w:hAnsi="Times New Roman"/>
          <w:sz w:val="24"/>
          <w:szCs w:val="24"/>
        </w:rPr>
        <w:t>ed this idea</w:t>
      </w:r>
      <w:r w:rsidR="00C44C56" w:rsidRPr="00F928D7">
        <w:rPr>
          <w:rFonts w:ascii="Times New Roman" w:hAnsi="Times New Roman"/>
          <w:sz w:val="24"/>
          <w:szCs w:val="24"/>
        </w:rPr>
        <w:t xml:space="preserve"> by suggesting that heresy amounted to</w:t>
      </w:r>
      <w:r w:rsidR="0086337A">
        <w:rPr>
          <w:rFonts w:ascii="Times New Roman" w:hAnsi="Times New Roman"/>
          <w:sz w:val="24"/>
          <w:szCs w:val="24"/>
        </w:rPr>
        <w:t xml:space="preserve"> </w:t>
      </w:r>
      <w:r w:rsidR="007460E5" w:rsidRPr="00F928D7">
        <w:rPr>
          <w:rFonts w:ascii="Times New Roman" w:hAnsi="Times New Roman"/>
          <w:sz w:val="24"/>
          <w:szCs w:val="24"/>
        </w:rPr>
        <w:t xml:space="preserve">the voluntary decision to believe in </w:t>
      </w:r>
      <w:r w:rsidR="009526FC" w:rsidRPr="00F928D7">
        <w:rPr>
          <w:rFonts w:ascii="Times New Roman" w:hAnsi="Times New Roman"/>
          <w:sz w:val="24"/>
          <w:szCs w:val="24"/>
        </w:rPr>
        <w:t>an opinion that explicitly or implicitly contr</w:t>
      </w:r>
      <w:r w:rsidR="007460E5" w:rsidRPr="00F928D7">
        <w:rPr>
          <w:rFonts w:ascii="Times New Roman" w:hAnsi="Times New Roman"/>
          <w:sz w:val="24"/>
          <w:szCs w:val="24"/>
        </w:rPr>
        <w:t>adicted an article of the faith.</w:t>
      </w:r>
      <w:r w:rsidR="00652C5D" w:rsidRPr="00F928D7">
        <w:rPr>
          <w:rStyle w:val="FootnoteReference"/>
          <w:rFonts w:ascii="Times New Roman" w:hAnsi="Times New Roman"/>
          <w:sz w:val="24"/>
          <w:szCs w:val="24"/>
        </w:rPr>
        <w:footnoteReference w:id="20"/>
      </w:r>
      <w:r w:rsidR="0078670B">
        <w:rPr>
          <w:rFonts w:ascii="Times New Roman" w:hAnsi="Times New Roman"/>
          <w:sz w:val="24"/>
          <w:szCs w:val="24"/>
        </w:rPr>
        <w:t xml:space="preserve"> Heresy, therefore, concerned belief</w:t>
      </w:r>
      <w:r w:rsidR="00B216E3" w:rsidRPr="00F928D7">
        <w:rPr>
          <w:rFonts w:ascii="Times New Roman" w:hAnsi="Times New Roman"/>
          <w:sz w:val="24"/>
          <w:szCs w:val="24"/>
        </w:rPr>
        <w:t>.</w:t>
      </w:r>
      <w:r w:rsidR="0086337A">
        <w:rPr>
          <w:rFonts w:ascii="Times New Roman" w:hAnsi="Times New Roman"/>
          <w:sz w:val="24"/>
          <w:szCs w:val="24"/>
        </w:rPr>
        <w:t xml:space="preserve"> </w:t>
      </w:r>
      <w:r w:rsidR="001B69FC" w:rsidRPr="00883EFD">
        <w:rPr>
          <w:rFonts w:ascii="Times New Roman" w:hAnsi="Times New Roman"/>
          <w:sz w:val="24"/>
          <w:szCs w:val="24"/>
        </w:rPr>
        <w:t>By contrast Aquinas defined superstition as a</w:t>
      </w:r>
      <w:r w:rsidR="004A7EAA" w:rsidRPr="00883EFD">
        <w:rPr>
          <w:rFonts w:ascii="Times New Roman" w:hAnsi="Times New Roman"/>
          <w:sz w:val="24"/>
          <w:szCs w:val="24"/>
        </w:rPr>
        <w:t>n</w:t>
      </w:r>
      <w:r w:rsidR="001B69FC" w:rsidRPr="00883EFD">
        <w:rPr>
          <w:rFonts w:ascii="Times New Roman" w:hAnsi="Times New Roman"/>
          <w:sz w:val="24"/>
          <w:szCs w:val="24"/>
        </w:rPr>
        <w:t xml:space="preserve"> act</w:t>
      </w:r>
      <w:r w:rsidR="00F928D7">
        <w:rPr>
          <w:rFonts w:ascii="Times New Roman" w:hAnsi="Times New Roman"/>
          <w:sz w:val="24"/>
          <w:szCs w:val="24"/>
        </w:rPr>
        <w:t xml:space="preserve"> that</w:t>
      </w:r>
      <w:r w:rsidR="0086337A">
        <w:rPr>
          <w:rFonts w:ascii="Times New Roman" w:hAnsi="Times New Roman"/>
          <w:sz w:val="24"/>
          <w:szCs w:val="24"/>
        </w:rPr>
        <w:t xml:space="preserve"> </w:t>
      </w:r>
      <w:r w:rsidR="00694963" w:rsidRPr="00883EFD">
        <w:rPr>
          <w:rFonts w:ascii="Times New Roman" w:hAnsi="Times New Roman"/>
          <w:sz w:val="24"/>
          <w:szCs w:val="24"/>
        </w:rPr>
        <w:t xml:space="preserve">served to </w:t>
      </w:r>
      <w:r w:rsidR="007C1E5B" w:rsidRPr="00883EFD">
        <w:rPr>
          <w:rFonts w:ascii="Times New Roman" w:hAnsi="Times New Roman"/>
          <w:sz w:val="24"/>
          <w:szCs w:val="24"/>
        </w:rPr>
        <w:t>corrupt</w:t>
      </w:r>
      <w:r w:rsidR="00694963" w:rsidRPr="00883EFD">
        <w:rPr>
          <w:rFonts w:ascii="Times New Roman" w:hAnsi="Times New Roman"/>
          <w:sz w:val="24"/>
          <w:szCs w:val="24"/>
        </w:rPr>
        <w:t xml:space="preserve"> true</w:t>
      </w:r>
      <w:r w:rsidR="00652C5D" w:rsidRPr="00883EFD">
        <w:rPr>
          <w:rFonts w:ascii="Times New Roman" w:hAnsi="Times New Roman"/>
          <w:sz w:val="24"/>
          <w:szCs w:val="24"/>
        </w:rPr>
        <w:t xml:space="preserve"> religion</w:t>
      </w:r>
      <w:r w:rsidR="001B69FC" w:rsidRPr="00883EFD">
        <w:rPr>
          <w:rFonts w:ascii="Times New Roman" w:hAnsi="Times New Roman"/>
          <w:sz w:val="24"/>
          <w:szCs w:val="24"/>
        </w:rPr>
        <w:t>. He understood religion</w:t>
      </w:r>
      <w:r w:rsidR="00652C5D" w:rsidRPr="00883EFD">
        <w:rPr>
          <w:rFonts w:ascii="Times New Roman" w:hAnsi="Times New Roman"/>
          <w:sz w:val="24"/>
          <w:szCs w:val="24"/>
        </w:rPr>
        <w:t xml:space="preserve"> as a moral virtue, that is</w:t>
      </w:r>
      <w:r w:rsidR="00354D33" w:rsidRPr="00883EFD">
        <w:rPr>
          <w:rFonts w:ascii="Times New Roman" w:hAnsi="Times New Roman"/>
          <w:sz w:val="24"/>
          <w:szCs w:val="24"/>
        </w:rPr>
        <w:t>,</w:t>
      </w:r>
      <w:r w:rsidR="00652C5D" w:rsidRPr="00883EFD">
        <w:rPr>
          <w:rFonts w:ascii="Times New Roman" w:hAnsi="Times New Roman"/>
          <w:sz w:val="24"/>
          <w:szCs w:val="24"/>
        </w:rPr>
        <w:t xml:space="preserve"> something which </w:t>
      </w:r>
      <w:r w:rsidR="00354D33" w:rsidRPr="00883EFD">
        <w:rPr>
          <w:rFonts w:ascii="Times New Roman" w:hAnsi="Times New Roman"/>
          <w:sz w:val="24"/>
          <w:szCs w:val="24"/>
        </w:rPr>
        <w:t>made either its possessor, or</w:t>
      </w:r>
      <w:r w:rsidR="0086337A">
        <w:rPr>
          <w:rFonts w:ascii="Times New Roman" w:hAnsi="Times New Roman"/>
          <w:sz w:val="24"/>
          <w:szCs w:val="24"/>
        </w:rPr>
        <w:t xml:space="preserve"> </w:t>
      </w:r>
      <w:r w:rsidR="00622F22">
        <w:rPr>
          <w:rFonts w:ascii="Times New Roman" w:hAnsi="Times New Roman"/>
          <w:sz w:val="24"/>
          <w:szCs w:val="24"/>
        </w:rPr>
        <w:t>his or</w:t>
      </w:r>
      <w:r w:rsidR="00652C5D" w:rsidRPr="00883EFD">
        <w:rPr>
          <w:rFonts w:ascii="Times New Roman" w:hAnsi="Times New Roman"/>
          <w:sz w:val="24"/>
          <w:szCs w:val="24"/>
        </w:rPr>
        <w:t xml:space="preserve"> her actions</w:t>
      </w:r>
      <w:r w:rsidR="001B69FC" w:rsidRPr="00883EFD">
        <w:rPr>
          <w:rFonts w:ascii="Times New Roman" w:hAnsi="Times New Roman"/>
          <w:sz w:val="24"/>
          <w:szCs w:val="24"/>
        </w:rPr>
        <w:t>,</w:t>
      </w:r>
      <w:r w:rsidR="00652C5D" w:rsidRPr="00883EFD">
        <w:rPr>
          <w:rFonts w:ascii="Times New Roman" w:hAnsi="Times New Roman"/>
          <w:sz w:val="24"/>
          <w:szCs w:val="24"/>
        </w:rPr>
        <w:t xml:space="preserve"> good. </w:t>
      </w:r>
      <w:r w:rsidR="001B69FC" w:rsidRPr="00883EFD">
        <w:rPr>
          <w:rFonts w:ascii="Times New Roman" w:hAnsi="Times New Roman"/>
          <w:sz w:val="24"/>
          <w:szCs w:val="24"/>
        </w:rPr>
        <w:t>Since every virtue observes a mean, he continued, o</w:t>
      </w:r>
      <w:r w:rsidR="00354D33" w:rsidRPr="00883EFD">
        <w:rPr>
          <w:rFonts w:ascii="Times New Roman" w:hAnsi="Times New Roman"/>
          <w:sz w:val="24"/>
          <w:szCs w:val="24"/>
        </w:rPr>
        <w:t>ne could deviate from virtue</w:t>
      </w:r>
      <w:r w:rsidR="00AF30A5" w:rsidRPr="00883EFD">
        <w:rPr>
          <w:rFonts w:ascii="Times New Roman" w:hAnsi="Times New Roman"/>
          <w:sz w:val="24"/>
          <w:szCs w:val="24"/>
        </w:rPr>
        <w:t>, either through deficiency or excess.</w:t>
      </w:r>
      <w:r w:rsidR="00F928D7">
        <w:rPr>
          <w:rStyle w:val="FootnoteReference"/>
          <w:rFonts w:ascii="Times New Roman" w:hAnsi="Times New Roman"/>
          <w:sz w:val="24"/>
          <w:szCs w:val="24"/>
        </w:rPr>
        <w:footnoteReference w:id="21"/>
      </w:r>
      <w:r w:rsidR="00174F89">
        <w:rPr>
          <w:rFonts w:ascii="Times New Roman" w:hAnsi="Times New Roman"/>
          <w:sz w:val="24"/>
          <w:szCs w:val="24"/>
        </w:rPr>
        <w:t xml:space="preserve"> </w:t>
      </w:r>
      <w:r w:rsidR="00622F22">
        <w:rPr>
          <w:rFonts w:ascii="Times New Roman" w:hAnsi="Times New Roman"/>
          <w:sz w:val="24"/>
          <w:szCs w:val="24"/>
        </w:rPr>
        <w:t xml:space="preserve">Aquinas concluded that: </w:t>
      </w:r>
      <w:r w:rsidR="00883EFD" w:rsidRPr="00883EFD">
        <w:rPr>
          <w:rFonts w:ascii="Times New Roman" w:hAnsi="Times New Roman"/>
          <w:sz w:val="24"/>
          <w:szCs w:val="24"/>
        </w:rPr>
        <w:t>“Superstition is thus a vice opposed to religion by excess, not because it offers more to divine worship than true religion, but because it offers divine worship either to someone to whom it should not be offered, or it is offered in a manner in which it should not.”</w:t>
      </w:r>
      <w:r w:rsidR="00883EFD">
        <w:rPr>
          <w:rStyle w:val="FootnoteReference"/>
          <w:rFonts w:ascii="Times New Roman" w:hAnsi="Times New Roman"/>
          <w:sz w:val="24"/>
          <w:szCs w:val="24"/>
        </w:rPr>
        <w:footnoteReference w:id="22"/>
      </w:r>
    </w:p>
    <w:p w14:paraId="71C33999" w14:textId="77777777" w:rsidR="00D32467" w:rsidRDefault="005B25FE" w:rsidP="00D32467">
      <w:pPr>
        <w:spacing w:line="480" w:lineRule="auto"/>
        <w:ind w:firstLine="720"/>
        <w:rPr>
          <w:rFonts w:ascii="Times New Roman" w:hAnsi="Times New Roman"/>
          <w:sz w:val="24"/>
        </w:rPr>
      </w:pPr>
      <w:r>
        <w:rPr>
          <w:rFonts w:ascii="Times New Roman" w:hAnsi="Times New Roman"/>
          <w:sz w:val="24"/>
        </w:rPr>
        <w:t>Superstitious acts, Aquinas</w:t>
      </w:r>
      <w:r w:rsidRPr="00854576">
        <w:rPr>
          <w:rFonts w:ascii="Times New Roman" w:hAnsi="Times New Roman"/>
          <w:sz w:val="24"/>
        </w:rPr>
        <w:t xml:space="preserve"> continue</w:t>
      </w:r>
      <w:r>
        <w:rPr>
          <w:rFonts w:ascii="Times New Roman" w:hAnsi="Times New Roman"/>
          <w:sz w:val="24"/>
        </w:rPr>
        <w:t>d, could be classified under one of three separate categories</w:t>
      </w:r>
      <w:r w:rsidR="00845483">
        <w:rPr>
          <w:rFonts w:ascii="Times New Roman" w:hAnsi="Times New Roman"/>
          <w:sz w:val="24"/>
        </w:rPr>
        <w:t>:</w:t>
      </w:r>
      <w:r w:rsidR="00C71D57">
        <w:rPr>
          <w:rFonts w:ascii="Times New Roman" w:hAnsi="Times New Roman"/>
          <w:sz w:val="24"/>
        </w:rPr>
        <w:t xml:space="preserve"> </w:t>
      </w:r>
      <w:r w:rsidR="00845483">
        <w:rPr>
          <w:rFonts w:ascii="Times New Roman" w:hAnsi="Times New Roman"/>
          <w:sz w:val="24"/>
        </w:rPr>
        <w:t>idolatry</w:t>
      </w:r>
      <w:r w:rsidR="00622F22">
        <w:rPr>
          <w:rFonts w:ascii="Times New Roman" w:hAnsi="Times New Roman"/>
          <w:sz w:val="24"/>
        </w:rPr>
        <w:t>, divination</w:t>
      </w:r>
      <w:r w:rsidR="00174F89">
        <w:rPr>
          <w:rFonts w:ascii="Times New Roman" w:hAnsi="Times New Roman"/>
          <w:sz w:val="24"/>
        </w:rPr>
        <w:t>,</w:t>
      </w:r>
      <w:r w:rsidR="00622F22">
        <w:rPr>
          <w:rFonts w:ascii="Times New Roman" w:hAnsi="Times New Roman"/>
          <w:sz w:val="24"/>
        </w:rPr>
        <w:t xml:space="preserve"> and observances. Each</w:t>
      </w:r>
      <w:r>
        <w:rPr>
          <w:rFonts w:ascii="Times New Roman" w:hAnsi="Times New Roman"/>
          <w:sz w:val="24"/>
        </w:rPr>
        <w:t xml:space="preserve"> represented a corruption of elements </w:t>
      </w:r>
      <w:r w:rsidR="00897DEA">
        <w:rPr>
          <w:rFonts w:ascii="Times New Roman" w:hAnsi="Times New Roman"/>
          <w:sz w:val="24"/>
        </w:rPr>
        <w:t xml:space="preserve">of true worship. The </w:t>
      </w:r>
      <w:r w:rsidR="00E97FD6">
        <w:rPr>
          <w:rFonts w:ascii="Times New Roman" w:hAnsi="Times New Roman"/>
          <w:sz w:val="24"/>
        </w:rPr>
        <w:t xml:space="preserve">first </w:t>
      </w:r>
      <w:r w:rsidR="00897DEA">
        <w:rPr>
          <w:rFonts w:ascii="Times New Roman" w:hAnsi="Times New Roman"/>
          <w:sz w:val="24"/>
        </w:rPr>
        <w:t>end of religion</w:t>
      </w:r>
      <w:r w:rsidR="00404DEB">
        <w:rPr>
          <w:rFonts w:ascii="Times New Roman" w:hAnsi="Times New Roman"/>
          <w:sz w:val="24"/>
        </w:rPr>
        <w:t xml:space="preserve"> was to give reverence to God;</w:t>
      </w:r>
      <w:r w:rsidR="00DF5D1F">
        <w:rPr>
          <w:rFonts w:ascii="Times New Roman" w:hAnsi="Times New Roman"/>
          <w:sz w:val="24"/>
        </w:rPr>
        <w:t xml:space="preserve"> </w:t>
      </w:r>
      <w:r w:rsidR="00845483">
        <w:rPr>
          <w:rFonts w:ascii="Times New Roman" w:hAnsi="Times New Roman"/>
          <w:sz w:val="24"/>
        </w:rPr>
        <w:t>i</w:t>
      </w:r>
      <w:r w:rsidR="00845483" w:rsidRPr="00854576">
        <w:rPr>
          <w:rFonts w:ascii="Times New Roman" w:hAnsi="Times New Roman"/>
          <w:sz w:val="24"/>
        </w:rPr>
        <w:t>dolat</w:t>
      </w:r>
      <w:r w:rsidR="00845483">
        <w:rPr>
          <w:rFonts w:ascii="Times New Roman" w:hAnsi="Times New Roman"/>
          <w:sz w:val="24"/>
        </w:rPr>
        <w:t>ry</w:t>
      </w:r>
      <w:r>
        <w:rPr>
          <w:rFonts w:ascii="Times New Roman" w:hAnsi="Times New Roman"/>
          <w:sz w:val="24"/>
        </w:rPr>
        <w:t xml:space="preserve"> involved the direct worship of a creature. </w:t>
      </w:r>
      <w:r w:rsidR="00CB56A9">
        <w:rPr>
          <w:rFonts w:ascii="Times New Roman" w:hAnsi="Times New Roman"/>
          <w:sz w:val="24"/>
        </w:rPr>
        <w:t>The second end of religion was to enable humans to</w:t>
      </w:r>
      <w:r w:rsidR="0086337A">
        <w:rPr>
          <w:rFonts w:ascii="Times New Roman" w:hAnsi="Times New Roman"/>
          <w:sz w:val="24"/>
        </w:rPr>
        <w:t xml:space="preserve"> </w:t>
      </w:r>
      <w:r w:rsidR="00404DEB">
        <w:rPr>
          <w:rFonts w:ascii="Times New Roman" w:hAnsi="Times New Roman"/>
          <w:sz w:val="24"/>
        </w:rPr>
        <w:t xml:space="preserve">learn from God; </w:t>
      </w:r>
      <w:r w:rsidR="00622F22">
        <w:rPr>
          <w:rFonts w:ascii="Times New Roman" w:hAnsi="Times New Roman"/>
          <w:sz w:val="24"/>
        </w:rPr>
        <w:t>d</w:t>
      </w:r>
      <w:r w:rsidR="00C71D57">
        <w:rPr>
          <w:rFonts w:ascii="Times New Roman" w:hAnsi="Times New Roman"/>
          <w:sz w:val="24"/>
        </w:rPr>
        <w:t>ivination</w:t>
      </w:r>
      <w:r>
        <w:rPr>
          <w:rFonts w:ascii="Times New Roman" w:hAnsi="Times New Roman"/>
          <w:sz w:val="24"/>
        </w:rPr>
        <w:t xml:space="preserve"> was the act of </w:t>
      </w:r>
      <w:r w:rsidR="00404DEB">
        <w:rPr>
          <w:rFonts w:ascii="Times New Roman" w:hAnsi="Times New Roman"/>
          <w:sz w:val="24"/>
        </w:rPr>
        <w:t>making an explicit or tacit pact with</w:t>
      </w:r>
      <w:r>
        <w:rPr>
          <w:rFonts w:ascii="Times New Roman" w:hAnsi="Times New Roman"/>
          <w:sz w:val="24"/>
        </w:rPr>
        <w:t xml:space="preserve"> a demon </w:t>
      </w:r>
      <w:r w:rsidR="00404DEB">
        <w:rPr>
          <w:rFonts w:ascii="Times New Roman" w:hAnsi="Times New Roman"/>
          <w:sz w:val="24"/>
        </w:rPr>
        <w:t>in order to consult them for purposes of gaining knowledge</w:t>
      </w:r>
      <w:r>
        <w:rPr>
          <w:rFonts w:ascii="Times New Roman" w:hAnsi="Times New Roman"/>
          <w:sz w:val="24"/>
        </w:rPr>
        <w:t xml:space="preserve">. </w:t>
      </w:r>
      <w:r w:rsidR="00CB56A9">
        <w:rPr>
          <w:rFonts w:ascii="Times New Roman" w:hAnsi="Times New Roman"/>
          <w:sz w:val="24"/>
        </w:rPr>
        <w:t xml:space="preserve">The final purpose of </w:t>
      </w:r>
      <w:r w:rsidR="00E97FD6">
        <w:rPr>
          <w:rFonts w:ascii="Times New Roman" w:hAnsi="Times New Roman"/>
          <w:sz w:val="24"/>
        </w:rPr>
        <w:t xml:space="preserve">religion </w:t>
      </w:r>
      <w:r w:rsidR="00D32467">
        <w:rPr>
          <w:rFonts w:ascii="Times New Roman" w:hAnsi="Times New Roman"/>
          <w:sz w:val="24"/>
        </w:rPr>
        <w:t>was to</w:t>
      </w:r>
      <w:r w:rsidR="00404DEB">
        <w:rPr>
          <w:rFonts w:ascii="Times New Roman" w:hAnsi="Times New Roman"/>
          <w:sz w:val="24"/>
        </w:rPr>
        <w:t xml:space="preserve"> guide human behaviour so that it accorded with divine precepts;</w:t>
      </w:r>
      <w:r w:rsidR="00622F22">
        <w:rPr>
          <w:rFonts w:ascii="Times New Roman" w:hAnsi="Times New Roman"/>
          <w:sz w:val="24"/>
        </w:rPr>
        <w:t xml:space="preserve"> o</w:t>
      </w:r>
      <w:r>
        <w:rPr>
          <w:rFonts w:ascii="Times New Roman" w:hAnsi="Times New Roman"/>
          <w:sz w:val="24"/>
        </w:rPr>
        <w:t>bservances</w:t>
      </w:r>
      <w:r w:rsidR="00404DEB">
        <w:rPr>
          <w:rFonts w:ascii="Times New Roman" w:hAnsi="Times New Roman"/>
          <w:sz w:val="24"/>
        </w:rPr>
        <w:t xml:space="preserve"> encouraged the</w:t>
      </w:r>
      <w:r>
        <w:rPr>
          <w:rFonts w:ascii="Times New Roman" w:hAnsi="Times New Roman"/>
          <w:sz w:val="24"/>
        </w:rPr>
        <w:t xml:space="preserve"> misdirection of human acts.</w:t>
      </w:r>
      <w:r w:rsidR="00404DEB">
        <w:rPr>
          <w:rStyle w:val="FootnoteReference"/>
          <w:rFonts w:ascii="Times New Roman" w:hAnsi="Times New Roman"/>
          <w:sz w:val="24"/>
        </w:rPr>
        <w:footnoteReference w:id="23"/>
      </w:r>
      <w:r w:rsidR="00481006">
        <w:rPr>
          <w:rFonts w:ascii="Times New Roman" w:hAnsi="Times New Roman"/>
          <w:sz w:val="24"/>
        </w:rPr>
        <w:t xml:space="preserve"> </w:t>
      </w:r>
      <w:r w:rsidR="00E97FD6">
        <w:rPr>
          <w:rFonts w:ascii="Times New Roman" w:hAnsi="Times New Roman"/>
          <w:sz w:val="24"/>
        </w:rPr>
        <w:t>The question remained, however</w:t>
      </w:r>
      <w:r w:rsidR="007847B2">
        <w:rPr>
          <w:rFonts w:ascii="Times New Roman" w:hAnsi="Times New Roman"/>
          <w:sz w:val="24"/>
        </w:rPr>
        <w:t>:</w:t>
      </w:r>
      <w:r w:rsidR="00E97FD6">
        <w:rPr>
          <w:rFonts w:ascii="Times New Roman" w:hAnsi="Times New Roman"/>
          <w:sz w:val="24"/>
        </w:rPr>
        <w:t xml:space="preserve"> which human actions, and </w:t>
      </w:r>
      <w:r w:rsidR="00E97FD6">
        <w:rPr>
          <w:rFonts w:ascii="Times New Roman" w:hAnsi="Times New Roman"/>
          <w:sz w:val="24"/>
        </w:rPr>
        <w:lastRenderedPageBreak/>
        <w:t>especially which operative arts</w:t>
      </w:r>
      <w:r w:rsidR="00174F89">
        <w:rPr>
          <w:rFonts w:ascii="Times New Roman" w:hAnsi="Times New Roman"/>
          <w:sz w:val="24"/>
        </w:rPr>
        <w:t>,</w:t>
      </w:r>
      <w:r w:rsidR="00E97FD6">
        <w:rPr>
          <w:rFonts w:ascii="Times New Roman" w:hAnsi="Times New Roman"/>
          <w:sz w:val="24"/>
        </w:rPr>
        <w:t xml:space="preserve"> were to be considered superstitious? </w:t>
      </w:r>
      <w:r w:rsidR="006E1496">
        <w:rPr>
          <w:rFonts w:ascii="Times New Roman" w:hAnsi="Times New Roman"/>
          <w:sz w:val="24"/>
        </w:rPr>
        <w:t>Aquinas’s understanding of the legitimacy of the operative arts was informed by his reading of the</w:t>
      </w:r>
      <w:r w:rsidR="00D32467">
        <w:rPr>
          <w:rFonts w:ascii="Times New Roman" w:hAnsi="Times New Roman"/>
          <w:sz w:val="24"/>
        </w:rPr>
        <w:t xml:space="preserve"> Church Fathers, </w:t>
      </w:r>
      <w:r w:rsidR="006E1496">
        <w:rPr>
          <w:rFonts w:ascii="Times New Roman" w:hAnsi="Times New Roman"/>
          <w:sz w:val="24"/>
        </w:rPr>
        <w:t>most notably Augustine. Following their lead, he</w:t>
      </w:r>
      <w:r w:rsidR="00D32467">
        <w:rPr>
          <w:rFonts w:ascii="Times New Roman" w:hAnsi="Times New Roman"/>
          <w:sz w:val="24"/>
        </w:rPr>
        <w:t xml:space="preserve"> believed that many</w:t>
      </w:r>
      <w:r w:rsidR="00845483">
        <w:rPr>
          <w:rFonts w:ascii="Times New Roman" w:hAnsi="Times New Roman"/>
          <w:sz w:val="24"/>
        </w:rPr>
        <w:t xml:space="preserve"> – but by no means all –</w:t>
      </w:r>
      <w:r w:rsidR="00D32467">
        <w:rPr>
          <w:rFonts w:ascii="Times New Roman" w:hAnsi="Times New Roman"/>
          <w:sz w:val="24"/>
        </w:rPr>
        <w:t xml:space="preserve"> of the operative arts discussed</w:t>
      </w:r>
      <w:r w:rsidR="00453EDC">
        <w:rPr>
          <w:rFonts w:ascii="Times New Roman" w:hAnsi="Times New Roman"/>
          <w:sz w:val="24"/>
        </w:rPr>
        <w:t>, or practis</w:t>
      </w:r>
      <w:r w:rsidR="00D32467">
        <w:rPr>
          <w:rFonts w:ascii="Times New Roman" w:hAnsi="Times New Roman"/>
          <w:sz w:val="24"/>
        </w:rPr>
        <w:t>ed by his contemporaries</w:t>
      </w:r>
      <w:r w:rsidR="003F1723">
        <w:rPr>
          <w:rFonts w:ascii="Times New Roman" w:hAnsi="Times New Roman"/>
          <w:sz w:val="24"/>
        </w:rPr>
        <w:t>,</w:t>
      </w:r>
      <w:r w:rsidR="00D32467">
        <w:rPr>
          <w:rFonts w:ascii="Times New Roman" w:hAnsi="Times New Roman"/>
          <w:sz w:val="24"/>
        </w:rPr>
        <w:t xml:space="preserve"> fell into one or other of these categories</w:t>
      </w:r>
      <w:r w:rsidR="009F2107">
        <w:rPr>
          <w:rFonts w:ascii="Times New Roman" w:hAnsi="Times New Roman"/>
          <w:sz w:val="24"/>
        </w:rPr>
        <w:t xml:space="preserve"> of superstition</w:t>
      </w:r>
      <w:r w:rsidR="00D32467">
        <w:rPr>
          <w:rFonts w:ascii="Times New Roman" w:hAnsi="Times New Roman"/>
          <w:sz w:val="24"/>
        </w:rPr>
        <w:t>.</w:t>
      </w:r>
      <w:r w:rsidR="00D32467">
        <w:rPr>
          <w:rFonts w:ascii="Times New Roman" w:hAnsi="Times New Roman"/>
          <w:sz w:val="24"/>
          <w:szCs w:val="24"/>
        </w:rPr>
        <w:t xml:space="preserve"> For Aquinas it was necessary to reject</w:t>
      </w:r>
      <w:r w:rsidR="0086337A">
        <w:rPr>
          <w:rFonts w:ascii="Times New Roman" w:hAnsi="Times New Roman"/>
          <w:sz w:val="24"/>
          <w:szCs w:val="24"/>
        </w:rPr>
        <w:t xml:space="preserve"> </w:t>
      </w:r>
      <w:r w:rsidR="001B69FC">
        <w:rPr>
          <w:rFonts w:ascii="Times New Roman" w:hAnsi="Times New Roman"/>
          <w:sz w:val="24"/>
        </w:rPr>
        <w:t>any operative art</w:t>
      </w:r>
      <w:r w:rsidR="001B69FC" w:rsidRPr="00854576">
        <w:rPr>
          <w:rFonts w:ascii="Times New Roman" w:hAnsi="Times New Roman"/>
          <w:sz w:val="24"/>
        </w:rPr>
        <w:t xml:space="preserve"> that involved the explicit invocation of demons</w:t>
      </w:r>
      <w:r w:rsidR="001B69FC">
        <w:rPr>
          <w:rFonts w:ascii="Times New Roman" w:hAnsi="Times New Roman"/>
          <w:sz w:val="24"/>
        </w:rPr>
        <w:t>. He was also suspicious of a number of arts</w:t>
      </w:r>
      <w:r w:rsidR="0086337A">
        <w:rPr>
          <w:rFonts w:ascii="Times New Roman" w:hAnsi="Times New Roman"/>
          <w:sz w:val="24"/>
        </w:rPr>
        <w:t xml:space="preserve"> </w:t>
      </w:r>
      <w:r w:rsidR="0077131F">
        <w:rPr>
          <w:rFonts w:ascii="Times New Roman" w:hAnsi="Times New Roman"/>
          <w:sz w:val="24"/>
        </w:rPr>
        <w:t>that made no</w:t>
      </w:r>
      <w:r w:rsidR="00D32467">
        <w:rPr>
          <w:rFonts w:ascii="Times New Roman" w:hAnsi="Times New Roman"/>
          <w:sz w:val="24"/>
        </w:rPr>
        <w:t xml:space="preserve"> direct</w:t>
      </w:r>
      <w:r w:rsidR="0077131F">
        <w:rPr>
          <w:rFonts w:ascii="Times New Roman" w:hAnsi="Times New Roman"/>
          <w:sz w:val="24"/>
        </w:rPr>
        <w:t xml:space="preserve"> appeal to demons</w:t>
      </w:r>
      <w:r w:rsidR="00F928D7">
        <w:rPr>
          <w:rFonts w:ascii="Times New Roman" w:hAnsi="Times New Roman"/>
          <w:sz w:val="24"/>
        </w:rPr>
        <w:t xml:space="preserve">, </w:t>
      </w:r>
      <w:r w:rsidR="009F2107">
        <w:rPr>
          <w:rFonts w:ascii="Times New Roman" w:hAnsi="Times New Roman"/>
          <w:sz w:val="24"/>
        </w:rPr>
        <w:t>and regarded</w:t>
      </w:r>
      <w:r w:rsidR="00F928D7">
        <w:rPr>
          <w:rFonts w:ascii="Times New Roman" w:hAnsi="Times New Roman"/>
          <w:sz w:val="24"/>
        </w:rPr>
        <w:t xml:space="preserve"> t</w:t>
      </w:r>
      <w:r w:rsidR="00D32467">
        <w:rPr>
          <w:rFonts w:ascii="Times New Roman" w:hAnsi="Times New Roman"/>
          <w:sz w:val="24"/>
        </w:rPr>
        <w:t xml:space="preserve">he use of predictive techniques such as geomancy or </w:t>
      </w:r>
      <w:r w:rsidR="00C23586">
        <w:rPr>
          <w:rFonts w:ascii="Times New Roman" w:hAnsi="Times New Roman"/>
          <w:sz w:val="24"/>
        </w:rPr>
        <w:t>chiromancy</w:t>
      </w:r>
      <w:r w:rsidR="0086337A">
        <w:rPr>
          <w:rFonts w:ascii="Times New Roman" w:hAnsi="Times New Roman"/>
          <w:sz w:val="24"/>
        </w:rPr>
        <w:t xml:space="preserve"> </w:t>
      </w:r>
      <w:r w:rsidR="00F928D7">
        <w:rPr>
          <w:rFonts w:ascii="Times New Roman" w:hAnsi="Times New Roman"/>
          <w:sz w:val="24"/>
        </w:rPr>
        <w:t xml:space="preserve">as forms of divination, and </w:t>
      </w:r>
      <w:r w:rsidR="001B69FC">
        <w:rPr>
          <w:rFonts w:ascii="Times New Roman" w:hAnsi="Times New Roman"/>
          <w:sz w:val="24"/>
        </w:rPr>
        <w:t>the</w:t>
      </w:r>
      <w:r w:rsidR="00F928D7">
        <w:rPr>
          <w:rFonts w:ascii="Times New Roman" w:hAnsi="Times New Roman"/>
          <w:sz w:val="24"/>
        </w:rPr>
        <w:t xml:space="preserve"> art of</w:t>
      </w:r>
      <w:r w:rsidR="001B69FC">
        <w:rPr>
          <w:rFonts w:ascii="Times New Roman" w:hAnsi="Times New Roman"/>
          <w:sz w:val="24"/>
        </w:rPr>
        <w:t xml:space="preserve"> const</w:t>
      </w:r>
      <w:r w:rsidR="00F928D7">
        <w:rPr>
          <w:rFonts w:ascii="Times New Roman" w:hAnsi="Times New Roman"/>
          <w:sz w:val="24"/>
        </w:rPr>
        <w:t>ructing</w:t>
      </w:r>
      <w:r w:rsidR="001B69FC">
        <w:rPr>
          <w:rFonts w:ascii="Times New Roman" w:hAnsi="Times New Roman"/>
          <w:sz w:val="24"/>
        </w:rPr>
        <w:t xml:space="preserve"> astrological talismans</w:t>
      </w:r>
      <w:r w:rsidR="0077131F">
        <w:rPr>
          <w:rFonts w:ascii="Times New Roman" w:hAnsi="Times New Roman"/>
          <w:sz w:val="24"/>
        </w:rPr>
        <w:t xml:space="preserve"> to promote health</w:t>
      </w:r>
      <w:r w:rsidR="00F928D7">
        <w:rPr>
          <w:rFonts w:ascii="Times New Roman" w:hAnsi="Times New Roman"/>
          <w:sz w:val="24"/>
        </w:rPr>
        <w:t xml:space="preserve"> as a form of observance</w:t>
      </w:r>
      <w:r w:rsidR="001B69FC">
        <w:rPr>
          <w:rFonts w:ascii="Times New Roman" w:hAnsi="Times New Roman"/>
          <w:sz w:val="24"/>
        </w:rPr>
        <w:t>.</w:t>
      </w:r>
      <w:r w:rsidR="00F928D7" w:rsidRPr="00854576">
        <w:rPr>
          <w:rFonts w:ascii="Times New Roman" w:hAnsi="Times New Roman"/>
          <w:sz w:val="24"/>
          <w:vertAlign w:val="superscript"/>
        </w:rPr>
        <w:footnoteReference w:id="24"/>
      </w:r>
    </w:p>
    <w:p w14:paraId="6985997E" w14:textId="77777777" w:rsidR="009526FC" w:rsidRPr="00854576" w:rsidRDefault="001E5D17" w:rsidP="00D054AA">
      <w:pPr>
        <w:spacing w:after="160" w:line="480" w:lineRule="auto"/>
        <w:ind w:firstLine="720"/>
        <w:rPr>
          <w:rFonts w:ascii="Times New Roman" w:hAnsi="Times New Roman"/>
          <w:sz w:val="24"/>
        </w:rPr>
      </w:pPr>
      <w:r>
        <w:rPr>
          <w:rFonts w:ascii="Times New Roman" w:hAnsi="Times New Roman"/>
          <w:sz w:val="24"/>
        </w:rPr>
        <w:t xml:space="preserve">Aquinas was deeply sceptical about the orthodoxy of a wide array of contemporary operative arts, but he was prepared to accept that some might be both legitimate and useful. </w:t>
      </w:r>
      <w:r w:rsidR="009526FC">
        <w:rPr>
          <w:rFonts w:ascii="Times New Roman" w:hAnsi="Times New Roman"/>
          <w:sz w:val="24"/>
        </w:rPr>
        <w:t>To determine which arts were orthodox and which were not, Aquinas developed a sophisticated set of criteria</w:t>
      </w:r>
      <w:r w:rsidR="009526FC" w:rsidRPr="00854576">
        <w:rPr>
          <w:rFonts w:ascii="Times New Roman" w:hAnsi="Times New Roman"/>
          <w:sz w:val="24"/>
        </w:rPr>
        <w:t xml:space="preserve"> rooted in theo</w:t>
      </w:r>
      <w:r w:rsidR="009526FC">
        <w:rPr>
          <w:rFonts w:ascii="Times New Roman" w:hAnsi="Times New Roman"/>
          <w:sz w:val="24"/>
        </w:rPr>
        <w:t>logy and philosophy. The guidin</w:t>
      </w:r>
      <w:r w:rsidR="00DF1BE9">
        <w:rPr>
          <w:rFonts w:ascii="Times New Roman" w:hAnsi="Times New Roman"/>
          <w:sz w:val="24"/>
        </w:rPr>
        <w:t>g principle of his criteria was</w:t>
      </w:r>
      <w:r w:rsidR="009526FC">
        <w:rPr>
          <w:rFonts w:ascii="Times New Roman" w:hAnsi="Times New Roman"/>
          <w:sz w:val="24"/>
        </w:rPr>
        <w:t xml:space="preserve"> informed by Augustine’s insight</w:t>
      </w:r>
      <w:r w:rsidR="009526FC" w:rsidRPr="00854576">
        <w:rPr>
          <w:rFonts w:ascii="Times New Roman" w:hAnsi="Times New Roman"/>
          <w:sz w:val="24"/>
        </w:rPr>
        <w:t xml:space="preserve"> that there existed many natural wonders that simply surpassed humans’ ordinary understanding. </w:t>
      </w:r>
      <w:r w:rsidR="009526FC">
        <w:rPr>
          <w:rFonts w:ascii="Times New Roman" w:hAnsi="Times New Roman"/>
          <w:sz w:val="24"/>
        </w:rPr>
        <w:t>It was, Augustine</w:t>
      </w:r>
      <w:r w:rsidR="009526FC" w:rsidRPr="00854576">
        <w:rPr>
          <w:rFonts w:ascii="Times New Roman" w:hAnsi="Times New Roman"/>
          <w:sz w:val="24"/>
        </w:rPr>
        <w:t xml:space="preserve"> maintained, entirely legitimate for humans to make use of such naturally</w:t>
      </w:r>
      <w:r w:rsidR="007847B2">
        <w:rPr>
          <w:rFonts w:ascii="Times New Roman" w:hAnsi="Times New Roman"/>
          <w:sz w:val="24"/>
        </w:rPr>
        <w:t xml:space="preserve"> </w:t>
      </w:r>
      <w:r w:rsidR="009526FC" w:rsidRPr="00854576">
        <w:rPr>
          <w:rFonts w:ascii="Times New Roman" w:hAnsi="Times New Roman"/>
          <w:sz w:val="24"/>
        </w:rPr>
        <w:t xml:space="preserve">occurring wonders, and to exploit the hidden properties of </w:t>
      </w:r>
      <w:r w:rsidR="009526FC">
        <w:rPr>
          <w:rFonts w:ascii="Times New Roman" w:hAnsi="Times New Roman"/>
          <w:sz w:val="24"/>
        </w:rPr>
        <w:t xml:space="preserve">natural things. </w:t>
      </w:r>
      <w:r w:rsidR="009526FC" w:rsidRPr="00854576">
        <w:rPr>
          <w:rFonts w:ascii="Times New Roman" w:hAnsi="Times New Roman"/>
          <w:sz w:val="24"/>
        </w:rPr>
        <w:t>From these observations Aquinas constructed a general theory of natural causation, which he used to analyse the legitimacy of a range of arts including astrology, astral magic, and the use of herbs and gem</w:t>
      </w:r>
      <w:r w:rsidR="009526FC">
        <w:rPr>
          <w:rFonts w:ascii="Times New Roman" w:hAnsi="Times New Roman"/>
          <w:sz w:val="24"/>
        </w:rPr>
        <w:t xml:space="preserve">s for the purposes of healing. </w:t>
      </w:r>
      <w:r w:rsidR="009526FC" w:rsidRPr="00854576">
        <w:rPr>
          <w:rFonts w:ascii="Times New Roman" w:hAnsi="Times New Roman"/>
          <w:sz w:val="24"/>
        </w:rPr>
        <w:t>The key principle he established was that it was acceptable for humans to make use of any properties if they could demonstrat</w:t>
      </w:r>
      <w:r w:rsidR="009526FC">
        <w:rPr>
          <w:rFonts w:ascii="Times New Roman" w:hAnsi="Times New Roman"/>
          <w:sz w:val="24"/>
        </w:rPr>
        <w:t>e that they had natural causes.</w:t>
      </w:r>
      <w:r w:rsidR="009526FC" w:rsidRPr="00854576">
        <w:rPr>
          <w:rFonts w:ascii="Times New Roman" w:hAnsi="Times New Roman"/>
          <w:sz w:val="24"/>
        </w:rPr>
        <w:t xml:space="preserve"> Explo</w:t>
      </w:r>
      <w:r w:rsidR="00F928D7">
        <w:rPr>
          <w:rFonts w:ascii="Times New Roman" w:hAnsi="Times New Roman"/>
          <w:sz w:val="24"/>
        </w:rPr>
        <w:t>iting natural things in order</w:t>
      </w:r>
      <w:r w:rsidR="007847B2">
        <w:rPr>
          <w:rFonts w:ascii="Times New Roman" w:hAnsi="Times New Roman"/>
          <w:sz w:val="24"/>
        </w:rPr>
        <w:t xml:space="preserve"> </w:t>
      </w:r>
      <w:r w:rsidR="00F928D7">
        <w:rPr>
          <w:rFonts w:ascii="Times New Roman" w:hAnsi="Times New Roman"/>
          <w:sz w:val="24"/>
        </w:rPr>
        <w:t xml:space="preserve">to </w:t>
      </w:r>
      <w:r w:rsidR="009526FC" w:rsidRPr="00854576">
        <w:rPr>
          <w:rFonts w:ascii="Times New Roman" w:hAnsi="Times New Roman"/>
          <w:sz w:val="24"/>
        </w:rPr>
        <w:t xml:space="preserve">induce </w:t>
      </w:r>
      <w:r w:rsidR="007847B2">
        <w:rPr>
          <w:rFonts w:ascii="Times New Roman" w:hAnsi="Times New Roman"/>
          <w:sz w:val="24"/>
        </w:rPr>
        <w:t xml:space="preserve">artificially </w:t>
      </w:r>
      <w:r w:rsidR="009526FC" w:rsidRPr="00854576">
        <w:rPr>
          <w:rFonts w:ascii="Times New Roman" w:hAnsi="Times New Roman"/>
          <w:sz w:val="24"/>
        </w:rPr>
        <w:t>natural effects was, for</w:t>
      </w:r>
      <w:r w:rsidR="009526FC">
        <w:rPr>
          <w:rFonts w:ascii="Times New Roman" w:hAnsi="Times New Roman"/>
          <w:sz w:val="24"/>
        </w:rPr>
        <w:t xml:space="preserve"> Aquinas, entirely legitimate. </w:t>
      </w:r>
      <w:r w:rsidR="009526FC" w:rsidRPr="00854576">
        <w:rPr>
          <w:rFonts w:ascii="Times New Roman" w:hAnsi="Times New Roman"/>
          <w:sz w:val="24"/>
        </w:rPr>
        <w:t xml:space="preserve">He cautioned that there were also arts </w:t>
      </w:r>
      <w:r w:rsidR="009526FC">
        <w:rPr>
          <w:rFonts w:ascii="Times New Roman" w:hAnsi="Times New Roman"/>
          <w:sz w:val="24"/>
        </w:rPr>
        <w:t>–</w:t>
      </w:r>
      <w:r w:rsidR="009526FC" w:rsidRPr="00854576">
        <w:rPr>
          <w:rFonts w:ascii="Times New Roman" w:hAnsi="Times New Roman"/>
          <w:sz w:val="24"/>
        </w:rPr>
        <w:t xml:space="preserve"> for example</w:t>
      </w:r>
      <w:r w:rsidR="009526FC">
        <w:rPr>
          <w:rFonts w:ascii="Times New Roman" w:hAnsi="Times New Roman"/>
          <w:sz w:val="24"/>
        </w:rPr>
        <w:t>, those used</w:t>
      </w:r>
      <w:r w:rsidR="0086337A">
        <w:rPr>
          <w:rFonts w:ascii="Times New Roman" w:hAnsi="Times New Roman"/>
          <w:sz w:val="24"/>
        </w:rPr>
        <w:t xml:space="preserve"> </w:t>
      </w:r>
      <w:r w:rsidR="009526FC">
        <w:rPr>
          <w:rFonts w:ascii="Times New Roman" w:hAnsi="Times New Roman"/>
          <w:sz w:val="24"/>
        </w:rPr>
        <w:t>to</w:t>
      </w:r>
      <w:r w:rsidR="009526FC" w:rsidRPr="00854576">
        <w:rPr>
          <w:rFonts w:ascii="Times New Roman" w:hAnsi="Times New Roman"/>
          <w:sz w:val="24"/>
        </w:rPr>
        <w:t xml:space="preserve"> produc</w:t>
      </w:r>
      <w:r w:rsidR="009526FC">
        <w:rPr>
          <w:rFonts w:ascii="Times New Roman" w:hAnsi="Times New Roman"/>
          <w:sz w:val="24"/>
        </w:rPr>
        <w:t>e</w:t>
      </w:r>
      <w:r w:rsidR="009526FC" w:rsidRPr="00854576">
        <w:rPr>
          <w:rFonts w:ascii="Times New Roman" w:hAnsi="Times New Roman"/>
          <w:sz w:val="24"/>
        </w:rPr>
        <w:t xml:space="preserve"> astrological talismans </w:t>
      </w:r>
      <w:r w:rsidR="009526FC">
        <w:rPr>
          <w:rFonts w:ascii="Times New Roman" w:hAnsi="Times New Roman"/>
          <w:sz w:val="24"/>
        </w:rPr>
        <w:t>–</w:t>
      </w:r>
      <w:r w:rsidR="009526FC" w:rsidRPr="00854576">
        <w:rPr>
          <w:rFonts w:ascii="Times New Roman" w:hAnsi="Times New Roman"/>
          <w:sz w:val="24"/>
        </w:rPr>
        <w:t xml:space="preserve"> that </w:t>
      </w:r>
      <w:r w:rsidR="009526FC" w:rsidRPr="00854576">
        <w:rPr>
          <w:rFonts w:ascii="Times New Roman" w:hAnsi="Times New Roman"/>
          <w:sz w:val="24"/>
        </w:rPr>
        <w:lastRenderedPageBreak/>
        <w:t>were erron</w:t>
      </w:r>
      <w:r w:rsidR="009526FC">
        <w:rPr>
          <w:rFonts w:ascii="Times New Roman" w:hAnsi="Times New Roman"/>
          <w:sz w:val="24"/>
        </w:rPr>
        <w:t xml:space="preserve">eously believed to be natural. </w:t>
      </w:r>
      <w:r w:rsidR="009526FC" w:rsidRPr="00854576">
        <w:rPr>
          <w:rFonts w:ascii="Times New Roman" w:hAnsi="Times New Roman"/>
          <w:sz w:val="24"/>
        </w:rPr>
        <w:t>Such arts, he maintained, had no natural efficacy</w:t>
      </w:r>
      <w:r w:rsidR="009526FC">
        <w:rPr>
          <w:rFonts w:ascii="Times New Roman" w:hAnsi="Times New Roman"/>
          <w:sz w:val="24"/>
        </w:rPr>
        <w:t>.</w:t>
      </w:r>
      <w:r w:rsidR="003A42D5">
        <w:rPr>
          <w:rFonts w:ascii="Times New Roman" w:hAnsi="Times New Roman"/>
          <w:sz w:val="24"/>
        </w:rPr>
        <w:t xml:space="preserve"> </w:t>
      </w:r>
      <w:r w:rsidR="009526FC">
        <w:rPr>
          <w:rFonts w:ascii="Times New Roman" w:hAnsi="Times New Roman"/>
          <w:sz w:val="24"/>
        </w:rPr>
        <w:t>Consequently,</w:t>
      </w:r>
      <w:r w:rsidR="009526FC" w:rsidRPr="00854576">
        <w:rPr>
          <w:rFonts w:ascii="Times New Roman" w:hAnsi="Times New Roman"/>
          <w:sz w:val="24"/>
        </w:rPr>
        <w:t xml:space="preserve"> any effects </w:t>
      </w:r>
      <w:r w:rsidR="009526FC">
        <w:rPr>
          <w:rFonts w:ascii="Times New Roman" w:hAnsi="Times New Roman"/>
          <w:sz w:val="24"/>
        </w:rPr>
        <w:t xml:space="preserve">they produced </w:t>
      </w:r>
      <w:r w:rsidR="009526FC" w:rsidRPr="00854576">
        <w:rPr>
          <w:rFonts w:ascii="Times New Roman" w:hAnsi="Times New Roman"/>
          <w:sz w:val="24"/>
        </w:rPr>
        <w:t xml:space="preserve">were in fact </w:t>
      </w:r>
      <w:r w:rsidR="009526FC">
        <w:rPr>
          <w:rFonts w:ascii="Times New Roman" w:hAnsi="Times New Roman"/>
          <w:sz w:val="24"/>
        </w:rPr>
        <w:t>created by demons, with whom the operator had made a</w:t>
      </w:r>
      <w:r w:rsidR="009526FC" w:rsidRPr="00854576">
        <w:rPr>
          <w:rFonts w:ascii="Times New Roman" w:hAnsi="Times New Roman"/>
          <w:sz w:val="24"/>
        </w:rPr>
        <w:t xml:space="preserve"> tacit pact</w:t>
      </w:r>
      <w:r w:rsidR="009526FC">
        <w:rPr>
          <w:rFonts w:ascii="Times New Roman" w:hAnsi="Times New Roman"/>
          <w:sz w:val="24"/>
        </w:rPr>
        <w:t xml:space="preserve">. </w:t>
      </w:r>
      <w:r w:rsidR="009526FC" w:rsidRPr="00854576">
        <w:rPr>
          <w:rFonts w:ascii="Times New Roman" w:hAnsi="Times New Roman"/>
          <w:sz w:val="24"/>
        </w:rPr>
        <w:t>Whilst the</w:t>
      </w:r>
      <w:r w:rsidR="009526FC">
        <w:rPr>
          <w:rFonts w:ascii="Times New Roman" w:hAnsi="Times New Roman"/>
          <w:sz w:val="24"/>
        </w:rPr>
        <w:t xml:space="preserve"> operator</w:t>
      </w:r>
      <w:r w:rsidR="009526FC" w:rsidRPr="00854576">
        <w:rPr>
          <w:rFonts w:ascii="Times New Roman" w:hAnsi="Times New Roman"/>
          <w:sz w:val="24"/>
        </w:rPr>
        <w:t xml:space="preserve"> may not have intended to invoke a demon in order to create their </w:t>
      </w:r>
      <w:r w:rsidR="009F2107">
        <w:rPr>
          <w:rFonts w:ascii="Times New Roman" w:hAnsi="Times New Roman"/>
          <w:sz w:val="24"/>
        </w:rPr>
        <w:t>desired effect, their action should nevertheless be considered</w:t>
      </w:r>
      <w:r w:rsidR="009526FC" w:rsidRPr="00854576">
        <w:rPr>
          <w:rFonts w:ascii="Times New Roman" w:hAnsi="Times New Roman"/>
          <w:sz w:val="24"/>
        </w:rPr>
        <w:t xml:space="preserve"> superstitious.</w:t>
      </w:r>
      <w:r w:rsidR="009526FC" w:rsidRPr="00854576">
        <w:rPr>
          <w:rFonts w:ascii="Times New Roman" w:hAnsi="Times New Roman"/>
          <w:sz w:val="24"/>
          <w:vertAlign w:val="superscript"/>
        </w:rPr>
        <w:footnoteReference w:id="25"/>
      </w:r>
    </w:p>
    <w:p w14:paraId="455E5ACD" w14:textId="77777777" w:rsidR="009526FC" w:rsidRDefault="009526FC" w:rsidP="00D054AA">
      <w:pPr>
        <w:spacing w:after="160" w:line="480" w:lineRule="auto"/>
        <w:ind w:firstLine="720"/>
        <w:rPr>
          <w:rFonts w:ascii="Times New Roman" w:hAnsi="Times New Roman"/>
          <w:sz w:val="24"/>
        </w:rPr>
      </w:pPr>
      <w:r w:rsidRPr="00854576">
        <w:rPr>
          <w:rFonts w:ascii="Times New Roman" w:hAnsi="Times New Roman"/>
          <w:sz w:val="24"/>
        </w:rPr>
        <w:t xml:space="preserve">Aquinas provided a detailed discussion of a range of magical arts in this section of the </w:t>
      </w:r>
      <w:r w:rsidRPr="00854576">
        <w:rPr>
          <w:rFonts w:ascii="Times New Roman" w:hAnsi="Times New Roman"/>
          <w:i/>
          <w:sz w:val="24"/>
        </w:rPr>
        <w:t>Summa theologica</w:t>
      </w:r>
      <w:r w:rsidRPr="00854576">
        <w:rPr>
          <w:rFonts w:ascii="Times New Roman" w:hAnsi="Times New Roman"/>
          <w:sz w:val="24"/>
        </w:rPr>
        <w:t>, but he made no reference to alchemy.</w:t>
      </w:r>
      <w:r>
        <w:rPr>
          <w:rFonts w:ascii="Times New Roman" w:hAnsi="Times New Roman"/>
          <w:sz w:val="24"/>
        </w:rPr>
        <w:t xml:space="preserve"> This was a surprising omission</w:t>
      </w:r>
      <w:r w:rsidR="00D73970">
        <w:rPr>
          <w:rFonts w:ascii="Times New Roman" w:hAnsi="Times New Roman"/>
          <w:sz w:val="24"/>
        </w:rPr>
        <w:t>,</w:t>
      </w:r>
      <w:r w:rsidRPr="00854576">
        <w:rPr>
          <w:rFonts w:ascii="Times New Roman" w:hAnsi="Times New Roman"/>
          <w:sz w:val="24"/>
        </w:rPr>
        <w:t xml:space="preserve"> for by the time Aquinas completed this text</w:t>
      </w:r>
      <w:r w:rsidR="00D73970">
        <w:rPr>
          <w:rFonts w:ascii="Times New Roman" w:hAnsi="Times New Roman"/>
          <w:sz w:val="24"/>
        </w:rPr>
        <w:t>,</w:t>
      </w:r>
      <w:r w:rsidRPr="00854576">
        <w:rPr>
          <w:rFonts w:ascii="Times New Roman" w:hAnsi="Times New Roman"/>
          <w:sz w:val="24"/>
        </w:rPr>
        <w:t xml:space="preserve"> his views on the possibility of</w:t>
      </w:r>
      <w:r>
        <w:rPr>
          <w:rFonts w:ascii="Times New Roman" w:hAnsi="Times New Roman"/>
          <w:sz w:val="24"/>
        </w:rPr>
        <w:t xml:space="preserve"> transmutation, and hence also of </w:t>
      </w:r>
      <w:r w:rsidRPr="007847B2">
        <w:rPr>
          <w:rFonts w:ascii="Times New Roman" w:hAnsi="Times New Roman"/>
          <w:i/>
          <w:sz w:val="24"/>
        </w:rPr>
        <w:t>chrysopoeia</w:t>
      </w:r>
      <w:r>
        <w:rPr>
          <w:rFonts w:ascii="Times New Roman" w:hAnsi="Times New Roman"/>
          <w:sz w:val="24"/>
        </w:rPr>
        <w:t>, had changed. Aquinas’s change of hea</w:t>
      </w:r>
      <w:r w:rsidR="00B85665">
        <w:rPr>
          <w:rFonts w:ascii="Times New Roman" w:hAnsi="Times New Roman"/>
          <w:sz w:val="24"/>
        </w:rPr>
        <w:t>rt was first suggested in a section</w:t>
      </w:r>
      <w:r w:rsidRPr="00854576">
        <w:rPr>
          <w:rFonts w:ascii="Times New Roman" w:hAnsi="Times New Roman"/>
          <w:sz w:val="24"/>
        </w:rPr>
        <w:t xml:space="preserve"> of </w:t>
      </w:r>
      <w:r w:rsidR="007847B2">
        <w:rPr>
          <w:rFonts w:ascii="Times New Roman" w:hAnsi="Times New Roman"/>
          <w:sz w:val="24"/>
        </w:rPr>
        <w:t xml:space="preserve">the </w:t>
      </w:r>
      <w:r w:rsidRPr="00854576">
        <w:rPr>
          <w:rFonts w:ascii="Times New Roman" w:hAnsi="Times New Roman"/>
          <w:i/>
          <w:sz w:val="24"/>
        </w:rPr>
        <w:t>pars prima</w:t>
      </w:r>
      <w:r w:rsidR="00345581">
        <w:rPr>
          <w:rFonts w:ascii="Times New Roman" w:hAnsi="Times New Roman"/>
          <w:i/>
          <w:sz w:val="24"/>
        </w:rPr>
        <w:t xml:space="preserve"> </w:t>
      </w:r>
      <w:r>
        <w:rPr>
          <w:rFonts w:ascii="Times New Roman" w:hAnsi="Times New Roman"/>
          <w:sz w:val="24"/>
        </w:rPr>
        <w:t xml:space="preserve">in which </w:t>
      </w:r>
      <w:r w:rsidRPr="00854576">
        <w:rPr>
          <w:rFonts w:ascii="Times New Roman" w:hAnsi="Times New Roman"/>
          <w:sz w:val="24"/>
        </w:rPr>
        <w:t>he sought to establish whether demons could lead huma</w:t>
      </w:r>
      <w:r>
        <w:rPr>
          <w:rFonts w:ascii="Times New Roman" w:hAnsi="Times New Roman"/>
          <w:sz w:val="24"/>
        </w:rPr>
        <w:t xml:space="preserve">ns astray by genuine miracles. </w:t>
      </w:r>
      <w:r w:rsidR="00D73970">
        <w:rPr>
          <w:rFonts w:ascii="Times New Roman" w:hAnsi="Times New Roman"/>
          <w:sz w:val="24"/>
        </w:rPr>
        <w:t>In</w:t>
      </w:r>
      <w:r w:rsidRPr="00854576">
        <w:rPr>
          <w:rFonts w:ascii="Times New Roman" w:hAnsi="Times New Roman"/>
          <w:sz w:val="24"/>
        </w:rPr>
        <w:t xml:space="preserve"> the course of his discussion he argued that although angels and demons did not possess the innate power to transmute matter, “they can use certain seeds which are found in the elements of the world, for the purpose of completing effects of this kind, as Augustine said in </w:t>
      </w:r>
      <w:r w:rsidRPr="00854576">
        <w:rPr>
          <w:rFonts w:ascii="Times New Roman" w:hAnsi="Times New Roman"/>
          <w:i/>
          <w:sz w:val="24"/>
        </w:rPr>
        <w:t xml:space="preserve">De </w:t>
      </w:r>
      <w:r>
        <w:rPr>
          <w:rFonts w:ascii="Times New Roman" w:hAnsi="Times New Roman"/>
          <w:i/>
          <w:sz w:val="24"/>
        </w:rPr>
        <w:t>t</w:t>
      </w:r>
      <w:r w:rsidRPr="00854576">
        <w:rPr>
          <w:rFonts w:ascii="Times New Roman" w:hAnsi="Times New Roman"/>
          <w:i/>
          <w:sz w:val="24"/>
        </w:rPr>
        <w:t>rinitate</w:t>
      </w:r>
      <w:r w:rsidRPr="00854576">
        <w:rPr>
          <w:rFonts w:ascii="Times New Roman" w:hAnsi="Times New Roman"/>
          <w:sz w:val="24"/>
        </w:rPr>
        <w:t xml:space="preserve"> Book III.”</w:t>
      </w:r>
      <w:r>
        <w:rPr>
          <w:rStyle w:val="FootnoteReference"/>
          <w:rFonts w:ascii="Times New Roman" w:hAnsi="Times New Roman"/>
          <w:sz w:val="24"/>
        </w:rPr>
        <w:footnoteReference w:id="26"/>
      </w:r>
      <w:r w:rsidRPr="00854576">
        <w:rPr>
          <w:rFonts w:ascii="Times New Roman" w:hAnsi="Times New Roman"/>
          <w:sz w:val="24"/>
        </w:rPr>
        <w:t xml:space="preserve"> Here Aquinas was invoking Augustine’s argument that the corporeal elements of the world contained certain “seeds</w:t>
      </w:r>
      <w:r w:rsidR="00D73970">
        <w:rPr>
          <w:rFonts w:ascii="Times New Roman" w:hAnsi="Times New Roman"/>
          <w:sz w:val="24"/>
        </w:rPr>
        <w:t>.</w:t>
      </w:r>
      <w:r w:rsidRPr="00854576">
        <w:rPr>
          <w:rFonts w:ascii="Times New Roman" w:hAnsi="Times New Roman"/>
          <w:sz w:val="24"/>
        </w:rPr>
        <w:t>” Augustine had maintained that, although these seeds were invisible, humans could come to know of them through the exercise of reason. Demons, who could find these seeds more easily due to their superior abilities, used them to produce various wonders beyond ordinary human comprehension</w:t>
      </w:r>
      <w:r>
        <w:rPr>
          <w:rFonts w:ascii="Times New Roman" w:hAnsi="Times New Roman"/>
          <w:sz w:val="24"/>
        </w:rPr>
        <w:t>.</w:t>
      </w:r>
      <w:r w:rsidR="00D73970">
        <w:rPr>
          <w:rFonts w:ascii="Times New Roman" w:hAnsi="Times New Roman"/>
          <w:sz w:val="24"/>
        </w:rPr>
        <w:t xml:space="preserve"> </w:t>
      </w:r>
      <w:r>
        <w:rPr>
          <w:rFonts w:ascii="Times New Roman" w:hAnsi="Times New Roman"/>
          <w:sz w:val="24"/>
        </w:rPr>
        <w:t xml:space="preserve">According to Augustine, demons’ ability to manipulate these seeds made it possible to explain the events recorded in </w:t>
      </w:r>
      <w:r w:rsidRPr="00346165">
        <w:rPr>
          <w:rFonts w:ascii="Times New Roman" w:hAnsi="Times New Roman"/>
          <w:i/>
          <w:sz w:val="24"/>
        </w:rPr>
        <w:t>Exodus</w:t>
      </w:r>
      <w:r>
        <w:rPr>
          <w:rFonts w:ascii="Times New Roman" w:hAnsi="Times New Roman"/>
          <w:sz w:val="24"/>
        </w:rPr>
        <w:t xml:space="preserve"> 7-8. With the assistance of demons, </w:t>
      </w:r>
      <w:r>
        <w:rPr>
          <w:rFonts w:ascii="Times New Roman" w:hAnsi="Times New Roman"/>
          <w:sz w:val="24"/>
        </w:rPr>
        <w:lastRenderedPageBreak/>
        <w:t>Pharaoh’s magicians could ape the miracles that God had worked through Aaron, transforming a staff into a snake and sending forth a plague of frogs</w:t>
      </w:r>
      <w:r w:rsidRPr="00854576">
        <w:rPr>
          <w:rFonts w:ascii="Times New Roman" w:hAnsi="Times New Roman"/>
          <w:sz w:val="24"/>
        </w:rPr>
        <w:t>.</w:t>
      </w:r>
      <w:r>
        <w:rPr>
          <w:rStyle w:val="FootnoteReference"/>
          <w:rFonts w:ascii="Times New Roman" w:hAnsi="Times New Roman"/>
          <w:sz w:val="24"/>
        </w:rPr>
        <w:footnoteReference w:id="27"/>
      </w:r>
    </w:p>
    <w:p w14:paraId="4FCE571E" w14:textId="77777777" w:rsidR="009526FC" w:rsidRPr="00854576" w:rsidRDefault="009526FC" w:rsidP="00D054AA">
      <w:pPr>
        <w:spacing w:after="160" w:line="480" w:lineRule="auto"/>
        <w:ind w:firstLine="720"/>
        <w:rPr>
          <w:rFonts w:ascii="Times New Roman" w:hAnsi="Times New Roman"/>
          <w:sz w:val="24"/>
        </w:rPr>
      </w:pPr>
      <w:r w:rsidRPr="00854576">
        <w:rPr>
          <w:rFonts w:ascii="Times New Roman" w:hAnsi="Times New Roman"/>
          <w:sz w:val="24"/>
        </w:rPr>
        <w:t xml:space="preserve">Aquinas </w:t>
      </w:r>
      <w:r>
        <w:rPr>
          <w:rFonts w:ascii="Times New Roman" w:hAnsi="Times New Roman"/>
          <w:sz w:val="24"/>
        </w:rPr>
        <w:t xml:space="preserve">accepted Augustine’s argument, noting: “For that reason it must be said that </w:t>
      </w:r>
      <w:r w:rsidRPr="00854576">
        <w:rPr>
          <w:rFonts w:ascii="Times New Roman" w:hAnsi="Times New Roman"/>
          <w:sz w:val="24"/>
        </w:rPr>
        <w:t xml:space="preserve">all transformations of bodily things, which can be made by means of certain natural virtues, </w:t>
      </w:r>
      <w:r>
        <w:rPr>
          <w:rFonts w:ascii="Times New Roman" w:hAnsi="Times New Roman"/>
          <w:sz w:val="24"/>
        </w:rPr>
        <w:t>which include the aforementioned seeds</w:t>
      </w:r>
      <w:r w:rsidRPr="00854576">
        <w:rPr>
          <w:rFonts w:ascii="Times New Roman" w:hAnsi="Times New Roman"/>
          <w:sz w:val="24"/>
        </w:rPr>
        <w:t>, can be made by the operations of demons, hav</w:t>
      </w:r>
      <w:r>
        <w:rPr>
          <w:rFonts w:ascii="Times New Roman" w:hAnsi="Times New Roman"/>
          <w:sz w:val="24"/>
        </w:rPr>
        <w:t>ing employed seeds of this sort; just as when certain things were transformed into serpents or snakes, which were produced by putrefaction.</w:t>
      </w:r>
      <w:r w:rsidRPr="00854576">
        <w:rPr>
          <w:rFonts w:ascii="Times New Roman" w:hAnsi="Times New Roman"/>
          <w:sz w:val="24"/>
        </w:rPr>
        <w:t>”</w:t>
      </w:r>
      <w:r>
        <w:rPr>
          <w:rStyle w:val="FootnoteReference"/>
          <w:rFonts w:ascii="Times New Roman" w:hAnsi="Times New Roman"/>
          <w:sz w:val="24"/>
        </w:rPr>
        <w:footnoteReference w:id="28"/>
      </w:r>
      <w:r>
        <w:rPr>
          <w:rFonts w:ascii="Times New Roman" w:hAnsi="Times New Roman"/>
          <w:sz w:val="24"/>
        </w:rPr>
        <w:t xml:space="preserve"> Qualifying this statement, Aquinas</w:t>
      </w:r>
      <w:r w:rsidRPr="00854576">
        <w:rPr>
          <w:rFonts w:ascii="Times New Roman" w:hAnsi="Times New Roman"/>
          <w:sz w:val="24"/>
        </w:rPr>
        <w:t xml:space="preserve"> reiterated his earlier opinion that demons were unable to produce any transformations that exceeded the power of natur</w:t>
      </w:r>
      <w:r>
        <w:rPr>
          <w:rFonts w:ascii="Times New Roman" w:hAnsi="Times New Roman"/>
          <w:sz w:val="24"/>
        </w:rPr>
        <w:t xml:space="preserve">e, that is, perform a miracle. </w:t>
      </w:r>
      <w:r w:rsidRPr="00854576">
        <w:rPr>
          <w:rFonts w:ascii="Times New Roman" w:hAnsi="Times New Roman"/>
          <w:sz w:val="24"/>
        </w:rPr>
        <w:t xml:space="preserve">If a demon appeared to have effected such a transformation, for instance </w:t>
      </w:r>
      <w:r>
        <w:rPr>
          <w:rFonts w:ascii="Times New Roman" w:hAnsi="Times New Roman"/>
          <w:sz w:val="24"/>
        </w:rPr>
        <w:t xml:space="preserve">apparently </w:t>
      </w:r>
      <w:r w:rsidRPr="00854576">
        <w:rPr>
          <w:rFonts w:ascii="Times New Roman" w:hAnsi="Times New Roman"/>
          <w:sz w:val="24"/>
        </w:rPr>
        <w:t xml:space="preserve">changing a human body into that of </w:t>
      </w:r>
      <w:r>
        <w:rPr>
          <w:rFonts w:ascii="Times New Roman" w:hAnsi="Times New Roman"/>
          <w:sz w:val="24"/>
        </w:rPr>
        <w:t xml:space="preserve">an </w:t>
      </w:r>
      <w:r w:rsidRPr="00854576">
        <w:rPr>
          <w:rFonts w:ascii="Times New Roman" w:hAnsi="Times New Roman"/>
          <w:sz w:val="24"/>
        </w:rPr>
        <w:t>animal or restoring the dead to life, it was to be considered nothing more than an illusion.</w:t>
      </w:r>
      <w:r w:rsidRPr="00854576">
        <w:rPr>
          <w:rFonts w:ascii="Times New Roman" w:hAnsi="Times New Roman"/>
          <w:sz w:val="24"/>
          <w:vertAlign w:val="superscript"/>
        </w:rPr>
        <w:footnoteReference w:id="29"/>
      </w:r>
    </w:p>
    <w:p w14:paraId="39F10246" w14:textId="77777777" w:rsidR="009526FC" w:rsidRPr="00854576" w:rsidRDefault="009526FC" w:rsidP="004E665F">
      <w:pPr>
        <w:spacing w:after="160" w:line="480" w:lineRule="auto"/>
        <w:ind w:firstLine="720"/>
        <w:rPr>
          <w:rFonts w:ascii="Times New Roman" w:hAnsi="Times New Roman"/>
          <w:sz w:val="24"/>
        </w:rPr>
      </w:pPr>
      <w:r w:rsidRPr="00854576">
        <w:rPr>
          <w:rFonts w:ascii="Times New Roman" w:hAnsi="Times New Roman"/>
          <w:sz w:val="24"/>
        </w:rPr>
        <w:t xml:space="preserve">This argument informed Aquinas’s understanding of alchemy in the </w:t>
      </w:r>
      <w:r w:rsidRPr="00854576">
        <w:rPr>
          <w:rFonts w:ascii="Times New Roman" w:hAnsi="Times New Roman"/>
          <w:i/>
          <w:sz w:val="24"/>
        </w:rPr>
        <w:t>Summa theologica</w:t>
      </w:r>
      <w:r>
        <w:rPr>
          <w:rFonts w:ascii="Times New Roman" w:hAnsi="Times New Roman"/>
          <w:sz w:val="24"/>
        </w:rPr>
        <w:t>. Although he did not discuss</w:t>
      </w:r>
      <w:r w:rsidR="00345581">
        <w:rPr>
          <w:rFonts w:ascii="Times New Roman" w:hAnsi="Times New Roman"/>
          <w:sz w:val="24"/>
        </w:rPr>
        <w:t xml:space="preserve"> </w:t>
      </w:r>
      <w:r>
        <w:rPr>
          <w:rFonts w:ascii="Times New Roman" w:hAnsi="Times New Roman"/>
          <w:sz w:val="24"/>
        </w:rPr>
        <w:t xml:space="preserve">directly </w:t>
      </w:r>
      <w:r w:rsidRPr="00854576">
        <w:rPr>
          <w:rFonts w:ascii="Times New Roman" w:hAnsi="Times New Roman"/>
          <w:sz w:val="24"/>
        </w:rPr>
        <w:t xml:space="preserve">whether it was legitimate to practise this art, he used it as an example when </w:t>
      </w:r>
      <w:r>
        <w:rPr>
          <w:rFonts w:ascii="Times New Roman" w:hAnsi="Times New Roman"/>
          <w:sz w:val="24"/>
        </w:rPr>
        <w:t xml:space="preserve">he was </w:t>
      </w:r>
      <w:r w:rsidRPr="00854576">
        <w:rPr>
          <w:rFonts w:ascii="Times New Roman" w:hAnsi="Times New Roman"/>
          <w:sz w:val="24"/>
        </w:rPr>
        <w:t xml:space="preserve">considering the implications of the fraudulent </w:t>
      </w:r>
      <w:r>
        <w:rPr>
          <w:rFonts w:ascii="Times New Roman" w:hAnsi="Times New Roman"/>
          <w:sz w:val="24"/>
        </w:rPr>
        <w:t xml:space="preserve">sale of goods. He argued that if somebody </w:t>
      </w:r>
      <w:r w:rsidRPr="00854576">
        <w:rPr>
          <w:rFonts w:ascii="Times New Roman" w:hAnsi="Times New Roman"/>
          <w:sz w:val="24"/>
        </w:rPr>
        <w:t>attempted to sell as genuine gold or silver a metal created by an alchemical process</w:t>
      </w:r>
      <w:r>
        <w:rPr>
          <w:rFonts w:ascii="Times New Roman" w:hAnsi="Times New Roman"/>
          <w:sz w:val="24"/>
        </w:rPr>
        <w:t xml:space="preserve">, it would amount </w:t>
      </w:r>
      <w:r w:rsidR="00DF1BE9">
        <w:rPr>
          <w:rFonts w:ascii="Times New Roman" w:hAnsi="Times New Roman"/>
          <w:sz w:val="24"/>
        </w:rPr>
        <w:t xml:space="preserve">to </w:t>
      </w:r>
      <w:r>
        <w:rPr>
          <w:rFonts w:ascii="Times New Roman" w:hAnsi="Times New Roman"/>
          <w:sz w:val="24"/>
        </w:rPr>
        <w:t>fraud. This was because such metals did not possess the“</w:t>
      </w:r>
      <w:r w:rsidRPr="00854576">
        <w:rPr>
          <w:rFonts w:ascii="Times New Roman" w:hAnsi="Times New Roman"/>
          <w:sz w:val="24"/>
        </w:rPr>
        <w:t>true species of gold and silver.”</w:t>
      </w:r>
      <w:r w:rsidRPr="00854576">
        <w:rPr>
          <w:rFonts w:ascii="Times New Roman" w:hAnsi="Times New Roman"/>
          <w:sz w:val="24"/>
          <w:vertAlign w:val="superscript"/>
        </w:rPr>
        <w:footnoteReference w:id="30"/>
      </w:r>
      <w:r>
        <w:rPr>
          <w:rFonts w:ascii="Times New Roman" w:hAnsi="Times New Roman"/>
          <w:sz w:val="24"/>
        </w:rPr>
        <w:t xml:space="preserve"> For Aquinas, it was</w:t>
      </w:r>
      <w:r w:rsidRPr="00854576">
        <w:rPr>
          <w:rFonts w:ascii="Times New Roman" w:hAnsi="Times New Roman"/>
          <w:sz w:val="24"/>
        </w:rPr>
        <w:t xml:space="preserve"> essential that the buyer received genuine metals, not only because of their material value but because they also </w:t>
      </w:r>
      <w:r w:rsidRPr="00854576">
        <w:rPr>
          <w:rFonts w:ascii="Times New Roman" w:hAnsi="Times New Roman"/>
          <w:sz w:val="24"/>
        </w:rPr>
        <w:lastRenderedPageBreak/>
        <w:t>possessed ce</w:t>
      </w:r>
      <w:r>
        <w:rPr>
          <w:rFonts w:ascii="Times New Roman" w:hAnsi="Times New Roman"/>
          <w:sz w:val="24"/>
        </w:rPr>
        <w:t xml:space="preserve">rtain natural healing qualities. </w:t>
      </w:r>
      <w:r w:rsidRPr="00854576">
        <w:rPr>
          <w:rFonts w:ascii="Times New Roman" w:hAnsi="Times New Roman"/>
          <w:sz w:val="24"/>
        </w:rPr>
        <w:t>Aquinas the</w:t>
      </w:r>
      <w:r>
        <w:rPr>
          <w:rFonts w:ascii="Times New Roman" w:hAnsi="Times New Roman"/>
          <w:sz w:val="24"/>
        </w:rPr>
        <w:t>n made an intriguing concession. He noted</w:t>
      </w:r>
      <w:r w:rsidRPr="00854576">
        <w:rPr>
          <w:rFonts w:ascii="Times New Roman" w:hAnsi="Times New Roman"/>
          <w:sz w:val="24"/>
        </w:rPr>
        <w:t xml:space="preserve"> that: “If, however, real gold were made by alchemy, it would not be illicit to sell it as true gold, because nothing prohibits art from using any natural causes for the purpose of producing natural and true effects; as Augustine says in </w:t>
      </w:r>
      <w:r w:rsidRPr="00854576">
        <w:rPr>
          <w:rFonts w:ascii="Times New Roman" w:hAnsi="Times New Roman"/>
          <w:i/>
          <w:sz w:val="24"/>
        </w:rPr>
        <w:t>De trinitate</w:t>
      </w:r>
      <w:r w:rsidRPr="00854576">
        <w:rPr>
          <w:rFonts w:ascii="Times New Roman" w:hAnsi="Times New Roman"/>
          <w:sz w:val="24"/>
        </w:rPr>
        <w:t xml:space="preserve"> book III, of those things which by the art of demons are made.” Invoking Augustine’s </w:t>
      </w:r>
      <w:r>
        <w:rPr>
          <w:rFonts w:ascii="Times New Roman" w:hAnsi="Times New Roman"/>
          <w:sz w:val="24"/>
        </w:rPr>
        <w:t>reasoning</w:t>
      </w:r>
      <w:r w:rsidRPr="00854576">
        <w:rPr>
          <w:rFonts w:ascii="Times New Roman" w:hAnsi="Times New Roman"/>
          <w:sz w:val="24"/>
        </w:rPr>
        <w:t>, Aquinas suggested that, although unlikely, it might indeed be possible for demons to transmute base metals into gold by means of art.</w:t>
      </w:r>
      <w:r w:rsidRPr="00854576">
        <w:rPr>
          <w:rFonts w:ascii="Times New Roman" w:hAnsi="Times New Roman"/>
          <w:sz w:val="24"/>
          <w:vertAlign w:val="superscript"/>
        </w:rPr>
        <w:footnoteReference w:id="31"/>
      </w:r>
      <w:r w:rsidR="00345581">
        <w:rPr>
          <w:rFonts w:ascii="Times New Roman" w:hAnsi="Times New Roman"/>
          <w:sz w:val="24"/>
        </w:rPr>
        <w:t xml:space="preserve"> </w:t>
      </w:r>
      <w:r w:rsidRPr="00854576">
        <w:rPr>
          <w:rFonts w:ascii="Times New Roman" w:hAnsi="Times New Roman"/>
          <w:sz w:val="24"/>
        </w:rPr>
        <w:t>This concession ope</w:t>
      </w:r>
      <w:r>
        <w:rPr>
          <w:rFonts w:ascii="Times New Roman" w:hAnsi="Times New Roman"/>
          <w:sz w:val="24"/>
        </w:rPr>
        <w:t xml:space="preserve">ned a tantalising possibility. </w:t>
      </w:r>
      <w:r w:rsidRPr="00854576">
        <w:rPr>
          <w:rFonts w:ascii="Times New Roman" w:hAnsi="Times New Roman"/>
          <w:sz w:val="24"/>
        </w:rPr>
        <w:t xml:space="preserve">If the seeds necessary for demons to transform metals existed, then </w:t>
      </w:r>
      <w:r w:rsidR="00845B99">
        <w:rPr>
          <w:rFonts w:ascii="Times New Roman" w:hAnsi="Times New Roman"/>
          <w:sz w:val="24"/>
        </w:rPr>
        <w:t xml:space="preserve">perhaps </w:t>
      </w:r>
      <w:r w:rsidRPr="00854576">
        <w:rPr>
          <w:rFonts w:ascii="Times New Roman" w:hAnsi="Times New Roman"/>
          <w:sz w:val="24"/>
        </w:rPr>
        <w:t>humans too c</w:t>
      </w:r>
      <w:r>
        <w:rPr>
          <w:rFonts w:ascii="Times New Roman" w:hAnsi="Times New Roman"/>
          <w:sz w:val="24"/>
        </w:rPr>
        <w:t xml:space="preserve">ould find and manipulate them. </w:t>
      </w:r>
      <w:r w:rsidR="006E1496">
        <w:rPr>
          <w:rFonts w:ascii="Times New Roman" w:hAnsi="Times New Roman"/>
          <w:sz w:val="24"/>
        </w:rPr>
        <w:t xml:space="preserve">Humans might be able to perform </w:t>
      </w:r>
      <w:r w:rsidR="006E1496" w:rsidRPr="007847B2">
        <w:rPr>
          <w:rFonts w:ascii="Times New Roman" w:hAnsi="Times New Roman"/>
          <w:i/>
          <w:sz w:val="24"/>
        </w:rPr>
        <w:t>chryso</w:t>
      </w:r>
      <w:r w:rsidR="00B85665" w:rsidRPr="007847B2">
        <w:rPr>
          <w:rFonts w:ascii="Times New Roman" w:hAnsi="Times New Roman"/>
          <w:i/>
          <w:sz w:val="24"/>
        </w:rPr>
        <w:t xml:space="preserve">poeia </w:t>
      </w:r>
      <w:r w:rsidR="00B85665">
        <w:rPr>
          <w:rFonts w:ascii="Times New Roman" w:hAnsi="Times New Roman"/>
          <w:sz w:val="24"/>
        </w:rPr>
        <w:t>without recourse to demonic assistance</w:t>
      </w:r>
      <w:r w:rsidR="006E1496">
        <w:rPr>
          <w:rFonts w:ascii="Times New Roman" w:hAnsi="Times New Roman"/>
          <w:sz w:val="24"/>
        </w:rPr>
        <w:t xml:space="preserve">. </w:t>
      </w:r>
      <w:r w:rsidRPr="00854576">
        <w:rPr>
          <w:rFonts w:ascii="Times New Roman" w:hAnsi="Times New Roman"/>
          <w:sz w:val="24"/>
        </w:rPr>
        <w:t xml:space="preserve">Aquinas’s revised stance on </w:t>
      </w:r>
      <w:r w:rsidRPr="007847B2">
        <w:rPr>
          <w:rFonts w:ascii="Times New Roman" w:hAnsi="Times New Roman"/>
          <w:i/>
          <w:sz w:val="24"/>
        </w:rPr>
        <w:t>chrysopoeia</w:t>
      </w:r>
      <w:r w:rsidRPr="00854576">
        <w:rPr>
          <w:rFonts w:ascii="Times New Roman" w:hAnsi="Times New Roman"/>
          <w:sz w:val="24"/>
        </w:rPr>
        <w:t xml:space="preserve"> implied the need for a more complex means to assess of the work of alchemists who claimed successfully to have transmuted </w:t>
      </w:r>
      <w:r>
        <w:rPr>
          <w:rFonts w:ascii="Times New Roman" w:hAnsi="Times New Roman"/>
          <w:sz w:val="24"/>
        </w:rPr>
        <w:t>metals.</w:t>
      </w:r>
      <w:r w:rsidRPr="00854576">
        <w:rPr>
          <w:rFonts w:ascii="Times New Roman" w:hAnsi="Times New Roman"/>
          <w:sz w:val="24"/>
        </w:rPr>
        <w:t xml:space="preserve"> Whil</w:t>
      </w:r>
      <w:r>
        <w:rPr>
          <w:rFonts w:ascii="Times New Roman" w:hAnsi="Times New Roman"/>
          <w:sz w:val="24"/>
        </w:rPr>
        <w:t>st they were almost certainly</w:t>
      </w:r>
      <w:r w:rsidRPr="00854576">
        <w:rPr>
          <w:rFonts w:ascii="Times New Roman" w:hAnsi="Times New Roman"/>
          <w:sz w:val="24"/>
        </w:rPr>
        <w:t xml:space="preserve"> frauds, </w:t>
      </w:r>
      <w:r>
        <w:rPr>
          <w:rFonts w:ascii="Times New Roman" w:hAnsi="Times New Roman"/>
          <w:sz w:val="24"/>
        </w:rPr>
        <w:t xml:space="preserve">it remained possible </w:t>
      </w:r>
      <w:r w:rsidRPr="00854576">
        <w:rPr>
          <w:rFonts w:ascii="Times New Roman" w:hAnsi="Times New Roman"/>
          <w:sz w:val="24"/>
        </w:rPr>
        <w:t>th</w:t>
      </w:r>
      <w:r>
        <w:rPr>
          <w:rFonts w:ascii="Times New Roman" w:hAnsi="Times New Roman"/>
          <w:sz w:val="24"/>
        </w:rPr>
        <w:t>ey may have succeeded in transmuting metals.</w:t>
      </w:r>
      <w:r w:rsidRPr="00854576">
        <w:rPr>
          <w:rFonts w:ascii="Times New Roman" w:hAnsi="Times New Roman"/>
          <w:sz w:val="24"/>
        </w:rPr>
        <w:t xml:space="preserve"> Yet success raised further questions</w:t>
      </w:r>
      <w:r>
        <w:rPr>
          <w:rFonts w:ascii="Times New Roman" w:hAnsi="Times New Roman"/>
          <w:sz w:val="24"/>
        </w:rPr>
        <w:t>,</w:t>
      </w:r>
      <w:r w:rsidR="005F13D2">
        <w:rPr>
          <w:rFonts w:ascii="Times New Roman" w:hAnsi="Times New Roman"/>
          <w:sz w:val="24"/>
        </w:rPr>
        <w:t xml:space="preserve"> </w:t>
      </w:r>
      <w:r>
        <w:rPr>
          <w:rFonts w:ascii="Times New Roman" w:hAnsi="Times New Roman"/>
          <w:sz w:val="24"/>
        </w:rPr>
        <w:t>n</w:t>
      </w:r>
      <w:r w:rsidRPr="00854576">
        <w:rPr>
          <w:rFonts w:ascii="Times New Roman" w:hAnsi="Times New Roman"/>
          <w:sz w:val="24"/>
        </w:rPr>
        <w:t>amely, did the alchemist effect the transmutation by his own skill, or did he</w:t>
      </w:r>
      <w:r>
        <w:rPr>
          <w:rFonts w:ascii="Times New Roman" w:hAnsi="Times New Roman"/>
          <w:sz w:val="24"/>
        </w:rPr>
        <w:t xml:space="preserve"> or she</w:t>
      </w:r>
      <w:r w:rsidRPr="00854576">
        <w:rPr>
          <w:rFonts w:ascii="Times New Roman" w:hAnsi="Times New Roman"/>
          <w:sz w:val="24"/>
        </w:rPr>
        <w:t xml:space="preserve"> require demonic assistance, </w:t>
      </w:r>
      <w:r>
        <w:rPr>
          <w:rFonts w:ascii="Times New Roman" w:hAnsi="Times New Roman"/>
          <w:sz w:val="24"/>
        </w:rPr>
        <w:t xml:space="preserve">be it </w:t>
      </w:r>
      <w:r w:rsidRPr="00854576">
        <w:rPr>
          <w:rFonts w:ascii="Times New Roman" w:hAnsi="Times New Roman"/>
          <w:sz w:val="24"/>
        </w:rPr>
        <w:t>explicit or tacit?</w:t>
      </w:r>
    </w:p>
    <w:p w14:paraId="6DF1123E" w14:textId="77777777" w:rsidR="009526FC" w:rsidRPr="00854576" w:rsidRDefault="009526FC" w:rsidP="00D054AA">
      <w:pPr>
        <w:spacing w:after="160" w:line="480" w:lineRule="auto"/>
        <w:ind w:firstLine="720"/>
        <w:rPr>
          <w:rFonts w:ascii="Times New Roman" w:hAnsi="Times New Roman"/>
          <w:sz w:val="24"/>
        </w:rPr>
      </w:pPr>
      <w:r w:rsidRPr="00854576">
        <w:rPr>
          <w:rFonts w:ascii="Times New Roman" w:hAnsi="Times New Roman"/>
          <w:sz w:val="24"/>
        </w:rPr>
        <w:t>By the time of his death in 1274, Aquinas had d</w:t>
      </w:r>
      <w:r w:rsidR="00845B99">
        <w:rPr>
          <w:rFonts w:ascii="Times New Roman" w:hAnsi="Times New Roman"/>
          <w:sz w:val="24"/>
        </w:rPr>
        <w:t>eveloped a sophisticated understanding</w:t>
      </w:r>
      <w:r w:rsidRPr="00854576">
        <w:rPr>
          <w:rFonts w:ascii="Times New Roman" w:hAnsi="Times New Roman"/>
          <w:sz w:val="24"/>
        </w:rPr>
        <w:t xml:space="preserve"> of</w:t>
      </w:r>
      <w:r>
        <w:rPr>
          <w:rFonts w:ascii="Times New Roman" w:hAnsi="Times New Roman"/>
          <w:sz w:val="24"/>
        </w:rPr>
        <w:t xml:space="preserve"> magic and the operative arts. </w:t>
      </w:r>
      <w:r w:rsidRPr="00854576">
        <w:rPr>
          <w:rFonts w:ascii="Times New Roman" w:hAnsi="Times New Roman"/>
          <w:sz w:val="24"/>
        </w:rPr>
        <w:t>His account was not comprehensive, but he had established a set of tools that could be applied to assess the l</w:t>
      </w:r>
      <w:r>
        <w:rPr>
          <w:rFonts w:ascii="Times New Roman" w:hAnsi="Times New Roman"/>
          <w:sz w:val="24"/>
        </w:rPr>
        <w:t>egitimacy of any operative art.</w:t>
      </w:r>
      <w:r w:rsidRPr="00854576">
        <w:rPr>
          <w:rFonts w:ascii="Times New Roman" w:hAnsi="Times New Roman"/>
          <w:sz w:val="24"/>
        </w:rPr>
        <w:t xml:space="preserve"> Despite the utility of Aquinas’s arguments, and his growing, albeit contested, authority within his order, it was far from inevitable that his ideas </w:t>
      </w:r>
      <w:r>
        <w:rPr>
          <w:rFonts w:ascii="Times New Roman" w:hAnsi="Times New Roman"/>
          <w:sz w:val="24"/>
        </w:rPr>
        <w:t>would be</w:t>
      </w:r>
      <w:r w:rsidRPr="00854576">
        <w:rPr>
          <w:rFonts w:ascii="Times New Roman" w:hAnsi="Times New Roman"/>
          <w:sz w:val="24"/>
        </w:rPr>
        <w:t xml:space="preserve"> adopted as the standard criteria </w:t>
      </w:r>
      <w:r>
        <w:rPr>
          <w:rFonts w:ascii="Times New Roman" w:hAnsi="Times New Roman"/>
          <w:sz w:val="24"/>
        </w:rPr>
        <w:t>for assessing</w:t>
      </w:r>
      <w:r w:rsidRPr="00854576">
        <w:rPr>
          <w:rFonts w:ascii="Times New Roman" w:hAnsi="Times New Roman"/>
          <w:sz w:val="24"/>
        </w:rPr>
        <w:t xml:space="preserve"> the </w:t>
      </w:r>
      <w:r>
        <w:rPr>
          <w:rFonts w:ascii="Times New Roman" w:hAnsi="Times New Roman"/>
          <w:sz w:val="24"/>
        </w:rPr>
        <w:t xml:space="preserve">legitimacy of magic. </w:t>
      </w:r>
      <w:r w:rsidRPr="00854576">
        <w:rPr>
          <w:rFonts w:ascii="Times New Roman" w:hAnsi="Times New Roman"/>
          <w:sz w:val="24"/>
        </w:rPr>
        <w:t>This was true within not only the Dominican Order but also the institutional structures of the central Church</w:t>
      </w:r>
      <w:r>
        <w:rPr>
          <w:rFonts w:ascii="Times New Roman" w:hAnsi="Times New Roman"/>
          <w:sz w:val="24"/>
        </w:rPr>
        <w:t>, including the Inquisition.</w:t>
      </w:r>
      <w:r w:rsidRPr="00854576">
        <w:rPr>
          <w:rFonts w:ascii="Times New Roman" w:hAnsi="Times New Roman"/>
          <w:sz w:val="24"/>
        </w:rPr>
        <w:t xml:space="preserve"> It is </w:t>
      </w:r>
      <w:r w:rsidRPr="00854576">
        <w:rPr>
          <w:rFonts w:ascii="Times New Roman" w:hAnsi="Times New Roman"/>
          <w:sz w:val="24"/>
        </w:rPr>
        <w:lastRenderedPageBreak/>
        <w:t>therefore necessary to t</w:t>
      </w:r>
      <w:r>
        <w:rPr>
          <w:rFonts w:ascii="Times New Roman" w:hAnsi="Times New Roman"/>
          <w:sz w:val="24"/>
        </w:rPr>
        <w:t>race the process that led some i</w:t>
      </w:r>
      <w:r w:rsidRPr="00854576">
        <w:rPr>
          <w:rFonts w:ascii="Times New Roman" w:hAnsi="Times New Roman"/>
          <w:sz w:val="24"/>
        </w:rPr>
        <w:t>nquisitors to incorporate Aquinas’s thought into their practice, and the manner in which they made use of his complex and occasionally contradictory intellectual legacy.</w:t>
      </w:r>
    </w:p>
    <w:p w14:paraId="5455B40E" w14:textId="77777777" w:rsidR="009526FC" w:rsidRPr="00A263C1" w:rsidRDefault="009526FC" w:rsidP="00854576">
      <w:pPr>
        <w:spacing w:after="160" w:line="480" w:lineRule="auto"/>
        <w:rPr>
          <w:rFonts w:ascii="Times New Roman" w:hAnsi="Times New Roman"/>
          <w:b/>
          <w:sz w:val="24"/>
        </w:rPr>
      </w:pPr>
    </w:p>
    <w:p w14:paraId="76E96DB3" w14:textId="77777777" w:rsidR="009526FC" w:rsidRPr="00A263C1" w:rsidRDefault="009526FC" w:rsidP="00A263C1">
      <w:pPr>
        <w:spacing w:after="160" w:line="480" w:lineRule="auto"/>
        <w:rPr>
          <w:rFonts w:ascii="Times New Roman" w:hAnsi="Times New Roman"/>
          <w:b/>
          <w:sz w:val="24"/>
        </w:rPr>
      </w:pPr>
      <w:r w:rsidRPr="00A263C1">
        <w:rPr>
          <w:rFonts w:ascii="Times New Roman" w:hAnsi="Times New Roman"/>
          <w:b/>
          <w:sz w:val="24"/>
        </w:rPr>
        <w:t>Medieval inquisitors and the prosecution of alchemy</w:t>
      </w:r>
    </w:p>
    <w:p w14:paraId="74226C74" w14:textId="77777777" w:rsidR="009526FC" w:rsidRPr="00854576" w:rsidRDefault="009526FC" w:rsidP="00854576">
      <w:pPr>
        <w:spacing w:after="160" w:line="480" w:lineRule="auto"/>
        <w:rPr>
          <w:rFonts w:ascii="Times New Roman" w:hAnsi="Times New Roman"/>
          <w:sz w:val="24"/>
        </w:rPr>
      </w:pPr>
    </w:p>
    <w:p w14:paraId="67A784DD" w14:textId="77777777" w:rsidR="009526FC" w:rsidRDefault="009526FC" w:rsidP="00A263C1">
      <w:pPr>
        <w:spacing w:after="160" w:line="480" w:lineRule="auto"/>
        <w:rPr>
          <w:rFonts w:ascii="Times New Roman" w:hAnsi="Times New Roman"/>
          <w:sz w:val="24"/>
        </w:rPr>
      </w:pPr>
      <w:r w:rsidRPr="00854576">
        <w:rPr>
          <w:rFonts w:ascii="Times New Roman" w:hAnsi="Times New Roman"/>
          <w:sz w:val="24"/>
        </w:rPr>
        <w:t xml:space="preserve">The papacy began to appoint inquisitors of heretical depravity in the early thirteenth century, appointing them for fixed terms to investigate charges of heresy in specified regions. Initially, their activities focussed on the prosecution of </w:t>
      </w:r>
      <w:r w:rsidR="00D80556">
        <w:rPr>
          <w:rFonts w:ascii="Times New Roman" w:hAnsi="Times New Roman"/>
          <w:sz w:val="24"/>
        </w:rPr>
        <w:t xml:space="preserve">– in the eyes of Church authorities at least – </w:t>
      </w:r>
      <w:r w:rsidRPr="00854576">
        <w:rPr>
          <w:rFonts w:ascii="Times New Roman" w:hAnsi="Times New Roman"/>
          <w:sz w:val="24"/>
        </w:rPr>
        <w:t xml:space="preserve">organised </w:t>
      </w:r>
      <w:r w:rsidR="00D80556">
        <w:rPr>
          <w:rFonts w:ascii="Times New Roman" w:hAnsi="Times New Roman"/>
          <w:sz w:val="24"/>
        </w:rPr>
        <w:t>groups of heretics</w:t>
      </w:r>
      <w:r w:rsidR="00345581">
        <w:rPr>
          <w:rFonts w:ascii="Times New Roman" w:hAnsi="Times New Roman"/>
          <w:sz w:val="24"/>
        </w:rPr>
        <w:t xml:space="preserve"> </w:t>
      </w:r>
      <w:r w:rsidRPr="00854576">
        <w:rPr>
          <w:rFonts w:ascii="Times New Roman" w:hAnsi="Times New Roman"/>
          <w:sz w:val="24"/>
        </w:rPr>
        <w:t xml:space="preserve">such </w:t>
      </w:r>
      <w:r>
        <w:rPr>
          <w:rFonts w:ascii="Times New Roman" w:hAnsi="Times New Roman"/>
          <w:sz w:val="24"/>
        </w:rPr>
        <w:t>as the Cathars and Waldensians.</w:t>
      </w:r>
      <w:r w:rsidR="00DA39AA" w:rsidRPr="00854576">
        <w:rPr>
          <w:rFonts w:ascii="Times New Roman" w:eastAsia="Times New Roman" w:hAnsi="Times New Roman"/>
          <w:sz w:val="24"/>
          <w:szCs w:val="24"/>
          <w:vertAlign w:val="superscript"/>
        </w:rPr>
        <w:footnoteReference w:id="32"/>
      </w:r>
      <w:r w:rsidR="00024870">
        <w:rPr>
          <w:rFonts w:ascii="Times New Roman" w:hAnsi="Times New Roman"/>
          <w:sz w:val="24"/>
        </w:rPr>
        <w:t xml:space="preserve"> </w:t>
      </w:r>
      <w:r w:rsidRPr="00854576">
        <w:rPr>
          <w:rFonts w:ascii="Times New Roman" w:hAnsi="Times New Roman"/>
          <w:sz w:val="24"/>
        </w:rPr>
        <w:t>Much of th</w:t>
      </w:r>
      <w:r>
        <w:rPr>
          <w:rFonts w:ascii="Times New Roman" w:hAnsi="Times New Roman"/>
          <w:sz w:val="24"/>
        </w:rPr>
        <w:t>e work of inquisition was</w:t>
      </w:r>
      <w:r w:rsidRPr="00854576">
        <w:rPr>
          <w:rFonts w:ascii="Times New Roman" w:hAnsi="Times New Roman"/>
          <w:sz w:val="24"/>
        </w:rPr>
        <w:t xml:space="preserve"> conducted by members of the recently established mendicant orde</w:t>
      </w:r>
      <w:r>
        <w:rPr>
          <w:rFonts w:ascii="Times New Roman" w:hAnsi="Times New Roman"/>
          <w:sz w:val="24"/>
        </w:rPr>
        <w:t>rs, especially the Dominicans.</w:t>
      </w:r>
      <w:r w:rsidR="00CC4550">
        <w:rPr>
          <w:rStyle w:val="FootnoteReference"/>
          <w:rFonts w:ascii="Times New Roman" w:hAnsi="Times New Roman"/>
          <w:sz w:val="24"/>
        </w:rPr>
        <w:footnoteReference w:id="33"/>
      </w:r>
      <w:r w:rsidR="00024870">
        <w:rPr>
          <w:rFonts w:ascii="Times New Roman" w:hAnsi="Times New Roman"/>
          <w:sz w:val="24"/>
        </w:rPr>
        <w:t xml:space="preserve"> </w:t>
      </w:r>
      <w:r w:rsidRPr="00854576">
        <w:rPr>
          <w:rFonts w:ascii="Times New Roman" w:hAnsi="Times New Roman"/>
          <w:sz w:val="24"/>
        </w:rPr>
        <w:t>Although there was no formal institution that we can identif</w:t>
      </w:r>
      <w:r>
        <w:rPr>
          <w:rFonts w:ascii="Times New Roman" w:hAnsi="Times New Roman"/>
          <w:sz w:val="24"/>
        </w:rPr>
        <w:t>y as “T</w:t>
      </w:r>
      <w:r w:rsidRPr="00854576">
        <w:rPr>
          <w:rFonts w:ascii="Times New Roman" w:hAnsi="Times New Roman"/>
          <w:sz w:val="24"/>
        </w:rPr>
        <w:t>he Medieval Inquisition</w:t>
      </w:r>
      <w:r w:rsidR="00F43A29">
        <w:rPr>
          <w:rFonts w:ascii="Times New Roman" w:hAnsi="Times New Roman"/>
          <w:sz w:val="24"/>
        </w:rPr>
        <w:t>,</w:t>
      </w:r>
      <w:r w:rsidRPr="00854576">
        <w:rPr>
          <w:rFonts w:ascii="Times New Roman" w:hAnsi="Times New Roman"/>
          <w:sz w:val="24"/>
        </w:rPr>
        <w:t>” a growing body of practices and legislation</w:t>
      </w:r>
      <w:r w:rsidR="00345581">
        <w:rPr>
          <w:rFonts w:ascii="Times New Roman" w:hAnsi="Times New Roman"/>
          <w:sz w:val="24"/>
        </w:rPr>
        <w:t xml:space="preserve"> </w:t>
      </w:r>
      <w:r>
        <w:rPr>
          <w:rFonts w:ascii="Times New Roman" w:hAnsi="Times New Roman"/>
          <w:sz w:val="24"/>
        </w:rPr>
        <w:t xml:space="preserve">gave </w:t>
      </w:r>
      <w:r w:rsidRPr="00854576">
        <w:rPr>
          <w:rFonts w:ascii="Times New Roman" w:hAnsi="Times New Roman"/>
          <w:sz w:val="24"/>
        </w:rPr>
        <w:t>t</w:t>
      </w:r>
      <w:r>
        <w:rPr>
          <w:rFonts w:ascii="Times New Roman" w:hAnsi="Times New Roman"/>
          <w:sz w:val="24"/>
        </w:rPr>
        <w:t>he work of inquisition</w:t>
      </w:r>
      <w:r w:rsidRPr="00854576">
        <w:rPr>
          <w:rFonts w:ascii="Times New Roman" w:hAnsi="Times New Roman"/>
          <w:sz w:val="24"/>
        </w:rPr>
        <w:t xml:space="preserve"> a degree of cohesion</w:t>
      </w:r>
      <w:r>
        <w:rPr>
          <w:rFonts w:ascii="Times New Roman" w:hAnsi="Times New Roman"/>
          <w:sz w:val="24"/>
        </w:rPr>
        <w:t>.</w:t>
      </w:r>
      <w:r w:rsidR="009B058C">
        <w:rPr>
          <w:rStyle w:val="FootnoteReference"/>
          <w:rFonts w:ascii="Times New Roman" w:hAnsi="Times New Roman"/>
          <w:sz w:val="24"/>
        </w:rPr>
        <w:footnoteReference w:id="34"/>
      </w:r>
      <w:r w:rsidR="00024870">
        <w:rPr>
          <w:rFonts w:ascii="Times New Roman" w:hAnsi="Times New Roman"/>
          <w:sz w:val="24"/>
        </w:rPr>
        <w:t xml:space="preserve"> </w:t>
      </w:r>
      <w:r w:rsidRPr="00854576">
        <w:rPr>
          <w:rFonts w:ascii="Times New Roman" w:hAnsi="Times New Roman"/>
          <w:sz w:val="24"/>
        </w:rPr>
        <w:t>By</w:t>
      </w:r>
      <w:r w:rsidR="00345581">
        <w:rPr>
          <w:rFonts w:ascii="Times New Roman" w:hAnsi="Times New Roman"/>
          <w:sz w:val="24"/>
        </w:rPr>
        <w:t xml:space="preserve"> </w:t>
      </w:r>
      <w:r w:rsidRPr="00854576">
        <w:rPr>
          <w:rFonts w:ascii="Times New Roman" w:hAnsi="Times New Roman"/>
          <w:sz w:val="24"/>
        </w:rPr>
        <w:t xml:space="preserve">the mid-thirteenth century inquisitors had begun to produce handbooks summarising aspects of this information. </w:t>
      </w:r>
      <w:r w:rsidR="00B85665">
        <w:rPr>
          <w:rFonts w:ascii="Times New Roman" w:hAnsi="Times New Roman"/>
          <w:sz w:val="24"/>
        </w:rPr>
        <w:t xml:space="preserve">These handbooks also described the types of offences that inquisitors might expect to encounter. </w:t>
      </w:r>
      <w:r>
        <w:rPr>
          <w:rFonts w:ascii="Times New Roman" w:hAnsi="Times New Roman"/>
          <w:sz w:val="24"/>
        </w:rPr>
        <w:t xml:space="preserve">Magic appears </w:t>
      </w:r>
      <w:r w:rsidR="001F1A82">
        <w:rPr>
          <w:rFonts w:ascii="Times New Roman" w:hAnsi="Times New Roman"/>
          <w:sz w:val="24"/>
        </w:rPr>
        <w:t xml:space="preserve">not </w:t>
      </w:r>
      <w:r>
        <w:rPr>
          <w:rFonts w:ascii="Times New Roman" w:hAnsi="Times New Roman"/>
          <w:sz w:val="24"/>
        </w:rPr>
        <w:t xml:space="preserve">to have </w:t>
      </w:r>
      <w:r w:rsidR="001F1A82">
        <w:rPr>
          <w:rFonts w:ascii="Times New Roman" w:hAnsi="Times New Roman"/>
          <w:sz w:val="24"/>
        </w:rPr>
        <w:lastRenderedPageBreak/>
        <w:t>attracted the</w:t>
      </w:r>
      <w:r>
        <w:rPr>
          <w:rFonts w:ascii="Times New Roman" w:hAnsi="Times New Roman"/>
          <w:sz w:val="24"/>
        </w:rPr>
        <w:t xml:space="preserve"> interest</w:t>
      </w:r>
      <w:r w:rsidR="001F1A82">
        <w:rPr>
          <w:rFonts w:ascii="Times New Roman" w:hAnsi="Times New Roman"/>
          <w:sz w:val="24"/>
        </w:rPr>
        <w:t xml:space="preserve"> of their authors</w:t>
      </w:r>
      <w:r>
        <w:rPr>
          <w:rFonts w:ascii="Times New Roman" w:hAnsi="Times New Roman"/>
          <w:sz w:val="24"/>
        </w:rPr>
        <w:t>. Two early handbooks</w:t>
      </w:r>
      <w:r w:rsidRPr="00854576">
        <w:rPr>
          <w:rFonts w:ascii="Times New Roman" w:hAnsi="Times New Roman"/>
          <w:sz w:val="24"/>
        </w:rPr>
        <w:t xml:space="preserve">, both produced </w:t>
      </w:r>
      <w:r>
        <w:rPr>
          <w:rFonts w:ascii="Times New Roman" w:hAnsi="Times New Roman"/>
          <w:sz w:val="24"/>
        </w:rPr>
        <w:t>in</w:t>
      </w:r>
      <w:r w:rsidRPr="00854576">
        <w:rPr>
          <w:rFonts w:ascii="Times New Roman" w:hAnsi="Times New Roman"/>
          <w:sz w:val="24"/>
        </w:rPr>
        <w:t xml:space="preserve"> the late 1240s, the </w:t>
      </w:r>
      <w:r w:rsidRPr="00854576">
        <w:rPr>
          <w:rFonts w:ascii="Times New Roman" w:hAnsi="Times New Roman"/>
          <w:i/>
          <w:sz w:val="24"/>
        </w:rPr>
        <w:t>Ordo processus narbonensis</w:t>
      </w:r>
      <w:r w:rsidRPr="00854576">
        <w:rPr>
          <w:rFonts w:ascii="Times New Roman" w:hAnsi="Times New Roman"/>
          <w:sz w:val="24"/>
        </w:rPr>
        <w:t xml:space="preserve">, and the </w:t>
      </w:r>
      <w:r w:rsidRPr="00854576">
        <w:rPr>
          <w:rFonts w:ascii="Times New Roman" w:hAnsi="Times New Roman"/>
          <w:i/>
          <w:sz w:val="24"/>
        </w:rPr>
        <w:t>Summa de Catharis et Pauperibus de Lugduno</w:t>
      </w:r>
      <w:r w:rsidRPr="00854576">
        <w:rPr>
          <w:rFonts w:ascii="Times New Roman" w:hAnsi="Times New Roman"/>
          <w:sz w:val="24"/>
        </w:rPr>
        <w:t xml:space="preserve">, contained no guidance on the prosecution of magic, whether popular or learned. </w:t>
      </w:r>
      <w:r>
        <w:rPr>
          <w:rFonts w:ascii="Times New Roman" w:hAnsi="Times New Roman"/>
          <w:sz w:val="24"/>
        </w:rPr>
        <w:t>Notably, neither made specific reference to alchemy.</w:t>
      </w:r>
      <w:r w:rsidR="009B058C">
        <w:rPr>
          <w:rStyle w:val="FootnoteReference"/>
          <w:rFonts w:ascii="Times New Roman" w:hAnsi="Times New Roman"/>
          <w:sz w:val="24"/>
        </w:rPr>
        <w:footnoteReference w:id="35"/>
      </w:r>
      <w:r w:rsidR="00345581">
        <w:rPr>
          <w:rFonts w:ascii="Times New Roman" w:hAnsi="Times New Roman"/>
          <w:sz w:val="24"/>
        </w:rPr>
        <w:t xml:space="preserve"> </w:t>
      </w:r>
      <w:r w:rsidRPr="00854576">
        <w:rPr>
          <w:rFonts w:ascii="Times New Roman" w:hAnsi="Times New Roman"/>
          <w:sz w:val="24"/>
        </w:rPr>
        <w:t xml:space="preserve">This situation may be explained partly by the fact that inquisitors’ attentions were largely focussed on the threat </w:t>
      </w:r>
      <w:r w:rsidR="009B058C" w:rsidRPr="00D80556">
        <w:rPr>
          <w:rFonts w:ascii="Times New Roman" w:hAnsi="Times New Roman"/>
          <w:sz w:val="24"/>
        </w:rPr>
        <w:t xml:space="preserve">– or </w:t>
      </w:r>
      <w:r w:rsidR="00D80556">
        <w:rPr>
          <w:rFonts w:ascii="Times New Roman" w:hAnsi="Times New Roman"/>
          <w:sz w:val="24"/>
        </w:rPr>
        <w:t>at the least perceived threat –</w:t>
      </w:r>
      <w:r w:rsidRPr="00854576">
        <w:rPr>
          <w:rFonts w:ascii="Times New Roman" w:hAnsi="Times New Roman"/>
          <w:sz w:val="24"/>
        </w:rPr>
        <w:t>posed by the Cathars and Waldensians.</w:t>
      </w:r>
      <w:r w:rsidR="00924B69">
        <w:rPr>
          <w:rFonts w:ascii="Times New Roman" w:hAnsi="Times New Roman"/>
          <w:sz w:val="24"/>
        </w:rPr>
        <w:t xml:space="preserve"> </w:t>
      </w:r>
      <w:r w:rsidRPr="00854576">
        <w:rPr>
          <w:rFonts w:ascii="Times New Roman" w:hAnsi="Times New Roman"/>
          <w:sz w:val="24"/>
        </w:rPr>
        <w:t>Inquisitors’ reluctance to prosecute magic in the early thirteenth century may also have been influenced by doubts about their jurisdiction. It was by no means c</w:t>
      </w:r>
      <w:r w:rsidR="00C436C4">
        <w:rPr>
          <w:rFonts w:ascii="Times New Roman" w:hAnsi="Times New Roman"/>
          <w:sz w:val="24"/>
        </w:rPr>
        <w:t>ertain that the inquisitor,</w:t>
      </w:r>
      <w:r w:rsidRPr="00854576">
        <w:rPr>
          <w:rFonts w:ascii="Times New Roman" w:hAnsi="Times New Roman"/>
          <w:sz w:val="24"/>
        </w:rPr>
        <w:t xml:space="preserve"> by virtue of his authority to investigate heresy,</w:t>
      </w:r>
      <w:r w:rsidR="00C436C4">
        <w:rPr>
          <w:rFonts w:ascii="Times New Roman" w:hAnsi="Times New Roman"/>
          <w:sz w:val="24"/>
        </w:rPr>
        <w:t xml:space="preserve"> was invested with the power to</w:t>
      </w:r>
      <w:r w:rsidRPr="00854576">
        <w:rPr>
          <w:rFonts w:ascii="Times New Roman" w:hAnsi="Times New Roman"/>
          <w:sz w:val="24"/>
        </w:rPr>
        <w:t xml:space="preserve"> </w:t>
      </w:r>
      <w:r>
        <w:rPr>
          <w:rFonts w:ascii="Times New Roman" w:hAnsi="Times New Roman"/>
          <w:sz w:val="24"/>
        </w:rPr>
        <w:t>examine cases of alleged magic.</w:t>
      </w:r>
    </w:p>
    <w:p w14:paraId="20A113B0" w14:textId="77777777" w:rsidR="009526FC" w:rsidRDefault="009526FC" w:rsidP="004E665F">
      <w:pPr>
        <w:spacing w:after="160" w:line="480" w:lineRule="auto"/>
        <w:ind w:firstLine="720"/>
        <w:rPr>
          <w:rFonts w:ascii="Times New Roman" w:eastAsia="Times New Roman" w:hAnsi="Times New Roman"/>
          <w:sz w:val="24"/>
          <w:szCs w:val="24"/>
        </w:rPr>
      </w:pPr>
      <w:r w:rsidRPr="00854576">
        <w:rPr>
          <w:rFonts w:ascii="Times New Roman" w:hAnsi="Times New Roman"/>
          <w:sz w:val="24"/>
        </w:rPr>
        <w:t xml:space="preserve">In 1258 a group of inquisitors referred the question of </w:t>
      </w:r>
      <w:r>
        <w:rPr>
          <w:rFonts w:ascii="Times New Roman" w:hAnsi="Times New Roman"/>
          <w:sz w:val="24"/>
        </w:rPr>
        <w:t xml:space="preserve">their authority to prosecute magic to Pope Alexander IV. </w:t>
      </w:r>
      <w:r w:rsidRPr="00854576">
        <w:rPr>
          <w:rFonts w:ascii="Times New Roman" w:hAnsi="Times New Roman"/>
          <w:sz w:val="24"/>
        </w:rPr>
        <w:t>The pontiff replied that inquisitors should not investigate cases of magic or divination “unless they</w:t>
      </w:r>
      <w:r w:rsidRPr="00854576">
        <w:rPr>
          <w:rFonts w:ascii="Times New Roman" w:eastAsia="Times New Roman" w:hAnsi="Times New Roman"/>
          <w:sz w:val="24"/>
          <w:szCs w:val="24"/>
        </w:rPr>
        <w:t xml:space="preserve"> savour of manifest heresy</w:t>
      </w:r>
      <w:r w:rsidR="00F43A29">
        <w:rPr>
          <w:rFonts w:ascii="Times New Roman" w:eastAsia="Times New Roman" w:hAnsi="Times New Roman"/>
          <w:sz w:val="24"/>
          <w:szCs w:val="24"/>
        </w:rPr>
        <w:t>.</w:t>
      </w:r>
      <w:r w:rsidRPr="00854576">
        <w:rPr>
          <w:rFonts w:ascii="Times New Roman" w:eastAsia="Times New Roman" w:hAnsi="Times New Roman"/>
          <w:sz w:val="24"/>
          <w:szCs w:val="24"/>
        </w:rPr>
        <w:t>”</w:t>
      </w:r>
      <w:r w:rsidRPr="00854576">
        <w:rPr>
          <w:rFonts w:ascii="Times New Roman" w:eastAsia="Times New Roman" w:hAnsi="Times New Roman"/>
          <w:sz w:val="24"/>
          <w:szCs w:val="24"/>
          <w:vertAlign w:val="superscript"/>
        </w:rPr>
        <w:footnoteReference w:id="36"/>
      </w:r>
      <w:r>
        <w:rPr>
          <w:rFonts w:ascii="Times New Roman" w:eastAsia="Times New Roman" w:hAnsi="Times New Roman"/>
          <w:sz w:val="24"/>
          <w:szCs w:val="24"/>
        </w:rPr>
        <w:t xml:space="preserve"> At face value, Alexander’s response was straightforward. It appeared to</w:t>
      </w:r>
      <w:r w:rsidRPr="00854576">
        <w:rPr>
          <w:rFonts w:ascii="Times New Roman" w:eastAsia="Times New Roman" w:hAnsi="Times New Roman"/>
          <w:sz w:val="24"/>
          <w:szCs w:val="24"/>
        </w:rPr>
        <w:t xml:space="preserve"> limit inquisitors’ ability to investigat</w:t>
      </w:r>
      <w:r>
        <w:rPr>
          <w:rFonts w:ascii="Times New Roman" w:eastAsia="Times New Roman" w:hAnsi="Times New Roman"/>
          <w:sz w:val="24"/>
          <w:szCs w:val="24"/>
        </w:rPr>
        <w:t xml:space="preserve">e magic and the operative arts, restricting them to investigating only heretical forms of magic. This was, however, an important innovation, which laid </w:t>
      </w:r>
      <w:r w:rsidRPr="00854576">
        <w:rPr>
          <w:rFonts w:ascii="Times New Roman" w:eastAsia="Times New Roman" w:hAnsi="Times New Roman"/>
          <w:sz w:val="24"/>
          <w:szCs w:val="24"/>
        </w:rPr>
        <w:t>the groundwork for a fun</w:t>
      </w:r>
      <w:r>
        <w:rPr>
          <w:rFonts w:ascii="Times New Roman" w:eastAsia="Times New Roman" w:hAnsi="Times New Roman"/>
          <w:sz w:val="24"/>
          <w:szCs w:val="24"/>
        </w:rPr>
        <w:t>damental transformation of the</w:t>
      </w:r>
      <w:r w:rsidRPr="00854576">
        <w:rPr>
          <w:rFonts w:ascii="Times New Roman" w:eastAsia="Times New Roman" w:hAnsi="Times New Roman"/>
          <w:sz w:val="24"/>
          <w:szCs w:val="24"/>
        </w:rPr>
        <w:t xml:space="preserve"> legal status</w:t>
      </w:r>
      <w:r>
        <w:rPr>
          <w:rFonts w:ascii="Times New Roman" w:eastAsia="Times New Roman" w:hAnsi="Times New Roman"/>
          <w:sz w:val="24"/>
          <w:szCs w:val="24"/>
        </w:rPr>
        <w:t xml:space="preserve"> of magical arts. </w:t>
      </w:r>
      <w:r w:rsidRPr="00854576">
        <w:rPr>
          <w:rFonts w:ascii="Times New Roman" w:eastAsia="Times New Roman" w:hAnsi="Times New Roman"/>
          <w:sz w:val="24"/>
          <w:szCs w:val="24"/>
        </w:rPr>
        <w:t xml:space="preserve">It established </w:t>
      </w:r>
      <w:r>
        <w:rPr>
          <w:rFonts w:ascii="Times New Roman" w:eastAsia="Times New Roman" w:hAnsi="Times New Roman"/>
          <w:sz w:val="24"/>
          <w:szCs w:val="24"/>
        </w:rPr>
        <w:t xml:space="preserve">in canon law </w:t>
      </w:r>
      <w:r w:rsidRPr="00854576">
        <w:rPr>
          <w:rFonts w:ascii="Times New Roman" w:eastAsia="Times New Roman" w:hAnsi="Times New Roman"/>
          <w:sz w:val="24"/>
          <w:szCs w:val="24"/>
        </w:rPr>
        <w:t>the principle that at least some magical offences could indeed be considered “heresies”</w:t>
      </w:r>
      <w:r>
        <w:rPr>
          <w:rFonts w:ascii="Times New Roman" w:eastAsia="Times New Roman" w:hAnsi="Times New Roman"/>
          <w:sz w:val="24"/>
          <w:szCs w:val="24"/>
        </w:rPr>
        <w:t xml:space="preserve"> and not superstitions</w:t>
      </w:r>
      <w:r w:rsidRPr="00854576">
        <w:rPr>
          <w:rFonts w:ascii="Times New Roman" w:eastAsia="Times New Roman" w:hAnsi="Times New Roman"/>
          <w:sz w:val="24"/>
          <w:szCs w:val="24"/>
        </w:rPr>
        <w:t xml:space="preserve">, and </w:t>
      </w:r>
      <w:r>
        <w:rPr>
          <w:rFonts w:ascii="Times New Roman" w:eastAsia="Times New Roman" w:hAnsi="Times New Roman"/>
          <w:sz w:val="24"/>
          <w:szCs w:val="24"/>
        </w:rPr>
        <w:t xml:space="preserve">that they were, </w:t>
      </w:r>
      <w:r w:rsidRPr="00854576">
        <w:rPr>
          <w:rFonts w:ascii="Times New Roman" w:eastAsia="Times New Roman" w:hAnsi="Times New Roman"/>
          <w:sz w:val="24"/>
          <w:szCs w:val="24"/>
        </w:rPr>
        <w:t>therefore</w:t>
      </w:r>
      <w:r>
        <w:rPr>
          <w:rFonts w:ascii="Times New Roman" w:eastAsia="Times New Roman" w:hAnsi="Times New Roman"/>
          <w:sz w:val="24"/>
          <w:szCs w:val="24"/>
        </w:rPr>
        <w:t>,</w:t>
      </w:r>
      <w:r w:rsidRPr="00854576">
        <w:rPr>
          <w:rFonts w:ascii="Times New Roman" w:eastAsia="Times New Roman" w:hAnsi="Times New Roman"/>
          <w:sz w:val="24"/>
          <w:szCs w:val="24"/>
        </w:rPr>
        <w:t xml:space="preserve"> within the inquisitor’s p</w:t>
      </w:r>
      <w:r w:rsidR="001F1A82">
        <w:rPr>
          <w:rFonts w:ascii="Times New Roman" w:eastAsia="Times New Roman" w:hAnsi="Times New Roman"/>
          <w:sz w:val="24"/>
          <w:szCs w:val="24"/>
        </w:rPr>
        <w:t>urview. The pope’s response nevertheless</w:t>
      </w:r>
      <w:r>
        <w:rPr>
          <w:rFonts w:ascii="Times New Roman" w:eastAsia="Times New Roman" w:hAnsi="Times New Roman"/>
          <w:sz w:val="24"/>
          <w:szCs w:val="24"/>
        </w:rPr>
        <w:t xml:space="preserve"> left key questions unresolved. I</w:t>
      </w:r>
      <w:r w:rsidRPr="00854576">
        <w:rPr>
          <w:rFonts w:ascii="Times New Roman" w:eastAsia="Times New Roman" w:hAnsi="Times New Roman"/>
          <w:sz w:val="24"/>
          <w:szCs w:val="24"/>
        </w:rPr>
        <w:t>t neither defined “manifest heresy</w:t>
      </w:r>
      <w:r w:rsidR="002F066B">
        <w:rPr>
          <w:rFonts w:ascii="Times New Roman" w:eastAsia="Times New Roman" w:hAnsi="Times New Roman"/>
          <w:sz w:val="24"/>
          <w:szCs w:val="24"/>
        </w:rPr>
        <w:t>,</w:t>
      </w:r>
      <w:r w:rsidRPr="00854576">
        <w:rPr>
          <w:rFonts w:ascii="Times New Roman" w:eastAsia="Times New Roman" w:hAnsi="Times New Roman"/>
          <w:sz w:val="24"/>
          <w:szCs w:val="24"/>
        </w:rPr>
        <w:t xml:space="preserve">” </w:t>
      </w:r>
      <w:r w:rsidR="00845B99">
        <w:rPr>
          <w:rFonts w:ascii="Times New Roman" w:eastAsia="Times New Roman" w:hAnsi="Times New Roman"/>
          <w:sz w:val="24"/>
          <w:szCs w:val="24"/>
        </w:rPr>
        <w:t xml:space="preserve">nor </w:t>
      </w:r>
      <w:r w:rsidRPr="00854576">
        <w:rPr>
          <w:rFonts w:ascii="Times New Roman" w:eastAsia="Times New Roman" w:hAnsi="Times New Roman"/>
          <w:sz w:val="24"/>
          <w:szCs w:val="24"/>
        </w:rPr>
        <w:t xml:space="preserve">provided </w:t>
      </w:r>
      <w:r w:rsidRPr="00854576">
        <w:rPr>
          <w:rFonts w:ascii="Times New Roman" w:eastAsia="Times New Roman" w:hAnsi="Times New Roman"/>
          <w:sz w:val="24"/>
          <w:szCs w:val="24"/>
        </w:rPr>
        <w:lastRenderedPageBreak/>
        <w:t>criteria by which manifestly heretical arts could be identified, nor indicated any specific practices that s</w:t>
      </w:r>
      <w:r>
        <w:rPr>
          <w:rFonts w:ascii="Times New Roman" w:eastAsia="Times New Roman" w:hAnsi="Times New Roman"/>
          <w:sz w:val="24"/>
          <w:szCs w:val="24"/>
        </w:rPr>
        <w:t>hould be considered heretical.</w:t>
      </w:r>
    </w:p>
    <w:p w14:paraId="5E7D1503" w14:textId="77777777" w:rsidR="009526FC" w:rsidRPr="00854576" w:rsidRDefault="00C436C4" w:rsidP="0013232A">
      <w:pPr>
        <w:spacing w:after="160" w:line="48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Alexander VI’s definition of inquisitorial powers was more precisely defined in </w:t>
      </w:r>
      <w:r w:rsidR="009526FC" w:rsidRPr="00854576">
        <w:rPr>
          <w:rFonts w:ascii="Times New Roman" w:eastAsia="Times New Roman" w:hAnsi="Times New Roman"/>
          <w:sz w:val="24"/>
          <w:szCs w:val="24"/>
        </w:rPr>
        <w:t xml:space="preserve">Boniface VIII’s addition to the body of canon law, the </w:t>
      </w:r>
      <w:r w:rsidR="009526FC" w:rsidRPr="00854576">
        <w:rPr>
          <w:rFonts w:ascii="Times New Roman" w:eastAsia="Times New Roman" w:hAnsi="Times New Roman"/>
          <w:i/>
          <w:sz w:val="24"/>
          <w:szCs w:val="24"/>
        </w:rPr>
        <w:t>Liber sextus</w:t>
      </w:r>
      <w:r w:rsidR="009526FC">
        <w:rPr>
          <w:rFonts w:ascii="Times New Roman" w:eastAsia="Times New Roman" w:hAnsi="Times New Roman"/>
          <w:sz w:val="24"/>
          <w:szCs w:val="24"/>
        </w:rPr>
        <w:t xml:space="preserve">, completed in 1298. </w:t>
      </w:r>
      <w:r>
        <w:rPr>
          <w:rFonts w:ascii="Times New Roman" w:eastAsia="Times New Roman" w:hAnsi="Times New Roman"/>
          <w:sz w:val="24"/>
          <w:szCs w:val="24"/>
        </w:rPr>
        <w:t>In this volume, Alexander’s bull</w:t>
      </w:r>
      <w:r w:rsidR="009526FC" w:rsidRPr="00854576">
        <w:rPr>
          <w:rFonts w:ascii="Times New Roman" w:eastAsia="Times New Roman" w:hAnsi="Times New Roman"/>
          <w:sz w:val="24"/>
          <w:szCs w:val="24"/>
        </w:rPr>
        <w:t xml:space="preserve"> was accompanied by a gloss, which defined “manifestly savouring” as “</w:t>
      </w:r>
      <w:r w:rsidR="009526FC" w:rsidRPr="00854576">
        <w:rPr>
          <w:rFonts w:ascii="Times New Roman" w:hAnsi="Times New Roman"/>
          <w:sz w:val="24"/>
        </w:rPr>
        <w:t>for example, to utter prayers near abominable altars of idols, to offer sacrifices, to consult demons, to receive their responses.</w:t>
      </w:r>
      <w:r w:rsidR="00924B69">
        <w:rPr>
          <w:rFonts w:ascii="Times New Roman" w:hAnsi="Times New Roman"/>
          <w:sz w:val="24"/>
        </w:rPr>
        <w:t xml:space="preserve"> </w:t>
      </w:r>
      <w:r w:rsidR="009526FC" w:rsidRPr="00854576">
        <w:rPr>
          <w:rFonts w:ascii="Times New Roman" w:hAnsi="Times New Roman"/>
          <w:sz w:val="24"/>
        </w:rPr>
        <w:t>Or they either associate themselves with heretics [in order to] cast lots, or they make predictions with the body and blood of Ch</w:t>
      </w:r>
      <w:r w:rsidR="009526FC">
        <w:rPr>
          <w:rFonts w:ascii="Times New Roman" w:hAnsi="Times New Roman"/>
          <w:sz w:val="24"/>
        </w:rPr>
        <w:t>rist, or [when] casting lots, in order</w:t>
      </w:r>
      <w:r w:rsidR="009526FC" w:rsidRPr="00854576">
        <w:rPr>
          <w:rFonts w:ascii="Times New Roman" w:hAnsi="Times New Roman"/>
          <w:sz w:val="24"/>
        </w:rPr>
        <w:t xml:space="preserve"> that they might have a response, they re-baptise boys or something similar.”</w:t>
      </w:r>
      <w:r w:rsidR="009526FC" w:rsidRPr="00854576">
        <w:rPr>
          <w:rFonts w:ascii="Times New Roman" w:eastAsia="Times New Roman" w:hAnsi="Times New Roman"/>
          <w:sz w:val="24"/>
          <w:szCs w:val="24"/>
          <w:vertAlign w:val="superscript"/>
        </w:rPr>
        <w:footnoteReference w:id="37"/>
      </w:r>
      <w:r w:rsidR="00481006">
        <w:rPr>
          <w:rFonts w:ascii="Times New Roman" w:hAnsi="Times New Roman"/>
          <w:sz w:val="24"/>
        </w:rPr>
        <w:t xml:space="preserve"> </w:t>
      </w:r>
      <w:r w:rsidR="009526FC" w:rsidRPr="00854576">
        <w:rPr>
          <w:rFonts w:ascii="Times New Roman" w:eastAsia="Times New Roman" w:hAnsi="Times New Roman"/>
          <w:sz w:val="24"/>
          <w:szCs w:val="24"/>
        </w:rPr>
        <w:t>The gloss’s wording diverged from Aquinas</w:t>
      </w:r>
      <w:r w:rsidR="009526FC">
        <w:rPr>
          <w:rFonts w:ascii="Times New Roman" w:eastAsia="Times New Roman" w:hAnsi="Times New Roman"/>
          <w:sz w:val="24"/>
          <w:szCs w:val="24"/>
        </w:rPr>
        <w:t>’s thought in two key respects.</w:t>
      </w:r>
      <w:r w:rsidR="009526FC" w:rsidRPr="00854576">
        <w:rPr>
          <w:rFonts w:ascii="Times New Roman" w:eastAsia="Times New Roman" w:hAnsi="Times New Roman"/>
          <w:sz w:val="24"/>
          <w:szCs w:val="24"/>
        </w:rPr>
        <w:t xml:space="preserve"> First</w:t>
      </w:r>
      <w:r w:rsidR="001302DF">
        <w:rPr>
          <w:rFonts w:ascii="Times New Roman" w:eastAsia="Times New Roman" w:hAnsi="Times New Roman"/>
          <w:sz w:val="24"/>
          <w:szCs w:val="24"/>
        </w:rPr>
        <w:t>,</w:t>
      </w:r>
      <w:r w:rsidR="009526FC" w:rsidRPr="00854576">
        <w:rPr>
          <w:rFonts w:ascii="Times New Roman" w:eastAsia="Times New Roman" w:hAnsi="Times New Roman"/>
          <w:sz w:val="24"/>
          <w:szCs w:val="24"/>
        </w:rPr>
        <w:t xml:space="preserve"> it clearly associated manifest heresy w</w:t>
      </w:r>
      <w:r w:rsidR="009526FC">
        <w:rPr>
          <w:rFonts w:ascii="Times New Roman" w:eastAsia="Times New Roman" w:hAnsi="Times New Roman"/>
          <w:sz w:val="24"/>
          <w:szCs w:val="24"/>
        </w:rPr>
        <w:t>ith the act of invoking demons.</w:t>
      </w:r>
      <w:r w:rsidR="009526FC" w:rsidRPr="00854576">
        <w:rPr>
          <w:rFonts w:ascii="Times New Roman" w:eastAsia="Times New Roman" w:hAnsi="Times New Roman"/>
          <w:sz w:val="24"/>
          <w:szCs w:val="24"/>
        </w:rPr>
        <w:t xml:space="preserve"> Whilst Aquinas had condemned invocation, he considered it to be a superstition rather than a heresy. Second, the gloss’s criteria for distinguishing between heretical and non-heretical magic, and, by extension, for the investigation of the operative arts, centred on the identification of specific ritual practices designed to e</w:t>
      </w:r>
      <w:r w:rsidR="009526FC">
        <w:rPr>
          <w:rFonts w:ascii="Times New Roman" w:eastAsia="Times New Roman" w:hAnsi="Times New Roman"/>
          <w:sz w:val="24"/>
          <w:szCs w:val="24"/>
        </w:rPr>
        <w:t>nlist the assistance of demons.</w:t>
      </w:r>
      <w:r w:rsidR="009526FC" w:rsidRPr="00854576">
        <w:rPr>
          <w:rFonts w:ascii="Times New Roman" w:eastAsia="Times New Roman" w:hAnsi="Times New Roman"/>
          <w:sz w:val="24"/>
          <w:szCs w:val="24"/>
        </w:rPr>
        <w:t xml:space="preserve"> In essence, it instructed inquisitors to make judgements about the actions of the practitioner whilst </w:t>
      </w:r>
      <w:r w:rsidR="009526FC">
        <w:rPr>
          <w:rFonts w:ascii="Times New Roman" w:eastAsia="Times New Roman" w:hAnsi="Times New Roman"/>
          <w:sz w:val="24"/>
          <w:szCs w:val="24"/>
        </w:rPr>
        <w:t xml:space="preserve">he or she </w:t>
      </w:r>
      <w:r w:rsidR="009526FC" w:rsidRPr="00854576">
        <w:rPr>
          <w:rFonts w:ascii="Times New Roman" w:eastAsia="Times New Roman" w:hAnsi="Times New Roman"/>
          <w:sz w:val="24"/>
          <w:szCs w:val="24"/>
        </w:rPr>
        <w:t>was performing the art, rather than about th</w:t>
      </w:r>
      <w:r w:rsidR="009526FC">
        <w:rPr>
          <w:rFonts w:ascii="Times New Roman" w:eastAsia="Times New Roman" w:hAnsi="Times New Roman"/>
          <w:sz w:val="24"/>
          <w:szCs w:val="24"/>
        </w:rPr>
        <w:t>e legitimacy of the art itself.</w:t>
      </w:r>
      <w:r w:rsidR="009526FC" w:rsidRPr="00854576">
        <w:rPr>
          <w:rFonts w:ascii="Times New Roman" w:eastAsia="Times New Roman" w:hAnsi="Times New Roman"/>
          <w:sz w:val="24"/>
          <w:szCs w:val="24"/>
        </w:rPr>
        <w:t xml:space="preserve"> This implied that an inquisitor could not prosecute an individual simply for practising an operative art; they could take action only if they discovered evidence that the accused had also explicitly engaged in ritual</w:t>
      </w:r>
      <w:r w:rsidR="00845B99">
        <w:rPr>
          <w:rFonts w:ascii="Times New Roman" w:eastAsia="Times New Roman" w:hAnsi="Times New Roman"/>
          <w:sz w:val="24"/>
          <w:szCs w:val="24"/>
        </w:rPr>
        <w:t>s that may have been intended to invoke demons</w:t>
      </w:r>
      <w:r w:rsidR="009526FC" w:rsidRPr="00854576">
        <w:rPr>
          <w:rFonts w:ascii="Times New Roman" w:eastAsia="Times New Roman" w:hAnsi="Times New Roman"/>
          <w:sz w:val="24"/>
          <w:szCs w:val="24"/>
        </w:rPr>
        <w:t xml:space="preserve">. The adoption of this principle meant that the status of arts that </w:t>
      </w:r>
      <w:r w:rsidR="009526FC">
        <w:rPr>
          <w:rFonts w:ascii="Times New Roman" w:eastAsia="Times New Roman" w:hAnsi="Times New Roman"/>
          <w:sz w:val="24"/>
          <w:szCs w:val="24"/>
        </w:rPr>
        <w:t>had no necessary ritual element –</w:t>
      </w:r>
      <w:r w:rsidR="009526FC" w:rsidRPr="00854576">
        <w:rPr>
          <w:rFonts w:ascii="Times New Roman" w:eastAsia="Times New Roman" w:hAnsi="Times New Roman"/>
          <w:sz w:val="24"/>
          <w:szCs w:val="24"/>
        </w:rPr>
        <w:t xml:space="preserve"> for instance</w:t>
      </w:r>
      <w:r w:rsidR="009526FC">
        <w:rPr>
          <w:rFonts w:ascii="Times New Roman" w:eastAsia="Times New Roman" w:hAnsi="Times New Roman"/>
          <w:sz w:val="24"/>
          <w:szCs w:val="24"/>
        </w:rPr>
        <w:t xml:space="preserve">, astrological prediction </w:t>
      </w:r>
      <w:r w:rsidR="009526FC" w:rsidRPr="00854576">
        <w:rPr>
          <w:rFonts w:ascii="Times New Roman" w:eastAsia="Times New Roman" w:hAnsi="Times New Roman"/>
          <w:sz w:val="24"/>
          <w:szCs w:val="24"/>
        </w:rPr>
        <w:t>or the construction of astrological</w:t>
      </w:r>
      <w:r w:rsidR="009526FC">
        <w:rPr>
          <w:rFonts w:ascii="Times New Roman" w:eastAsia="Times New Roman" w:hAnsi="Times New Roman"/>
          <w:sz w:val="24"/>
          <w:szCs w:val="24"/>
        </w:rPr>
        <w:t xml:space="preserve"> talismans –</w:t>
      </w:r>
      <w:r w:rsidR="001302DF">
        <w:rPr>
          <w:rFonts w:ascii="Times New Roman" w:eastAsia="Times New Roman" w:hAnsi="Times New Roman"/>
          <w:sz w:val="24"/>
          <w:szCs w:val="24"/>
        </w:rPr>
        <w:t xml:space="preserve"> </w:t>
      </w:r>
      <w:r w:rsidR="009526FC">
        <w:rPr>
          <w:rFonts w:ascii="Times New Roman" w:eastAsia="Times New Roman" w:hAnsi="Times New Roman"/>
          <w:sz w:val="24"/>
          <w:szCs w:val="24"/>
        </w:rPr>
        <w:t xml:space="preserve">was unclear. </w:t>
      </w:r>
      <w:r w:rsidR="009526FC" w:rsidRPr="00854576">
        <w:rPr>
          <w:rFonts w:ascii="Times New Roman" w:eastAsia="Times New Roman" w:hAnsi="Times New Roman"/>
          <w:sz w:val="24"/>
          <w:szCs w:val="24"/>
        </w:rPr>
        <w:t xml:space="preserve">Although Aquinas had </w:t>
      </w:r>
      <w:r w:rsidR="009526FC" w:rsidRPr="00854576">
        <w:rPr>
          <w:rFonts w:ascii="Times New Roman" w:eastAsia="Times New Roman" w:hAnsi="Times New Roman"/>
          <w:sz w:val="24"/>
          <w:szCs w:val="24"/>
        </w:rPr>
        <w:lastRenderedPageBreak/>
        <w:t>argued that such arts</w:t>
      </w:r>
      <w:r>
        <w:rPr>
          <w:rFonts w:ascii="Times New Roman" w:eastAsia="Times New Roman" w:hAnsi="Times New Roman"/>
          <w:sz w:val="24"/>
          <w:szCs w:val="24"/>
        </w:rPr>
        <w:t xml:space="preserve"> </w:t>
      </w:r>
      <w:r w:rsidR="009526FC">
        <w:rPr>
          <w:rFonts w:ascii="Times New Roman" w:eastAsia="Times New Roman" w:hAnsi="Times New Roman"/>
          <w:sz w:val="24"/>
          <w:szCs w:val="24"/>
        </w:rPr>
        <w:t>sh</w:t>
      </w:r>
      <w:r w:rsidR="009526FC" w:rsidRPr="00854576">
        <w:rPr>
          <w:rFonts w:ascii="Times New Roman" w:eastAsia="Times New Roman" w:hAnsi="Times New Roman"/>
          <w:sz w:val="24"/>
          <w:szCs w:val="24"/>
        </w:rPr>
        <w:t>ould be considered supersti</w:t>
      </w:r>
      <w:r w:rsidR="009526FC">
        <w:rPr>
          <w:rFonts w:ascii="Times New Roman" w:eastAsia="Times New Roman" w:hAnsi="Times New Roman"/>
          <w:sz w:val="24"/>
          <w:szCs w:val="24"/>
        </w:rPr>
        <w:t>tious, the gloss suggested that</w:t>
      </w:r>
      <w:r w:rsidR="009526FC" w:rsidRPr="00854576">
        <w:rPr>
          <w:rFonts w:ascii="Times New Roman" w:eastAsia="Times New Roman" w:hAnsi="Times New Roman"/>
          <w:sz w:val="24"/>
          <w:szCs w:val="24"/>
        </w:rPr>
        <w:t xml:space="preserve"> as </w:t>
      </w:r>
      <w:r w:rsidR="009526FC">
        <w:rPr>
          <w:rFonts w:ascii="Times New Roman" w:eastAsia="Times New Roman" w:hAnsi="Times New Roman"/>
          <w:sz w:val="24"/>
          <w:szCs w:val="24"/>
        </w:rPr>
        <w:t>long</w:t>
      </w:r>
      <w:r>
        <w:rPr>
          <w:rFonts w:ascii="Times New Roman" w:eastAsia="Times New Roman" w:hAnsi="Times New Roman"/>
          <w:sz w:val="24"/>
          <w:szCs w:val="24"/>
        </w:rPr>
        <w:t xml:space="preserve"> as </w:t>
      </w:r>
      <w:r w:rsidR="009526FC">
        <w:rPr>
          <w:rFonts w:ascii="Times New Roman" w:eastAsia="Times New Roman" w:hAnsi="Times New Roman"/>
          <w:sz w:val="24"/>
          <w:szCs w:val="24"/>
        </w:rPr>
        <w:t>anyone practising them</w:t>
      </w:r>
      <w:r w:rsidR="009526FC" w:rsidRPr="00854576">
        <w:rPr>
          <w:rFonts w:ascii="Times New Roman" w:eastAsia="Times New Roman" w:hAnsi="Times New Roman"/>
          <w:sz w:val="24"/>
          <w:szCs w:val="24"/>
        </w:rPr>
        <w:t xml:space="preserve"> refrained from explicitly invoking demons, th</w:t>
      </w:r>
      <w:r w:rsidR="009526FC">
        <w:rPr>
          <w:rFonts w:ascii="Times New Roman" w:eastAsia="Times New Roman" w:hAnsi="Times New Roman"/>
          <w:sz w:val="24"/>
          <w:szCs w:val="24"/>
        </w:rPr>
        <w:t>ere was no justification for an inquisitor</w:t>
      </w:r>
      <w:r w:rsidR="00924B69">
        <w:rPr>
          <w:rFonts w:ascii="Times New Roman" w:eastAsia="Times New Roman" w:hAnsi="Times New Roman"/>
          <w:sz w:val="24"/>
          <w:szCs w:val="24"/>
        </w:rPr>
        <w:t xml:space="preserve"> </w:t>
      </w:r>
      <w:r w:rsidR="009526FC">
        <w:rPr>
          <w:rFonts w:ascii="Times New Roman" w:eastAsia="Times New Roman" w:hAnsi="Times New Roman"/>
          <w:sz w:val="24"/>
          <w:szCs w:val="24"/>
        </w:rPr>
        <w:t>to investigate. This principle applied also to the practice of alchemy</w:t>
      </w:r>
      <w:r w:rsidR="009526FC" w:rsidRPr="00854576">
        <w:rPr>
          <w:rFonts w:ascii="Times New Roman" w:eastAsia="Times New Roman" w:hAnsi="Times New Roman"/>
          <w:sz w:val="24"/>
          <w:szCs w:val="24"/>
        </w:rPr>
        <w:t>.</w:t>
      </w:r>
    </w:p>
    <w:p w14:paraId="7F9BF844" w14:textId="77777777" w:rsidR="009526FC" w:rsidRPr="00854576" w:rsidRDefault="009526FC" w:rsidP="004E665F">
      <w:pPr>
        <w:spacing w:after="160" w:line="480" w:lineRule="auto"/>
        <w:ind w:firstLine="720"/>
        <w:rPr>
          <w:rFonts w:ascii="Times New Roman" w:hAnsi="Times New Roman"/>
          <w:sz w:val="24"/>
        </w:rPr>
      </w:pPr>
      <w:r>
        <w:rPr>
          <w:rFonts w:ascii="Times New Roman" w:eastAsia="Times New Roman" w:hAnsi="Times New Roman"/>
          <w:sz w:val="24"/>
          <w:szCs w:val="24"/>
        </w:rPr>
        <w:t xml:space="preserve">Although alchemy was not directly mentioned in either Alexander’s bull or its subsequent gloss, it </w:t>
      </w:r>
      <w:r w:rsidRPr="00854576">
        <w:rPr>
          <w:rFonts w:ascii="Times New Roman" w:eastAsia="Times New Roman" w:hAnsi="Times New Roman"/>
          <w:sz w:val="24"/>
          <w:szCs w:val="24"/>
        </w:rPr>
        <w:t xml:space="preserve">became a </w:t>
      </w:r>
      <w:r>
        <w:rPr>
          <w:rFonts w:ascii="Times New Roman" w:eastAsia="Times New Roman" w:hAnsi="Times New Roman"/>
          <w:sz w:val="24"/>
          <w:szCs w:val="24"/>
        </w:rPr>
        <w:t>specific</w:t>
      </w:r>
      <w:r w:rsidRPr="00854576">
        <w:rPr>
          <w:rFonts w:ascii="Times New Roman" w:eastAsia="Times New Roman" w:hAnsi="Times New Roman"/>
          <w:sz w:val="24"/>
          <w:szCs w:val="24"/>
        </w:rPr>
        <w:t xml:space="preserve"> subject of interest during the pontificate of John XXII (1316</w:t>
      </w:r>
      <w:r w:rsidR="001302DF">
        <w:rPr>
          <w:rFonts w:ascii="Times New Roman" w:eastAsia="Times New Roman" w:hAnsi="Times New Roman"/>
          <w:sz w:val="24"/>
          <w:szCs w:val="24"/>
        </w:rPr>
        <w:t>–13</w:t>
      </w:r>
      <w:r w:rsidRPr="00854576">
        <w:rPr>
          <w:rFonts w:ascii="Times New Roman" w:eastAsia="Times New Roman" w:hAnsi="Times New Roman"/>
          <w:sz w:val="24"/>
          <w:szCs w:val="24"/>
        </w:rPr>
        <w:t>34).</w:t>
      </w:r>
      <w:r w:rsidR="00924B69">
        <w:rPr>
          <w:rFonts w:ascii="Times New Roman" w:eastAsia="Times New Roman" w:hAnsi="Times New Roman"/>
          <w:sz w:val="24"/>
          <w:szCs w:val="24"/>
        </w:rPr>
        <w:t xml:space="preserve"> </w:t>
      </w:r>
      <w:r w:rsidRPr="00854576">
        <w:rPr>
          <w:rFonts w:ascii="Times New Roman" w:eastAsia="Times New Roman" w:hAnsi="Times New Roman"/>
          <w:sz w:val="24"/>
          <w:szCs w:val="24"/>
        </w:rPr>
        <w:t xml:space="preserve">In 1317 he promulgated the bull </w:t>
      </w:r>
      <w:r w:rsidRPr="00854576">
        <w:rPr>
          <w:rFonts w:ascii="Times New Roman" w:eastAsia="Times New Roman" w:hAnsi="Times New Roman"/>
          <w:i/>
          <w:sz w:val="24"/>
          <w:szCs w:val="24"/>
        </w:rPr>
        <w:t>Spondent</w:t>
      </w:r>
      <w:r w:rsidR="00924B69">
        <w:rPr>
          <w:rFonts w:ascii="Times New Roman" w:eastAsia="Times New Roman" w:hAnsi="Times New Roman"/>
          <w:i/>
          <w:sz w:val="24"/>
          <w:szCs w:val="24"/>
        </w:rPr>
        <w:t xml:space="preserve"> </w:t>
      </w:r>
      <w:r w:rsidRPr="00854576">
        <w:rPr>
          <w:rFonts w:ascii="Times New Roman" w:eastAsia="Times New Roman" w:hAnsi="Times New Roman"/>
          <w:i/>
          <w:sz w:val="24"/>
          <w:szCs w:val="24"/>
        </w:rPr>
        <w:t>quas non exhibent</w:t>
      </w:r>
      <w:r w:rsidR="00924B69">
        <w:rPr>
          <w:rFonts w:ascii="Times New Roman" w:eastAsia="Times New Roman" w:hAnsi="Times New Roman"/>
          <w:i/>
          <w:sz w:val="24"/>
          <w:szCs w:val="24"/>
        </w:rPr>
        <w:t xml:space="preserve"> </w:t>
      </w:r>
      <w:r w:rsidRPr="00854576">
        <w:rPr>
          <w:rFonts w:ascii="Times New Roman" w:eastAsia="Times New Roman" w:hAnsi="Times New Roman"/>
          <w:i/>
          <w:sz w:val="24"/>
          <w:szCs w:val="24"/>
        </w:rPr>
        <w:t>divitias, pauperes</w:t>
      </w:r>
      <w:r w:rsidR="00924B69">
        <w:rPr>
          <w:rFonts w:ascii="Times New Roman" w:eastAsia="Times New Roman" w:hAnsi="Times New Roman"/>
          <w:i/>
          <w:sz w:val="24"/>
          <w:szCs w:val="24"/>
        </w:rPr>
        <w:t xml:space="preserve"> </w:t>
      </w:r>
      <w:r w:rsidR="007D37C7">
        <w:rPr>
          <w:rFonts w:ascii="Times New Roman" w:eastAsia="Times New Roman" w:hAnsi="Times New Roman"/>
          <w:i/>
          <w:sz w:val="24"/>
          <w:szCs w:val="24"/>
        </w:rPr>
        <w:t>a</w:t>
      </w:r>
      <w:r w:rsidRPr="00854576">
        <w:rPr>
          <w:rFonts w:ascii="Times New Roman" w:eastAsia="Times New Roman" w:hAnsi="Times New Roman"/>
          <w:i/>
          <w:sz w:val="24"/>
          <w:szCs w:val="24"/>
        </w:rPr>
        <w:t>lchimistae</w:t>
      </w:r>
      <w:r w:rsidRPr="00854576">
        <w:rPr>
          <w:rFonts w:ascii="Times New Roman" w:eastAsia="Times New Roman" w:hAnsi="Times New Roman"/>
          <w:sz w:val="24"/>
          <w:szCs w:val="24"/>
        </w:rPr>
        <w:t xml:space="preserve"> (Poor alchemists promise riches that they cannot produce). Like the decree of the First Lateran Council, it was concerned solely with the fraudulent sale or use of alchemically</w:t>
      </w:r>
      <w:r w:rsidR="007D37C7">
        <w:rPr>
          <w:rFonts w:ascii="Times New Roman" w:eastAsia="Times New Roman" w:hAnsi="Times New Roman"/>
          <w:sz w:val="24"/>
          <w:szCs w:val="24"/>
        </w:rPr>
        <w:t xml:space="preserve"> </w:t>
      </w:r>
      <w:r w:rsidRPr="00854576">
        <w:rPr>
          <w:rFonts w:ascii="Times New Roman" w:eastAsia="Times New Roman" w:hAnsi="Times New Roman"/>
          <w:sz w:val="24"/>
          <w:szCs w:val="24"/>
        </w:rPr>
        <w:t>produced metals.</w:t>
      </w:r>
      <w:r w:rsidRPr="00854576">
        <w:rPr>
          <w:rFonts w:ascii="Times New Roman" w:hAnsi="Times New Roman"/>
          <w:color w:val="000000"/>
          <w:sz w:val="24"/>
          <w:szCs w:val="24"/>
        </w:rPr>
        <w:t xml:space="preserve"> It prohibited the production of alchemical gold or silver, on the ground that the act of debasing coinage or introducing fake coin into circulation wa</w:t>
      </w:r>
      <w:r>
        <w:rPr>
          <w:rFonts w:ascii="Times New Roman" w:hAnsi="Times New Roman"/>
          <w:color w:val="000000"/>
          <w:sz w:val="24"/>
          <w:szCs w:val="24"/>
        </w:rPr>
        <w:t xml:space="preserve">s an offence in and of itself. </w:t>
      </w:r>
      <w:r w:rsidRPr="00854576">
        <w:rPr>
          <w:rFonts w:ascii="Times New Roman" w:hAnsi="Times New Roman"/>
          <w:color w:val="000000"/>
          <w:sz w:val="24"/>
          <w:szCs w:val="24"/>
        </w:rPr>
        <w:t xml:space="preserve">Nowhere does the bull suggest that alchemists genuinely believed </w:t>
      </w:r>
      <w:r>
        <w:rPr>
          <w:rFonts w:ascii="Times New Roman" w:hAnsi="Times New Roman"/>
          <w:color w:val="000000"/>
          <w:sz w:val="24"/>
          <w:szCs w:val="24"/>
        </w:rPr>
        <w:t xml:space="preserve">that </w:t>
      </w:r>
      <w:r w:rsidRPr="00854576">
        <w:rPr>
          <w:rFonts w:ascii="Times New Roman" w:hAnsi="Times New Roman"/>
          <w:color w:val="000000"/>
          <w:sz w:val="24"/>
          <w:szCs w:val="24"/>
        </w:rPr>
        <w:t>they could transmute metals. On the contrary, it explicitly stated that the alchemists were “conscious of their ignorance.” Fully aware of the falsity of their claims, they were forced to</w:t>
      </w:r>
      <w:r w:rsidRPr="00854576">
        <w:rPr>
          <w:rFonts w:ascii="Times New Roman" w:hAnsi="Times New Roman"/>
          <w:color w:val="000000"/>
          <w:sz w:val="27"/>
          <w:szCs w:val="27"/>
        </w:rPr>
        <w:t xml:space="preserve"> “</w:t>
      </w:r>
      <w:r w:rsidRPr="00854576">
        <w:rPr>
          <w:rFonts w:ascii="Times New Roman" w:hAnsi="Times New Roman"/>
          <w:color w:val="000000"/>
          <w:sz w:val="24"/>
          <w:szCs w:val="24"/>
        </w:rPr>
        <w:t>pretend that there is real gold or silver from a sophistic transmutation, when [such a transformation] is not in the nature of things.”</w:t>
      </w:r>
      <w:r w:rsidRPr="00854576">
        <w:rPr>
          <w:rFonts w:ascii="Times New Roman" w:hAnsi="Times New Roman"/>
          <w:color w:val="000000"/>
          <w:sz w:val="24"/>
          <w:szCs w:val="24"/>
          <w:vertAlign w:val="superscript"/>
        </w:rPr>
        <w:footnoteReference w:id="38"/>
      </w:r>
      <w:r w:rsidRPr="00854576">
        <w:rPr>
          <w:rFonts w:ascii="Times New Roman" w:hAnsi="Times New Roman"/>
          <w:color w:val="000000"/>
          <w:sz w:val="24"/>
          <w:szCs w:val="24"/>
        </w:rPr>
        <w:t xml:space="preserve"> Although the bull declared the absolute impossibility of </w:t>
      </w:r>
      <w:r w:rsidRPr="007D37C7">
        <w:rPr>
          <w:rFonts w:ascii="Times New Roman" w:hAnsi="Times New Roman"/>
          <w:i/>
          <w:color w:val="000000"/>
          <w:sz w:val="24"/>
          <w:szCs w:val="24"/>
        </w:rPr>
        <w:t>chrysopoeia</w:t>
      </w:r>
      <w:r w:rsidRPr="00854576">
        <w:rPr>
          <w:rFonts w:ascii="Times New Roman" w:hAnsi="Times New Roman"/>
          <w:color w:val="000000"/>
          <w:sz w:val="24"/>
          <w:szCs w:val="24"/>
        </w:rPr>
        <w:t>, it did not suggest that alchemists chose to appeal to demons in order to achieve their ends. They were to be considered as no more than frauds, and should be treated as such.</w:t>
      </w:r>
    </w:p>
    <w:p w14:paraId="1D90434A" w14:textId="77777777" w:rsidR="009526FC" w:rsidRPr="00854576" w:rsidRDefault="009526FC" w:rsidP="004E665F">
      <w:pPr>
        <w:spacing w:after="160" w:line="480" w:lineRule="auto"/>
        <w:ind w:firstLine="720"/>
        <w:rPr>
          <w:rFonts w:ascii="Times New Roman" w:eastAsia="Times New Roman" w:hAnsi="Times New Roman"/>
          <w:sz w:val="24"/>
          <w:szCs w:val="24"/>
        </w:rPr>
      </w:pPr>
      <w:r>
        <w:rPr>
          <w:rFonts w:ascii="Times New Roman" w:eastAsia="Times New Roman" w:hAnsi="Times New Roman"/>
          <w:sz w:val="24"/>
          <w:szCs w:val="24"/>
        </w:rPr>
        <w:t xml:space="preserve">The evidence from the bull suggests that </w:t>
      </w:r>
      <w:r w:rsidRPr="00854576">
        <w:rPr>
          <w:rFonts w:ascii="Times New Roman" w:eastAsia="Times New Roman" w:hAnsi="Times New Roman"/>
          <w:sz w:val="24"/>
          <w:szCs w:val="24"/>
        </w:rPr>
        <w:t>John XXII did not seek to pro</w:t>
      </w:r>
      <w:r>
        <w:rPr>
          <w:rFonts w:ascii="Times New Roman" w:eastAsia="Times New Roman" w:hAnsi="Times New Roman"/>
          <w:sz w:val="24"/>
          <w:szCs w:val="24"/>
        </w:rPr>
        <w:t>secute alchemists on the ground</w:t>
      </w:r>
      <w:r w:rsidRPr="00854576">
        <w:rPr>
          <w:rFonts w:ascii="Times New Roman" w:eastAsia="Times New Roman" w:hAnsi="Times New Roman"/>
          <w:sz w:val="24"/>
          <w:szCs w:val="24"/>
        </w:rPr>
        <w:t xml:space="preserve"> that they were engaged in superstitious or heretical practices</w:t>
      </w:r>
      <w:r>
        <w:rPr>
          <w:rFonts w:ascii="Times New Roman" w:eastAsia="Times New Roman" w:hAnsi="Times New Roman"/>
          <w:sz w:val="24"/>
          <w:szCs w:val="24"/>
        </w:rPr>
        <w:t>.</w:t>
      </w:r>
      <w:r w:rsidR="00024870">
        <w:rPr>
          <w:rFonts w:ascii="Times New Roman" w:eastAsia="Times New Roman" w:hAnsi="Times New Roman"/>
          <w:sz w:val="24"/>
          <w:szCs w:val="24"/>
        </w:rPr>
        <w:t xml:space="preserve"> </w:t>
      </w:r>
      <w:r>
        <w:rPr>
          <w:rFonts w:ascii="Times New Roman" w:eastAsia="Times New Roman" w:hAnsi="Times New Roman"/>
          <w:sz w:val="24"/>
          <w:szCs w:val="24"/>
        </w:rPr>
        <w:t xml:space="preserve">He </w:t>
      </w:r>
      <w:r w:rsidRPr="00854576">
        <w:rPr>
          <w:rFonts w:ascii="Times New Roman" w:eastAsia="Times New Roman" w:hAnsi="Times New Roman"/>
          <w:sz w:val="24"/>
          <w:szCs w:val="24"/>
        </w:rPr>
        <w:t>was</w:t>
      </w:r>
      <w:r w:rsidR="001A5CE0">
        <w:rPr>
          <w:rFonts w:ascii="Times New Roman" w:eastAsia="Times New Roman" w:hAnsi="Times New Roman"/>
          <w:sz w:val="24"/>
          <w:szCs w:val="24"/>
        </w:rPr>
        <w:t xml:space="preserve"> </w:t>
      </w:r>
      <w:r w:rsidRPr="00854576">
        <w:rPr>
          <w:rFonts w:ascii="Times New Roman" w:eastAsia="Times New Roman" w:hAnsi="Times New Roman"/>
          <w:sz w:val="24"/>
          <w:szCs w:val="24"/>
        </w:rPr>
        <w:t>nevertheless responsible for a significant re-evaluation of the status of magic and divination in Christian society. He began this process in 1317, following a failed attempt to use magic to assassinate him</w:t>
      </w:r>
      <w:r>
        <w:rPr>
          <w:rFonts w:ascii="Times New Roman" w:eastAsia="Times New Roman" w:hAnsi="Times New Roman"/>
          <w:sz w:val="24"/>
          <w:szCs w:val="24"/>
        </w:rPr>
        <w:t xml:space="preserve">. </w:t>
      </w:r>
      <w:r w:rsidRPr="00854576">
        <w:rPr>
          <w:rFonts w:ascii="Times New Roman" w:eastAsia="Times New Roman" w:hAnsi="Times New Roman"/>
          <w:sz w:val="24"/>
          <w:szCs w:val="24"/>
        </w:rPr>
        <w:t xml:space="preserve">The following year Cardinal Santa Sabina wrote to a number of </w:t>
      </w:r>
      <w:r w:rsidRPr="00854576">
        <w:rPr>
          <w:rFonts w:ascii="Times New Roman" w:eastAsia="Times New Roman" w:hAnsi="Times New Roman"/>
          <w:sz w:val="24"/>
          <w:szCs w:val="24"/>
        </w:rPr>
        <w:lastRenderedPageBreak/>
        <w:t>local inquisitors and bishops</w:t>
      </w:r>
      <w:r>
        <w:rPr>
          <w:rFonts w:ascii="Times New Roman" w:eastAsia="Times New Roman" w:hAnsi="Times New Roman"/>
          <w:sz w:val="24"/>
          <w:szCs w:val="24"/>
        </w:rPr>
        <w:t>,</w:t>
      </w:r>
      <w:r w:rsidRPr="00854576">
        <w:rPr>
          <w:rFonts w:ascii="Times New Roman" w:eastAsia="Times New Roman" w:hAnsi="Times New Roman"/>
          <w:sz w:val="24"/>
          <w:szCs w:val="24"/>
        </w:rPr>
        <w:t xml:space="preserve"> urging them to take action against particular forms of magic, specifically those that required the magician to </w:t>
      </w:r>
      <w:r>
        <w:rPr>
          <w:rFonts w:ascii="Times New Roman" w:eastAsia="Times New Roman" w:hAnsi="Times New Roman"/>
          <w:sz w:val="24"/>
          <w:szCs w:val="24"/>
        </w:rPr>
        <w:t xml:space="preserve">make </w:t>
      </w:r>
      <w:r w:rsidRPr="00854576">
        <w:rPr>
          <w:rFonts w:ascii="Times New Roman" w:eastAsia="Times New Roman" w:hAnsi="Times New Roman"/>
          <w:sz w:val="24"/>
          <w:szCs w:val="24"/>
        </w:rPr>
        <w:t>sacrifice</w:t>
      </w:r>
      <w:r>
        <w:rPr>
          <w:rFonts w:ascii="Times New Roman" w:eastAsia="Times New Roman" w:hAnsi="Times New Roman"/>
          <w:sz w:val="24"/>
          <w:szCs w:val="24"/>
        </w:rPr>
        <w:t>s</w:t>
      </w:r>
      <w:r w:rsidRPr="00854576">
        <w:rPr>
          <w:rFonts w:ascii="Times New Roman" w:eastAsia="Times New Roman" w:hAnsi="Times New Roman"/>
          <w:sz w:val="24"/>
          <w:szCs w:val="24"/>
        </w:rPr>
        <w:t xml:space="preserve"> to demons or baptise images.</w:t>
      </w:r>
      <w:r w:rsidRPr="00854576">
        <w:rPr>
          <w:rFonts w:ascii="Times New Roman" w:eastAsia="Times New Roman" w:hAnsi="Times New Roman"/>
          <w:sz w:val="24"/>
          <w:szCs w:val="24"/>
          <w:vertAlign w:val="superscript"/>
        </w:rPr>
        <w:footnoteReference w:id="39"/>
      </w:r>
      <w:r w:rsidR="00024870">
        <w:rPr>
          <w:rFonts w:ascii="Times New Roman" w:eastAsia="Times New Roman" w:hAnsi="Times New Roman"/>
          <w:sz w:val="24"/>
          <w:szCs w:val="24"/>
        </w:rPr>
        <w:t xml:space="preserve"> </w:t>
      </w:r>
      <w:r w:rsidRPr="00854576">
        <w:rPr>
          <w:rFonts w:ascii="Times New Roman" w:eastAsia="Times New Roman" w:hAnsi="Times New Roman"/>
          <w:sz w:val="24"/>
          <w:szCs w:val="24"/>
        </w:rPr>
        <w:t xml:space="preserve">Continuing the precedent established in the </w:t>
      </w:r>
      <w:r w:rsidRPr="00854576">
        <w:rPr>
          <w:rFonts w:ascii="Times New Roman" w:eastAsia="Times New Roman" w:hAnsi="Times New Roman"/>
          <w:i/>
          <w:sz w:val="24"/>
          <w:szCs w:val="24"/>
        </w:rPr>
        <w:t>Liber sextus</w:t>
      </w:r>
      <w:r w:rsidRPr="00854576">
        <w:rPr>
          <w:rFonts w:ascii="Times New Roman" w:eastAsia="Times New Roman" w:hAnsi="Times New Roman"/>
          <w:sz w:val="24"/>
          <w:szCs w:val="24"/>
        </w:rPr>
        <w:t>, these letters restricted the definition of illicit magic to those acts that involved an explicit ritual element. They did not encourage the prosecution of other forms of magic, or the further examination of contested operative arts. Indeed, John seemed relatively unconcerned by those operative arts that functioned by ostensibly natural means.</w:t>
      </w:r>
    </w:p>
    <w:p w14:paraId="427227A7" w14:textId="77777777" w:rsidR="009526FC" w:rsidRPr="00854576" w:rsidRDefault="009526FC" w:rsidP="004925EC">
      <w:pPr>
        <w:spacing w:after="160" w:line="480" w:lineRule="auto"/>
        <w:ind w:firstLine="720"/>
        <w:rPr>
          <w:rFonts w:ascii="Times New Roman" w:eastAsia="Times New Roman" w:hAnsi="Times New Roman"/>
          <w:sz w:val="24"/>
          <w:szCs w:val="24"/>
        </w:rPr>
      </w:pPr>
      <w:r>
        <w:rPr>
          <w:rFonts w:ascii="Times New Roman" w:hAnsi="Times New Roman"/>
          <w:sz w:val="24"/>
        </w:rPr>
        <w:t>Although Santa Sabina’s letters urged</w:t>
      </w:r>
      <w:r w:rsidRPr="00854576">
        <w:rPr>
          <w:rFonts w:ascii="Times New Roman" w:hAnsi="Times New Roman"/>
          <w:sz w:val="24"/>
        </w:rPr>
        <w:t xml:space="preserve"> immediate action against necromancers</w:t>
      </w:r>
      <w:r>
        <w:rPr>
          <w:rFonts w:ascii="Times New Roman" w:hAnsi="Times New Roman"/>
          <w:sz w:val="24"/>
        </w:rPr>
        <w:t>, they</w:t>
      </w:r>
      <w:r w:rsidRPr="00854576">
        <w:rPr>
          <w:rFonts w:ascii="Times New Roman" w:hAnsi="Times New Roman"/>
          <w:sz w:val="24"/>
        </w:rPr>
        <w:t xml:space="preserve"> did not pr</w:t>
      </w:r>
      <w:r>
        <w:rPr>
          <w:rFonts w:ascii="Times New Roman" w:hAnsi="Times New Roman"/>
          <w:sz w:val="24"/>
        </w:rPr>
        <w:t xml:space="preserve">oduce a surge of prosecutions. </w:t>
      </w:r>
      <w:r w:rsidRPr="00854576">
        <w:rPr>
          <w:rFonts w:ascii="Times New Roman" w:hAnsi="Times New Roman"/>
          <w:sz w:val="24"/>
        </w:rPr>
        <w:t>One of the recipients, Bernard Gui</w:t>
      </w:r>
      <w:r>
        <w:rPr>
          <w:rFonts w:ascii="Times New Roman" w:hAnsi="Times New Roman"/>
          <w:sz w:val="24"/>
        </w:rPr>
        <w:t>,</w:t>
      </w:r>
      <w:r w:rsidRPr="00854576">
        <w:rPr>
          <w:rFonts w:ascii="Times New Roman" w:hAnsi="Times New Roman"/>
          <w:sz w:val="24"/>
        </w:rPr>
        <w:t xml:space="preserve"> the Inquisitor of Toulouse, later recorded that during his term of office he had overseen the prosecution of some 603 cases. </w:t>
      </w:r>
      <w:r>
        <w:rPr>
          <w:rFonts w:ascii="Times New Roman" w:hAnsi="Times New Roman"/>
          <w:sz w:val="24"/>
        </w:rPr>
        <w:t>The cardinal’s</w:t>
      </w:r>
      <w:r w:rsidRPr="00854576">
        <w:rPr>
          <w:rFonts w:ascii="Times New Roman" w:hAnsi="Times New Roman"/>
          <w:sz w:val="24"/>
        </w:rPr>
        <w:t xml:space="preserve"> entreaties notwithstanding, he tried no one for practising magic.</w:t>
      </w:r>
      <w:r w:rsidRPr="00854576">
        <w:rPr>
          <w:rFonts w:ascii="Times New Roman" w:eastAsia="Times New Roman" w:hAnsi="Times New Roman"/>
          <w:sz w:val="24"/>
          <w:szCs w:val="24"/>
          <w:vertAlign w:val="superscript"/>
        </w:rPr>
        <w:footnoteReference w:id="40"/>
      </w:r>
      <w:r w:rsidRPr="00854576">
        <w:rPr>
          <w:rFonts w:ascii="Times New Roman" w:hAnsi="Times New Roman"/>
          <w:sz w:val="24"/>
        </w:rPr>
        <w:t xml:space="preserve"> Despite their apparently limited effect on Gui’s work as an inquisitor, </w:t>
      </w:r>
      <w:r>
        <w:rPr>
          <w:rFonts w:ascii="Times New Roman" w:hAnsi="Times New Roman"/>
          <w:sz w:val="24"/>
        </w:rPr>
        <w:t>these</w:t>
      </w:r>
      <w:r w:rsidRPr="00854576">
        <w:rPr>
          <w:rFonts w:ascii="Times New Roman" w:hAnsi="Times New Roman"/>
          <w:sz w:val="24"/>
        </w:rPr>
        <w:t xml:space="preserve"> letters may have influenced the production of his inquisitorial manual, the </w:t>
      </w:r>
      <w:r w:rsidRPr="00854576">
        <w:rPr>
          <w:rFonts w:ascii="Times New Roman" w:eastAsia="Times New Roman" w:hAnsi="Times New Roman"/>
          <w:i/>
          <w:sz w:val="24"/>
          <w:szCs w:val="24"/>
        </w:rPr>
        <w:t>Practica inquistionis</w:t>
      </w:r>
      <w:r w:rsidR="001A5CE0">
        <w:rPr>
          <w:rFonts w:ascii="Times New Roman" w:eastAsia="Times New Roman" w:hAnsi="Times New Roman"/>
          <w:i/>
          <w:sz w:val="24"/>
          <w:szCs w:val="24"/>
        </w:rPr>
        <w:t xml:space="preserve"> </w:t>
      </w:r>
      <w:r w:rsidRPr="00854576">
        <w:rPr>
          <w:rFonts w:ascii="Times New Roman" w:eastAsia="Times New Roman" w:hAnsi="Times New Roman"/>
          <w:i/>
          <w:sz w:val="24"/>
          <w:szCs w:val="24"/>
        </w:rPr>
        <w:t>heretice pravitatis</w:t>
      </w:r>
      <w:r w:rsidRPr="00854576">
        <w:rPr>
          <w:rFonts w:ascii="Times New Roman" w:eastAsia="Times New Roman" w:hAnsi="Times New Roman"/>
          <w:sz w:val="24"/>
          <w:szCs w:val="24"/>
        </w:rPr>
        <w:t xml:space="preserve">. Probably completed at some point between 1323 and 1324, it offered a clear guide </w:t>
      </w:r>
      <w:r>
        <w:rPr>
          <w:rFonts w:ascii="Times New Roman" w:eastAsia="Times New Roman" w:hAnsi="Times New Roman"/>
          <w:sz w:val="24"/>
          <w:szCs w:val="24"/>
        </w:rPr>
        <w:t xml:space="preserve">to inquisitorial practice and </w:t>
      </w:r>
      <w:r w:rsidRPr="00854576">
        <w:rPr>
          <w:rFonts w:ascii="Times New Roman" w:eastAsia="Times New Roman" w:hAnsi="Times New Roman"/>
          <w:sz w:val="24"/>
          <w:szCs w:val="24"/>
        </w:rPr>
        <w:t>description</w:t>
      </w:r>
      <w:r>
        <w:rPr>
          <w:rFonts w:ascii="Times New Roman" w:eastAsia="Times New Roman" w:hAnsi="Times New Roman"/>
          <w:sz w:val="24"/>
          <w:szCs w:val="24"/>
        </w:rPr>
        <w:t>s</w:t>
      </w:r>
      <w:r w:rsidRPr="00854576">
        <w:rPr>
          <w:rFonts w:ascii="Times New Roman" w:eastAsia="Times New Roman" w:hAnsi="Times New Roman"/>
          <w:sz w:val="24"/>
          <w:szCs w:val="24"/>
        </w:rPr>
        <w:t xml:space="preserve"> of the various types of h</w:t>
      </w:r>
      <w:r>
        <w:rPr>
          <w:rFonts w:ascii="Times New Roman" w:eastAsia="Times New Roman" w:hAnsi="Times New Roman"/>
          <w:sz w:val="24"/>
          <w:szCs w:val="24"/>
        </w:rPr>
        <w:t>eresy an inquisitor might face, including</w:t>
      </w:r>
      <w:r w:rsidRPr="00854576">
        <w:rPr>
          <w:rFonts w:ascii="Times New Roman" w:eastAsia="Times New Roman" w:hAnsi="Times New Roman"/>
          <w:sz w:val="24"/>
          <w:szCs w:val="24"/>
        </w:rPr>
        <w:t xml:space="preserve"> Catharism and Waldesianism. </w:t>
      </w:r>
      <w:r>
        <w:rPr>
          <w:rFonts w:ascii="Times New Roman" w:eastAsia="Times New Roman" w:hAnsi="Times New Roman"/>
          <w:sz w:val="24"/>
          <w:szCs w:val="24"/>
        </w:rPr>
        <w:t>It also contained</w:t>
      </w:r>
      <w:r w:rsidRPr="00854576">
        <w:rPr>
          <w:rFonts w:ascii="Times New Roman" w:eastAsia="Times New Roman" w:hAnsi="Times New Roman"/>
          <w:sz w:val="24"/>
          <w:szCs w:val="24"/>
        </w:rPr>
        <w:t xml:space="preserve"> a short section entitle</w:t>
      </w:r>
      <w:r>
        <w:rPr>
          <w:rFonts w:ascii="Times New Roman" w:eastAsia="Times New Roman" w:hAnsi="Times New Roman"/>
          <w:sz w:val="24"/>
          <w:szCs w:val="24"/>
        </w:rPr>
        <w:t>d</w:t>
      </w:r>
      <w:r w:rsidR="001A5CE0">
        <w:rPr>
          <w:rFonts w:ascii="Times New Roman" w:eastAsia="Times New Roman" w:hAnsi="Times New Roman"/>
          <w:sz w:val="24"/>
          <w:szCs w:val="24"/>
        </w:rPr>
        <w:t xml:space="preserve"> </w:t>
      </w:r>
      <w:r w:rsidRPr="00024870">
        <w:rPr>
          <w:rFonts w:ascii="Times New Roman" w:eastAsia="Times New Roman" w:hAnsi="Times New Roman"/>
          <w:i/>
          <w:sz w:val="24"/>
          <w:szCs w:val="24"/>
        </w:rPr>
        <w:t>De sortilegis et divinis et invocatoribus</w:t>
      </w:r>
      <w:r w:rsidR="00024870" w:rsidRPr="00024870">
        <w:rPr>
          <w:rFonts w:ascii="Times New Roman" w:eastAsia="Times New Roman" w:hAnsi="Times New Roman"/>
          <w:i/>
          <w:sz w:val="24"/>
          <w:szCs w:val="24"/>
        </w:rPr>
        <w:t xml:space="preserve"> </w:t>
      </w:r>
      <w:r w:rsidRPr="00024870">
        <w:rPr>
          <w:rFonts w:ascii="Times New Roman" w:eastAsia="Times New Roman" w:hAnsi="Times New Roman"/>
          <w:i/>
          <w:sz w:val="24"/>
          <w:szCs w:val="24"/>
        </w:rPr>
        <w:t>demonum</w:t>
      </w:r>
      <w:r w:rsidR="00024870">
        <w:rPr>
          <w:rFonts w:ascii="Times New Roman" w:eastAsia="Times New Roman" w:hAnsi="Times New Roman"/>
          <w:sz w:val="24"/>
          <w:szCs w:val="24"/>
        </w:rPr>
        <w:t xml:space="preserve"> </w:t>
      </w:r>
      <w:r w:rsidRPr="00854576">
        <w:rPr>
          <w:rFonts w:ascii="Times New Roman" w:eastAsia="Times New Roman" w:hAnsi="Times New Roman"/>
          <w:sz w:val="24"/>
          <w:szCs w:val="24"/>
        </w:rPr>
        <w:t>(On Sortilegers, Div</w:t>
      </w:r>
      <w:r w:rsidR="00024870">
        <w:rPr>
          <w:rFonts w:ascii="Times New Roman" w:eastAsia="Times New Roman" w:hAnsi="Times New Roman"/>
          <w:sz w:val="24"/>
          <w:szCs w:val="24"/>
        </w:rPr>
        <w:t xml:space="preserve">iners and Invokers of Demons). </w:t>
      </w:r>
      <w:r w:rsidR="00A10FB8">
        <w:rPr>
          <w:rFonts w:ascii="Times New Roman" w:eastAsia="Times New Roman" w:hAnsi="Times New Roman"/>
          <w:sz w:val="24"/>
          <w:szCs w:val="24"/>
        </w:rPr>
        <w:t>T</w:t>
      </w:r>
      <w:r w:rsidRPr="00854576">
        <w:rPr>
          <w:rFonts w:ascii="Times New Roman" w:eastAsia="Times New Roman" w:hAnsi="Times New Roman"/>
          <w:sz w:val="24"/>
          <w:szCs w:val="24"/>
        </w:rPr>
        <w:t>h</w:t>
      </w:r>
      <w:r>
        <w:rPr>
          <w:rFonts w:ascii="Times New Roman" w:eastAsia="Times New Roman" w:hAnsi="Times New Roman"/>
          <w:sz w:val="24"/>
          <w:szCs w:val="24"/>
        </w:rPr>
        <w:t xml:space="preserve">is discussion of </w:t>
      </w:r>
      <w:r w:rsidRPr="00854576">
        <w:rPr>
          <w:rFonts w:ascii="Times New Roman" w:eastAsia="Times New Roman" w:hAnsi="Times New Roman"/>
          <w:sz w:val="24"/>
          <w:szCs w:val="24"/>
        </w:rPr>
        <w:t xml:space="preserve">magic was </w:t>
      </w:r>
      <w:r w:rsidR="00A10FB8">
        <w:rPr>
          <w:rFonts w:ascii="Times New Roman" w:eastAsia="Times New Roman" w:hAnsi="Times New Roman"/>
          <w:sz w:val="24"/>
          <w:szCs w:val="24"/>
        </w:rPr>
        <w:t xml:space="preserve">brief, but </w:t>
      </w:r>
      <w:r w:rsidRPr="00854576">
        <w:rPr>
          <w:rFonts w:ascii="Times New Roman" w:eastAsia="Times New Roman" w:hAnsi="Times New Roman"/>
          <w:sz w:val="24"/>
          <w:szCs w:val="24"/>
        </w:rPr>
        <w:t>significant because it represented an early example – perhaps the first – of these activities being incorporated i</w:t>
      </w:r>
      <w:r>
        <w:rPr>
          <w:rFonts w:ascii="Times New Roman" w:eastAsia="Times New Roman" w:hAnsi="Times New Roman"/>
          <w:sz w:val="24"/>
          <w:szCs w:val="24"/>
        </w:rPr>
        <w:t xml:space="preserve">nto an inquisitorial handbook. </w:t>
      </w:r>
      <w:r w:rsidRPr="00854576">
        <w:rPr>
          <w:rFonts w:ascii="Times New Roman" w:eastAsia="Times New Roman" w:hAnsi="Times New Roman"/>
          <w:sz w:val="24"/>
          <w:szCs w:val="24"/>
        </w:rPr>
        <w:t>The account of magic it offered echoed the ideas of John XXII. It encouraged inquisitors to seek evidence of magical activity, and advised them to question th</w:t>
      </w:r>
      <w:r>
        <w:rPr>
          <w:rFonts w:ascii="Times New Roman" w:eastAsia="Times New Roman" w:hAnsi="Times New Roman"/>
          <w:sz w:val="24"/>
          <w:szCs w:val="24"/>
        </w:rPr>
        <w:t xml:space="preserve">e </w:t>
      </w:r>
      <w:r>
        <w:rPr>
          <w:rFonts w:ascii="Times New Roman" w:eastAsia="Times New Roman" w:hAnsi="Times New Roman"/>
          <w:sz w:val="24"/>
          <w:szCs w:val="24"/>
        </w:rPr>
        <w:lastRenderedPageBreak/>
        <w:t xml:space="preserve">accused about a range of acts, which included: </w:t>
      </w:r>
      <w:r w:rsidRPr="00854576">
        <w:rPr>
          <w:rFonts w:ascii="Times New Roman" w:eastAsia="Times New Roman" w:hAnsi="Times New Roman"/>
          <w:sz w:val="24"/>
          <w:szCs w:val="24"/>
        </w:rPr>
        <w:t>making the sterile pregnant, making pronouncements about future acts,</w:t>
      </w:r>
      <w:r>
        <w:rPr>
          <w:rFonts w:ascii="Times New Roman" w:eastAsia="Times New Roman" w:hAnsi="Times New Roman"/>
          <w:sz w:val="24"/>
          <w:szCs w:val="24"/>
        </w:rPr>
        <w:t xml:space="preserve"> and</w:t>
      </w:r>
      <w:r w:rsidRPr="00854576">
        <w:rPr>
          <w:rFonts w:ascii="Times New Roman" w:eastAsia="Times New Roman" w:hAnsi="Times New Roman"/>
          <w:sz w:val="24"/>
          <w:szCs w:val="24"/>
        </w:rPr>
        <w:t xml:space="preserve"> baptising images. Unlike Aquinas’s account of superstition in the </w:t>
      </w:r>
      <w:r w:rsidRPr="00854576">
        <w:rPr>
          <w:rFonts w:ascii="Times New Roman" w:eastAsia="Times New Roman" w:hAnsi="Times New Roman"/>
          <w:i/>
          <w:sz w:val="24"/>
          <w:szCs w:val="24"/>
        </w:rPr>
        <w:t>Summa</w:t>
      </w:r>
      <w:r w:rsidRPr="00854576">
        <w:rPr>
          <w:rFonts w:ascii="Times New Roman" w:eastAsia="Times New Roman" w:hAnsi="Times New Roman"/>
          <w:sz w:val="24"/>
          <w:szCs w:val="24"/>
        </w:rPr>
        <w:t>, Gui’s handbook did not articulate a sophisticated rationale for the prosecution of magical or divinatory arts. Just as significantly, it did not consider the legitimacy of operative arts that functioned by contested means such as astrology and alchemy.</w:t>
      </w:r>
      <w:r w:rsidRPr="00854576">
        <w:rPr>
          <w:rFonts w:ascii="Times New Roman" w:eastAsia="Times New Roman" w:hAnsi="Times New Roman"/>
          <w:sz w:val="24"/>
          <w:szCs w:val="24"/>
          <w:vertAlign w:val="superscript"/>
        </w:rPr>
        <w:footnoteReference w:id="41"/>
      </w:r>
    </w:p>
    <w:p w14:paraId="30680D3B" w14:textId="77777777" w:rsidR="009526FC" w:rsidRPr="00285790" w:rsidRDefault="009526FC" w:rsidP="00395691">
      <w:pPr>
        <w:spacing w:after="160" w:line="480" w:lineRule="auto"/>
        <w:ind w:firstLine="720"/>
        <w:rPr>
          <w:rFonts w:ascii="Times New Roman" w:eastAsia="Times New Roman" w:hAnsi="Times New Roman"/>
          <w:sz w:val="24"/>
          <w:szCs w:val="24"/>
          <w:vertAlign w:val="superscript"/>
        </w:rPr>
      </w:pPr>
      <w:r w:rsidRPr="00854576">
        <w:rPr>
          <w:rFonts w:ascii="Times New Roman" w:eastAsia="Times New Roman" w:hAnsi="Times New Roman"/>
          <w:sz w:val="24"/>
          <w:szCs w:val="24"/>
        </w:rPr>
        <w:t>Through</w:t>
      </w:r>
      <w:r>
        <w:rPr>
          <w:rFonts w:ascii="Times New Roman" w:eastAsia="Times New Roman" w:hAnsi="Times New Roman"/>
          <w:sz w:val="24"/>
          <w:szCs w:val="24"/>
        </w:rPr>
        <w:t>out</w:t>
      </w:r>
      <w:r w:rsidRPr="00854576">
        <w:rPr>
          <w:rFonts w:ascii="Times New Roman" w:eastAsia="Times New Roman" w:hAnsi="Times New Roman"/>
          <w:sz w:val="24"/>
          <w:szCs w:val="24"/>
        </w:rPr>
        <w:t xml:space="preserve"> the 1320s</w:t>
      </w:r>
      <w:r>
        <w:rPr>
          <w:rFonts w:ascii="Times New Roman" w:eastAsia="Times New Roman" w:hAnsi="Times New Roman"/>
          <w:sz w:val="24"/>
          <w:szCs w:val="24"/>
        </w:rPr>
        <w:t>,</w:t>
      </w:r>
      <w:r w:rsidRPr="00854576">
        <w:rPr>
          <w:rFonts w:ascii="Times New Roman" w:eastAsia="Times New Roman" w:hAnsi="Times New Roman"/>
          <w:sz w:val="24"/>
          <w:szCs w:val="24"/>
        </w:rPr>
        <w:t xml:space="preserve"> John XXII continued his campaign to eradicate malefic</w:t>
      </w:r>
      <w:r>
        <w:rPr>
          <w:rFonts w:ascii="Times New Roman" w:eastAsia="Times New Roman" w:hAnsi="Times New Roman"/>
          <w:sz w:val="24"/>
          <w:szCs w:val="24"/>
        </w:rPr>
        <w:t xml:space="preserve">ent magic from Christendom. </w:t>
      </w:r>
      <w:r w:rsidRPr="00854576">
        <w:rPr>
          <w:rFonts w:ascii="Times New Roman" w:eastAsia="Times New Roman" w:hAnsi="Times New Roman"/>
          <w:sz w:val="24"/>
          <w:szCs w:val="24"/>
        </w:rPr>
        <w:t>Seeking to reinforce the Church’s ability to prosecute these offences</w:t>
      </w:r>
      <w:r>
        <w:rPr>
          <w:rFonts w:ascii="Times New Roman" w:eastAsia="Times New Roman" w:hAnsi="Times New Roman"/>
          <w:sz w:val="24"/>
          <w:szCs w:val="24"/>
        </w:rPr>
        <w:t>,</w:t>
      </w:r>
      <w:r w:rsidRPr="00854576">
        <w:rPr>
          <w:rFonts w:ascii="Times New Roman" w:eastAsia="Times New Roman" w:hAnsi="Times New Roman"/>
          <w:sz w:val="24"/>
          <w:szCs w:val="24"/>
        </w:rPr>
        <w:t xml:space="preserve"> he appointed a commission of theologians to examine whethe</w:t>
      </w:r>
      <w:r>
        <w:rPr>
          <w:rFonts w:ascii="Times New Roman" w:eastAsia="Times New Roman" w:hAnsi="Times New Roman"/>
          <w:sz w:val="24"/>
          <w:szCs w:val="24"/>
        </w:rPr>
        <w:t>r four specific magical acts</w:t>
      </w:r>
      <w:r w:rsidRPr="00854576">
        <w:rPr>
          <w:rFonts w:ascii="Times New Roman" w:eastAsia="Times New Roman" w:hAnsi="Times New Roman"/>
          <w:sz w:val="24"/>
          <w:szCs w:val="24"/>
        </w:rPr>
        <w:t xml:space="preserve"> should be considered heretical: baptising images; re-baptising children; using the consecrated host to cast spells; </w:t>
      </w:r>
      <w:r>
        <w:rPr>
          <w:rFonts w:ascii="Times New Roman" w:eastAsia="Times New Roman" w:hAnsi="Times New Roman"/>
          <w:sz w:val="24"/>
          <w:szCs w:val="24"/>
        </w:rPr>
        <w:t>and invoking demons. Although none of the commission</w:t>
      </w:r>
      <w:r w:rsidRPr="00854576">
        <w:rPr>
          <w:rFonts w:ascii="Times New Roman" w:eastAsia="Times New Roman" w:hAnsi="Times New Roman"/>
          <w:sz w:val="24"/>
          <w:szCs w:val="24"/>
        </w:rPr>
        <w:t xml:space="preserve"> rejected </w:t>
      </w:r>
      <w:r>
        <w:rPr>
          <w:rFonts w:ascii="Times New Roman" w:eastAsia="Times New Roman" w:hAnsi="Times New Roman"/>
          <w:sz w:val="24"/>
          <w:szCs w:val="24"/>
        </w:rPr>
        <w:t xml:space="preserve">outright </w:t>
      </w:r>
      <w:r w:rsidRPr="00854576">
        <w:rPr>
          <w:rFonts w:ascii="Times New Roman" w:eastAsia="Times New Roman" w:hAnsi="Times New Roman"/>
          <w:sz w:val="24"/>
          <w:szCs w:val="24"/>
        </w:rPr>
        <w:t>the idea that th</w:t>
      </w:r>
      <w:r>
        <w:rPr>
          <w:rFonts w:ascii="Times New Roman" w:eastAsia="Times New Roman" w:hAnsi="Times New Roman"/>
          <w:sz w:val="24"/>
          <w:szCs w:val="24"/>
        </w:rPr>
        <w:t>ese offences were heresies, t</w:t>
      </w:r>
      <w:r w:rsidRPr="00854576">
        <w:rPr>
          <w:rFonts w:ascii="Times New Roman" w:eastAsia="Times New Roman" w:hAnsi="Times New Roman"/>
          <w:sz w:val="24"/>
          <w:szCs w:val="24"/>
        </w:rPr>
        <w:t>he</w:t>
      </w:r>
      <w:r>
        <w:rPr>
          <w:rFonts w:ascii="Times New Roman" w:eastAsia="Times New Roman" w:hAnsi="Times New Roman"/>
          <w:sz w:val="24"/>
          <w:szCs w:val="24"/>
        </w:rPr>
        <w:t>ir views were mixed.</w:t>
      </w:r>
      <w:r w:rsidRPr="00854576">
        <w:rPr>
          <w:rFonts w:ascii="Times New Roman" w:eastAsia="Times New Roman" w:hAnsi="Times New Roman"/>
          <w:sz w:val="24"/>
          <w:szCs w:val="24"/>
        </w:rPr>
        <w:t xml:space="preserve"> In 1326, drawing upon the opinions he had received, John XXII issued a new bull</w:t>
      </w:r>
      <w:r>
        <w:rPr>
          <w:rFonts w:ascii="Times New Roman" w:eastAsia="Times New Roman" w:hAnsi="Times New Roman"/>
          <w:sz w:val="24"/>
          <w:szCs w:val="24"/>
        </w:rPr>
        <w:t>,</w:t>
      </w:r>
      <w:r w:rsidR="00D00370">
        <w:rPr>
          <w:rFonts w:ascii="Times New Roman" w:eastAsia="Times New Roman" w:hAnsi="Times New Roman"/>
          <w:sz w:val="24"/>
          <w:szCs w:val="24"/>
        </w:rPr>
        <w:t xml:space="preserve"> </w:t>
      </w:r>
      <w:r w:rsidRPr="00854576">
        <w:rPr>
          <w:rFonts w:ascii="Times New Roman" w:eastAsia="Times New Roman" w:hAnsi="Times New Roman"/>
          <w:i/>
          <w:sz w:val="24"/>
          <w:szCs w:val="24"/>
        </w:rPr>
        <w:t>Super illius specula</w:t>
      </w:r>
      <w:r>
        <w:rPr>
          <w:rFonts w:ascii="Times New Roman" w:eastAsia="Times New Roman" w:hAnsi="Times New Roman"/>
          <w:sz w:val="24"/>
          <w:szCs w:val="24"/>
        </w:rPr>
        <w:t xml:space="preserve">. </w:t>
      </w:r>
      <w:r w:rsidRPr="00854576">
        <w:rPr>
          <w:rFonts w:ascii="Times New Roman" w:eastAsia="Times New Roman" w:hAnsi="Times New Roman"/>
          <w:sz w:val="24"/>
          <w:szCs w:val="24"/>
        </w:rPr>
        <w:t xml:space="preserve">It condemned the practice of worshipping or offering sacrifices to demons, and proscribed a series of specific practices including producing images, </w:t>
      </w:r>
      <w:r>
        <w:rPr>
          <w:rFonts w:ascii="Times New Roman" w:eastAsia="Times New Roman" w:hAnsi="Times New Roman"/>
          <w:sz w:val="24"/>
          <w:szCs w:val="24"/>
        </w:rPr>
        <w:t>and binding demons into rings or</w:t>
      </w:r>
      <w:r w:rsidRPr="00854576">
        <w:rPr>
          <w:rFonts w:ascii="Times New Roman" w:eastAsia="Times New Roman" w:hAnsi="Times New Roman"/>
          <w:sz w:val="24"/>
          <w:szCs w:val="24"/>
        </w:rPr>
        <w:t xml:space="preserve"> phials for the purpose of acquiring information or soliciting assistance. Most significantly, it threatened those who did not abide by these judgements with “each and every punishment</w:t>
      </w:r>
      <w:r>
        <w:rPr>
          <w:rFonts w:ascii="Times New Roman" w:eastAsia="Times New Roman" w:hAnsi="Times New Roman"/>
          <w:sz w:val="24"/>
          <w:szCs w:val="24"/>
        </w:rPr>
        <w:t xml:space="preserve">, </w:t>
      </w:r>
      <w:r w:rsidRPr="009229B5">
        <w:rPr>
          <w:rFonts w:ascii="Times New Roman" w:eastAsia="Times New Roman" w:hAnsi="Times New Roman"/>
          <w:sz w:val="24"/>
          <w:szCs w:val="24"/>
        </w:rPr>
        <w:t xml:space="preserve">in addition to </w:t>
      </w:r>
      <w:r>
        <w:rPr>
          <w:rFonts w:ascii="Times New Roman" w:eastAsia="Times New Roman" w:hAnsi="Times New Roman"/>
          <w:sz w:val="24"/>
          <w:szCs w:val="24"/>
        </w:rPr>
        <w:t>the simple</w:t>
      </w:r>
      <w:r w:rsidRPr="009229B5">
        <w:rPr>
          <w:rFonts w:ascii="Times New Roman" w:eastAsia="Times New Roman" w:hAnsi="Times New Roman"/>
          <w:sz w:val="24"/>
          <w:szCs w:val="24"/>
        </w:rPr>
        <w:t xml:space="preserve"> confiscation of [their] goods</w:t>
      </w:r>
      <w:r w:rsidR="007D37C7">
        <w:rPr>
          <w:rFonts w:ascii="Times New Roman" w:eastAsia="Times New Roman" w:hAnsi="Times New Roman"/>
          <w:sz w:val="24"/>
          <w:szCs w:val="24"/>
        </w:rPr>
        <w:t>,</w:t>
      </w:r>
      <w:r w:rsidR="00481006">
        <w:rPr>
          <w:rFonts w:ascii="Times New Roman" w:eastAsia="Times New Roman" w:hAnsi="Times New Roman"/>
          <w:sz w:val="24"/>
          <w:szCs w:val="24"/>
        </w:rPr>
        <w:t xml:space="preserve"> </w:t>
      </w:r>
      <w:r w:rsidR="007D37C7">
        <w:rPr>
          <w:rFonts w:ascii="Times New Roman" w:eastAsia="Times New Roman" w:hAnsi="Times New Roman"/>
          <w:sz w:val="24"/>
          <w:szCs w:val="24"/>
        </w:rPr>
        <w:t>which</w:t>
      </w:r>
      <w:r w:rsidRPr="00854576">
        <w:rPr>
          <w:rFonts w:ascii="Times New Roman" w:eastAsia="Times New Roman" w:hAnsi="Times New Roman"/>
          <w:sz w:val="24"/>
          <w:szCs w:val="24"/>
        </w:rPr>
        <w:t xml:space="preserve"> heretics</w:t>
      </w:r>
      <w:r w:rsidR="00FF6B1D">
        <w:rPr>
          <w:rFonts w:ascii="Times New Roman" w:eastAsia="Times New Roman" w:hAnsi="Times New Roman"/>
          <w:sz w:val="24"/>
          <w:szCs w:val="24"/>
        </w:rPr>
        <w:t xml:space="preserve"> </w:t>
      </w:r>
      <w:r w:rsidRPr="00854576">
        <w:rPr>
          <w:rFonts w:ascii="Times New Roman" w:eastAsia="Times New Roman" w:hAnsi="Times New Roman"/>
          <w:sz w:val="24"/>
          <w:szCs w:val="24"/>
        </w:rPr>
        <w:t>deserve by law.”</w:t>
      </w:r>
      <w:r w:rsidRPr="00854576">
        <w:rPr>
          <w:rFonts w:ascii="Times New Roman" w:eastAsia="Times New Roman" w:hAnsi="Times New Roman"/>
          <w:sz w:val="24"/>
          <w:szCs w:val="24"/>
          <w:vertAlign w:val="superscript"/>
        </w:rPr>
        <w:footnoteReference w:id="42"/>
      </w:r>
      <w:r w:rsidR="00AB08EF">
        <w:rPr>
          <w:rFonts w:ascii="Times New Roman" w:eastAsia="Times New Roman" w:hAnsi="Times New Roman"/>
          <w:sz w:val="24"/>
          <w:szCs w:val="24"/>
        </w:rPr>
        <w:t xml:space="preserve"> </w:t>
      </w:r>
      <w:r w:rsidRPr="00854576">
        <w:rPr>
          <w:rFonts w:ascii="Times New Roman" w:eastAsia="Times New Roman" w:hAnsi="Times New Roman"/>
          <w:sz w:val="24"/>
          <w:szCs w:val="24"/>
        </w:rPr>
        <w:t xml:space="preserve">This bull therefore provided a rationale for the inquisition to proceed against forms of </w:t>
      </w:r>
      <w:r w:rsidRPr="00854576">
        <w:rPr>
          <w:rFonts w:ascii="Times New Roman" w:eastAsia="Times New Roman" w:hAnsi="Times New Roman"/>
          <w:sz w:val="24"/>
          <w:szCs w:val="24"/>
        </w:rPr>
        <w:lastRenderedPageBreak/>
        <w:t>magic with explicit ritual elements, but it made no specific mention of alchemy, or of any other arts that functioned by contested means.</w:t>
      </w:r>
    </w:p>
    <w:p w14:paraId="22D068ED" w14:textId="77777777" w:rsidR="009526FC" w:rsidRPr="00854576" w:rsidRDefault="009526FC" w:rsidP="004E665F">
      <w:pPr>
        <w:spacing w:after="160" w:line="480" w:lineRule="auto"/>
        <w:ind w:firstLine="720"/>
        <w:rPr>
          <w:rFonts w:ascii="Times New Roman" w:hAnsi="Times New Roman"/>
          <w:sz w:val="24"/>
        </w:rPr>
      </w:pPr>
      <w:r w:rsidRPr="00854576">
        <w:rPr>
          <w:rFonts w:ascii="Times New Roman" w:hAnsi="Times New Roman"/>
          <w:sz w:val="24"/>
        </w:rPr>
        <w:t>Some contemporaries were sceptical of John XXII’s attempt</w:t>
      </w:r>
      <w:r>
        <w:rPr>
          <w:rFonts w:ascii="Times New Roman" w:hAnsi="Times New Roman"/>
          <w:sz w:val="24"/>
        </w:rPr>
        <w:t>s</w:t>
      </w:r>
      <w:r w:rsidRPr="00854576">
        <w:rPr>
          <w:rFonts w:ascii="Times New Roman" w:hAnsi="Times New Roman"/>
          <w:sz w:val="24"/>
        </w:rPr>
        <w:t xml:space="preserve"> to combat demonic ma</w:t>
      </w:r>
      <w:r>
        <w:rPr>
          <w:rFonts w:ascii="Times New Roman" w:hAnsi="Times New Roman"/>
          <w:sz w:val="24"/>
        </w:rPr>
        <w:t xml:space="preserve">gic. Others embraced them, however. </w:t>
      </w:r>
      <w:r w:rsidRPr="00854576">
        <w:rPr>
          <w:rFonts w:ascii="Times New Roman" w:hAnsi="Times New Roman"/>
          <w:sz w:val="24"/>
        </w:rPr>
        <w:t>The influence of his ideas was evident in the work of the Dominican friar and Inquisitor General of Aragon, Nicholas Eymerich</w:t>
      </w:r>
      <w:r w:rsidR="001F1A82">
        <w:rPr>
          <w:rFonts w:ascii="Times New Roman" w:hAnsi="Times New Roman"/>
          <w:sz w:val="24"/>
        </w:rPr>
        <w:t xml:space="preserve"> (1316</w:t>
      </w:r>
      <w:r w:rsidR="008D0463">
        <w:rPr>
          <w:rFonts w:ascii="Times New Roman" w:hAnsi="Times New Roman"/>
          <w:sz w:val="24"/>
        </w:rPr>
        <w:t>–13</w:t>
      </w:r>
      <w:r w:rsidR="001F1A82">
        <w:rPr>
          <w:rFonts w:ascii="Times New Roman" w:hAnsi="Times New Roman"/>
          <w:sz w:val="24"/>
        </w:rPr>
        <w:t>99)</w:t>
      </w:r>
      <w:r w:rsidRPr="00854576">
        <w:rPr>
          <w:rFonts w:ascii="Times New Roman" w:hAnsi="Times New Roman"/>
          <w:sz w:val="24"/>
        </w:rPr>
        <w:t xml:space="preserve">, who in 1376 wrote perhaps the most influential medieval inquisitorial handbook, </w:t>
      </w:r>
      <w:r w:rsidRPr="00854576">
        <w:rPr>
          <w:rFonts w:ascii="Times New Roman" w:hAnsi="Times New Roman"/>
          <w:i/>
          <w:sz w:val="24"/>
        </w:rPr>
        <w:t>Directorium</w:t>
      </w:r>
      <w:r w:rsidR="00FF6B1D">
        <w:rPr>
          <w:rFonts w:ascii="Times New Roman" w:hAnsi="Times New Roman"/>
          <w:i/>
          <w:sz w:val="24"/>
        </w:rPr>
        <w:t xml:space="preserve"> </w:t>
      </w:r>
      <w:r w:rsidRPr="00854576">
        <w:rPr>
          <w:rFonts w:ascii="Times New Roman" w:hAnsi="Times New Roman"/>
          <w:i/>
          <w:sz w:val="24"/>
        </w:rPr>
        <w:t>inquisitorum</w:t>
      </w:r>
      <w:r>
        <w:rPr>
          <w:rFonts w:ascii="Times New Roman" w:hAnsi="Times New Roman"/>
          <w:sz w:val="24"/>
        </w:rPr>
        <w:t xml:space="preserve">. </w:t>
      </w:r>
      <w:r w:rsidRPr="00EC7D81">
        <w:rPr>
          <w:rFonts w:ascii="Times New Roman" w:hAnsi="Times New Roman"/>
          <w:sz w:val="24"/>
        </w:rPr>
        <w:t>In t</w:t>
      </w:r>
      <w:r>
        <w:rPr>
          <w:rFonts w:ascii="Times New Roman" w:hAnsi="Times New Roman"/>
          <w:sz w:val="24"/>
        </w:rPr>
        <w:t>he second part</w:t>
      </w:r>
      <w:r w:rsidRPr="00854576">
        <w:rPr>
          <w:rFonts w:ascii="Times New Roman" w:hAnsi="Times New Roman"/>
          <w:sz w:val="24"/>
        </w:rPr>
        <w:t xml:space="preserve"> of the text, he tackled the question of the inquisitor’s authority to investigate cases of magic and divination.</w:t>
      </w:r>
      <w:r w:rsidRPr="00854576">
        <w:rPr>
          <w:rFonts w:ascii="Times New Roman" w:hAnsi="Times New Roman"/>
          <w:sz w:val="24"/>
          <w:vertAlign w:val="superscript"/>
        </w:rPr>
        <w:footnoteReference w:id="43"/>
      </w:r>
      <w:r w:rsidR="00481006">
        <w:rPr>
          <w:rFonts w:ascii="Times New Roman" w:hAnsi="Times New Roman"/>
          <w:sz w:val="24"/>
        </w:rPr>
        <w:t xml:space="preserve"> </w:t>
      </w:r>
      <w:r w:rsidRPr="00854576">
        <w:rPr>
          <w:rFonts w:ascii="Times New Roman" w:hAnsi="Times New Roman"/>
          <w:sz w:val="24"/>
        </w:rPr>
        <w:t>Eymerich’s defence of the inquisitor’s right to investigate magic and divination was constructed around a very particular und</w:t>
      </w:r>
      <w:r>
        <w:rPr>
          <w:rFonts w:ascii="Times New Roman" w:hAnsi="Times New Roman"/>
          <w:sz w:val="24"/>
        </w:rPr>
        <w:t xml:space="preserve">erstanding of these practices. </w:t>
      </w:r>
      <w:r w:rsidRPr="00854576">
        <w:rPr>
          <w:rFonts w:ascii="Times New Roman" w:hAnsi="Times New Roman"/>
          <w:sz w:val="24"/>
        </w:rPr>
        <w:t xml:space="preserve">Above all he wanted to defend the inquisitors’ right to prosecute forms of magic that involved an explicit ritual element, for example, the theurgic practices described in texts such as the </w:t>
      </w:r>
      <w:r w:rsidRPr="00854576">
        <w:rPr>
          <w:rFonts w:ascii="Times New Roman" w:hAnsi="Times New Roman"/>
          <w:i/>
          <w:sz w:val="24"/>
        </w:rPr>
        <w:t>Clavicula</w:t>
      </w:r>
      <w:r w:rsidR="00FF6B1D">
        <w:rPr>
          <w:rFonts w:ascii="Times New Roman" w:hAnsi="Times New Roman"/>
          <w:i/>
          <w:sz w:val="24"/>
        </w:rPr>
        <w:t xml:space="preserve"> </w:t>
      </w:r>
      <w:r w:rsidRPr="00854576">
        <w:rPr>
          <w:rFonts w:ascii="Times New Roman" w:hAnsi="Times New Roman"/>
          <w:i/>
          <w:sz w:val="24"/>
        </w:rPr>
        <w:t>salomonis</w:t>
      </w:r>
      <w:r>
        <w:rPr>
          <w:rFonts w:ascii="Times New Roman" w:hAnsi="Times New Roman"/>
          <w:sz w:val="24"/>
        </w:rPr>
        <w:t xml:space="preserve">. </w:t>
      </w:r>
      <w:r w:rsidRPr="00854576">
        <w:rPr>
          <w:rFonts w:ascii="Times New Roman" w:hAnsi="Times New Roman"/>
          <w:sz w:val="24"/>
        </w:rPr>
        <w:t xml:space="preserve">He argued that the inquisitor had the right to investigate all such cases because they involved offering either </w:t>
      </w:r>
      <w:r w:rsidRPr="00854576">
        <w:rPr>
          <w:rFonts w:ascii="Times New Roman" w:hAnsi="Times New Roman"/>
          <w:i/>
          <w:sz w:val="24"/>
        </w:rPr>
        <w:t>dulia</w:t>
      </w:r>
      <w:r w:rsidRPr="00854576">
        <w:rPr>
          <w:rFonts w:ascii="Times New Roman" w:hAnsi="Times New Roman"/>
          <w:sz w:val="24"/>
        </w:rPr>
        <w:t xml:space="preserve"> or </w:t>
      </w:r>
      <w:r w:rsidRPr="00854576">
        <w:rPr>
          <w:rFonts w:ascii="Times New Roman" w:hAnsi="Times New Roman"/>
          <w:i/>
          <w:sz w:val="24"/>
        </w:rPr>
        <w:t>latria</w:t>
      </w:r>
      <w:r>
        <w:rPr>
          <w:rFonts w:ascii="Times New Roman" w:hAnsi="Times New Roman"/>
          <w:sz w:val="24"/>
        </w:rPr>
        <w:t xml:space="preserve"> to demons. </w:t>
      </w:r>
      <w:r w:rsidRPr="00854576">
        <w:rPr>
          <w:rFonts w:ascii="Times New Roman" w:hAnsi="Times New Roman"/>
          <w:sz w:val="24"/>
        </w:rPr>
        <w:t xml:space="preserve">To support his case Eymerich drew upon the arguments of </w:t>
      </w:r>
      <w:r>
        <w:rPr>
          <w:rFonts w:ascii="Times New Roman" w:hAnsi="Times New Roman"/>
          <w:sz w:val="24"/>
        </w:rPr>
        <w:t xml:space="preserve">a </w:t>
      </w:r>
      <w:r w:rsidRPr="00854576">
        <w:rPr>
          <w:rFonts w:ascii="Times New Roman" w:hAnsi="Times New Roman"/>
          <w:sz w:val="24"/>
        </w:rPr>
        <w:t>series of theological and legal authorities, in</w:t>
      </w:r>
      <w:r>
        <w:rPr>
          <w:rFonts w:ascii="Times New Roman" w:hAnsi="Times New Roman"/>
          <w:sz w:val="24"/>
        </w:rPr>
        <w:t xml:space="preserve">cluding Augustine and Aquinas. </w:t>
      </w:r>
      <w:r w:rsidRPr="00854576">
        <w:rPr>
          <w:rFonts w:ascii="Times New Roman" w:hAnsi="Times New Roman"/>
          <w:sz w:val="24"/>
        </w:rPr>
        <w:t xml:space="preserve">Drawing on arguments that they had advanced, in </w:t>
      </w:r>
      <w:r w:rsidRPr="00854576">
        <w:rPr>
          <w:rFonts w:ascii="Times New Roman" w:hAnsi="Times New Roman"/>
          <w:i/>
          <w:sz w:val="24"/>
        </w:rPr>
        <w:t>De civitate Dei</w:t>
      </w:r>
      <w:r w:rsidRPr="00854576">
        <w:rPr>
          <w:rFonts w:ascii="Times New Roman" w:hAnsi="Times New Roman"/>
          <w:sz w:val="24"/>
        </w:rPr>
        <w:t xml:space="preserve"> and a commentary on the book of </w:t>
      </w:r>
      <w:r w:rsidRPr="00854576">
        <w:rPr>
          <w:rFonts w:ascii="Times New Roman" w:hAnsi="Times New Roman"/>
          <w:i/>
          <w:sz w:val="24"/>
        </w:rPr>
        <w:t>Isiah</w:t>
      </w:r>
      <w:r w:rsidR="007D37C7">
        <w:rPr>
          <w:rFonts w:ascii="Times New Roman" w:hAnsi="Times New Roman"/>
          <w:i/>
          <w:sz w:val="24"/>
        </w:rPr>
        <w:t xml:space="preserve"> </w:t>
      </w:r>
      <w:r w:rsidR="007D37C7">
        <w:rPr>
          <w:rFonts w:ascii="Times New Roman" w:hAnsi="Times New Roman"/>
          <w:sz w:val="24"/>
        </w:rPr>
        <w:t>respectively</w:t>
      </w:r>
      <w:r w:rsidRPr="00854576">
        <w:rPr>
          <w:rFonts w:ascii="Times New Roman" w:hAnsi="Times New Roman"/>
          <w:sz w:val="24"/>
        </w:rPr>
        <w:t>, he showed that they had both condemned those who made conta</w:t>
      </w:r>
      <w:r>
        <w:rPr>
          <w:rFonts w:ascii="Times New Roman" w:hAnsi="Times New Roman"/>
          <w:sz w:val="24"/>
        </w:rPr>
        <w:t>ct with demons to work effects.</w:t>
      </w:r>
      <w:r w:rsidRPr="00854576">
        <w:rPr>
          <w:rFonts w:ascii="Times New Roman" w:hAnsi="Times New Roman"/>
          <w:sz w:val="24"/>
        </w:rPr>
        <w:t xml:space="preserve"> He did not, however, draw attention to the fact that Augustine and Aquinas had considered these offences to be </w:t>
      </w:r>
      <w:r>
        <w:rPr>
          <w:rFonts w:ascii="Times New Roman" w:hAnsi="Times New Roman"/>
          <w:sz w:val="24"/>
        </w:rPr>
        <w:t>superstitions and not heresies.</w:t>
      </w:r>
      <w:r w:rsidRPr="00854576">
        <w:rPr>
          <w:rFonts w:ascii="Times New Roman" w:hAnsi="Times New Roman"/>
          <w:sz w:val="24"/>
        </w:rPr>
        <w:t xml:space="preserve"> Eymerich then proceeded to advance arguments derived from papal decrees and conciliar decisions, a list that culminated in the </w:t>
      </w:r>
      <w:r w:rsidRPr="00854576">
        <w:rPr>
          <w:rFonts w:ascii="Times New Roman" w:hAnsi="Times New Roman"/>
          <w:i/>
          <w:sz w:val="24"/>
        </w:rPr>
        <w:t>Super illius specula</w:t>
      </w:r>
      <w:r>
        <w:rPr>
          <w:rFonts w:ascii="Times New Roman" w:hAnsi="Times New Roman"/>
          <w:sz w:val="24"/>
        </w:rPr>
        <w:t>,</w:t>
      </w:r>
      <w:r w:rsidR="00024870">
        <w:rPr>
          <w:rFonts w:ascii="Times New Roman" w:hAnsi="Times New Roman"/>
          <w:sz w:val="24"/>
        </w:rPr>
        <w:t xml:space="preserve"> </w:t>
      </w:r>
      <w:r w:rsidRPr="00854576">
        <w:rPr>
          <w:rFonts w:ascii="Times New Roman" w:hAnsi="Times New Roman"/>
          <w:sz w:val="24"/>
        </w:rPr>
        <w:t>w</w:t>
      </w:r>
      <w:r>
        <w:rPr>
          <w:rFonts w:ascii="Times New Roman" w:hAnsi="Times New Roman"/>
          <w:sz w:val="24"/>
        </w:rPr>
        <w:t>hich he quoted in its entirety.</w:t>
      </w:r>
      <w:r w:rsidRPr="00854576">
        <w:rPr>
          <w:rFonts w:ascii="Times New Roman" w:hAnsi="Times New Roman"/>
          <w:sz w:val="24"/>
        </w:rPr>
        <w:t xml:space="preserve"> Eymerich </w:t>
      </w:r>
      <w:r w:rsidR="008D0463">
        <w:rPr>
          <w:rFonts w:ascii="Times New Roman" w:hAnsi="Times New Roman"/>
          <w:sz w:val="24"/>
        </w:rPr>
        <w:t>thus</w:t>
      </w:r>
      <w:r w:rsidRPr="00854576">
        <w:rPr>
          <w:rFonts w:ascii="Times New Roman" w:hAnsi="Times New Roman"/>
          <w:sz w:val="24"/>
        </w:rPr>
        <w:t xml:space="preserve"> presented his selected arguments – including those of Augustine and Aquinas </w:t>
      </w:r>
      <w:r>
        <w:rPr>
          <w:rFonts w:ascii="Times New Roman" w:hAnsi="Times New Roman"/>
          <w:sz w:val="24"/>
        </w:rPr>
        <w:t>–</w:t>
      </w:r>
      <w:r w:rsidRPr="00854576">
        <w:rPr>
          <w:rFonts w:ascii="Times New Roman" w:hAnsi="Times New Roman"/>
          <w:sz w:val="24"/>
        </w:rPr>
        <w:t xml:space="preserve"> as though they all led up to and unequivocally </w:t>
      </w:r>
      <w:r w:rsidRPr="00854576">
        <w:rPr>
          <w:rFonts w:ascii="Times New Roman" w:hAnsi="Times New Roman"/>
          <w:sz w:val="24"/>
        </w:rPr>
        <w:lastRenderedPageBreak/>
        <w:t xml:space="preserve">supported the </w:t>
      </w:r>
      <w:r w:rsidR="007D37C7">
        <w:rPr>
          <w:rFonts w:ascii="Times New Roman" w:hAnsi="Times New Roman"/>
          <w:sz w:val="24"/>
        </w:rPr>
        <w:t xml:space="preserve">conclusion of the </w:t>
      </w:r>
      <w:r w:rsidRPr="00854576">
        <w:rPr>
          <w:rFonts w:ascii="Times New Roman" w:hAnsi="Times New Roman"/>
          <w:i/>
          <w:sz w:val="24"/>
        </w:rPr>
        <w:t>Super illius specula</w:t>
      </w:r>
      <w:r w:rsidRPr="00854576">
        <w:rPr>
          <w:rFonts w:ascii="Times New Roman" w:hAnsi="Times New Roman"/>
          <w:sz w:val="24"/>
        </w:rPr>
        <w:t>’s conclusion that magical offences requiring the invocation of demons should be considered a heresy.</w:t>
      </w:r>
      <w:r w:rsidRPr="00854576">
        <w:rPr>
          <w:rFonts w:ascii="Times New Roman" w:hAnsi="Times New Roman"/>
          <w:sz w:val="24"/>
          <w:vertAlign w:val="superscript"/>
        </w:rPr>
        <w:footnoteReference w:id="44"/>
      </w:r>
    </w:p>
    <w:p w14:paraId="3056136E" w14:textId="77777777" w:rsidR="00897DEA" w:rsidRDefault="009526FC" w:rsidP="004E665F">
      <w:pPr>
        <w:spacing w:after="160" w:line="480" w:lineRule="auto"/>
        <w:ind w:firstLine="720"/>
        <w:rPr>
          <w:rFonts w:ascii="Times New Roman" w:hAnsi="Times New Roman"/>
          <w:sz w:val="24"/>
        </w:rPr>
      </w:pPr>
      <w:r w:rsidRPr="00854576">
        <w:rPr>
          <w:rFonts w:ascii="Times New Roman" w:hAnsi="Times New Roman"/>
          <w:sz w:val="24"/>
        </w:rPr>
        <w:t xml:space="preserve">Eymerich </w:t>
      </w:r>
      <w:r>
        <w:rPr>
          <w:rFonts w:ascii="Times New Roman" w:hAnsi="Times New Roman"/>
          <w:sz w:val="24"/>
        </w:rPr>
        <w:t xml:space="preserve">continued by offering </w:t>
      </w:r>
      <w:r w:rsidRPr="00854576">
        <w:rPr>
          <w:rFonts w:ascii="Times New Roman" w:hAnsi="Times New Roman"/>
          <w:sz w:val="24"/>
        </w:rPr>
        <w:t xml:space="preserve">a more detailed discussion of which particular offences the </w:t>
      </w:r>
      <w:r>
        <w:rPr>
          <w:rFonts w:ascii="Times New Roman" w:hAnsi="Times New Roman"/>
          <w:sz w:val="24"/>
        </w:rPr>
        <w:t xml:space="preserve">inquisitor should investigate. </w:t>
      </w:r>
      <w:r w:rsidRPr="00854576">
        <w:rPr>
          <w:rFonts w:ascii="Times New Roman" w:hAnsi="Times New Roman"/>
          <w:sz w:val="24"/>
        </w:rPr>
        <w:t>Again he invoked the authority of Augustine and Aquinas, but he</w:t>
      </w:r>
      <w:r>
        <w:rPr>
          <w:rFonts w:ascii="Times New Roman" w:hAnsi="Times New Roman"/>
          <w:sz w:val="24"/>
        </w:rPr>
        <w:t xml:space="preserve"> did so in a selective manner. </w:t>
      </w:r>
      <w:r w:rsidRPr="00854576">
        <w:rPr>
          <w:rFonts w:ascii="Times New Roman" w:hAnsi="Times New Roman"/>
          <w:sz w:val="24"/>
        </w:rPr>
        <w:t xml:space="preserve">His reading of Aquinas’s corpus was also </w:t>
      </w:r>
      <w:r>
        <w:rPr>
          <w:rFonts w:ascii="Times New Roman" w:hAnsi="Times New Roman"/>
          <w:sz w:val="24"/>
        </w:rPr>
        <w:t xml:space="preserve">notably limited. </w:t>
      </w:r>
      <w:r w:rsidRPr="00854576">
        <w:rPr>
          <w:rFonts w:ascii="Times New Roman" w:hAnsi="Times New Roman"/>
          <w:sz w:val="24"/>
        </w:rPr>
        <w:t xml:space="preserve">He did not refer directly to the detailed discussion of superstition that Aquinas provided in the </w:t>
      </w:r>
      <w:r w:rsidRPr="00854576">
        <w:rPr>
          <w:rFonts w:ascii="Times New Roman" w:hAnsi="Times New Roman"/>
          <w:i/>
          <w:sz w:val="24"/>
        </w:rPr>
        <w:t>Summa theologica</w:t>
      </w:r>
      <w:r w:rsidRPr="00854576">
        <w:rPr>
          <w:rFonts w:ascii="Times New Roman" w:hAnsi="Times New Roman"/>
          <w:sz w:val="24"/>
        </w:rPr>
        <w:t xml:space="preserve">, but instead cited texts such as </w:t>
      </w:r>
      <w:r w:rsidRPr="00854576">
        <w:rPr>
          <w:rFonts w:ascii="Times New Roman" w:hAnsi="Times New Roman"/>
          <w:i/>
          <w:sz w:val="24"/>
        </w:rPr>
        <w:t>Scriptum super sententiis</w:t>
      </w:r>
      <w:r w:rsidRPr="00854576">
        <w:rPr>
          <w:rFonts w:ascii="Times New Roman" w:hAnsi="Times New Roman"/>
          <w:sz w:val="24"/>
        </w:rPr>
        <w:t>. In the process</w:t>
      </w:r>
      <w:r>
        <w:rPr>
          <w:rFonts w:ascii="Times New Roman" w:hAnsi="Times New Roman"/>
          <w:sz w:val="24"/>
        </w:rPr>
        <w:t>,</w:t>
      </w:r>
      <w:r w:rsidRPr="00854576">
        <w:rPr>
          <w:rFonts w:ascii="Times New Roman" w:hAnsi="Times New Roman"/>
          <w:sz w:val="24"/>
        </w:rPr>
        <w:t xml:space="preserve"> Eymerich constructed </w:t>
      </w:r>
      <w:r>
        <w:rPr>
          <w:rFonts w:ascii="Times New Roman" w:hAnsi="Times New Roman"/>
          <w:sz w:val="24"/>
        </w:rPr>
        <w:t>his own</w:t>
      </w:r>
      <w:r w:rsidRPr="00854576">
        <w:rPr>
          <w:rFonts w:ascii="Times New Roman" w:hAnsi="Times New Roman"/>
          <w:sz w:val="24"/>
        </w:rPr>
        <w:t xml:space="preserve"> version of Thomist orthodoxy, </w:t>
      </w:r>
      <w:r>
        <w:rPr>
          <w:rFonts w:ascii="Times New Roman" w:hAnsi="Times New Roman"/>
          <w:sz w:val="24"/>
        </w:rPr>
        <w:t xml:space="preserve">which </w:t>
      </w:r>
      <w:r w:rsidRPr="00854576">
        <w:rPr>
          <w:rFonts w:ascii="Times New Roman" w:hAnsi="Times New Roman"/>
          <w:sz w:val="24"/>
        </w:rPr>
        <w:t>at times</w:t>
      </w:r>
      <w:r w:rsidR="00FD7B56">
        <w:rPr>
          <w:rFonts w:ascii="Times New Roman" w:hAnsi="Times New Roman"/>
          <w:sz w:val="24"/>
        </w:rPr>
        <w:t xml:space="preserve"> </w:t>
      </w:r>
      <w:r w:rsidRPr="00854576">
        <w:rPr>
          <w:rFonts w:ascii="Times New Roman" w:hAnsi="Times New Roman"/>
          <w:sz w:val="24"/>
        </w:rPr>
        <w:t>departed from Aquinas’s thought. On the one hand he broadly supported Augustine and Aquinas’s central contention that it was acceptable for humans to perform arts that functioned by natural means, whilst rejecting those that required the operat</w:t>
      </w:r>
      <w:r>
        <w:rPr>
          <w:rFonts w:ascii="Times New Roman" w:hAnsi="Times New Roman"/>
          <w:sz w:val="24"/>
        </w:rPr>
        <w:t xml:space="preserve">or to make a pact with demons. </w:t>
      </w:r>
      <w:r w:rsidRPr="00854576">
        <w:rPr>
          <w:rFonts w:ascii="Times New Roman" w:hAnsi="Times New Roman"/>
          <w:sz w:val="24"/>
        </w:rPr>
        <w:t xml:space="preserve">On the other, he drew upon the tradition established in canon law that inquisitors should </w:t>
      </w:r>
      <w:r>
        <w:rPr>
          <w:rFonts w:ascii="Times New Roman" w:hAnsi="Times New Roman"/>
          <w:sz w:val="24"/>
        </w:rPr>
        <w:t xml:space="preserve">only </w:t>
      </w:r>
      <w:r w:rsidRPr="00854576">
        <w:rPr>
          <w:rFonts w:ascii="Times New Roman" w:hAnsi="Times New Roman"/>
          <w:sz w:val="24"/>
        </w:rPr>
        <w:t xml:space="preserve">investigate magical activities with an explicit ritual element. </w:t>
      </w:r>
    </w:p>
    <w:p w14:paraId="713439CD" w14:textId="77777777" w:rsidR="009526FC" w:rsidRPr="00854576" w:rsidRDefault="009526FC" w:rsidP="004E665F">
      <w:pPr>
        <w:spacing w:after="160" w:line="480" w:lineRule="auto"/>
        <w:ind w:firstLine="720"/>
        <w:rPr>
          <w:rFonts w:ascii="Times New Roman" w:hAnsi="Times New Roman"/>
          <w:sz w:val="24"/>
        </w:rPr>
      </w:pPr>
      <w:r w:rsidRPr="00854576">
        <w:rPr>
          <w:rFonts w:ascii="Times New Roman" w:hAnsi="Times New Roman"/>
          <w:sz w:val="24"/>
        </w:rPr>
        <w:t>The results of Eymerich’s approach can be seen in</w:t>
      </w:r>
      <w:r w:rsidRPr="00024870">
        <w:rPr>
          <w:rFonts w:ascii="Times New Roman" w:hAnsi="Times New Roman"/>
          <w:i/>
          <w:sz w:val="24"/>
        </w:rPr>
        <w:t xml:space="preserve"> Pars</w:t>
      </w:r>
      <w:r w:rsidRPr="00256C2D">
        <w:rPr>
          <w:rFonts w:ascii="Times New Roman" w:hAnsi="Times New Roman"/>
          <w:sz w:val="24"/>
        </w:rPr>
        <w:t xml:space="preserve"> </w:t>
      </w:r>
      <w:r>
        <w:rPr>
          <w:rFonts w:ascii="Times New Roman" w:hAnsi="Times New Roman"/>
          <w:sz w:val="24"/>
        </w:rPr>
        <w:t>II</w:t>
      </w:r>
      <w:r w:rsidRPr="00256C2D">
        <w:rPr>
          <w:rFonts w:ascii="Times New Roman" w:hAnsi="Times New Roman"/>
          <w:sz w:val="24"/>
        </w:rPr>
        <w:t>,</w:t>
      </w:r>
      <w:r w:rsidR="001F029B">
        <w:rPr>
          <w:rFonts w:ascii="Times New Roman" w:hAnsi="Times New Roman"/>
          <w:sz w:val="24"/>
        </w:rPr>
        <w:t xml:space="preserve"> </w:t>
      </w:r>
      <w:r w:rsidRPr="00024870">
        <w:rPr>
          <w:rFonts w:ascii="Times New Roman" w:hAnsi="Times New Roman"/>
          <w:i/>
          <w:sz w:val="24"/>
        </w:rPr>
        <w:t>quaestio</w:t>
      </w:r>
      <w:r w:rsidRPr="00854576">
        <w:rPr>
          <w:rFonts w:ascii="Times New Roman" w:hAnsi="Times New Roman"/>
          <w:sz w:val="24"/>
        </w:rPr>
        <w:t xml:space="preserve"> 42, in which he considered the legitimacy of </w:t>
      </w:r>
      <w:r>
        <w:rPr>
          <w:rFonts w:ascii="Times New Roman" w:hAnsi="Times New Roman"/>
          <w:sz w:val="24"/>
        </w:rPr>
        <w:t xml:space="preserve">different </w:t>
      </w:r>
      <w:r w:rsidRPr="00854576">
        <w:rPr>
          <w:rFonts w:ascii="Times New Roman" w:hAnsi="Times New Roman"/>
          <w:sz w:val="24"/>
        </w:rPr>
        <w:t xml:space="preserve">forms of divination. He began by distinguishing between “pure” arts, that is, those he considered legitimate, and “heretical” arts. He numbered chiromancy – the art of reading hands </w:t>
      </w:r>
      <w:r>
        <w:rPr>
          <w:rFonts w:ascii="Times New Roman" w:hAnsi="Times New Roman"/>
          <w:sz w:val="24"/>
        </w:rPr>
        <w:t>–</w:t>
      </w:r>
      <w:r w:rsidRPr="00854576">
        <w:rPr>
          <w:rFonts w:ascii="Times New Roman" w:hAnsi="Times New Roman"/>
          <w:sz w:val="24"/>
        </w:rPr>
        <w:t xml:space="preserve"> amongst the former, noting that it was used </w:t>
      </w:r>
      <w:r w:rsidRPr="002B0A24">
        <w:rPr>
          <w:rFonts w:ascii="Times New Roman" w:hAnsi="Times New Roman"/>
          <w:sz w:val="24"/>
        </w:rPr>
        <w:t xml:space="preserve">to make </w:t>
      </w:r>
      <w:r w:rsidRPr="009229B5">
        <w:rPr>
          <w:rFonts w:ascii="Times New Roman" w:hAnsi="Times New Roman"/>
          <w:sz w:val="24"/>
        </w:rPr>
        <w:t>natural</w:t>
      </w:r>
      <w:r w:rsidRPr="00854576">
        <w:rPr>
          <w:rFonts w:ascii="Times New Roman" w:hAnsi="Times New Roman"/>
          <w:sz w:val="24"/>
        </w:rPr>
        <w:t xml:space="preserve"> judgements about the c</w:t>
      </w:r>
      <w:r>
        <w:rPr>
          <w:rFonts w:ascii="Times New Roman" w:hAnsi="Times New Roman"/>
          <w:sz w:val="24"/>
        </w:rPr>
        <w:t xml:space="preserve">ondition of individual people. </w:t>
      </w:r>
      <w:r w:rsidRPr="00854576">
        <w:rPr>
          <w:rFonts w:ascii="Times New Roman" w:hAnsi="Times New Roman"/>
          <w:sz w:val="24"/>
        </w:rPr>
        <w:t>Eymerich justified the practice of this art by invoking Aquinas’s argument that it was acceptable for humans to create wondrous effe</w:t>
      </w:r>
      <w:r>
        <w:rPr>
          <w:rFonts w:ascii="Times New Roman" w:hAnsi="Times New Roman"/>
          <w:sz w:val="24"/>
        </w:rPr>
        <w:t xml:space="preserve">cts produced by natural means. </w:t>
      </w:r>
      <w:r w:rsidRPr="00854576">
        <w:rPr>
          <w:rFonts w:ascii="Times New Roman" w:hAnsi="Times New Roman"/>
          <w:sz w:val="24"/>
        </w:rPr>
        <w:t xml:space="preserve">Although Eymerich </w:t>
      </w:r>
      <w:r>
        <w:rPr>
          <w:rFonts w:ascii="Times New Roman" w:hAnsi="Times New Roman"/>
          <w:sz w:val="24"/>
        </w:rPr>
        <w:t>provided</w:t>
      </w:r>
      <w:r w:rsidRPr="00854576">
        <w:rPr>
          <w:rFonts w:ascii="Times New Roman" w:hAnsi="Times New Roman"/>
          <w:sz w:val="24"/>
        </w:rPr>
        <w:t xml:space="preserve"> a characteristically “Thomist” rationale for defining this art as “pure”</w:t>
      </w:r>
      <w:r>
        <w:rPr>
          <w:rFonts w:ascii="Times New Roman" w:hAnsi="Times New Roman"/>
          <w:sz w:val="24"/>
        </w:rPr>
        <w:t xml:space="preserve"> – that is accepting the legitimacy of arts which produced their effects from natural causes –</w:t>
      </w:r>
      <w:r w:rsidRPr="00854576">
        <w:rPr>
          <w:rFonts w:ascii="Times New Roman" w:hAnsi="Times New Roman"/>
          <w:sz w:val="24"/>
        </w:rPr>
        <w:t xml:space="preserve"> he used it to justify a</w:t>
      </w:r>
      <w:r>
        <w:rPr>
          <w:rFonts w:ascii="Times New Roman" w:hAnsi="Times New Roman"/>
          <w:sz w:val="24"/>
        </w:rPr>
        <w:t xml:space="preserve"> practice</w:t>
      </w:r>
      <w:r w:rsidRPr="00854576">
        <w:rPr>
          <w:rFonts w:ascii="Times New Roman" w:hAnsi="Times New Roman"/>
          <w:sz w:val="24"/>
        </w:rPr>
        <w:t xml:space="preserve"> that </w:t>
      </w:r>
      <w:r>
        <w:rPr>
          <w:rFonts w:ascii="Times New Roman" w:hAnsi="Times New Roman"/>
          <w:sz w:val="24"/>
        </w:rPr>
        <w:t xml:space="preserve">Aquinas had in fact condemned. </w:t>
      </w:r>
      <w:r w:rsidRPr="00854576">
        <w:rPr>
          <w:rFonts w:ascii="Times New Roman" w:hAnsi="Times New Roman"/>
          <w:sz w:val="24"/>
        </w:rPr>
        <w:t xml:space="preserve">Eymerich went on to contrast these “pure” arts </w:t>
      </w:r>
      <w:r w:rsidRPr="00854576">
        <w:rPr>
          <w:rFonts w:ascii="Times New Roman" w:hAnsi="Times New Roman"/>
          <w:sz w:val="24"/>
        </w:rPr>
        <w:lastRenderedPageBreak/>
        <w:t>with “heretical” forms of divination; the latter arts, he argued, were those that also included suspicious ritual element</w:t>
      </w:r>
      <w:r>
        <w:rPr>
          <w:rFonts w:ascii="Times New Roman" w:hAnsi="Times New Roman"/>
          <w:sz w:val="24"/>
        </w:rPr>
        <w:t xml:space="preserve">s such as re-baptising babies. </w:t>
      </w:r>
      <w:r w:rsidRPr="00854576">
        <w:rPr>
          <w:rFonts w:ascii="Times New Roman" w:hAnsi="Times New Roman"/>
          <w:sz w:val="24"/>
        </w:rPr>
        <w:t>To determine whether an art was legitimate, the inquisitor should search for evidence of ritual, rather than considering whethe</w:t>
      </w:r>
      <w:r>
        <w:rPr>
          <w:rFonts w:ascii="Times New Roman" w:hAnsi="Times New Roman"/>
          <w:sz w:val="24"/>
        </w:rPr>
        <w:t>r they were naturally possible.</w:t>
      </w:r>
      <w:r w:rsidRPr="00854576">
        <w:rPr>
          <w:rFonts w:ascii="Times New Roman" w:hAnsi="Times New Roman"/>
          <w:sz w:val="24"/>
        </w:rPr>
        <w:t xml:space="preserve"> Echoing the language of both Alexander IV’s 1258 bull and its later gloss, he declared that such practices “indeed manifestly savour of heresy.”</w:t>
      </w:r>
      <w:r w:rsidRPr="00854576">
        <w:rPr>
          <w:rFonts w:ascii="Times New Roman" w:hAnsi="Times New Roman"/>
          <w:sz w:val="24"/>
          <w:vertAlign w:val="superscript"/>
        </w:rPr>
        <w:footnoteReference w:id="45"/>
      </w:r>
    </w:p>
    <w:p w14:paraId="7B9A5B50" w14:textId="77777777" w:rsidR="009526FC" w:rsidRPr="00854576" w:rsidRDefault="009526FC" w:rsidP="004E665F">
      <w:pPr>
        <w:spacing w:after="160" w:line="480" w:lineRule="auto"/>
        <w:ind w:firstLine="720"/>
        <w:rPr>
          <w:rFonts w:ascii="Times New Roman" w:hAnsi="Times New Roman"/>
          <w:sz w:val="24"/>
        </w:rPr>
      </w:pPr>
      <w:r w:rsidRPr="00854576">
        <w:rPr>
          <w:rFonts w:ascii="Times New Roman" w:hAnsi="Times New Roman"/>
          <w:sz w:val="24"/>
        </w:rPr>
        <w:t xml:space="preserve">Eymerich did not comment directly upon the legitimacy of alchemy in the section of </w:t>
      </w:r>
      <w:r w:rsidRPr="00854576">
        <w:rPr>
          <w:rFonts w:ascii="Times New Roman" w:hAnsi="Times New Roman"/>
          <w:i/>
          <w:sz w:val="24"/>
        </w:rPr>
        <w:t>Directorium</w:t>
      </w:r>
      <w:r>
        <w:rPr>
          <w:rFonts w:ascii="Times New Roman" w:hAnsi="Times New Roman"/>
          <w:sz w:val="24"/>
        </w:rPr>
        <w:t xml:space="preserve"> that</w:t>
      </w:r>
      <w:r w:rsidRPr="00854576">
        <w:rPr>
          <w:rFonts w:ascii="Times New Roman" w:hAnsi="Times New Roman"/>
          <w:sz w:val="24"/>
        </w:rPr>
        <w:t xml:space="preserve"> justif</w:t>
      </w:r>
      <w:r>
        <w:rPr>
          <w:rFonts w:ascii="Times New Roman" w:hAnsi="Times New Roman"/>
          <w:sz w:val="24"/>
        </w:rPr>
        <w:t>ied the inquisition of magic.</w:t>
      </w:r>
      <w:r w:rsidRPr="00854576">
        <w:rPr>
          <w:rFonts w:ascii="Times New Roman" w:hAnsi="Times New Roman"/>
          <w:sz w:val="24"/>
        </w:rPr>
        <w:t xml:space="preserve"> He did, however, refer to it later </w:t>
      </w:r>
      <w:r>
        <w:rPr>
          <w:rFonts w:ascii="Times New Roman" w:hAnsi="Times New Roman"/>
          <w:sz w:val="24"/>
        </w:rPr>
        <w:t xml:space="preserve">in a </w:t>
      </w:r>
      <w:r w:rsidRPr="00854576">
        <w:rPr>
          <w:rFonts w:ascii="Times New Roman" w:hAnsi="Times New Roman"/>
          <w:sz w:val="24"/>
        </w:rPr>
        <w:t xml:space="preserve">passage </w:t>
      </w:r>
      <w:r w:rsidRPr="00256C2D">
        <w:rPr>
          <w:rFonts w:ascii="Times New Roman" w:hAnsi="Times New Roman"/>
          <w:sz w:val="24"/>
        </w:rPr>
        <w:t>contained in Pars III</w:t>
      </w:r>
      <w:r w:rsidRPr="00854576">
        <w:rPr>
          <w:rFonts w:ascii="Times New Roman" w:hAnsi="Times New Roman"/>
          <w:sz w:val="24"/>
        </w:rPr>
        <w:t xml:space="preserve"> of the </w:t>
      </w:r>
      <w:r w:rsidRPr="00854576">
        <w:rPr>
          <w:rFonts w:ascii="Times New Roman" w:hAnsi="Times New Roman"/>
          <w:i/>
          <w:sz w:val="24"/>
        </w:rPr>
        <w:t>Directorium</w:t>
      </w:r>
      <w:r w:rsidRPr="00854576">
        <w:rPr>
          <w:rFonts w:ascii="Times New Roman" w:hAnsi="Times New Roman"/>
          <w:sz w:val="24"/>
        </w:rPr>
        <w:t xml:space="preserve">, </w:t>
      </w:r>
      <w:r w:rsidRPr="00854576">
        <w:rPr>
          <w:rFonts w:ascii="Times New Roman" w:hAnsi="Times New Roman"/>
          <w:sz w:val="24"/>
          <w:szCs w:val="24"/>
        </w:rPr>
        <w:t xml:space="preserve">entitled </w:t>
      </w:r>
      <w:r w:rsidRPr="00854576">
        <w:rPr>
          <w:rFonts w:ascii="Times New Roman" w:hAnsi="Times New Roman"/>
          <w:i/>
          <w:sz w:val="24"/>
          <w:szCs w:val="24"/>
        </w:rPr>
        <w:t>Signa per quae necromantici</w:t>
      </w:r>
      <w:r w:rsidR="00024870">
        <w:rPr>
          <w:rFonts w:ascii="Times New Roman" w:hAnsi="Times New Roman"/>
          <w:i/>
          <w:sz w:val="24"/>
          <w:szCs w:val="24"/>
        </w:rPr>
        <w:t xml:space="preserve"> </w:t>
      </w:r>
      <w:r w:rsidRPr="00854576">
        <w:rPr>
          <w:rFonts w:ascii="Times New Roman" w:hAnsi="Times New Roman"/>
          <w:i/>
          <w:sz w:val="24"/>
          <w:szCs w:val="24"/>
        </w:rPr>
        <w:t>haeretici</w:t>
      </w:r>
      <w:r w:rsidR="00024870">
        <w:rPr>
          <w:rFonts w:ascii="Times New Roman" w:hAnsi="Times New Roman"/>
          <w:i/>
          <w:sz w:val="24"/>
          <w:szCs w:val="24"/>
        </w:rPr>
        <w:t xml:space="preserve"> </w:t>
      </w:r>
      <w:r w:rsidRPr="00854576">
        <w:rPr>
          <w:rFonts w:ascii="Times New Roman" w:hAnsi="Times New Roman"/>
          <w:i/>
          <w:sz w:val="24"/>
          <w:szCs w:val="24"/>
        </w:rPr>
        <w:t>dignoscuntur</w:t>
      </w:r>
      <w:r w:rsidRPr="00854576">
        <w:rPr>
          <w:rFonts w:ascii="Times New Roman" w:hAnsi="Times New Roman"/>
          <w:sz w:val="24"/>
        </w:rPr>
        <w:t xml:space="preserve"> (Signs by which heretica</w:t>
      </w:r>
      <w:r>
        <w:rPr>
          <w:rFonts w:ascii="Times New Roman" w:hAnsi="Times New Roman"/>
          <w:sz w:val="24"/>
        </w:rPr>
        <w:t xml:space="preserve">l necromancers are discerned). </w:t>
      </w:r>
      <w:r w:rsidRPr="00854576">
        <w:rPr>
          <w:rFonts w:ascii="Times New Roman" w:hAnsi="Times New Roman"/>
          <w:sz w:val="24"/>
        </w:rPr>
        <w:t>He</w:t>
      </w:r>
      <w:r>
        <w:rPr>
          <w:rFonts w:ascii="Times New Roman" w:hAnsi="Times New Roman"/>
          <w:sz w:val="24"/>
        </w:rPr>
        <w:t>re, he</w:t>
      </w:r>
      <w:r w:rsidRPr="00854576">
        <w:rPr>
          <w:rFonts w:ascii="Times New Roman" w:hAnsi="Times New Roman"/>
          <w:sz w:val="24"/>
        </w:rPr>
        <w:t xml:space="preserve"> wrote that if an inquisitor </w:t>
      </w:r>
      <w:r>
        <w:rPr>
          <w:rFonts w:ascii="Times New Roman" w:hAnsi="Times New Roman"/>
          <w:sz w:val="24"/>
        </w:rPr>
        <w:t>were</w:t>
      </w:r>
      <w:r w:rsidRPr="00854576">
        <w:rPr>
          <w:rFonts w:ascii="Times New Roman" w:hAnsi="Times New Roman"/>
          <w:sz w:val="24"/>
        </w:rPr>
        <w:t xml:space="preserve"> investigating someone suspected of necromancy, he should also consider whether the accused also practised div</w:t>
      </w:r>
      <w:r>
        <w:rPr>
          <w:rFonts w:ascii="Times New Roman" w:hAnsi="Times New Roman"/>
          <w:sz w:val="24"/>
        </w:rPr>
        <w:t xml:space="preserve">ination, astrology or alchemy. </w:t>
      </w:r>
      <w:r w:rsidRPr="00854576">
        <w:rPr>
          <w:rFonts w:ascii="Times New Roman" w:hAnsi="Times New Roman"/>
          <w:sz w:val="24"/>
        </w:rPr>
        <w:t>Engaging with such arts, he argued, provided a good indicator of whether the individual under investigation was truly a heretic</w:t>
      </w:r>
      <w:r>
        <w:rPr>
          <w:rFonts w:ascii="Times New Roman" w:hAnsi="Times New Roman"/>
          <w:sz w:val="24"/>
        </w:rPr>
        <w:t>,</w:t>
      </w:r>
      <w:r w:rsidRPr="00854576">
        <w:rPr>
          <w:rFonts w:ascii="Times New Roman" w:hAnsi="Times New Roman"/>
          <w:sz w:val="24"/>
        </w:rPr>
        <w:t xml:space="preserve"> “for when they cannot attain their intended end, they ask for the assistance of demons, they invoke and they implore [those demons] and by imploring [them] they conjure and sacrifice [to them]</w:t>
      </w:r>
      <w:r>
        <w:rPr>
          <w:rFonts w:ascii="Times New Roman" w:hAnsi="Times New Roman"/>
          <w:sz w:val="24"/>
        </w:rPr>
        <w:t xml:space="preserve"> secretly</w:t>
      </w:r>
      <w:r w:rsidRPr="00854576">
        <w:rPr>
          <w:rFonts w:ascii="Times New Roman" w:hAnsi="Times New Roman"/>
          <w:sz w:val="24"/>
        </w:rPr>
        <w:t xml:space="preserve"> or</w:t>
      </w:r>
      <w:r>
        <w:rPr>
          <w:rFonts w:ascii="Times New Roman" w:hAnsi="Times New Roman"/>
          <w:sz w:val="24"/>
        </w:rPr>
        <w:t xml:space="preserve"> openly</w:t>
      </w:r>
      <w:r w:rsidRPr="00854576">
        <w:rPr>
          <w:rFonts w:ascii="Times New Roman" w:hAnsi="Times New Roman"/>
          <w:sz w:val="24"/>
        </w:rPr>
        <w:t>.”</w:t>
      </w:r>
      <w:r w:rsidRPr="00854576">
        <w:rPr>
          <w:rFonts w:ascii="Times New Roman" w:hAnsi="Times New Roman"/>
          <w:sz w:val="24"/>
          <w:vertAlign w:val="superscript"/>
        </w:rPr>
        <w:footnoteReference w:id="46"/>
      </w:r>
      <w:r w:rsidR="00481006">
        <w:rPr>
          <w:rFonts w:ascii="Times New Roman" w:hAnsi="Times New Roman"/>
          <w:sz w:val="24"/>
        </w:rPr>
        <w:t xml:space="preserve"> </w:t>
      </w:r>
      <w:r w:rsidRPr="00854576">
        <w:rPr>
          <w:rFonts w:ascii="Times New Roman" w:hAnsi="Times New Roman"/>
          <w:sz w:val="24"/>
        </w:rPr>
        <w:t>Eymerich’s assessment of alchemy was consistent wit</w:t>
      </w:r>
      <w:r>
        <w:rPr>
          <w:rFonts w:ascii="Times New Roman" w:hAnsi="Times New Roman"/>
          <w:sz w:val="24"/>
        </w:rPr>
        <w:t xml:space="preserve">h his variant form of Thomism. </w:t>
      </w:r>
      <w:r w:rsidRPr="00854576">
        <w:rPr>
          <w:rFonts w:ascii="Times New Roman" w:hAnsi="Times New Roman"/>
          <w:sz w:val="24"/>
        </w:rPr>
        <w:t>He did not consider the practice of alchemy to be innately superstitious, and maintained that it could be practis</w:t>
      </w:r>
      <w:r>
        <w:rPr>
          <w:rFonts w:ascii="Times New Roman" w:hAnsi="Times New Roman"/>
          <w:sz w:val="24"/>
        </w:rPr>
        <w:t xml:space="preserve">ed without recourse to demons. </w:t>
      </w:r>
      <w:r w:rsidRPr="00854576">
        <w:rPr>
          <w:rFonts w:ascii="Times New Roman" w:hAnsi="Times New Roman"/>
          <w:sz w:val="24"/>
        </w:rPr>
        <w:t>He nevertheless feared that when alchemists had exhausted their art’s natural possibilities they might</w:t>
      </w:r>
      <w:r>
        <w:rPr>
          <w:rFonts w:ascii="Times New Roman" w:hAnsi="Times New Roman"/>
          <w:sz w:val="24"/>
        </w:rPr>
        <w:t xml:space="preserve"> turn to demons for assistance.</w:t>
      </w:r>
      <w:r w:rsidRPr="00854576">
        <w:rPr>
          <w:rFonts w:ascii="Times New Roman" w:hAnsi="Times New Roman"/>
          <w:sz w:val="24"/>
        </w:rPr>
        <w:t xml:space="preserve"> In this manner, he explicitly associated the activities of some alchemists, and possibly some alchemical practices, with the supe</w:t>
      </w:r>
      <w:r>
        <w:rPr>
          <w:rFonts w:ascii="Times New Roman" w:hAnsi="Times New Roman"/>
          <w:sz w:val="24"/>
        </w:rPr>
        <w:t>rstitious invocation of demons.</w:t>
      </w:r>
      <w:r w:rsidRPr="00854576">
        <w:rPr>
          <w:rFonts w:ascii="Times New Roman" w:hAnsi="Times New Roman"/>
          <w:sz w:val="24"/>
        </w:rPr>
        <w:t xml:space="preserve"> Since he had reaffirmed the relatively novel classification </w:t>
      </w:r>
      <w:r w:rsidRPr="00854576">
        <w:rPr>
          <w:rFonts w:ascii="Times New Roman" w:hAnsi="Times New Roman"/>
          <w:sz w:val="24"/>
        </w:rPr>
        <w:lastRenderedPageBreak/>
        <w:t>of invocation as a heresy, Eymerich had, for the first time, provided a clear rationale for the prosecution of alchemists as heretics.</w:t>
      </w:r>
    </w:p>
    <w:p w14:paraId="6BAE175A" w14:textId="77777777" w:rsidR="009526FC" w:rsidRPr="00854576" w:rsidRDefault="009526FC" w:rsidP="00854576">
      <w:pPr>
        <w:spacing w:after="160" w:line="480" w:lineRule="auto"/>
        <w:rPr>
          <w:rFonts w:ascii="Times New Roman" w:hAnsi="Times New Roman"/>
          <w:sz w:val="24"/>
        </w:rPr>
      </w:pPr>
    </w:p>
    <w:p w14:paraId="10C2CB50" w14:textId="77777777" w:rsidR="009526FC" w:rsidRPr="00A263C1" w:rsidRDefault="009526FC" w:rsidP="00A263C1">
      <w:pPr>
        <w:spacing w:after="160" w:line="480" w:lineRule="auto"/>
        <w:rPr>
          <w:rFonts w:ascii="Times New Roman" w:hAnsi="Times New Roman"/>
          <w:b/>
          <w:sz w:val="24"/>
        </w:rPr>
      </w:pPr>
      <w:r w:rsidRPr="00A263C1">
        <w:rPr>
          <w:rFonts w:ascii="Times New Roman" w:hAnsi="Times New Roman"/>
          <w:b/>
          <w:sz w:val="24"/>
        </w:rPr>
        <w:t xml:space="preserve">The fifteenth century: Observant Reform </w:t>
      </w:r>
    </w:p>
    <w:p w14:paraId="1BFE7A08" w14:textId="77777777" w:rsidR="009526FC" w:rsidRPr="00854576" w:rsidRDefault="009526FC" w:rsidP="00854576">
      <w:pPr>
        <w:spacing w:after="160" w:line="480" w:lineRule="auto"/>
        <w:rPr>
          <w:rFonts w:ascii="Times New Roman" w:hAnsi="Times New Roman"/>
          <w:sz w:val="24"/>
        </w:rPr>
      </w:pPr>
    </w:p>
    <w:p w14:paraId="0C9C40B4" w14:textId="77777777" w:rsidR="009526FC" w:rsidRPr="00854576" w:rsidRDefault="009526FC" w:rsidP="00A2120D">
      <w:pPr>
        <w:spacing w:after="160" w:line="480" w:lineRule="auto"/>
        <w:rPr>
          <w:rFonts w:ascii="Times New Roman" w:hAnsi="Times New Roman"/>
          <w:sz w:val="24"/>
        </w:rPr>
      </w:pPr>
      <w:r w:rsidRPr="00854576">
        <w:rPr>
          <w:rFonts w:ascii="Times New Roman" w:hAnsi="Times New Roman"/>
          <w:sz w:val="24"/>
        </w:rPr>
        <w:t xml:space="preserve">The inquisition of magic was transformed in the fifteenth century by </w:t>
      </w:r>
      <w:r>
        <w:rPr>
          <w:rFonts w:ascii="Times New Roman" w:hAnsi="Times New Roman"/>
          <w:sz w:val="24"/>
        </w:rPr>
        <w:t xml:space="preserve">the Observant Reform movement. </w:t>
      </w:r>
      <w:r w:rsidRPr="00854576">
        <w:rPr>
          <w:rFonts w:ascii="Times New Roman" w:hAnsi="Times New Roman"/>
          <w:sz w:val="24"/>
        </w:rPr>
        <w:t>From the middle of the century some mendicants began to call for reform within their orders, arguing that they had lost the</w:t>
      </w:r>
      <w:r>
        <w:rPr>
          <w:rFonts w:ascii="Times New Roman" w:hAnsi="Times New Roman"/>
          <w:sz w:val="24"/>
        </w:rPr>
        <w:t>ir original energy and purpose.</w:t>
      </w:r>
      <w:r w:rsidR="00FC6A97">
        <w:rPr>
          <w:rFonts w:ascii="Times New Roman" w:hAnsi="Times New Roman"/>
          <w:sz w:val="24"/>
        </w:rPr>
        <w:t xml:space="preserve"> </w:t>
      </w:r>
      <w:r>
        <w:rPr>
          <w:rFonts w:ascii="Times New Roman" w:hAnsi="Times New Roman"/>
          <w:sz w:val="24"/>
        </w:rPr>
        <w:t>In order</w:t>
      </w:r>
      <w:r w:rsidRPr="00854576">
        <w:rPr>
          <w:rFonts w:ascii="Times New Roman" w:hAnsi="Times New Roman"/>
          <w:sz w:val="24"/>
        </w:rPr>
        <w:t xml:space="preserve"> to create a new form of religious life, one closer to</w:t>
      </w:r>
      <w:r>
        <w:rPr>
          <w:rFonts w:ascii="Times New Roman" w:hAnsi="Times New Roman"/>
          <w:sz w:val="24"/>
        </w:rPr>
        <w:t xml:space="preserve"> the ideals of their founders, t</w:t>
      </w:r>
      <w:r w:rsidRPr="00854576">
        <w:rPr>
          <w:rFonts w:ascii="Times New Roman" w:hAnsi="Times New Roman"/>
          <w:sz w:val="24"/>
        </w:rPr>
        <w:t>hey started to reorganise existing religious houses or, in some</w:t>
      </w:r>
      <w:r>
        <w:rPr>
          <w:rFonts w:ascii="Times New Roman" w:hAnsi="Times New Roman"/>
          <w:sz w:val="24"/>
        </w:rPr>
        <w:t xml:space="preserve"> instances, to create new ones.</w:t>
      </w:r>
      <w:r w:rsidRPr="00854576">
        <w:rPr>
          <w:rFonts w:ascii="Times New Roman" w:hAnsi="Times New Roman"/>
          <w:sz w:val="24"/>
        </w:rPr>
        <w:t xml:space="preserve"> These houses became known as “observant” institutions, whilst the un-reformed were</w:t>
      </w:r>
      <w:r>
        <w:rPr>
          <w:rFonts w:ascii="Times New Roman" w:hAnsi="Times New Roman"/>
          <w:sz w:val="24"/>
        </w:rPr>
        <w:t xml:space="preserve"> referred to as “conventual</w:t>
      </w:r>
      <w:r w:rsidR="008D47EC">
        <w:rPr>
          <w:rFonts w:ascii="Times New Roman" w:hAnsi="Times New Roman"/>
          <w:sz w:val="24"/>
        </w:rPr>
        <w:t>.</w:t>
      </w:r>
      <w:r>
        <w:rPr>
          <w:rFonts w:ascii="Times New Roman" w:hAnsi="Times New Roman"/>
          <w:sz w:val="24"/>
        </w:rPr>
        <w:t>” The O</w:t>
      </w:r>
      <w:r w:rsidRPr="00854576">
        <w:rPr>
          <w:rFonts w:ascii="Times New Roman" w:hAnsi="Times New Roman"/>
          <w:sz w:val="24"/>
        </w:rPr>
        <w:t>b</w:t>
      </w:r>
      <w:r>
        <w:rPr>
          <w:rFonts w:ascii="Times New Roman" w:hAnsi="Times New Roman"/>
          <w:sz w:val="24"/>
        </w:rPr>
        <w:t>servant Reform movement was not</w:t>
      </w:r>
      <w:r w:rsidRPr="00854576">
        <w:rPr>
          <w:rFonts w:ascii="Times New Roman" w:hAnsi="Times New Roman"/>
          <w:sz w:val="24"/>
        </w:rPr>
        <w:t xml:space="preserve"> intended </w:t>
      </w:r>
      <w:r>
        <w:rPr>
          <w:rFonts w:ascii="Times New Roman" w:hAnsi="Times New Roman"/>
          <w:sz w:val="24"/>
        </w:rPr>
        <w:t xml:space="preserve">simply </w:t>
      </w:r>
      <w:r w:rsidRPr="00854576">
        <w:rPr>
          <w:rFonts w:ascii="Times New Roman" w:hAnsi="Times New Roman"/>
          <w:sz w:val="24"/>
        </w:rPr>
        <w:t xml:space="preserve">to effect spiritual regeneration of the </w:t>
      </w:r>
      <w:r>
        <w:rPr>
          <w:rFonts w:ascii="Times New Roman" w:hAnsi="Times New Roman"/>
          <w:sz w:val="24"/>
        </w:rPr>
        <w:t xml:space="preserve">orders of </w:t>
      </w:r>
      <w:r w:rsidRPr="00854576">
        <w:rPr>
          <w:rFonts w:ascii="Times New Roman" w:hAnsi="Times New Roman"/>
          <w:sz w:val="24"/>
        </w:rPr>
        <w:t xml:space="preserve">friars; it was designed to stimulate a </w:t>
      </w:r>
      <w:r>
        <w:rPr>
          <w:rFonts w:ascii="Times New Roman" w:hAnsi="Times New Roman"/>
          <w:sz w:val="24"/>
        </w:rPr>
        <w:t>broader</w:t>
      </w:r>
      <w:r w:rsidRPr="00854576">
        <w:rPr>
          <w:rFonts w:ascii="Times New Roman" w:hAnsi="Times New Roman"/>
          <w:sz w:val="24"/>
        </w:rPr>
        <w:t xml:space="preserve"> ref</w:t>
      </w:r>
      <w:r>
        <w:rPr>
          <w:rFonts w:ascii="Times New Roman" w:hAnsi="Times New Roman"/>
          <w:sz w:val="24"/>
        </w:rPr>
        <w:t xml:space="preserve">ormation of Christian society. </w:t>
      </w:r>
      <w:r w:rsidRPr="00854576">
        <w:rPr>
          <w:rFonts w:ascii="Times New Roman" w:hAnsi="Times New Roman"/>
          <w:sz w:val="24"/>
        </w:rPr>
        <w:t xml:space="preserve">This was to be achieved by re-engaging </w:t>
      </w:r>
      <w:r>
        <w:rPr>
          <w:rFonts w:ascii="Times New Roman" w:hAnsi="Times New Roman"/>
          <w:sz w:val="24"/>
        </w:rPr>
        <w:t xml:space="preserve">the wider population. </w:t>
      </w:r>
      <w:r w:rsidRPr="00854576">
        <w:rPr>
          <w:rFonts w:ascii="Times New Roman" w:hAnsi="Times New Roman"/>
          <w:sz w:val="24"/>
        </w:rPr>
        <w:t>Ordinary Christians would be encouraged to dedicate themselves to the cultivation of their spiritual lives, but also educated in order to help them to avoid deviance and corruption.</w:t>
      </w:r>
      <w:r>
        <w:rPr>
          <w:rStyle w:val="FootnoteReference"/>
          <w:rFonts w:ascii="Times New Roman" w:hAnsi="Times New Roman"/>
          <w:sz w:val="24"/>
        </w:rPr>
        <w:footnoteReference w:id="47"/>
      </w:r>
      <w:r w:rsidR="00C71D57">
        <w:rPr>
          <w:rFonts w:ascii="Times New Roman" w:hAnsi="Times New Roman"/>
          <w:sz w:val="24"/>
        </w:rPr>
        <w:t xml:space="preserve"> </w:t>
      </w:r>
      <w:r w:rsidRPr="00854576">
        <w:rPr>
          <w:rFonts w:ascii="Times New Roman" w:hAnsi="Times New Roman"/>
          <w:sz w:val="24"/>
        </w:rPr>
        <w:t>This programme stimulated a renewed interest in the investigation and prosecution of magic</w:t>
      </w:r>
      <w:r>
        <w:rPr>
          <w:rFonts w:ascii="Times New Roman" w:hAnsi="Times New Roman"/>
          <w:sz w:val="24"/>
        </w:rPr>
        <w:t xml:space="preserve"> amongst some observant friars.</w:t>
      </w:r>
      <w:r w:rsidRPr="00854576">
        <w:rPr>
          <w:rFonts w:ascii="Times New Roman" w:hAnsi="Times New Roman"/>
          <w:sz w:val="24"/>
        </w:rPr>
        <w:t xml:space="preserve"> Mendicants and, by extension, inquisitors began to take a particular interest in the</w:t>
      </w:r>
      <w:r>
        <w:rPr>
          <w:rFonts w:ascii="Times New Roman" w:hAnsi="Times New Roman"/>
          <w:sz w:val="24"/>
        </w:rPr>
        <w:t xml:space="preserve"> prosecution of popular magic. </w:t>
      </w:r>
      <w:r w:rsidRPr="00854576">
        <w:rPr>
          <w:rFonts w:ascii="Times New Roman" w:hAnsi="Times New Roman"/>
          <w:sz w:val="24"/>
        </w:rPr>
        <w:t xml:space="preserve">These interests were fed by a novel series of stories </w:t>
      </w:r>
      <w:r>
        <w:rPr>
          <w:rFonts w:ascii="Times New Roman" w:hAnsi="Times New Roman"/>
          <w:sz w:val="24"/>
        </w:rPr>
        <w:t xml:space="preserve">emanating </w:t>
      </w:r>
      <w:r w:rsidRPr="00854576">
        <w:rPr>
          <w:rFonts w:ascii="Times New Roman" w:hAnsi="Times New Roman"/>
          <w:sz w:val="24"/>
        </w:rPr>
        <w:t xml:space="preserve">from the Alpine areas </w:t>
      </w:r>
      <w:r>
        <w:rPr>
          <w:rFonts w:ascii="Times New Roman" w:hAnsi="Times New Roman"/>
          <w:sz w:val="24"/>
        </w:rPr>
        <w:t xml:space="preserve">that </w:t>
      </w:r>
      <w:r w:rsidRPr="00854576">
        <w:rPr>
          <w:rFonts w:ascii="Times New Roman" w:hAnsi="Times New Roman"/>
          <w:sz w:val="24"/>
        </w:rPr>
        <w:t>maintained that groups of devia</w:t>
      </w:r>
      <w:r>
        <w:rPr>
          <w:rFonts w:ascii="Times New Roman" w:hAnsi="Times New Roman"/>
          <w:sz w:val="24"/>
        </w:rPr>
        <w:t xml:space="preserve">nts gathered to worship Satan. </w:t>
      </w:r>
      <w:r>
        <w:rPr>
          <w:rFonts w:ascii="Times New Roman" w:hAnsi="Times New Roman"/>
          <w:sz w:val="24"/>
        </w:rPr>
        <w:lastRenderedPageBreak/>
        <w:t xml:space="preserve">With </w:t>
      </w:r>
      <w:r w:rsidRPr="00854576">
        <w:rPr>
          <w:rFonts w:ascii="Times New Roman" w:hAnsi="Times New Roman"/>
          <w:sz w:val="24"/>
        </w:rPr>
        <w:t>his</w:t>
      </w:r>
      <w:r w:rsidR="00FC6A97">
        <w:rPr>
          <w:rFonts w:ascii="Times New Roman" w:hAnsi="Times New Roman"/>
          <w:sz w:val="24"/>
        </w:rPr>
        <w:t xml:space="preserve"> </w:t>
      </w:r>
      <w:r w:rsidRPr="00854576">
        <w:rPr>
          <w:rFonts w:ascii="Times New Roman" w:hAnsi="Times New Roman"/>
          <w:i/>
          <w:sz w:val="24"/>
        </w:rPr>
        <w:t>Formicarius</w:t>
      </w:r>
      <w:r>
        <w:rPr>
          <w:rFonts w:ascii="Times New Roman" w:hAnsi="Times New Roman"/>
          <w:sz w:val="24"/>
        </w:rPr>
        <w:t>,</w:t>
      </w:r>
      <w:r w:rsidRPr="00854576">
        <w:rPr>
          <w:rFonts w:ascii="Times New Roman" w:hAnsi="Times New Roman"/>
          <w:sz w:val="24"/>
        </w:rPr>
        <w:t xml:space="preserve"> Johannes Nider (1380-1438), a leading member </w:t>
      </w:r>
      <w:r>
        <w:rPr>
          <w:rFonts w:ascii="Times New Roman" w:hAnsi="Times New Roman"/>
          <w:sz w:val="24"/>
        </w:rPr>
        <w:t>within</w:t>
      </w:r>
      <w:r w:rsidRPr="00854576">
        <w:rPr>
          <w:rFonts w:ascii="Times New Roman" w:hAnsi="Times New Roman"/>
          <w:sz w:val="24"/>
        </w:rPr>
        <w:t xml:space="preserve"> the </w:t>
      </w:r>
      <w:r w:rsidR="007D37C7">
        <w:rPr>
          <w:rFonts w:ascii="Times New Roman" w:hAnsi="Times New Roman"/>
          <w:sz w:val="24"/>
        </w:rPr>
        <w:t>O</w:t>
      </w:r>
      <w:r w:rsidRPr="00854576">
        <w:rPr>
          <w:rFonts w:ascii="Times New Roman" w:hAnsi="Times New Roman"/>
          <w:sz w:val="24"/>
        </w:rPr>
        <w:t>bservant reform movement, played a significant role in incorporating these beliefs into Dominican writings on magic and witchcraft.</w:t>
      </w:r>
      <w:r w:rsidRPr="00854576">
        <w:rPr>
          <w:rFonts w:ascii="Times New Roman" w:hAnsi="Times New Roman"/>
          <w:sz w:val="24"/>
          <w:vertAlign w:val="superscript"/>
        </w:rPr>
        <w:footnoteReference w:id="48"/>
      </w:r>
    </w:p>
    <w:p w14:paraId="616AEAEB" w14:textId="77777777" w:rsidR="009526FC" w:rsidRPr="00854576" w:rsidRDefault="009526FC" w:rsidP="00395691">
      <w:pPr>
        <w:spacing w:after="160" w:line="480" w:lineRule="auto"/>
        <w:ind w:firstLine="720"/>
        <w:rPr>
          <w:rFonts w:ascii="Times New Roman" w:eastAsia="Times New Roman" w:hAnsi="Times New Roman"/>
          <w:bCs/>
          <w:sz w:val="24"/>
          <w:szCs w:val="24"/>
          <w:lang w:eastAsia="en-GB"/>
        </w:rPr>
      </w:pPr>
      <w:r w:rsidRPr="00854576">
        <w:rPr>
          <w:rFonts w:ascii="Times New Roman" w:eastAsia="Times New Roman" w:hAnsi="Times New Roman"/>
          <w:bCs/>
          <w:sz w:val="24"/>
          <w:szCs w:val="24"/>
          <w:lang w:eastAsia="en-GB"/>
        </w:rPr>
        <w:t xml:space="preserve">The </w:t>
      </w:r>
      <w:r w:rsidRPr="00854576">
        <w:rPr>
          <w:rFonts w:ascii="Times New Roman" w:eastAsia="Times New Roman" w:hAnsi="Times New Roman"/>
          <w:bCs/>
          <w:i/>
          <w:sz w:val="24"/>
          <w:szCs w:val="24"/>
          <w:lang w:eastAsia="en-GB"/>
        </w:rPr>
        <w:t>Formicarius</w:t>
      </w:r>
      <w:r w:rsidRPr="00854576">
        <w:rPr>
          <w:rFonts w:ascii="Times New Roman" w:eastAsia="Times New Roman" w:hAnsi="Times New Roman"/>
          <w:bCs/>
          <w:sz w:val="24"/>
          <w:szCs w:val="24"/>
          <w:lang w:eastAsia="en-GB"/>
        </w:rPr>
        <w:t xml:space="preserve"> was not intended to be a learned treatise on magic, but a repository of morally edifying stories usef</w:t>
      </w:r>
      <w:r>
        <w:rPr>
          <w:rFonts w:ascii="Times New Roman" w:eastAsia="Times New Roman" w:hAnsi="Times New Roman"/>
          <w:bCs/>
          <w:sz w:val="24"/>
          <w:szCs w:val="24"/>
          <w:lang w:eastAsia="en-GB"/>
        </w:rPr>
        <w:t>ul for preaching.</w:t>
      </w:r>
      <w:r w:rsidR="008E2ACF">
        <w:rPr>
          <w:rFonts w:ascii="Times New Roman" w:eastAsia="Times New Roman" w:hAnsi="Times New Roman"/>
          <w:bCs/>
          <w:sz w:val="24"/>
          <w:szCs w:val="24"/>
          <w:lang w:eastAsia="en-GB"/>
        </w:rPr>
        <w:t xml:space="preserve"> </w:t>
      </w:r>
      <w:r w:rsidRPr="00854576">
        <w:rPr>
          <w:rFonts w:ascii="Times New Roman" w:hAnsi="Times New Roman"/>
          <w:sz w:val="24"/>
        </w:rPr>
        <w:t>Consequently, it did not offer scholarly reflections on the legitimate b</w:t>
      </w:r>
      <w:r>
        <w:rPr>
          <w:rFonts w:ascii="Times New Roman" w:hAnsi="Times New Roman"/>
          <w:sz w:val="24"/>
        </w:rPr>
        <w:t xml:space="preserve">oundaries of magical activity. </w:t>
      </w:r>
      <w:r w:rsidRPr="00854576">
        <w:rPr>
          <w:rFonts w:ascii="Times New Roman" w:hAnsi="Times New Roman"/>
          <w:color w:val="000000"/>
          <w:sz w:val="24"/>
          <w:shd w:val="clear" w:color="auto" w:fill="FFFFFF"/>
        </w:rPr>
        <w:t xml:space="preserve">Nider did, however, offer more </w:t>
      </w:r>
      <w:r>
        <w:rPr>
          <w:rFonts w:ascii="Times New Roman" w:hAnsi="Times New Roman"/>
          <w:color w:val="000000"/>
          <w:sz w:val="24"/>
          <w:shd w:val="clear" w:color="auto" w:fill="FFFFFF"/>
        </w:rPr>
        <w:t>considered</w:t>
      </w:r>
      <w:r w:rsidRPr="00854576">
        <w:rPr>
          <w:rFonts w:ascii="Times New Roman" w:hAnsi="Times New Roman"/>
          <w:color w:val="000000"/>
          <w:sz w:val="24"/>
          <w:shd w:val="clear" w:color="auto" w:fill="FFFFFF"/>
        </w:rPr>
        <w:t xml:space="preserve"> c</w:t>
      </w:r>
      <w:r>
        <w:rPr>
          <w:rFonts w:ascii="Times New Roman" w:hAnsi="Times New Roman"/>
          <w:color w:val="000000"/>
          <w:sz w:val="24"/>
          <w:shd w:val="clear" w:color="auto" w:fill="FFFFFF"/>
        </w:rPr>
        <w:t>omments on magic in another of his works</w:t>
      </w:r>
      <w:r w:rsidRPr="00854576">
        <w:rPr>
          <w:rFonts w:ascii="Times New Roman" w:hAnsi="Times New Roman"/>
          <w:color w:val="000000"/>
          <w:sz w:val="24"/>
          <w:shd w:val="clear" w:color="auto" w:fill="FFFFFF"/>
        </w:rPr>
        <w:t xml:space="preserve">, the </w:t>
      </w:r>
      <w:r w:rsidRPr="00854576">
        <w:rPr>
          <w:rFonts w:ascii="Times New Roman" w:eastAsia="Times New Roman" w:hAnsi="Times New Roman"/>
          <w:bCs/>
          <w:i/>
          <w:sz w:val="24"/>
          <w:szCs w:val="24"/>
          <w:lang w:eastAsia="en-GB"/>
        </w:rPr>
        <w:t>Praeceptorium</w:t>
      </w:r>
      <w:r w:rsidR="00FC6A97">
        <w:rPr>
          <w:rFonts w:ascii="Times New Roman" w:eastAsia="Times New Roman" w:hAnsi="Times New Roman"/>
          <w:bCs/>
          <w:i/>
          <w:sz w:val="24"/>
          <w:szCs w:val="24"/>
          <w:lang w:eastAsia="en-GB"/>
        </w:rPr>
        <w:t xml:space="preserve"> </w:t>
      </w:r>
      <w:r w:rsidRPr="00854576">
        <w:rPr>
          <w:rFonts w:ascii="Times New Roman" w:eastAsia="Times New Roman" w:hAnsi="Times New Roman"/>
          <w:bCs/>
          <w:i/>
          <w:sz w:val="24"/>
          <w:szCs w:val="24"/>
          <w:lang w:eastAsia="en-GB"/>
        </w:rPr>
        <w:t>divinae</w:t>
      </w:r>
      <w:r w:rsidR="00FC6A97">
        <w:rPr>
          <w:rFonts w:ascii="Times New Roman" w:eastAsia="Times New Roman" w:hAnsi="Times New Roman"/>
          <w:bCs/>
          <w:i/>
          <w:sz w:val="24"/>
          <w:szCs w:val="24"/>
          <w:lang w:eastAsia="en-GB"/>
        </w:rPr>
        <w:t xml:space="preserve"> </w:t>
      </w:r>
      <w:r w:rsidRPr="00854576">
        <w:rPr>
          <w:rFonts w:ascii="Times New Roman" w:eastAsia="Times New Roman" w:hAnsi="Times New Roman"/>
          <w:bCs/>
          <w:i/>
          <w:sz w:val="24"/>
          <w:szCs w:val="24"/>
          <w:lang w:eastAsia="en-GB"/>
        </w:rPr>
        <w:t>legis, seu</w:t>
      </w:r>
      <w:r w:rsidR="00FC6A97">
        <w:rPr>
          <w:rFonts w:ascii="Times New Roman" w:eastAsia="Times New Roman" w:hAnsi="Times New Roman"/>
          <w:bCs/>
          <w:i/>
          <w:sz w:val="24"/>
          <w:szCs w:val="24"/>
          <w:lang w:eastAsia="en-GB"/>
        </w:rPr>
        <w:t xml:space="preserve"> </w:t>
      </w:r>
      <w:r w:rsidRPr="00854576">
        <w:rPr>
          <w:rFonts w:ascii="Times New Roman" w:eastAsia="Times New Roman" w:hAnsi="Times New Roman"/>
          <w:bCs/>
          <w:i/>
          <w:sz w:val="24"/>
          <w:szCs w:val="24"/>
          <w:lang w:eastAsia="en-GB"/>
        </w:rPr>
        <w:t>Expositio</w:t>
      </w:r>
      <w:r w:rsidR="00FC6A97">
        <w:rPr>
          <w:rFonts w:ascii="Times New Roman" w:eastAsia="Times New Roman" w:hAnsi="Times New Roman"/>
          <w:bCs/>
          <w:i/>
          <w:sz w:val="24"/>
          <w:szCs w:val="24"/>
          <w:lang w:eastAsia="en-GB"/>
        </w:rPr>
        <w:t xml:space="preserve"> </w:t>
      </w:r>
      <w:r w:rsidRPr="00854576">
        <w:rPr>
          <w:rFonts w:ascii="Times New Roman" w:eastAsia="Times New Roman" w:hAnsi="Times New Roman"/>
          <w:bCs/>
          <w:i/>
          <w:sz w:val="24"/>
          <w:szCs w:val="24"/>
          <w:lang w:eastAsia="en-GB"/>
        </w:rPr>
        <w:t>Decalogi</w:t>
      </w:r>
      <w:r>
        <w:rPr>
          <w:rFonts w:ascii="Times New Roman" w:eastAsia="Times New Roman" w:hAnsi="Times New Roman"/>
          <w:bCs/>
          <w:sz w:val="24"/>
          <w:szCs w:val="24"/>
          <w:lang w:eastAsia="en-GB"/>
        </w:rPr>
        <w:t>.</w:t>
      </w:r>
      <w:r w:rsidRPr="00854576">
        <w:rPr>
          <w:rFonts w:ascii="Times New Roman" w:eastAsia="Times New Roman" w:hAnsi="Times New Roman"/>
          <w:bCs/>
          <w:sz w:val="24"/>
          <w:szCs w:val="24"/>
          <w:lang w:eastAsia="en-GB"/>
        </w:rPr>
        <w:t xml:space="preserve"> This text is important because it demonstrate</w:t>
      </w:r>
      <w:r>
        <w:rPr>
          <w:rFonts w:ascii="Times New Roman" w:eastAsia="Times New Roman" w:hAnsi="Times New Roman"/>
          <w:bCs/>
          <w:sz w:val="24"/>
          <w:szCs w:val="24"/>
          <w:lang w:eastAsia="en-GB"/>
        </w:rPr>
        <w:t>d</w:t>
      </w:r>
      <w:r w:rsidRPr="00854576">
        <w:rPr>
          <w:rFonts w:ascii="Times New Roman" w:eastAsia="Times New Roman" w:hAnsi="Times New Roman"/>
          <w:bCs/>
          <w:sz w:val="24"/>
          <w:szCs w:val="24"/>
          <w:lang w:eastAsia="en-GB"/>
        </w:rPr>
        <w:t xml:space="preserve"> a renewed engagement with the work of earlier authorities such as Augustine</w:t>
      </w:r>
      <w:r>
        <w:rPr>
          <w:rFonts w:ascii="Times New Roman" w:eastAsia="Times New Roman" w:hAnsi="Times New Roman"/>
          <w:bCs/>
          <w:sz w:val="24"/>
          <w:szCs w:val="24"/>
          <w:lang w:eastAsia="en-GB"/>
        </w:rPr>
        <w:t xml:space="preserve"> and Aquinas</w:t>
      </w:r>
      <w:r w:rsidRPr="00854576">
        <w:rPr>
          <w:rFonts w:ascii="Times New Roman" w:eastAsia="Times New Roman" w:hAnsi="Times New Roman"/>
          <w:bCs/>
          <w:sz w:val="24"/>
          <w:szCs w:val="24"/>
          <w:lang w:eastAsia="en-GB"/>
        </w:rPr>
        <w:t xml:space="preserve">. This development almost certainly reflected the process of observant reform, which encouraged </w:t>
      </w:r>
      <w:r>
        <w:rPr>
          <w:rFonts w:ascii="Times New Roman" w:eastAsia="Times New Roman" w:hAnsi="Times New Roman"/>
          <w:bCs/>
          <w:sz w:val="24"/>
          <w:szCs w:val="24"/>
          <w:lang w:eastAsia="en-GB"/>
        </w:rPr>
        <w:t xml:space="preserve">a revival of </w:t>
      </w:r>
      <w:r w:rsidRPr="00854576">
        <w:rPr>
          <w:rFonts w:ascii="Times New Roman" w:eastAsia="Times New Roman" w:hAnsi="Times New Roman"/>
          <w:bCs/>
          <w:sz w:val="24"/>
          <w:szCs w:val="24"/>
          <w:lang w:eastAsia="en-GB"/>
        </w:rPr>
        <w:t xml:space="preserve">scholarship within the Dominican Order and particularly the </w:t>
      </w:r>
      <w:r>
        <w:rPr>
          <w:rFonts w:ascii="Times New Roman" w:eastAsia="Times New Roman" w:hAnsi="Times New Roman"/>
          <w:bCs/>
          <w:sz w:val="24"/>
          <w:szCs w:val="24"/>
          <w:lang w:eastAsia="en-GB"/>
        </w:rPr>
        <w:t xml:space="preserve">renewed </w:t>
      </w:r>
      <w:r w:rsidRPr="00854576">
        <w:rPr>
          <w:rFonts w:ascii="Times New Roman" w:eastAsia="Times New Roman" w:hAnsi="Times New Roman"/>
          <w:bCs/>
          <w:sz w:val="24"/>
          <w:szCs w:val="24"/>
          <w:lang w:eastAsia="en-GB"/>
        </w:rPr>
        <w:t>study of the works of authorit</w:t>
      </w:r>
      <w:r>
        <w:rPr>
          <w:rFonts w:ascii="Times New Roman" w:eastAsia="Times New Roman" w:hAnsi="Times New Roman"/>
          <w:bCs/>
          <w:sz w:val="24"/>
          <w:szCs w:val="24"/>
          <w:lang w:eastAsia="en-GB"/>
        </w:rPr>
        <w:t xml:space="preserve">ative figures such as Aquinas. </w:t>
      </w:r>
      <w:r w:rsidRPr="00854576">
        <w:rPr>
          <w:rFonts w:ascii="Times New Roman" w:eastAsia="Times New Roman" w:hAnsi="Times New Roman"/>
          <w:bCs/>
          <w:sz w:val="24"/>
          <w:szCs w:val="24"/>
          <w:lang w:eastAsia="en-GB"/>
        </w:rPr>
        <w:t>The</w:t>
      </w:r>
      <w:r w:rsidR="00FC6A97">
        <w:rPr>
          <w:rFonts w:ascii="Times New Roman" w:eastAsia="Times New Roman" w:hAnsi="Times New Roman"/>
          <w:bCs/>
          <w:sz w:val="24"/>
          <w:szCs w:val="24"/>
          <w:lang w:eastAsia="en-GB"/>
        </w:rPr>
        <w:t xml:space="preserve"> </w:t>
      </w:r>
      <w:r w:rsidRPr="00854576">
        <w:rPr>
          <w:rFonts w:ascii="Times New Roman" w:eastAsia="Times New Roman" w:hAnsi="Times New Roman"/>
          <w:bCs/>
          <w:i/>
          <w:sz w:val="24"/>
          <w:szCs w:val="24"/>
          <w:lang w:eastAsia="en-GB"/>
        </w:rPr>
        <w:t>Praeceptorium</w:t>
      </w:r>
      <w:r w:rsidRPr="00854576">
        <w:rPr>
          <w:rFonts w:ascii="Times New Roman" w:eastAsia="Times New Roman" w:hAnsi="Times New Roman"/>
          <w:bCs/>
          <w:sz w:val="24"/>
          <w:szCs w:val="24"/>
          <w:lang w:eastAsia="en-GB"/>
        </w:rPr>
        <w:t xml:space="preserve"> indicates that Nider engaged with the </w:t>
      </w:r>
      <w:r w:rsidRPr="00854576">
        <w:rPr>
          <w:rFonts w:ascii="Times New Roman" w:eastAsia="Times New Roman" w:hAnsi="Times New Roman"/>
          <w:bCs/>
          <w:i/>
          <w:sz w:val="24"/>
          <w:szCs w:val="24"/>
          <w:lang w:eastAsia="en-GB"/>
        </w:rPr>
        <w:t>Summa theologica</w:t>
      </w:r>
      <w:r w:rsidRPr="00854576">
        <w:rPr>
          <w:rFonts w:ascii="Times New Roman" w:eastAsia="Times New Roman" w:hAnsi="Times New Roman"/>
          <w:bCs/>
          <w:sz w:val="24"/>
          <w:szCs w:val="24"/>
          <w:lang w:eastAsia="en-GB"/>
        </w:rPr>
        <w:t xml:space="preserve"> in a more comprehensive manner than ha</w:t>
      </w:r>
      <w:r>
        <w:rPr>
          <w:rFonts w:ascii="Times New Roman" w:eastAsia="Times New Roman" w:hAnsi="Times New Roman"/>
          <w:bCs/>
          <w:sz w:val="24"/>
          <w:szCs w:val="24"/>
          <w:lang w:eastAsia="en-GB"/>
        </w:rPr>
        <w:t xml:space="preserve">d Eymerich. </w:t>
      </w:r>
      <w:r w:rsidRPr="00854576">
        <w:rPr>
          <w:rFonts w:ascii="Times New Roman" w:eastAsia="Times New Roman" w:hAnsi="Times New Roman"/>
          <w:bCs/>
          <w:sz w:val="24"/>
          <w:szCs w:val="24"/>
          <w:lang w:eastAsia="en-GB"/>
        </w:rPr>
        <w:t>This offered him a new set of resources to construct an alternative version of Aquinas’s thought on</w:t>
      </w:r>
      <w:r>
        <w:rPr>
          <w:rFonts w:ascii="Times New Roman" w:eastAsia="Times New Roman" w:hAnsi="Times New Roman"/>
          <w:bCs/>
          <w:sz w:val="24"/>
          <w:szCs w:val="24"/>
          <w:lang w:eastAsia="en-GB"/>
        </w:rPr>
        <w:t xml:space="preserve"> magic and the operative arts. </w:t>
      </w:r>
      <w:r w:rsidRPr="00854576">
        <w:rPr>
          <w:rFonts w:ascii="Times New Roman" w:eastAsia="Times New Roman" w:hAnsi="Times New Roman"/>
          <w:bCs/>
          <w:sz w:val="24"/>
          <w:szCs w:val="24"/>
          <w:lang w:eastAsia="en-GB"/>
        </w:rPr>
        <w:t>In book 1</w:t>
      </w:r>
      <w:r>
        <w:rPr>
          <w:rFonts w:ascii="Times New Roman" w:eastAsia="Times New Roman" w:hAnsi="Times New Roman"/>
          <w:bCs/>
          <w:sz w:val="24"/>
          <w:szCs w:val="24"/>
          <w:lang w:eastAsia="en-GB"/>
        </w:rPr>
        <w:t>,</w:t>
      </w:r>
      <w:r w:rsidRPr="00854576">
        <w:rPr>
          <w:rFonts w:ascii="Times New Roman" w:eastAsia="Times New Roman" w:hAnsi="Times New Roman"/>
          <w:bCs/>
          <w:sz w:val="24"/>
          <w:szCs w:val="24"/>
          <w:lang w:eastAsia="en-GB"/>
        </w:rPr>
        <w:t xml:space="preserve"> chapter 11, Nider explicitly commented upon the utility of the </w:t>
      </w:r>
      <w:r w:rsidRPr="003E15B1">
        <w:rPr>
          <w:rFonts w:ascii="Times New Roman" w:eastAsia="Times New Roman" w:hAnsi="Times New Roman"/>
          <w:bCs/>
          <w:i/>
          <w:sz w:val="24"/>
          <w:szCs w:val="24"/>
          <w:lang w:eastAsia="en-GB"/>
        </w:rPr>
        <w:t>secunda secundae</w:t>
      </w:r>
      <w:r w:rsidRPr="00854576">
        <w:rPr>
          <w:rFonts w:ascii="Times New Roman" w:eastAsia="Times New Roman" w:hAnsi="Times New Roman"/>
          <w:bCs/>
          <w:sz w:val="24"/>
          <w:szCs w:val="24"/>
          <w:lang w:eastAsia="en-GB"/>
        </w:rPr>
        <w:t xml:space="preserve"> of the </w:t>
      </w:r>
      <w:r w:rsidRPr="00854576">
        <w:rPr>
          <w:rFonts w:ascii="Times New Roman" w:eastAsia="Times New Roman" w:hAnsi="Times New Roman"/>
          <w:bCs/>
          <w:i/>
          <w:sz w:val="24"/>
          <w:szCs w:val="24"/>
          <w:lang w:eastAsia="en-GB"/>
        </w:rPr>
        <w:t>Summa</w:t>
      </w:r>
      <w:r w:rsidRPr="00854576">
        <w:rPr>
          <w:rFonts w:ascii="Times New Roman" w:eastAsia="Times New Roman" w:hAnsi="Times New Roman"/>
          <w:bCs/>
          <w:sz w:val="24"/>
          <w:szCs w:val="24"/>
          <w:lang w:eastAsia="en-GB"/>
        </w:rPr>
        <w:t xml:space="preserve"> for thinking about issues relating to superstition, especially i</w:t>
      </w:r>
      <w:r w:rsidR="00C71D57">
        <w:rPr>
          <w:rFonts w:ascii="Times New Roman" w:eastAsia="Times New Roman" w:hAnsi="Times New Roman"/>
          <w:bCs/>
          <w:sz w:val="24"/>
          <w:szCs w:val="24"/>
          <w:lang w:eastAsia="en-GB"/>
        </w:rPr>
        <w:t>dolat</w:t>
      </w:r>
      <w:r w:rsidRPr="00854576">
        <w:rPr>
          <w:rFonts w:ascii="Times New Roman" w:eastAsia="Times New Roman" w:hAnsi="Times New Roman"/>
          <w:bCs/>
          <w:sz w:val="24"/>
          <w:szCs w:val="24"/>
          <w:lang w:eastAsia="en-GB"/>
        </w:rPr>
        <w:t xml:space="preserve">ry and divination. </w:t>
      </w:r>
      <w:r>
        <w:rPr>
          <w:rFonts w:ascii="Times New Roman" w:eastAsia="Times New Roman" w:hAnsi="Times New Roman"/>
          <w:bCs/>
          <w:sz w:val="24"/>
          <w:szCs w:val="24"/>
          <w:lang w:eastAsia="en-GB"/>
        </w:rPr>
        <w:t>By u</w:t>
      </w:r>
      <w:r w:rsidRPr="00854576">
        <w:rPr>
          <w:rFonts w:ascii="Times New Roman" w:eastAsia="Times New Roman" w:hAnsi="Times New Roman"/>
          <w:bCs/>
          <w:sz w:val="24"/>
          <w:szCs w:val="24"/>
          <w:lang w:eastAsia="en-GB"/>
        </w:rPr>
        <w:t xml:space="preserve">sing such techniques, he </w:t>
      </w:r>
      <w:r w:rsidR="007D37C7">
        <w:rPr>
          <w:rFonts w:ascii="Times New Roman" w:eastAsia="Times New Roman" w:hAnsi="Times New Roman"/>
          <w:bCs/>
          <w:sz w:val="24"/>
          <w:szCs w:val="24"/>
          <w:lang w:eastAsia="en-GB"/>
        </w:rPr>
        <w:t>noted</w:t>
      </w:r>
      <w:r w:rsidRPr="00854576">
        <w:rPr>
          <w:rFonts w:ascii="Times New Roman" w:eastAsia="Times New Roman" w:hAnsi="Times New Roman"/>
          <w:bCs/>
          <w:sz w:val="24"/>
          <w:szCs w:val="24"/>
          <w:lang w:eastAsia="en-GB"/>
        </w:rPr>
        <w:t xml:space="preserve">, </w:t>
      </w:r>
      <w:r w:rsidRPr="00854576">
        <w:rPr>
          <w:rFonts w:ascii="Times New Roman" w:hAnsi="Times New Roman"/>
          <w:sz w:val="24"/>
        </w:rPr>
        <w:t xml:space="preserve">“someone can strive to investigate hidden or future things, by means of </w:t>
      </w:r>
      <w:r w:rsidR="007D37C7">
        <w:rPr>
          <w:rFonts w:ascii="Times New Roman" w:hAnsi="Times New Roman"/>
          <w:sz w:val="24"/>
        </w:rPr>
        <w:t xml:space="preserve">either </w:t>
      </w:r>
      <w:r w:rsidRPr="00854576">
        <w:rPr>
          <w:rFonts w:ascii="Times New Roman" w:hAnsi="Times New Roman"/>
          <w:sz w:val="24"/>
        </w:rPr>
        <w:t xml:space="preserve">an occult </w:t>
      </w:r>
      <w:r w:rsidRPr="00D36C97">
        <w:rPr>
          <w:rFonts w:ascii="Times New Roman" w:hAnsi="Times New Roman"/>
          <w:sz w:val="24"/>
        </w:rPr>
        <w:t>or manifest</w:t>
      </w:r>
      <w:r w:rsidRPr="00854576">
        <w:rPr>
          <w:rFonts w:ascii="Times New Roman" w:hAnsi="Times New Roman"/>
          <w:sz w:val="24"/>
        </w:rPr>
        <w:t xml:space="preserve"> pact that they had entered into with demons.” </w:t>
      </w:r>
      <w:r>
        <w:rPr>
          <w:rFonts w:ascii="Times New Roman" w:hAnsi="Times New Roman"/>
          <w:sz w:val="24"/>
        </w:rPr>
        <w:t xml:space="preserve">Nider therefore </w:t>
      </w:r>
      <w:r w:rsidRPr="00854576">
        <w:rPr>
          <w:rFonts w:ascii="Times New Roman" w:hAnsi="Times New Roman"/>
          <w:sz w:val="24"/>
        </w:rPr>
        <w:t>dr</w:t>
      </w:r>
      <w:r>
        <w:rPr>
          <w:rFonts w:ascii="Times New Roman" w:hAnsi="Times New Roman"/>
          <w:sz w:val="24"/>
        </w:rPr>
        <w:t xml:space="preserve">ew his reader’s </w:t>
      </w:r>
      <w:r w:rsidRPr="00854576">
        <w:rPr>
          <w:rFonts w:ascii="Times New Roman" w:hAnsi="Times New Roman"/>
          <w:sz w:val="24"/>
        </w:rPr>
        <w:t xml:space="preserve">attention to </w:t>
      </w:r>
      <w:r>
        <w:rPr>
          <w:rFonts w:ascii="Times New Roman" w:hAnsi="Times New Roman"/>
          <w:sz w:val="24"/>
        </w:rPr>
        <w:t xml:space="preserve">the potential </w:t>
      </w:r>
      <w:r>
        <w:rPr>
          <w:rFonts w:ascii="Times New Roman" w:hAnsi="Times New Roman"/>
          <w:sz w:val="24"/>
        </w:rPr>
        <w:lastRenderedPageBreak/>
        <w:t xml:space="preserve">danger of forming </w:t>
      </w:r>
      <w:r w:rsidRPr="00854576">
        <w:rPr>
          <w:rFonts w:ascii="Times New Roman" w:hAnsi="Times New Roman"/>
          <w:sz w:val="24"/>
        </w:rPr>
        <w:t>occult pacts</w:t>
      </w:r>
      <w:r>
        <w:rPr>
          <w:rFonts w:ascii="Times New Roman" w:hAnsi="Times New Roman"/>
          <w:sz w:val="24"/>
        </w:rPr>
        <w:t xml:space="preserve">. In this manner he </w:t>
      </w:r>
      <w:r w:rsidRPr="00854576">
        <w:rPr>
          <w:rFonts w:ascii="Times New Roman" w:hAnsi="Times New Roman"/>
          <w:sz w:val="24"/>
        </w:rPr>
        <w:t>focuss</w:t>
      </w:r>
      <w:r>
        <w:rPr>
          <w:rFonts w:ascii="Times New Roman" w:hAnsi="Times New Roman"/>
          <w:sz w:val="24"/>
        </w:rPr>
        <w:t>ed</w:t>
      </w:r>
      <w:r w:rsidRPr="00854576">
        <w:rPr>
          <w:rFonts w:ascii="Times New Roman" w:hAnsi="Times New Roman"/>
          <w:sz w:val="24"/>
        </w:rPr>
        <w:t xml:space="preserve"> his analysis not only on the actions of the individual perform</w:t>
      </w:r>
      <w:r>
        <w:rPr>
          <w:rFonts w:ascii="Times New Roman" w:hAnsi="Times New Roman"/>
          <w:sz w:val="24"/>
        </w:rPr>
        <w:t>ing them</w:t>
      </w:r>
      <w:r w:rsidRPr="00854576">
        <w:rPr>
          <w:rFonts w:ascii="Times New Roman" w:hAnsi="Times New Roman"/>
          <w:sz w:val="24"/>
        </w:rPr>
        <w:t xml:space="preserve">, but </w:t>
      </w:r>
      <w:r>
        <w:rPr>
          <w:rFonts w:ascii="Times New Roman" w:hAnsi="Times New Roman"/>
          <w:sz w:val="24"/>
        </w:rPr>
        <w:t xml:space="preserve">also </w:t>
      </w:r>
      <w:r w:rsidRPr="00854576">
        <w:rPr>
          <w:rFonts w:ascii="Times New Roman" w:hAnsi="Times New Roman"/>
          <w:sz w:val="24"/>
        </w:rPr>
        <w:t>on the possibility of the art itself.</w:t>
      </w:r>
      <w:r w:rsidRPr="00854576">
        <w:rPr>
          <w:rFonts w:ascii="Times New Roman" w:hAnsi="Times New Roman"/>
          <w:sz w:val="24"/>
          <w:vertAlign w:val="superscript"/>
        </w:rPr>
        <w:footnoteReference w:id="49"/>
      </w:r>
    </w:p>
    <w:p w14:paraId="5DC315AE" w14:textId="77777777" w:rsidR="009526FC" w:rsidRPr="00854576" w:rsidRDefault="009526FC" w:rsidP="00395691">
      <w:pPr>
        <w:spacing w:after="160" w:line="480" w:lineRule="auto"/>
        <w:ind w:firstLine="720"/>
        <w:rPr>
          <w:rFonts w:ascii="Times New Roman" w:eastAsia="Times New Roman" w:hAnsi="Times New Roman"/>
          <w:bCs/>
          <w:sz w:val="24"/>
          <w:szCs w:val="24"/>
          <w:lang w:eastAsia="en-GB"/>
        </w:rPr>
      </w:pPr>
      <w:r w:rsidRPr="00854576">
        <w:rPr>
          <w:rFonts w:ascii="Times New Roman" w:eastAsia="Times New Roman" w:hAnsi="Times New Roman"/>
          <w:bCs/>
          <w:sz w:val="24"/>
          <w:szCs w:val="24"/>
          <w:lang w:eastAsia="en-GB"/>
        </w:rPr>
        <w:t>Nider used a discussion of the boundaries of natural causation to answer various questions relating to witchcraft, for example</w:t>
      </w:r>
      <w:r>
        <w:rPr>
          <w:rFonts w:ascii="Times New Roman" w:eastAsia="Times New Roman" w:hAnsi="Times New Roman"/>
          <w:bCs/>
          <w:sz w:val="24"/>
          <w:szCs w:val="24"/>
          <w:lang w:eastAsia="en-GB"/>
        </w:rPr>
        <w:t xml:space="preserve">, question </w:t>
      </w:r>
      <w:r w:rsidR="00693674">
        <w:rPr>
          <w:rFonts w:ascii="Times New Roman" w:eastAsia="Times New Roman" w:hAnsi="Times New Roman"/>
          <w:bCs/>
          <w:sz w:val="24"/>
          <w:szCs w:val="24"/>
          <w:lang w:eastAsia="en-GB"/>
        </w:rPr>
        <w:t>7</w:t>
      </w:r>
      <w:r>
        <w:rPr>
          <w:rFonts w:ascii="Times New Roman" w:eastAsia="Times New Roman" w:hAnsi="Times New Roman"/>
          <w:bCs/>
          <w:sz w:val="24"/>
          <w:szCs w:val="24"/>
          <w:lang w:eastAsia="en-GB"/>
        </w:rPr>
        <w:t>:</w:t>
      </w:r>
      <w:r w:rsidRPr="00854576">
        <w:rPr>
          <w:rFonts w:ascii="Times New Roman" w:eastAsia="Times New Roman" w:hAnsi="Times New Roman"/>
          <w:bCs/>
          <w:sz w:val="24"/>
          <w:szCs w:val="24"/>
          <w:lang w:eastAsia="en-GB"/>
        </w:rPr>
        <w:t xml:space="preserve"> “Whether it is true that witches can make real animals by </w:t>
      </w:r>
      <w:r>
        <w:rPr>
          <w:rFonts w:ascii="Times New Roman" w:eastAsia="Times New Roman" w:hAnsi="Times New Roman"/>
          <w:bCs/>
          <w:sz w:val="24"/>
          <w:szCs w:val="24"/>
          <w:lang w:eastAsia="en-GB"/>
        </w:rPr>
        <w:t xml:space="preserve">means of their </w:t>
      </w:r>
      <w:r w:rsidRPr="00854576">
        <w:rPr>
          <w:rFonts w:ascii="Times New Roman" w:eastAsia="Times New Roman" w:hAnsi="Times New Roman"/>
          <w:bCs/>
          <w:sz w:val="24"/>
          <w:szCs w:val="24"/>
          <w:lang w:eastAsia="en-GB"/>
        </w:rPr>
        <w:t>art?”</w:t>
      </w:r>
      <w:r>
        <w:rPr>
          <w:rFonts w:ascii="Times New Roman" w:eastAsia="Times New Roman" w:hAnsi="Times New Roman"/>
          <w:bCs/>
          <w:sz w:val="24"/>
          <w:szCs w:val="24"/>
          <w:lang w:eastAsia="en-GB"/>
        </w:rPr>
        <w:t>;</w:t>
      </w:r>
      <w:r w:rsidRPr="00854576">
        <w:rPr>
          <w:rFonts w:ascii="Times New Roman" w:eastAsia="Times New Roman" w:hAnsi="Times New Roman"/>
          <w:bCs/>
          <w:sz w:val="24"/>
          <w:szCs w:val="24"/>
          <w:lang w:eastAsia="en-GB"/>
        </w:rPr>
        <w:t xml:space="preserve"> and </w:t>
      </w:r>
      <w:r>
        <w:rPr>
          <w:rFonts w:ascii="Times New Roman" w:eastAsia="Times New Roman" w:hAnsi="Times New Roman"/>
          <w:bCs/>
          <w:sz w:val="24"/>
          <w:szCs w:val="24"/>
          <w:lang w:eastAsia="en-GB"/>
        </w:rPr>
        <w:t xml:space="preserve">question </w:t>
      </w:r>
      <w:r w:rsidR="00693674">
        <w:rPr>
          <w:rFonts w:ascii="Times New Roman" w:eastAsia="Times New Roman" w:hAnsi="Times New Roman"/>
          <w:bCs/>
          <w:sz w:val="24"/>
          <w:szCs w:val="24"/>
          <w:lang w:eastAsia="en-GB"/>
        </w:rPr>
        <w:t>8</w:t>
      </w:r>
      <w:r>
        <w:rPr>
          <w:rFonts w:ascii="Times New Roman" w:eastAsia="Times New Roman" w:hAnsi="Times New Roman"/>
          <w:bCs/>
          <w:sz w:val="24"/>
          <w:szCs w:val="24"/>
          <w:lang w:eastAsia="en-GB"/>
        </w:rPr>
        <w:t xml:space="preserve">: </w:t>
      </w:r>
      <w:r w:rsidRPr="00854576">
        <w:rPr>
          <w:rFonts w:ascii="Times New Roman" w:eastAsia="Times New Roman" w:hAnsi="Times New Roman"/>
          <w:bCs/>
          <w:sz w:val="24"/>
          <w:szCs w:val="24"/>
          <w:lang w:eastAsia="en-GB"/>
        </w:rPr>
        <w:t xml:space="preserve">“Whether by the work of demons men </w:t>
      </w:r>
      <w:r>
        <w:rPr>
          <w:rFonts w:ascii="Times New Roman" w:eastAsia="Times New Roman" w:hAnsi="Times New Roman"/>
          <w:bCs/>
          <w:sz w:val="24"/>
          <w:szCs w:val="24"/>
          <w:lang w:eastAsia="en-GB"/>
        </w:rPr>
        <w:t>can be transformed into beasts?”</w:t>
      </w:r>
      <w:r>
        <w:rPr>
          <w:rStyle w:val="FootnoteReference"/>
          <w:rFonts w:ascii="Times New Roman" w:eastAsia="Times New Roman" w:hAnsi="Times New Roman"/>
          <w:bCs/>
          <w:sz w:val="24"/>
          <w:szCs w:val="24"/>
          <w:lang w:eastAsia="en-GB"/>
        </w:rPr>
        <w:footnoteReference w:id="50"/>
      </w:r>
      <w:r w:rsidR="00C71D57">
        <w:rPr>
          <w:rFonts w:ascii="Times New Roman" w:eastAsia="Times New Roman" w:hAnsi="Times New Roman"/>
          <w:bCs/>
          <w:sz w:val="24"/>
          <w:szCs w:val="24"/>
          <w:lang w:eastAsia="en-GB"/>
        </w:rPr>
        <w:t xml:space="preserve"> </w:t>
      </w:r>
      <w:r>
        <w:rPr>
          <w:rFonts w:ascii="Times New Roman" w:eastAsia="Times New Roman" w:hAnsi="Times New Roman"/>
          <w:bCs/>
          <w:sz w:val="24"/>
          <w:szCs w:val="24"/>
          <w:lang w:eastAsia="en-GB"/>
        </w:rPr>
        <w:t>Nider opened his answer to the latter question by rejecting the possibility of such transformations. He justified his response by invoking</w:t>
      </w:r>
      <w:r w:rsidR="001A4CFE">
        <w:rPr>
          <w:rFonts w:ascii="Times New Roman" w:eastAsia="Times New Roman" w:hAnsi="Times New Roman"/>
          <w:bCs/>
          <w:sz w:val="24"/>
          <w:szCs w:val="24"/>
          <w:lang w:eastAsia="en-GB"/>
        </w:rPr>
        <w:t xml:space="preserve"> </w:t>
      </w:r>
      <w:r>
        <w:rPr>
          <w:rFonts w:ascii="Times New Roman" w:eastAsia="Times New Roman" w:hAnsi="Times New Roman"/>
          <w:bCs/>
          <w:sz w:val="24"/>
          <w:szCs w:val="24"/>
          <w:lang w:eastAsia="en-GB"/>
        </w:rPr>
        <w:t>the writings of Augustine and Aquinas. The former</w:t>
      </w:r>
      <w:r w:rsidRPr="00854576">
        <w:rPr>
          <w:rFonts w:ascii="Times New Roman" w:eastAsia="Times New Roman" w:hAnsi="Times New Roman"/>
          <w:bCs/>
          <w:sz w:val="24"/>
          <w:szCs w:val="24"/>
          <w:lang w:eastAsia="en-GB"/>
        </w:rPr>
        <w:t xml:space="preserve">, </w:t>
      </w:r>
      <w:r>
        <w:rPr>
          <w:rFonts w:ascii="Times New Roman" w:eastAsia="Times New Roman" w:hAnsi="Times New Roman"/>
          <w:bCs/>
          <w:sz w:val="24"/>
          <w:szCs w:val="24"/>
          <w:lang w:eastAsia="en-GB"/>
        </w:rPr>
        <w:t xml:space="preserve">he noted, had dismissed the possibility of the transformation of human bodies in texts such </w:t>
      </w:r>
      <w:r w:rsidRPr="00EC7D81">
        <w:rPr>
          <w:rFonts w:ascii="Times New Roman" w:eastAsia="Times New Roman" w:hAnsi="Times New Roman"/>
          <w:bCs/>
          <w:i/>
          <w:sz w:val="24"/>
          <w:szCs w:val="24"/>
          <w:lang w:eastAsia="en-GB"/>
        </w:rPr>
        <w:t>De civitate Dei</w:t>
      </w:r>
      <w:r>
        <w:rPr>
          <w:rFonts w:ascii="Times New Roman" w:eastAsia="Times New Roman" w:hAnsi="Times New Roman"/>
          <w:bCs/>
          <w:sz w:val="24"/>
          <w:szCs w:val="24"/>
          <w:lang w:eastAsia="en-GB"/>
        </w:rPr>
        <w:t>.</w:t>
      </w:r>
      <w:r w:rsidR="001A4CFE">
        <w:rPr>
          <w:rFonts w:ascii="Times New Roman" w:eastAsia="Times New Roman" w:hAnsi="Times New Roman"/>
          <w:bCs/>
          <w:sz w:val="24"/>
          <w:szCs w:val="24"/>
          <w:lang w:eastAsia="en-GB"/>
        </w:rPr>
        <w:t xml:space="preserve"> </w:t>
      </w:r>
      <w:r>
        <w:rPr>
          <w:rFonts w:ascii="Times New Roman" w:eastAsia="Times New Roman" w:hAnsi="Times New Roman"/>
          <w:bCs/>
          <w:sz w:val="24"/>
          <w:szCs w:val="24"/>
          <w:lang w:eastAsia="en-GB"/>
        </w:rPr>
        <w:t xml:space="preserve">Nider did not dismiss transformations entirely. Although he did not refer directly to Augustine’s discussion of seeds in </w:t>
      </w:r>
      <w:r w:rsidRPr="00EC7D81">
        <w:rPr>
          <w:rFonts w:ascii="Times New Roman" w:eastAsia="Times New Roman" w:hAnsi="Times New Roman"/>
          <w:bCs/>
          <w:i/>
          <w:sz w:val="24"/>
          <w:szCs w:val="24"/>
          <w:lang w:eastAsia="en-GB"/>
        </w:rPr>
        <w:t>De trinitate</w:t>
      </w:r>
      <w:r>
        <w:rPr>
          <w:rFonts w:ascii="Times New Roman" w:eastAsia="Times New Roman" w:hAnsi="Times New Roman"/>
          <w:bCs/>
          <w:sz w:val="24"/>
          <w:szCs w:val="24"/>
          <w:lang w:eastAsia="en-GB"/>
        </w:rPr>
        <w:t xml:space="preserve"> III, he reproduced a lengthy exert from the section of Aquinas’s </w:t>
      </w:r>
      <w:r w:rsidRPr="00A72416">
        <w:rPr>
          <w:rFonts w:ascii="Times New Roman" w:eastAsia="Times New Roman" w:hAnsi="Times New Roman"/>
          <w:bCs/>
          <w:i/>
          <w:sz w:val="24"/>
          <w:szCs w:val="24"/>
          <w:lang w:eastAsia="en-GB"/>
        </w:rPr>
        <w:t>Summa theologica</w:t>
      </w:r>
      <w:r>
        <w:rPr>
          <w:rFonts w:ascii="Times New Roman" w:eastAsia="Times New Roman" w:hAnsi="Times New Roman"/>
          <w:bCs/>
          <w:sz w:val="24"/>
          <w:szCs w:val="24"/>
          <w:lang w:eastAsia="en-GB"/>
        </w:rPr>
        <w:t xml:space="preserve"> that discussed these ideas.</w:t>
      </w:r>
      <w:r>
        <w:rPr>
          <w:rStyle w:val="FootnoteReference"/>
          <w:rFonts w:ascii="Times New Roman" w:hAnsi="Times New Roman"/>
          <w:sz w:val="24"/>
        </w:rPr>
        <w:footnoteReference w:id="51"/>
      </w:r>
      <w:r w:rsidR="005F13D2">
        <w:rPr>
          <w:rFonts w:ascii="Times New Roman" w:eastAsia="Times New Roman" w:hAnsi="Times New Roman"/>
          <w:bCs/>
          <w:sz w:val="24"/>
          <w:szCs w:val="24"/>
          <w:lang w:eastAsia="en-GB"/>
        </w:rPr>
        <w:t xml:space="preserve"> </w:t>
      </w:r>
      <w:r w:rsidRPr="00854576">
        <w:rPr>
          <w:rFonts w:ascii="Times New Roman" w:hAnsi="Times New Roman"/>
          <w:sz w:val="24"/>
        </w:rPr>
        <w:t xml:space="preserve">Nider </w:t>
      </w:r>
      <w:r>
        <w:rPr>
          <w:rFonts w:ascii="Times New Roman" w:hAnsi="Times New Roman"/>
          <w:sz w:val="24"/>
        </w:rPr>
        <w:t>used the</w:t>
      </w:r>
      <w:r w:rsidR="00024870">
        <w:rPr>
          <w:rFonts w:ascii="Times New Roman" w:hAnsi="Times New Roman"/>
          <w:sz w:val="24"/>
        </w:rPr>
        <w:t xml:space="preserve"> </w:t>
      </w:r>
      <w:r w:rsidRPr="00854576">
        <w:rPr>
          <w:rFonts w:ascii="Times New Roman" w:hAnsi="Times New Roman"/>
          <w:i/>
          <w:sz w:val="24"/>
        </w:rPr>
        <w:t>Summa</w:t>
      </w:r>
      <w:r>
        <w:rPr>
          <w:rFonts w:ascii="Times New Roman" w:hAnsi="Times New Roman"/>
          <w:i/>
          <w:sz w:val="24"/>
        </w:rPr>
        <w:t xml:space="preserve"> theologica </w:t>
      </w:r>
      <w:r>
        <w:rPr>
          <w:rFonts w:ascii="Times New Roman" w:hAnsi="Times New Roman"/>
          <w:sz w:val="24"/>
        </w:rPr>
        <w:t>to defend the view that demons could perform</w:t>
      </w:r>
      <w:r w:rsidR="001A4CFE">
        <w:rPr>
          <w:rFonts w:ascii="Times New Roman" w:hAnsi="Times New Roman"/>
          <w:sz w:val="24"/>
        </w:rPr>
        <w:t xml:space="preserve"> </w:t>
      </w:r>
      <w:r>
        <w:rPr>
          <w:rFonts w:ascii="Times New Roman" w:hAnsi="Times New Roman"/>
          <w:sz w:val="24"/>
        </w:rPr>
        <w:t xml:space="preserve">certain </w:t>
      </w:r>
      <w:r w:rsidRPr="00854576">
        <w:rPr>
          <w:rFonts w:ascii="Times New Roman" w:hAnsi="Times New Roman"/>
          <w:sz w:val="24"/>
        </w:rPr>
        <w:t>transformations</w:t>
      </w:r>
      <w:r>
        <w:rPr>
          <w:rFonts w:ascii="Times New Roman" w:hAnsi="Times New Roman"/>
          <w:sz w:val="24"/>
        </w:rPr>
        <w:t>, but only</w:t>
      </w:r>
      <w:r w:rsidRPr="00854576">
        <w:rPr>
          <w:rFonts w:ascii="Times New Roman" w:hAnsi="Times New Roman"/>
          <w:sz w:val="24"/>
        </w:rPr>
        <w:t xml:space="preserve"> by manipulating natural virtues (</w:t>
      </w:r>
      <w:r w:rsidRPr="00854576">
        <w:rPr>
          <w:rFonts w:ascii="Times New Roman" w:hAnsi="Times New Roman"/>
          <w:i/>
          <w:sz w:val="24"/>
        </w:rPr>
        <w:t>virtute</w:t>
      </w:r>
      <w:r w:rsidR="001A4CFE">
        <w:rPr>
          <w:rFonts w:ascii="Times New Roman" w:hAnsi="Times New Roman"/>
          <w:i/>
          <w:sz w:val="24"/>
        </w:rPr>
        <w:t xml:space="preserve"> </w:t>
      </w:r>
      <w:r w:rsidRPr="00854576">
        <w:rPr>
          <w:rFonts w:ascii="Times New Roman" w:hAnsi="Times New Roman"/>
          <w:i/>
          <w:sz w:val="24"/>
        </w:rPr>
        <w:t>naturae</w:t>
      </w:r>
      <w:r w:rsidRPr="00854576">
        <w:rPr>
          <w:rFonts w:ascii="Times New Roman" w:hAnsi="Times New Roman"/>
          <w:sz w:val="24"/>
        </w:rPr>
        <w:t xml:space="preserve">). </w:t>
      </w:r>
      <w:r>
        <w:rPr>
          <w:rFonts w:ascii="Times New Roman" w:hAnsi="Times New Roman"/>
          <w:sz w:val="24"/>
        </w:rPr>
        <w:t>He therefore</w:t>
      </w:r>
      <w:r w:rsidRPr="00854576">
        <w:rPr>
          <w:rFonts w:ascii="Times New Roman" w:hAnsi="Times New Roman"/>
          <w:sz w:val="24"/>
        </w:rPr>
        <w:t xml:space="preserve"> accepted the broad Thomist principle that demons could only act by means of art, and also the specific idea that the existence of seeds, hidden within the natural world, made wondrous trans</w:t>
      </w:r>
      <w:r>
        <w:rPr>
          <w:rFonts w:ascii="Times New Roman" w:hAnsi="Times New Roman"/>
          <w:sz w:val="24"/>
        </w:rPr>
        <w:t xml:space="preserve">formations naturally possible. </w:t>
      </w:r>
      <w:r w:rsidRPr="00854576">
        <w:rPr>
          <w:rFonts w:ascii="Times New Roman" w:hAnsi="Times New Roman"/>
          <w:sz w:val="24"/>
        </w:rPr>
        <w:t xml:space="preserve">It was not clear in this passage whether Nider accepted the position that Aquinas </w:t>
      </w:r>
      <w:r>
        <w:rPr>
          <w:rFonts w:ascii="Times New Roman" w:hAnsi="Times New Roman"/>
          <w:sz w:val="24"/>
        </w:rPr>
        <w:t xml:space="preserve">had </w:t>
      </w:r>
      <w:r w:rsidRPr="00854576">
        <w:rPr>
          <w:rFonts w:ascii="Times New Roman" w:hAnsi="Times New Roman"/>
          <w:sz w:val="24"/>
        </w:rPr>
        <w:t xml:space="preserve">expressed elsewhere in the </w:t>
      </w:r>
      <w:r w:rsidRPr="00854576">
        <w:rPr>
          <w:rFonts w:ascii="Times New Roman" w:hAnsi="Times New Roman"/>
          <w:i/>
          <w:sz w:val="24"/>
        </w:rPr>
        <w:lastRenderedPageBreak/>
        <w:t>Summa</w:t>
      </w:r>
      <w:r w:rsidRPr="00854576">
        <w:rPr>
          <w:rFonts w:ascii="Times New Roman" w:hAnsi="Times New Roman"/>
          <w:sz w:val="24"/>
        </w:rPr>
        <w:t xml:space="preserve">, </w:t>
      </w:r>
      <w:r>
        <w:rPr>
          <w:rFonts w:ascii="Times New Roman" w:hAnsi="Times New Roman"/>
          <w:sz w:val="24"/>
        </w:rPr>
        <w:t xml:space="preserve">namely </w:t>
      </w:r>
      <w:r w:rsidRPr="00854576">
        <w:rPr>
          <w:rFonts w:ascii="Times New Roman" w:hAnsi="Times New Roman"/>
          <w:sz w:val="24"/>
        </w:rPr>
        <w:t xml:space="preserve">that the existence of such seeds opened the possibility for </w:t>
      </w:r>
      <w:r>
        <w:rPr>
          <w:rFonts w:ascii="Times New Roman" w:hAnsi="Times New Roman"/>
          <w:sz w:val="24"/>
        </w:rPr>
        <w:t xml:space="preserve">the </w:t>
      </w:r>
      <w:r w:rsidRPr="00854576">
        <w:rPr>
          <w:rFonts w:ascii="Times New Roman" w:hAnsi="Times New Roman"/>
          <w:sz w:val="24"/>
        </w:rPr>
        <w:t>genuine transmutation of metals.</w:t>
      </w:r>
      <w:r w:rsidRPr="00854576">
        <w:rPr>
          <w:rFonts w:ascii="Times New Roman" w:hAnsi="Times New Roman"/>
          <w:sz w:val="24"/>
          <w:vertAlign w:val="superscript"/>
        </w:rPr>
        <w:footnoteReference w:id="52"/>
      </w:r>
    </w:p>
    <w:p w14:paraId="2023AC06" w14:textId="77777777" w:rsidR="009526FC" w:rsidRPr="00854576" w:rsidRDefault="009526FC" w:rsidP="00854576">
      <w:pPr>
        <w:spacing w:after="160" w:line="480" w:lineRule="auto"/>
        <w:rPr>
          <w:rFonts w:ascii="Times New Roman" w:hAnsi="Times New Roman"/>
          <w:sz w:val="24"/>
        </w:rPr>
      </w:pPr>
      <w:r w:rsidRPr="00854576">
        <w:rPr>
          <w:rFonts w:ascii="Times New Roman" w:hAnsi="Times New Roman"/>
          <w:sz w:val="24"/>
        </w:rPr>
        <w:tab/>
        <w:t xml:space="preserve">The new approach to reading Aquinas’s work evident in Nider’s work also informed the </w:t>
      </w:r>
      <w:r w:rsidRPr="00854576">
        <w:rPr>
          <w:rFonts w:ascii="Times New Roman" w:hAnsi="Times New Roman"/>
          <w:i/>
          <w:sz w:val="24"/>
        </w:rPr>
        <w:t>Malleus maleficarum</w:t>
      </w:r>
      <w:r>
        <w:rPr>
          <w:rFonts w:ascii="Times New Roman" w:hAnsi="Times New Roman"/>
          <w:sz w:val="24"/>
        </w:rPr>
        <w:t xml:space="preserve">. </w:t>
      </w:r>
      <w:r w:rsidRPr="00854576">
        <w:rPr>
          <w:rFonts w:ascii="Times New Roman" w:hAnsi="Times New Roman"/>
          <w:sz w:val="24"/>
        </w:rPr>
        <w:t>Written by th</w:t>
      </w:r>
      <w:r w:rsidR="00DF1BE9">
        <w:rPr>
          <w:rFonts w:ascii="Times New Roman" w:hAnsi="Times New Roman"/>
          <w:sz w:val="24"/>
        </w:rPr>
        <w:t>e observant Dominican friars Henricus</w:t>
      </w:r>
      <w:r w:rsidRPr="00854576">
        <w:rPr>
          <w:rFonts w:ascii="Times New Roman" w:hAnsi="Times New Roman"/>
          <w:sz w:val="24"/>
        </w:rPr>
        <w:t xml:space="preserve"> In</w:t>
      </w:r>
      <w:r w:rsidR="00DF1BE9">
        <w:rPr>
          <w:rFonts w:ascii="Times New Roman" w:hAnsi="Times New Roman"/>
          <w:sz w:val="24"/>
        </w:rPr>
        <w:t>stitoris (</w:t>
      </w:r>
      <w:r w:rsidR="00DF1BE9" w:rsidRPr="00693674">
        <w:rPr>
          <w:rFonts w:ascii="Times New Roman" w:hAnsi="Times New Roman"/>
          <w:i/>
          <w:sz w:val="24"/>
        </w:rPr>
        <w:t>c</w:t>
      </w:r>
      <w:r w:rsidR="001F1A82" w:rsidRPr="00693674">
        <w:rPr>
          <w:rFonts w:ascii="Times New Roman" w:hAnsi="Times New Roman"/>
          <w:i/>
          <w:sz w:val="24"/>
        </w:rPr>
        <w:t>a</w:t>
      </w:r>
      <w:r w:rsidR="00DF1BE9" w:rsidRPr="00693674">
        <w:rPr>
          <w:rFonts w:ascii="Times New Roman" w:hAnsi="Times New Roman"/>
          <w:i/>
          <w:sz w:val="24"/>
        </w:rPr>
        <w:t>.</w:t>
      </w:r>
      <w:r w:rsidR="00EC3B09">
        <w:rPr>
          <w:rFonts w:ascii="Times New Roman" w:hAnsi="Times New Roman"/>
          <w:sz w:val="24"/>
        </w:rPr>
        <w:t xml:space="preserve"> </w:t>
      </w:r>
      <w:r w:rsidR="00DF1BE9">
        <w:rPr>
          <w:rFonts w:ascii="Times New Roman" w:hAnsi="Times New Roman"/>
          <w:sz w:val="24"/>
        </w:rPr>
        <w:t>1430</w:t>
      </w:r>
      <w:r w:rsidR="00EC3B09">
        <w:rPr>
          <w:rFonts w:ascii="Times New Roman" w:hAnsi="Times New Roman"/>
          <w:sz w:val="24"/>
        </w:rPr>
        <w:t>–</w:t>
      </w:r>
      <w:r w:rsidR="00DF1BE9">
        <w:rPr>
          <w:rFonts w:ascii="Times New Roman" w:hAnsi="Times New Roman"/>
          <w:sz w:val="24"/>
        </w:rPr>
        <w:t>1505) and Jacobus</w:t>
      </w:r>
      <w:r w:rsidRPr="00854576">
        <w:rPr>
          <w:rFonts w:ascii="Times New Roman" w:hAnsi="Times New Roman"/>
          <w:sz w:val="24"/>
        </w:rPr>
        <w:t xml:space="preserve"> Sprenger (</w:t>
      </w:r>
      <w:r w:rsidRPr="00693674">
        <w:rPr>
          <w:rFonts w:ascii="Times New Roman" w:hAnsi="Times New Roman"/>
          <w:i/>
          <w:sz w:val="24"/>
        </w:rPr>
        <w:t>c</w:t>
      </w:r>
      <w:r w:rsidR="001F1A82" w:rsidRPr="00693674">
        <w:rPr>
          <w:rFonts w:ascii="Times New Roman" w:hAnsi="Times New Roman"/>
          <w:i/>
          <w:sz w:val="24"/>
        </w:rPr>
        <w:t>a</w:t>
      </w:r>
      <w:r w:rsidRPr="00693674">
        <w:rPr>
          <w:rFonts w:ascii="Times New Roman" w:hAnsi="Times New Roman"/>
          <w:i/>
          <w:sz w:val="24"/>
        </w:rPr>
        <w:t>.</w:t>
      </w:r>
      <w:r w:rsidR="00EC3B09">
        <w:rPr>
          <w:rFonts w:ascii="Times New Roman" w:hAnsi="Times New Roman"/>
          <w:sz w:val="24"/>
        </w:rPr>
        <w:t xml:space="preserve"> </w:t>
      </w:r>
      <w:r w:rsidRPr="00854576">
        <w:rPr>
          <w:rFonts w:ascii="Times New Roman" w:hAnsi="Times New Roman"/>
          <w:sz w:val="24"/>
        </w:rPr>
        <w:t>1437</w:t>
      </w:r>
      <w:r w:rsidR="00EC3B09">
        <w:rPr>
          <w:rFonts w:ascii="Times New Roman" w:hAnsi="Times New Roman"/>
          <w:sz w:val="24"/>
        </w:rPr>
        <w:t>–14</w:t>
      </w:r>
      <w:r w:rsidRPr="00854576">
        <w:rPr>
          <w:rFonts w:ascii="Times New Roman" w:hAnsi="Times New Roman"/>
          <w:sz w:val="24"/>
        </w:rPr>
        <w:t xml:space="preserve">95), the </w:t>
      </w:r>
      <w:r w:rsidRPr="00854576">
        <w:rPr>
          <w:rFonts w:ascii="Times New Roman" w:hAnsi="Times New Roman"/>
          <w:i/>
          <w:sz w:val="24"/>
        </w:rPr>
        <w:t>Malleus</w:t>
      </w:r>
      <w:r w:rsidRPr="00854576">
        <w:rPr>
          <w:rFonts w:ascii="Times New Roman" w:hAnsi="Times New Roman"/>
          <w:sz w:val="24"/>
        </w:rPr>
        <w:t xml:space="preserve"> was a manual specifically focussed on providing information relevan</w:t>
      </w:r>
      <w:r>
        <w:rPr>
          <w:rFonts w:ascii="Times New Roman" w:hAnsi="Times New Roman"/>
          <w:sz w:val="24"/>
        </w:rPr>
        <w:t xml:space="preserve">t to the prosecution of magic. </w:t>
      </w:r>
      <w:r w:rsidRPr="00854576">
        <w:rPr>
          <w:rFonts w:ascii="Times New Roman" w:hAnsi="Times New Roman"/>
          <w:sz w:val="24"/>
        </w:rPr>
        <w:t>It drew on several earlier texts w</w:t>
      </w:r>
      <w:r>
        <w:rPr>
          <w:rFonts w:ascii="Times New Roman" w:hAnsi="Times New Roman"/>
          <w:sz w:val="24"/>
        </w:rPr>
        <w:t>ritten by Dominicans. Its third book</w:t>
      </w:r>
      <w:r w:rsidRPr="00854576">
        <w:rPr>
          <w:rFonts w:ascii="Times New Roman" w:hAnsi="Times New Roman"/>
          <w:sz w:val="24"/>
        </w:rPr>
        <w:t xml:space="preserve">, which detailed the procedures for investigating and prosecuting witches, was derived from Eymerich’s </w:t>
      </w:r>
      <w:r w:rsidRPr="00854576">
        <w:rPr>
          <w:rFonts w:ascii="Times New Roman" w:hAnsi="Times New Roman"/>
          <w:i/>
          <w:sz w:val="24"/>
        </w:rPr>
        <w:t>Directorium</w:t>
      </w:r>
      <w:r>
        <w:rPr>
          <w:rFonts w:ascii="Times New Roman" w:hAnsi="Times New Roman"/>
          <w:sz w:val="24"/>
        </w:rPr>
        <w:t xml:space="preserve">. </w:t>
      </w:r>
      <w:r w:rsidRPr="00854576">
        <w:rPr>
          <w:rFonts w:ascii="Times New Roman" w:hAnsi="Times New Roman"/>
          <w:sz w:val="24"/>
        </w:rPr>
        <w:t xml:space="preserve">The second </w:t>
      </w:r>
      <w:r>
        <w:rPr>
          <w:rFonts w:ascii="Times New Roman" w:hAnsi="Times New Roman"/>
          <w:sz w:val="24"/>
        </w:rPr>
        <w:t xml:space="preserve">book </w:t>
      </w:r>
      <w:r w:rsidRPr="00854576">
        <w:rPr>
          <w:rFonts w:ascii="Times New Roman" w:hAnsi="Times New Roman"/>
          <w:sz w:val="24"/>
        </w:rPr>
        <w:t>was informed by Nider’s</w:t>
      </w:r>
      <w:r w:rsidR="001A4CFE">
        <w:rPr>
          <w:rFonts w:ascii="Times New Roman" w:hAnsi="Times New Roman"/>
          <w:sz w:val="24"/>
        </w:rPr>
        <w:t xml:space="preserve"> </w:t>
      </w:r>
      <w:r w:rsidRPr="00854576">
        <w:rPr>
          <w:rFonts w:ascii="Times New Roman" w:hAnsi="Times New Roman"/>
          <w:i/>
          <w:sz w:val="24"/>
        </w:rPr>
        <w:t>Formicarius</w:t>
      </w:r>
      <w:r w:rsidRPr="00854576">
        <w:rPr>
          <w:rFonts w:ascii="Times New Roman" w:hAnsi="Times New Roman"/>
          <w:sz w:val="24"/>
        </w:rPr>
        <w:t xml:space="preserve">, and </w:t>
      </w:r>
      <w:r>
        <w:rPr>
          <w:rFonts w:ascii="Times New Roman" w:hAnsi="Times New Roman"/>
          <w:sz w:val="24"/>
        </w:rPr>
        <w:t xml:space="preserve">it </w:t>
      </w:r>
      <w:r w:rsidRPr="00854576">
        <w:rPr>
          <w:rFonts w:ascii="Times New Roman" w:hAnsi="Times New Roman"/>
          <w:sz w:val="24"/>
        </w:rPr>
        <w:t>drew further attention to his ideas about the threat posed to Christians by covens</w:t>
      </w:r>
      <w:r>
        <w:rPr>
          <w:rFonts w:ascii="Times New Roman" w:hAnsi="Times New Roman"/>
          <w:sz w:val="24"/>
        </w:rPr>
        <w:t xml:space="preserve"> of devil-worshipping witches. </w:t>
      </w:r>
      <w:r w:rsidRPr="00854576">
        <w:rPr>
          <w:rFonts w:ascii="Times New Roman" w:hAnsi="Times New Roman"/>
          <w:sz w:val="24"/>
        </w:rPr>
        <w:t xml:space="preserve">The arguments of the first book were mainly based upon Aquinas’s writings, and its authors, like Nider, drew substantially upon the </w:t>
      </w:r>
      <w:r w:rsidRPr="00854576">
        <w:rPr>
          <w:rFonts w:ascii="Times New Roman" w:hAnsi="Times New Roman"/>
          <w:i/>
          <w:sz w:val="24"/>
        </w:rPr>
        <w:t>Summa theologica</w:t>
      </w:r>
      <w:r>
        <w:rPr>
          <w:rFonts w:ascii="Times New Roman" w:hAnsi="Times New Roman"/>
          <w:sz w:val="24"/>
        </w:rPr>
        <w:t xml:space="preserve">. </w:t>
      </w:r>
      <w:r w:rsidRPr="00854576">
        <w:rPr>
          <w:rFonts w:ascii="Times New Roman" w:hAnsi="Times New Roman"/>
          <w:sz w:val="24"/>
        </w:rPr>
        <w:t>In this book, Institoris and Sprenger were primarily concerned with proving the reality of heretical witchcraft, rather than discussing the legitim</w:t>
      </w:r>
      <w:r>
        <w:rPr>
          <w:rFonts w:ascii="Times New Roman" w:hAnsi="Times New Roman"/>
          <w:sz w:val="24"/>
        </w:rPr>
        <w:t>acy of particular magical arts.</w:t>
      </w:r>
      <w:r w:rsidRPr="00854576">
        <w:rPr>
          <w:rFonts w:ascii="Times New Roman" w:hAnsi="Times New Roman"/>
          <w:sz w:val="24"/>
        </w:rPr>
        <w:t xml:space="preserve"> Nevertheless, they did discuss them on occasion in order to consider themes related to the prosecution of diabolis</w:t>
      </w:r>
      <w:r>
        <w:rPr>
          <w:rFonts w:ascii="Times New Roman" w:hAnsi="Times New Roman"/>
          <w:sz w:val="24"/>
        </w:rPr>
        <w:t xml:space="preserve">m. </w:t>
      </w:r>
      <w:r w:rsidRPr="00854576">
        <w:rPr>
          <w:rFonts w:ascii="Times New Roman" w:hAnsi="Times New Roman"/>
          <w:sz w:val="24"/>
        </w:rPr>
        <w:t xml:space="preserve">To take one example, in </w:t>
      </w:r>
      <w:r w:rsidR="00693674">
        <w:rPr>
          <w:rFonts w:ascii="Times New Roman" w:hAnsi="Times New Roman"/>
          <w:sz w:val="24"/>
        </w:rPr>
        <w:t>b</w:t>
      </w:r>
      <w:r w:rsidRPr="00854576">
        <w:rPr>
          <w:rFonts w:ascii="Times New Roman" w:hAnsi="Times New Roman"/>
          <w:sz w:val="24"/>
        </w:rPr>
        <w:t>ook 1, question 5</w:t>
      </w:r>
      <w:r>
        <w:rPr>
          <w:rFonts w:ascii="Times New Roman" w:hAnsi="Times New Roman"/>
          <w:sz w:val="24"/>
        </w:rPr>
        <w:t>,</w:t>
      </w:r>
      <w:r w:rsidRPr="00854576">
        <w:rPr>
          <w:rFonts w:ascii="Times New Roman" w:hAnsi="Times New Roman"/>
          <w:sz w:val="24"/>
        </w:rPr>
        <w:t xml:space="preserve"> of the </w:t>
      </w:r>
      <w:r w:rsidRPr="00854576">
        <w:rPr>
          <w:rFonts w:ascii="Times New Roman" w:hAnsi="Times New Roman"/>
          <w:i/>
          <w:sz w:val="24"/>
        </w:rPr>
        <w:t>Malleus</w:t>
      </w:r>
      <w:r w:rsidRPr="00854576">
        <w:rPr>
          <w:rFonts w:ascii="Times New Roman" w:hAnsi="Times New Roman"/>
          <w:sz w:val="24"/>
        </w:rPr>
        <w:t xml:space="preserve"> they considered whether the increased levels of witchcraft that they had observed could have been caus</w:t>
      </w:r>
      <w:r>
        <w:rPr>
          <w:rFonts w:ascii="Times New Roman" w:hAnsi="Times New Roman"/>
          <w:sz w:val="24"/>
        </w:rPr>
        <w:t xml:space="preserve">ed by astrological influences. </w:t>
      </w:r>
      <w:r w:rsidRPr="00854576">
        <w:rPr>
          <w:rFonts w:ascii="Times New Roman" w:hAnsi="Times New Roman"/>
          <w:sz w:val="24"/>
        </w:rPr>
        <w:t xml:space="preserve">To answer their question, they defended an account of the legitimate boundaries of astrological influence highly similar to that described by Aquinas in the </w:t>
      </w:r>
      <w:r w:rsidRPr="00854576">
        <w:rPr>
          <w:rFonts w:ascii="Times New Roman" w:hAnsi="Times New Roman"/>
          <w:i/>
          <w:sz w:val="24"/>
        </w:rPr>
        <w:t>Summa theologica</w:t>
      </w:r>
      <w:r w:rsidRPr="00854576">
        <w:rPr>
          <w:rFonts w:ascii="Times New Roman" w:hAnsi="Times New Roman"/>
          <w:sz w:val="24"/>
        </w:rPr>
        <w:t xml:space="preserve">, including the idea that the stars could incline humans </w:t>
      </w:r>
      <w:r>
        <w:rPr>
          <w:rFonts w:ascii="Times New Roman" w:hAnsi="Times New Roman"/>
          <w:sz w:val="24"/>
        </w:rPr>
        <w:t xml:space="preserve">towards particular behaviours. </w:t>
      </w:r>
      <w:r w:rsidRPr="00854576">
        <w:rPr>
          <w:rFonts w:ascii="Times New Roman" w:hAnsi="Times New Roman"/>
          <w:sz w:val="24"/>
        </w:rPr>
        <w:t xml:space="preserve">Elsewhere, they followed Aquinas in condemning the production of astrological talismans, on the ground that they </w:t>
      </w:r>
      <w:r w:rsidRPr="00854576">
        <w:rPr>
          <w:rFonts w:ascii="Times New Roman" w:hAnsi="Times New Roman"/>
          <w:sz w:val="24"/>
        </w:rPr>
        <w:lastRenderedPageBreak/>
        <w:t>could not produce their effects naturally and so must function by means of a tacit pact with demons.</w:t>
      </w:r>
      <w:r w:rsidRPr="00854576">
        <w:rPr>
          <w:rFonts w:ascii="Times New Roman" w:hAnsi="Times New Roman"/>
          <w:sz w:val="24"/>
          <w:vertAlign w:val="superscript"/>
        </w:rPr>
        <w:footnoteReference w:id="53"/>
      </w:r>
    </w:p>
    <w:p w14:paraId="138B26AB" w14:textId="77777777" w:rsidR="00EB65A8" w:rsidRDefault="009526FC" w:rsidP="009B5CED">
      <w:pPr>
        <w:spacing w:after="160" w:line="480" w:lineRule="auto"/>
        <w:ind w:firstLine="720"/>
        <w:rPr>
          <w:rFonts w:ascii="Times New Roman" w:hAnsi="Times New Roman"/>
          <w:sz w:val="24"/>
        </w:rPr>
      </w:pPr>
      <w:r w:rsidRPr="00854576">
        <w:rPr>
          <w:rFonts w:ascii="Times New Roman" w:hAnsi="Times New Roman"/>
          <w:sz w:val="24"/>
        </w:rPr>
        <w:t xml:space="preserve">Institoris and Sprenger also briefly discussed </w:t>
      </w:r>
      <w:r>
        <w:rPr>
          <w:rFonts w:ascii="Times New Roman" w:hAnsi="Times New Roman"/>
          <w:sz w:val="24"/>
        </w:rPr>
        <w:t xml:space="preserve">alchemy, in </w:t>
      </w:r>
      <w:r w:rsidR="00693674">
        <w:rPr>
          <w:rFonts w:ascii="Times New Roman" w:hAnsi="Times New Roman"/>
          <w:sz w:val="24"/>
        </w:rPr>
        <w:t>b</w:t>
      </w:r>
      <w:r>
        <w:rPr>
          <w:rFonts w:ascii="Times New Roman" w:hAnsi="Times New Roman"/>
          <w:sz w:val="24"/>
        </w:rPr>
        <w:t xml:space="preserve">ook 1 question 1. </w:t>
      </w:r>
      <w:r w:rsidRPr="00854576">
        <w:rPr>
          <w:rFonts w:ascii="Times New Roman" w:hAnsi="Times New Roman"/>
          <w:sz w:val="24"/>
        </w:rPr>
        <w:t>Unlike Eymerich, they did not consider the implications of the practice of alchemy, or whether its practit</w:t>
      </w:r>
      <w:r>
        <w:rPr>
          <w:rFonts w:ascii="Times New Roman" w:hAnsi="Times New Roman"/>
          <w:sz w:val="24"/>
        </w:rPr>
        <w:t xml:space="preserve">ioners should be investigated. </w:t>
      </w:r>
      <w:r w:rsidRPr="00854576">
        <w:rPr>
          <w:rFonts w:ascii="Times New Roman" w:hAnsi="Times New Roman"/>
          <w:sz w:val="24"/>
        </w:rPr>
        <w:t>Instead, their discussion of alchemy formed part</w:t>
      </w:r>
      <w:r w:rsidR="00EB65A8">
        <w:rPr>
          <w:rFonts w:ascii="Times New Roman" w:hAnsi="Times New Roman"/>
          <w:sz w:val="24"/>
        </w:rPr>
        <w:t xml:space="preserve"> of their attempt to consider the question of whether witchcraft was real, and if </w:t>
      </w:r>
      <w:r w:rsidRPr="00854576">
        <w:rPr>
          <w:rFonts w:ascii="Times New Roman" w:hAnsi="Times New Roman"/>
          <w:sz w:val="24"/>
        </w:rPr>
        <w:t>its denial amo</w:t>
      </w:r>
      <w:r>
        <w:rPr>
          <w:rFonts w:ascii="Times New Roman" w:hAnsi="Times New Roman"/>
          <w:sz w:val="24"/>
        </w:rPr>
        <w:t>unted to heresy.</w:t>
      </w:r>
      <w:r w:rsidR="00D0286B">
        <w:rPr>
          <w:rFonts w:ascii="Times New Roman" w:hAnsi="Times New Roman"/>
          <w:sz w:val="24"/>
        </w:rPr>
        <w:t xml:space="preserve"> </w:t>
      </w:r>
      <w:r w:rsidR="00EB65A8">
        <w:rPr>
          <w:rFonts w:ascii="Times New Roman" w:hAnsi="Times New Roman"/>
          <w:sz w:val="24"/>
        </w:rPr>
        <w:t>In scholastic fashion, they began by presenting a series of propositions for and against the question. Amongst the proposition</w:t>
      </w:r>
      <w:r w:rsidRPr="00854576">
        <w:rPr>
          <w:rFonts w:ascii="Times New Roman" w:hAnsi="Times New Roman"/>
          <w:sz w:val="24"/>
        </w:rPr>
        <w:t xml:space="preserve">s </w:t>
      </w:r>
      <w:r>
        <w:rPr>
          <w:rFonts w:ascii="Times New Roman" w:hAnsi="Times New Roman"/>
          <w:sz w:val="24"/>
        </w:rPr>
        <w:t xml:space="preserve">that </w:t>
      </w:r>
      <w:r w:rsidRPr="00854576">
        <w:rPr>
          <w:rFonts w:ascii="Times New Roman" w:hAnsi="Times New Roman"/>
          <w:sz w:val="24"/>
        </w:rPr>
        <w:t xml:space="preserve">they </w:t>
      </w:r>
      <w:r>
        <w:rPr>
          <w:rFonts w:ascii="Times New Roman" w:hAnsi="Times New Roman"/>
          <w:sz w:val="24"/>
        </w:rPr>
        <w:t>examined was the suggestion</w:t>
      </w:r>
      <w:r w:rsidRPr="00854576">
        <w:rPr>
          <w:rFonts w:ascii="Times New Roman" w:hAnsi="Times New Roman"/>
          <w:sz w:val="24"/>
        </w:rPr>
        <w:t xml:space="preserve"> that demons could create effects by art, but that those arts c</w:t>
      </w:r>
      <w:r>
        <w:rPr>
          <w:rFonts w:ascii="Times New Roman" w:hAnsi="Times New Roman"/>
          <w:sz w:val="24"/>
        </w:rPr>
        <w:t>ould not “render a true form</w:t>
      </w:r>
      <w:r w:rsidR="004364C6">
        <w:rPr>
          <w:rFonts w:ascii="Times New Roman" w:hAnsi="Times New Roman"/>
          <w:sz w:val="24"/>
        </w:rPr>
        <w:t>.</w:t>
      </w:r>
      <w:r>
        <w:rPr>
          <w:rFonts w:ascii="Times New Roman" w:hAnsi="Times New Roman"/>
          <w:sz w:val="24"/>
        </w:rPr>
        <w:t xml:space="preserve">” </w:t>
      </w:r>
      <w:r w:rsidR="00EB65A8">
        <w:rPr>
          <w:rFonts w:ascii="Times New Roman" w:hAnsi="Times New Roman"/>
          <w:sz w:val="24"/>
        </w:rPr>
        <w:t>To support this suggestion</w:t>
      </w:r>
      <w:r w:rsidRPr="00854576">
        <w:rPr>
          <w:rFonts w:ascii="Times New Roman" w:hAnsi="Times New Roman"/>
          <w:sz w:val="24"/>
        </w:rPr>
        <w:t xml:space="preserve"> they cited Albertus’s </w:t>
      </w:r>
      <w:r>
        <w:rPr>
          <w:rFonts w:ascii="Times New Roman" w:hAnsi="Times New Roman"/>
          <w:sz w:val="24"/>
        </w:rPr>
        <w:t xml:space="preserve">rendering of Avicenna’s </w:t>
      </w:r>
      <w:r>
        <w:rPr>
          <w:rFonts w:ascii="Times New Roman" w:hAnsi="Times New Roman"/>
          <w:i/>
          <w:sz w:val="24"/>
        </w:rPr>
        <w:t>Sciant artifice</w:t>
      </w:r>
      <w:r w:rsidRPr="00182CFE">
        <w:rPr>
          <w:rFonts w:ascii="Times New Roman" w:hAnsi="Times New Roman"/>
          <w:i/>
          <w:sz w:val="24"/>
        </w:rPr>
        <w:t>s</w:t>
      </w:r>
      <w:r>
        <w:rPr>
          <w:rFonts w:ascii="Times New Roman" w:hAnsi="Times New Roman"/>
          <w:sz w:val="24"/>
        </w:rPr>
        <w:t xml:space="preserve">, which he </w:t>
      </w:r>
      <w:r w:rsidR="001F1A82">
        <w:rPr>
          <w:rFonts w:ascii="Times New Roman" w:hAnsi="Times New Roman"/>
          <w:sz w:val="24"/>
        </w:rPr>
        <w:t xml:space="preserve">had </w:t>
      </w:r>
      <w:r>
        <w:rPr>
          <w:rFonts w:ascii="Times New Roman" w:hAnsi="Times New Roman"/>
          <w:sz w:val="24"/>
        </w:rPr>
        <w:t xml:space="preserve">used </w:t>
      </w:r>
      <w:r w:rsidR="001F1A82">
        <w:rPr>
          <w:rFonts w:ascii="Times New Roman" w:hAnsi="Times New Roman"/>
          <w:sz w:val="24"/>
        </w:rPr>
        <w:t xml:space="preserve">in </w:t>
      </w:r>
      <w:r w:rsidR="001F1A82" w:rsidRPr="001F1A82">
        <w:rPr>
          <w:rFonts w:ascii="Times New Roman" w:hAnsi="Times New Roman"/>
          <w:i/>
          <w:sz w:val="24"/>
        </w:rPr>
        <w:t>De mineralia</w:t>
      </w:r>
      <w:r w:rsidR="001A4CFE">
        <w:rPr>
          <w:rFonts w:ascii="Times New Roman" w:hAnsi="Times New Roman"/>
          <w:i/>
          <w:sz w:val="24"/>
        </w:rPr>
        <w:t xml:space="preserve"> </w:t>
      </w:r>
      <w:r>
        <w:rPr>
          <w:rFonts w:ascii="Times New Roman" w:hAnsi="Times New Roman"/>
          <w:sz w:val="24"/>
        </w:rPr>
        <w:t>to maintain</w:t>
      </w:r>
      <w:r w:rsidRPr="00854576">
        <w:rPr>
          <w:rFonts w:ascii="Times New Roman" w:hAnsi="Times New Roman"/>
          <w:sz w:val="24"/>
        </w:rPr>
        <w:t xml:space="preserve"> that alch</w:t>
      </w:r>
      <w:r w:rsidR="001F1A82">
        <w:rPr>
          <w:rFonts w:ascii="Times New Roman" w:hAnsi="Times New Roman"/>
          <w:sz w:val="24"/>
        </w:rPr>
        <w:t xml:space="preserve">emists could not change </w:t>
      </w:r>
      <w:r w:rsidR="001F1A82" w:rsidRPr="001F1A82">
        <w:rPr>
          <w:rFonts w:ascii="Times New Roman" w:hAnsi="Times New Roman"/>
          <w:i/>
          <w:sz w:val="24"/>
        </w:rPr>
        <w:t>species</w:t>
      </w:r>
      <w:r>
        <w:rPr>
          <w:rFonts w:ascii="Times New Roman" w:hAnsi="Times New Roman"/>
          <w:sz w:val="24"/>
        </w:rPr>
        <w:t>. Institoris and Sprenger’s</w:t>
      </w:r>
      <w:r w:rsidRPr="00854576">
        <w:rPr>
          <w:rFonts w:ascii="Times New Roman" w:hAnsi="Times New Roman"/>
          <w:sz w:val="24"/>
        </w:rPr>
        <w:t xml:space="preserve"> argument continued that</w:t>
      </w:r>
      <w:r w:rsidR="004364C6">
        <w:rPr>
          <w:rFonts w:ascii="Times New Roman" w:hAnsi="Times New Roman"/>
          <w:sz w:val="24"/>
        </w:rPr>
        <w:t>,</w:t>
      </w:r>
      <w:r w:rsidR="00453EDC">
        <w:rPr>
          <w:rFonts w:ascii="Times New Roman" w:hAnsi="Times New Roman"/>
          <w:sz w:val="24"/>
        </w:rPr>
        <w:t xml:space="preserve"> by means of art</w:t>
      </w:r>
      <w:r w:rsidR="004364C6">
        <w:rPr>
          <w:rFonts w:ascii="Times New Roman" w:hAnsi="Times New Roman"/>
          <w:sz w:val="24"/>
        </w:rPr>
        <w:t>,</w:t>
      </w:r>
      <w:r w:rsidR="00453EDC">
        <w:rPr>
          <w:rFonts w:ascii="Times New Roman" w:hAnsi="Times New Roman"/>
          <w:sz w:val="24"/>
        </w:rPr>
        <w:t xml:space="preserve"> demons </w:t>
      </w:r>
      <w:r w:rsidRPr="00854576">
        <w:rPr>
          <w:rFonts w:ascii="Times New Roman" w:hAnsi="Times New Roman"/>
          <w:sz w:val="24"/>
        </w:rPr>
        <w:t>“cannot cause true states of health or illness</w:t>
      </w:r>
      <w:r w:rsidR="004364C6">
        <w:rPr>
          <w:rFonts w:ascii="Times New Roman" w:hAnsi="Times New Roman"/>
          <w:sz w:val="24"/>
        </w:rPr>
        <w:t>.</w:t>
      </w:r>
      <w:r w:rsidRPr="00854576">
        <w:rPr>
          <w:rFonts w:ascii="Times New Roman" w:hAnsi="Times New Roman"/>
          <w:sz w:val="24"/>
        </w:rPr>
        <w:t>”</w:t>
      </w:r>
      <w:r>
        <w:rPr>
          <w:rFonts w:ascii="Times New Roman" w:hAnsi="Times New Roman"/>
          <w:sz w:val="24"/>
        </w:rPr>
        <w:t xml:space="preserve"> The corollary of this argument was that it was </w:t>
      </w:r>
      <w:r w:rsidRPr="00854576">
        <w:rPr>
          <w:rFonts w:ascii="Times New Roman" w:hAnsi="Times New Roman"/>
          <w:sz w:val="24"/>
        </w:rPr>
        <w:t xml:space="preserve">impossible to attribute </w:t>
      </w:r>
      <w:r>
        <w:rPr>
          <w:rFonts w:ascii="Times New Roman" w:hAnsi="Times New Roman"/>
          <w:sz w:val="24"/>
        </w:rPr>
        <w:t xml:space="preserve">the outbreak of </w:t>
      </w:r>
      <w:r w:rsidRPr="00854576">
        <w:rPr>
          <w:rFonts w:ascii="Times New Roman" w:hAnsi="Times New Roman"/>
          <w:sz w:val="24"/>
        </w:rPr>
        <w:t xml:space="preserve">illness to </w:t>
      </w:r>
      <w:r>
        <w:rPr>
          <w:rFonts w:ascii="Times New Roman" w:hAnsi="Times New Roman"/>
          <w:sz w:val="24"/>
        </w:rPr>
        <w:t xml:space="preserve">either </w:t>
      </w:r>
      <w:r w:rsidRPr="00854576">
        <w:rPr>
          <w:rFonts w:ascii="Times New Roman" w:hAnsi="Times New Roman"/>
          <w:sz w:val="24"/>
        </w:rPr>
        <w:t>the actions of demons or sorcerers.</w:t>
      </w:r>
      <w:r w:rsidRPr="00854576">
        <w:rPr>
          <w:rFonts w:ascii="Times New Roman" w:hAnsi="Times New Roman"/>
          <w:sz w:val="24"/>
          <w:vertAlign w:val="superscript"/>
        </w:rPr>
        <w:footnoteReference w:id="54"/>
      </w:r>
    </w:p>
    <w:p w14:paraId="5C572258" w14:textId="77777777" w:rsidR="009526FC" w:rsidRPr="00854576" w:rsidRDefault="009526FC" w:rsidP="009B5CED">
      <w:pPr>
        <w:spacing w:after="160" w:line="480" w:lineRule="auto"/>
        <w:ind w:firstLine="720"/>
        <w:rPr>
          <w:rFonts w:ascii="Times New Roman" w:hAnsi="Times New Roman"/>
          <w:sz w:val="24"/>
        </w:rPr>
      </w:pPr>
      <w:r w:rsidRPr="00854576">
        <w:rPr>
          <w:rFonts w:ascii="Times New Roman" w:hAnsi="Times New Roman"/>
          <w:sz w:val="24"/>
        </w:rPr>
        <w:t>In their answer to the question, Institoris and Sprenger laid out a robust defenc</w:t>
      </w:r>
      <w:r>
        <w:rPr>
          <w:rFonts w:ascii="Times New Roman" w:hAnsi="Times New Roman"/>
          <w:sz w:val="24"/>
        </w:rPr>
        <w:t>e of the reality of witchcraft.</w:t>
      </w:r>
      <w:r w:rsidRPr="00854576">
        <w:rPr>
          <w:rFonts w:ascii="Times New Roman" w:hAnsi="Times New Roman"/>
          <w:sz w:val="24"/>
        </w:rPr>
        <w:t xml:space="preserve"> Invoking arguments made by Aquinas in </w:t>
      </w:r>
      <w:r w:rsidRPr="00854576">
        <w:rPr>
          <w:rFonts w:ascii="Times New Roman" w:hAnsi="Times New Roman"/>
          <w:i/>
          <w:sz w:val="24"/>
        </w:rPr>
        <w:t>Scriptum super sententiis</w:t>
      </w:r>
      <w:r w:rsidRPr="00854576">
        <w:rPr>
          <w:rFonts w:ascii="Times New Roman" w:hAnsi="Times New Roman"/>
          <w:sz w:val="24"/>
        </w:rPr>
        <w:t>, they maintained that denying the existence of demons and their God-given power to manipulate the natural order would require contradicting passages of scriptur</w:t>
      </w:r>
      <w:r>
        <w:rPr>
          <w:rFonts w:ascii="Times New Roman" w:hAnsi="Times New Roman"/>
          <w:sz w:val="24"/>
        </w:rPr>
        <w:t xml:space="preserve">e and was therefore heretical. </w:t>
      </w:r>
      <w:r w:rsidRPr="00854576">
        <w:rPr>
          <w:rFonts w:ascii="Times New Roman" w:hAnsi="Times New Roman"/>
          <w:sz w:val="24"/>
        </w:rPr>
        <w:t>Turning to address the specific question of whether demons possessed the power to alter forms, they considered the possibilit</w:t>
      </w:r>
      <w:r>
        <w:rPr>
          <w:rFonts w:ascii="Times New Roman" w:hAnsi="Times New Roman"/>
          <w:sz w:val="24"/>
        </w:rPr>
        <w:t xml:space="preserve">y of alchemical transmutation. </w:t>
      </w:r>
      <w:r w:rsidRPr="00854576">
        <w:rPr>
          <w:rFonts w:ascii="Times New Roman" w:hAnsi="Times New Roman"/>
          <w:sz w:val="24"/>
        </w:rPr>
        <w:t xml:space="preserve">Although elsewhere in the </w:t>
      </w:r>
      <w:r w:rsidRPr="00854576">
        <w:rPr>
          <w:rFonts w:ascii="Times New Roman" w:hAnsi="Times New Roman"/>
          <w:i/>
          <w:sz w:val="24"/>
        </w:rPr>
        <w:t>Malleus</w:t>
      </w:r>
      <w:r w:rsidRPr="00854576">
        <w:rPr>
          <w:rFonts w:ascii="Times New Roman" w:hAnsi="Times New Roman"/>
          <w:sz w:val="24"/>
        </w:rPr>
        <w:t xml:space="preserve"> Institoris and Sprenger </w:t>
      </w:r>
      <w:r>
        <w:rPr>
          <w:rFonts w:ascii="Times New Roman" w:hAnsi="Times New Roman"/>
          <w:sz w:val="24"/>
        </w:rPr>
        <w:t xml:space="preserve">had </w:t>
      </w:r>
      <w:r w:rsidRPr="00854576">
        <w:rPr>
          <w:rFonts w:ascii="Times New Roman" w:hAnsi="Times New Roman"/>
          <w:sz w:val="24"/>
        </w:rPr>
        <w:t xml:space="preserve">used the </w:t>
      </w:r>
      <w:r w:rsidRPr="00854576">
        <w:rPr>
          <w:rFonts w:ascii="Times New Roman" w:hAnsi="Times New Roman"/>
          <w:i/>
          <w:sz w:val="24"/>
        </w:rPr>
        <w:t>Summa theologica</w:t>
      </w:r>
      <w:r w:rsidRPr="00854576">
        <w:rPr>
          <w:rFonts w:ascii="Times New Roman" w:hAnsi="Times New Roman"/>
          <w:sz w:val="24"/>
        </w:rPr>
        <w:t xml:space="preserve"> to consider the </w:t>
      </w:r>
      <w:r w:rsidRPr="00854576">
        <w:rPr>
          <w:rFonts w:ascii="Times New Roman" w:hAnsi="Times New Roman"/>
          <w:sz w:val="24"/>
        </w:rPr>
        <w:lastRenderedPageBreak/>
        <w:t xml:space="preserve">legitimate boundaries of astrology, their account of alchemy was derived from the </w:t>
      </w:r>
      <w:r w:rsidRPr="00854576">
        <w:rPr>
          <w:rFonts w:ascii="Times New Roman" w:hAnsi="Times New Roman"/>
          <w:i/>
          <w:sz w:val="24"/>
        </w:rPr>
        <w:t>Scriptum super sententiis</w:t>
      </w:r>
      <w:r>
        <w:rPr>
          <w:rFonts w:ascii="Times New Roman" w:hAnsi="Times New Roman"/>
          <w:sz w:val="24"/>
        </w:rPr>
        <w:t xml:space="preserve">. </w:t>
      </w:r>
      <w:r w:rsidRPr="00854576">
        <w:rPr>
          <w:rFonts w:ascii="Times New Roman" w:hAnsi="Times New Roman"/>
          <w:sz w:val="24"/>
        </w:rPr>
        <w:t xml:space="preserve">Paraphrasing Aquinas’s argument, they reaffirmed his conclusion that demons could only achieve their ends by manipulating natural virtues, that is, by art. </w:t>
      </w:r>
      <w:r>
        <w:rPr>
          <w:rFonts w:ascii="Times New Roman" w:hAnsi="Times New Roman"/>
          <w:sz w:val="24"/>
        </w:rPr>
        <w:t xml:space="preserve">Following this </w:t>
      </w:r>
      <w:r w:rsidR="00EB65A8">
        <w:rPr>
          <w:rFonts w:ascii="Times New Roman" w:hAnsi="Times New Roman"/>
          <w:sz w:val="24"/>
        </w:rPr>
        <w:t>reasoning, they concluded that the alchemical transmutation of metals</w:t>
      </w:r>
      <w:r w:rsidRPr="00854576">
        <w:rPr>
          <w:rFonts w:ascii="Times New Roman" w:hAnsi="Times New Roman"/>
          <w:sz w:val="24"/>
        </w:rPr>
        <w:t xml:space="preserve"> was</w:t>
      </w:r>
      <w:r w:rsidR="001A4CFE">
        <w:rPr>
          <w:rFonts w:ascii="Times New Roman" w:hAnsi="Times New Roman"/>
          <w:sz w:val="24"/>
        </w:rPr>
        <w:t xml:space="preserve"> </w:t>
      </w:r>
      <w:r>
        <w:rPr>
          <w:rFonts w:ascii="Times New Roman" w:hAnsi="Times New Roman"/>
          <w:sz w:val="24"/>
        </w:rPr>
        <w:t xml:space="preserve">also </w:t>
      </w:r>
      <w:r w:rsidR="00EB65A8">
        <w:rPr>
          <w:rFonts w:ascii="Times New Roman" w:hAnsi="Times New Roman"/>
          <w:sz w:val="24"/>
        </w:rPr>
        <w:t xml:space="preserve">naturally </w:t>
      </w:r>
      <w:r w:rsidRPr="00854576">
        <w:rPr>
          <w:rFonts w:ascii="Times New Roman" w:hAnsi="Times New Roman"/>
          <w:sz w:val="24"/>
        </w:rPr>
        <w:t>impossibl</w:t>
      </w:r>
      <w:r>
        <w:rPr>
          <w:rFonts w:ascii="Times New Roman" w:hAnsi="Times New Roman"/>
          <w:sz w:val="24"/>
        </w:rPr>
        <w:t>e.</w:t>
      </w:r>
      <w:r w:rsidRPr="00854576">
        <w:rPr>
          <w:rFonts w:ascii="Times New Roman" w:hAnsi="Times New Roman"/>
          <w:sz w:val="24"/>
        </w:rPr>
        <w:t xml:space="preserve"> Whilst Aquinas </w:t>
      </w:r>
      <w:r>
        <w:rPr>
          <w:rFonts w:ascii="Times New Roman" w:hAnsi="Times New Roman"/>
          <w:sz w:val="24"/>
        </w:rPr>
        <w:t>had held</w:t>
      </w:r>
      <w:r w:rsidRPr="00854576">
        <w:rPr>
          <w:rFonts w:ascii="Times New Roman" w:hAnsi="Times New Roman"/>
          <w:sz w:val="24"/>
        </w:rPr>
        <w:t xml:space="preserve"> the general principle that demons could only produce naturally possible effects throughout his life, Institoris and Sprenger contradicted his mature opinion that it might be possible to tr</w:t>
      </w:r>
      <w:r>
        <w:rPr>
          <w:rFonts w:ascii="Times New Roman" w:hAnsi="Times New Roman"/>
          <w:sz w:val="24"/>
        </w:rPr>
        <w:t>ansmute metals by means of art.</w:t>
      </w:r>
      <w:r w:rsidRPr="00854576">
        <w:rPr>
          <w:rFonts w:ascii="Times New Roman" w:hAnsi="Times New Roman"/>
          <w:sz w:val="24"/>
        </w:rPr>
        <w:t xml:space="preserve"> Their discussion of alchemy is instructive because it illustrate</w:t>
      </w:r>
      <w:r w:rsidR="00693674">
        <w:rPr>
          <w:rFonts w:ascii="Times New Roman" w:hAnsi="Times New Roman"/>
          <w:sz w:val="24"/>
        </w:rPr>
        <w:t>s</w:t>
      </w:r>
      <w:r w:rsidRPr="00854576">
        <w:rPr>
          <w:rFonts w:ascii="Times New Roman" w:hAnsi="Times New Roman"/>
          <w:sz w:val="24"/>
        </w:rPr>
        <w:t xml:space="preserve"> how the selective deployment of arguments derived from Aquinas’s corpus could be used to support contradictory conclusions about the possibility of alchemical transmutation.</w:t>
      </w:r>
      <w:r w:rsidRPr="00854576">
        <w:rPr>
          <w:rFonts w:ascii="Times New Roman" w:hAnsi="Times New Roman"/>
          <w:sz w:val="24"/>
          <w:vertAlign w:val="superscript"/>
        </w:rPr>
        <w:footnoteReference w:id="55"/>
      </w:r>
    </w:p>
    <w:p w14:paraId="15CD7AF7" w14:textId="77777777" w:rsidR="009526FC" w:rsidRPr="00854576" w:rsidRDefault="009526FC" w:rsidP="00854576">
      <w:pPr>
        <w:spacing w:after="160" w:line="480" w:lineRule="auto"/>
        <w:rPr>
          <w:rFonts w:ascii="Times New Roman" w:hAnsi="Times New Roman"/>
          <w:sz w:val="24"/>
        </w:rPr>
      </w:pPr>
    </w:p>
    <w:p w14:paraId="06F305EA" w14:textId="77777777" w:rsidR="009526FC" w:rsidRPr="00A263C1" w:rsidRDefault="009526FC" w:rsidP="00A263C1">
      <w:pPr>
        <w:spacing w:after="0" w:line="480" w:lineRule="auto"/>
        <w:rPr>
          <w:rFonts w:ascii="Times New Roman" w:hAnsi="Times New Roman"/>
          <w:b/>
          <w:sz w:val="24"/>
        </w:rPr>
      </w:pPr>
      <w:r w:rsidRPr="00A263C1">
        <w:rPr>
          <w:rFonts w:ascii="Times New Roman" w:hAnsi="Times New Roman"/>
          <w:b/>
          <w:sz w:val="24"/>
        </w:rPr>
        <w:t xml:space="preserve">The sixteenth century: </w:t>
      </w:r>
      <w:r w:rsidR="00693674">
        <w:rPr>
          <w:rFonts w:ascii="Times New Roman" w:hAnsi="Times New Roman"/>
          <w:b/>
          <w:sz w:val="24"/>
        </w:rPr>
        <w:t>t</w:t>
      </w:r>
      <w:r w:rsidRPr="00A263C1">
        <w:rPr>
          <w:rFonts w:ascii="Times New Roman" w:hAnsi="Times New Roman"/>
          <w:b/>
          <w:sz w:val="24"/>
        </w:rPr>
        <w:t>he Roman Inquisition</w:t>
      </w:r>
    </w:p>
    <w:p w14:paraId="34368D9E" w14:textId="77777777" w:rsidR="009526FC" w:rsidRPr="00854576" w:rsidRDefault="009526FC" w:rsidP="00854576">
      <w:pPr>
        <w:spacing w:after="0" w:line="480" w:lineRule="auto"/>
        <w:jc w:val="center"/>
        <w:rPr>
          <w:rFonts w:ascii="Times New Roman" w:hAnsi="Times New Roman"/>
          <w:sz w:val="24"/>
        </w:rPr>
      </w:pPr>
    </w:p>
    <w:p w14:paraId="2BE3B54D" w14:textId="77777777" w:rsidR="009526FC" w:rsidRPr="00854576" w:rsidRDefault="009526FC" w:rsidP="00854576">
      <w:pPr>
        <w:spacing w:after="0" w:line="480" w:lineRule="auto"/>
        <w:rPr>
          <w:rFonts w:ascii="Times New Roman" w:hAnsi="Times New Roman"/>
          <w:sz w:val="24"/>
        </w:rPr>
      </w:pPr>
      <w:r w:rsidRPr="00854576">
        <w:rPr>
          <w:rFonts w:ascii="Times New Roman" w:hAnsi="Times New Roman"/>
          <w:sz w:val="24"/>
        </w:rPr>
        <w:t>The Roman Inquis</w:t>
      </w:r>
      <w:r>
        <w:rPr>
          <w:rFonts w:ascii="Times New Roman" w:hAnsi="Times New Roman"/>
          <w:sz w:val="24"/>
        </w:rPr>
        <w:t xml:space="preserve">ition was established in 1542. </w:t>
      </w:r>
      <w:r w:rsidRPr="00854576">
        <w:rPr>
          <w:rFonts w:ascii="Times New Roman" w:hAnsi="Times New Roman"/>
          <w:sz w:val="24"/>
        </w:rPr>
        <w:t>It was a new initiative, largely driven by the ambition of Cardinal Gian Pietro Carafa (1476</w:t>
      </w:r>
      <w:r w:rsidR="00C60485">
        <w:rPr>
          <w:rFonts w:ascii="Times New Roman" w:hAnsi="Times New Roman"/>
          <w:sz w:val="24"/>
        </w:rPr>
        <w:t>–</w:t>
      </w:r>
      <w:r w:rsidRPr="00854576">
        <w:rPr>
          <w:rFonts w:ascii="Times New Roman" w:hAnsi="Times New Roman"/>
          <w:sz w:val="24"/>
        </w:rPr>
        <w:t>1559) to uproot Protestant and</w:t>
      </w:r>
      <w:r>
        <w:rPr>
          <w:rFonts w:ascii="Times New Roman" w:hAnsi="Times New Roman"/>
          <w:sz w:val="24"/>
        </w:rPr>
        <w:t xml:space="preserve"> evangelical ideas from Italy. </w:t>
      </w:r>
      <w:r w:rsidRPr="00854576">
        <w:rPr>
          <w:rFonts w:ascii="Times New Roman" w:hAnsi="Times New Roman"/>
          <w:sz w:val="24"/>
        </w:rPr>
        <w:t>Taking the centrally</w:t>
      </w:r>
      <w:r w:rsidR="00693674">
        <w:rPr>
          <w:rFonts w:ascii="Times New Roman" w:hAnsi="Times New Roman"/>
          <w:sz w:val="24"/>
        </w:rPr>
        <w:t xml:space="preserve"> </w:t>
      </w:r>
      <w:r w:rsidRPr="00854576">
        <w:rPr>
          <w:rFonts w:ascii="Times New Roman" w:hAnsi="Times New Roman"/>
          <w:sz w:val="24"/>
        </w:rPr>
        <w:t>organised Spanish Inquisition as a model, he sought to provide the Inquisition in Italy with a formal institutional identity and structure.</w:t>
      </w:r>
      <w:r w:rsidRPr="00854576">
        <w:rPr>
          <w:rFonts w:ascii="Times New Roman" w:hAnsi="Times New Roman"/>
          <w:sz w:val="24"/>
          <w:vertAlign w:val="superscript"/>
        </w:rPr>
        <w:footnoteReference w:id="56"/>
      </w:r>
      <w:r w:rsidRPr="00854576">
        <w:rPr>
          <w:rFonts w:ascii="Times New Roman" w:hAnsi="Times New Roman"/>
          <w:sz w:val="24"/>
        </w:rPr>
        <w:t xml:space="preserve"> The re-organised Roman Inquisition began to adopt new approache</w:t>
      </w:r>
      <w:r>
        <w:rPr>
          <w:rFonts w:ascii="Times New Roman" w:hAnsi="Times New Roman"/>
          <w:sz w:val="24"/>
        </w:rPr>
        <w:t xml:space="preserve">s to the prosecution of magic. </w:t>
      </w:r>
      <w:r w:rsidRPr="00854576">
        <w:rPr>
          <w:rFonts w:ascii="Times New Roman" w:hAnsi="Times New Roman"/>
          <w:sz w:val="24"/>
        </w:rPr>
        <w:t>Unlike the inquisitors active in late fifteenth and early sixteenth-century Italy, members of the Roman Inquisition showed little concern for rooting out coven</w:t>
      </w:r>
      <w:r>
        <w:rPr>
          <w:rFonts w:ascii="Times New Roman" w:hAnsi="Times New Roman"/>
          <w:sz w:val="24"/>
        </w:rPr>
        <w:t>s of devil-worshipping witches.</w:t>
      </w:r>
      <w:r w:rsidRPr="00854576">
        <w:rPr>
          <w:rFonts w:ascii="Times New Roman" w:hAnsi="Times New Roman"/>
          <w:sz w:val="24"/>
        </w:rPr>
        <w:t xml:space="preserve"> Both central authorities and local inquisitors focussed on the investigation of forms of ritual </w:t>
      </w:r>
      <w:r w:rsidRPr="00854576">
        <w:rPr>
          <w:rFonts w:ascii="Times New Roman" w:hAnsi="Times New Roman"/>
          <w:sz w:val="24"/>
        </w:rPr>
        <w:lastRenderedPageBreak/>
        <w:t>magic, and disputed operative arts.</w:t>
      </w:r>
      <w:r w:rsidRPr="00854576">
        <w:rPr>
          <w:rFonts w:ascii="Times New Roman" w:hAnsi="Times New Roman"/>
          <w:sz w:val="24"/>
          <w:vertAlign w:val="superscript"/>
        </w:rPr>
        <w:footnoteReference w:id="57"/>
      </w:r>
      <w:r w:rsidR="00D0286B">
        <w:rPr>
          <w:rFonts w:ascii="Times New Roman" w:hAnsi="Times New Roman"/>
          <w:sz w:val="24"/>
        </w:rPr>
        <w:t xml:space="preserve"> </w:t>
      </w:r>
      <w:r w:rsidRPr="00854576">
        <w:rPr>
          <w:rFonts w:ascii="Times New Roman" w:hAnsi="Times New Roman"/>
          <w:sz w:val="24"/>
        </w:rPr>
        <w:t>The various Indices of Forbidden Books drafted by the Inquisition in the 1550s demonstrate that necromancy and divination – especially astrology – were</w:t>
      </w:r>
      <w:r>
        <w:rPr>
          <w:rFonts w:ascii="Times New Roman" w:hAnsi="Times New Roman"/>
          <w:sz w:val="24"/>
        </w:rPr>
        <w:t xml:space="preserve"> significant areas of concern. </w:t>
      </w:r>
      <w:r w:rsidRPr="00854576">
        <w:rPr>
          <w:rFonts w:ascii="Times New Roman" w:hAnsi="Times New Roman"/>
          <w:sz w:val="24"/>
        </w:rPr>
        <w:t>Alchemy, by contra</w:t>
      </w:r>
      <w:r>
        <w:rPr>
          <w:rFonts w:ascii="Times New Roman" w:hAnsi="Times New Roman"/>
          <w:sz w:val="24"/>
        </w:rPr>
        <w:t>st, attracted little attention.</w:t>
      </w:r>
      <w:r w:rsidRPr="00854576">
        <w:rPr>
          <w:rFonts w:ascii="Times New Roman" w:hAnsi="Times New Roman"/>
          <w:sz w:val="24"/>
        </w:rPr>
        <w:t xml:space="preserve"> It was not directly condemned in either the Index of Forbidden books promulgated in 1559 by the Inquisition or the version produced by</w:t>
      </w:r>
      <w:r>
        <w:rPr>
          <w:rFonts w:ascii="Times New Roman" w:hAnsi="Times New Roman"/>
          <w:sz w:val="24"/>
        </w:rPr>
        <w:t xml:space="preserve"> the Council of Trent in 1564. </w:t>
      </w:r>
      <w:r w:rsidRPr="00854576">
        <w:rPr>
          <w:rFonts w:ascii="Times New Roman" w:hAnsi="Times New Roman"/>
          <w:sz w:val="24"/>
        </w:rPr>
        <w:t xml:space="preserve">Although the Roman Inquisition’s relative </w:t>
      </w:r>
      <w:r w:rsidR="00693674">
        <w:rPr>
          <w:rFonts w:ascii="Times New Roman" w:hAnsi="Times New Roman"/>
          <w:sz w:val="24"/>
        </w:rPr>
        <w:t>indifference to</w:t>
      </w:r>
      <w:r w:rsidRPr="00854576">
        <w:rPr>
          <w:rFonts w:ascii="Times New Roman" w:hAnsi="Times New Roman"/>
          <w:sz w:val="24"/>
        </w:rPr>
        <w:t xml:space="preserve"> alchemy may seem surprising, it was consistent with the views of earlier Dominican</w:t>
      </w:r>
      <w:r>
        <w:rPr>
          <w:rFonts w:ascii="Times New Roman" w:hAnsi="Times New Roman"/>
          <w:sz w:val="24"/>
        </w:rPr>
        <w:t>s</w:t>
      </w:r>
      <w:r w:rsidRPr="00854576">
        <w:rPr>
          <w:rFonts w:ascii="Times New Roman" w:hAnsi="Times New Roman"/>
          <w:sz w:val="24"/>
        </w:rPr>
        <w:t xml:space="preserve"> such as Nider and the authors of the </w:t>
      </w:r>
      <w:r w:rsidRPr="00854576">
        <w:rPr>
          <w:rFonts w:ascii="Times New Roman" w:hAnsi="Times New Roman"/>
          <w:i/>
          <w:sz w:val="24"/>
        </w:rPr>
        <w:t>Malleus</w:t>
      </w:r>
      <w:r>
        <w:rPr>
          <w:rFonts w:ascii="Times New Roman" w:hAnsi="Times New Roman"/>
          <w:sz w:val="24"/>
        </w:rPr>
        <w:t>,</w:t>
      </w:r>
      <w:r w:rsidR="00D0286B">
        <w:rPr>
          <w:rFonts w:ascii="Times New Roman" w:hAnsi="Times New Roman"/>
          <w:sz w:val="24"/>
        </w:rPr>
        <w:t xml:space="preserve"> </w:t>
      </w:r>
      <w:r w:rsidRPr="00854576">
        <w:rPr>
          <w:rFonts w:ascii="Times New Roman" w:hAnsi="Times New Roman"/>
          <w:sz w:val="24"/>
        </w:rPr>
        <w:t>who had shown little interest in its prosecution.</w:t>
      </w:r>
      <w:r w:rsidRPr="00854576">
        <w:rPr>
          <w:rFonts w:ascii="Times New Roman" w:hAnsi="Times New Roman"/>
          <w:sz w:val="24"/>
          <w:vertAlign w:val="superscript"/>
        </w:rPr>
        <w:footnoteReference w:id="58"/>
      </w:r>
    </w:p>
    <w:p w14:paraId="59AF08B6" w14:textId="77777777" w:rsidR="009526FC" w:rsidRPr="00854576" w:rsidRDefault="009526FC" w:rsidP="00854576">
      <w:pPr>
        <w:spacing w:after="0" w:line="480" w:lineRule="auto"/>
        <w:rPr>
          <w:rFonts w:ascii="Times New Roman" w:hAnsi="Times New Roman"/>
          <w:sz w:val="24"/>
        </w:rPr>
      </w:pPr>
      <w:r w:rsidRPr="00854576">
        <w:rPr>
          <w:rFonts w:ascii="Times New Roman" w:hAnsi="Times New Roman"/>
          <w:sz w:val="24"/>
        </w:rPr>
        <w:tab/>
        <w:t>On occasion the Roman Inquisition did investigate the activ</w:t>
      </w:r>
      <w:r>
        <w:rPr>
          <w:rFonts w:ascii="Times New Roman" w:hAnsi="Times New Roman"/>
          <w:sz w:val="24"/>
        </w:rPr>
        <w:t xml:space="preserve">ities and ideas of alchemists, however. </w:t>
      </w:r>
      <w:r w:rsidRPr="00854576">
        <w:rPr>
          <w:rFonts w:ascii="Times New Roman" w:hAnsi="Times New Roman"/>
          <w:sz w:val="24"/>
        </w:rPr>
        <w:t>On 21 June 1574 Pedro Lunel, the Bishop of Gaeta, wrote to Scipione</w:t>
      </w:r>
      <w:r w:rsidR="00E122F9">
        <w:rPr>
          <w:rFonts w:ascii="Times New Roman" w:hAnsi="Times New Roman"/>
          <w:sz w:val="24"/>
        </w:rPr>
        <w:t xml:space="preserve"> </w:t>
      </w:r>
      <w:r w:rsidRPr="00854576">
        <w:rPr>
          <w:rFonts w:ascii="Times New Roman" w:hAnsi="Times New Roman"/>
          <w:sz w:val="24"/>
        </w:rPr>
        <w:t xml:space="preserve">Rebiba in Rome updating him about ongoing investigations into the work of a certain Leonardo Tolentino. After searching his house, </w:t>
      </w:r>
      <w:r w:rsidR="00E97FD6">
        <w:rPr>
          <w:rFonts w:ascii="Times New Roman" w:hAnsi="Times New Roman"/>
          <w:sz w:val="24"/>
        </w:rPr>
        <w:t xml:space="preserve">he stated that he had </w:t>
      </w:r>
      <w:r w:rsidRPr="00854576">
        <w:rPr>
          <w:rFonts w:ascii="Times New Roman" w:hAnsi="Times New Roman"/>
          <w:sz w:val="24"/>
        </w:rPr>
        <w:t>discovered a number of papers in his possession including two documents –</w:t>
      </w:r>
      <w:r w:rsidR="00732CA1">
        <w:rPr>
          <w:rFonts w:ascii="Times New Roman" w:hAnsi="Times New Roman"/>
          <w:sz w:val="24"/>
        </w:rPr>
        <w:t xml:space="preserve"> </w:t>
      </w:r>
      <w:r w:rsidRPr="00854576">
        <w:rPr>
          <w:rFonts w:ascii="Times New Roman" w:hAnsi="Times New Roman"/>
          <w:sz w:val="24"/>
        </w:rPr>
        <w:t xml:space="preserve">seemingly in Tolentino’s hand </w:t>
      </w:r>
      <w:r>
        <w:rPr>
          <w:rFonts w:ascii="Times New Roman" w:hAnsi="Times New Roman"/>
          <w:sz w:val="24"/>
        </w:rPr>
        <w:t xml:space="preserve">– which pertained to alchemy. </w:t>
      </w:r>
      <w:r w:rsidRPr="00854576">
        <w:rPr>
          <w:rFonts w:ascii="Times New Roman" w:hAnsi="Times New Roman"/>
          <w:sz w:val="24"/>
        </w:rPr>
        <w:t xml:space="preserve">Lunel highlighted </w:t>
      </w:r>
      <w:r w:rsidR="00845B99">
        <w:rPr>
          <w:rFonts w:ascii="Times New Roman" w:hAnsi="Times New Roman"/>
          <w:sz w:val="24"/>
        </w:rPr>
        <w:t>two separate offences. One</w:t>
      </w:r>
      <w:r w:rsidRPr="00854576">
        <w:rPr>
          <w:rFonts w:ascii="Times New Roman" w:hAnsi="Times New Roman"/>
          <w:sz w:val="24"/>
        </w:rPr>
        <w:t xml:space="preserve"> document appeared to suggest that Tolentino believed that first materials – the primary constituents of the cosmos </w:t>
      </w:r>
      <w:r>
        <w:rPr>
          <w:rFonts w:ascii="Times New Roman" w:hAnsi="Times New Roman"/>
          <w:sz w:val="24"/>
        </w:rPr>
        <w:t>–</w:t>
      </w:r>
      <w:r w:rsidRPr="00854576">
        <w:rPr>
          <w:rFonts w:ascii="Times New Roman" w:hAnsi="Times New Roman"/>
          <w:sz w:val="24"/>
        </w:rPr>
        <w:t xml:space="preserve"> were “produced by God, and not created from whence he inferred that it remains eternally</w:t>
      </w:r>
      <w:r>
        <w:rPr>
          <w:rFonts w:ascii="Times New Roman" w:hAnsi="Times New Roman"/>
          <w:sz w:val="24"/>
        </w:rPr>
        <w:t xml:space="preserve">.” </w:t>
      </w:r>
      <w:r w:rsidRPr="00854576">
        <w:rPr>
          <w:rFonts w:ascii="Times New Roman" w:hAnsi="Times New Roman"/>
          <w:sz w:val="24"/>
        </w:rPr>
        <w:t xml:space="preserve">Secondly, </w:t>
      </w:r>
      <w:r w:rsidRPr="00D34761">
        <w:rPr>
          <w:rFonts w:ascii="Times New Roman" w:hAnsi="Times New Roman"/>
          <w:sz w:val="24"/>
        </w:rPr>
        <w:t>he</w:t>
      </w:r>
      <w:r w:rsidRPr="00854576">
        <w:rPr>
          <w:rFonts w:ascii="Times New Roman" w:hAnsi="Times New Roman"/>
          <w:sz w:val="24"/>
        </w:rPr>
        <w:t xml:space="preserve"> found a book, which he believed to be in Tolentino’s hand, in which the latter referred to a “</w:t>
      </w:r>
      <w:r>
        <w:rPr>
          <w:rFonts w:ascii="Times New Roman" w:hAnsi="Times New Roman"/>
          <w:sz w:val="24"/>
        </w:rPr>
        <w:t>d</w:t>
      </w:r>
      <w:r w:rsidRPr="00854576">
        <w:rPr>
          <w:rFonts w:ascii="Times New Roman" w:hAnsi="Times New Roman"/>
          <w:sz w:val="24"/>
        </w:rPr>
        <w:t>emon in the form of a black man, but with a crown on his head.”</w:t>
      </w:r>
      <w:r>
        <w:rPr>
          <w:rStyle w:val="FootnoteReference"/>
          <w:rFonts w:ascii="Times New Roman" w:hAnsi="Times New Roman"/>
          <w:sz w:val="24"/>
        </w:rPr>
        <w:footnoteReference w:id="59"/>
      </w:r>
      <w:r w:rsidR="003316C4">
        <w:rPr>
          <w:rFonts w:ascii="Times New Roman" w:hAnsi="Times New Roman"/>
          <w:sz w:val="24"/>
        </w:rPr>
        <w:t xml:space="preserve"> </w:t>
      </w:r>
      <w:r w:rsidRPr="00854576">
        <w:rPr>
          <w:rFonts w:ascii="Times New Roman" w:hAnsi="Times New Roman"/>
          <w:sz w:val="24"/>
        </w:rPr>
        <w:t xml:space="preserve">We do not </w:t>
      </w:r>
      <w:r w:rsidRPr="00854576">
        <w:rPr>
          <w:rFonts w:ascii="Times New Roman" w:hAnsi="Times New Roman"/>
          <w:sz w:val="24"/>
        </w:rPr>
        <w:lastRenderedPageBreak/>
        <w:t xml:space="preserve">know the outcome of the investigation into Tolentino, but neither of these offences raised especially complex problems for inquisitors. The inference that the world was eternal could be readily addressed by invoking the principle that it was impossible to assert as true a statement about the natural world if it contradicted the </w:t>
      </w:r>
      <w:r>
        <w:rPr>
          <w:rFonts w:ascii="Times New Roman" w:hAnsi="Times New Roman"/>
          <w:sz w:val="24"/>
        </w:rPr>
        <w:t>truth established in the faith.</w:t>
      </w:r>
      <w:r w:rsidRPr="00854576">
        <w:rPr>
          <w:rFonts w:ascii="Times New Roman" w:hAnsi="Times New Roman"/>
          <w:sz w:val="24"/>
        </w:rPr>
        <w:t xml:space="preserve"> The second problem, Tolentino’s alleged communication with demons, was </w:t>
      </w:r>
      <w:r>
        <w:rPr>
          <w:rFonts w:ascii="Times New Roman" w:hAnsi="Times New Roman"/>
          <w:sz w:val="24"/>
        </w:rPr>
        <w:t xml:space="preserve">simply a case of superstition. </w:t>
      </w:r>
      <w:r w:rsidRPr="00854576">
        <w:rPr>
          <w:rFonts w:ascii="Times New Roman" w:hAnsi="Times New Roman"/>
          <w:sz w:val="24"/>
        </w:rPr>
        <w:t>The alchemical context was largely irrelevant.</w:t>
      </w:r>
      <w:r w:rsidRPr="00854576">
        <w:rPr>
          <w:rFonts w:ascii="Times New Roman" w:hAnsi="Times New Roman"/>
          <w:sz w:val="24"/>
          <w:vertAlign w:val="superscript"/>
        </w:rPr>
        <w:footnoteReference w:id="60"/>
      </w:r>
    </w:p>
    <w:p w14:paraId="2AEE21BC" w14:textId="77777777" w:rsidR="009526FC" w:rsidRPr="00854576" w:rsidRDefault="009526FC" w:rsidP="00854576">
      <w:pPr>
        <w:spacing w:after="0" w:line="480" w:lineRule="auto"/>
        <w:rPr>
          <w:rFonts w:ascii="Times New Roman" w:hAnsi="Times New Roman"/>
          <w:sz w:val="24"/>
        </w:rPr>
      </w:pPr>
      <w:r>
        <w:rPr>
          <w:rFonts w:ascii="Times New Roman" w:hAnsi="Times New Roman"/>
          <w:sz w:val="24"/>
        </w:rPr>
        <w:tab/>
        <w:t>From the available evidence, it appears that the Roman Inquisition neither advocated the investigation of practitioners of alchemy, nor did it in fact investigate individuals simply for practising this art. Eymerich’s earlier opinion, it seems, exerted little influence. This situation began to change in 1578, when the</w:t>
      </w:r>
      <w:r w:rsidRPr="00854576">
        <w:rPr>
          <w:rFonts w:ascii="Times New Roman" w:hAnsi="Times New Roman"/>
          <w:sz w:val="24"/>
        </w:rPr>
        <w:t xml:space="preserve"> canonist Fr</w:t>
      </w:r>
      <w:r>
        <w:rPr>
          <w:rFonts w:ascii="Times New Roman" w:hAnsi="Times New Roman"/>
          <w:sz w:val="24"/>
        </w:rPr>
        <w:t xml:space="preserve">ancisco Peña </w:t>
      </w:r>
      <w:r w:rsidR="00845B99">
        <w:rPr>
          <w:rFonts w:ascii="Times New Roman" w:hAnsi="Times New Roman"/>
          <w:sz w:val="24"/>
        </w:rPr>
        <w:t>(</w:t>
      </w:r>
      <w:r w:rsidR="00845B99" w:rsidRPr="00693674">
        <w:rPr>
          <w:rFonts w:ascii="Times New Roman" w:hAnsi="Times New Roman"/>
          <w:i/>
          <w:sz w:val="24"/>
        </w:rPr>
        <w:t>c</w:t>
      </w:r>
      <w:r w:rsidR="00C23586" w:rsidRPr="00693674">
        <w:rPr>
          <w:rFonts w:ascii="Times New Roman" w:hAnsi="Times New Roman"/>
          <w:i/>
          <w:sz w:val="24"/>
        </w:rPr>
        <w:t>a</w:t>
      </w:r>
      <w:r w:rsidR="00845B99" w:rsidRPr="00693674">
        <w:rPr>
          <w:rFonts w:ascii="Times New Roman" w:hAnsi="Times New Roman"/>
          <w:i/>
          <w:sz w:val="24"/>
        </w:rPr>
        <w:t>.</w:t>
      </w:r>
      <w:r w:rsidR="00971CF8">
        <w:rPr>
          <w:rFonts w:ascii="Times New Roman" w:hAnsi="Times New Roman"/>
          <w:sz w:val="24"/>
        </w:rPr>
        <w:t xml:space="preserve"> </w:t>
      </w:r>
      <w:r w:rsidR="00845B99">
        <w:rPr>
          <w:rFonts w:ascii="Times New Roman" w:hAnsi="Times New Roman"/>
          <w:sz w:val="24"/>
        </w:rPr>
        <w:t>1540</w:t>
      </w:r>
      <w:r w:rsidR="00971CF8">
        <w:rPr>
          <w:rFonts w:ascii="Times New Roman" w:hAnsi="Times New Roman"/>
          <w:sz w:val="24"/>
        </w:rPr>
        <w:t>–</w:t>
      </w:r>
      <w:r w:rsidR="00845B99">
        <w:rPr>
          <w:rFonts w:ascii="Times New Roman" w:hAnsi="Times New Roman"/>
          <w:sz w:val="24"/>
        </w:rPr>
        <w:t xml:space="preserve">1612) </w:t>
      </w:r>
      <w:r>
        <w:rPr>
          <w:rFonts w:ascii="Times New Roman" w:hAnsi="Times New Roman"/>
          <w:sz w:val="24"/>
        </w:rPr>
        <w:t>published a new</w:t>
      </w:r>
      <w:r w:rsidRPr="00854576">
        <w:rPr>
          <w:rFonts w:ascii="Times New Roman" w:hAnsi="Times New Roman"/>
          <w:sz w:val="24"/>
        </w:rPr>
        <w:t xml:space="preserve"> edition of Eymerich’s </w:t>
      </w:r>
      <w:r w:rsidRPr="00854576">
        <w:rPr>
          <w:rFonts w:ascii="Times New Roman" w:hAnsi="Times New Roman"/>
          <w:i/>
          <w:sz w:val="24"/>
        </w:rPr>
        <w:t>Directorium</w:t>
      </w:r>
      <w:r w:rsidR="003316C4">
        <w:rPr>
          <w:rFonts w:ascii="Times New Roman" w:hAnsi="Times New Roman"/>
          <w:i/>
          <w:sz w:val="24"/>
        </w:rPr>
        <w:t xml:space="preserve"> </w:t>
      </w:r>
      <w:r w:rsidRPr="00854576">
        <w:rPr>
          <w:rFonts w:ascii="Times New Roman" w:hAnsi="Times New Roman"/>
          <w:i/>
          <w:sz w:val="24"/>
        </w:rPr>
        <w:t>inquisitorum</w:t>
      </w:r>
      <w:r>
        <w:rPr>
          <w:rFonts w:ascii="Times New Roman" w:hAnsi="Times New Roman"/>
          <w:sz w:val="24"/>
        </w:rPr>
        <w:t xml:space="preserve">, </w:t>
      </w:r>
      <w:r w:rsidR="00971CF8">
        <w:rPr>
          <w:rFonts w:ascii="Times New Roman" w:hAnsi="Times New Roman"/>
          <w:sz w:val="24"/>
        </w:rPr>
        <w:t>along with</w:t>
      </w:r>
      <w:r>
        <w:rPr>
          <w:rFonts w:ascii="Times New Roman" w:hAnsi="Times New Roman"/>
          <w:sz w:val="24"/>
        </w:rPr>
        <w:t xml:space="preserve"> an accompanying commentary.</w:t>
      </w:r>
      <w:r w:rsidRPr="00854576">
        <w:rPr>
          <w:rFonts w:ascii="Times New Roman" w:hAnsi="Times New Roman"/>
          <w:sz w:val="24"/>
        </w:rPr>
        <w:t xml:space="preserve"> Whilst commenting on the passage in Eymerich’s text </w:t>
      </w:r>
      <w:r>
        <w:rPr>
          <w:rFonts w:ascii="Times New Roman" w:hAnsi="Times New Roman"/>
          <w:sz w:val="24"/>
        </w:rPr>
        <w:t>concerning</w:t>
      </w:r>
      <w:r w:rsidRPr="00854576">
        <w:rPr>
          <w:rFonts w:ascii="Times New Roman" w:hAnsi="Times New Roman"/>
          <w:sz w:val="24"/>
        </w:rPr>
        <w:t xml:space="preserve"> the signs by which a necromancer could be recognised, Peña made a series </w:t>
      </w:r>
      <w:r>
        <w:rPr>
          <w:rFonts w:ascii="Times New Roman" w:hAnsi="Times New Roman"/>
          <w:sz w:val="24"/>
        </w:rPr>
        <w:t xml:space="preserve">of observations about alchemy. </w:t>
      </w:r>
      <w:r w:rsidR="00845B99">
        <w:rPr>
          <w:rFonts w:ascii="Times New Roman" w:hAnsi="Times New Roman"/>
          <w:sz w:val="24"/>
        </w:rPr>
        <w:t>He</w:t>
      </w:r>
      <w:r w:rsidR="003316C4">
        <w:rPr>
          <w:rFonts w:ascii="Times New Roman" w:hAnsi="Times New Roman"/>
          <w:sz w:val="24"/>
        </w:rPr>
        <w:t xml:space="preserve"> </w:t>
      </w:r>
      <w:r>
        <w:rPr>
          <w:rFonts w:ascii="Times New Roman" w:hAnsi="Times New Roman"/>
          <w:sz w:val="24"/>
        </w:rPr>
        <w:t>noted that Eymerich had correctly distinguished between</w:t>
      </w:r>
      <w:r w:rsidRPr="00854576">
        <w:rPr>
          <w:rFonts w:ascii="Times New Roman" w:hAnsi="Times New Roman"/>
          <w:sz w:val="24"/>
        </w:rPr>
        <w:t xml:space="preserve"> “heretic</w:t>
      </w:r>
      <w:r>
        <w:rPr>
          <w:rFonts w:ascii="Times New Roman" w:hAnsi="Times New Roman"/>
          <w:sz w:val="24"/>
        </w:rPr>
        <w:t>al magicians” and “magicians</w:t>
      </w:r>
      <w:r w:rsidR="00971CF8">
        <w:rPr>
          <w:rFonts w:ascii="Times New Roman" w:hAnsi="Times New Roman"/>
          <w:sz w:val="24"/>
        </w:rPr>
        <w:t>,</w:t>
      </w:r>
      <w:r>
        <w:rPr>
          <w:rFonts w:ascii="Times New Roman" w:hAnsi="Times New Roman"/>
          <w:sz w:val="24"/>
        </w:rPr>
        <w:t>” for, he</w:t>
      </w:r>
      <w:r w:rsidRPr="00854576">
        <w:rPr>
          <w:rFonts w:ascii="Times New Roman" w:hAnsi="Times New Roman"/>
          <w:sz w:val="24"/>
        </w:rPr>
        <w:t xml:space="preserve"> continued, there existed forms of natural magical activity that were</w:t>
      </w:r>
      <w:r>
        <w:rPr>
          <w:rFonts w:ascii="Times New Roman" w:hAnsi="Times New Roman"/>
          <w:sz w:val="24"/>
        </w:rPr>
        <w:t xml:space="preserve"> acceptable to Christians. H</w:t>
      </w:r>
      <w:r w:rsidRPr="00854576">
        <w:rPr>
          <w:rFonts w:ascii="Times New Roman" w:hAnsi="Times New Roman"/>
          <w:sz w:val="24"/>
        </w:rPr>
        <w:t xml:space="preserve">e </w:t>
      </w:r>
      <w:r>
        <w:rPr>
          <w:rFonts w:ascii="Times New Roman" w:hAnsi="Times New Roman"/>
          <w:sz w:val="24"/>
        </w:rPr>
        <w:t>continued by providing</w:t>
      </w:r>
      <w:r w:rsidRPr="00854576">
        <w:rPr>
          <w:rFonts w:ascii="Times New Roman" w:hAnsi="Times New Roman"/>
          <w:sz w:val="24"/>
        </w:rPr>
        <w:t xml:space="preserve"> a series of examples drawn from antiquity to illustrate his case. </w:t>
      </w:r>
      <w:r>
        <w:rPr>
          <w:rFonts w:ascii="Times New Roman" w:hAnsi="Times New Roman"/>
          <w:sz w:val="24"/>
        </w:rPr>
        <w:t>Echoing Aquinas’s position, Peña</w:t>
      </w:r>
      <w:r w:rsidRPr="00854576">
        <w:rPr>
          <w:rFonts w:ascii="Times New Roman" w:hAnsi="Times New Roman"/>
          <w:sz w:val="24"/>
        </w:rPr>
        <w:t xml:space="preserve"> maintained that</w:t>
      </w:r>
      <w:r>
        <w:rPr>
          <w:rFonts w:ascii="Times New Roman" w:hAnsi="Times New Roman"/>
          <w:sz w:val="24"/>
        </w:rPr>
        <w:t xml:space="preserve"> any art that functioned by natural means could be considered legitimate</w:t>
      </w:r>
      <w:r w:rsidRPr="00854576">
        <w:rPr>
          <w:rFonts w:ascii="Times New Roman" w:hAnsi="Times New Roman"/>
          <w:sz w:val="24"/>
        </w:rPr>
        <w:t>. He nevertheless cautioned that an interest in natural arts could lead individuals to practi</w:t>
      </w:r>
      <w:r>
        <w:rPr>
          <w:rFonts w:ascii="Times New Roman" w:hAnsi="Times New Roman"/>
          <w:sz w:val="24"/>
        </w:rPr>
        <w:t>s</w:t>
      </w:r>
      <w:r w:rsidRPr="00854576">
        <w:rPr>
          <w:rFonts w:ascii="Times New Roman" w:hAnsi="Times New Roman"/>
          <w:sz w:val="24"/>
        </w:rPr>
        <w:t>e a third type of</w:t>
      </w:r>
      <w:r>
        <w:rPr>
          <w:rFonts w:ascii="Times New Roman" w:hAnsi="Times New Roman"/>
          <w:sz w:val="24"/>
        </w:rPr>
        <w:t xml:space="preserve"> magic: illicit demonic magic. </w:t>
      </w:r>
      <w:r w:rsidRPr="00854576">
        <w:rPr>
          <w:rFonts w:ascii="Times New Roman" w:hAnsi="Times New Roman"/>
          <w:sz w:val="24"/>
        </w:rPr>
        <w:t xml:space="preserve">“For when </w:t>
      </w:r>
      <w:r>
        <w:rPr>
          <w:rFonts w:ascii="Times New Roman" w:hAnsi="Times New Roman"/>
          <w:sz w:val="24"/>
        </w:rPr>
        <w:t xml:space="preserve">the common people </w:t>
      </w:r>
      <w:r w:rsidR="00693674">
        <w:rPr>
          <w:rFonts w:ascii="Times New Roman" w:hAnsi="Times New Roman"/>
          <w:sz w:val="24"/>
        </w:rPr>
        <w:t>have been</w:t>
      </w:r>
      <w:r>
        <w:rPr>
          <w:rFonts w:ascii="Times New Roman" w:hAnsi="Times New Roman"/>
          <w:sz w:val="24"/>
        </w:rPr>
        <w:t xml:space="preserve"> disappointed by true art,</w:t>
      </w:r>
      <w:r w:rsidR="00D0286B">
        <w:rPr>
          <w:rFonts w:ascii="Times New Roman" w:hAnsi="Times New Roman"/>
          <w:sz w:val="24"/>
        </w:rPr>
        <w:t xml:space="preserve"> </w:t>
      </w:r>
      <w:r>
        <w:rPr>
          <w:rFonts w:ascii="Times New Roman" w:hAnsi="Times New Roman"/>
          <w:sz w:val="24"/>
        </w:rPr>
        <w:t xml:space="preserve">when they </w:t>
      </w:r>
      <w:r w:rsidRPr="00854576">
        <w:rPr>
          <w:rFonts w:ascii="Times New Roman" w:hAnsi="Times New Roman"/>
          <w:sz w:val="24"/>
        </w:rPr>
        <w:t>were not able to make those wondrous</w:t>
      </w:r>
      <w:r>
        <w:rPr>
          <w:rFonts w:ascii="Times New Roman" w:hAnsi="Times New Roman"/>
          <w:sz w:val="24"/>
        </w:rPr>
        <w:t xml:space="preserve"> works, of which we spoke, they </w:t>
      </w:r>
      <w:r>
        <w:rPr>
          <w:rFonts w:ascii="Times New Roman" w:hAnsi="Times New Roman"/>
          <w:sz w:val="24"/>
        </w:rPr>
        <w:lastRenderedPageBreak/>
        <w:t xml:space="preserve">made recourse </w:t>
      </w:r>
      <w:r w:rsidRPr="00854576">
        <w:rPr>
          <w:rFonts w:ascii="Times New Roman" w:hAnsi="Times New Roman"/>
          <w:sz w:val="24"/>
        </w:rPr>
        <w:t xml:space="preserve">to demons, who taught </w:t>
      </w:r>
      <w:r>
        <w:rPr>
          <w:rFonts w:ascii="Times New Roman" w:hAnsi="Times New Roman"/>
          <w:sz w:val="24"/>
        </w:rPr>
        <w:t>them the</w:t>
      </w:r>
      <w:r w:rsidRPr="00854576">
        <w:rPr>
          <w:rFonts w:ascii="Times New Roman" w:hAnsi="Times New Roman"/>
          <w:sz w:val="24"/>
        </w:rPr>
        <w:t>se things.”</w:t>
      </w:r>
      <w:r w:rsidRPr="00854576">
        <w:rPr>
          <w:rFonts w:ascii="Times New Roman" w:hAnsi="Times New Roman"/>
          <w:sz w:val="24"/>
          <w:vertAlign w:val="superscript"/>
        </w:rPr>
        <w:footnoteReference w:id="61"/>
      </w:r>
      <w:r w:rsidRPr="00854576">
        <w:rPr>
          <w:rFonts w:ascii="Times New Roman" w:hAnsi="Times New Roman"/>
          <w:sz w:val="24"/>
        </w:rPr>
        <w:t xml:space="preserve"> Peña concluded this section by reaffirming Eymerich’s view that the act of invoking demons </w:t>
      </w:r>
      <w:r>
        <w:rPr>
          <w:rFonts w:ascii="Times New Roman" w:hAnsi="Times New Roman"/>
          <w:sz w:val="24"/>
        </w:rPr>
        <w:t xml:space="preserve">in order </w:t>
      </w:r>
      <w:r w:rsidRPr="00854576">
        <w:rPr>
          <w:rFonts w:ascii="Times New Roman" w:hAnsi="Times New Roman"/>
          <w:sz w:val="24"/>
        </w:rPr>
        <w:t>to produce wondrous effects was indeed heresy.</w:t>
      </w:r>
    </w:p>
    <w:p w14:paraId="0C90E731" w14:textId="77777777" w:rsidR="009526FC" w:rsidRPr="00854576" w:rsidRDefault="009526FC" w:rsidP="00292139">
      <w:pPr>
        <w:spacing w:after="0" w:line="480" w:lineRule="auto"/>
        <w:ind w:firstLine="720"/>
        <w:rPr>
          <w:rFonts w:ascii="Times New Roman" w:hAnsi="Times New Roman"/>
          <w:sz w:val="24"/>
        </w:rPr>
      </w:pPr>
      <w:r w:rsidRPr="00854576">
        <w:rPr>
          <w:rFonts w:ascii="Times New Roman" w:hAnsi="Times New Roman"/>
          <w:sz w:val="24"/>
        </w:rPr>
        <w:t>Peña continued by glossing further sections of Eymerich’s acco</w:t>
      </w:r>
      <w:r>
        <w:rPr>
          <w:rFonts w:ascii="Times New Roman" w:hAnsi="Times New Roman"/>
          <w:sz w:val="24"/>
        </w:rPr>
        <w:t xml:space="preserve">unt of heretical necromancers. </w:t>
      </w:r>
      <w:r w:rsidRPr="00854576">
        <w:rPr>
          <w:rFonts w:ascii="Times New Roman" w:hAnsi="Times New Roman"/>
          <w:sz w:val="24"/>
        </w:rPr>
        <w:t>He had little to add to</w:t>
      </w:r>
      <w:r>
        <w:rPr>
          <w:rFonts w:ascii="Times New Roman" w:hAnsi="Times New Roman"/>
          <w:sz w:val="24"/>
        </w:rPr>
        <w:t xml:space="preserve"> the</w:t>
      </w:r>
      <w:r w:rsidRPr="00854576">
        <w:rPr>
          <w:rFonts w:ascii="Times New Roman" w:hAnsi="Times New Roman"/>
          <w:sz w:val="24"/>
        </w:rPr>
        <w:t xml:space="preserve"> latter’s remarks on astrology, but devoted around a column of</w:t>
      </w:r>
      <w:r>
        <w:rPr>
          <w:rFonts w:ascii="Times New Roman" w:hAnsi="Times New Roman"/>
          <w:sz w:val="24"/>
        </w:rPr>
        <w:t xml:space="preserve"> text to his views on alchemy. </w:t>
      </w:r>
      <w:r w:rsidRPr="00854576">
        <w:rPr>
          <w:rFonts w:ascii="Times New Roman" w:hAnsi="Times New Roman"/>
          <w:sz w:val="24"/>
        </w:rPr>
        <w:t>“Eymerich’s advice against alchemists</w:t>
      </w:r>
      <w:r>
        <w:rPr>
          <w:rFonts w:ascii="Times New Roman" w:hAnsi="Times New Roman"/>
          <w:sz w:val="24"/>
        </w:rPr>
        <w:t>,</w:t>
      </w:r>
      <w:r w:rsidRPr="00854576">
        <w:rPr>
          <w:rFonts w:ascii="Times New Roman" w:hAnsi="Times New Roman"/>
          <w:sz w:val="24"/>
        </w:rPr>
        <w:t xml:space="preserve">” he began, “should not be </w:t>
      </w:r>
      <w:r>
        <w:rPr>
          <w:rFonts w:ascii="Times New Roman" w:hAnsi="Times New Roman"/>
          <w:sz w:val="24"/>
        </w:rPr>
        <w:t>disparaged</w:t>
      </w:r>
      <w:r w:rsidR="00E96917">
        <w:rPr>
          <w:rFonts w:ascii="Times New Roman" w:hAnsi="Times New Roman"/>
          <w:sz w:val="24"/>
        </w:rPr>
        <w:t>.</w:t>
      </w:r>
      <w:r>
        <w:rPr>
          <w:rFonts w:ascii="Times New Roman" w:hAnsi="Times New Roman"/>
          <w:sz w:val="24"/>
        </w:rPr>
        <w:t xml:space="preserve">” </w:t>
      </w:r>
      <w:r w:rsidRPr="00854576">
        <w:rPr>
          <w:rFonts w:ascii="Times New Roman" w:hAnsi="Times New Roman"/>
          <w:sz w:val="24"/>
        </w:rPr>
        <w:t xml:space="preserve">Peña </w:t>
      </w:r>
      <w:r>
        <w:rPr>
          <w:rFonts w:ascii="Times New Roman" w:hAnsi="Times New Roman"/>
          <w:sz w:val="24"/>
        </w:rPr>
        <w:t xml:space="preserve">stated </w:t>
      </w:r>
      <w:r w:rsidRPr="00854576">
        <w:rPr>
          <w:rFonts w:ascii="Times New Roman" w:hAnsi="Times New Roman"/>
          <w:sz w:val="24"/>
        </w:rPr>
        <w:t xml:space="preserve">that although he would overlook other cases, </w:t>
      </w:r>
      <w:r>
        <w:rPr>
          <w:rFonts w:ascii="Times New Roman" w:hAnsi="Times New Roman"/>
          <w:sz w:val="24"/>
        </w:rPr>
        <w:t xml:space="preserve">he would discuss </w:t>
      </w:r>
      <w:r w:rsidRPr="00854576">
        <w:rPr>
          <w:rFonts w:ascii="Times New Roman" w:hAnsi="Times New Roman"/>
          <w:sz w:val="24"/>
        </w:rPr>
        <w:t>Arna</w:t>
      </w:r>
      <w:r w:rsidR="00693674">
        <w:rPr>
          <w:rFonts w:ascii="Times New Roman" w:hAnsi="Times New Roman"/>
          <w:sz w:val="24"/>
        </w:rPr>
        <w:t>u de</w:t>
      </w:r>
      <w:r w:rsidRPr="00854576">
        <w:rPr>
          <w:rFonts w:ascii="Times New Roman" w:hAnsi="Times New Roman"/>
          <w:sz w:val="24"/>
        </w:rPr>
        <w:t xml:space="preserve"> Villanova</w:t>
      </w:r>
      <w:r w:rsidR="00DD1D1B">
        <w:rPr>
          <w:rFonts w:ascii="Times New Roman" w:hAnsi="Times New Roman"/>
          <w:sz w:val="24"/>
        </w:rPr>
        <w:t>,</w:t>
      </w:r>
      <w:r w:rsidRPr="00854576">
        <w:rPr>
          <w:rFonts w:ascii="Times New Roman" w:hAnsi="Times New Roman"/>
          <w:sz w:val="24"/>
        </w:rPr>
        <w:t xml:space="preserve"> </w:t>
      </w:r>
      <w:r>
        <w:rPr>
          <w:rFonts w:ascii="Times New Roman" w:hAnsi="Times New Roman"/>
          <w:sz w:val="24"/>
        </w:rPr>
        <w:t xml:space="preserve">who </w:t>
      </w:r>
      <w:r w:rsidRPr="00854576">
        <w:rPr>
          <w:rFonts w:ascii="Times New Roman" w:hAnsi="Times New Roman"/>
          <w:sz w:val="24"/>
        </w:rPr>
        <w:t>provided a good example of the threat posed by alchemy</w:t>
      </w:r>
      <w:r>
        <w:rPr>
          <w:rFonts w:ascii="Times New Roman" w:hAnsi="Times New Roman"/>
          <w:sz w:val="24"/>
        </w:rPr>
        <w:t>. I</w:t>
      </w:r>
      <w:r w:rsidRPr="00854576">
        <w:rPr>
          <w:rFonts w:ascii="Times New Roman" w:hAnsi="Times New Roman"/>
          <w:sz w:val="24"/>
        </w:rPr>
        <w:t>t was known that Arna</w:t>
      </w:r>
      <w:r w:rsidR="00693674">
        <w:rPr>
          <w:rFonts w:ascii="Times New Roman" w:hAnsi="Times New Roman"/>
          <w:sz w:val="24"/>
        </w:rPr>
        <w:t>u</w:t>
      </w:r>
      <w:r w:rsidRPr="00854576">
        <w:rPr>
          <w:rFonts w:ascii="Times New Roman" w:hAnsi="Times New Roman"/>
          <w:sz w:val="24"/>
        </w:rPr>
        <w:t xml:space="preserve"> was not only an alchemist but also a heretic and invoker of demons.</w:t>
      </w:r>
      <w:r w:rsidRPr="00854576">
        <w:rPr>
          <w:rFonts w:ascii="Times New Roman" w:hAnsi="Times New Roman"/>
          <w:sz w:val="24"/>
          <w:vertAlign w:val="superscript"/>
        </w:rPr>
        <w:footnoteReference w:id="62"/>
      </w:r>
      <w:r w:rsidR="00481006">
        <w:rPr>
          <w:rFonts w:ascii="Times New Roman" w:hAnsi="Times New Roman"/>
          <w:sz w:val="24"/>
        </w:rPr>
        <w:t xml:space="preserve"> </w:t>
      </w:r>
      <w:r w:rsidRPr="00854576">
        <w:rPr>
          <w:rFonts w:ascii="Times New Roman" w:hAnsi="Times New Roman"/>
          <w:sz w:val="24"/>
        </w:rPr>
        <w:t>Peña continued by acknowledging that this evaluation of alchem</w:t>
      </w:r>
      <w:r>
        <w:rPr>
          <w:rFonts w:ascii="Times New Roman" w:hAnsi="Times New Roman"/>
          <w:sz w:val="24"/>
        </w:rPr>
        <w:t>y would not be accepted by all.</w:t>
      </w:r>
      <w:r w:rsidRPr="00854576">
        <w:rPr>
          <w:rFonts w:ascii="Times New Roman" w:hAnsi="Times New Roman"/>
          <w:sz w:val="24"/>
        </w:rPr>
        <w:t xml:space="preserve"> “I hear that now Eymerich is bitterly rebuked, because he has made such a judgement about alchemists, but he has been unjustly slandered</w:t>
      </w:r>
      <w:r>
        <w:rPr>
          <w:rFonts w:ascii="Times New Roman" w:hAnsi="Times New Roman"/>
          <w:sz w:val="24"/>
        </w:rPr>
        <w:t>,</w:t>
      </w:r>
      <w:r w:rsidRPr="00854576">
        <w:rPr>
          <w:rFonts w:ascii="Times New Roman" w:hAnsi="Times New Roman"/>
          <w:sz w:val="24"/>
        </w:rPr>
        <w:t xml:space="preserve"> for there are many [things] which prove that alchemists are imposters, as I will shortly show.” In the meantime he provided a list of </w:t>
      </w:r>
      <w:r>
        <w:rPr>
          <w:rFonts w:ascii="Times New Roman" w:hAnsi="Times New Roman"/>
          <w:sz w:val="24"/>
        </w:rPr>
        <w:t>authorities to bolster his case. He specifically cited</w:t>
      </w:r>
      <w:r w:rsidRPr="00854576">
        <w:rPr>
          <w:rFonts w:ascii="Times New Roman" w:hAnsi="Times New Roman"/>
          <w:sz w:val="24"/>
        </w:rPr>
        <w:t xml:space="preserve"> Aquinas’s discussion of the production of alchemical metals in the </w:t>
      </w:r>
      <w:r w:rsidRPr="00854576">
        <w:rPr>
          <w:rFonts w:ascii="Times New Roman" w:hAnsi="Times New Roman"/>
          <w:i/>
          <w:sz w:val="24"/>
        </w:rPr>
        <w:t>Summa theologica</w:t>
      </w:r>
      <w:r w:rsidRPr="00EE26DF">
        <w:rPr>
          <w:rFonts w:ascii="Times New Roman" w:hAnsi="Times New Roman"/>
          <w:sz w:val="24"/>
        </w:rPr>
        <w:t xml:space="preserve">, although he did not mention the fact that Aquinas had here acknowledged the possibility of </w:t>
      </w:r>
      <w:r w:rsidR="00C436C4" w:rsidRPr="009F6DC8">
        <w:rPr>
          <w:rFonts w:ascii="Times New Roman" w:hAnsi="Times New Roman"/>
          <w:i/>
          <w:sz w:val="24"/>
        </w:rPr>
        <w:t>chrysopoei</w:t>
      </w:r>
      <w:r w:rsidR="00C436C4" w:rsidRPr="00EE26DF">
        <w:rPr>
          <w:rFonts w:ascii="Times New Roman" w:hAnsi="Times New Roman"/>
          <w:sz w:val="24"/>
        </w:rPr>
        <w:t>a</w:t>
      </w:r>
      <w:r w:rsidRPr="00EE26DF">
        <w:rPr>
          <w:rFonts w:ascii="Times New Roman" w:hAnsi="Times New Roman"/>
          <w:sz w:val="24"/>
        </w:rPr>
        <w:t>.</w:t>
      </w:r>
      <w:r w:rsidR="003316C4">
        <w:rPr>
          <w:rFonts w:ascii="Times New Roman" w:hAnsi="Times New Roman"/>
          <w:sz w:val="24"/>
        </w:rPr>
        <w:t xml:space="preserve"> </w:t>
      </w:r>
      <w:r w:rsidRPr="00854576">
        <w:rPr>
          <w:rFonts w:ascii="Times New Roman" w:hAnsi="Times New Roman"/>
          <w:sz w:val="24"/>
        </w:rPr>
        <w:t>He instead</w:t>
      </w:r>
      <w:r>
        <w:rPr>
          <w:rFonts w:ascii="Times New Roman" w:hAnsi="Times New Roman"/>
          <w:sz w:val="24"/>
        </w:rPr>
        <w:t xml:space="preserve"> remarked</w:t>
      </w:r>
      <w:r w:rsidRPr="00854576">
        <w:rPr>
          <w:rFonts w:ascii="Times New Roman" w:hAnsi="Times New Roman"/>
          <w:sz w:val="24"/>
        </w:rPr>
        <w:t xml:space="preserve"> that whil</w:t>
      </w:r>
      <w:r w:rsidR="003A42D5">
        <w:rPr>
          <w:rFonts w:ascii="Times New Roman" w:hAnsi="Times New Roman"/>
          <w:sz w:val="24"/>
        </w:rPr>
        <w:t>st</w:t>
      </w:r>
      <w:r w:rsidRPr="00854576">
        <w:rPr>
          <w:rFonts w:ascii="Times New Roman" w:hAnsi="Times New Roman"/>
          <w:sz w:val="24"/>
        </w:rPr>
        <w:t xml:space="preserve"> so</w:t>
      </w:r>
      <w:r>
        <w:rPr>
          <w:rFonts w:ascii="Times New Roman" w:hAnsi="Times New Roman"/>
          <w:sz w:val="24"/>
        </w:rPr>
        <w:t>me might continue to accept</w:t>
      </w:r>
      <w:r w:rsidRPr="00854576">
        <w:rPr>
          <w:rFonts w:ascii="Times New Roman" w:hAnsi="Times New Roman"/>
          <w:sz w:val="24"/>
        </w:rPr>
        <w:t xml:space="preserve"> the truth of alchemy, “</w:t>
      </w:r>
      <w:r>
        <w:rPr>
          <w:rFonts w:ascii="Times New Roman" w:hAnsi="Times New Roman"/>
          <w:sz w:val="24"/>
        </w:rPr>
        <w:t>i</w:t>
      </w:r>
      <w:r w:rsidRPr="00854576">
        <w:rPr>
          <w:rFonts w:ascii="Times New Roman" w:hAnsi="Times New Roman"/>
          <w:sz w:val="24"/>
        </w:rPr>
        <w:t xml:space="preserve">t is truer and more prudent the opinion of those who acknowledge that it is useless and pernicious to the </w:t>
      </w:r>
      <w:r w:rsidRPr="00854576">
        <w:rPr>
          <w:rFonts w:ascii="Times New Roman" w:hAnsi="Times New Roman"/>
          <w:i/>
          <w:sz w:val="24"/>
        </w:rPr>
        <w:t>res publica</w:t>
      </w:r>
      <w:r w:rsidRPr="00854576">
        <w:rPr>
          <w:rFonts w:ascii="Times New Roman" w:hAnsi="Times New Roman"/>
          <w:sz w:val="24"/>
        </w:rPr>
        <w:t>.”</w:t>
      </w:r>
      <w:r w:rsidRPr="00854576">
        <w:rPr>
          <w:rFonts w:ascii="Times New Roman" w:hAnsi="Times New Roman"/>
          <w:sz w:val="24"/>
          <w:vertAlign w:val="superscript"/>
        </w:rPr>
        <w:footnoteReference w:id="63"/>
      </w:r>
    </w:p>
    <w:p w14:paraId="2E01F7A0" w14:textId="77777777" w:rsidR="004A15CE" w:rsidRPr="00854576" w:rsidRDefault="009526FC" w:rsidP="00854576">
      <w:pPr>
        <w:spacing w:after="160" w:line="480" w:lineRule="auto"/>
        <w:rPr>
          <w:rFonts w:ascii="Times New Roman" w:hAnsi="Times New Roman"/>
          <w:sz w:val="24"/>
        </w:rPr>
      </w:pPr>
      <w:r w:rsidRPr="00854576">
        <w:rPr>
          <w:rFonts w:ascii="Times New Roman" w:hAnsi="Times New Roman"/>
          <w:sz w:val="24"/>
        </w:rPr>
        <w:lastRenderedPageBreak/>
        <w:tab/>
        <w:t>Peña then proceeded to analyse the reasons why some individual</w:t>
      </w:r>
      <w:r>
        <w:rPr>
          <w:rFonts w:ascii="Times New Roman" w:hAnsi="Times New Roman"/>
          <w:sz w:val="24"/>
        </w:rPr>
        <w:t xml:space="preserve">s continued to defend alchemy. </w:t>
      </w:r>
      <w:r w:rsidRPr="00854576">
        <w:rPr>
          <w:rFonts w:ascii="Times New Roman" w:hAnsi="Times New Roman"/>
          <w:sz w:val="24"/>
        </w:rPr>
        <w:t xml:space="preserve">He noted that it </w:t>
      </w:r>
      <w:r>
        <w:rPr>
          <w:rFonts w:ascii="Times New Roman" w:hAnsi="Times New Roman"/>
          <w:sz w:val="24"/>
        </w:rPr>
        <w:t>remained unclear whether it was</w:t>
      </w:r>
      <w:r w:rsidRPr="00854576">
        <w:rPr>
          <w:rFonts w:ascii="Times New Roman" w:hAnsi="Times New Roman"/>
          <w:sz w:val="24"/>
        </w:rPr>
        <w:t xml:space="preserve"> possible to </w:t>
      </w:r>
      <w:r>
        <w:rPr>
          <w:rFonts w:ascii="Times New Roman" w:hAnsi="Times New Roman"/>
          <w:sz w:val="24"/>
        </w:rPr>
        <w:t>create precious metals or gems.</w:t>
      </w:r>
      <w:r w:rsidRPr="00854576">
        <w:rPr>
          <w:rFonts w:ascii="Times New Roman" w:hAnsi="Times New Roman"/>
          <w:sz w:val="24"/>
        </w:rPr>
        <w:t xml:space="preserve"> Many</w:t>
      </w:r>
      <w:r>
        <w:rPr>
          <w:rFonts w:ascii="Times New Roman" w:hAnsi="Times New Roman"/>
          <w:sz w:val="24"/>
        </w:rPr>
        <w:t>,</w:t>
      </w:r>
      <w:r w:rsidRPr="00854576">
        <w:rPr>
          <w:rFonts w:ascii="Times New Roman" w:hAnsi="Times New Roman"/>
          <w:sz w:val="24"/>
        </w:rPr>
        <w:t xml:space="preserve"> he continued</w:t>
      </w:r>
      <w:r>
        <w:rPr>
          <w:rFonts w:ascii="Times New Roman" w:hAnsi="Times New Roman"/>
          <w:sz w:val="24"/>
        </w:rPr>
        <w:t>,</w:t>
      </w:r>
      <w:r w:rsidRPr="00854576">
        <w:rPr>
          <w:rFonts w:ascii="Times New Roman" w:hAnsi="Times New Roman"/>
          <w:sz w:val="24"/>
        </w:rPr>
        <w:t xml:space="preserve"> do not </w:t>
      </w:r>
      <w:r>
        <w:rPr>
          <w:rFonts w:ascii="Times New Roman" w:hAnsi="Times New Roman"/>
          <w:sz w:val="24"/>
        </w:rPr>
        <w:t>follow</w:t>
      </w:r>
      <w:r w:rsidRPr="00854576">
        <w:rPr>
          <w:rFonts w:ascii="Times New Roman" w:hAnsi="Times New Roman"/>
          <w:sz w:val="24"/>
        </w:rPr>
        <w:t xml:space="preserve"> Eymerich’s </w:t>
      </w:r>
      <w:r w:rsidR="00C436C4">
        <w:rPr>
          <w:rFonts w:ascii="Times New Roman" w:hAnsi="Times New Roman"/>
          <w:sz w:val="24"/>
        </w:rPr>
        <w:t>maxim</w:t>
      </w:r>
      <w:r w:rsidRPr="00854576">
        <w:rPr>
          <w:rFonts w:ascii="Times New Roman" w:hAnsi="Times New Roman"/>
          <w:sz w:val="24"/>
        </w:rPr>
        <w:t xml:space="preserve"> “that anything that is utterly improbable should not be believed</w:t>
      </w:r>
      <w:r w:rsidR="00DD1D1B">
        <w:rPr>
          <w:rFonts w:ascii="Times New Roman" w:hAnsi="Times New Roman"/>
          <w:sz w:val="24"/>
        </w:rPr>
        <w:t>,</w:t>
      </w:r>
      <w:r w:rsidRPr="00854576">
        <w:rPr>
          <w:rFonts w:ascii="Times New Roman" w:hAnsi="Times New Roman"/>
          <w:sz w:val="24"/>
        </w:rPr>
        <w:t>” and as a consequence they claimed to understand the means by which alchemy worked.</w:t>
      </w:r>
      <w:r>
        <w:rPr>
          <w:rStyle w:val="FootnoteReference"/>
          <w:rFonts w:ascii="Times New Roman" w:hAnsi="Times New Roman"/>
          <w:sz w:val="24"/>
        </w:rPr>
        <w:footnoteReference w:id="64"/>
      </w:r>
      <w:r w:rsidR="00C436C4">
        <w:rPr>
          <w:rFonts w:ascii="Times New Roman" w:hAnsi="Times New Roman"/>
          <w:sz w:val="24"/>
        </w:rPr>
        <w:t xml:space="preserve"> </w:t>
      </w:r>
      <w:r w:rsidRPr="00854576">
        <w:rPr>
          <w:rFonts w:ascii="Times New Roman" w:hAnsi="Times New Roman"/>
          <w:sz w:val="24"/>
        </w:rPr>
        <w:t xml:space="preserve">Perhaps invoking the reference to </w:t>
      </w:r>
      <w:r w:rsidRPr="00854576">
        <w:rPr>
          <w:rFonts w:ascii="Times New Roman" w:hAnsi="Times New Roman"/>
          <w:i/>
          <w:sz w:val="24"/>
        </w:rPr>
        <w:t>pauperes</w:t>
      </w:r>
      <w:r w:rsidR="003316C4">
        <w:rPr>
          <w:rFonts w:ascii="Times New Roman" w:hAnsi="Times New Roman"/>
          <w:i/>
          <w:sz w:val="24"/>
        </w:rPr>
        <w:t xml:space="preserve"> </w:t>
      </w:r>
      <w:r w:rsidRPr="00854576">
        <w:rPr>
          <w:rFonts w:ascii="Times New Roman" w:hAnsi="Times New Roman"/>
          <w:i/>
          <w:sz w:val="24"/>
        </w:rPr>
        <w:t>alchimistae</w:t>
      </w:r>
      <w:r w:rsidR="003316C4">
        <w:rPr>
          <w:rFonts w:ascii="Times New Roman" w:hAnsi="Times New Roman"/>
          <w:i/>
          <w:sz w:val="24"/>
        </w:rPr>
        <w:t xml:space="preserve"> </w:t>
      </w:r>
      <w:r w:rsidRPr="00854576">
        <w:rPr>
          <w:rFonts w:ascii="Times New Roman" w:hAnsi="Times New Roman"/>
          <w:sz w:val="24"/>
        </w:rPr>
        <w:t>in the opening sentence of John XXII’s bull, Peña claimed that some alchemists argued that if the art were practised by a prince, or an otherwise wealthy person, they should be freed from t</w:t>
      </w:r>
      <w:r>
        <w:rPr>
          <w:rFonts w:ascii="Times New Roman" w:hAnsi="Times New Roman"/>
          <w:sz w:val="24"/>
        </w:rPr>
        <w:t xml:space="preserve">he suspicion cast by Eymerich. </w:t>
      </w:r>
      <w:r w:rsidRPr="00854576">
        <w:rPr>
          <w:rFonts w:ascii="Times New Roman" w:hAnsi="Times New Roman"/>
          <w:sz w:val="24"/>
        </w:rPr>
        <w:t>This was because</w:t>
      </w:r>
      <w:r>
        <w:rPr>
          <w:rFonts w:ascii="Times New Roman" w:hAnsi="Times New Roman"/>
          <w:sz w:val="24"/>
        </w:rPr>
        <w:t>,</w:t>
      </w:r>
      <w:r w:rsidRPr="00854576">
        <w:rPr>
          <w:rFonts w:ascii="Times New Roman" w:hAnsi="Times New Roman"/>
          <w:sz w:val="24"/>
        </w:rPr>
        <w:t xml:space="preserve"> unlike the poor, the rich could sustain the financial losses that an alchemist would inevitably incur during the course of </w:t>
      </w:r>
      <w:r>
        <w:rPr>
          <w:rFonts w:ascii="Times New Roman" w:hAnsi="Times New Roman"/>
          <w:sz w:val="24"/>
        </w:rPr>
        <w:t xml:space="preserve">his or her </w:t>
      </w:r>
      <w:r w:rsidRPr="00854576">
        <w:rPr>
          <w:rFonts w:ascii="Times New Roman" w:hAnsi="Times New Roman"/>
          <w:sz w:val="24"/>
        </w:rPr>
        <w:t>experiments. Reduced to poverty, it was the poor who would resort either to the invocation of demons or striking fake coin. Peña noted that whatever the alchemists might argue, they were unable to circumvent</w:t>
      </w:r>
      <w:r>
        <w:rPr>
          <w:rFonts w:ascii="Times New Roman" w:hAnsi="Times New Roman"/>
          <w:sz w:val="24"/>
        </w:rPr>
        <w:t xml:space="preserve"> the</w:t>
      </w:r>
      <w:r w:rsidRPr="00854576">
        <w:rPr>
          <w:rFonts w:ascii="Times New Roman" w:hAnsi="Times New Roman"/>
          <w:sz w:val="24"/>
        </w:rPr>
        <w:t xml:space="preserve"> judgement imposed in the John XXII</w:t>
      </w:r>
      <w:r>
        <w:rPr>
          <w:rFonts w:ascii="Times New Roman" w:hAnsi="Times New Roman"/>
          <w:sz w:val="24"/>
        </w:rPr>
        <w:t>’s bull</w:t>
      </w:r>
      <w:r w:rsidRPr="00854576">
        <w:rPr>
          <w:rFonts w:ascii="Times New Roman" w:hAnsi="Times New Roman"/>
          <w:sz w:val="24"/>
        </w:rPr>
        <w:t xml:space="preserve">. By means of this bull the pope had “imposed grave penalties upon those who sell alchemical gold, silver or money made from them: for these transformations are sophistic, </w:t>
      </w:r>
      <w:r>
        <w:rPr>
          <w:rFonts w:ascii="Times New Roman" w:hAnsi="Times New Roman"/>
          <w:sz w:val="24"/>
        </w:rPr>
        <w:t>and not true, as the Pope elegantly noted</w:t>
      </w:r>
      <w:r w:rsidRPr="00854576">
        <w:rPr>
          <w:rFonts w:ascii="Times New Roman" w:hAnsi="Times New Roman"/>
          <w:sz w:val="24"/>
        </w:rPr>
        <w:t>.”</w:t>
      </w:r>
      <w:r>
        <w:rPr>
          <w:rStyle w:val="FootnoteReference"/>
          <w:rFonts w:ascii="Times New Roman" w:hAnsi="Times New Roman"/>
          <w:sz w:val="24"/>
        </w:rPr>
        <w:footnoteReference w:id="65"/>
      </w:r>
      <w:r w:rsidR="00C436C4">
        <w:rPr>
          <w:rFonts w:ascii="Times New Roman" w:hAnsi="Times New Roman"/>
          <w:sz w:val="24"/>
        </w:rPr>
        <w:t xml:space="preserve"> </w:t>
      </w:r>
      <w:r w:rsidR="004A15CE" w:rsidRPr="00854576">
        <w:rPr>
          <w:rFonts w:ascii="Times New Roman" w:hAnsi="Times New Roman"/>
          <w:sz w:val="24"/>
        </w:rPr>
        <w:t xml:space="preserve">Peña therefore invoked John XXII’s authority to settle the case that </w:t>
      </w:r>
      <w:r w:rsidR="004A15CE" w:rsidRPr="009F6DC8">
        <w:rPr>
          <w:rFonts w:ascii="Times New Roman" w:hAnsi="Times New Roman"/>
          <w:i/>
          <w:sz w:val="24"/>
        </w:rPr>
        <w:t>chrysopoeia</w:t>
      </w:r>
      <w:r w:rsidR="004A15CE" w:rsidRPr="00854576">
        <w:rPr>
          <w:rFonts w:ascii="Times New Roman" w:hAnsi="Times New Roman"/>
          <w:sz w:val="24"/>
        </w:rPr>
        <w:t xml:space="preserve"> was not naturally possible. He then used this evidence to make a </w:t>
      </w:r>
      <w:r w:rsidR="004A15CE">
        <w:rPr>
          <w:rFonts w:ascii="Times New Roman" w:hAnsi="Times New Roman"/>
          <w:sz w:val="24"/>
        </w:rPr>
        <w:t xml:space="preserve">further </w:t>
      </w:r>
      <w:r w:rsidR="004A15CE" w:rsidRPr="00854576">
        <w:rPr>
          <w:rFonts w:ascii="Times New Roman" w:hAnsi="Times New Roman"/>
          <w:sz w:val="24"/>
        </w:rPr>
        <w:t>point</w:t>
      </w:r>
      <w:r w:rsidR="004A15CE">
        <w:rPr>
          <w:rFonts w:ascii="Times New Roman" w:hAnsi="Times New Roman"/>
          <w:sz w:val="24"/>
        </w:rPr>
        <w:t>, one</w:t>
      </w:r>
      <w:r w:rsidR="004A15CE" w:rsidRPr="00854576">
        <w:rPr>
          <w:rFonts w:ascii="Times New Roman" w:hAnsi="Times New Roman"/>
          <w:sz w:val="24"/>
        </w:rPr>
        <w:t xml:space="preserve"> not contemplated in the original bull. He used it to support Eymerich’s argument that those who practised </w:t>
      </w:r>
      <w:r w:rsidR="004A15CE" w:rsidRPr="009F6DC8">
        <w:rPr>
          <w:rFonts w:ascii="Times New Roman" w:hAnsi="Times New Roman"/>
          <w:i/>
          <w:sz w:val="24"/>
        </w:rPr>
        <w:t>chrysopoeia</w:t>
      </w:r>
      <w:r w:rsidR="004A15CE" w:rsidRPr="00854576">
        <w:rPr>
          <w:rFonts w:ascii="Times New Roman" w:hAnsi="Times New Roman"/>
          <w:sz w:val="24"/>
        </w:rPr>
        <w:t xml:space="preserve"> should not only be considered frauds but also as potential heretics.</w:t>
      </w:r>
    </w:p>
    <w:p w14:paraId="1C859124" w14:textId="77777777" w:rsidR="00854576" w:rsidRPr="00854576" w:rsidRDefault="00854576" w:rsidP="00854576">
      <w:pPr>
        <w:spacing w:after="160" w:line="480" w:lineRule="auto"/>
        <w:rPr>
          <w:rFonts w:ascii="Times New Roman" w:hAnsi="Times New Roman"/>
          <w:sz w:val="24"/>
        </w:rPr>
      </w:pPr>
    </w:p>
    <w:p w14:paraId="4B1DC7A7" w14:textId="77777777" w:rsidR="00854576" w:rsidRPr="00A263C1" w:rsidRDefault="00854576" w:rsidP="00A263C1">
      <w:pPr>
        <w:spacing w:after="160" w:line="480" w:lineRule="auto"/>
        <w:rPr>
          <w:rFonts w:ascii="Times New Roman" w:hAnsi="Times New Roman"/>
          <w:b/>
          <w:sz w:val="24"/>
        </w:rPr>
      </w:pPr>
      <w:r w:rsidRPr="00A263C1">
        <w:rPr>
          <w:rFonts w:ascii="Times New Roman" w:hAnsi="Times New Roman"/>
          <w:b/>
          <w:sz w:val="24"/>
        </w:rPr>
        <w:t>Conclusion</w:t>
      </w:r>
    </w:p>
    <w:p w14:paraId="508126A3" w14:textId="77777777" w:rsidR="00854576" w:rsidRPr="00854576" w:rsidRDefault="00854576" w:rsidP="00854576">
      <w:pPr>
        <w:spacing w:after="160" w:line="480" w:lineRule="auto"/>
        <w:jc w:val="center"/>
        <w:rPr>
          <w:rFonts w:ascii="Times New Roman" w:hAnsi="Times New Roman"/>
          <w:sz w:val="24"/>
        </w:rPr>
      </w:pPr>
    </w:p>
    <w:p w14:paraId="05B4144F" w14:textId="504B75E6" w:rsidR="00024AFC" w:rsidRDefault="00854576" w:rsidP="00A263C1">
      <w:pPr>
        <w:spacing w:after="160" w:line="480" w:lineRule="auto"/>
        <w:rPr>
          <w:rFonts w:ascii="Times New Roman" w:hAnsi="Times New Roman"/>
          <w:sz w:val="24"/>
        </w:rPr>
      </w:pPr>
      <w:r w:rsidRPr="00854576">
        <w:rPr>
          <w:rFonts w:ascii="Times New Roman" w:hAnsi="Times New Roman"/>
          <w:sz w:val="24"/>
        </w:rPr>
        <w:lastRenderedPageBreak/>
        <w:t xml:space="preserve">By the time that the Roman Inquisition was </w:t>
      </w:r>
      <w:r w:rsidR="007A7C2C">
        <w:rPr>
          <w:rFonts w:ascii="Times New Roman" w:hAnsi="Times New Roman"/>
          <w:sz w:val="24"/>
        </w:rPr>
        <w:t>founded</w:t>
      </w:r>
      <w:r w:rsidRPr="00854576">
        <w:rPr>
          <w:rFonts w:ascii="Times New Roman" w:hAnsi="Times New Roman"/>
          <w:sz w:val="24"/>
        </w:rPr>
        <w:t xml:space="preserve"> in 1542, the fact that operative arts could be prosecuted as forms of heresy had</w:t>
      </w:r>
      <w:r w:rsidR="00D45121">
        <w:rPr>
          <w:rFonts w:ascii="Times New Roman" w:hAnsi="Times New Roman"/>
          <w:sz w:val="24"/>
        </w:rPr>
        <w:t xml:space="preserve"> long</w:t>
      </w:r>
      <w:r w:rsidRPr="00854576">
        <w:rPr>
          <w:rFonts w:ascii="Times New Roman" w:hAnsi="Times New Roman"/>
          <w:sz w:val="24"/>
        </w:rPr>
        <w:t xml:space="preserve"> been established in canon law and </w:t>
      </w:r>
      <w:r w:rsidR="007A7C2C">
        <w:rPr>
          <w:rFonts w:ascii="Times New Roman" w:hAnsi="Times New Roman"/>
          <w:sz w:val="24"/>
        </w:rPr>
        <w:t>i</w:t>
      </w:r>
      <w:r w:rsidR="00F516CC">
        <w:rPr>
          <w:rFonts w:ascii="Times New Roman" w:hAnsi="Times New Roman"/>
          <w:sz w:val="24"/>
        </w:rPr>
        <w:t xml:space="preserve">nquisitorial practice. </w:t>
      </w:r>
      <w:r w:rsidRPr="00854576">
        <w:rPr>
          <w:rFonts w:ascii="Times New Roman" w:hAnsi="Times New Roman"/>
          <w:sz w:val="24"/>
        </w:rPr>
        <w:t>There were, however, multiple possible standards available for assess</w:t>
      </w:r>
      <w:r w:rsidR="00F516CC">
        <w:rPr>
          <w:rFonts w:ascii="Times New Roman" w:hAnsi="Times New Roman"/>
          <w:sz w:val="24"/>
        </w:rPr>
        <w:t xml:space="preserve">ing the legitimacy of alchemy. </w:t>
      </w:r>
      <w:r w:rsidRPr="00854576">
        <w:rPr>
          <w:rFonts w:ascii="Times New Roman" w:hAnsi="Times New Roman"/>
          <w:sz w:val="24"/>
        </w:rPr>
        <w:t xml:space="preserve">In this article I have traced two approaches that developed out of </w:t>
      </w:r>
      <w:r w:rsidR="00F516CC">
        <w:rPr>
          <w:rFonts w:ascii="Times New Roman" w:hAnsi="Times New Roman"/>
          <w:sz w:val="24"/>
        </w:rPr>
        <w:t xml:space="preserve">the thought of Thomas Aquinas. </w:t>
      </w:r>
      <w:r w:rsidR="00540B7C">
        <w:rPr>
          <w:rFonts w:ascii="Times New Roman" w:hAnsi="Times New Roman"/>
          <w:sz w:val="24"/>
        </w:rPr>
        <w:t xml:space="preserve">When </w:t>
      </w:r>
      <w:r w:rsidRPr="00854576">
        <w:rPr>
          <w:rFonts w:ascii="Times New Roman" w:hAnsi="Times New Roman"/>
          <w:sz w:val="24"/>
        </w:rPr>
        <w:t xml:space="preserve">Aquinas, Nider, and later Institoris </w:t>
      </w:r>
      <w:r w:rsidR="00540B7C">
        <w:rPr>
          <w:rFonts w:ascii="Times New Roman" w:hAnsi="Times New Roman"/>
          <w:sz w:val="24"/>
        </w:rPr>
        <w:t>and Sprenger,</w:t>
      </w:r>
      <w:r w:rsidRPr="00854576">
        <w:rPr>
          <w:rFonts w:ascii="Times New Roman" w:hAnsi="Times New Roman"/>
          <w:sz w:val="24"/>
        </w:rPr>
        <w:t xml:space="preserve"> discussed alchemy they </w:t>
      </w:r>
      <w:r w:rsidR="00193014">
        <w:rPr>
          <w:rFonts w:ascii="Times New Roman" w:hAnsi="Times New Roman"/>
          <w:sz w:val="24"/>
        </w:rPr>
        <w:t>treated</w:t>
      </w:r>
      <w:r w:rsidRPr="00854576">
        <w:rPr>
          <w:rFonts w:ascii="Times New Roman" w:hAnsi="Times New Roman"/>
          <w:sz w:val="24"/>
        </w:rPr>
        <w:t xml:space="preserve"> it as something to </w:t>
      </w:r>
      <w:r w:rsidR="00F516CC">
        <w:rPr>
          <w:rFonts w:ascii="Times New Roman" w:hAnsi="Times New Roman"/>
          <w:sz w:val="24"/>
        </w:rPr>
        <w:t xml:space="preserve">think with, rather than about. </w:t>
      </w:r>
      <w:r w:rsidRPr="00854576">
        <w:rPr>
          <w:rFonts w:ascii="Times New Roman" w:hAnsi="Times New Roman"/>
          <w:sz w:val="24"/>
        </w:rPr>
        <w:t>They treated alchemy not as an art which presented clear and pressing dangers that demanded the theologian’s immediate attention, but as a device useful for determini</w:t>
      </w:r>
      <w:r w:rsidR="00F516CC">
        <w:rPr>
          <w:rFonts w:ascii="Times New Roman" w:hAnsi="Times New Roman"/>
          <w:sz w:val="24"/>
        </w:rPr>
        <w:t>ng the limits of demonic power.</w:t>
      </w:r>
      <w:r w:rsidRPr="00854576">
        <w:rPr>
          <w:rFonts w:ascii="Times New Roman" w:hAnsi="Times New Roman"/>
          <w:sz w:val="24"/>
        </w:rPr>
        <w:t xml:space="preserve"> Nicholas Eymerich developed </w:t>
      </w:r>
      <w:r w:rsidR="00F516CC">
        <w:rPr>
          <w:rFonts w:ascii="Times New Roman" w:hAnsi="Times New Roman"/>
          <w:sz w:val="24"/>
        </w:rPr>
        <w:t>an alternative view of alchemy.</w:t>
      </w:r>
      <w:r w:rsidRPr="00854576">
        <w:rPr>
          <w:rFonts w:ascii="Times New Roman" w:hAnsi="Times New Roman"/>
          <w:sz w:val="24"/>
        </w:rPr>
        <w:t xml:space="preserve"> He treated it as an activity requiring the inquisitor’s attention on the ground that it offered compelling </w:t>
      </w:r>
      <w:r w:rsidR="00F516CC">
        <w:rPr>
          <w:rFonts w:ascii="Times New Roman" w:hAnsi="Times New Roman"/>
          <w:sz w:val="24"/>
        </w:rPr>
        <w:t>evidence of heretical activity.</w:t>
      </w:r>
      <w:r w:rsidRPr="00854576">
        <w:rPr>
          <w:rFonts w:ascii="Times New Roman" w:hAnsi="Times New Roman"/>
          <w:sz w:val="24"/>
        </w:rPr>
        <w:t xml:space="preserve"> His approach to this art was, nevertheless, informed by Aquinas’s central contention that operative arts should be considered legitimate if they worked </w:t>
      </w:r>
      <w:r w:rsidR="00F516CC">
        <w:rPr>
          <w:rFonts w:ascii="Times New Roman" w:hAnsi="Times New Roman"/>
          <w:sz w:val="24"/>
        </w:rPr>
        <w:t>their effects by natural means.</w:t>
      </w:r>
      <w:r w:rsidRPr="00854576">
        <w:rPr>
          <w:rFonts w:ascii="Times New Roman" w:hAnsi="Times New Roman"/>
          <w:sz w:val="24"/>
        </w:rPr>
        <w:t xml:space="preserve"> For Eymerich, the suspicion that an alchemist might be attempting to achieve naturally impossible ends </w:t>
      </w:r>
      <w:r w:rsidR="00467B52">
        <w:rPr>
          <w:rFonts w:ascii="Times New Roman" w:hAnsi="Times New Roman"/>
          <w:sz w:val="24"/>
        </w:rPr>
        <w:t>provided the basis for further i</w:t>
      </w:r>
      <w:r w:rsidRPr="00854576">
        <w:rPr>
          <w:rFonts w:ascii="Times New Roman" w:hAnsi="Times New Roman"/>
          <w:sz w:val="24"/>
        </w:rPr>
        <w:t>nquisitorial inve</w:t>
      </w:r>
      <w:r w:rsidR="00F516CC">
        <w:rPr>
          <w:rFonts w:ascii="Times New Roman" w:hAnsi="Times New Roman"/>
          <w:sz w:val="24"/>
        </w:rPr>
        <w:t xml:space="preserve">stigation of their activities. </w:t>
      </w:r>
      <w:r w:rsidRPr="00854576">
        <w:rPr>
          <w:rFonts w:ascii="Times New Roman" w:hAnsi="Times New Roman"/>
          <w:sz w:val="24"/>
        </w:rPr>
        <w:t>Francisco Peña later defended and el</w:t>
      </w:r>
      <w:r w:rsidR="00453EDC">
        <w:rPr>
          <w:rFonts w:ascii="Times New Roman" w:hAnsi="Times New Roman"/>
          <w:sz w:val="24"/>
        </w:rPr>
        <w:t>aborated this conception</w:t>
      </w:r>
      <w:r w:rsidR="00F516CC">
        <w:rPr>
          <w:rFonts w:ascii="Times New Roman" w:hAnsi="Times New Roman"/>
          <w:sz w:val="24"/>
        </w:rPr>
        <w:t xml:space="preserve"> of alchemy. </w:t>
      </w:r>
      <w:r w:rsidRPr="00854576">
        <w:rPr>
          <w:rFonts w:ascii="Times New Roman" w:hAnsi="Times New Roman"/>
          <w:sz w:val="24"/>
        </w:rPr>
        <w:t>It was by no means inevitable that all inqui</w:t>
      </w:r>
      <w:r w:rsidR="00453EDC">
        <w:rPr>
          <w:rFonts w:ascii="Times New Roman" w:hAnsi="Times New Roman"/>
          <w:sz w:val="24"/>
        </w:rPr>
        <w:t>sitors would accept his opinion</w:t>
      </w:r>
      <w:r w:rsidR="00F516CC">
        <w:rPr>
          <w:rFonts w:ascii="Times New Roman" w:hAnsi="Times New Roman"/>
          <w:sz w:val="24"/>
        </w:rPr>
        <w:t xml:space="preserve">. </w:t>
      </w:r>
      <w:r w:rsidRPr="00854576">
        <w:rPr>
          <w:rFonts w:ascii="Times New Roman" w:hAnsi="Times New Roman"/>
          <w:sz w:val="24"/>
        </w:rPr>
        <w:t>In the later sixteenth century</w:t>
      </w:r>
      <w:r w:rsidR="00AA162B">
        <w:rPr>
          <w:rFonts w:ascii="Times New Roman" w:hAnsi="Times New Roman"/>
          <w:sz w:val="24"/>
        </w:rPr>
        <w:t>,</w:t>
      </w:r>
      <w:r w:rsidRPr="00854576">
        <w:rPr>
          <w:rFonts w:ascii="Times New Roman" w:hAnsi="Times New Roman"/>
          <w:sz w:val="24"/>
        </w:rPr>
        <w:t xml:space="preserve"> practising inquisitors possessed a complex, and sometimes contradictory,</w:t>
      </w:r>
      <w:r w:rsidR="00D45121">
        <w:rPr>
          <w:rFonts w:ascii="Times New Roman" w:hAnsi="Times New Roman"/>
          <w:sz w:val="24"/>
        </w:rPr>
        <w:t xml:space="preserve"> set of</w:t>
      </w:r>
      <w:r w:rsidRPr="00854576">
        <w:rPr>
          <w:rFonts w:ascii="Times New Roman" w:hAnsi="Times New Roman"/>
          <w:sz w:val="24"/>
        </w:rPr>
        <w:t xml:space="preserve"> criteria for</w:t>
      </w:r>
      <w:r w:rsidR="00AA162B">
        <w:rPr>
          <w:rFonts w:ascii="Times New Roman" w:hAnsi="Times New Roman"/>
          <w:sz w:val="24"/>
        </w:rPr>
        <w:t xml:space="preserve"> investigating alchemy, which</w:t>
      </w:r>
      <w:r w:rsidRPr="00854576">
        <w:rPr>
          <w:rFonts w:ascii="Times New Roman" w:hAnsi="Times New Roman"/>
          <w:sz w:val="24"/>
        </w:rPr>
        <w:t xml:space="preserve"> they in turn were required to interpret.</w:t>
      </w:r>
    </w:p>
    <w:p w14:paraId="687BCD0D" w14:textId="77777777" w:rsidR="000A0666" w:rsidRDefault="000A0666" w:rsidP="00854576">
      <w:pPr>
        <w:spacing w:after="160" w:line="480" w:lineRule="auto"/>
        <w:rPr>
          <w:rFonts w:ascii="Times New Roman" w:hAnsi="Times New Roman"/>
          <w:sz w:val="24"/>
        </w:rPr>
      </w:pPr>
    </w:p>
    <w:p w14:paraId="707647F5" w14:textId="77777777" w:rsidR="00A2120D" w:rsidRDefault="00A2120D" w:rsidP="00854576">
      <w:pPr>
        <w:spacing w:after="160" w:line="480" w:lineRule="auto"/>
        <w:rPr>
          <w:rFonts w:ascii="Times New Roman" w:hAnsi="Times New Roman"/>
          <w:b/>
          <w:sz w:val="24"/>
        </w:rPr>
      </w:pPr>
      <w:r w:rsidRPr="00A2120D">
        <w:rPr>
          <w:rFonts w:ascii="Times New Roman" w:hAnsi="Times New Roman"/>
          <w:b/>
          <w:sz w:val="24"/>
        </w:rPr>
        <w:t>Acknowledgements</w:t>
      </w:r>
    </w:p>
    <w:p w14:paraId="04B372DA" w14:textId="77777777" w:rsidR="00A2120D" w:rsidRPr="00A2120D" w:rsidRDefault="00A2120D" w:rsidP="00854576">
      <w:pPr>
        <w:spacing w:after="160" w:line="480" w:lineRule="auto"/>
        <w:rPr>
          <w:rFonts w:ascii="Times New Roman" w:hAnsi="Times New Roman"/>
          <w:sz w:val="24"/>
        </w:rPr>
      </w:pPr>
      <w:r>
        <w:rPr>
          <w:rFonts w:ascii="Times New Roman" w:hAnsi="Times New Roman"/>
          <w:sz w:val="24"/>
        </w:rPr>
        <w:t xml:space="preserve">I am grateful to my co-editors – Andrew </w:t>
      </w:r>
      <w:r w:rsidR="005477F9">
        <w:rPr>
          <w:rFonts w:ascii="Times New Roman" w:hAnsi="Times New Roman"/>
          <w:sz w:val="24"/>
        </w:rPr>
        <w:t xml:space="preserve">Campbell </w:t>
      </w:r>
      <w:r>
        <w:rPr>
          <w:rFonts w:ascii="Times New Roman" w:hAnsi="Times New Roman"/>
          <w:sz w:val="24"/>
        </w:rPr>
        <w:t xml:space="preserve">and Lorenza </w:t>
      </w:r>
      <w:r w:rsidR="005477F9">
        <w:rPr>
          <w:rFonts w:ascii="Times New Roman" w:hAnsi="Times New Roman"/>
          <w:sz w:val="24"/>
        </w:rPr>
        <w:t>Gianfrancesco</w:t>
      </w:r>
      <w:r>
        <w:rPr>
          <w:rFonts w:ascii="Times New Roman" w:hAnsi="Times New Roman"/>
          <w:sz w:val="24"/>
        </w:rPr>
        <w:t xml:space="preserve">– for carefully reading earlier drafts of this essay, and to our fellow contributors Peter Murray Jones and </w:t>
      </w:r>
      <w:r w:rsidR="005477F9">
        <w:rPr>
          <w:rFonts w:ascii="Times New Roman" w:hAnsi="Times New Roman"/>
          <w:sz w:val="24"/>
        </w:rPr>
        <w:t>Justin Rivest for their comments on an early draft. I also wish to thank the two anonymous revi</w:t>
      </w:r>
      <w:r w:rsidR="0078670B">
        <w:rPr>
          <w:rFonts w:ascii="Times New Roman" w:hAnsi="Times New Roman"/>
          <w:sz w:val="24"/>
        </w:rPr>
        <w:t>ewers for their thoughtful and helpful</w:t>
      </w:r>
      <w:r w:rsidR="005477F9">
        <w:rPr>
          <w:rFonts w:ascii="Times New Roman" w:hAnsi="Times New Roman"/>
          <w:sz w:val="24"/>
        </w:rPr>
        <w:t xml:space="preserve"> comments.</w:t>
      </w:r>
    </w:p>
    <w:sectPr w:rsidR="00A2120D" w:rsidRPr="00A2120D" w:rsidSect="00E45FC1">
      <w:footerReference w:type="default" r:id="rId8"/>
      <w:endnotePr>
        <w:numFmt w:val="decimal"/>
      </w:end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BCE44" w14:textId="77777777" w:rsidR="00097A57" w:rsidRDefault="00097A57" w:rsidP="00854576">
      <w:pPr>
        <w:spacing w:after="0" w:line="240" w:lineRule="auto"/>
      </w:pPr>
      <w:r>
        <w:separator/>
      </w:r>
    </w:p>
  </w:endnote>
  <w:endnote w:type="continuationSeparator" w:id="0">
    <w:p w14:paraId="53AFABEE" w14:textId="77777777" w:rsidR="00097A57" w:rsidRDefault="00097A57" w:rsidP="00854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Garamon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C492" w14:textId="77777777" w:rsidR="00E4019F" w:rsidRDefault="00447A57">
    <w:pPr>
      <w:pStyle w:val="Footer"/>
      <w:jc w:val="right"/>
    </w:pPr>
    <w:r>
      <w:fldChar w:fldCharType="begin"/>
    </w:r>
    <w:r w:rsidR="00E4019F">
      <w:instrText xml:space="preserve"> PAGE   \* MERGEFORMAT </w:instrText>
    </w:r>
    <w:r>
      <w:fldChar w:fldCharType="separate"/>
    </w:r>
    <w:r w:rsidR="006307AD">
      <w:rPr>
        <w:noProof/>
      </w:rPr>
      <w:t>2</w:t>
    </w:r>
    <w:r>
      <w:rPr>
        <w:noProof/>
      </w:rPr>
      <w:fldChar w:fldCharType="end"/>
    </w:r>
  </w:p>
  <w:p w14:paraId="6C7E013C" w14:textId="77777777" w:rsidR="00E4019F" w:rsidRDefault="00E40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191A4A" w14:textId="77777777" w:rsidR="00097A57" w:rsidRDefault="00097A57" w:rsidP="00854576">
      <w:pPr>
        <w:spacing w:after="0" w:line="240" w:lineRule="auto"/>
      </w:pPr>
      <w:r>
        <w:separator/>
      </w:r>
    </w:p>
  </w:footnote>
  <w:footnote w:type="continuationSeparator" w:id="0">
    <w:p w14:paraId="1BE763FE" w14:textId="77777777" w:rsidR="00097A57" w:rsidRDefault="00097A57" w:rsidP="00854576">
      <w:pPr>
        <w:spacing w:after="0" w:line="240" w:lineRule="auto"/>
      </w:pPr>
      <w:r>
        <w:continuationSeparator/>
      </w:r>
    </w:p>
  </w:footnote>
  <w:footnote w:id="1">
    <w:p w14:paraId="6EC14F8A" w14:textId="77777777" w:rsidR="00E4019F" w:rsidRPr="00200466" w:rsidRDefault="00E4019F" w:rsidP="0004340F">
      <w:pPr>
        <w:pStyle w:val="FootnoteText"/>
        <w:rPr>
          <w:sz w:val="24"/>
          <w:szCs w:val="24"/>
        </w:rPr>
      </w:pPr>
      <w:r w:rsidRPr="00200466">
        <w:rPr>
          <w:rStyle w:val="FootnoteReference"/>
          <w:sz w:val="24"/>
          <w:szCs w:val="24"/>
        </w:rPr>
        <w:footnoteRef/>
      </w:r>
      <w:r w:rsidRPr="00200466">
        <w:rPr>
          <w:sz w:val="24"/>
          <w:szCs w:val="24"/>
        </w:rPr>
        <w:t xml:space="preserve"> Unless otherwise stated, all translations are my own.</w:t>
      </w:r>
    </w:p>
  </w:footnote>
  <w:footnote w:id="2">
    <w:p w14:paraId="091562B0" w14:textId="77777777" w:rsidR="00E4019F" w:rsidRPr="00200466" w:rsidRDefault="00E4019F" w:rsidP="00370F5E">
      <w:pPr>
        <w:pStyle w:val="FootnoteText"/>
        <w:rPr>
          <w:sz w:val="24"/>
          <w:szCs w:val="24"/>
        </w:rPr>
      </w:pPr>
      <w:r w:rsidRPr="00200466">
        <w:rPr>
          <w:rStyle w:val="FootnoteReference"/>
          <w:sz w:val="24"/>
          <w:szCs w:val="24"/>
        </w:rPr>
        <w:footnoteRef/>
      </w:r>
      <w:r w:rsidRPr="00200466">
        <w:rPr>
          <w:sz w:val="24"/>
          <w:szCs w:val="24"/>
        </w:rPr>
        <w:t xml:space="preserve"> Ugo Baldini and Leen Spruit, </w:t>
      </w:r>
      <w:r w:rsidRPr="00200466">
        <w:rPr>
          <w:i/>
          <w:sz w:val="24"/>
          <w:szCs w:val="24"/>
        </w:rPr>
        <w:t>Catholic Church and Modern Science</w:t>
      </w:r>
      <w:r w:rsidR="008067E2">
        <w:rPr>
          <w:i/>
          <w:sz w:val="24"/>
          <w:szCs w:val="24"/>
        </w:rPr>
        <w:t xml:space="preserve"> </w:t>
      </w:r>
      <w:r w:rsidRPr="00200466">
        <w:rPr>
          <w:i/>
          <w:sz w:val="24"/>
          <w:szCs w:val="24"/>
        </w:rPr>
        <w:t xml:space="preserve">Volume 1 XVIth Century Documents, </w:t>
      </w:r>
      <w:r w:rsidRPr="00A10FB8">
        <w:rPr>
          <w:sz w:val="24"/>
          <w:szCs w:val="24"/>
        </w:rPr>
        <w:t>4 tomes</w:t>
      </w:r>
      <w:r w:rsidR="00BB39CF">
        <w:rPr>
          <w:sz w:val="24"/>
          <w:szCs w:val="24"/>
        </w:rPr>
        <w:t xml:space="preserve"> </w:t>
      </w:r>
      <w:r w:rsidRPr="00200466">
        <w:rPr>
          <w:sz w:val="24"/>
          <w:szCs w:val="24"/>
        </w:rPr>
        <w:t>(Rome: Li</w:t>
      </w:r>
      <w:r w:rsidR="00C23586">
        <w:rPr>
          <w:sz w:val="24"/>
          <w:szCs w:val="24"/>
        </w:rPr>
        <w:t>breria</w:t>
      </w:r>
      <w:r w:rsidR="008067E2">
        <w:rPr>
          <w:sz w:val="24"/>
          <w:szCs w:val="24"/>
        </w:rPr>
        <w:t xml:space="preserve"> </w:t>
      </w:r>
      <w:r w:rsidR="00C23586">
        <w:rPr>
          <w:sz w:val="24"/>
          <w:szCs w:val="24"/>
        </w:rPr>
        <w:t>Editrice</w:t>
      </w:r>
      <w:r w:rsidR="008067E2">
        <w:rPr>
          <w:sz w:val="24"/>
          <w:szCs w:val="24"/>
        </w:rPr>
        <w:t xml:space="preserve"> </w:t>
      </w:r>
      <w:r w:rsidR="00C23586">
        <w:rPr>
          <w:sz w:val="24"/>
          <w:szCs w:val="24"/>
        </w:rPr>
        <w:t>Vaticana, 2009).</w:t>
      </w:r>
      <w:r w:rsidRPr="00200466">
        <w:rPr>
          <w:sz w:val="24"/>
          <w:szCs w:val="24"/>
        </w:rPr>
        <w:t xml:space="preserve"> For further discussion see Neil Tarrant, “Censoring Science in Sixteenth-Century Italy: Recent (and Not-So-Recent) Research,” </w:t>
      </w:r>
      <w:r w:rsidRPr="00200466">
        <w:rPr>
          <w:i/>
          <w:sz w:val="24"/>
          <w:szCs w:val="24"/>
        </w:rPr>
        <w:t xml:space="preserve">History of Science </w:t>
      </w:r>
      <w:r w:rsidRPr="00200466">
        <w:rPr>
          <w:sz w:val="24"/>
          <w:szCs w:val="24"/>
        </w:rPr>
        <w:t>52 (2014): 1-27.</w:t>
      </w:r>
    </w:p>
  </w:footnote>
  <w:footnote w:id="3">
    <w:p w14:paraId="1477AFAA" w14:textId="77777777" w:rsidR="00E4019F" w:rsidRPr="00200466" w:rsidRDefault="00E4019F" w:rsidP="00370F5E">
      <w:pPr>
        <w:pStyle w:val="FootnoteText"/>
        <w:rPr>
          <w:sz w:val="24"/>
          <w:szCs w:val="24"/>
        </w:rPr>
      </w:pPr>
      <w:r w:rsidRPr="00200466">
        <w:rPr>
          <w:rStyle w:val="FootnoteReference"/>
          <w:sz w:val="24"/>
          <w:szCs w:val="24"/>
        </w:rPr>
        <w:footnoteRef/>
      </w:r>
      <w:r w:rsidRPr="00200466">
        <w:rPr>
          <w:sz w:val="24"/>
          <w:szCs w:val="24"/>
        </w:rPr>
        <w:t xml:space="preserve"> Baldini and Spruit, </w:t>
      </w:r>
      <w:r w:rsidRPr="00200466">
        <w:rPr>
          <w:i/>
          <w:sz w:val="24"/>
          <w:szCs w:val="24"/>
        </w:rPr>
        <w:t>Catholic Church and Modern Science</w:t>
      </w:r>
      <w:r w:rsidRPr="00200466">
        <w:rPr>
          <w:sz w:val="24"/>
          <w:szCs w:val="24"/>
        </w:rPr>
        <w:t>, tome 1, 419-23.</w:t>
      </w:r>
    </w:p>
  </w:footnote>
  <w:footnote w:id="4">
    <w:p w14:paraId="4E9AC94D" w14:textId="77777777" w:rsidR="00E4019F" w:rsidRPr="00200466" w:rsidRDefault="00E4019F" w:rsidP="008067E2">
      <w:pPr>
        <w:pStyle w:val="FootnoteText"/>
        <w:rPr>
          <w:sz w:val="24"/>
          <w:szCs w:val="24"/>
        </w:rPr>
      </w:pPr>
      <w:r w:rsidRPr="00200466">
        <w:rPr>
          <w:rStyle w:val="FootnoteReference"/>
          <w:sz w:val="24"/>
          <w:szCs w:val="24"/>
        </w:rPr>
        <w:footnoteRef/>
      </w:r>
      <w:r w:rsidRPr="00200466">
        <w:rPr>
          <w:sz w:val="24"/>
          <w:szCs w:val="24"/>
        </w:rPr>
        <w:t xml:space="preserve"> Zachary A. Matus, “Alchemy and Chemistry in the Middle Ages,” </w:t>
      </w:r>
      <w:r w:rsidRPr="00200466">
        <w:rPr>
          <w:i/>
          <w:sz w:val="24"/>
          <w:szCs w:val="24"/>
        </w:rPr>
        <w:t xml:space="preserve">History Compass </w:t>
      </w:r>
      <w:r w:rsidRPr="00200466">
        <w:rPr>
          <w:sz w:val="24"/>
          <w:szCs w:val="24"/>
        </w:rPr>
        <w:t>10 (2012): 934-45, on 939.</w:t>
      </w:r>
    </w:p>
  </w:footnote>
  <w:footnote w:id="5">
    <w:p w14:paraId="23295FD3" w14:textId="77777777" w:rsidR="00E4019F" w:rsidRPr="00781B0A" w:rsidRDefault="00E4019F" w:rsidP="00370F5E">
      <w:pPr>
        <w:pStyle w:val="FootnoteText"/>
        <w:rPr>
          <w:sz w:val="24"/>
          <w:szCs w:val="24"/>
          <w:lang w:val="it-IT"/>
        </w:rPr>
      </w:pPr>
      <w:r w:rsidRPr="00200466">
        <w:rPr>
          <w:rStyle w:val="FootnoteReference"/>
          <w:sz w:val="24"/>
          <w:szCs w:val="24"/>
        </w:rPr>
        <w:footnoteRef/>
      </w:r>
      <w:r w:rsidRPr="00200466">
        <w:rPr>
          <w:sz w:val="24"/>
          <w:szCs w:val="24"/>
        </w:rPr>
        <w:t xml:space="preserve"> Martha Baldwin, “Alchemy and the Society of Jesus: Strange Bedfellows?” </w:t>
      </w:r>
      <w:r w:rsidRPr="00781B0A">
        <w:rPr>
          <w:i/>
          <w:sz w:val="24"/>
          <w:szCs w:val="24"/>
          <w:lang w:val="it-IT"/>
        </w:rPr>
        <w:t>Ambix</w:t>
      </w:r>
      <w:r w:rsidRPr="00781B0A">
        <w:rPr>
          <w:sz w:val="24"/>
          <w:szCs w:val="24"/>
          <w:lang w:val="it-IT"/>
        </w:rPr>
        <w:t xml:space="preserve"> 40 (1993): 41-64, on 43-45.</w:t>
      </w:r>
    </w:p>
  </w:footnote>
  <w:footnote w:id="6">
    <w:p w14:paraId="054DD4C2" w14:textId="77777777" w:rsidR="00E4019F" w:rsidRPr="00200466" w:rsidRDefault="00E4019F" w:rsidP="00370F5E">
      <w:pPr>
        <w:pStyle w:val="FootnoteText"/>
        <w:rPr>
          <w:sz w:val="24"/>
          <w:szCs w:val="24"/>
          <w:lang w:val="it-IT"/>
        </w:rPr>
      </w:pPr>
      <w:r w:rsidRPr="00200466">
        <w:rPr>
          <w:rStyle w:val="FootnoteReference"/>
          <w:sz w:val="24"/>
          <w:szCs w:val="24"/>
        </w:rPr>
        <w:footnoteRef/>
      </w:r>
      <w:r w:rsidRPr="00200466">
        <w:rPr>
          <w:sz w:val="24"/>
          <w:szCs w:val="24"/>
          <w:lang w:val="it-IT"/>
        </w:rPr>
        <w:t xml:space="preserve"> Chiara Crisciani, </w:t>
      </w:r>
      <w:r w:rsidRPr="00200466">
        <w:rPr>
          <w:i/>
          <w:sz w:val="24"/>
          <w:szCs w:val="24"/>
          <w:lang w:val="it-IT"/>
        </w:rPr>
        <w:t xml:space="preserve">Il papa e l’alchimia: Felice V, Guglielmo Fabri e l’elixir </w:t>
      </w:r>
      <w:r w:rsidRPr="00200466">
        <w:rPr>
          <w:sz w:val="24"/>
          <w:szCs w:val="24"/>
          <w:lang w:val="it-IT"/>
        </w:rPr>
        <w:t>(Rome: Viella, 2002), 43-54.</w:t>
      </w:r>
    </w:p>
  </w:footnote>
  <w:footnote w:id="7">
    <w:p w14:paraId="15E7C54F" w14:textId="77777777" w:rsidR="002D2609" w:rsidRPr="00200466" w:rsidRDefault="002D2609" w:rsidP="002D2609">
      <w:pPr>
        <w:spacing w:after="0" w:line="240" w:lineRule="auto"/>
        <w:rPr>
          <w:rFonts w:ascii="Times New Roman" w:hAnsi="Times New Roman"/>
          <w:sz w:val="24"/>
          <w:szCs w:val="24"/>
        </w:rPr>
      </w:pPr>
      <w:r w:rsidRPr="00200466">
        <w:rPr>
          <w:rStyle w:val="FootnoteReference"/>
          <w:rFonts w:ascii="Times New Roman" w:hAnsi="Times New Roman"/>
          <w:sz w:val="24"/>
          <w:szCs w:val="24"/>
        </w:rPr>
        <w:footnoteRef/>
      </w:r>
      <w:r w:rsidRPr="00200466">
        <w:rPr>
          <w:rFonts w:ascii="Times New Roman" w:hAnsi="Times New Roman"/>
          <w:sz w:val="24"/>
          <w:szCs w:val="24"/>
        </w:rPr>
        <w:t xml:space="preserve"> William R. Newman, “Technology and Alchemical Debate in the Late Middle Ages,” </w:t>
      </w:r>
      <w:r w:rsidRPr="00200466">
        <w:rPr>
          <w:rFonts w:ascii="Times New Roman" w:hAnsi="Times New Roman"/>
          <w:i/>
          <w:sz w:val="24"/>
          <w:szCs w:val="24"/>
        </w:rPr>
        <w:t xml:space="preserve">Isis </w:t>
      </w:r>
      <w:r w:rsidRPr="00200466">
        <w:rPr>
          <w:rFonts w:ascii="Times New Roman" w:hAnsi="Times New Roman"/>
          <w:sz w:val="24"/>
          <w:szCs w:val="24"/>
        </w:rPr>
        <w:t xml:space="preserve">80 (1989): 423-445; Newman, </w:t>
      </w:r>
      <w:r w:rsidRPr="00200466">
        <w:rPr>
          <w:rFonts w:ascii="Times New Roman" w:hAnsi="Times New Roman"/>
          <w:i/>
          <w:sz w:val="24"/>
          <w:szCs w:val="24"/>
        </w:rPr>
        <w:t xml:space="preserve">Promethean Ambitions: Alchemy and the Quest to Perfect Nature </w:t>
      </w:r>
      <w:r w:rsidRPr="00200466">
        <w:rPr>
          <w:rFonts w:ascii="Times New Roman" w:hAnsi="Times New Roman"/>
          <w:sz w:val="24"/>
          <w:szCs w:val="24"/>
        </w:rPr>
        <w:t xml:space="preserve">(Chicago: University of Chicago Press, 2004), chapter 2; Newman, “Art, Alchemy, and Demons: The </w:t>
      </w:r>
      <w:r w:rsidR="009F6DC8">
        <w:rPr>
          <w:rFonts w:ascii="Times New Roman" w:hAnsi="Times New Roman"/>
          <w:sz w:val="24"/>
          <w:szCs w:val="24"/>
        </w:rPr>
        <w:t>C</w:t>
      </w:r>
      <w:r w:rsidRPr="00200466">
        <w:rPr>
          <w:rFonts w:ascii="Times New Roman" w:hAnsi="Times New Roman"/>
          <w:sz w:val="24"/>
          <w:szCs w:val="24"/>
        </w:rPr>
        <w:t xml:space="preserve">ase of the </w:t>
      </w:r>
      <w:r w:rsidRPr="00200466">
        <w:rPr>
          <w:rFonts w:ascii="Times New Roman" w:hAnsi="Times New Roman"/>
          <w:i/>
          <w:sz w:val="24"/>
          <w:szCs w:val="24"/>
        </w:rPr>
        <w:t>Malleus maleficarum</w:t>
      </w:r>
      <w:r w:rsidR="008067E2">
        <w:rPr>
          <w:rFonts w:ascii="Times New Roman" w:hAnsi="Times New Roman"/>
          <w:i/>
          <w:sz w:val="24"/>
          <w:szCs w:val="24"/>
        </w:rPr>
        <w:t xml:space="preserve"> </w:t>
      </w:r>
      <w:r w:rsidRPr="00200466">
        <w:rPr>
          <w:rFonts w:ascii="Times New Roman" w:hAnsi="Times New Roman"/>
          <w:sz w:val="24"/>
          <w:szCs w:val="24"/>
        </w:rPr>
        <w:t xml:space="preserve">and its Medieval Sources,” in </w:t>
      </w:r>
      <w:r w:rsidRPr="00200466">
        <w:rPr>
          <w:rFonts w:ascii="Times New Roman" w:hAnsi="Times New Roman"/>
          <w:i/>
          <w:sz w:val="24"/>
          <w:szCs w:val="24"/>
        </w:rPr>
        <w:t>The Artificial and the Natural: An Evolving Polarity</w:t>
      </w:r>
      <w:r w:rsidRPr="00200466">
        <w:rPr>
          <w:rFonts w:ascii="Times New Roman" w:hAnsi="Times New Roman"/>
          <w:sz w:val="24"/>
          <w:szCs w:val="24"/>
        </w:rPr>
        <w:t>, ed. Bernadette Bensaude-Vincent and William R. Newman (Cambridge Mass. and London: MIT Press, 2007), 109-33.</w:t>
      </w:r>
    </w:p>
  </w:footnote>
  <w:footnote w:id="8">
    <w:p w14:paraId="77892F54" w14:textId="77777777" w:rsidR="003C7DE6" w:rsidRPr="00200466" w:rsidRDefault="003C7DE6" w:rsidP="003C7DE6">
      <w:pPr>
        <w:pStyle w:val="FootnoteText"/>
        <w:rPr>
          <w:sz w:val="24"/>
          <w:szCs w:val="24"/>
        </w:rPr>
      </w:pPr>
      <w:r w:rsidRPr="00200466">
        <w:rPr>
          <w:rStyle w:val="FootnoteReference"/>
          <w:sz w:val="24"/>
          <w:szCs w:val="24"/>
        </w:rPr>
        <w:footnoteRef/>
      </w:r>
      <w:r w:rsidRPr="00200466">
        <w:rPr>
          <w:sz w:val="24"/>
          <w:szCs w:val="24"/>
        </w:rPr>
        <w:t xml:space="preserve"> Neil Tarrant, “Giambattista</w:t>
      </w:r>
      <w:r w:rsidR="00C71D57">
        <w:rPr>
          <w:sz w:val="24"/>
          <w:szCs w:val="24"/>
        </w:rPr>
        <w:t xml:space="preserve"> D</w:t>
      </w:r>
      <w:r w:rsidRPr="00200466">
        <w:rPr>
          <w:sz w:val="24"/>
          <w:szCs w:val="24"/>
        </w:rPr>
        <w:t xml:space="preserve">ella Porta and the Roman Inquisition: Censorship and the Definition of Nature’s Limits in Late Sixteenth-Century Italy,” </w:t>
      </w:r>
      <w:r w:rsidRPr="00200466">
        <w:rPr>
          <w:i/>
          <w:sz w:val="24"/>
          <w:szCs w:val="24"/>
        </w:rPr>
        <w:t>British Journal for the History of Science</w:t>
      </w:r>
      <w:r w:rsidRPr="00200466">
        <w:rPr>
          <w:sz w:val="24"/>
          <w:szCs w:val="24"/>
        </w:rPr>
        <w:t xml:space="preserve"> 46 (2013): 601-25.</w:t>
      </w:r>
    </w:p>
  </w:footnote>
  <w:footnote w:id="9">
    <w:p w14:paraId="64E99C3B" w14:textId="77777777" w:rsidR="00845B99" w:rsidRPr="00200466" w:rsidRDefault="00845B99">
      <w:pPr>
        <w:pStyle w:val="FootnoteText"/>
        <w:rPr>
          <w:sz w:val="24"/>
          <w:szCs w:val="24"/>
        </w:rPr>
      </w:pPr>
      <w:r w:rsidRPr="00200466">
        <w:rPr>
          <w:rStyle w:val="FootnoteReference"/>
          <w:sz w:val="24"/>
          <w:szCs w:val="24"/>
        </w:rPr>
        <w:footnoteRef/>
      </w:r>
      <w:r w:rsidRPr="00200466">
        <w:rPr>
          <w:sz w:val="24"/>
          <w:szCs w:val="24"/>
        </w:rPr>
        <w:t xml:space="preserve"> For a brief biography of Peña and his role in the Congregation of the </w:t>
      </w:r>
      <w:r w:rsidR="00540B7C" w:rsidRPr="00200466">
        <w:rPr>
          <w:sz w:val="24"/>
          <w:szCs w:val="24"/>
        </w:rPr>
        <w:t>Index, see the bi</w:t>
      </w:r>
      <w:r w:rsidRPr="00200466">
        <w:rPr>
          <w:sz w:val="24"/>
          <w:szCs w:val="24"/>
        </w:rPr>
        <w:t xml:space="preserve">ographical vademecum in Baldini and Spruit, </w:t>
      </w:r>
      <w:r w:rsidRPr="00D0286B">
        <w:rPr>
          <w:i/>
          <w:sz w:val="24"/>
          <w:szCs w:val="24"/>
        </w:rPr>
        <w:t>Catholic Church and Science</w:t>
      </w:r>
      <w:r w:rsidRPr="00200466">
        <w:rPr>
          <w:sz w:val="24"/>
          <w:szCs w:val="24"/>
        </w:rPr>
        <w:t xml:space="preserve">, vol. 1 tome 4, </w:t>
      </w:r>
      <w:r w:rsidR="00BC580B" w:rsidRPr="00200466">
        <w:rPr>
          <w:sz w:val="24"/>
          <w:szCs w:val="24"/>
        </w:rPr>
        <w:t>2905-06</w:t>
      </w:r>
      <w:r w:rsidRPr="00200466">
        <w:rPr>
          <w:sz w:val="24"/>
          <w:szCs w:val="24"/>
        </w:rPr>
        <w:t>.</w:t>
      </w:r>
    </w:p>
  </w:footnote>
  <w:footnote w:id="10">
    <w:p w14:paraId="711B60DE"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For a concise overview of the development of alchemy see Lawrence M. Principe, </w:t>
      </w:r>
      <w:r w:rsidRPr="00200466">
        <w:rPr>
          <w:i/>
          <w:sz w:val="24"/>
          <w:szCs w:val="24"/>
        </w:rPr>
        <w:t>The Secrets of Alchemy</w:t>
      </w:r>
      <w:r w:rsidRPr="00200466">
        <w:rPr>
          <w:sz w:val="24"/>
          <w:szCs w:val="24"/>
        </w:rPr>
        <w:t xml:space="preserve"> (Chicago: Chicago University Press, 2013), chapters 1-3.</w:t>
      </w:r>
    </w:p>
  </w:footnote>
  <w:footnote w:id="11">
    <w:p w14:paraId="426011E5" w14:textId="77777777" w:rsidR="00E4019F" w:rsidRPr="00200466" w:rsidRDefault="00E4019F" w:rsidP="009D0D5F">
      <w:pPr>
        <w:spacing w:after="0" w:line="240" w:lineRule="auto"/>
        <w:rPr>
          <w:rFonts w:ascii="Times New Roman" w:hAnsi="Times New Roman"/>
          <w:sz w:val="24"/>
          <w:szCs w:val="24"/>
        </w:rPr>
      </w:pPr>
      <w:r w:rsidRPr="00200466">
        <w:rPr>
          <w:rStyle w:val="FootnoteReference"/>
          <w:rFonts w:ascii="Times New Roman" w:hAnsi="Times New Roman"/>
          <w:sz w:val="24"/>
          <w:szCs w:val="24"/>
        </w:rPr>
        <w:footnoteRef/>
      </w:r>
      <w:r w:rsidRPr="00200466">
        <w:rPr>
          <w:rFonts w:ascii="Times New Roman" w:hAnsi="Times New Roman"/>
          <w:sz w:val="24"/>
          <w:szCs w:val="24"/>
        </w:rPr>
        <w:t xml:space="preserve"> First Lateran Council, canon 15, in Rev. H. J. Schroeder, </w:t>
      </w:r>
      <w:r w:rsidRPr="00200466">
        <w:rPr>
          <w:rFonts w:ascii="Times New Roman" w:hAnsi="Times New Roman"/>
          <w:i/>
          <w:sz w:val="24"/>
          <w:szCs w:val="24"/>
        </w:rPr>
        <w:t>Disciplinary Decrees of the General Councils: Texts, Translation, and Commentary</w:t>
      </w:r>
      <w:r w:rsidRPr="00200466">
        <w:rPr>
          <w:rFonts w:ascii="Times New Roman" w:hAnsi="Times New Roman"/>
          <w:sz w:val="24"/>
          <w:szCs w:val="24"/>
        </w:rPr>
        <w:t xml:space="preserve"> (St Louis and London: B. Herder Book Co., 1937), 543: “Quicumque</w:t>
      </w:r>
      <w:r w:rsidR="00C62A8A">
        <w:rPr>
          <w:rFonts w:ascii="Times New Roman" w:hAnsi="Times New Roman"/>
          <w:sz w:val="24"/>
          <w:szCs w:val="24"/>
        </w:rPr>
        <w:t xml:space="preserve"> </w:t>
      </w:r>
      <w:r w:rsidRPr="00200466">
        <w:rPr>
          <w:rFonts w:ascii="Times New Roman" w:hAnsi="Times New Roman"/>
          <w:sz w:val="24"/>
          <w:szCs w:val="24"/>
        </w:rPr>
        <w:t>monetam</w:t>
      </w:r>
      <w:r w:rsidR="00C62A8A">
        <w:rPr>
          <w:rFonts w:ascii="Times New Roman" w:hAnsi="Times New Roman"/>
          <w:sz w:val="24"/>
          <w:szCs w:val="24"/>
        </w:rPr>
        <w:t xml:space="preserve"> </w:t>
      </w:r>
      <w:r w:rsidRPr="00200466">
        <w:rPr>
          <w:rFonts w:ascii="Times New Roman" w:hAnsi="Times New Roman"/>
          <w:sz w:val="24"/>
          <w:szCs w:val="24"/>
        </w:rPr>
        <w:t>falsam scienter fecerit</w:t>
      </w:r>
      <w:r w:rsidR="00C62A8A">
        <w:rPr>
          <w:rFonts w:ascii="Times New Roman" w:hAnsi="Times New Roman"/>
          <w:sz w:val="24"/>
          <w:szCs w:val="24"/>
        </w:rPr>
        <w:t xml:space="preserve"> </w:t>
      </w:r>
      <w:r w:rsidRPr="00200466">
        <w:rPr>
          <w:rFonts w:ascii="Times New Roman" w:hAnsi="Times New Roman"/>
          <w:sz w:val="24"/>
          <w:szCs w:val="24"/>
        </w:rPr>
        <w:t>aut</w:t>
      </w:r>
      <w:r w:rsidR="00C62A8A">
        <w:rPr>
          <w:rFonts w:ascii="Times New Roman" w:hAnsi="Times New Roman"/>
          <w:sz w:val="24"/>
          <w:szCs w:val="24"/>
        </w:rPr>
        <w:t xml:space="preserve"> </w:t>
      </w:r>
      <w:r w:rsidRPr="00200466">
        <w:rPr>
          <w:rFonts w:ascii="Times New Roman" w:hAnsi="Times New Roman"/>
          <w:sz w:val="24"/>
          <w:szCs w:val="24"/>
        </w:rPr>
        <w:t>studiose</w:t>
      </w:r>
      <w:r w:rsidR="00C62A8A">
        <w:rPr>
          <w:rFonts w:ascii="Times New Roman" w:hAnsi="Times New Roman"/>
          <w:sz w:val="24"/>
          <w:szCs w:val="24"/>
        </w:rPr>
        <w:t xml:space="preserve"> </w:t>
      </w:r>
      <w:r w:rsidRPr="00200466">
        <w:rPr>
          <w:rFonts w:ascii="Times New Roman" w:hAnsi="Times New Roman"/>
          <w:sz w:val="24"/>
          <w:szCs w:val="24"/>
        </w:rPr>
        <w:t>expenderit, tanquam</w:t>
      </w:r>
      <w:r w:rsidR="00C62A8A">
        <w:rPr>
          <w:rFonts w:ascii="Times New Roman" w:hAnsi="Times New Roman"/>
          <w:sz w:val="24"/>
          <w:szCs w:val="24"/>
        </w:rPr>
        <w:t xml:space="preserve"> </w:t>
      </w:r>
      <w:r w:rsidRPr="00200466">
        <w:rPr>
          <w:rFonts w:ascii="Times New Roman" w:hAnsi="Times New Roman"/>
          <w:sz w:val="24"/>
          <w:szCs w:val="24"/>
        </w:rPr>
        <w:t>maledictus et pauperum</w:t>
      </w:r>
      <w:r w:rsidR="00C62A8A">
        <w:rPr>
          <w:rFonts w:ascii="Times New Roman" w:hAnsi="Times New Roman"/>
          <w:sz w:val="24"/>
          <w:szCs w:val="24"/>
        </w:rPr>
        <w:t xml:space="preserve"> </w:t>
      </w:r>
      <w:r w:rsidRPr="00200466">
        <w:rPr>
          <w:rFonts w:ascii="Times New Roman" w:hAnsi="Times New Roman"/>
          <w:sz w:val="24"/>
          <w:szCs w:val="24"/>
        </w:rPr>
        <w:t>virorum oppressor, nec</w:t>
      </w:r>
      <w:r w:rsidR="00C62A8A">
        <w:rPr>
          <w:rFonts w:ascii="Times New Roman" w:hAnsi="Times New Roman"/>
          <w:sz w:val="24"/>
          <w:szCs w:val="24"/>
        </w:rPr>
        <w:t xml:space="preserve"> </w:t>
      </w:r>
      <w:r w:rsidRPr="00200466">
        <w:rPr>
          <w:rFonts w:ascii="Times New Roman" w:hAnsi="Times New Roman"/>
          <w:sz w:val="24"/>
          <w:szCs w:val="24"/>
        </w:rPr>
        <w:t>non</w:t>
      </w:r>
      <w:r w:rsidR="00C62A8A">
        <w:rPr>
          <w:rFonts w:ascii="Times New Roman" w:hAnsi="Times New Roman"/>
          <w:sz w:val="24"/>
          <w:szCs w:val="24"/>
        </w:rPr>
        <w:t xml:space="preserve"> </w:t>
      </w:r>
      <w:r w:rsidRPr="00200466">
        <w:rPr>
          <w:rFonts w:ascii="Times New Roman" w:hAnsi="Times New Roman"/>
          <w:sz w:val="24"/>
          <w:szCs w:val="24"/>
        </w:rPr>
        <w:t>civitas</w:t>
      </w:r>
      <w:r w:rsidR="00C62A8A">
        <w:rPr>
          <w:rFonts w:ascii="Times New Roman" w:hAnsi="Times New Roman"/>
          <w:sz w:val="24"/>
          <w:szCs w:val="24"/>
        </w:rPr>
        <w:t xml:space="preserve"> </w:t>
      </w:r>
      <w:r w:rsidRPr="00200466">
        <w:rPr>
          <w:rFonts w:ascii="Times New Roman" w:hAnsi="Times New Roman"/>
          <w:sz w:val="24"/>
          <w:szCs w:val="24"/>
        </w:rPr>
        <w:t>turbator, a fidelium</w:t>
      </w:r>
      <w:r w:rsidR="00C62A8A">
        <w:rPr>
          <w:rFonts w:ascii="Times New Roman" w:hAnsi="Times New Roman"/>
          <w:sz w:val="24"/>
          <w:szCs w:val="24"/>
        </w:rPr>
        <w:t xml:space="preserve"> </w:t>
      </w:r>
      <w:r w:rsidRPr="00200466">
        <w:rPr>
          <w:rFonts w:ascii="Times New Roman" w:hAnsi="Times New Roman"/>
          <w:sz w:val="24"/>
          <w:szCs w:val="24"/>
        </w:rPr>
        <w:t>consortio</w:t>
      </w:r>
      <w:r w:rsidR="00C62A8A">
        <w:rPr>
          <w:rFonts w:ascii="Times New Roman" w:hAnsi="Times New Roman"/>
          <w:sz w:val="24"/>
          <w:szCs w:val="24"/>
        </w:rPr>
        <w:t xml:space="preserve"> </w:t>
      </w:r>
      <w:r w:rsidRPr="00200466">
        <w:rPr>
          <w:rFonts w:ascii="Times New Roman" w:hAnsi="Times New Roman"/>
          <w:sz w:val="24"/>
          <w:szCs w:val="24"/>
        </w:rPr>
        <w:t>separetur.”</w:t>
      </w:r>
    </w:p>
  </w:footnote>
  <w:footnote w:id="12">
    <w:p w14:paraId="7A9B51BC" w14:textId="77777777" w:rsidR="00E4019F" w:rsidRPr="00200466" w:rsidRDefault="00E4019F">
      <w:pPr>
        <w:pStyle w:val="FootnoteText"/>
        <w:rPr>
          <w:sz w:val="24"/>
          <w:szCs w:val="24"/>
        </w:rPr>
      </w:pPr>
      <w:r w:rsidRPr="00200466">
        <w:rPr>
          <w:rStyle w:val="FootnoteReference"/>
          <w:sz w:val="24"/>
          <w:szCs w:val="24"/>
        </w:rPr>
        <w:footnoteRef/>
      </w:r>
      <w:r w:rsidRPr="00200466">
        <w:rPr>
          <w:sz w:val="24"/>
          <w:szCs w:val="24"/>
        </w:rPr>
        <w:t xml:space="preserve"> Newman, “Technology and Alchemical Debate</w:t>
      </w:r>
      <w:r w:rsidR="002D2609" w:rsidRPr="00200466">
        <w:rPr>
          <w:sz w:val="24"/>
          <w:szCs w:val="24"/>
        </w:rPr>
        <w:t>,”</w:t>
      </w:r>
      <w:r w:rsidRPr="00200466">
        <w:rPr>
          <w:sz w:val="24"/>
          <w:szCs w:val="24"/>
        </w:rPr>
        <w:t xml:space="preserve"> 425.</w:t>
      </w:r>
    </w:p>
  </w:footnote>
  <w:footnote w:id="13">
    <w:p w14:paraId="339B8771" w14:textId="77777777" w:rsidR="00E4019F" w:rsidRPr="00200466" w:rsidRDefault="00E4019F" w:rsidP="00DA39AA">
      <w:pPr>
        <w:pStyle w:val="FootnoteText"/>
        <w:rPr>
          <w:sz w:val="24"/>
          <w:szCs w:val="24"/>
        </w:rPr>
      </w:pPr>
      <w:r w:rsidRPr="00200466">
        <w:rPr>
          <w:rStyle w:val="FootnoteReference"/>
          <w:sz w:val="24"/>
          <w:szCs w:val="24"/>
        </w:rPr>
        <w:footnoteRef/>
      </w:r>
      <w:r w:rsidRPr="00200466">
        <w:rPr>
          <w:sz w:val="24"/>
          <w:szCs w:val="24"/>
        </w:rPr>
        <w:t xml:space="preserve"> For a discussion of the origins and use of the </w:t>
      </w:r>
      <w:r w:rsidRPr="00200466">
        <w:rPr>
          <w:i/>
          <w:sz w:val="24"/>
          <w:szCs w:val="24"/>
        </w:rPr>
        <w:t>Sciant artifices</w:t>
      </w:r>
      <w:r w:rsidRPr="00200466">
        <w:rPr>
          <w:sz w:val="24"/>
          <w:szCs w:val="24"/>
        </w:rPr>
        <w:t xml:space="preserve"> by medieval Christian </w:t>
      </w:r>
      <w:r w:rsidR="00071961" w:rsidRPr="00200466">
        <w:rPr>
          <w:sz w:val="24"/>
          <w:szCs w:val="24"/>
        </w:rPr>
        <w:t xml:space="preserve">and Muslim </w:t>
      </w:r>
      <w:r w:rsidRPr="00200466">
        <w:rPr>
          <w:sz w:val="24"/>
          <w:szCs w:val="24"/>
        </w:rPr>
        <w:t xml:space="preserve">authors see </w:t>
      </w:r>
      <w:r w:rsidR="00071961" w:rsidRPr="00200466">
        <w:rPr>
          <w:sz w:val="24"/>
          <w:szCs w:val="24"/>
        </w:rPr>
        <w:t xml:space="preserve">Newman, </w:t>
      </w:r>
      <w:r w:rsidR="00071961" w:rsidRPr="00200466">
        <w:rPr>
          <w:i/>
          <w:sz w:val="24"/>
          <w:szCs w:val="24"/>
        </w:rPr>
        <w:t>Promethean Ambitions</w:t>
      </w:r>
      <w:r w:rsidR="00BC580B" w:rsidRPr="00200466">
        <w:rPr>
          <w:sz w:val="24"/>
          <w:szCs w:val="24"/>
        </w:rPr>
        <w:t xml:space="preserve">, </w:t>
      </w:r>
      <w:r w:rsidR="00FE179C">
        <w:rPr>
          <w:sz w:val="24"/>
          <w:szCs w:val="24"/>
        </w:rPr>
        <w:t>36-43</w:t>
      </w:r>
      <w:r w:rsidR="00BC580B" w:rsidRPr="00200466">
        <w:rPr>
          <w:sz w:val="24"/>
          <w:szCs w:val="24"/>
        </w:rPr>
        <w:t xml:space="preserve">; </w:t>
      </w:r>
      <w:r w:rsidRPr="00200466">
        <w:rPr>
          <w:sz w:val="24"/>
          <w:szCs w:val="24"/>
        </w:rPr>
        <w:t>Newman, “Technology and Alchemical Debate,”</w:t>
      </w:r>
      <w:r w:rsidR="00FF798F" w:rsidRPr="00200466">
        <w:rPr>
          <w:sz w:val="24"/>
          <w:szCs w:val="24"/>
        </w:rPr>
        <w:t xml:space="preserve"> 427-33</w:t>
      </w:r>
      <w:r w:rsidRPr="00200466">
        <w:rPr>
          <w:sz w:val="24"/>
          <w:szCs w:val="24"/>
        </w:rPr>
        <w:t xml:space="preserve">; Principe, </w:t>
      </w:r>
      <w:r w:rsidRPr="00200466">
        <w:rPr>
          <w:i/>
          <w:sz w:val="24"/>
          <w:szCs w:val="24"/>
        </w:rPr>
        <w:t>Secrets of Alchemy</w:t>
      </w:r>
      <w:r w:rsidRPr="00200466">
        <w:rPr>
          <w:sz w:val="24"/>
          <w:szCs w:val="24"/>
        </w:rPr>
        <w:t>, 58-62.</w:t>
      </w:r>
    </w:p>
  </w:footnote>
  <w:footnote w:id="14">
    <w:p w14:paraId="70A7D47D" w14:textId="77777777" w:rsidR="00E97FD6" w:rsidRPr="00200466" w:rsidRDefault="00E97FD6" w:rsidP="00E97FD6">
      <w:pPr>
        <w:pStyle w:val="FootnoteText"/>
        <w:rPr>
          <w:sz w:val="24"/>
          <w:szCs w:val="24"/>
        </w:rPr>
      </w:pPr>
      <w:r w:rsidRPr="00200466">
        <w:rPr>
          <w:rStyle w:val="FootnoteReference"/>
          <w:sz w:val="24"/>
          <w:szCs w:val="24"/>
        </w:rPr>
        <w:footnoteRef/>
      </w:r>
      <w:r w:rsidRPr="00200466">
        <w:rPr>
          <w:sz w:val="24"/>
          <w:szCs w:val="24"/>
        </w:rPr>
        <w:t xml:space="preserve"> Newman, </w:t>
      </w:r>
      <w:r w:rsidRPr="00200466">
        <w:rPr>
          <w:i/>
          <w:sz w:val="24"/>
          <w:szCs w:val="24"/>
        </w:rPr>
        <w:t>Promethean Ambitions</w:t>
      </w:r>
      <w:r w:rsidR="00C23586">
        <w:rPr>
          <w:sz w:val="24"/>
          <w:szCs w:val="24"/>
        </w:rPr>
        <w:t>, 44-50</w:t>
      </w:r>
      <w:r w:rsidR="00A813ED">
        <w:rPr>
          <w:sz w:val="24"/>
          <w:szCs w:val="24"/>
        </w:rPr>
        <w:t>;</w:t>
      </w:r>
      <w:r w:rsidR="00C23586">
        <w:rPr>
          <w:sz w:val="24"/>
          <w:szCs w:val="24"/>
        </w:rPr>
        <w:t xml:space="preserve"> the quote from Albertus is Newman’s translation, </w:t>
      </w:r>
      <w:r w:rsidR="00A813ED">
        <w:rPr>
          <w:sz w:val="24"/>
          <w:szCs w:val="24"/>
        </w:rPr>
        <w:t xml:space="preserve">on </w:t>
      </w:r>
      <w:r w:rsidR="00C23586">
        <w:rPr>
          <w:sz w:val="24"/>
          <w:szCs w:val="24"/>
        </w:rPr>
        <w:t>46</w:t>
      </w:r>
      <w:r w:rsidRPr="00200466">
        <w:rPr>
          <w:sz w:val="24"/>
          <w:szCs w:val="24"/>
        </w:rPr>
        <w:t>.</w:t>
      </w:r>
    </w:p>
  </w:footnote>
  <w:footnote w:id="15">
    <w:p w14:paraId="718FA276" w14:textId="77777777" w:rsidR="00DF74DB" w:rsidRPr="00200466" w:rsidRDefault="00DF74DB" w:rsidP="00DF74DB">
      <w:pPr>
        <w:pStyle w:val="FootnoteText"/>
        <w:rPr>
          <w:sz w:val="24"/>
          <w:szCs w:val="24"/>
        </w:rPr>
      </w:pPr>
      <w:r w:rsidRPr="00200466">
        <w:rPr>
          <w:rStyle w:val="FootnoteReference"/>
          <w:sz w:val="24"/>
          <w:szCs w:val="24"/>
        </w:rPr>
        <w:footnoteRef/>
      </w:r>
      <w:r w:rsidRPr="00200466">
        <w:rPr>
          <w:sz w:val="24"/>
          <w:szCs w:val="24"/>
        </w:rPr>
        <w:t xml:space="preserve"> On Albertus and alchemy see: J. R. Partington, “Albertus Magnus on Alchemy,” </w:t>
      </w:r>
      <w:r w:rsidRPr="00200466">
        <w:rPr>
          <w:i/>
          <w:sz w:val="24"/>
          <w:szCs w:val="24"/>
        </w:rPr>
        <w:t>Ambix</w:t>
      </w:r>
      <w:r w:rsidR="00B56ADC">
        <w:rPr>
          <w:i/>
          <w:sz w:val="24"/>
          <w:szCs w:val="24"/>
        </w:rPr>
        <w:t xml:space="preserve"> </w:t>
      </w:r>
      <w:r w:rsidRPr="00200466">
        <w:rPr>
          <w:sz w:val="24"/>
          <w:szCs w:val="24"/>
        </w:rPr>
        <w:t>1 (1937)</w:t>
      </w:r>
      <w:r w:rsidR="00537971">
        <w:rPr>
          <w:sz w:val="24"/>
          <w:szCs w:val="24"/>
        </w:rPr>
        <w:t>:</w:t>
      </w:r>
      <w:r w:rsidRPr="00200466">
        <w:rPr>
          <w:sz w:val="24"/>
          <w:szCs w:val="24"/>
        </w:rPr>
        <w:t xml:space="preserve"> 3-20; Pearl Kibre, “Alchemical Writings Attributed to Albertus Magnus,” </w:t>
      </w:r>
      <w:r w:rsidRPr="00200466">
        <w:rPr>
          <w:i/>
          <w:sz w:val="24"/>
          <w:szCs w:val="24"/>
        </w:rPr>
        <w:t>Speculum</w:t>
      </w:r>
      <w:r w:rsidR="00C62CE7">
        <w:rPr>
          <w:sz w:val="24"/>
          <w:szCs w:val="24"/>
        </w:rPr>
        <w:t xml:space="preserve"> 17 1942: 499-518; Kibre</w:t>
      </w:r>
      <w:r w:rsidRPr="00200466">
        <w:rPr>
          <w:sz w:val="24"/>
          <w:szCs w:val="24"/>
        </w:rPr>
        <w:t xml:space="preserve">, “Albertus Magnus on Alchemy,” in </w:t>
      </w:r>
      <w:r w:rsidRPr="00200466">
        <w:rPr>
          <w:i/>
          <w:sz w:val="24"/>
          <w:szCs w:val="24"/>
        </w:rPr>
        <w:t>Albertus Magnus and the Sciences: Commemorative Essays</w:t>
      </w:r>
      <w:r w:rsidRPr="00200466">
        <w:rPr>
          <w:sz w:val="24"/>
          <w:szCs w:val="24"/>
        </w:rPr>
        <w:t>, ed. James A. Weisheipl (Toronto: Pontifical Institute of Medi</w:t>
      </w:r>
      <w:r w:rsidR="00537971">
        <w:rPr>
          <w:sz w:val="24"/>
          <w:szCs w:val="24"/>
        </w:rPr>
        <w:t>a</w:t>
      </w:r>
      <w:r w:rsidRPr="00200466">
        <w:rPr>
          <w:sz w:val="24"/>
          <w:szCs w:val="24"/>
        </w:rPr>
        <w:t>eval Studies, 1980), 187-202.</w:t>
      </w:r>
    </w:p>
  </w:footnote>
  <w:footnote w:id="16">
    <w:p w14:paraId="2E588E2B" w14:textId="77777777" w:rsidR="00E4019F" w:rsidRPr="00200466" w:rsidRDefault="00E4019F">
      <w:pPr>
        <w:pStyle w:val="FootnoteText"/>
        <w:rPr>
          <w:sz w:val="24"/>
          <w:szCs w:val="24"/>
        </w:rPr>
      </w:pPr>
      <w:r w:rsidRPr="00200466">
        <w:rPr>
          <w:rStyle w:val="FootnoteReference"/>
          <w:sz w:val="24"/>
          <w:szCs w:val="24"/>
        </w:rPr>
        <w:footnoteRef/>
      </w:r>
      <w:r w:rsidRPr="00200466">
        <w:rPr>
          <w:sz w:val="24"/>
          <w:szCs w:val="24"/>
        </w:rPr>
        <w:t xml:space="preserve"> Newman, “Technology and Alchemical Debate,” on </w:t>
      </w:r>
      <w:r w:rsidR="009F6DC8">
        <w:rPr>
          <w:sz w:val="24"/>
          <w:szCs w:val="24"/>
        </w:rPr>
        <w:t>431-33.</w:t>
      </w:r>
    </w:p>
  </w:footnote>
  <w:footnote w:id="17">
    <w:p w14:paraId="1652C07F" w14:textId="77777777" w:rsidR="00200466" w:rsidRPr="00200466" w:rsidRDefault="00200466">
      <w:pPr>
        <w:pStyle w:val="FootnoteText"/>
        <w:rPr>
          <w:sz w:val="24"/>
          <w:szCs w:val="24"/>
        </w:rPr>
      </w:pPr>
      <w:r w:rsidRPr="00200466">
        <w:rPr>
          <w:rStyle w:val="FootnoteReference"/>
          <w:sz w:val="24"/>
          <w:szCs w:val="24"/>
        </w:rPr>
        <w:footnoteRef/>
      </w:r>
      <w:r w:rsidRPr="00200466">
        <w:rPr>
          <w:sz w:val="24"/>
          <w:szCs w:val="24"/>
        </w:rPr>
        <w:t xml:space="preserve"> Aquinas, </w:t>
      </w:r>
      <w:r w:rsidRPr="00200466">
        <w:rPr>
          <w:i/>
          <w:sz w:val="24"/>
          <w:szCs w:val="24"/>
        </w:rPr>
        <w:t>Super sententiis</w:t>
      </w:r>
      <w:r w:rsidRPr="00200466">
        <w:rPr>
          <w:sz w:val="24"/>
          <w:szCs w:val="24"/>
        </w:rPr>
        <w:t>, lib. 2. d. 7.</w:t>
      </w:r>
    </w:p>
  </w:footnote>
  <w:footnote w:id="18">
    <w:p w14:paraId="7FAF7670" w14:textId="77777777" w:rsidR="00E4019F" w:rsidRPr="00200466" w:rsidRDefault="00E4019F">
      <w:pPr>
        <w:pStyle w:val="FootnoteText"/>
        <w:rPr>
          <w:sz w:val="24"/>
          <w:szCs w:val="24"/>
        </w:rPr>
      </w:pPr>
      <w:r w:rsidRPr="00200466">
        <w:rPr>
          <w:rStyle w:val="FootnoteReference"/>
          <w:sz w:val="24"/>
          <w:szCs w:val="24"/>
        </w:rPr>
        <w:footnoteRef/>
      </w:r>
      <w:r w:rsidRPr="00200466">
        <w:rPr>
          <w:sz w:val="24"/>
          <w:szCs w:val="24"/>
        </w:rPr>
        <w:t xml:space="preserve"> Aquinas, </w:t>
      </w:r>
      <w:r w:rsidRPr="00200466">
        <w:rPr>
          <w:i/>
          <w:sz w:val="24"/>
          <w:szCs w:val="24"/>
        </w:rPr>
        <w:t>Super sententiis</w:t>
      </w:r>
      <w:r w:rsidRPr="00200466">
        <w:rPr>
          <w:sz w:val="24"/>
          <w:szCs w:val="24"/>
        </w:rPr>
        <w:t>, lib. 2. d. 7 q. 3. a. 1 co.: “</w:t>
      </w:r>
      <w:r w:rsidRPr="00200466">
        <w:rPr>
          <w:rFonts w:eastAsia="Times New Roman"/>
          <w:color w:val="002200"/>
          <w:sz w:val="24"/>
          <w:szCs w:val="24"/>
          <w:lang w:eastAsia="en-GB"/>
        </w:rPr>
        <w:t>Daemones</w:t>
      </w:r>
      <w:r w:rsidR="00C71D57">
        <w:rPr>
          <w:rFonts w:eastAsia="Times New Roman"/>
          <w:color w:val="002200"/>
          <w:sz w:val="24"/>
          <w:szCs w:val="24"/>
          <w:lang w:eastAsia="en-GB"/>
        </w:rPr>
        <w:t xml:space="preserve"> </w:t>
      </w:r>
      <w:r w:rsidRPr="00200466">
        <w:rPr>
          <w:rFonts w:eastAsia="Times New Roman"/>
          <w:color w:val="002200"/>
          <w:sz w:val="24"/>
          <w:szCs w:val="24"/>
          <w:lang w:eastAsia="en-GB"/>
        </w:rPr>
        <w:t>virtute</w:t>
      </w:r>
      <w:r w:rsidR="00C71D57">
        <w:rPr>
          <w:rFonts w:eastAsia="Times New Roman"/>
          <w:color w:val="002200"/>
          <w:sz w:val="24"/>
          <w:szCs w:val="24"/>
          <w:lang w:eastAsia="en-GB"/>
        </w:rPr>
        <w:t xml:space="preserve"> </w:t>
      </w:r>
      <w:r w:rsidRPr="00200466">
        <w:rPr>
          <w:rFonts w:eastAsia="Times New Roman"/>
          <w:color w:val="002200"/>
          <w:sz w:val="24"/>
          <w:szCs w:val="24"/>
          <w:lang w:eastAsia="en-GB"/>
        </w:rPr>
        <w:t>propria</w:t>
      </w:r>
      <w:r w:rsidR="00C71D57">
        <w:rPr>
          <w:rFonts w:eastAsia="Times New Roman"/>
          <w:color w:val="002200"/>
          <w:sz w:val="24"/>
          <w:szCs w:val="24"/>
          <w:lang w:eastAsia="en-GB"/>
        </w:rPr>
        <w:t xml:space="preserve"> </w:t>
      </w:r>
      <w:r w:rsidRPr="00200466">
        <w:rPr>
          <w:rFonts w:eastAsia="Times New Roman"/>
          <w:color w:val="002200"/>
          <w:sz w:val="24"/>
          <w:szCs w:val="24"/>
          <w:lang w:eastAsia="en-GB"/>
        </w:rPr>
        <w:t>nullam</w:t>
      </w:r>
      <w:r w:rsidR="00C71D57">
        <w:rPr>
          <w:rFonts w:eastAsia="Times New Roman"/>
          <w:color w:val="002200"/>
          <w:sz w:val="24"/>
          <w:szCs w:val="24"/>
          <w:lang w:eastAsia="en-GB"/>
        </w:rPr>
        <w:t xml:space="preserve"> </w:t>
      </w:r>
      <w:r w:rsidRPr="00200466">
        <w:rPr>
          <w:rFonts w:eastAsia="Times New Roman"/>
          <w:color w:val="002200"/>
          <w:sz w:val="24"/>
          <w:szCs w:val="24"/>
          <w:lang w:eastAsia="en-GB"/>
        </w:rPr>
        <w:t>formam in materiam</w:t>
      </w:r>
      <w:r w:rsidR="00C71D57">
        <w:rPr>
          <w:rFonts w:eastAsia="Times New Roman"/>
          <w:color w:val="002200"/>
          <w:sz w:val="24"/>
          <w:szCs w:val="24"/>
          <w:lang w:eastAsia="en-GB"/>
        </w:rPr>
        <w:t xml:space="preserve"> </w:t>
      </w:r>
      <w:r w:rsidRPr="00200466">
        <w:rPr>
          <w:rFonts w:eastAsia="Times New Roman"/>
          <w:color w:val="002200"/>
          <w:sz w:val="24"/>
          <w:szCs w:val="24"/>
          <w:lang w:eastAsia="en-GB"/>
        </w:rPr>
        <w:t>influere</w:t>
      </w:r>
      <w:r w:rsidR="00C71D57">
        <w:rPr>
          <w:rFonts w:eastAsia="Times New Roman"/>
          <w:color w:val="002200"/>
          <w:sz w:val="24"/>
          <w:szCs w:val="24"/>
          <w:lang w:eastAsia="en-GB"/>
        </w:rPr>
        <w:t xml:space="preserve"> </w:t>
      </w:r>
      <w:r w:rsidRPr="00200466">
        <w:rPr>
          <w:rFonts w:eastAsia="Times New Roman"/>
          <w:color w:val="002200"/>
          <w:sz w:val="24"/>
          <w:szCs w:val="24"/>
          <w:lang w:eastAsia="en-GB"/>
        </w:rPr>
        <w:t>possunt, nec</w:t>
      </w:r>
      <w:r w:rsidR="00C71D57">
        <w:rPr>
          <w:rFonts w:eastAsia="Times New Roman"/>
          <w:color w:val="002200"/>
          <w:sz w:val="24"/>
          <w:szCs w:val="24"/>
          <w:lang w:eastAsia="en-GB"/>
        </w:rPr>
        <w:t xml:space="preserve"> </w:t>
      </w:r>
      <w:r w:rsidRPr="00200466">
        <w:rPr>
          <w:rFonts w:eastAsia="Times New Roman"/>
          <w:color w:val="002200"/>
          <w:sz w:val="24"/>
          <w:szCs w:val="24"/>
          <w:lang w:eastAsia="en-GB"/>
        </w:rPr>
        <w:t>accidentalem</w:t>
      </w:r>
      <w:r w:rsidR="00C71D57">
        <w:rPr>
          <w:rFonts w:eastAsia="Times New Roman"/>
          <w:color w:val="002200"/>
          <w:sz w:val="24"/>
          <w:szCs w:val="24"/>
          <w:lang w:eastAsia="en-GB"/>
        </w:rPr>
        <w:t xml:space="preserve"> </w:t>
      </w:r>
      <w:r w:rsidRPr="00200466">
        <w:rPr>
          <w:rFonts w:eastAsia="Times New Roman"/>
          <w:color w:val="002200"/>
          <w:sz w:val="24"/>
          <w:szCs w:val="24"/>
          <w:lang w:eastAsia="en-GB"/>
        </w:rPr>
        <w:t>nec</w:t>
      </w:r>
      <w:r w:rsidR="00C71D57">
        <w:rPr>
          <w:rFonts w:eastAsia="Times New Roman"/>
          <w:color w:val="002200"/>
          <w:sz w:val="24"/>
          <w:szCs w:val="24"/>
          <w:lang w:eastAsia="en-GB"/>
        </w:rPr>
        <w:t xml:space="preserve"> </w:t>
      </w:r>
      <w:r w:rsidRPr="00200466">
        <w:rPr>
          <w:rFonts w:eastAsia="Times New Roman"/>
          <w:color w:val="002200"/>
          <w:sz w:val="24"/>
          <w:szCs w:val="24"/>
          <w:lang w:eastAsia="en-GB"/>
        </w:rPr>
        <w:t>substantialem</w:t>
      </w:r>
      <w:r w:rsidRPr="00200466">
        <w:rPr>
          <w:sz w:val="24"/>
          <w:szCs w:val="24"/>
        </w:rPr>
        <w:t>.”</w:t>
      </w:r>
    </w:p>
  </w:footnote>
  <w:footnote w:id="19">
    <w:p w14:paraId="095FB0A2"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Aquinas, </w:t>
      </w:r>
      <w:r w:rsidRPr="00200466">
        <w:rPr>
          <w:i/>
          <w:sz w:val="24"/>
          <w:szCs w:val="24"/>
        </w:rPr>
        <w:t>Super sententiis</w:t>
      </w:r>
      <w:r w:rsidRPr="00200466">
        <w:rPr>
          <w:sz w:val="24"/>
          <w:szCs w:val="24"/>
        </w:rPr>
        <w:t>, lib. 2. d. 7 q. 3. a. 1 co.</w:t>
      </w:r>
    </w:p>
  </w:footnote>
  <w:footnote w:id="20">
    <w:p w14:paraId="3707F9C3" w14:textId="77777777" w:rsidR="00E4019F" w:rsidRPr="00200466" w:rsidRDefault="00E4019F">
      <w:pPr>
        <w:pStyle w:val="FootnoteText"/>
        <w:rPr>
          <w:sz w:val="24"/>
          <w:szCs w:val="24"/>
        </w:rPr>
      </w:pPr>
      <w:r w:rsidRPr="00200466">
        <w:rPr>
          <w:rStyle w:val="FootnoteReference"/>
          <w:sz w:val="24"/>
          <w:szCs w:val="24"/>
        </w:rPr>
        <w:footnoteRef/>
      </w:r>
      <w:r w:rsidRPr="00200466">
        <w:rPr>
          <w:sz w:val="24"/>
          <w:szCs w:val="24"/>
        </w:rPr>
        <w:t xml:space="preserve"> Aquinas, </w:t>
      </w:r>
      <w:r w:rsidRPr="00200466">
        <w:rPr>
          <w:i/>
          <w:sz w:val="24"/>
          <w:szCs w:val="24"/>
        </w:rPr>
        <w:t>Summa theologica</w:t>
      </w:r>
      <w:r w:rsidRPr="00200466">
        <w:rPr>
          <w:sz w:val="24"/>
          <w:szCs w:val="24"/>
        </w:rPr>
        <w:t>, II</w:t>
      </w:r>
      <w:r w:rsidRPr="00200466">
        <w:rPr>
          <w:sz w:val="24"/>
          <w:szCs w:val="24"/>
          <w:vertAlign w:val="superscript"/>
        </w:rPr>
        <w:t>a</w:t>
      </w:r>
      <w:r w:rsidRPr="00200466">
        <w:rPr>
          <w:sz w:val="24"/>
          <w:szCs w:val="24"/>
        </w:rPr>
        <w:t>-IIae q. 11</w:t>
      </w:r>
      <w:r w:rsidR="00C71D57">
        <w:rPr>
          <w:sz w:val="24"/>
          <w:szCs w:val="24"/>
        </w:rPr>
        <w:t>.</w:t>
      </w:r>
    </w:p>
  </w:footnote>
  <w:footnote w:id="21">
    <w:p w14:paraId="48058F8C" w14:textId="77777777" w:rsidR="00E4019F" w:rsidRPr="00200466" w:rsidRDefault="00E4019F">
      <w:pPr>
        <w:pStyle w:val="FootnoteText"/>
        <w:rPr>
          <w:sz w:val="24"/>
          <w:szCs w:val="24"/>
        </w:rPr>
      </w:pPr>
      <w:r w:rsidRPr="00200466">
        <w:rPr>
          <w:rStyle w:val="FootnoteReference"/>
          <w:sz w:val="24"/>
          <w:szCs w:val="24"/>
        </w:rPr>
        <w:footnoteRef/>
      </w:r>
      <w:r w:rsidRPr="00200466">
        <w:rPr>
          <w:sz w:val="24"/>
          <w:szCs w:val="24"/>
        </w:rPr>
        <w:t xml:space="preserve"> Aquinas, </w:t>
      </w:r>
      <w:r w:rsidRPr="00200466">
        <w:rPr>
          <w:i/>
          <w:sz w:val="24"/>
          <w:szCs w:val="24"/>
        </w:rPr>
        <w:t>Summa theologica</w:t>
      </w:r>
      <w:r w:rsidRPr="00200466">
        <w:rPr>
          <w:sz w:val="24"/>
          <w:szCs w:val="24"/>
        </w:rPr>
        <w:t>, II</w:t>
      </w:r>
      <w:r w:rsidRPr="00200466">
        <w:rPr>
          <w:sz w:val="24"/>
          <w:szCs w:val="24"/>
          <w:vertAlign w:val="superscript"/>
        </w:rPr>
        <w:t>a</w:t>
      </w:r>
      <w:r w:rsidRPr="00200466">
        <w:rPr>
          <w:sz w:val="24"/>
          <w:szCs w:val="24"/>
        </w:rPr>
        <w:t>-IIae q. 81 a. 5 co.; on virtue observing a mean see I</w:t>
      </w:r>
      <w:r w:rsidRPr="00200466">
        <w:rPr>
          <w:sz w:val="24"/>
          <w:szCs w:val="24"/>
          <w:vertAlign w:val="superscript"/>
        </w:rPr>
        <w:t>a</w:t>
      </w:r>
      <w:r w:rsidRPr="00200466">
        <w:rPr>
          <w:sz w:val="24"/>
          <w:szCs w:val="24"/>
        </w:rPr>
        <w:t>-IIae q. 64 a. 1 co.</w:t>
      </w:r>
    </w:p>
  </w:footnote>
  <w:footnote w:id="22">
    <w:p w14:paraId="1860C24E" w14:textId="77777777" w:rsidR="00E4019F" w:rsidRPr="009F6DC8" w:rsidRDefault="00E4019F">
      <w:pPr>
        <w:pStyle w:val="FootnoteText"/>
        <w:rPr>
          <w:sz w:val="24"/>
          <w:szCs w:val="24"/>
          <w:lang w:val="it-IT"/>
        </w:rPr>
      </w:pPr>
      <w:r w:rsidRPr="00200466">
        <w:rPr>
          <w:rStyle w:val="FootnoteReference"/>
          <w:sz w:val="24"/>
          <w:szCs w:val="24"/>
        </w:rPr>
        <w:footnoteRef/>
      </w:r>
      <w:r w:rsidRPr="00200466">
        <w:rPr>
          <w:sz w:val="24"/>
          <w:szCs w:val="24"/>
        </w:rPr>
        <w:t xml:space="preserve"> </w:t>
      </w:r>
      <w:r w:rsidR="009F6DC8">
        <w:rPr>
          <w:sz w:val="24"/>
          <w:szCs w:val="24"/>
        </w:rPr>
        <w:t xml:space="preserve">On superstition see </w:t>
      </w:r>
      <w:r w:rsidRPr="00200466">
        <w:rPr>
          <w:sz w:val="24"/>
          <w:szCs w:val="24"/>
        </w:rPr>
        <w:t xml:space="preserve">Aquinas, </w:t>
      </w:r>
      <w:r w:rsidRPr="00200466">
        <w:rPr>
          <w:i/>
          <w:sz w:val="24"/>
          <w:szCs w:val="24"/>
        </w:rPr>
        <w:t>Summa theologica</w:t>
      </w:r>
      <w:r w:rsidRPr="00200466">
        <w:rPr>
          <w:sz w:val="24"/>
          <w:szCs w:val="24"/>
        </w:rPr>
        <w:t xml:space="preserve">, </w:t>
      </w:r>
      <w:r w:rsidRPr="009F6DC8">
        <w:rPr>
          <w:sz w:val="24"/>
          <w:szCs w:val="24"/>
          <w:lang w:val="it-IT"/>
        </w:rPr>
        <w:t>II</w:t>
      </w:r>
      <w:r w:rsidRPr="009F6DC8">
        <w:rPr>
          <w:sz w:val="24"/>
          <w:szCs w:val="24"/>
          <w:vertAlign w:val="superscript"/>
          <w:lang w:val="it-IT"/>
        </w:rPr>
        <w:t>a</w:t>
      </w:r>
      <w:r w:rsidRPr="009F6DC8">
        <w:rPr>
          <w:sz w:val="24"/>
          <w:szCs w:val="24"/>
          <w:lang w:val="it-IT"/>
        </w:rPr>
        <w:t>-IIae</w:t>
      </w:r>
      <w:r w:rsidR="00355E5B" w:rsidRPr="009F6DC8">
        <w:rPr>
          <w:sz w:val="24"/>
          <w:szCs w:val="24"/>
          <w:lang w:val="it-IT"/>
        </w:rPr>
        <w:t>, q. 92 a. 1 co.:</w:t>
      </w:r>
      <w:r w:rsidRPr="009F6DC8">
        <w:rPr>
          <w:sz w:val="24"/>
          <w:szCs w:val="24"/>
          <w:lang w:val="it-IT"/>
        </w:rPr>
        <w:t xml:space="preserve"> “Sic igitur superstitio est</w:t>
      </w:r>
      <w:r w:rsidR="00C71D57" w:rsidRPr="009F6DC8">
        <w:rPr>
          <w:sz w:val="24"/>
          <w:szCs w:val="24"/>
          <w:lang w:val="it-IT"/>
        </w:rPr>
        <w:t xml:space="preserve"> </w:t>
      </w:r>
      <w:r w:rsidRPr="009F6DC8">
        <w:rPr>
          <w:sz w:val="24"/>
          <w:szCs w:val="24"/>
          <w:lang w:val="it-IT"/>
        </w:rPr>
        <w:t>vitium</w:t>
      </w:r>
      <w:r w:rsidR="00C71D57" w:rsidRPr="009F6DC8">
        <w:rPr>
          <w:sz w:val="24"/>
          <w:szCs w:val="24"/>
          <w:lang w:val="it-IT"/>
        </w:rPr>
        <w:t xml:space="preserve"> </w:t>
      </w:r>
      <w:r w:rsidRPr="009F6DC8">
        <w:rPr>
          <w:sz w:val="24"/>
          <w:szCs w:val="24"/>
          <w:lang w:val="it-IT"/>
        </w:rPr>
        <w:t>religioni</w:t>
      </w:r>
      <w:r w:rsidR="00C71D57" w:rsidRPr="009F6DC8">
        <w:rPr>
          <w:sz w:val="24"/>
          <w:szCs w:val="24"/>
          <w:lang w:val="it-IT"/>
        </w:rPr>
        <w:t xml:space="preserve"> </w:t>
      </w:r>
      <w:r w:rsidRPr="009F6DC8">
        <w:rPr>
          <w:sz w:val="24"/>
          <w:szCs w:val="24"/>
          <w:lang w:val="it-IT"/>
        </w:rPr>
        <w:t>oppositum</w:t>
      </w:r>
      <w:r w:rsidR="00C71D57" w:rsidRPr="009F6DC8">
        <w:rPr>
          <w:sz w:val="24"/>
          <w:szCs w:val="24"/>
          <w:lang w:val="it-IT"/>
        </w:rPr>
        <w:t xml:space="preserve"> </w:t>
      </w:r>
      <w:r w:rsidRPr="009F6DC8">
        <w:rPr>
          <w:sz w:val="24"/>
          <w:szCs w:val="24"/>
          <w:lang w:val="it-IT"/>
        </w:rPr>
        <w:t>secundum</w:t>
      </w:r>
      <w:r w:rsidR="00C71D57" w:rsidRPr="009F6DC8">
        <w:rPr>
          <w:sz w:val="24"/>
          <w:szCs w:val="24"/>
          <w:lang w:val="it-IT"/>
        </w:rPr>
        <w:t xml:space="preserve"> </w:t>
      </w:r>
      <w:r w:rsidRPr="009F6DC8">
        <w:rPr>
          <w:sz w:val="24"/>
          <w:szCs w:val="24"/>
          <w:lang w:val="it-IT"/>
        </w:rPr>
        <w:t>excessum, non quia plus exhibeat in cultum</w:t>
      </w:r>
      <w:r w:rsidR="00C71D57" w:rsidRPr="009F6DC8">
        <w:rPr>
          <w:sz w:val="24"/>
          <w:szCs w:val="24"/>
          <w:lang w:val="it-IT"/>
        </w:rPr>
        <w:t xml:space="preserve"> </w:t>
      </w:r>
      <w:r w:rsidRPr="009F6DC8">
        <w:rPr>
          <w:sz w:val="24"/>
          <w:szCs w:val="24"/>
          <w:lang w:val="it-IT"/>
        </w:rPr>
        <w:t>divinum quam vera</w:t>
      </w:r>
      <w:r w:rsidR="00C71D57" w:rsidRPr="009F6DC8">
        <w:rPr>
          <w:sz w:val="24"/>
          <w:szCs w:val="24"/>
          <w:lang w:val="it-IT"/>
        </w:rPr>
        <w:t xml:space="preserve"> </w:t>
      </w:r>
      <w:r w:rsidRPr="009F6DC8">
        <w:rPr>
          <w:sz w:val="24"/>
          <w:szCs w:val="24"/>
          <w:lang w:val="it-IT"/>
        </w:rPr>
        <w:t>religio, sed</w:t>
      </w:r>
      <w:r w:rsidR="00C71D57" w:rsidRPr="009F6DC8">
        <w:rPr>
          <w:sz w:val="24"/>
          <w:szCs w:val="24"/>
          <w:lang w:val="it-IT"/>
        </w:rPr>
        <w:t xml:space="preserve"> </w:t>
      </w:r>
      <w:r w:rsidRPr="009F6DC8">
        <w:rPr>
          <w:sz w:val="24"/>
          <w:szCs w:val="24"/>
          <w:lang w:val="it-IT"/>
        </w:rPr>
        <w:t>quia</w:t>
      </w:r>
      <w:r w:rsidR="00C71D57" w:rsidRPr="009F6DC8">
        <w:rPr>
          <w:sz w:val="24"/>
          <w:szCs w:val="24"/>
          <w:lang w:val="it-IT"/>
        </w:rPr>
        <w:t xml:space="preserve"> </w:t>
      </w:r>
      <w:r w:rsidRPr="009F6DC8">
        <w:rPr>
          <w:sz w:val="24"/>
          <w:szCs w:val="24"/>
          <w:lang w:val="it-IT"/>
        </w:rPr>
        <w:t>exhibet</w:t>
      </w:r>
      <w:r w:rsidR="00C71D57" w:rsidRPr="009F6DC8">
        <w:rPr>
          <w:sz w:val="24"/>
          <w:szCs w:val="24"/>
          <w:lang w:val="it-IT"/>
        </w:rPr>
        <w:t xml:space="preserve"> </w:t>
      </w:r>
      <w:r w:rsidRPr="009F6DC8">
        <w:rPr>
          <w:sz w:val="24"/>
          <w:szCs w:val="24"/>
          <w:lang w:val="it-IT"/>
        </w:rPr>
        <w:t>cultum</w:t>
      </w:r>
      <w:r w:rsidR="00C71D57" w:rsidRPr="009F6DC8">
        <w:rPr>
          <w:sz w:val="24"/>
          <w:szCs w:val="24"/>
          <w:lang w:val="it-IT"/>
        </w:rPr>
        <w:t xml:space="preserve"> </w:t>
      </w:r>
      <w:r w:rsidRPr="009F6DC8">
        <w:rPr>
          <w:sz w:val="24"/>
          <w:szCs w:val="24"/>
          <w:lang w:val="it-IT"/>
        </w:rPr>
        <w:t>divinum</w:t>
      </w:r>
      <w:r w:rsidR="00C71D57" w:rsidRPr="009F6DC8">
        <w:rPr>
          <w:sz w:val="24"/>
          <w:szCs w:val="24"/>
          <w:lang w:val="it-IT"/>
        </w:rPr>
        <w:t xml:space="preserve"> </w:t>
      </w:r>
      <w:r w:rsidRPr="009F6DC8">
        <w:rPr>
          <w:sz w:val="24"/>
          <w:szCs w:val="24"/>
          <w:lang w:val="it-IT"/>
        </w:rPr>
        <w:t>vel cui non debet, veleo</w:t>
      </w:r>
      <w:r w:rsidR="00C71D57" w:rsidRPr="009F6DC8">
        <w:rPr>
          <w:sz w:val="24"/>
          <w:szCs w:val="24"/>
          <w:lang w:val="it-IT"/>
        </w:rPr>
        <w:t xml:space="preserve"> </w:t>
      </w:r>
      <w:r w:rsidRPr="009F6DC8">
        <w:rPr>
          <w:sz w:val="24"/>
          <w:szCs w:val="24"/>
          <w:lang w:val="it-IT"/>
        </w:rPr>
        <w:t>modo quo non debet.”</w:t>
      </w:r>
    </w:p>
  </w:footnote>
  <w:footnote w:id="23">
    <w:p w14:paraId="530AF903" w14:textId="77777777" w:rsidR="00E4019F" w:rsidRPr="00200466" w:rsidRDefault="00E4019F">
      <w:pPr>
        <w:pStyle w:val="FootnoteText"/>
        <w:rPr>
          <w:sz w:val="24"/>
          <w:szCs w:val="24"/>
        </w:rPr>
      </w:pPr>
      <w:r w:rsidRPr="00200466">
        <w:rPr>
          <w:rStyle w:val="FootnoteReference"/>
          <w:sz w:val="24"/>
          <w:szCs w:val="24"/>
        </w:rPr>
        <w:footnoteRef/>
      </w:r>
      <w:r w:rsidRPr="00200466">
        <w:rPr>
          <w:sz w:val="24"/>
          <w:szCs w:val="24"/>
        </w:rPr>
        <w:t xml:space="preserve"> Aquinas, </w:t>
      </w:r>
      <w:r w:rsidRPr="00200466">
        <w:rPr>
          <w:i/>
          <w:sz w:val="24"/>
          <w:szCs w:val="24"/>
        </w:rPr>
        <w:t>Summa theologica</w:t>
      </w:r>
      <w:r w:rsidRPr="00200466">
        <w:rPr>
          <w:sz w:val="24"/>
          <w:szCs w:val="24"/>
        </w:rPr>
        <w:t>, II</w:t>
      </w:r>
      <w:r w:rsidRPr="00200466">
        <w:rPr>
          <w:sz w:val="24"/>
          <w:szCs w:val="24"/>
          <w:vertAlign w:val="superscript"/>
        </w:rPr>
        <w:t>a</w:t>
      </w:r>
      <w:r w:rsidRPr="00200466">
        <w:rPr>
          <w:sz w:val="24"/>
          <w:szCs w:val="24"/>
        </w:rPr>
        <w:t>-IIae, q. 92 a. 2 co.</w:t>
      </w:r>
    </w:p>
  </w:footnote>
  <w:footnote w:id="24">
    <w:p w14:paraId="66FFB749" w14:textId="77777777" w:rsidR="00E4019F" w:rsidRPr="00200466" w:rsidRDefault="00E4019F" w:rsidP="00F928D7">
      <w:pPr>
        <w:pStyle w:val="FootnoteText"/>
        <w:rPr>
          <w:sz w:val="24"/>
          <w:szCs w:val="24"/>
        </w:rPr>
      </w:pPr>
      <w:r w:rsidRPr="00200466">
        <w:rPr>
          <w:rStyle w:val="FootnoteReference"/>
          <w:sz w:val="24"/>
          <w:szCs w:val="24"/>
        </w:rPr>
        <w:footnoteRef/>
      </w:r>
      <w:r w:rsidRPr="00200466">
        <w:rPr>
          <w:sz w:val="24"/>
          <w:szCs w:val="24"/>
        </w:rPr>
        <w:t xml:space="preserve"> Aquinas, </w:t>
      </w:r>
      <w:r w:rsidRPr="00200466">
        <w:rPr>
          <w:i/>
          <w:sz w:val="24"/>
          <w:szCs w:val="24"/>
        </w:rPr>
        <w:t>Summa theologica</w:t>
      </w:r>
      <w:r w:rsidRPr="00200466">
        <w:rPr>
          <w:sz w:val="24"/>
          <w:szCs w:val="24"/>
        </w:rPr>
        <w:t>, II</w:t>
      </w:r>
      <w:r w:rsidRPr="00200466">
        <w:rPr>
          <w:sz w:val="24"/>
          <w:szCs w:val="24"/>
          <w:vertAlign w:val="superscript"/>
        </w:rPr>
        <w:t>a</w:t>
      </w:r>
      <w:r w:rsidRPr="00200466">
        <w:rPr>
          <w:sz w:val="24"/>
          <w:szCs w:val="24"/>
        </w:rPr>
        <w:t>-IIae, qq. 93-96.</w:t>
      </w:r>
    </w:p>
  </w:footnote>
  <w:footnote w:id="25">
    <w:p w14:paraId="7B276B7E" w14:textId="77777777" w:rsidR="00E4019F" w:rsidRPr="00200466" w:rsidRDefault="00E4019F" w:rsidP="00854576">
      <w:pPr>
        <w:spacing w:after="0" w:line="240" w:lineRule="auto"/>
        <w:rPr>
          <w:rFonts w:ascii="Times New Roman" w:eastAsia="Cambria" w:hAnsi="Times New Roman"/>
          <w:sz w:val="24"/>
          <w:szCs w:val="24"/>
        </w:rPr>
      </w:pPr>
      <w:r w:rsidRPr="00200466">
        <w:rPr>
          <w:rStyle w:val="FootnoteReference"/>
          <w:rFonts w:ascii="Times New Roman" w:hAnsi="Times New Roman"/>
          <w:sz w:val="24"/>
          <w:szCs w:val="24"/>
        </w:rPr>
        <w:footnoteRef/>
      </w:r>
      <w:r w:rsidRPr="00200466">
        <w:rPr>
          <w:rFonts w:ascii="Times New Roman" w:hAnsi="Times New Roman"/>
          <w:sz w:val="24"/>
          <w:szCs w:val="24"/>
        </w:rPr>
        <w:t xml:space="preserve"> For further discussion see Tarrant, “Giambattista</w:t>
      </w:r>
      <w:r w:rsidR="00C71D57">
        <w:rPr>
          <w:rFonts w:ascii="Times New Roman" w:hAnsi="Times New Roman"/>
          <w:sz w:val="24"/>
          <w:szCs w:val="24"/>
        </w:rPr>
        <w:t xml:space="preserve"> D</w:t>
      </w:r>
      <w:r w:rsidRPr="00200466">
        <w:rPr>
          <w:rFonts w:ascii="Times New Roman" w:hAnsi="Times New Roman"/>
          <w:sz w:val="24"/>
          <w:szCs w:val="24"/>
        </w:rPr>
        <w:t>ella Porta and the Roman Inquisition</w:t>
      </w:r>
      <w:r w:rsidR="00885E0D" w:rsidRPr="00200466">
        <w:rPr>
          <w:rFonts w:ascii="Times New Roman" w:hAnsi="Times New Roman"/>
          <w:sz w:val="24"/>
          <w:szCs w:val="24"/>
        </w:rPr>
        <w:t>,”</w:t>
      </w:r>
      <w:r w:rsidRPr="00200466">
        <w:rPr>
          <w:rFonts w:ascii="Times New Roman" w:hAnsi="Times New Roman"/>
          <w:sz w:val="24"/>
          <w:szCs w:val="24"/>
        </w:rPr>
        <w:t xml:space="preserve"> 609-12</w:t>
      </w:r>
      <w:r w:rsidR="00C71D57">
        <w:rPr>
          <w:rFonts w:ascii="Times New Roman" w:eastAsia="Cambria" w:hAnsi="Times New Roman"/>
          <w:sz w:val="24"/>
          <w:szCs w:val="24"/>
        </w:rPr>
        <w:t>.</w:t>
      </w:r>
    </w:p>
  </w:footnote>
  <w:footnote w:id="26">
    <w:p w14:paraId="3253CA45" w14:textId="77777777" w:rsidR="00E4019F" w:rsidRPr="00200466" w:rsidRDefault="00E4019F">
      <w:pPr>
        <w:pStyle w:val="FootnoteText"/>
        <w:rPr>
          <w:sz w:val="24"/>
          <w:szCs w:val="24"/>
        </w:rPr>
      </w:pPr>
      <w:r w:rsidRPr="00200466">
        <w:rPr>
          <w:rStyle w:val="FootnoteReference"/>
          <w:sz w:val="24"/>
          <w:szCs w:val="24"/>
        </w:rPr>
        <w:footnoteRef/>
      </w:r>
      <w:r w:rsidRPr="00200466">
        <w:rPr>
          <w:sz w:val="24"/>
          <w:szCs w:val="24"/>
        </w:rPr>
        <w:t xml:space="preserve"> Aquinas, </w:t>
      </w:r>
      <w:r w:rsidRPr="00200466">
        <w:rPr>
          <w:i/>
          <w:sz w:val="24"/>
          <w:szCs w:val="24"/>
        </w:rPr>
        <w:t>Summa theologica</w:t>
      </w:r>
      <w:r w:rsidRPr="00200466">
        <w:rPr>
          <w:sz w:val="24"/>
          <w:szCs w:val="24"/>
        </w:rPr>
        <w:t>,</w:t>
      </w:r>
      <w:r w:rsidR="00D73970">
        <w:rPr>
          <w:sz w:val="24"/>
          <w:szCs w:val="24"/>
        </w:rPr>
        <w:t xml:space="preserve"> </w:t>
      </w:r>
      <w:r w:rsidRPr="00200466">
        <w:rPr>
          <w:sz w:val="24"/>
          <w:szCs w:val="24"/>
        </w:rPr>
        <w:t>I</w:t>
      </w:r>
      <w:r w:rsidRPr="00200466">
        <w:rPr>
          <w:sz w:val="24"/>
          <w:szCs w:val="24"/>
          <w:vertAlign w:val="superscript"/>
        </w:rPr>
        <w:t>a</w:t>
      </w:r>
      <w:r w:rsidR="004B6713">
        <w:rPr>
          <w:sz w:val="24"/>
          <w:szCs w:val="24"/>
          <w:vertAlign w:val="superscript"/>
        </w:rPr>
        <w:t xml:space="preserve"> </w:t>
      </w:r>
      <w:r w:rsidRPr="00200466">
        <w:rPr>
          <w:sz w:val="24"/>
          <w:szCs w:val="24"/>
        </w:rPr>
        <w:t>q.</w:t>
      </w:r>
      <w:r w:rsidR="00D73970">
        <w:rPr>
          <w:sz w:val="24"/>
          <w:szCs w:val="24"/>
        </w:rPr>
        <w:t xml:space="preserve"> </w:t>
      </w:r>
      <w:r w:rsidRPr="00200466">
        <w:rPr>
          <w:sz w:val="24"/>
          <w:szCs w:val="24"/>
        </w:rPr>
        <w:t>114 a. 4 ad. 2: “sed</w:t>
      </w:r>
      <w:r w:rsidR="00C71D57">
        <w:rPr>
          <w:sz w:val="24"/>
          <w:szCs w:val="24"/>
        </w:rPr>
        <w:t xml:space="preserve"> </w:t>
      </w:r>
      <w:r w:rsidRPr="00200466">
        <w:rPr>
          <w:sz w:val="24"/>
          <w:szCs w:val="24"/>
        </w:rPr>
        <w:t>possunt</w:t>
      </w:r>
      <w:r w:rsidR="00C71D57">
        <w:rPr>
          <w:sz w:val="24"/>
          <w:szCs w:val="24"/>
        </w:rPr>
        <w:t xml:space="preserve"> </w:t>
      </w:r>
      <w:r w:rsidRPr="00200466">
        <w:rPr>
          <w:sz w:val="24"/>
          <w:szCs w:val="24"/>
        </w:rPr>
        <w:t>adhibere</w:t>
      </w:r>
      <w:r w:rsidR="00C71D57">
        <w:rPr>
          <w:sz w:val="24"/>
          <w:szCs w:val="24"/>
        </w:rPr>
        <w:t xml:space="preserve"> </w:t>
      </w:r>
      <w:r w:rsidRPr="00200466">
        <w:rPr>
          <w:sz w:val="24"/>
          <w:szCs w:val="24"/>
        </w:rPr>
        <w:t>quaedem</w:t>
      </w:r>
      <w:r w:rsidR="00C71D57">
        <w:rPr>
          <w:sz w:val="24"/>
          <w:szCs w:val="24"/>
        </w:rPr>
        <w:t xml:space="preserve"> </w:t>
      </w:r>
      <w:r w:rsidRPr="00200466">
        <w:rPr>
          <w:sz w:val="24"/>
          <w:szCs w:val="24"/>
        </w:rPr>
        <w:t>semina quae in elementis mundi inveniuntur, ad huius</w:t>
      </w:r>
      <w:r w:rsidR="00C71D57">
        <w:rPr>
          <w:sz w:val="24"/>
          <w:szCs w:val="24"/>
        </w:rPr>
        <w:t xml:space="preserve"> </w:t>
      </w:r>
      <w:r w:rsidRPr="00200466">
        <w:rPr>
          <w:sz w:val="24"/>
          <w:szCs w:val="24"/>
        </w:rPr>
        <w:t>modi</w:t>
      </w:r>
      <w:r w:rsidR="00C71D57">
        <w:rPr>
          <w:sz w:val="24"/>
          <w:szCs w:val="24"/>
        </w:rPr>
        <w:t xml:space="preserve"> </w:t>
      </w:r>
      <w:r w:rsidRPr="00200466">
        <w:rPr>
          <w:sz w:val="24"/>
          <w:szCs w:val="24"/>
        </w:rPr>
        <w:t>effectus</w:t>
      </w:r>
      <w:r w:rsidR="00C71D57">
        <w:rPr>
          <w:sz w:val="24"/>
          <w:szCs w:val="24"/>
        </w:rPr>
        <w:t xml:space="preserve"> </w:t>
      </w:r>
      <w:r w:rsidRPr="00200466">
        <w:rPr>
          <w:sz w:val="24"/>
          <w:szCs w:val="24"/>
        </w:rPr>
        <w:t>complendos; ut</w:t>
      </w:r>
      <w:r w:rsidR="00C71D57">
        <w:rPr>
          <w:sz w:val="24"/>
          <w:szCs w:val="24"/>
        </w:rPr>
        <w:t xml:space="preserve"> </w:t>
      </w:r>
      <w:r w:rsidRPr="00200466">
        <w:rPr>
          <w:sz w:val="24"/>
          <w:szCs w:val="24"/>
        </w:rPr>
        <w:t xml:space="preserve">Augustinus dicit III </w:t>
      </w:r>
      <w:r w:rsidRPr="00200466">
        <w:rPr>
          <w:i/>
          <w:sz w:val="24"/>
          <w:szCs w:val="24"/>
        </w:rPr>
        <w:t>De trinitate</w:t>
      </w:r>
      <w:r w:rsidR="00D73970">
        <w:rPr>
          <w:sz w:val="24"/>
          <w:szCs w:val="24"/>
        </w:rPr>
        <w:t>.</w:t>
      </w:r>
      <w:r w:rsidRPr="00200466">
        <w:rPr>
          <w:sz w:val="24"/>
          <w:szCs w:val="24"/>
        </w:rPr>
        <w:t>”</w:t>
      </w:r>
    </w:p>
  </w:footnote>
  <w:footnote w:id="27">
    <w:p w14:paraId="53837888" w14:textId="77777777" w:rsidR="00E4019F" w:rsidRPr="00200466" w:rsidRDefault="00E4019F">
      <w:pPr>
        <w:pStyle w:val="FootnoteText"/>
        <w:rPr>
          <w:sz w:val="24"/>
          <w:szCs w:val="24"/>
        </w:rPr>
      </w:pPr>
      <w:r w:rsidRPr="00200466">
        <w:rPr>
          <w:rStyle w:val="FootnoteReference"/>
          <w:sz w:val="24"/>
          <w:szCs w:val="24"/>
        </w:rPr>
        <w:footnoteRef/>
      </w:r>
      <w:r w:rsidRPr="00200466">
        <w:rPr>
          <w:sz w:val="24"/>
          <w:szCs w:val="24"/>
        </w:rPr>
        <w:t xml:space="preserve"> Augustine </w:t>
      </w:r>
      <w:r w:rsidRPr="00200466">
        <w:rPr>
          <w:i/>
          <w:sz w:val="24"/>
          <w:szCs w:val="24"/>
        </w:rPr>
        <w:t>De trinitate</w:t>
      </w:r>
      <w:r w:rsidR="00C71D57">
        <w:rPr>
          <w:sz w:val="24"/>
          <w:szCs w:val="24"/>
        </w:rPr>
        <w:t>,</w:t>
      </w:r>
      <w:r w:rsidR="004B6713">
        <w:rPr>
          <w:sz w:val="24"/>
          <w:szCs w:val="24"/>
        </w:rPr>
        <w:t xml:space="preserve"> </w:t>
      </w:r>
      <w:r w:rsidR="00C71D57">
        <w:rPr>
          <w:sz w:val="24"/>
          <w:szCs w:val="24"/>
        </w:rPr>
        <w:t xml:space="preserve">III. 8. </w:t>
      </w:r>
      <w:r w:rsidRPr="00200466">
        <w:rPr>
          <w:sz w:val="24"/>
          <w:szCs w:val="24"/>
        </w:rPr>
        <w:t>For further discussion of Augustine, seeds</w:t>
      </w:r>
      <w:r w:rsidR="004B6713">
        <w:rPr>
          <w:sz w:val="24"/>
          <w:szCs w:val="24"/>
        </w:rPr>
        <w:t>,</w:t>
      </w:r>
      <w:r w:rsidRPr="00200466">
        <w:rPr>
          <w:sz w:val="24"/>
          <w:szCs w:val="24"/>
        </w:rPr>
        <w:t xml:space="preserve"> and alchemy see Barbara Obrist</w:t>
      </w:r>
      <w:r w:rsidR="00C71D57">
        <w:rPr>
          <w:sz w:val="24"/>
          <w:szCs w:val="24"/>
        </w:rPr>
        <w:t>,</w:t>
      </w:r>
      <w:r w:rsidRPr="00200466">
        <w:rPr>
          <w:sz w:val="24"/>
          <w:szCs w:val="24"/>
        </w:rPr>
        <w:t xml:space="preserve"> “L’art de l’alchimiste, du peintre</w:t>
      </w:r>
      <w:r w:rsidR="004B6713">
        <w:rPr>
          <w:sz w:val="24"/>
          <w:szCs w:val="24"/>
        </w:rPr>
        <w:t xml:space="preserve"> </w:t>
      </w:r>
      <w:r w:rsidRPr="00200466">
        <w:rPr>
          <w:sz w:val="24"/>
          <w:szCs w:val="24"/>
        </w:rPr>
        <w:t>et du sculptu</w:t>
      </w:r>
      <w:r w:rsidR="004B6713">
        <w:rPr>
          <w:sz w:val="24"/>
          <w:szCs w:val="24"/>
        </w:rPr>
        <w:t>er</w:t>
      </w:r>
      <w:r w:rsidRPr="00200466">
        <w:rPr>
          <w:sz w:val="24"/>
          <w:szCs w:val="24"/>
        </w:rPr>
        <w:t xml:space="preserve"> face à la nature: du moyen</w:t>
      </w:r>
      <w:r w:rsidR="00C71D57">
        <w:rPr>
          <w:sz w:val="24"/>
          <w:szCs w:val="24"/>
        </w:rPr>
        <w:t xml:space="preserve"> </w:t>
      </w:r>
      <w:r w:rsidRPr="00200466">
        <w:rPr>
          <w:sz w:val="24"/>
          <w:szCs w:val="24"/>
        </w:rPr>
        <w:t>âge à la ‘revolution scientifique’</w:t>
      </w:r>
      <w:r w:rsidR="004B6713">
        <w:rPr>
          <w:sz w:val="24"/>
          <w:szCs w:val="24"/>
        </w:rPr>
        <w:t>,</w:t>
      </w:r>
      <w:r w:rsidRPr="00200466">
        <w:rPr>
          <w:sz w:val="24"/>
          <w:szCs w:val="24"/>
        </w:rPr>
        <w:t>” in</w:t>
      </w:r>
      <w:r w:rsidR="005F13D2">
        <w:rPr>
          <w:sz w:val="24"/>
          <w:szCs w:val="24"/>
        </w:rPr>
        <w:t xml:space="preserve"> </w:t>
      </w:r>
      <w:r w:rsidRPr="00200466">
        <w:rPr>
          <w:i/>
          <w:sz w:val="24"/>
          <w:szCs w:val="24"/>
        </w:rPr>
        <w:t>Alchimies: Occident-Orient</w:t>
      </w:r>
      <w:r w:rsidR="005F13D2">
        <w:rPr>
          <w:sz w:val="24"/>
          <w:szCs w:val="24"/>
        </w:rPr>
        <w:t>,</w:t>
      </w:r>
      <w:r w:rsidR="005F13D2" w:rsidRPr="005F13D2">
        <w:rPr>
          <w:sz w:val="24"/>
          <w:szCs w:val="24"/>
        </w:rPr>
        <w:t xml:space="preserve"> </w:t>
      </w:r>
      <w:r w:rsidR="005F13D2">
        <w:rPr>
          <w:sz w:val="24"/>
          <w:szCs w:val="24"/>
        </w:rPr>
        <w:t xml:space="preserve">ed. </w:t>
      </w:r>
      <w:r w:rsidR="005F13D2" w:rsidRPr="00200466">
        <w:rPr>
          <w:sz w:val="24"/>
          <w:szCs w:val="24"/>
        </w:rPr>
        <w:t>C</w:t>
      </w:r>
      <w:r w:rsidR="004B6713">
        <w:rPr>
          <w:sz w:val="24"/>
          <w:szCs w:val="24"/>
        </w:rPr>
        <w:t>laire</w:t>
      </w:r>
      <w:r w:rsidR="005F13D2" w:rsidRPr="00200466">
        <w:rPr>
          <w:sz w:val="24"/>
          <w:szCs w:val="24"/>
        </w:rPr>
        <w:t xml:space="preserve"> Kappler and S</w:t>
      </w:r>
      <w:r w:rsidR="004B6713">
        <w:rPr>
          <w:sz w:val="24"/>
          <w:szCs w:val="24"/>
        </w:rPr>
        <w:t>uzanne</w:t>
      </w:r>
      <w:r w:rsidR="005F13D2" w:rsidRPr="00200466">
        <w:rPr>
          <w:sz w:val="24"/>
          <w:szCs w:val="24"/>
        </w:rPr>
        <w:t xml:space="preserve"> Thiolier-Méjean</w:t>
      </w:r>
      <w:r w:rsidRPr="00200466">
        <w:rPr>
          <w:i/>
          <w:sz w:val="24"/>
          <w:szCs w:val="24"/>
        </w:rPr>
        <w:t xml:space="preserve"> </w:t>
      </w:r>
      <w:r w:rsidRPr="00200466">
        <w:rPr>
          <w:sz w:val="24"/>
          <w:szCs w:val="24"/>
        </w:rPr>
        <w:t>(Paris: L’Harmattan, 2006), 15-44, on 26.</w:t>
      </w:r>
    </w:p>
  </w:footnote>
  <w:footnote w:id="28">
    <w:p w14:paraId="75B3CD79" w14:textId="77777777" w:rsidR="00E4019F" w:rsidRPr="00200466" w:rsidRDefault="00E4019F" w:rsidP="0019398A">
      <w:pPr>
        <w:pStyle w:val="FootnoteText"/>
        <w:rPr>
          <w:sz w:val="24"/>
          <w:szCs w:val="24"/>
        </w:rPr>
      </w:pPr>
      <w:r w:rsidRPr="00200466">
        <w:rPr>
          <w:rStyle w:val="FootnoteReference"/>
          <w:sz w:val="24"/>
          <w:szCs w:val="24"/>
        </w:rPr>
        <w:footnoteRef/>
      </w:r>
      <w:r w:rsidRPr="00200466">
        <w:rPr>
          <w:sz w:val="24"/>
          <w:szCs w:val="24"/>
        </w:rPr>
        <w:t xml:space="preserve"> Aquinas, </w:t>
      </w:r>
      <w:r w:rsidRPr="00200466">
        <w:rPr>
          <w:i/>
          <w:sz w:val="24"/>
          <w:szCs w:val="24"/>
        </w:rPr>
        <w:t>Summa theologica</w:t>
      </w:r>
      <w:r w:rsidRPr="00200466">
        <w:rPr>
          <w:sz w:val="24"/>
          <w:szCs w:val="24"/>
        </w:rPr>
        <w:t>, I</w:t>
      </w:r>
      <w:r w:rsidRPr="00200466">
        <w:rPr>
          <w:sz w:val="24"/>
          <w:szCs w:val="24"/>
          <w:vertAlign w:val="superscript"/>
        </w:rPr>
        <w:t>a</w:t>
      </w:r>
      <w:r w:rsidR="004B6713">
        <w:rPr>
          <w:sz w:val="24"/>
          <w:szCs w:val="24"/>
          <w:vertAlign w:val="superscript"/>
        </w:rPr>
        <w:t xml:space="preserve"> </w:t>
      </w:r>
      <w:r w:rsidRPr="00200466">
        <w:rPr>
          <w:sz w:val="24"/>
          <w:szCs w:val="24"/>
        </w:rPr>
        <w:t>q. 114 a. 4 ad. 2: “Ideo</w:t>
      </w:r>
      <w:r w:rsidR="005F13D2">
        <w:rPr>
          <w:sz w:val="24"/>
          <w:szCs w:val="24"/>
        </w:rPr>
        <w:t xml:space="preserve"> </w:t>
      </w:r>
      <w:r w:rsidRPr="00200466">
        <w:rPr>
          <w:sz w:val="24"/>
          <w:szCs w:val="24"/>
        </w:rPr>
        <w:t>dicendum</w:t>
      </w:r>
      <w:r w:rsidR="005F13D2">
        <w:rPr>
          <w:sz w:val="24"/>
          <w:szCs w:val="24"/>
        </w:rPr>
        <w:t xml:space="preserve"> </w:t>
      </w:r>
      <w:r w:rsidRPr="00200466">
        <w:rPr>
          <w:sz w:val="24"/>
          <w:szCs w:val="24"/>
        </w:rPr>
        <w:t>est quod omnes</w:t>
      </w:r>
      <w:r w:rsidR="005F13D2">
        <w:rPr>
          <w:sz w:val="24"/>
          <w:szCs w:val="24"/>
        </w:rPr>
        <w:t xml:space="preserve"> </w:t>
      </w:r>
      <w:r w:rsidR="00481006">
        <w:rPr>
          <w:sz w:val="24"/>
          <w:szCs w:val="24"/>
        </w:rPr>
        <w:t>transmutationes</w:t>
      </w:r>
      <w:r w:rsidR="005F13D2">
        <w:rPr>
          <w:sz w:val="24"/>
          <w:szCs w:val="24"/>
        </w:rPr>
        <w:t xml:space="preserve"> </w:t>
      </w:r>
      <w:r w:rsidR="00481006">
        <w:rPr>
          <w:sz w:val="24"/>
          <w:szCs w:val="24"/>
        </w:rPr>
        <w:t>corpora</w:t>
      </w:r>
      <w:r w:rsidRPr="00200466">
        <w:rPr>
          <w:sz w:val="24"/>
          <w:szCs w:val="24"/>
        </w:rPr>
        <w:t>lium</w:t>
      </w:r>
      <w:r w:rsidR="005F13D2">
        <w:rPr>
          <w:sz w:val="24"/>
          <w:szCs w:val="24"/>
        </w:rPr>
        <w:t xml:space="preserve"> </w:t>
      </w:r>
      <w:r w:rsidRPr="00200466">
        <w:rPr>
          <w:sz w:val="24"/>
          <w:szCs w:val="24"/>
        </w:rPr>
        <w:t>rerum, quae possunt</w:t>
      </w:r>
      <w:r w:rsidR="005F13D2">
        <w:rPr>
          <w:sz w:val="24"/>
          <w:szCs w:val="24"/>
        </w:rPr>
        <w:t xml:space="preserve"> </w:t>
      </w:r>
      <w:r w:rsidRPr="00200466">
        <w:rPr>
          <w:sz w:val="24"/>
          <w:szCs w:val="24"/>
        </w:rPr>
        <w:t>fieri per aliquas</w:t>
      </w:r>
      <w:r w:rsidR="005F13D2">
        <w:rPr>
          <w:sz w:val="24"/>
          <w:szCs w:val="24"/>
        </w:rPr>
        <w:t xml:space="preserve"> </w:t>
      </w:r>
      <w:r w:rsidRPr="00200466">
        <w:rPr>
          <w:sz w:val="24"/>
          <w:szCs w:val="24"/>
        </w:rPr>
        <w:t>virtutes naturales, ad quas pertinent praedicta</w:t>
      </w:r>
      <w:r w:rsidR="005F13D2">
        <w:rPr>
          <w:sz w:val="24"/>
          <w:szCs w:val="24"/>
        </w:rPr>
        <w:t xml:space="preserve"> </w:t>
      </w:r>
      <w:r w:rsidRPr="00200466">
        <w:rPr>
          <w:sz w:val="24"/>
          <w:szCs w:val="24"/>
        </w:rPr>
        <w:t>semina, possunt</w:t>
      </w:r>
      <w:r w:rsidR="005F13D2">
        <w:rPr>
          <w:sz w:val="24"/>
          <w:szCs w:val="24"/>
        </w:rPr>
        <w:t xml:space="preserve"> </w:t>
      </w:r>
      <w:r w:rsidRPr="00200466">
        <w:rPr>
          <w:sz w:val="24"/>
          <w:szCs w:val="24"/>
        </w:rPr>
        <w:t xml:space="preserve">fieri per </w:t>
      </w:r>
      <w:r w:rsidR="005F13D2">
        <w:rPr>
          <w:sz w:val="24"/>
          <w:szCs w:val="24"/>
        </w:rPr>
        <w:t xml:space="preserve">operations </w:t>
      </w:r>
      <w:r w:rsidRPr="00200466">
        <w:rPr>
          <w:sz w:val="24"/>
          <w:szCs w:val="24"/>
        </w:rPr>
        <w:t>demonum, huiusmodi</w:t>
      </w:r>
      <w:r w:rsidR="005F13D2">
        <w:rPr>
          <w:sz w:val="24"/>
          <w:szCs w:val="24"/>
        </w:rPr>
        <w:t xml:space="preserve"> </w:t>
      </w:r>
      <w:r w:rsidRPr="00200466">
        <w:rPr>
          <w:sz w:val="24"/>
          <w:szCs w:val="24"/>
        </w:rPr>
        <w:t>seminibus</w:t>
      </w:r>
      <w:r w:rsidR="005F13D2">
        <w:rPr>
          <w:sz w:val="24"/>
          <w:szCs w:val="24"/>
        </w:rPr>
        <w:t xml:space="preserve"> </w:t>
      </w:r>
      <w:r w:rsidRPr="00200466">
        <w:rPr>
          <w:sz w:val="24"/>
          <w:szCs w:val="24"/>
        </w:rPr>
        <w:t>adhibitis; sicut cum aliquae res transmutantur in serpents</w:t>
      </w:r>
      <w:r w:rsidR="005F13D2">
        <w:rPr>
          <w:sz w:val="24"/>
          <w:szCs w:val="24"/>
        </w:rPr>
        <w:t xml:space="preserve"> </w:t>
      </w:r>
      <w:r w:rsidRPr="00200466">
        <w:rPr>
          <w:sz w:val="24"/>
          <w:szCs w:val="24"/>
        </w:rPr>
        <w:t>vel ranas, quae per putrefactionem</w:t>
      </w:r>
      <w:r w:rsidR="005F13D2">
        <w:rPr>
          <w:sz w:val="24"/>
          <w:szCs w:val="24"/>
        </w:rPr>
        <w:t xml:space="preserve"> </w:t>
      </w:r>
      <w:r w:rsidRPr="00200466">
        <w:rPr>
          <w:sz w:val="24"/>
          <w:szCs w:val="24"/>
        </w:rPr>
        <w:t>genari</w:t>
      </w:r>
      <w:r w:rsidR="005F13D2">
        <w:rPr>
          <w:sz w:val="24"/>
          <w:szCs w:val="24"/>
        </w:rPr>
        <w:t xml:space="preserve"> </w:t>
      </w:r>
      <w:r w:rsidRPr="00200466">
        <w:rPr>
          <w:sz w:val="24"/>
          <w:szCs w:val="24"/>
        </w:rPr>
        <w:t>possunt.”</w:t>
      </w:r>
    </w:p>
  </w:footnote>
  <w:footnote w:id="29">
    <w:p w14:paraId="0DDE9385" w14:textId="77777777" w:rsidR="00481006" w:rsidRPr="00781B0A" w:rsidRDefault="00E4019F" w:rsidP="00854576">
      <w:pPr>
        <w:pStyle w:val="FootnoteText"/>
        <w:rPr>
          <w:sz w:val="24"/>
          <w:szCs w:val="24"/>
          <w:lang w:val="it-IT"/>
        </w:rPr>
      </w:pPr>
      <w:r w:rsidRPr="00200466">
        <w:rPr>
          <w:rStyle w:val="FootnoteReference"/>
          <w:sz w:val="24"/>
          <w:szCs w:val="24"/>
        </w:rPr>
        <w:footnoteRef/>
      </w:r>
      <w:r w:rsidR="005F13D2" w:rsidRPr="00781B0A">
        <w:rPr>
          <w:sz w:val="24"/>
          <w:szCs w:val="24"/>
          <w:lang w:val="it-IT"/>
        </w:rPr>
        <w:t xml:space="preserve"> </w:t>
      </w:r>
      <w:r w:rsidRPr="00781B0A">
        <w:rPr>
          <w:sz w:val="24"/>
          <w:szCs w:val="24"/>
          <w:lang w:val="it-IT"/>
        </w:rPr>
        <w:t xml:space="preserve">Aquinas, </w:t>
      </w:r>
      <w:r w:rsidRPr="00781B0A">
        <w:rPr>
          <w:i/>
          <w:sz w:val="24"/>
          <w:szCs w:val="24"/>
          <w:lang w:val="it-IT"/>
        </w:rPr>
        <w:t>Summa theologica</w:t>
      </w:r>
      <w:r w:rsidRPr="00781B0A">
        <w:rPr>
          <w:sz w:val="24"/>
          <w:szCs w:val="24"/>
          <w:lang w:val="it-IT"/>
        </w:rPr>
        <w:t>,</w:t>
      </w:r>
      <w:r w:rsidR="005F13D2" w:rsidRPr="00781B0A">
        <w:rPr>
          <w:sz w:val="24"/>
          <w:szCs w:val="24"/>
          <w:lang w:val="it-IT"/>
        </w:rPr>
        <w:t xml:space="preserve"> </w:t>
      </w:r>
      <w:r w:rsidRPr="00781B0A">
        <w:rPr>
          <w:sz w:val="24"/>
          <w:szCs w:val="24"/>
          <w:lang w:val="it-IT"/>
        </w:rPr>
        <w:t>I</w:t>
      </w:r>
      <w:r w:rsidRPr="00781B0A">
        <w:rPr>
          <w:sz w:val="24"/>
          <w:szCs w:val="24"/>
          <w:vertAlign w:val="superscript"/>
          <w:lang w:val="it-IT"/>
        </w:rPr>
        <w:t>a</w:t>
      </w:r>
      <w:r w:rsidR="005F13D2" w:rsidRPr="00781B0A">
        <w:rPr>
          <w:sz w:val="24"/>
          <w:szCs w:val="24"/>
          <w:vertAlign w:val="superscript"/>
          <w:lang w:val="it-IT"/>
        </w:rPr>
        <w:t xml:space="preserve"> </w:t>
      </w:r>
      <w:r w:rsidR="00481006" w:rsidRPr="00781B0A">
        <w:rPr>
          <w:sz w:val="24"/>
          <w:szCs w:val="24"/>
          <w:lang w:val="it-IT"/>
        </w:rPr>
        <w:t>q. 114 a. 4 ad. 2.</w:t>
      </w:r>
    </w:p>
  </w:footnote>
  <w:footnote w:id="30">
    <w:p w14:paraId="2ECE12D5" w14:textId="77777777" w:rsidR="00E4019F" w:rsidRPr="00200466" w:rsidRDefault="00E4019F" w:rsidP="00854576">
      <w:pPr>
        <w:pStyle w:val="FootnoteText"/>
        <w:rPr>
          <w:sz w:val="24"/>
          <w:szCs w:val="24"/>
          <w:lang w:val="it-IT"/>
        </w:rPr>
      </w:pPr>
      <w:r w:rsidRPr="00200466">
        <w:rPr>
          <w:rStyle w:val="FootnoteReference"/>
          <w:sz w:val="24"/>
          <w:szCs w:val="24"/>
        </w:rPr>
        <w:footnoteRef/>
      </w:r>
      <w:r w:rsidRPr="00200466">
        <w:rPr>
          <w:sz w:val="24"/>
          <w:szCs w:val="24"/>
          <w:lang w:val="it-IT"/>
        </w:rPr>
        <w:t xml:space="preserve"> Aquinas, </w:t>
      </w:r>
      <w:r w:rsidRPr="00200466">
        <w:rPr>
          <w:i/>
          <w:sz w:val="24"/>
          <w:szCs w:val="24"/>
          <w:lang w:val="it-IT"/>
        </w:rPr>
        <w:t>Summa theologica</w:t>
      </w:r>
      <w:r w:rsidRPr="00200466">
        <w:rPr>
          <w:sz w:val="24"/>
          <w:szCs w:val="24"/>
          <w:lang w:val="it-IT"/>
        </w:rPr>
        <w:t>, II</w:t>
      </w:r>
      <w:r w:rsidRPr="00200466">
        <w:rPr>
          <w:sz w:val="24"/>
          <w:szCs w:val="24"/>
          <w:vertAlign w:val="superscript"/>
          <w:lang w:val="it-IT"/>
        </w:rPr>
        <w:t>a</w:t>
      </w:r>
      <w:r w:rsidRPr="00200466">
        <w:rPr>
          <w:sz w:val="24"/>
          <w:szCs w:val="24"/>
          <w:lang w:val="it-IT"/>
        </w:rPr>
        <w:t>-IIae q. 77. a. 2. ad. 1: “quae non convenient in auro sophisticato”; “veram speciem non habeat auri et argenti”.</w:t>
      </w:r>
    </w:p>
  </w:footnote>
  <w:footnote w:id="31">
    <w:p w14:paraId="32B55417" w14:textId="77777777" w:rsidR="00E4019F" w:rsidRPr="00D0286B" w:rsidRDefault="00E4019F" w:rsidP="00854576">
      <w:pPr>
        <w:pStyle w:val="FootnoteText"/>
        <w:rPr>
          <w:sz w:val="24"/>
          <w:szCs w:val="24"/>
          <w:lang w:val="it-IT"/>
        </w:rPr>
      </w:pPr>
      <w:r w:rsidRPr="00D0286B">
        <w:rPr>
          <w:rStyle w:val="FootnoteReference"/>
          <w:sz w:val="24"/>
          <w:szCs w:val="24"/>
        </w:rPr>
        <w:footnoteRef/>
      </w:r>
      <w:r w:rsidR="00D0286B">
        <w:rPr>
          <w:sz w:val="24"/>
          <w:szCs w:val="24"/>
          <w:lang w:val="it-IT"/>
        </w:rPr>
        <w:t xml:space="preserve"> </w:t>
      </w:r>
      <w:r w:rsidRPr="00D0286B">
        <w:rPr>
          <w:sz w:val="24"/>
          <w:szCs w:val="24"/>
          <w:lang w:val="it-IT"/>
        </w:rPr>
        <w:t xml:space="preserve">Aquinas, </w:t>
      </w:r>
      <w:r w:rsidRPr="00D0286B">
        <w:rPr>
          <w:i/>
          <w:sz w:val="24"/>
          <w:szCs w:val="24"/>
          <w:lang w:val="it-IT"/>
        </w:rPr>
        <w:t>Summa theologica</w:t>
      </w:r>
      <w:r w:rsidRPr="00D0286B">
        <w:rPr>
          <w:sz w:val="24"/>
          <w:szCs w:val="24"/>
          <w:lang w:val="it-IT"/>
        </w:rPr>
        <w:t>, II</w:t>
      </w:r>
      <w:r w:rsidRPr="00D0286B">
        <w:rPr>
          <w:sz w:val="24"/>
          <w:szCs w:val="24"/>
          <w:vertAlign w:val="superscript"/>
          <w:lang w:val="it-IT"/>
        </w:rPr>
        <w:t>a-</w:t>
      </w:r>
      <w:r w:rsidRPr="00D0286B">
        <w:rPr>
          <w:sz w:val="24"/>
          <w:szCs w:val="24"/>
          <w:lang w:val="it-IT"/>
        </w:rPr>
        <w:t>II</w:t>
      </w:r>
      <w:r w:rsidRPr="00D0286B">
        <w:rPr>
          <w:sz w:val="24"/>
          <w:szCs w:val="24"/>
          <w:vertAlign w:val="superscript"/>
          <w:lang w:val="it-IT"/>
        </w:rPr>
        <w:t>ae</w:t>
      </w:r>
      <w:r w:rsidRPr="00D0286B">
        <w:rPr>
          <w:sz w:val="24"/>
          <w:szCs w:val="24"/>
          <w:lang w:val="it-IT"/>
        </w:rPr>
        <w:t xml:space="preserve"> q. 77 a. 2. ad. 1: “Si autem per alchimiam fieret aurum verum, non esset illicitum ipsum pro vero vendere, quia nihil prohibet artem uti aliquibus naturalibus causis ad producendum naturales et veros effectus; sicut Augustinus dicit, in III </w:t>
      </w:r>
      <w:r w:rsidRPr="00D0286B">
        <w:rPr>
          <w:i/>
          <w:sz w:val="24"/>
          <w:szCs w:val="24"/>
          <w:lang w:val="it-IT"/>
        </w:rPr>
        <w:t>De trinitate</w:t>
      </w:r>
      <w:r w:rsidRPr="00D0286B">
        <w:rPr>
          <w:sz w:val="24"/>
          <w:szCs w:val="24"/>
          <w:lang w:val="it-IT"/>
        </w:rPr>
        <w:t>, de his quae arte Daemonum fiunt.”</w:t>
      </w:r>
    </w:p>
  </w:footnote>
  <w:footnote w:id="32">
    <w:p w14:paraId="7167C09B" w14:textId="77777777" w:rsidR="00E4019F" w:rsidRPr="00200466" w:rsidRDefault="00E4019F" w:rsidP="00DA39AA">
      <w:pPr>
        <w:pStyle w:val="FootnoteText"/>
        <w:rPr>
          <w:sz w:val="24"/>
          <w:szCs w:val="24"/>
        </w:rPr>
      </w:pPr>
      <w:r w:rsidRPr="00200466">
        <w:rPr>
          <w:rStyle w:val="FootnoteReference"/>
          <w:sz w:val="24"/>
          <w:szCs w:val="24"/>
        </w:rPr>
        <w:footnoteRef/>
      </w:r>
      <w:r w:rsidR="00D80556" w:rsidRPr="00200466">
        <w:rPr>
          <w:sz w:val="24"/>
          <w:szCs w:val="24"/>
        </w:rPr>
        <w:t xml:space="preserve"> Recent research has questioned whether the Cathars genuinely constituted an organised group of heretics await</w:t>
      </w:r>
      <w:r w:rsidR="00E97FD6">
        <w:rPr>
          <w:sz w:val="24"/>
          <w:szCs w:val="24"/>
        </w:rPr>
        <w:t xml:space="preserve">ing discovery. </w:t>
      </w:r>
      <w:r w:rsidR="00355E5B" w:rsidRPr="00200466">
        <w:rPr>
          <w:sz w:val="24"/>
          <w:szCs w:val="24"/>
        </w:rPr>
        <w:t xml:space="preserve">See for example Mark Gregory Pegg, </w:t>
      </w:r>
      <w:r w:rsidR="00355E5B" w:rsidRPr="00E97FD6">
        <w:rPr>
          <w:i/>
          <w:sz w:val="24"/>
          <w:szCs w:val="24"/>
        </w:rPr>
        <w:t xml:space="preserve">A Most Holy War: The Albigensian Crusade and the Battle for Christendom </w:t>
      </w:r>
      <w:r w:rsidR="00355E5B" w:rsidRPr="00200466">
        <w:rPr>
          <w:sz w:val="24"/>
          <w:szCs w:val="24"/>
        </w:rPr>
        <w:t xml:space="preserve">(Oxford: Oxford University Press, 2008); </w:t>
      </w:r>
      <w:r w:rsidR="00D80556" w:rsidRPr="00200466">
        <w:rPr>
          <w:sz w:val="24"/>
          <w:szCs w:val="24"/>
        </w:rPr>
        <w:t xml:space="preserve">R.I. Moore, </w:t>
      </w:r>
      <w:r w:rsidR="00D80556" w:rsidRPr="00200466">
        <w:rPr>
          <w:i/>
          <w:sz w:val="24"/>
          <w:szCs w:val="24"/>
        </w:rPr>
        <w:t xml:space="preserve">The War on Heresy: Faith and Power in Medieval Europe </w:t>
      </w:r>
      <w:r w:rsidR="00D80556" w:rsidRPr="00200466">
        <w:rPr>
          <w:sz w:val="24"/>
          <w:szCs w:val="24"/>
        </w:rPr>
        <w:t>(London: Profile Books, 2012)</w:t>
      </w:r>
      <w:r w:rsidR="00355E5B" w:rsidRPr="00200466">
        <w:rPr>
          <w:sz w:val="24"/>
          <w:szCs w:val="24"/>
        </w:rPr>
        <w:t>.</w:t>
      </w:r>
    </w:p>
  </w:footnote>
  <w:footnote w:id="33">
    <w:p w14:paraId="3454FABD" w14:textId="77777777" w:rsidR="00CC4550" w:rsidRPr="00200466" w:rsidRDefault="00CC4550">
      <w:pPr>
        <w:pStyle w:val="FootnoteText"/>
        <w:rPr>
          <w:sz w:val="24"/>
          <w:szCs w:val="24"/>
        </w:rPr>
      </w:pPr>
      <w:r w:rsidRPr="00200466">
        <w:rPr>
          <w:rStyle w:val="FootnoteReference"/>
          <w:sz w:val="24"/>
          <w:szCs w:val="24"/>
        </w:rPr>
        <w:footnoteRef/>
      </w:r>
      <w:r w:rsidRPr="00200466">
        <w:rPr>
          <w:sz w:val="24"/>
          <w:szCs w:val="24"/>
        </w:rPr>
        <w:t xml:space="preserve"> For a discussion of the factors driving the Dominicans’ participation in inquisition, see Christine Caldwell Ames, </w:t>
      </w:r>
      <w:r w:rsidRPr="00200466">
        <w:rPr>
          <w:i/>
          <w:sz w:val="24"/>
          <w:szCs w:val="24"/>
        </w:rPr>
        <w:t>Righteous Persecution: Inquisition, Dominicans and Christianity in the Middle Ages</w:t>
      </w:r>
      <w:r w:rsidRPr="00200466">
        <w:rPr>
          <w:sz w:val="24"/>
          <w:szCs w:val="24"/>
        </w:rPr>
        <w:t xml:space="preserve"> (Philadelphia: University of Pennsylvania Press, 2009).</w:t>
      </w:r>
    </w:p>
  </w:footnote>
  <w:footnote w:id="34">
    <w:p w14:paraId="3B23E506" w14:textId="77777777" w:rsidR="00E4019F" w:rsidRPr="00200466" w:rsidRDefault="00E4019F">
      <w:pPr>
        <w:pStyle w:val="FootnoteText"/>
        <w:rPr>
          <w:sz w:val="24"/>
          <w:szCs w:val="24"/>
        </w:rPr>
      </w:pPr>
      <w:r w:rsidRPr="00200466">
        <w:rPr>
          <w:rStyle w:val="FootnoteReference"/>
          <w:sz w:val="24"/>
          <w:szCs w:val="24"/>
        </w:rPr>
        <w:footnoteRef/>
      </w:r>
      <w:r w:rsidRPr="00200466">
        <w:rPr>
          <w:sz w:val="24"/>
          <w:szCs w:val="24"/>
        </w:rPr>
        <w:t xml:space="preserve"> For a discussion of the development of the Inquisition, see Edward Peters,</w:t>
      </w:r>
      <w:r w:rsidRPr="00200466">
        <w:rPr>
          <w:i/>
          <w:sz w:val="24"/>
          <w:szCs w:val="24"/>
        </w:rPr>
        <w:t xml:space="preserve"> Inquisition</w:t>
      </w:r>
      <w:r w:rsidRPr="00200466">
        <w:rPr>
          <w:sz w:val="24"/>
          <w:szCs w:val="24"/>
        </w:rPr>
        <w:t xml:space="preserve"> (Berkeley and Los Angeles: University of California Press, 1989), chapter</w:t>
      </w:r>
      <w:r w:rsidR="00F43A29">
        <w:rPr>
          <w:sz w:val="24"/>
          <w:szCs w:val="24"/>
        </w:rPr>
        <w:t>s</w:t>
      </w:r>
      <w:r w:rsidRPr="00200466">
        <w:rPr>
          <w:sz w:val="24"/>
          <w:szCs w:val="24"/>
        </w:rPr>
        <w:t xml:space="preserve"> 1-2; Andrea del Col, </w:t>
      </w:r>
      <w:r w:rsidRPr="00200466">
        <w:rPr>
          <w:i/>
          <w:sz w:val="24"/>
          <w:szCs w:val="24"/>
        </w:rPr>
        <w:t>L’inquisizione in Italia, dal XII al XXI secolo</w:t>
      </w:r>
      <w:r w:rsidRPr="00200466">
        <w:rPr>
          <w:sz w:val="24"/>
          <w:szCs w:val="24"/>
        </w:rPr>
        <w:t xml:space="preserve"> (Milan: Mondadori, 2006), part 1. On the institutionalisation of the Office of Inquisitor see Richard Kieckefer, “The Office of the Inquisition and Medieval Heresy: The Transition from Personal to Institutional Jurisdiction,” </w:t>
      </w:r>
      <w:r w:rsidRPr="00200466">
        <w:rPr>
          <w:i/>
          <w:sz w:val="24"/>
          <w:szCs w:val="24"/>
        </w:rPr>
        <w:t>Journal of Ecclesiastical History</w:t>
      </w:r>
      <w:r w:rsidR="00CC4550" w:rsidRPr="00200466">
        <w:rPr>
          <w:sz w:val="24"/>
          <w:szCs w:val="24"/>
        </w:rPr>
        <w:t xml:space="preserve"> 46 (1995): 36-61.</w:t>
      </w:r>
    </w:p>
  </w:footnote>
  <w:footnote w:id="35">
    <w:p w14:paraId="6B15F224" w14:textId="77777777" w:rsidR="00E4019F" w:rsidRPr="00200466" w:rsidRDefault="00E4019F">
      <w:pPr>
        <w:pStyle w:val="FootnoteText"/>
        <w:rPr>
          <w:sz w:val="24"/>
          <w:szCs w:val="24"/>
        </w:rPr>
      </w:pPr>
      <w:r w:rsidRPr="00200466">
        <w:rPr>
          <w:rStyle w:val="FootnoteReference"/>
          <w:sz w:val="24"/>
          <w:szCs w:val="24"/>
        </w:rPr>
        <w:footnoteRef/>
      </w:r>
      <w:r w:rsidRPr="00200466">
        <w:rPr>
          <w:sz w:val="24"/>
          <w:szCs w:val="24"/>
        </w:rPr>
        <w:t xml:space="preserve"> For a discussion of inquisitorial handbooks see L. J. Sackville, “The Inquisitor’s Manual at Work,” </w:t>
      </w:r>
      <w:r w:rsidRPr="00200466">
        <w:rPr>
          <w:i/>
          <w:sz w:val="24"/>
          <w:szCs w:val="24"/>
        </w:rPr>
        <w:t>Viator</w:t>
      </w:r>
      <w:r w:rsidR="005F13D2">
        <w:rPr>
          <w:i/>
          <w:sz w:val="24"/>
          <w:szCs w:val="24"/>
        </w:rPr>
        <w:t xml:space="preserve"> </w:t>
      </w:r>
      <w:r w:rsidRPr="00200466">
        <w:rPr>
          <w:sz w:val="24"/>
          <w:szCs w:val="24"/>
        </w:rPr>
        <w:t xml:space="preserve">44 (2013): 201-16. An English translation of the </w:t>
      </w:r>
      <w:r w:rsidRPr="00200466">
        <w:rPr>
          <w:i/>
          <w:sz w:val="24"/>
          <w:szCs w:val="24"/>
        </w:rPr>
        <w:t>Ordo processus narbonensis</w:t>
      </w:r>
      <w:r w:rsidRPr="00200466">
        <w:rPr>
          <w:sz w:val="24"/>
          <w:szCs w:val="24"/>
        </w:rPr>
        <w:t xml:space="preserve"> is available in Walter L. Wakefield, </w:t>
      </w:r>
      <w:r w:rsidRPr="00200466">
        <w:rPr>
          <w:i/>
          <w:sz w:val="24"/>
          <w:szCs w:val="24"/>
        </w:rPr>
        <w:t xml:space="preserve">Heresy, Crusade and Inquisition in Southern France, 1100-1250 </w:t>
      </w:r>
      <w:r w:rsidRPr="00200466">
        <w:rPr>
          <w:sz w:val="24"/>
          <w:szCs w:val="24"/>
        </w:rPr>
        <w:t xml:space="preserve">(London: G. Allen and Unwin, 1974), 250-58; for the </w:t>
      </w:r>
      <w:r w:rsidRPr="00200466">
        <w:rPr>
          <w:i/>
          <w:sz w:val="24"/>
          <w:szCs w:val="24"/>
        </w:rPr>
        <w:t>Summa de Catharis et Pauperibus de Lugduno</w:t>
      </w:r>
      <w:r w:rsidRPr="00200466">
        <w:rPr>
          <w:sz w:val="24"/>
          <w:szCs w:val="24"/>
        </w:rPr>
        <w:t xml:space="preserve"> see Walter L. Wakefield and Austin P. Evans, </w:t>
      </w:r>
      <w:r w:rsidRPr="00200466">
        <w:rPr>
          <w:i/>
          <w:sz w:val="24"/>
          <w:szCs w:val="24"/>
        </w:rPr>
        <w:t>Heresies of the High Middle Ages</w:t>
      </w:r>
      <w:r w:rsidRPr="00200466">
        <w:rPr>
          <w:sz w:val="24"/>
          <w:szCs w:val="24"/>
        </w:rPr>
        <w:t xml:space="preserve"> (New York: Columbia University Press, 1991), 329-46.</w:t>
      </w:r>
    </w:p>
  </w:footnote>
  <w:footnote w:id="36">
    <w:p w14:paraId="43F73C8C" w14:textId="77777777" w:rsidR="00E4019F" w:rsidRPr="009F6DC8" w:rsidRDefault="00E4019F" w:rsidP="00854576">
      <w:pPr>
        <w:pStyle w:val="FootnoteText"/>
        <w:rPr>
          <w:sz w:val="24"/>
          <w:szCs w:val="24"/>
        </w:rPr>
      </w:pPr>
      <w:r w:rsidRPr="00200466">
        <w:rPr>
          <w:rStyle w:val="FootnoteReference"/>
          <w:sz w:val="24"/>
          <w:szCs w:val="24"/>
        </w:rPr>
        <w:footnoteRef/>
      </w:r>
      <w:r w:rsidR="005F13D2" w:rsidRPr="00781B0A">
        <w:rPr>
          <w:i/>
          <w:sz w:val="24"/>
          <w:szCs w:val="24"/>
          <w:lang w:val="it-IT"/>
        </w:rPr>
        <w:t xml:space="preserve"> </w:t>
      </w:r>
      <w:r w:rsidRPr="00781B0A">
        <w:rPr>
          <w:i/>
          <w:sz w:val="24"/>
          <w:szCs w:val="24"/>
          <w:lang w:val="it-IT"/>
        </w:rPr>
        <w:t>Corpus iuris canonici</w:t>
      </w:r>
      <w:r w:rsidRPr="00781B0A">
        <w:rPr>
          <w:sz w:val="24"/>
          <w:szCs w:val="24"/>
          <w:lang w:val="it-IT"/>
        </w:rPr>
        <w:t xml:space="preserve"> (Rome, 1582), lib. 5. </w:t>
      </w:r>
      <w:r w:rsidRPr="009F6DC8">
        <w:rPr>
          <w:sz w:val="24"/>
          <w:szCs w:val="24"/>
        </w:rPr>
        <w:t>2. 8, col</w:t>
      </w:r>
      <w:r w:rsidR="009F6DC8">
        <w:rPr>
          <w:sz w:val="24"/>
          <w:szCs w:val="24"/>
        </w:rPr>
        <w:t>.</w:t>
      </w:r>
      <w:r w:rsidRPr="009F6DC8">
        <w:rPr>
          <w:sz w:val="24"/>
          <w:szCs w:val="24"/>
        </w:rPr>
        <w:t xml:space="preserve"> 622: “nisi haeresim</w:t>
      </w:r>
      <w:r w:rsidR="005F13D2" w:rsidRPr="009F6DC8">
        <w:rPr>
          <w:sz w:val="24"/>
          <w:szCs w:val="24"/>
        </w:rPr>
        <w:t xml:space="preserve"> </w:t>
      </w:r>
      <w:r w:rsidRPr="009F6DC8">
        <w:rPr>
          <w:sz w:val="24"/>
          <w:szCs w:val="24"/>
        </w:rPr>
        <w:t>saparent</w:t>
      </w:r>
      <w:r w:rsidR="005F13D2" w:rsidRPr="009F6DC8">
        <w:rPr>
          <w:sz w:val="24"/>
          <w:szCs w:val="24"/>
        </w:rPr>
        <w:t xml:space="preserve"> </w:t>
      </w:r>
      <w:r w:rsidRPr="009F6DC8">
        <w:rPr>
          <w:sz w:val="24"/>
          <w:szCs w:val="24"/>
        </w:rPr>
        <w:t>manifeste</w:t>
      </w:r>
      <w:r w:rsidR="002F066B" w:rsidRPr="009F6DC8">
        <w:rPr>
          <w:sz w:val="24"/>
          <w:szCs w:val="24"/>
        </w:rPr>
        <w:t>.</w:t>
      </w:r>
      <w:r w:rsidRPr="009F6DC8">
        <w:rPr>
          <w:sz w:val="24"/>
          <w:szCs w:val="24"/>
        </w:rPr>
        <w:t>”</w:t>
      </w:r>
    </w:p>
  </w:footnote>
  <w:footnote w:id="37">
    <w:p w14:paraId="7EDAAF3B" w14:textId="77777777" w:rsidR="00E4019F" w:rsidRPr="00200466" w:rsidRDefault="00E4019F" w:rsidP="00854576">
      <w:pPr>
        <w:pStyle w:val="FootnoteText"/>
        <w:rPr>
          <w:sz w:val="24"/>
          <w:szCs w:val="24"/>
          <w:lang w:val="it-IT"/>
        </w:rPr>
      </w:pPr>
      <w:r w:rsidRPr="00200466">
        <w:rPr>
          <w:rStyle w:val="FootnoteReference"/>
          <w:sz w:val="24"/>
          <w:szCs w:val="24"/>
        </w:rPr>
        <w:footnoteRef/>
      </w:r>
      <w:r w:rsidR="001302DF">
        <w:rPr>
          <w:sz w:val="24"/>
          <w:szCs w:val="24"/>
          <w:lang w:val="it-IT"/>
        </w:rPr>
        <w:t xml:space="preserve"> </w:t>
      </w:r>
      <w:r w:rsidRPr="00200466">
        <w:rPr>
          <w:i/>
          <w:sz w:val="24"/>
          <w:szCs w:val="24"/>
          <w:lang w:val="it-IT"/>
        </w:rPr>
        <w:t>Corpus iuris canonici</w:t>
      </w:r>
      <w:r w:rsidRPr="00200466">
        <w:rPr>
          <w:sz w:val="24"/>
          <w:szCs w:val="24"/>
          <w:lang w:val="it-IT"/>
        </w:rPr>
        <w:t>, lib. 5. 2. 8, column 622: “in sicut est circa aras idolorum nefarias preces emittere, sacrificia offerre, daemones consulere, eorum responsa suscipere. 26 q. 2. hi qui. &amp; q. 4. igitur. vel associant sibi propter sortes exercendas haereticos. vel faciant praedicta cum corpore vel sanguine Christi, vel in sortibus ut possint habere respo[ns]a, puerum rebaptizant. vel his similia.”</w:t>
      </w:r>
    </w:p>
  </w:footnote>
  <w:footnote w:id="38">
    <w:p w14:paraId="26816B9D" w14:textId="77777777" w:rsidR="00E4019F" w:rsidRPr="009F6DC8" w:rsidRDefault="00E4019F" w:rsidP="0070480F">
      <w:pPr>
        <w:pStyle w:val="FootnoteText"/>
        <w:rPr>
          <w:sz w:val="24"/>
          <w:szCs w:val="24"/>
        </w:rPr>
      </w:pPr>
      <w:r w:rsidRPr="00200466">
        <w:rPr>
          <w:rStyle w:val="FootnoteReference"/>
          <w:sz w:val="24"/>
          <w:szCs w:val="24"/>
        </w:rPr>
        <w:footnoteRef/>
      </w:r>
      <w:r w:rsidR="00101D90" w:rsidRPr="00A10FB8">
        <w:rPr>
          <w:i/>
          <w:color w:val="000000"/>
          <w:sz w:val="24"/>
          <w:szCs w:val="24"/>
        </w:rPr>
        <w:t xml:space="preserve"> </w:t>
      </w:r>
      <w:r w:rsidRPr="00A10FB8">
        <w:rPr>
          <w:i/>
          <w:color w:val="000000"/>
          <w:sz w:val="24"/>
          <w:szCs w:val="24"/>
        </w:rPr>
        <w:t>Spondent quas non exhibitent</w:t>
      </w:r>
      <w:r w:rsidRPr="00A10FB8">
        <w:rPr>
          <w:color w:val="000000"/>
          <w:sz w:val="24"/>
          <w:szCs w:val="24"/>
        </w:rPr>
        <w:t xml:space="preserve"> in </w:t>
      </w:r>
      <w:r w:rsidRPr="00A10FB8">
        <w:rPr>
          <w:i/>
          <w:color w:val="000000"/>
          <w:sz w:val="24"/>
          <w:szCs w:val="24"/>
        </w:rPr>
        <w:t xml:space="preserve">Liber sextus decretalium d. Bonifacii Papae VIII Clementis Papae V Constitutiones, Extravagantes tum viginti d Ioannis </w:t>
      </w:r>
      <w:r w:rsidR="009F6DC8" w:rsidRPr="00A10FB8">
        <w:rPr>
          <w:i/>
          <w:color w:val="000000"/>
          <w:sz w:val="24"/>
          <w:szCs w:val="24"/>
        </w:rPr>
        <w:t>P</w:t>
      </w:r>
      <w:r w:rsidRPr="009F6DC8">
        <w:rPr>
          <w:i/>
          <w:color w:val="000000"/>
          <w:sz w:val="24"/>
          <w:szCs w:val="24"/>
        </w:rPr>
        <w:t>apae XXII tum communes</w:t>
      </w:r>
      <w:r w:rsidRPr="009F6DC8">
        <w:rPr>
          <w:color w:val="000000"/>
          <w:sz w:val="24"/>
          <w:szCs w:val="24"/>
        </w:rPr>
        <w:t xml:space="preserve"> (Lyons, 1584), col. 332: </w:t>
      </w:r>
      <w:r w:rsidRPr="009F6DC8">
        <w:rPr>
          <w:sz w:val="24"/>
          <w:szCs w:val="24"/>
        </w:rPr>
        <w:t>“</w:t>
      </w:r>
      <w:r w:rsidRPr="009F6DC8">
        <w:rPr>
          <w:color w:val="000000"/>
          <w:sz w:val="24"/>
          <w:szCs w:val="24"/>
        </w:rPr>
        <w:t>suae ignorantiae conscii</w:t>
      </w:r>
      <w:r w:rsidR="009F6DC8">
        <w:rPr>
          <w:color w:val="000000"/>
          <w:sz w:val="24"/>
          <w:szCs w:val="24"/>
        </w:rPr>
        <w:t xml:space="preserve"> …</w:t>
      </w:r>
      <w:r w:rsidR="001302DF">
        <w:rPr>
          <w:color w:val="000000"/>
          <w:sz w:val="24"/>
          <w:szCs w:val="24"/>
        </w:rPr>
        <w:t xml:space="preserve"> </w:t>
      </w:r>
      <w:r w:rsidRPr="009F6DC8">
        <w:rPr>
          <w:color w:val="000000"/>
          <w:sz w:val="24"/>
          <w:szCs w:val="24"/>
        </w:rPr>
        <w:t>ut tandem quod non est in rerum natura, esse verum aurum vel argentum sophistica transmutatione confingant.”</w:t>
      </w:r>
    </w:p>
  </w:footnote>
  <w:footnote w:id="39">
    <w:p w14:paraId="4E0A1F34"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For the text of the letters see Joseph </w:t>
      </w:r>
      <w:r w:rsidRPr="00200466">
        <w:rPr>
          <w:rFonts w:eastAsia="Times New Roman"/>
          <w:sz w:val="24"/>
          <w:szCs w:val="24"/>
        </w:rPr>
        <w:t xml:space="preserve">Hansen, </w:t>
      </w:r>
      <w:r w:rsidRPr="00200466">
        <w:rPr>
          <w:rFonts w:eastAsia="Times New Roman"/>
          <w:i/>
          <w:sz w:val="24"/>
          <w:szCs w:val="24"/>
        </w:rPr>
        <w:t>Quellen und Untersuchungenzur Geschichte de Hexenwahns und der Hexenverfolgungim</w:t>
      </w:r>
      <w:r w:rsidR="005F13D2">
        <w:rPr>
          <w:rFonts w:eastAsia="Times New Roman"/>
          <w:i/>
          <w:sz w:val="24"/>
          <w:szCs w:val="24"/>
        </w:rPr>
        <w:t xml:space="preserve"> </w:t>
      </w:r>
      <w:r w:rsidRPr="00200466">
        <w:rPr>
          <w:rFonts w:eastAsia="Times New Roman"/>
          <w:i/>
          <w:sz w:val="24"/>
          <w:szCs w:val="24"/>
        </w:rPr>
        <w:t>Mittelalter</w:t>
      </w:r>
      <w:r w:rsidRPr="00200466">
        <w:rPr>
          <w:rFonts w:eastAsia="Times New Roman"/>
          <w:sz w:val="24"/>
          <w:szCs w:val="24"/>
        </w:rPr>
        <w:t xml:space="preserve"> (Bonn: Carl Georgi, Universitäts-Burchdruckerei und Verlag, 1901), 4.</w:t>
      </w:r>
    </w:p>
  </w:footnote>
  <w:footnote w:id="40">
    <w:p w14:paraId="755BFE6E"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Richard </w:t>
      </w:r>
      <w:r w:rsidRPr="00200466">
        <w:rPr>
          <w:rFonts w:eastAsia="Times New Roman"/>
          <w:sz w:val="24"/>
          <w:szCs w:val="24"/>
        </w:rPr>
        <w:t>Kieckhefer estimated that in the perio</w:t>
      </w:r>
      <w:r w:rsidR="00101D90">
        <w:rPr>
          <w:rFonts w:eastAsia="Times New Roman"/>
          <w:sz w:val="24"/>
          <w:szCs w:val="24"/>
        </w:rPr>
        <w:t>d 1300-1330</w:t>
      </w:r>
      <w:r w:rsidRPr="00200466">
        <w:rPr>
          <w:rFonts w:eastAsia="Times New Roman"/>
          <w:sz w:val="24"/>
          <w:szCs w:val="24"/>
        </w:rPr>
        <w:t xml:space="preserve"> there were as few as one trial for magic per year across </w:t>
      </w:r>
      <w:r w:rsidR="00990175">
        <w:rPr>
          <w:rFonts w:eastAsia="Times New Roman"/>
          <w:sz w:val="24"/>
          <w:szCs w:val="24"/>
        </w:rPr>
        <w:t xml:space="preserve">Europe in every type of court. </w:t>
      </w:r>
      <w:r w:rsidRPr="00200466">
        <w:rPr>
          <w:rFonts w:eastAsia="Times New Roman"/>
          <w:sz w:val="24"/>
          <w:szCs w:val="24"/>
        </w:rPr>
        <w:t>See</w:t>
      </w:r>
      <w:r w:rsidR="00990175">
        <w:rPr>
          <w:rFonts w:eastAsia="Times New Roman"/>
          <w:sz w:val="24"/>
          <w:szCs w:val="24"/>
        </w:rPr>
        <w:t xml:space="preserve"> </w:t>
      </w:r>
      <w:r w:rsidRPr="00200466">
        <w:rPr>
          <w:i/>
          <w:sz w:val="24"/>
          <w:szCs w:val="24"/>
        </w:rPr>
        <w:t>European Witch Trials: Their Foundations in Popular and Learned Culture, 1300-1500</w:t>
      </w:r>
      <w:r w:rsidRPr="00200466">
        <w:rPr>
          <w:sz w:val="24"/>
          <w:szCs w:val="24"/>
        </w:rPr>
        <w:t xml:space="preserve"> (Berkeley and Los Angeles: University of California Press, 1976), 10.</w:t>
      </w:r>
    </w:p>
  </w:footnote>
  <w:footnote w:id="41">
    <w:p w14:paraId="653CBB6B"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Bernard Gui, </w:t>
      </w:r>
      <w:r w:rsidRPr="00200466">
        <w:rPr>
          <w:i/>
          <w:sz w:val="24"/>
          <w:szCs w:val="24"/>
        </w:rPr>
        <w:t>Practica inquisitionis heretice pravitatis</w:t>
      </w:r>
      <w:r w:rsidRPr="00200466">
        <w:rPr>
          <w:sz w:val="24"/>
          <w:szCs w:val="24"/>
        </w:rPr>
        <w:t>, ed. C. Douais (Paris: Alphonse Picar</w:t>
      </w:r>
      <w:r w:rsidR="005F13D2">
        <w:rPr>
          <w:sz w:val="24"/>
          <w:szCs w:val="24"/>
        </w:rPr>
        <w:t xml:space="preserve">d, 1886), on 292-93. </w:t>
      </w:r>
      <w:r w:rsidRPr="00200466">
        <w:rPr>
          <w:sz w:val="24"/>
          <w:szCs w:val="24"/>
        </w:rPr>
        <w:t>For further discussion of Gui’s te</w:t>
      </w:r>
      <w:r w:rsidR="00101D90">
        <w:rPr>
          <w:sz w:val="24"/>
          <w:szCs w:val="24"/>
        </w:rPr>
        <w:t>xt see James Given,</w:t>
      </w:r>
      <w:r w:rsidRPr="00200466">
        <w:rPr>
          <w:sz w:val="24"/>
          <w:szCs w:val="24"/>
        </w:rPr>
        <w:t xml:space="preserve"> </w:t>
      </w:r>
      <w:r w:rsidRPr="00200466">
        <w:rPr>
          <w:i/>
          <w:sz w:val="24"/>
          <w:szCs w:val="24"/>
        </w:rPr>
        <w:t xml:space="preserve">Inquisition and Medieval Society: Power, Discipline, and Resistance in Languedoc </w:t>
      </w:r>
      <w:r w:rsidRPr="00200466">
        <w:rPr>
          <w:sz w:val="24"/>
          <w:szCs w:val="24"/>
        </w:rPr>
        <w:t>(Ithaca and London: Cornell University Press, 1997), 46; Sackville, “Inquisitor’s manuals,” 210.</w:t>
      </w:r>
    </w:p>
  </w:footnote>
  <w:footnote w:id="42">
    <w:p w14:paraId="65EEE2A4" w14:textId="77777777" w:rsidR="00E4019F" w:rsidRPr="00200466" w:rsidRDefault="00E4019F" w:rsidP="00324E24">
      <w:pPr>
        <w:pStyle w:val="FootnoteText"/>
        <w:rPr>
          <w:sz w:val="24"/>
          <w:szCs w:val="24"/>
        </w:rPr>
      </w:pPr>
      <w:r w:rsidRPr="00200466">
        <w:rPr>
          <w:rStyle w:val="FootnoteReference"/>
          <w:sz w:val="24"/>
          <w:szCs w:val="24"/>
        </w:rPr>
        <w:footnoteRef/>
      </w:r>
      <w:r w:rsidRPr="00200466">
        <w:rPr>
          <w:sz w:val="24"/>
          <w:szCs w:val="24"/>
        </w:rPr>
        <w:t xml:space="preserve"> Hansen, </w:t>
      </w:r>
      <w:r w:rsidRPr="00200466">
        <w:rPr>
          <w:i/>
          <w:sz w:val="24"/>
          <w:szCs w:val="24"/>
        </w:rPr>
        <w:t>Quellen</w:t>
      </w:r>
      <w:r w:rsidRPr="00200466">
        <w:rPr>
          <w:sz w:val="24"/>
          <w:szCs w:val="24"/>
        </w:rPr>
        <w:t>, 5: “ad infligendas</w:t>
      </w:r>
      <w:r w:rsidR="005F13D2">
        <w:rPr>
          <w:sz w:val="24"/>
          <w:szCs w:val="24"/>
        </w:rPr>
        <w:t xml:space="preserve"> </w:t>
      </w:r>
      <w:r w:rsidRPr="00200466">
        <w:rPr>
          <w:sz w:val="24"/>
          <w:szCs w:val="24"/>
        </w:rPr>
        <w:t>poenas</w:t>
      </w:r>
      <w:r w:rsidR="005F13D2">
        <w:rPr>
          <w:sz w:val="24"/>
          <w:szCs w:val="24"/>
        </w:rPr>
        <w:t xml:space="preserve"> </w:t>
      </w:r>
      <w:r w:rsidRPr="00200466">
        <w:rPr>
          <w:sz w:val="24"/>
          <w:szCs w:val="24"/>
        </w:rPr>
        <w:t xml:space="preserve">omnes et singulas, </w:t>
      </w:r>
      <w:r w:rsidR="005F13D2">
        <w:rPr>
          <w:sz w:val="24"/>
          <w:szCs w:val="24"/>
        </w:rPr>
        <w:t xml:space="preserve">praetor </w:t>
      </w:r>
      <w:r w:rsidRPr="00200466">
        <w:rPr>
          <w:sz w:val="24"/>
          <w:szCs w:val="24"/>
        </w:rPr>
        <w:t>bonorum</w:t>
      </w:r>
      <w:r w:rsidR="005F13D2">
        <w:rPr>
          <w:sz w:val="24"/>
          <w:szCs w:val="24"/>
        </w:rPr>
        <w:t xml:space="preserve"> </w:t>
      </w:r>
      <w:r w:rsidRPr="00200466">
        <w:rPr>
          <w:sz w:val="24"/>
          <w:szCs w:val="24"/>
        </w:rPr>
        <w:t>confiscationem</w:t>
      </w:r>
      <w:r w:rsidR="005F13D2">
        <w:rPr>
          <w:sz w:val="24"/>
          <w:szCs w:val="24"/>
        </w:rPr>
        <w:t xml:space="preserve"> </w:t>
      </w:r>
      <w:r w:rsidRPr="00200466">
        <w:rPr>
          <w:sz w:val="24"/>
          <w:szCs w:val="24"/>
        </w:rPr>
        <w:t>dumtaxat, quas de iure</w:t>
      </w:r>
      <w:r w:rsidR="005F13D2">
        <w:rPr>
          <w:sz w:val="24"/>
          <w:szCs w:val="24"/>
        </w:rPr>
        <w:t xml:space="preserve"> </w:t>
      </w:r>
      <w:r w:rsidRPr="00200466">
        <w:rPr>
          <w:sz w:val="24"/>
          <w:szCs w:val="24"/>
        </w:rPr>
        <w:t>merentur</w:t>
      </w:r>
      <w:r w:rsidR="005F13D2">
        <w:rPr>
          <w:sz w:val="24"/>
          <w:szCs w:val="24"/>
        </w:rPr>
        <w:t xml:space="preserve"> </w:t>
      </w:r>
      <w:r w:rsidRPr="00200466">
        <w:rPr>
          <w:sz w:val="24"/>
          <w:szCs w:val="24"/>
        </w:rPr>
        <w:t>heretici</w:t>
      </w:r>
      <w:r w:rsidR="00AB08EF">
        <w:rPr>
          <w:sz w:val="24"/>
          <w:szCs w:val="24"/>
        </w:rPr>
        <w:t>.</w:t>
      </w:r>
      <w:r w:rsidRPr="00200466">
        <w:rPr>
          <w:sz w:val="24"/>
          <w:szCs w:val="24"/>
        </w:rPr>
        <w:t xml:space="preserve">” For a discussion of the context in which the bull was produced see Alain Boureau, </w:t>
      </w:r>
      <w:r w:rsidRPr="00200466">
        <w:rPr>
          <w:i/>
          <w:sz w:val="24"/>
          <w:szCs w:val="24"/>
        </w:rPr>
        <w:t>Satan the Heretic: The Birth of Demonology in the Medieval West</w:t>
      </w:r>
      <w:r w:rsidRPr="00200466">
        <w:rPr>
          <w:sz w:val="24"/>
          <w:szCs w:val="24"/>
        </w:rPr>
        <w:t xml:space="preserve">, trans. Teresa Lavender Fagan (Chicago and London: Chicago University Press, 2006); Michael D. Bailey, </w:t>
      </w:r>
      <w:r w:rsidRPr="00200466">
        <w:rPr>
          <w:i/>
          <w:sz w:val="24"/>
          <w:szCs w:val="24"/>
        </w:rPr>
        <w:t>Fearful Spirits, Reasoned Follies: The Boundaries of Superstition in Late Medieval Europe</w:t>
      </w:r>
      <w:r w:rsidRPr="00200466">
        <w:rPr>
          <w:sz w:val="24"/>
          <w:szCs w:val="24"/>
        </w:rPr>
        <w:t xml:space="preserve"> (Ithaca and London: Cornell University Press, 2013).</w:t>
      </w:r>
    </w:p>
  </w:footnote>
  <w:footnote w:id="43">
    <w:p w14:paraId="1879A790"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Nicholas Eymerich, </w:t>
      </w:r>
      <w:r w:rsidRPr="00200466">
        <w:rPr>
          <w:i/>
          <w:sz w:val="24"/>
          <w:szCs w:val="24"/>
        </w:rPr>
        <w:t>Directorium</w:t>
      </w:r>
      <w:r w:rsidR="005F13D2">
        <w:rPr>
          <w:i/>
          <w:sz w:val="24"/>
          <w:szCs w:val="24"/>
        </w:rPr>
        <w:t xml:space="preserve"> </w:t>
      </w:r>
      <w:r w:rsidRPr="00200466">
        <w:rPr>
          <w:i/>
          <w:sz w:val="24"/>
          <w:szCs w:val="24"/>
        </w:rPr>
        <w:t>inquisitorum</w:t>
      </w:r>
      <w:r w:rsidRPr="00200466">
        <w:rPr>
          <w:sz w:val="24"/>
          <w:szCs w:val="24"/>
        </w:rPr>
        <w:t xml:space="preserve"> (Rome, 1587), </w:t>
      </w:r>
      <w:r w:rsidRPr="00101D90">
        <w:rPr>
          <w:i/>
          <w:sz w:val="24"/>
          <w:szCs w:val="24"/>
        </w:rPr>
        <w:t>Pars</w:t>
      </w:r>
      <w:r w:rsidRPr="00200466">
        <w:rPr>
          <w:sz w:val="24"/>
          <w:szCs w:val="24"/>
        </w:rPr>
        <w:t xml:space="preserve"> II, qq. 42-43, fols. 234-41.</w:t>
      </w:r>
    </w:p>
  </w:footnote>
  <w:footnote w:id="44">
    <w:p w14:paraId="0E1E0E11"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Eymerich, </w:t>
      </w:r>
      <w:r w:rsidRPr="00200466">
        <w:rPr>
          <w:i/>
          <w:sz w:val="24"/>
          <w:szCs w:val="24"/>
        </w:rPr>
        <w:t>Directorium</w:t>
      </w:r>
      <w:r w:rsidRPr="00200466">
        <w:rPr>
          <w:sz w:val="24"/>
          <w:szCs w:val="24"/>
        </w:rPr>
        <w:t>, fols</w:t>
      </w:r>
      <w:r w:rsidR="00FD7B56">
        <w:rPr>
          <w:sz w:val="24"/>
          <w:szCs w:val="24"/>
        </w:rPr>
        <w:t>.</w:t>
      </w:r>
      <w:r w:rsidRPr="00200466">
        <w:rPr>
          <w:sz w:val="24"/>
          <w:szCs w:val="24"/>
        </w:rPr>
        <w:t xml:space="preserve"> 236-240, </w:t>
      </w:r>
      <w:r w:rsidRPr="00200466">
        <w:rPr>
          <w:i/>
          <w:sz w:val="24"/>
          <w:szCs w:val="24"/>
        </w:rPr>
        <w:t xml:space="preserve">Super illius specula </w:t>
      </w:r>
      <w:r w:rsidRPr="00200466">
        <w:rPr>
          <w:sz w:val="24"/>
          <w:szCs w:val="24"/>
        </w:rPr>
        <w:t>cited</w:t>
      </w:r>
      <w:r w:rsidR="00FD7B56">
        <w:rPr>
          <w:sz w:val="24"/>
          <w:szCs w:val="24"/>
        </w:rPr>
        <w:t xml:space="preserve"> </w:t>
      </w:r>
      <w:r w:rsidR="00A10FB8">
        <w:rPr>
          <w:sz w:val="24"/>
          <w:szCs w:val="24"/>
        </w:rPr>
        <w:t>on</w:t>
      </w:r>
      <w:r w:rsidRPr="00200466">
        <w:rPr>
          <w:sz w:val="24"/>
          <w:szCs w:val="24"/>
        </w:rPr>
        <w:t>, fols</w:t>
      </w:r>
      <w:r w:rsidR="00FD7B56">
        <w:rPr>
          <w:sz w:val="24"/>
          <w:szCs w:val="24"/>
        </w:rPr>
        <w:t>.</w:t>
      </w:r>
      <w:r w:rsidRPr="00200466">
        <w:rPr>
          <w:sz w:val="24"/>
          <w:szCs w:val="24"/>
        </w:rPr>
        <w:t xml:space="preserve"> 239-40.</w:t>
      </w:r>
    </w:p>
  </w:footnote>
  <w:footnote w:id="45">
    <w:p w14:paraId="320E51FB" w14:textId="77777777" w:rsidR="00E4019F" w:rsidRPr="00A10FB8"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Eymerich, </w:t>
      </w:r>
      <w:r w:rsidRPr="00200466">
        <w:rPr>
          <w:i/>
          <w:sz w:val="24"/>
          <w:szCs w:val="24"/>
        </w:rPr>
        <w:t>Directorium</w:t>
      </w:r>
      <w:r w:rsidRPr="00200466">
        <w:rPr>
          <w:sz w:val="24"/>
          <w:szCs w:val="24"/>
        </w:rPr>
        <w:t xml:space="preserve">, fols. </w:t>
      </w:r>
      <w:r w:rsidRPr="00BE546E">
        <w:rPr>
          <w:sz w:val="24"/>
          <w:szCs w:val="24"/>
        </w:rPr>
        <w:t>234-35, quote</w:t>
      </w:r>
      <w:r w:rsidR="00FD7B56">
        <w:rPr>
          <w:sz w:val="24"/>
          <w:szCs w:val="24"/>
        </w:rPr>
        <w:t xml:space="preserve"> on</w:t>
      </w:r>
      <w:r w:rsidRPr="00A10FB8">
        <w:rPr>
          <w:sz w:val="24"/>
          <w:szCs w:val="24"/>
        </w:rPr>
        <w:t xml:space="preserve"> fol. 234: “quae quidem</w:t>
      </w:r>
      <w:r w:rsidR="005F13D2" w:rsidRPr="00A10FB8">
        <w:rPr>
          <w:sz w:val="24"/>
          <w:szCs w:val="24"/>
        </w:rPr>
        <w:t xml:space="preserve"> </w:t>
      </w:r>
      <w:r w:rsidRPr="00A10FB8">
        <w:rPr>
          <w:sz w:val="24"/>
          <w:szCs w:val="24"/>
        </w:rPr>
        <w:t>sapiunt</w:t>
      </w:r>
      <w:r w:rsidR="005F13D2" w:rsidRPr="00A10FB8">
        <w:rPr>
          <w:sz w:val="24"/>
          <w:szCs w:val="24"/>
        </w:rPr>
        <w:t xml:space="preserve"> </w:t>
      </w:r>
      <w:r w:rsidRPr="00A10FB8">
        <w:rPr>
          <w:sz w:val="24"/>
          <w:szCs w:val="24"/>
        </w:rPr>
        <w:t>haeresim</w:t>
      </w:r>
      <w:r w:rsidR="005F13D2" w:rsidRPr="00A10FB8">
        <w:rPr>
          <w:sz w:val="24"/>
          <w:szCs w:val="24"/>
        </w:rPr>
        <w:t xml:space="preserve"> </w:t>
      </w:r>
      <w:r w:rsidRPr="00A10FB8">
        <w:rPr>
          <w:sz w:val="24"/>
          <w:szCs w:val="24"/>
        </w:rPr>
        <w:t>manifeste</w:t>
      </w:r>
      <w:r w:rsidR="00FD7B56">
        <w:rPr>
          <w:sz w:val="24"/>
          <w:szCs w:val="24"/>
        </w:rPr>
        <w:t>.</w:t>
      </w:r>
      <w:r w:rsidRPr="00A10FB8">
        <w:rPr>
          <w:sz w:val="24"/>
          <w:szCs w:val="24"/>
        </w:rPr>
        <w:t>”</w:t>
      </w:r>
    </w:p>
  </w:footnote>
  <w:footnote w:id="46">
    <w:p w14:paraId="6A6BDFAD"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Eymerich, </w:t>
      </w:r>
      <w:r w:rsidRPr="00200466">
        <w:rPr>
          <w:i/>
          <w:sz w:val="24"/>
          <w:szCs w:val="24"/>
        </w:rPr>
        <w:t>Directorium</w:t>
      </w:r>
      <w:r w:rsidRPr="00200466">
        <w:rPr>
          <w:sz w:val="24"/>
          <w:szCs w:val="24"/>
        </w:rPr>
        <w:t>, Pars III,</w:t>
      </w:r>
      <w:r w:rsidR="00FD7B56">
        <w:rPr>
          <w:sz w:val="24"/>
          <w:szCs w:val="24"/>
        </w:rPr>
        <w:t xml:space="preserve"> </w:t>
      </w:r>
      <w:r w:rsidRPr="00200466">
        <w:rPr>
          <w:sz w:val="24"/>
          <w:szCs w:val="24"/>
        </w:rPr>
        <w:t>fol. 295: “nam</w:t>
      </w:r>
      <w:r w:rsidR="005F13D2">
        <w:rPr>
          <w:sz w:val="24"/>
          <w:szCs w:val="24"/>
        </w:rPr>
        <w:t xml:space="preserve"> </w:t>
      </w:r>
      <w:r w:rsidRPr="00200466">
        <w:rPr>
          <w:sz w:val="24"/>
          <w:szCs w:val="24"/>
        </w:rPr>
        <w:t>quando non possunt</w:t>
      </w:r>
      <w:r w:rsidR="00FC6A97">
        <w:rPr>
          <w:sz w:val="24"/>
          <w:szCs w:val="24"/>
        </w:rPr>
        <w:t xml:space="preserve"> </w:t>
      </w:r>
      <w:r w:rsidRPr="00200466">
        <w:rPr>
          <w:sz w:val="24"/>
          <w:szCs w:val="24"/>
        </w:rPr>
        <w:t>pertingere ad finem intentum, daemonis</w:t>
      </w:r>
      <w:r w:rsidR="005F13D2">
        <w:rPr>
          <w:sz w:val="24"/>
          <w:szCs w:val="24"/>
        </w:rPr>
        <w:t xml:space="preserve"> </w:t>
      </w:r>
      <w:r w:rsidRPr="00200466">
        <w:rPr>
          <w:sz w:val="24"/>
          <w:szCs w:val="24"/>
        </w:rPr>
        <w:t>auxilium</w:t>
      </w:r>
      <w:r w:rsidR="005F13D2">
        <w:rPr>
          <w:sz w:val="24"/>
          <w:szCs w:val="24"/>
        </w:rPr>
        <w:t xml:space="preserve"> </w:t>
      </w:r>
      <w:r w:rsidRPr="00200466">
        <w:rPr>
          <w:sz w:val="24"/>
          <w:szCs w:val="24"/>
        </w:rPr>
        <w:t>quaerunt, invocant</w:t>
      </w:r>
      <w:r w:rsidR="005F13D2">
        <w:rPr>
          <w:sz w:val="24"/>
          <w:szCs w:val="24"/>
        </w:rPr>
        <w:t xml:space="preserve"> </w:t>
      </w:r>
      <w:r w:rsidRPr="00200466">
        <w:rPr>
          <w:sz w:val="24"/>
          <w:szCs w:val="24"/>
        </w:rPr>
        <w:t>&amp;</w:t>
      </w:r>
      <w:r w:rsidR="005F13D2">
        <w:rPr>
          <w:sz w:val="24"/>
          <w:szCs w:val="24"/>
        </w:rPr>
        <w:t xml:space="preserve"> </w:t>
      </w:r>
      <w:r w:rsidRPr="00200466">
        <w:rPr>
          <w:sz w:val="24"/>
          <w:szCs w:val="24"/>
        </w:rPr>
        <w:t>implor</w:t>
      </w:r>
      <w:r w:rsidR="00A10FB8">
        <w:rPr>
          <w:sz w:val="24"/>
          <w:szCs w:val="24"/>
        </w:rPr>
        <w:t>a</w:t>
      </w:r>
      <w:r w:rsidRPr="00200466">
        <w:rPr>
          <w:sz w:val="24"/>
          <w:szCs w:val="24"/>
        </w:rPr>
        <w:t>[n]t &amp;</w:t>
      </w:r>
      <w:r w:rsidR="005F13D2">
        <w:rPr>
          <w:sz w:val="24"/>
          <w:szCs w:val="24"/>
        </w:rPr>
        <w:t xml:space="preserve"> </w:t>
      </w:r>
      <w:r w:rsidRPr="00200466">
        <w:rPr>
          <w:sz w:val="24"/>
          <w:szCs w:val="24"/>
        </w:rPr>
        <w:t>implorando</w:t>
      </w:r>
      <w:r w:rsidR="005F13D2">
        <w:rPr>
          <w:sz w:val="24"/>
          <w:szCs w:val="24"/>
        </w:rPr>
        <w:t xml:space="preserve"> </w:t>
      </w:r>
      <w:r w:rsidRPr="00200466">
        <w:rPr>
          <w:sz w:val="24"/>
          <w:szCs w:val="24"/>
        </w:rPr>
        <w:t>obsecrant</w:t>
      </w:r>
      <w:r w:rsidR="005F13D2">
        <w:rPr>
          <w:sz w:val="24"/>
          <w:szCs w:val="24"/>
        </w:rPr>
        <w:t xml:space="preserve"> </w:t>
      </w:r>
      <w:r w:rsidRPr="00200466">
        <w:rPr>
          <w:sz w:val="24"/>
          <w:szCs w:val="24"/>
        </w:rPr>
        <w:t>&amp;</w:t>
      </w:r>
      <w:r w:rsidR="005F13D2">
        <w:rPr>
          <w:sz w:val="24"/>
          <w:szCs w:val="24"/>
        </w:rPr>
        <w:t xml:space="preserve"> </w:t>
      </w:r>
      <w:r w:rsidRPr="00200466">
        <w:rPr>
          <w:sz w:val="24"/>
          <w:szCs w:val="24"/>
        </w:rPr>
        <w:t>sacrificant</w:t>
      </w:r>
      <w:r w:rsidR="005F13D2">
        <w:rPr>
          <w:sz w:val="24"/>
          <w:szCs w:val="24"/>
        </w:rPr>
        <w:t xml:space="preserve"> </w:t>
      </w:r>
      <w:r w:rsidRPr="00200466">
        <w:rPr>
          <w:sz w:val="24"/>
          <w:szCs w:val="24"/>
        </w:rPr>
        <w:t>tacite, vel</w:t>
      </w:r>
      <w:r w:rsidR="005F13D2">
        <w:rPr>
          <w:sz w:val="24"/>
          <w:szCs w:val="24"/>
        </w:rPr>
        <w:t xml:space="preserve"> </w:t>
      </w:r>
      <w:r w:rsidRPr="00200466">
        <w:rPr>
          <w:sz w:val="24"/>
          <w:szCs w:val="24"/>
        </w:rPr>
        <w:t>expresse.”</w:t>
      </w:r>
    </w:p>
  </w:footnote>
  <w:footnote w:id="47">
    <w:p w14:paraId="4770D35A" w14:textId="77777777" w:rsidR="00E4019F" w:rsidRPr="00D0286B" w:rsidRDefault="00E4019F">
      <w:pPr>
        <w:pStyle w:val="FootnoteText"/>
        <w:rPr>
          <w:sz w:val="24"/>
          <w:szCs w:val="24"/>
        </w:rPr>
      </w:pPr>
      <w:r w:rsidRPr="00D0286B">
        <w:rPr>
          <w:rStyle w:val="FootnoteReference"/>
          <w:sz w:val="24"/>
          <w:szCs w:val="24"/>
        </w:rPr>
        <w:footnoteRef/>
      </w:r>
      <w:r w:rsidRPr="00D0286B">
        <w:rPr>
          <w:sz w:val="24"/>
          <w:szCs w:val="24"/>
        </w:rPr>
        <w:t xml:space="preserve"> For a survey of recent literature on the observant</w:t>
      </w:r>
      <w:r w:rsidR="00E97FD6" w:rsidRPr="00D0286B">
        <w:rPr>
          <w:sz w:val="24"/>
          <w:szCs w:val="24"/>
        </w:rPr>
        <w:t xml:space="preserve"> movement see James D. Mixson, “</w:t>
      </w:r>
      <w:r w:rsidRPr="00D0286B">
        <w:rPr>
          <w:sz w:val="24"/>
          <w:szCs w:val="24"/>
        </w:rPr>
        <w:t xml:space="preserve">Religious </w:t>
      </w:r>
      <w:r w:rsidR="00A10FB8">
        <w:rPr>
          <w:sz w:val="24"/>
          <w:szCs w:val="24"/>
        </w:rPr>
        <w:t>L</w:t>
      </w:r>
      <w:r w:rsidRPr="00D0286B">
        <w:rPr>
          <w:sz w:val="24"/>
          <w:szCs w:val="24"/>
        </w:rPr>
        <w:t xml:space="preserve">ife and </w:t>
      </w:r>
      <w:r w:rsidR="00A10FB8">
        <w:rPr>
          <w:sz w:val="24"/>
          <w:szCs w:val="24"/>
        </w:rPr>
        <w:t>O</w:t>
      </w:r>
      <w:r w:rsidRPr="00D0286B">
        <w:rPr>
          <w:sz w:val="24"/>
          <w:szCs w:val="24"/>
        </w:rPr>
        <w:t xml:space="preserve">bservant </w:t>
      </w:r>
      <w:r w:rsidR="00A10FB8">
        <w:rPr>
          <w:sz w:val="24"/>
          <w:szCs w:val="24"/>
        </w:rPr>
        <w:t>R</w:t>
      </w:r>
      <w:r w:rsidR="00E97FD6" w:rsidRPr="00D0286B">
        <w:rPr>
          <w:sz w:val="24"/>
          <w:szCs w:val="24"/>
        </w:rPr>
        <w:t xml:space="preserve">eform in the </w:t>
      </w:r>
      <w:r w:rsidR="00A10FB8">
        <w:rPr>
          <w:sz w:val="24"/>
          <w:szCs w:val="24"/>
        </w:rPr>
        <w:t>F</w:t>
      </w:r>
      <w:r w:rsidR="00E97FD6" w:rsidRPr="00D0286B">
        <w:rPr>
          <w:sz w:val="24"/>
          <w:szCs w:val="24"/>
        </w:rPr>
        <w:t xml:space="preserve">ifteenth </w:t>
      </w:r>
      <w:r w:rsidR="00A10FB8">
        <w:rPr>
          <w:sz w:val="24"/>
          <w:szCs w:val="24"/>
        </w:rPr>
        <w:t>C</w:t>
      </w:r>
      <w:r w:rsidR="00E97FD6" w:rsidRPr="00D0286B">
        <w:rPr>
          <w:sz w:val="24"/>
          <w:szCs w:val="24"/>
        </w:rPr>
        <w:t>entury,”</w:t>
      </w:r>
      <w:r w:rsidR="005F13D2" w:rsidRPr="00D0286B">
        <w:rPr>
          <w:sz w:val="24"/>
          <w:szCs w:val="24"/>
        </w:rPr>
        <w:t xml:space="preserve"> </w:t>
      </w:r>
      <w:r w:rsidRPr="00D0286B">
        <w:rPr>
          <w:i/>
          <w:iCs/>
          <w:sz w:val="24"/>
          <w:szCs w:val="24"/>
        </w:rPr>
        <w:t xml:space="preserve">History Compass </w:t>
      </w:r>
      <w:r w:rsidRPr="00D0286B">
        <w:rPr>
          <w:sz w:val="24"/>
          <w:szCs w:val="24"/>
        </w:rPr>
        <w:t>11 (2013)</w:t>
      </w:r>
      <w:r w:rsidR="008D47EC">
        <w:rPr>
          <w:sz w:val="24"/>
          <w:szCs w:val="24"/>
        </w:rPr>
        <w:t>:</w:t>
      </w:r>
      <w:r w:rsidRPr="00D0286B">
        <w:rPr>
          <w:sz w:val="24"/>
          <w:szCs w:val="24"/>
        </w:rPr>
        <w:t xml:space="preserve"> 201-14; and </w:t>
      </w:r>
      <w:r w:rsidR="00A10FB8">
        <w:rPr>
          <w:sz w:val="24"/>
          <w:szCs w:val="24"/>
        </w:rPr>
        <w:t xml:space="preserve">on observant movement in </w:t>
      </w:r>
      <w:r w:rsidRPr="00D0286B">
        <w:rPr>
          <w:sz w:val="24"/>
          <w:szCs w:val="24"/>
        </w:rPr>
        <w:t>the D</w:t>
      </w:r>
      <w:r w:rsidR="00E97FD6" w:rsidRPr="00D0286B">
        <w:rPr>
          <w:sz w:val="24"/>
          <w:szCs w:val="24"/>
        </w:rPr>
        <w:t>ominican Order</w:t>
      </w:r>
      <w:r w:rsidR="008D47EC">
        <w:rPr>
          <w:sz w:val="24"/>
          <w:szCs w:val="24"/>
        </w:rPr>
        <w:t>,</w:t>
      </w:r>
      <w:r w:rsidR="00E97FD6" w:rsidRPr="00D0286B">
        <w:rPr>
          <w:sz w:val="24"/>
          <w:szCs w:val="24"/>
        </w:rPr>
        <w:t xml:space="preserve"> see Robin Vose, “</w:t>
      </w:r>
      <w:r w:rsidRPr="00D0286B">
        <w:rPr>
          <w:sz w:val="24"/>
          <w:szCs w:val="24"/>
        </w:rPr>
        <w:t>The Dominican Order in Late Med</w:t>
      </w:r>
      <w:r w:rsidR="00E97FD6" w:rsidRPr="00D0286B">
        <w:rPr>
          <w:sz w:val="24"/>
          <w:szCs w:val="24"/>
        </w:rPr>
        <w:t>ieval and Early Modern History,”</w:t>
      </w:r>
      <w:r w:rsidR="005F13D2" w:rsidRPr="00D0286B">
        <w:rPr>
          <w:sz w:val="24"/>
          <w:szCs w:val="24"/>
        </w:rPr>
        <w:t xml:space="preserve"> </w:t>
      </w:r>
      <w:r w:rsidRPr="00D0286B">
        <w:rPr>
          <w:i/>
          <w:iCs/>
          <w:sz w:val="24"/>
          <w:szCs w:val="24"/>
        </w:rPr>
        <w:t xml:space="preserve">History Compass </w:t>
      </w:r>
      <w:r w:rsidRPr="00D0286B">
        <w:rPr>
          <w:sz w:val="24"/>
          <w:szCs w:val="24"/>
        </w:rPr>
        <w:t>11 (2013)</w:t>
      </w:r>
      <w:r w:rsidR="008D47EC">
        <w:rPr>
          <w:iCs/>
          <w:sz w:val="24"/>
          <w:szCs w:val="24"/>
        </w:rPr>
        <w:t>:</w:t>
      </w:r>
      <w:r w:rsidRPr="00D0286B">
        <w:rPr>
          <w:i/>
          <w:iCs/>
          <w:sz w:val="24"/>
          <w:szCs w:val="24"/>
        </w:rPr>
        <w:t xml:space="preserve"> </w:t>
      </w:r>
      <w:r w:rsidR="005F13D2" w:rsidRPr="00D0286B">
        <w:rPr>
          <w:sz w:val="24"/>
          <w:szCs w:val="24"/>
        </w:rPr>
        <w:t>967-82.</w:t>
      </w:r>
      <w:r w:rsidRPr="00D0286B">
        <w:rPr>
          <w:sz w:val="24"/>
          <w:szCs w:val="24"/>
        </w:rPr>
        <w:t xml:space="preserve"> See also the essays in James Mixso</w:t>
      </w:r>
      <w:r w:rsidR="008D47EC">
        <w:rPr>
          <w:sz w:val="24"/>
          <w:szCs w:val="24"/>
        </w:rPr>
        <w:t>n</w:t>
      </w:r>
      <w:r w:rsidRPr="00D0286B">
        <w:rPr>
          <w:sz w:val="24"/>
          <w:szCs w:val="24"/>
        </w:rPr>
        <w:t xml:space="preserve"> and Bert Roest, </w:t>
      </w:r>
      <w:r w:rsidRPr="00D0286B">
        <w:rPr>
          <w:rFonts w:eastAsia="Times New Roman"/>
          <w:bCs/>
          <w:i/>
          <w:kern w:val="36"/>
          <w:sz w:val="24"/>
          <w:szCs w:val="24"/>
          <w:lang w:eastAsia="en-GB"/>
        </w:rPr>
        <w:t xml:space="preserve">A Companion to Observant Reform in the Late Middle Ages and Beyond </w:t>
      </w:r>
      <w:r w:rsidRPr="00D0286B">
        <w:rPr>
          <w:rFonts w:eastAsia="Times New Roman"/>
          <w:bCs/>
          <w:kern w:val="36"/>
          <w:sz w:val="24"/>
          <w:szCs w:val="24"/>
          <w:lang w:eastAsia="en-GB"/>
        </w:rPr>
        <w:t>(Leiden and Boston: Brill, 2015), especially Michael D. Bailey “Reformers on Sorcery and Superstition,” 230-54.</w:t>
      </w:r>
    </w:p>
  </w:footnote>
  <w:footnote w:id="48">
    <w:p w14:paraId="4E6905ED" w14:textId="77777777" w:rsidR="00E4019F" w:rsidRPr="00200466" w:rsidRDefault="00E4019F" w:rsidP="00854576">
      <w:pPr>
        <w:spacing w:line="240" w:lineRule="auto"/>
        <w:rPr>
          <w:rFonts w:ascii="Times New Roman" w:eastAsia="Times New Roman" w:hAnsi="Times New Roman"/>
          <w:bCs/>
          <w:color w:val="333333"/>
          <w:kern w:val="36"/>
          <w:sz w:val="24"/>
          <w:szCs w:val="24"/>
          <w:lang w:eastAsia="en-GB"/>
        </w:rPr>
      </w:pPr>
      <w:r w:rsidRPr="00200466">
        <w:rPr>
          <w:rStyle w:val="FootnoteReference"/>
          <w:rFonts w:ascii="Times New Roman" w:hAnsi="Times New Roman"/>
          <w:sz w:val="24"/>
          <w:szCs w:val="24"/>
        </w:rPr>
        <w:footnoteRef/>
      </w:r>
      <w:r w:rsidRPr="00200466">
        <w:rPr>
          <w:rFonts w:ascii="Times New Roman" w:hAnsi="Times New Roman"/>
          <w:sz w:val="24"/>
          <w:szCs w:val="24"/>
        </w:rPr>
        <w:t xml:space="preserve"> On Nider and the </w:t>
      </w:r>
      <w:r w:rsidRPr="00200466">
        <w:rPr>
          <w:rFonts w:ascii="Times New Roman" w:hAnsi="Times New Roman"/>
          <w:i/>
          <w:sz w:val="24"/>
          <w:szCs w:val="24"/>
        </w:rPr>
        <w:t>Formicarius</w:t>
      </w:r>
      <w:r w:rsidRPr="00200466">
        <w:rPr>
          <w:rFonts w:ascii="Times New Roman" w:hAnsi="Times New Roman"/>
          <w:sz w:val="24"/>
          <w:szCs w:val="24"/>
        </w:rPr>
        <w:t xml:space="preserve"> see Michael D. Bailey, </w:t>
      </w:r>
      <w:r w:rsidRPr="00200466">
        <w:rPr>
          <w:rFonts w:ascii="Times New Roman" w:hAnsi="Times New Roman"/>
          <w:i/>
          <w:sz w:val="24"/>
          <w:szCs w:val="24"/>
        </w:rPr>
        <w:t xml:space="preserve">Battling Demons: Witchcraft, Heresy, and Reform in the Late Middle Ages </w:t>
      </w:r>
      <w:r w:rsidRPr="00200466">
        <w:rPr>
          <w:rFonts w:ascii="Times New Roman" w:hAnsi="Times New Roman"/>
          <w:sz w:val="24"/>
          <w:szCs w:val="24"/>
        </w:rPr>
        <w:t>(Pennsylvania: Pennsylvania State University Press, 2003), in particular chapter 5.</w:t>
      </w:r>
    </w:p>
  </w:footnote>
  <w:footnote w:id="49">
    <w:p w14:paraId="2E1533F5" w14:textId="77777777" w:rsidR="00E4019F" w:rsidRPr="00200466" w:rsidRDefault="00E4019F" w:rsidP="00854576">
      <w:pPr>
        <w:pStyle w:val="FootnoteText"/>
        <w:rPr>
          <w:sz w:val="24"/>
          <w:szCs w:val="24"/>
          <w:lang w:val="it-IT"/>
        </w:rPr>
      </w:pPr>
      <w:r w:rsidRPr="00200466">
        <w:rPr>
          <w:rStyle w:val="FootnoteReference"/>
          <w:sz w:val="24"/>
          <w:szCs w:val="24"/>
        </w:rPr>
        <w:footnoteRef/>
      </w:r>
      <w:r w:rsidRPr="00781B0A">
        <w:rPr>
          <w:sz w:val="24"/>
          <w:szCs w:val="24"/>
          <w:lang w:val="it-IT"/>
        </w:rPr>
        <w:t xml:space="preserve"> Johannes Nider, </w:t>
      </w:r>
      <w:r w:rsidRPr="00781B0A">
        <w:rPr>
          <w:i/>
          <w:sz w:val="24"/>
          <w:szCs w:val="24"/>
          <w:lang w:val="it-IT"/>
        </w:rPr>
        <w:t>Praeceptorium</w:t>
      </w:r>
      <w:r w:rsidR="005F13D2" w:rsidRPr="00781B0A">
        <w:rPr>
          <w:i/>
          <w:sz w:val="24"/>
          <w:szCs w:val="24"/>
          <w:lang w:val="it-IT"/>
        </w:rPr>
        <w:t xml:space="preserve"> </w:t>
      </w:r>
      <w:r w:rsidRPr="00781B0A">
        <w:rPr>
          <w:i/>
          <w:sz w:val="24"/>
          <w:szCs w:val="24"/>
          <w:lang w:val="it-IT"/>
        </w:rPr>
        <w:t>divinae</w:t>
      </w:r>
      <w:r w:rsidR="005F13D2" w:rsidRPr="00781B0A">
        <w:rPr>
          <w:i/>
          <w:sz w:val="24"/>
          <w:szCs w:val="24"/>
          <w:lang w:val="it-IT"/>
        </w:rPr>
        <w:t xml:space="preserve"> </w:t>
      </w:r>
      <w:r w:rsidRPr="00781B0A">
        <w:rPr>
          <w:i/>
          <w:sz w:val="24"/>
          <w:szCs w:val="24"/>
          <w:lang w:val="it-IT"/>
        </w:rPr>
        <w:t>legis, sive</w:t>
      </w:r>
      <w:r w:rsidR="005F13D2" w:rsidRPr="00781B0A">
        <w:rPr>
          <w:i/>
          <w:sz w:val="24"/>
          <w:szCs w:val="24"/>
          <w:lang w:val="it-IT"/>
        </w:rPr>
        <w:t xml:space="preserve"> </w:t>
      </w:r>
      <w:r w:rsidRPr="00781B0A">
        <w:rPr>
          <w:i/>
          <w:sz w:val="24"/>
          <w:szCs w:val="24"/>
          <w:lang w:val="it-IT"/>
        </w:rPr>
        <w:t>Expositione</w:t>
      </w:r>
      <w:r w:rsidR="005F13D2" w:rsidRPr="00781B0A">
        <w:rPr>
          <w:i/>
          <w:sz w:val="24"/>
          <w:szCs w:val="24"/>
          <w:lang w:val="it-IT"/>
        </w:rPr>
        <w:t xml:space="preserve"> </w:t>
      </w:r>
      <w:r w:rsidRPr="00781B0A">
        <w:rPr>
          <w:i/>
          <w:sz w:val="24"/>
          <w:szCs w:val="24"/>
          <w:lang w:val="it-IT"/>
        </w:rPr>
        <w:t>decalogi</w:t>
      </w:r>
      <w:r w:rsidRPr="00781B0A">
        <w:rPr>
          <w:sz w:val="24"/>
          <w:szCs w:val="24"/>
          <w:lang w:val="it-IT"/>
        </w:rPr>
        <w:t xml:space="preserve"> (Paris</w:t>
      </w:r>
      <w:r w:rsidR="008F090F">
        <w:rPr>
          <w:sz w:val="24"/>
          <w:szCs w:val="24"/>
          <w:lang w:val="it-IT"/>
        </w:rPr>
        <w:t>,</w:t>
      </w:r>
      <w:r w:rsidRPr="00781B0A">
        <w:rPr>
          <w:sz w:val="24"/>
          <w:szCs w:val="24"/>
          <w:lang w:val="it-IT"/>
        </w:rPr>
        <w:t xml:space="preserve"> 1474), 1.11. </w:t>
      </w:r>
      <w:r w:rsidRPr="00200466">
        <w:rPr>
          <w:sz w:val="24"/>
          <w:szCs w:val="24"/>
          <w:lang w:val="it-IT"/>
        </w:rPr>
        <w:t>A.: “quis aut occulta, aut futura i[n]vestigare nitit[ur] p[er] pacta aut occulta, aut manifesta inita cu[m] demonibus.”</w:t>
      </w:r>
    </w:p>
  </w:footnote>
  <w:footnote w:id="50">
    <w:p w14:paraId="7E771631" w14:textId="77777777" w:rsidR="00E4019F" w:rsidRPr="00781B0A" w:rsidRDefault="00E4019F">
      <w:pPr>
        <w:pStyle w:val="FootnoteText"/>
        <w:rPr>
          <w:sz w:val="24"/>
          <w:szCs w:val="24"/>
          <w:lang w:val="it-IT"/>
        </w:rPr>
      </w:pPr>
      <w:r w:rsidRPr="00200466">
        <w:rPr>
          <w:rStyle w:val="FootnoteReference"/>
          <w:sz w:val="24"/>
          <w:szCs w:val="24"/>
        </w:rPr>
        <w:footnoteRef/>
      </w:r>
      <w:r w:rsidRPr="00781B0A">
        <w:rPr>
          <w:sz w:val="24"/>
          <w:szCs w:val="24"/>
          <w:lang w:val="it-IT"/>
        </w:rPr>
        <w:t xml:space="preserve"> Nider, </w:t>
      </w:r>
      <w:r w:rsidRPr="00781B0A">
        <w:rPr>
          <w:i/>
          <w:sz w:val="24"/>
          <w:szCs w:val="24"/>
          <w:lang w:val="it-IT"/>
        </w:rPr>
        <w:t>Praeceptorium</w:t>
      </w:r>
      <w:r w:rsidRPr="00781B0A">
        <w:rPr>
          <w:sz w:val="24"/>
          <w:szCs w:val="24"/>
          <w:lang w:val="it-IT"/>
        </w:rPr>
        <w:t>, 1.11.7</w:t>
      </w:r>
      <w:r w:rsidR="00EC3B09">
        <w:rPr>
          <w:sz w:val="24"/>
          <w:szCs w:val="24"/>
          <w:lang w:val="it-IT"/>
        </w:rPr>
        <w:t>:</w:t>
      </w:r>
      <w:r w:rsidRPr="00781B0A">
        <w:rPr>
          <w:sz w:val="24"/>
          <w:szCs w:val="24"/>
          <w:lang w:val="it-IT"/>
        </w:rPr>
        <w:t xml:space="preserve"> “An veru[m] sit quod malefici</w:t>
      </w:r>
      <w:r w:rsidR="005F13D2" w:rsidRPr="00781B0A">
        <w:rPr>
          <w:sz w:val="24"/>
          <w:szCs w:val="24"/>
          <w:lang w:val="it-IT"/>
        </w:rPr>
        <w:t xml:space="preserve"> </w:t>
      </w:r>
      <w:r w:rsidRPr="00781B0A">
        <w:rPr>
          <w:sz w:val="24"/>
          <w:szCs w:val="24"/>
          <w:lang w:val="it-IT"/>
        </w:rPr>
        <w:t>possint</w:t>
      </w:r>
      <w:r w:rsidR="005F13D2" w:rsidRPr="00781B0A">
        <w:rPr>
          <w:sz w:val="24"/>
          <w:szCs w:val="24"/>
          <w:lang w:val="it-IT"/>
        </w:rPr>
        <w:t xml:space="preserve"> </w:t>
      </w:r>
      <w:r w:rsidRPr="00781B0A">
        <w:rPr>
          <w:sz w:val="24"/>
          <w:szCs w:val="24"/>
          <w:lang w:val="it-IT"/>
        </w:rPr>
        <w:t>facere</w:t>
      </w:r>
      <w:r w:rsidR="005F13D2" w:rsidRPr="00781B0A">
        <w:rPr>
          <w:sz w:val="24"/>
          <w:szCs w:val="24"/>
          <w:lang w:val="it-IT"/>
        </w:rPr>
        <w:t xml:space="preserve"> vera a[n]i[m]alia arte suas.”;</w:t>
      </w:r>
      <w:r w:rsidRPr="00781B0A">
        <w:rPr>
          <w:sz w:val="24"/>
          <w:szCs w:val="24"/>
          <w:lang w:val="it-IT"/>
        </w:rPr>
        <w:t xml:space="preserve"> 1.11.8</w:t>
      </w:r>
      <w:r w:rsidR="00EC3B09">
        <w:rPr>
          <w:sz w:val="24"/>
          <w:szCs w:val="24"/>
          <w:lang w:val="it-IT"/>
        </w:rPr>
        <w:t>:</w:t>
      </w:r>
      <w:r w:rsidRPr="00781B0A">
        <w:rPr>
          <w:sz w:val="24"/>
          <w:szCs w:val="24"/>
          <w:lang w:val="it-IT"/>
        </w:rPr>
        <w:t xml:space="preserve"> “An op[er]e demonu[m] tra[n]sformat[i]o[n]es p[ossu]nt</w:t>
      </w:r>
      <w:r w:rsidR="005F13D2" w:rsidRPr="00781B0A">
        <w:rPr>
          <w:sz w:val="24"/>
          <w:szCs w:val="24"/>
          <w:lang w:val="it-IT"/>
        </w:rPr>
        <w:t xml:space="preserve"> </w:t>
      </w:r>
      <w:r w:rsidRPr="00781B0A">
        <w:rPr>
          <w:sz w:val="24"/>
          <w:szCs w:val="24"/>
          <w:lang w:val="it-IT"/>
        </w:rPr>
        <w:t>fieri</w:t>
      </w:r>
      <w:r w:rsidR="005F13D2" w:rsidRPr="00781B0A">
        <w:rPr>
          <w:sz w:val="24"/>
          <w:szCs w:val="24"/>
          <w:lang w:val="it-IT"/>
        </w:rPr>
        <w:t xml:space="preserve"> </w:t>
      </w:r>
      <w:r w:rsidRPr="00781B0A">
        <w:rPr>
          <w:sz w:val="24"/>
          <w:szCs w:val="24"/>
          <w:lang w:val="it-IT"/>
        </w:rPr>
        <w:t>ho[m]ine[m] in bestias.”</w:t>
      </w:r>
    </w:p>
  </w:footnote>
  <w:footnote w:id="51">
    <w:p w14:paraId="399B4DFD" w14:textId="77777777" w:rsidR="00E4019F" w:rsidRPr="00200466" w:rsidRDefault="00E4019F">
      <w:pPr>
        <w:pStyle w:val="FootnoteText"/>
        <w:rPr>
          <w:sz w:val="24"/>
          <w:szCs w:val="24"/>
        </w:rPr>
      </w:pPr>
      <w:r w:rsidRPr="00200466">
        <w:rPr>
          <w:rStyle w:val="FootnoteReference"/>
          <w:sz w:val="24"/>
          <w:szCs w:val="24"/>
        </w:rPr>
        <w:footnoteRef/>
      </w:r>
      <w:r w:rsidRPr="00200466">
        <w:rPr>
          <w:sz w:val="24"/>
          <w:szCs w:val="24"/>
        </w:rPr>
        <w:t xml:space="preserve"> Nider, </w:t>
      </w:r>
      <w:r w:rsidRPr="00200466">
        <w:rPr>
          <w:i/>
          <w:sz w:val="24"/>
          <w:szCs w:val="24"/>
        </w:rPr>
        <w:t>Praeceptorium</w:t>
      </w:r>
      <w:r w:rsidRPr="00200466">
        <w:rPr>
          <w:sz w:val="24"/>
          <w:szCs w:val="24"/>
        </w:rPr>
        <w:t xml:space="preserve">, 1.11.8. Since Nider’s text differs slightly from the version of Aquinas cited </w:t>
      </w:r>
      <w:r w:rsidR="00EC3B09">
        <w:rPr>
          <w:sz w:val="24"/>
          <w:szCs w:val="24"/>
        </w:rPr>
        <w:t xml:space="preserve">in n. </w:t>
      </w:r>
      <w:r w:rsidR="00BE546E">
        <w:rPr>
          <w:sz w:val="24"/>
          <w:szCs w:val="24"/>
        </w:rPr>
        <w:t>28</w:t>
      </w:r>
      <w:r w:rsidRPr="00200466">
        <w:rPr>
          <w:sz w:val="24"/>
          <w:szCs w:val="24"/>
        </w:rPr>
        <w:t>above, I have included the passage here: “Dicit t[ame]n Tho[mas] p[ar]te p[ri]ma q. cxiiii. Ar. Iiii.  Q[uo]d om[n]es</w:t>
      </w:r>
      <w:r w:rsidR="00C71D57">
        <w:rPr>
          <w:sz w:val="24"/>
          <w:szCs w:val="24"/>
        </w:rPr>
        <w:t xml:space="preserve"> </w:t>
      </w:r>
      <w:r w:rsidRPr="00200466">
        <w:rPr>
          <w:sz w:val="24"/>
          <w:szCs w:val="24"/>
        </w:rPr>
        <w:t>tra[n]smutationes</w:t>
      </w:r>
      <w:r w:rsidR="005F13D2">
        <w:rPr>
          <w:sz w:val="24"/>
          <w:szCs w:val="24"/>
        </w:rPr>
        <w:t xml:space="preserve"> </w:t>
      </w:r>
      <w:r w:rsidRPr="00200466">
        <w:rPr>
          <w:sz w:val="24"/>
          <w:szCs w:val="24"/>
        </w:rPr>
        <w:t>corp[or]arliu[m] rer[um], q[uae] possunt</w:t>
      </w:r>
      <w:r w:rsidR="00C71D57">
        <w:rPr>
          <w:sz w:val="24"/>
          <w:szCs w:val="24"/>
        </w:rPr>
        <w:t xml:space="preserve"> </w:t>
      </w:r>
      <w:r w:rsidRPr="00200466">
        <w:rPr>
          <w:sz w:val="24"/>
          <w:szCs w:val="24"/>
        </w:rPr>
        <w:t>fieri p[er] aliquas v[ir]tutes naturales, ad quas p[er]tinent</w:t>
      </w:r>
      <w:r w:rsidR="00C71D57">
        <w:rPr>
          <w:sz w:val="24"/>
          <w:szCs w:val="24"/>
        </w:rPr>
        <w:t xml:space="preserve"> </w:t>
      </w:r>
      <w:r w:rsidRPr="00200466">
        <w:rPr>
          <w:sz w:val="24"/>
          <w:szCs w:val="24"/>
        </w:rPr>
        <w:t>semina q[ui] in eleme[n]tis huius mu[n]di inveniu[n]t[ur], po[ssu]nt</w:t>
      </w:r>
      <w:r w:rsidR="00C71D57">
        <w:rPr>
          <w:sz w:val="24"/>
          <w:szCs w:val="24"/>
        </w:rPr>
        <w:t xml:space="preserve"> </w:t>
      </w:r>
      <w:r w:rsidRPr="00200466">
        <w:rPr>
          <w:sz w:val="24"/>
          <w:szCs w:val="24"/>
        </w:rPr>
        <w:t>fieri p[er] op[er]ationes</w:t>
      </w:r>
      <w:r w:rsidR="00C71D57">
        <w:rPr>
          <w:sz w:val="24"/>
          <w:szCs w:val="24"/>
        </w:rPr>
        <w:t xml:space="preserve"> </w:t>
      </w:r>
      <w:r w:rsidRPr="00200466">
        <w:rPr>
          <w:sz w:val="24"/>
          <w:szCs w:val="24"/>
        </w:rPr>
        <w:t>demonu[m], h[uius]</w:t>
      </w:r>
      <w:r w:rsidR="00C71D57">
        <w:rPr>
          <w:sz w:val="24"/>
          <w:szCs w:val="24"/>
        </w:rPr>
        <w:t xml:space="preserve"> </w:t>
      </w:r>
      <w:r w:rsidRPr="00200466">
        <w:rPr>
          <w:sz w:val="24"/>
          <w:szCs w:val="24"/>
        </w:rPr>
        <w:t>mo[d]i semi[n]ibus</w:t>
      </w:r>
      <w:r w:rsidR="00C71D57">
        <w:rPr>
          <w:sz w:val="24"/>
          <w:szCs w:val="24"/>
        </w:rPr>
        <w:t xml:space="preserve"> </w:t>
      </w:r>
      <w:r w:rsidRPr="00200466">
        <w:rPr>
          <w:sz w:val="24"/>
          <w:szCs w:val="24"/>
        </w:rPr>
        <w:t>adhibitis.”</w:t>
      </w:r>
    </w:p>
  </w:footnote>
  <w:footnote w:id="52">
    <w:p w14:paraId="160BA3E0" w14:textId="77777777" w:rsidR="00E4019F" w:rsidRPr="00200466" w:rsidRDefault="00E4019F" w:rsidP="00854576">
      <w:pPr>
        <w:spacing w:line="240" w:lineRule="auto"/>
        <w:rPr>
          <w:rFonts w:ascii="Times New Roman" w:hAnsi="Times New Roman"/>
          <w:sz w:val="24"/>
          <w:szCs w:val="24"/>
        </w:rPr>
      </w:pPr>
      <w:r w:rsidRPr="00200466">
        <w:rPr>
          <w:rStyle w:val="FootnoteReference"/>
          <w:rFonts w:ascii="Times New Roman" w:hAnsi="Times New Roman"/>
          <w:sz w:val="24"/>
          <w:szCs w:val="24"/>
        </w:rPr>
        <w:footnoteRef/>
      </w:r>
      <w:r w:rsidRPr="00200466">
        <w:rPr>
          <w:rFonts w:ascii="Times New Roman" w:hAnsi="Times New Roman"/>
          <w:sz w:val="24"/>
          <w:szCs w:val="24"/>
        </w:rPr>
        <w:t xml:space="preserve"> Nider, </w:t>
      </w:r>
      <w:r w:rsidRPr="00200466">
        <w:rPr>
          <w:rFonts w:ascii="Times New Roman" w:hAnsi="Times New Roman"/>
          <w:i/>
          <w:sz w:val="24"/>
          <w:szCs w:val="24"/>
        </w:rPr>
        <w:t>Praeceptorium</w:t>
      </w:r>
      <w:r w:rsidRPr="00200466">
        <w:rPr>
          <w:rFonts w:ascii="Times New Roman" w:hAnsi="Times New Roman"/>
          <w:sz w:val="24"/>
          <w:szCs w:val="24"/>
        </w:rPr>
        <w:t>, 1.11.7 and 8.</w:t>
      </w:r>
    </w:p>
  </w:footnote>
  <w:footnote w:id="53">
    <w:p w14:paraId="579A8E5B"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Christopher S. Mackay, </w:t>
      </w:r>
      <w:r w:rsidRPr="00200466">
        <w:rPr>
          <w:i/>
          <w:sz w:val="24"/>
          <w:szCs w:val="24"/>
        </w:rPr>
        <w:t>The Hammer of Witches: A Complete Translation of the Malleus Maleficarum</w:t>
      </w:r>
      <w:r w:rsidR="002040BA">
        <w:rPr>
          <w:i/>
          <w:sz w:val="24"/>
          <w:szCs w:val="24"/>
        </w:rPr>
        <w:t xml:space="preserve"> </w:t>
      </w:r>
      <w:r w:rsidRPr="00200466">
        <w:rPr>
          <w:sz w:val="24"/>
          <w:szCs w:val="24"/>
        </w:rPr>
        <w:t xml:space="preserve">(Cambridge: Cambridge University Press, 2006), 1, q. 5, on 145-46; c.f.: Aquinas, </w:t>
      </w:r>
      <w:r w:rsidRPr="00200466">
        <w:rPr>
          <w:i/>
          <w:sz w:val="24"/>
          <w:szCs w:val="24"/>
        </w:rPr>
        <w:t xml:space="preserve">Summa theologica </w:t>
      </w:r>
      <w:r w:rsidRPr="00200466">
        <w:rPr>
          <w:sz w:val="24"/>
          <w:szCs w:val="24"/>
        </w:rPr>
        <w:t>II</w:t>
      </w:r>
      <w:r w:rsidRPr="00200466">
        <w:rPr>
          <w:sz w:val="24"/>
          <w:szCs w:val="24"/>
          <w:vertAlign w:val="superscript"/>
        </w:rPr>
        <w:t>a</w:t>
      </w:r>
      <w:r w:rsidRPr="00200466">
        <w:rPr>
          <w:sz w:val="24"/>
          <w:szCs w:val="24"/>
        </w:rPr>
        <w:t>-II</w:t>
      </w:r>
      <w:r w:rsidRPr="00200466">
        <w:rPr>
          <w:sz w:val="24"/>
          <w:szCs w:val="24"/>
          <w:vertAlign w:val="superscript"/>
        </w:rPr>
        <w:t>ae</w:t>
      </w:r>
      <w:r w:rsidR="004364C6">
        <w:rPr>
          <w:sz w:val="24"/>
          <w:szCs w:val="24"/>
          <w:vertAlign w:val="superscript"/>
        </w:rPr>
        <w:t xml:space="preserve"> </w:t>
      </w:r>
      <w:r w:rsidR="00101D90">
        <w:rPr>
          <w:sz w:val="24"/>
          <w:szCs w:val="24"/>
        </w:rPr>
        <w:t xml:space="preserve">q. 95 a. 5. </w:t>
      </w:r>
      <w:r w:rsidRPr="00200466">
        <w:rPr>
          <w:sz w:val="24"/>
          <w:szCs w:val="24"/>
        </w:rPr>
        <w:t xml:space="preserve">On talismans see </w:t>
      </w:r>
      <w:r w:rsidRPr="00200466">
        <w:rPr>
          <w:i/>
          <w:sz w:val="24"/>
          <w:szCs w:val="24"/>
        </w:rPr>
        <w:t>Hammer</w:t>
      </w:r>
      <w:r w:rsidRPr="00200466">
        <w:rPr>
          <w:sz w:val="24"/>
          <w:szCs w:val="24"/>
        </w:rPr>
        <w:t xml:space="preserve"> 1 q. 2 ag</w:t>
      </w:r>
      <w:r w:rsidR="00A10FB8">
        <w:rPr>
          <w:sz w:val="24"/>
          <w:szCs w:val="24"/>
        </w:rPr>
        <w:t>.</w:t>
      </w:r>
      <w:r w:rsidRPr="00200466">
        <w:rPr>
          <w:sz w:val="24"/>
          <w:szCs w:val="24"/>
        </w:rPr>
        <w:t xml:space="preserve"> 8 and </w:t>
      </w:r>
      <w:r w:rsidR="00A10FB8">
        <w:rPr>
          <w:sz w:val="24"/>
          <w:szCs w:val="24"/>
        </w:rPr>
        <w:t>ra</w:t>
      </w:r>
      <w:r w:rsidRPr="00200466">
        <w:rPr>
          <w:sz w:val="24"/>
          <w:szCs w:val="24"/>
        </w:rPr>
        <w:t>.</w:t>
      </w:r>
      <w:r w:rsidR="00A10FB8">
        <w:rPr>
          <w:sz w:val="24"/>
          <w:szCs w:val="24"/>
        </w:rPr>
        <w:t xml:space="preserve"> 8</w:t>
      </w:r>
      <w:r w:rsidRPr="00200466">
        <w:rPr>
          <w:sz w:val="24"/>
          <w:szCs w:val="24"/>
        </w:rPr>
        <w:t>, on 108 and 118.</w:t>
      </w:r>
    </w:p>
  </w:footnote>
  <w:footnote w:id="54">
    <w:p w14:paraId="5F542BEC"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Mackay, </w:t>
      </w:r>
      <w:r w:rsidRPr="00200466">
        <w:rPr>
          <w:i/>
          <w:sz w:val="24"/>
          <w:szCs w:val="24"/>
        </w:rPr>
        <w:t>Hammer of Witches</w:t>
      </w:r>
      <w:r w:rsidRPr="00200466">
        <w:rPr>
          <w:sz w:val="24"/>
          <w:szCs w:val="24"/>
        </w:rPr>
        <w:t>, part 1, q 1, 91-105, quote 96.</w:t>
      </w:r>
    </w:p>
  </w:footnote>
  <w:footnote w:id="55">
    <w:p w14:paraId="3B25E808"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Mackay, </w:t>
      </w:r>
      <w:r w:rsidRPr="00200466">
        <w:rPr>
          <w:i/>
          <w:sz w:val="24"/>
          <w:szCs w:val="24"/>
        </w:rPr>
        <w:t>Hammer of Witches</w:t>
      </w:r>
      <w:r w:rsidRPr="00200466">
        <w:rPr>
          <w:sz w:val="24"/>
          <w:szCs w:val="24"/>
        </w:rPr>
        <w:t>, 1, q. 1, 92-105. For a contrasting interpretation of this passage see Newman, “Art, Alchemy, and Demons</w:t>
      </w:r>
      <w:r w:rsidR="002D2609" w:rsidRPr="00200466">
        <w:rPr>
          <w:sz w:val="24"/>
          <w:szCs w:val="24"/>
        </w:rPr>
        <w:t xml:space="preserve">,” </w:t>
      </w:r>
      <w:r w:rsidRPr="00200466">
        <w:rPr>
          <w:sz w:val="24"/>
          <w:szCs w:val="24"/>
        </w:rPr>
        <w:t>especially 110-17 and 127.</w:t>
      </w:r>
    </w:p>
  </w:footnote>
  <w:footnote w:id="56">
    <w:p w14:paraId="384358F1"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On the formation of the Roman Inquisition see Christopher Black, </w:t>
      </w:r>
      <w:r w:rsidRPr="00200466">
        <w:rPr>
          <w:i/>
          <w:sz w:val="24"/>
          <w:szCs w:val="24"/>
        </w:rPr>
        <w:t>The Italian Inquisition</w:t>
      </w:r>
      <w:r w:rsidRPr="00200466">
        <w:rPr>
          <w:sz w:val="24"/>
          <w:szCs w:val="24"/>
        </w:rPr>
        <w:t xml:space="preserve"> (New Haven and London: Yale University Press, 2009) chapters 1-2; Peters, </w:t>
      </w:r>
      <w:r w:rsidRPr="00200466">
        <w:rPr>
          <w:i/>
          <w:sz w:val="24"/>
          <w:szCs w:val="24"/>
        </w:rPr>
        <w:t>Inquisition</w:t>
      </w:r>
      <w:r w:rsidRPr="00200466">
        <w:rPr>
          <w:sz w:val="24"/>
          <w:szCs w:val="24"/>
        </w:rPr>
        <w:t xml:space="preserve">, chapter 4; </w:t>
      </w:r>
      <w:r w:rsidR="00732CA1">
        <w:rPr>
          <w:sz w:val="24"/>
          <w:szCs w:val="24"/>
        </w:rPr>
        <w:t>D</w:t>
      </w:r>
      <w:r w:rsidRPr="00200466">
        <w:rPr>
          <w:sz w:val="24"/>
          <w:szCs w:val="24"/>
        </w:rPr>
        <w:t xml:space="preserve">el Col, </w:t>
      </w:r>
      <w:r w:rsidRPr="00200466">
        <w:rPr>
          <w:i/>
          <w:sz w:val="24"/>
          <w:szCs w:val="24"/>
        </w:rPr>
        <w:t>Inquisizione</w:t>
      </w:r>
      <w:r w:rsidRPr="00200466">
        <w:rPr>
          <w:sz w:val="24"/>
          <w:szCs w:val="24"/>
        </w:rPr>
        <w:t>,</w:t>
      </w:r>
      <w:r w:rsidR="002040BA">
        <w:rPr>
          <w:sz w:val="24"/>
          <w:szCs w:val="24"/>
        </w:rPr>
        <w:t xml:space="preserve"> </w:t>
      </w:r>
      <w:r w:rsidRPr="00200466">
        <w:rPr>
          <w:sz w:val="24"/>
          <w:szCs w:val="24"/>
        </w:rPr>
        <w:t>part 2.</w:t>
      </w:r>
    </w:p>
  </w:footnote>
  <w:footnote w:id="57">
    <w:p w14:paraId="0AB7EDD2"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On the inquisition of magic in late fifteenth-century Italy, see Michael M. Tavuzzi, </w:t>
      </w:r>
      <w:r w:rsidRPr="00200466">
        <w:rPr>
          <w:i/>
          <w:sz w:val="24"/>
          <w:szCs w:val="24"/>
        </w:rPr>
        <w:t>Renaissance Inquisitors: Dominican Inquisitors</w:t>
      </w:r>
      <w:r w:rsidR="003F0344">
        <w:rPr>
          <w:i/>
          <w:sz w:val="24"/>
          <w:szCs w:val="24"/>
        </w:rPr>
        <w:t xml:space="preserve"> </w:t>
      </w:r>
      <w:r w:rsidRPr="00200466">
        <w:rPr>
          <w:i/>
          <w:sz w:val="24"/>
          <w:szCs w:val="24"/>
        </w:rPr>
        <w:t xml:space="preserve">and Inquisitorial Districts in Northern Italy, 1474-1527 </w:t>
      </w:r>
      <w:r w:rsidRPr="00200466">
        <w:rPr>
          <w:sz w:val="24"/>
          <w:szCs w:val="24"/>
        </w:rPr>
        <w:t xml:space="preserve">(Leiden and Boston: Brill, 2007), chapter 5; on the period after 1542, see Ruth Martin, </w:t>
      </w:r>
      <w:r w:rsidRPr="00200466">
        <w:rPr>
          <w:i/>
          <w:sz w:val="24"/>
          <w:szCs w:val="24"/>
        </w:rPr>
        <w:t>Witchcraft and the Inquisition in Venice, 1550-1650</w:t>
      </w:r>
      <w:r w:rsidRPr="00200466">
        <w:rPr>
          <w:sz w:val="24"/>
          <w:szCs w:val="24"/>
        </w:rPr>
        <w:t xml:space="preserve"> (Oxford: Basil Blackwell, 1989); Jonathan Seitz, </w:t>
      </w:r>
      <w:r w:rsidRPr="00200466">
        <w:rPr>
          <w:i/>
          <w:sz w:val="24"/>
          <w:szCs w:val="24"/>
        </w:rPr>
        <w:t>Witchcraft and Inquisition in Early Modern Venice</w:t>
      </w:r>
      <w:r w:rsidRPr="00200466">
        <w:rPr>
          <w:sz w:val="24"/>
          <w:szCs w:val="24"/>
        </w:rPr>
        <w:t xml:space="preserve"> (Cambridge: Cambridge University Press, 2011).</w:t>
      </w:r>
    </w:p>
  </w:footnote>
  <w:footnote w:id="58">
    <w:p w14:paraId="4D2B43B7"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For the Indices of 1559 and 1564 see </w:t>
      </w:r>
      <w:r w:rsidRPr="00200466">
        <w:rPr>
          <w:rFonts w:eastAsia="Times New Roman,Garamond"/>
          <w:i/>
          <w:iCs/>
          <w:sz w:val="24"/>
          <w:szCs w:val="24"/>
        </w:rPr>
        <w:t>Index des livres interdits</w:t>
      </w:r>
      <w:r w:rsidRPr="00200466">
        <w:rPr>
          <w:rFonts w:eastAsia="Times New Roman,Garamond"/>
          <w:sz w:val="24"/>
          <w:szCs w:val="24"/>
        </w:rPr>
        <w:t>, ed. Jesús</w:t>
      </w:r>
      <w:r w:rsidR="005F13D2">
        <w:rPr>
          <w:rFonts w:eastAsia="Times New Roman,Garamond"/>
          <w:sz w:val="24"/>
          <w:szCs w:val="24"/>
        </w:rPr>
        <w:t xml:space="preserve"> </w:t>
      </w:r>
      <w:r w:rsidRPr="00200466">
        <w:rPr>
          <w:rFonts w:eastAsia="Times New Roman,Garamond"/>
          <w:sz w:val="24"/>
          <w:szCs w:val="24"/>
        </w:rPr>
        <w:t>Martínez de Bujanda (Sherbrooke: Centre d'études de la Renaissance, Université de Sherbrooke, 1990), vol. 8.</w:t>
      </w:r>
    </w:p>
  </w:footnote>
  <w:footnote w:id="59">
    <w:p w14:paraId="0FD1A6B0" w14:textId="77777777" w:rsidR="00E4019F" w:rsidRPr="00781B0A" w:rsidRDefault="00E4019F">
      <w:pPr>
        <w:pStyle w:val="FootnoteText"/>
        <w:rPr>
          <w:sz w:val="24"/>
          <w:szCs w:val="24"/>
          <w:lang w:val="it-IT"/>
        </w:rPr>
      </w:pPr>
      <w:r w:rsidRPr="00200466">
        <w:rPr>
          <w:rStyle w:val="FootnoteReference"/>
          <w:sz w:val="24"/>
          <w:szCs w:val="24"/>
        </w:rPr>
        <w:footnoteRef/>
      </w:r>
      <w:r w:rsidRPr="00BE546E">
        <w:rPr>
          <w:sz w:val="24"/>
          <w:szCs w:val="24"/>
        </w:rPr>
        <w:t xml:space="preserve">On the Tolentino case see Baldini and Spruit, </w:t>
      </w:r>
      <w:r w:rsidRPr="00BE546E">
        <w:rPr>
          <w:i/>
          <w:sz w:val="24"/>
          <w:szCs w:val="24"/>
        </w:rPr>
        <w:t>Catholic Church and Modern Science</w:t>
      </w:r>
      <w:r w:rsidRPr="00BE546E">
        <w:rPr>
          <w:sz w:val="24"/>
          <w:szCs w:val="24"/>
        </w:rPr>
        <w:t>, vol. 1, tome 1 “Alchemy,” docs</w:t>
      </w:r>
      <w:r w:rsidR="00BE546E">
        <w:rPr>
          <w:sz w:val="24"/>
          <w:szCs w:val="24"/>
        </w:rPr>
        <w:t>.</w:t>
      </w:r>
      <w:r w:rsidRPr="00BE546E">
        <w:rPr>
          <w:sz w:val="24"/>
          <w:szCs w:val="24"/>
        </w:rPr>
        <w:t xml:space="preserve"> </w:t>
      </w:r>
      <w:r w:rsidRPr="003F0344">
        <w:rPr>
          <w:sz w:val="24"/>
          <w:szCs w:val="24"/>
          <w:lang w:val="it-IT"/>
        </w:rPr>
        <w:t>1-4, especially doc. 2</w:t>
      </w:r>
      <w:r w:rsidR="003F0344">
        <w:rPr>
          <w:sz w:val="24"/>
          <w:szCs w:val="24"/>
          <w:lang w:val="it-IT"/>
        </w:rPr>
        <w:t>,</w:t>
      </w:r>
      <w:r w:rsidRPr="003F0344">
        <w:rPr>
          <w:sz w:val="24"/>
          <w:szCs w:val="24"/>
          <w:lang w:val="it-IT"/>
        </w:rPr>
        <w:t xml:space="preserve"> “Pedro de Lunel, Bishop of Gaeta, to Scipione Rebiba </w:t>
      </w:r>
      <w:r w:rsidRPr="00200466">
        <w:rPr>
          <w:sz w:val="24"/>
          <w:szCs w:val="24"/>
          <w:lang w:val="it-IT"/>
        </w:rPr>
        <w:t>Cardinal of Pisa, in Rome (Gaeta, 21 June 1574),” 425-26: “in uno pretende, che la materia prima fu prodotta da Dio, e non creata da donde inferisce che eternamente rimane</w:t>
      </w:r>
      <w:r w:rsidR="00BE546E">
        <w:rPr>
          <w:sz w:val="24"/>
          <w:szCs w:val="24"/>
          <w:lang w:val="it-IT"/>
        </w:rPr>
        <w:t xml:space="preserve"> … </w:t>
      </w:r>
      <w:r w:rsidRPr="00200466">
        <w:rPr>
          <w:sz w:val="24"/>
          <w:szCs w:val="24"/>
          <w:lang w:val="it-IT"/>
        </w:rPr>
        <w:t>Demone in forma di huomo negro, ma con corona sul capo.”</w:t>
      </w:r>
      <w:r w:rsidR="003F0344">
        <w:rPr>
          <w:sz w:val="24"/>
          <w:szCs w:val="24"/>
          <w:lang w:val="it-IT"/>
        </w:rPr>
        <w:t xml:space="preserve"> [again, ellipses to avoid two separate quotations?]</w:t>
      </w:r>
    </w:p>
  </w:footnote>
  <w:footnote w:id="60">
    <w:p w14:paraId="78F4744B" w14:textId="77777777" w:rsidR="00E4019F" w:rsidRPr="00200466" w:rsidRDefault="00E4019F" w:rsidP="00854576">
      <w:pPr>
        <w:pStyle w:val="FootnoteText"/>
        <w:rPr>
          <w:sz w:val="24"/>
          <w:szCs w:val="24"/>
        </w:rPr>
      </w:pPr>
      <w:r w:rsidRPr="00200466">
        <w:rPr>
          <w:rStyle w:val="FootnoteReference"/>
          <w:sz w:val="24"/>
          <w:szCs w:val="24"/>
        </w:rPr>
        <w:footnoteRef/>
      </w:r>
      <w:r w:rsidR="00101D90">
        <w:rPr>
          <w:sz w:val="24"/>
          <w:szCs w:val="24"/>
        </w:rPr>
        <w:t xml:space="preserve"> </w:t>
      </w:r>
      <w:r w:rsidRPr="00200466">
        <w:rPr>
          <w:sz w:val="24"/>
          <w:szCs w:val="24"/>
        </w:rPr>
        <w:t>On the Inquisition and the regulation of knowledge claims about the natural world, see Francesco Beretta, “Orthodoxie</w:t>
      </w:r>
      <w:r w:rsidR="00C436C4">
        <w:rPr>
          <w:sz w:val="24"/>
          <w:szCs w:val="24"/>
        </w:rPr>
        <w:t xml:space="preserve"> </w:t>
      </w:r>
      <w:r w:rsidRPr="00200466">
        <w:rPr>
          <w:sz w:val="24"/>
          <w:szCs w:val="24"/>
        </w:rPr>
        <w:t>philosophique et inquisition romaine au 16e–17e siècles. Un</w:t>
      </w:r>
      <w:r w:rsidR="00C436C4">
        <w:rPr>
          <w:sz w:val="24"/>
          <w:szCs w:val="24"/>
        </w:rPr>
        <w:t xml:space="preserve"> </w:t>
      </w:r>
      <w:r w:rsidRPr="00200466">
        <w:rPr>
          <w:sz w:val="24"/>
          <w:szCs w:val="24"/>
        </w:rPr>
        <w:t>essai</w:t>
      </w:r>
      <w:r w:rsidR="00C436C4">
        <w:rPr>
          <w:sz w:val="24"/>
          <w:szCs w:val="24"/>
        </w:rPr>
        <w:t xml:space="preserve"> </w:t>
      </w:r>
      <w:r w:rsidRPr="00200466">
        <w:rPr>
          <w:sz w:val="24"/>
          <w:szCs w:val="24"/>
        </w:rPr>
        <w:t xml:space="preserve">d’interprétation,” </w:t>
      </w:r>
      <w:r w:rsidRPr="00200466">
        <w:rPr>
          <w:i/>
          <w:sz w:val="24"/>
          <w:szCs w:val="24"/>
        </w:rPr>
        <w:t>Historia</w:t>
      </w:r>
      <w:r w:rsidR="00C436C4">
        <w:rPr>
          <w:i/>
          <w:sz w:val="24"/>
          <w:szCs w:val="24"/>
        </w:rPr>
        <w:t xml:space="preserve"> </w:t>
      </w:r>
      <w:r w:rsidRPr="00200466">
        <w:rPr>
          <w:i/>
          <w:sz w:val="24"/>
          <w:szCs w:val="24"/>
        </w:rPr>
        <w:t>philosophica</w:t>
      </w:r>
      <w:r w:rsidRPr="00200466">
        <w:rPr>
          <w:sz w:val="24"/>
          <w:szCs w:val="24"/>
        </w:rPr>
        <w:t xml:space="preserve"> 3 (2005): 67–96.</w:t>
      </w:r>
    </w:p>
  </w:footnote>
  <w:footnote w:id="61">
    <w:p w14:paraId="551E5097" w14:textId="77777777" w:rsidR="00E4019F" w:rsidRPr="00200466" w:rsidRDefault="00E4019F" w:rsidP="00A61EE5">
      <w:pPr>
        <w:pStyle w:val="FootnoteText"/>
        <w:rPr>
          <w:sz w:val="24"/>
          <w:szCs w:val="24"/>
        </w:rPr>
      </w:pPr>
      <w:r w:rsidRPr="00200466">
        <w:rPr>
          <w:rStyle w:val="FootnoteReference"/>
          <w:sz w:val="24"/>
          <w:szCs w:val="24"/>
        </w:rPr>
        <w:footnoteRef/>
      </w:r>
      <w:r w:rsidRPr="00200466">
        <w:rPr>
          <w:sz w:val="24"/>
          <w:szCs w:val="24"/>
        </w:rPr>
        <w:t xml:space="preserve"> Francisco Peña</w:t>
      </w:r>
      <w:r w:rsidRPr="00200466">
        <w:rPr>
          <w:i/>
          <w:sz w:val="24"/>
          <w:szCs w:val="24"/>
        </w:rPr>
        <w:t>, In</w:t>
      </w:r>
      <w:r w:rsidR="00C436C4">
        <w:rPr>
          <w:i/>
          <w:sz w:val="24"/>
          <w:szCs w:val="24"/>
        </w:rPr>
        <w:t xml:space="preserve"> </w:t>
      </w:r>
      <w:r w:rsidRPr="00200466">
        <w:rPr>
          <w:i/>
          <w:sz w:val="24"/>
          <w:szCs w:val="24"/>
        </w:rPr>
        <w:t>tres</w:t>
      </w:r>
      <w:r w:rsidR="00C436C4">
        <w:rPr>
          <w:i/>
          <w:sz w:val="24"/>
          <w:szCs w:val="24"/>
        </w:rPr>
        <w:t xml:space="preserve"> </w:t>
      </w:r>
      <w:r w:rsidRPr="00200466">
        <w:rPr>
          <w:i/>
          <w:sz w:val="24"/>
          <w:szCs w:val="24"/>
        </w:rPr>
        <w:t>partes</w:t>
      </w:r>
      <w:r w:rsidR="00C436C4">
        <w:rPr>
          <w:i/>
          <w:sz w:val="24"/>
          <w:szCs w:val="24"/>
        </w:rPr>
        <w:t xml:space="preserve"> </w:t>
      </w:r>
      <w:r w:rsidRPr="00200466">
        <w:rPr>
          <w:i/>
          <w:sz w:val="24"/>
          <w:szCs w:val="24"/>
        </w:rPr>
        <w:t>Directorii</w:t>
      </w:r>
      <w:r w:rsidR="00C436C4">
        <w:rPr>
          <w:i/>
          <w:sz w:val="24"/>
          <w:szCs w:val="24"/>
        </w:rPr>
        <w:t xml:space="preserve"> </w:t>
      </w:r>
      <w:r w:rsidRPr="00200466">
        <w:rPr>
          <w:i/>
          <w:sz w:val="24"/>
          <w:szCs w:val="24"/>
        </w:rPr>
        <w:t>Inquisitorum Nicolai Eymerici</w:t>
      </w:r>
      <w:r w:rsidR="00C436C4">
        <w:rPr>
          <w:i/>
          <w:sz w:val="24"/>
          <w:szCs w:val="24"/>
        </w:rPr>
        <w:t xml:space="preserve"> </w:t>
      </w:r>
      <w:r w:rsidRPr="00200466">
        <w:rPr>
          <w:i/>
          <w:sz w:val="24"/>
          <w:szCs w:val="24"/>
        </w:rPr>
        <w:t>Scholiorum, seu</w:t>
      </w:r>
      <w:r w:rsidR="00C436C4">
        <w:rPr>
          <w:i/>
          <w:sz w:val="24"/>
          <w:szCs w:val="24"/>
        </w:rPr>
        <w:t xml:space="preserve"> </w:t>
      </w:r>
      <w:r w:rsidRPr="00200466">
        <w:rPr>
          <w:i/>
          <w:sz w:val="24"/>
          <w:szCs w:val="24"/>
        </w:rPr>
        <w:t>Adnotationum</w:t>
      </w:r>
      <w:r w:rsidRPr="00200466">
        <w:rPr>
          <w:sz w:val="24"/>
          <w:szCs w:val="24"/>
        </w:rPr>
        <w:t>. (Rome, 1578), fol. 143: “Nam cum multi vera arte destituti, mirailla opera, de quibus</w:t>
      </w:r>
      <w:r w:rsidR="00C436C4">
        <w:rPr>
          <w:sz w:val="24"/>
          <w:szCs w:val="24"/>
        </w:rPr>
        <w:t xml:space="preserve"> </w:t>
      </w:r>
      <w:r w:rsidRPr="00200466">
        <w:rPr>
          <w:sz w:val="24"/>
          <w:szCs w:val="24"/>
        </w:rPr>
        <w:t>diximus, fabricare non possent, ad demones</w:t>
      </w:r>
      <w:r w:rsidR="00C436C4">
        <w:rPr>
          <w:sz w:val="24"/>
          <w:szCs w:val="24"/>
        </w:rPr>
        <w:t xml:space="preserve"> </w:t>
      </w:r>
      <w:r w:rsidRPr="00200466">
        <w:rPr>
          <w:sz w:val="24"/>
          <w:szCs w:val="24"/>
        </w:rPr>
        <w:t>confugerunt, qui haec</w:t>
      </w:r>
      <w:r w:rsidR="00C436C4">
        <w:rPr>
          <w:sz w:val="24"/>
          <w:szCs w:val="24"/>
        </w:rPr>
        <w:t xml:space="preserve"> </w:t>
      </w:r>
      <w:r w:rsidRPr="00200466">
        <w:rPr>
          <w:sz w:val="24"/>
          <w:szCs w:val="24"/>
        </w:rPr>
        <w:t>illos</w:t>
      </w:r>
      <w:r w:rsidR="00C436C4">
        <w:rPr>
          <w:sz w:val="24"/>
          <w:szCs w:val="24"/>
        </w:rPr>
        <w:t xml:space="preserve"> </w:t>
      </w:r>
      <w:r w:rsidRPr="00200466">
        <w:rPr>
          <w:sz w:val="24"/>
          <w:szCs w:val="24"/>
        </w:rPr>
        <w:t>docerent.”  For a more detailed discussion of Peña’s account of natural magic see Tarrant, “Giambattista</w:t>
      </w:r>
      <w:r w:rsidR="00C436C4">
        <w:rPr>
          <w:sz w:val="24"/>
          <w:szCs w:val="24"/>
        </w:rPr>
        <w:t xml:space="preserve"> D</w:t>
      </w:r>
      <w:r w:rsidR="00101D90">
        <w:rPr>
          <w:sz w:val="24"/>
          <w:szCs w:val="24"/>
        </w:rPr>
        <w:t>ella Porta,”</w:t>
      </w:r>
      <w:r w:rsidRPr="00200466">
        <w:rPr>
          <w:sz w:val="24"/>
          <w:szCs w:val="24"/>
        </w:rPr>
        <w:t xml:space="preserve"> 620-21.</w:t>
      </w:r>
    </w:p>
  </w:footnote>
  <w:footnote w:id="62">
    <w:p w14:paraId="070687B3" w14:textId="77777777" w:rsidR="00E4019F" w:rsidRPr="00200466" w:rsidRDefault="00E4019F" w:rsidP="00854576">
      <w:pPr>
        <w:pStyle w:val="FootnoteText"/>
        <w:rPr>
          <w:sz w:val="24"/>
          <w:szCs w:val="24"/>
        </w:rPr>
      </w:pPr>
      <w:r w:rsidRPr="00200466">
        <w:rPr>
          <w:rStyle w:val="FootnoteReference"/>
          <w:sz w:val="24"/>
          <w:szCs w:val="24"/>
        </w:rPr>
        <w:footnoteRef/>
      </w:r>
      <w:r w:rsidRPr="00200466">
        <w:rPr>
          <w:sz w:val="24"/>
          <w:szCs w:val="24"/>
        </w:rPr>
        <w:t xml:space="preserve"> Peña, </w:t>
      </w:r>
      <w:r w:rsidRPr="00200466">
        <w:rPr>
          <w:i/>
          <w:sz w:val="24"/>
          <w:szCs w:val="24"/>
        </w:rPr>
        <w:t>Scholiorum</w:t>
      </w:r>
      <w:r w:rsidRPr="00200466">
        <w:rPr>
          <w:sz w:val="24"/>
          <w:szCs w:val="24"/>
        </w:rPr>
        <w:t>,</w:t>
      </w:r>
      <w:r w:rsidR="00C436C4">
        <w:rPr>
          <w:sz w:val="24"/>
          <w:szCs w:val="24"/>
        </w:rPr>
        <w:t xml:space="preserve"> </w:t>
      </w:r>
      <w:r w:rsidRPr="00200466">
        <w:rPr>
          <w:sz w:val="24"/>
          <w:szCs w:val="24"/>
        </w:rPr>
        <w:t>fol. 144: “Non est contemnendum hoc Eymerici</w:t>
      </w:r>
      <w:r w:rsidR="00C436C4">
        <w:rPr>
          <w:sz w:val="24"/>
          <w:szCs w:val="24"/>
        </w:rPr>
        <w:t xml:space="preserve"> </w:t>
      </w:r>
      <w:r w:rsidRPr="00200466">
        <w:rPr>
          <w:sz w:val="24"/>
          <w:szCs w:val="24"/>
        </w:rPr>
        <w:t>consilium</w:t>
      </w:r>
      <w:r w:rsidR="00C436C4">
        <w:rPr>
          <w:sz w:val="24"/>
          <w:szCs w:val="24"/>
        </w:rPr>
        <w:t xml:space="preserve"> </w:t>
      </w:r>
      <w:r w:rsidRPr="00200466">
        <w:rPr>
          <w:sz w:val="24"/>
          <w:szCs w:val="24"/>
        </w:rPr>
        <w:t>adversus</w:t>
      </w:r>
      <w:r w:rsidR="00C436C4">
        <w:rPr>
          <w:sz w:val="24"/>
          <w:szCs w:val="24"/>
        </w:rPr>
        <w:t xml:space="preserve"> </w:t>
      </w:r>
      <w:r w:rsidRPr="00200466">
        <w:rPr>
          <w:sz w:val="24"/>
          <w:szCs w:val="24"/>
        </w:rPr>
        <w:t>Alchimistas, quod verum</w:t>
      </w:r>
      <w:r w:rsidR="00C436C4">
        <w:rPr>
          <w:sz w:val="24"/>
          <w:szCs w:val="24"/>
        </w:rPr>
        <w:t xml:space="preserve"> </w:t>
      </w:r>
      <w:r w:rsidRPr="00200466">
        <w:rPr>
          <w:sz w:val="24"/>
          <w:szCs w:val="24"/>
        </w:rPr>
        <w:t>esse</w:t>
      </w:r>
      <w:r w:rsidR="00C436C4">
        <w:rPr>
          <w:sz w:val="24"/>
          <w:szCs w:val="24"/>
        </w:rPr>
        <w:t xml:space="preserve"> </w:t>
      </w:r>
      <w:r w:rsidRPr="00200466">
        <w:rPr>
          <w:sz w:val="24"/>
          <w:szCs w:val="24"/>
        </w:rPr>
        <w:t>multis posset exemplis</w:t>
      </w:r>
      <w:r w:rsidR="00C436C4">
        <w:rPr>
          <w:sz w:val="24"/>
          <w:szCs w:val="24"/>
        </w:rPr>
        <w:t xml:space="preserve"> </w:t>
      </w:r>
      <w:r w:rsidRPr="00200466">
        <w:rPr>
          <w:sz w:val="24"/>
          <w:szCs w:val="24"/>
        </w:rPr>
        <w:t>comprobari. Nam ut</w:t>
      </w:r>
      <w:r w:rsidR="00C436C4">
        <w:rPr>
          <w:sz w:val="24"/>
          <w:szCs w:val="24"/>
        </w:rPr>
        <w:t xml:space="preserve"> </w:t>
      </w:r>
      <w:r w:rsidRPr="00200466">
        <w:rPr>
          <w:sz w:val="24"/>
          <w:szCs w:val="24"/>
        </w:rPr>
        <w:t>ceteros</w:t>
      </w:r>
      <w:r w:rsidR="00C436C4">
        <w:rPr>
          <w:sz w:val="24"/>
          <w:szCs w:val="24"/>
        </w:rPr>
        <w:t xml:space="preserve"> </w:t>
      </w:r>
      <w:r w:rsidRPr="00200466">
        <w:rPr>
          <w:sz w:val="24"/>
          <w:szCs w:val="24"/>
        </w:rPr>
        <w:t>omittam, Arnaldum</w:t>
      </w:r>
      <w:r w:rsidR="00C436C4">
        <w:rPr>
          <w:sz w:val="24"/>
          <w:szCs w:val="24"/>
        </w:rPr>
        <w:t xml:space="preserve"> </w:t>
      </w:r>
      <w:r w:rsidRPr="00200466">
        <w:rPr>
          <w:sz w:val="24"/>
          <w:szCs w:val="24"/>
        </w:rPr>
        <w:t>Villanovam</w:t>
      </w:r>
      <w:r w:rsidR="00C436C4">
        <w:rPr>
          <w:sz w:val="24"/>
          <w:szCs w:val="24"/>
        </w:rPr>
        <w:t xml:space="preserve"> </w:t>
      </w:r>
      <w:r w:rsidRPr="00200466">
        <w:rPr>
          <w:sz w:val="24"/>
          <w:szCs w:val="24"/>
        </w:rPr>
        <w:t>scimus</w:t>
      </w:r>
      <w:r w:rsidR="00C436C4">
        <w:rPr>
          <w:sz w:val="24"/>
          <w:szCs w:val="24"/>
        </w:rPr>
        <w:t xml:space="preserve"> </w:t>
      </w:r>
      <w:r w:rsidRPr="00200466">
        <w:rPr>
          <w:sz w:val="24"/>
          <w:szCs w:val="24"/>
        </w:rPr>
        <w:t>Alchimistam, magnum fuisse</w:t>
      </w:r>
      <w:r w:rsidR="00C436C4">
        <w:rPr>
          <w:sz w:val="24"/>
          <w:szCs w:val="24"/>
        </w:rPr>
        <w:t xml:space="preserve"> </w:t>
      </w:r>
      <w:r w:rsidRPr="00200466">
        <w:rPr>
          <w:sz w:val="24"/>
          <w:szCs w:val="24"/>
        </w:rPr>
        <w:t>haereticum, et daemonum</w:t>
      </w:r>
      <w:r w:rsidR="00C436C4">
        <w:rPr>
          <w:sz w:val="24"/>
          <w:szCs w:val="24"/>
        </w:rPr>
        <w:t xml:space="preserve"> </w:t>
      </w:r>
      <w:r w:rsidRPr="00200466">
        <w:rPr>
          <w:sz w:val="24"/>
          <w:szCs w:val="24"/>
        </w:rPr>
        <w:t>invocatorem”.</w:t>
      </w:r>
    </w:p>
  </w:footnote>
  <w:footnote w:id="63">
    <w:p w14:paraId="2090A583" w14:textId="77777777" w:rsidR="00E4019F" w:rsidRPr="00200466" w:rsidRDefault="00E4019F" w:rsidP="00854576">
      <w:pPr>
        <w:pStyle w:val="FootnoteText"/>
        <w:rPr>
          <w:sz w:val="24"/>
          <w:szCs w:val="24"/>
          <w:lang w:val="it-IT"/>
        </w:rPr>
      </w:pPr>
      <w:r w:rsidRPr="00200466">
        <w:rPr>
          <w:rStyle w:val="FootnoteReference"/>
          <w:sz w:val="24"/>
          <w:szCs w:val="24"/>
        </w:rPr>
        <w:footnoteRef/>
      </w:r>
      <w:r w:rsidR="00C436C4">
        <w:rPr>
          <w:sz w:val="24"/>
          <w:szCs w:val="24"/>
          <w:lang w:val="it-IT"/>
        </w:rPr>
        <w:t xml:space="preserve"> </w:t>
      </w:r>
      <w:r w:rsidRPr="00200466">
        <w:rPr>
          <w:sz w:val="24"/>
          <w:szCs w:val="24"/>
          <w:lang w:val="it-IT"/>
        </w:rPr>
        <w:t xml:space="preserve">Peña, </w:t>
      </w:r>
      <w:r w:rsidRPr="00200466">
        <w:rPr>
          <w:i/>
          <w:sz w:val="24"/>
          <w:szCs w:val="24"/>
          <w:lang w:val="it-IT"/>
        </w:rPr>
        <w:t>Scholiorum</w:t>
      </w:r>
      <w:r w:rsidRPr="00200466">
        <w:rPr>
          <w:sz w:val="24"/>
          <w:szCs w:val="24"/>
          <w:lang w:val="it-IT"/>
        </w:rPr>
        <w:t>,</w:t>
      </w:r>
      <w:r w:rsidR="00481006">
        <w:rPr>
          <w:sz w:val="24"/>
          <w:szCs w:val="24"/>
          <w:lang w:val="it-IT"/>
        </w:rPr>
        <w:t xml:space="preserve"> </w:t>
      </w:r>
      <w:r w:rsidRPr="00200466">
        <w:rPr>
          <w:sz w:val="24"/>
          <w:szCs w:val="24"/>
          <w:lang w:val="it-IT"/>
        </w:rPr>
        <w:t>fol. 144: “verior ettutior sente[n]tia eorum est, qui inutilem et reipublicae perniciosam esse fatentur.”</w:t>
      </w:r>
    </w:p>
  </w:footnote>
  <w:footnote w:id="64">
    <w:p w14:paraId="682A5101" w14:textId="77777777" w:rsidR="00E4019F" w:rsidRPr="00781B0A" w:rsidRDefault="00E4019F">
      <w:pPr>
        <w:pStyle w:val="FootnoteText"/>
        <w:rPr>
          <w:sz w:val="24"/>
          <w:szCs w:val="24"/>
          <w:lang w:val="it-IT"/>
        </w:rPr>
      </w:pPr>
      <w:r w:rsidRPr="00200466">
        <w:rPr>
          <w:rStyle w:val="FootnoteReference"/>
          <w:sz w:val="24"/>
          <w:szCs w:val="24"/>
        </w:rPr>
        <w:footnoteRef/>
      </w:r>
      <w:r w:rsidR="00C436C4">
        <w:rPr>
          <w:sz w:val="24"/>
          <w:szCs w:val="24"/>
          <w:lang w:val="it-IT"/>
        </w:rPr>
        <w:t xml:space="preserve"> </w:t>
      </w:r>
      <w:r w:rsidRPr="00200466">
        <w:rPr>
          <w:sz w:val="24"/>
          <w:szCs w:val="24"/>
          <w:lang w:val="it-IT"/>
        </w:rPr>
        <w:t xml:space="preserve">Peña, </w:t>
      </w:r>
      <w:r w:rsidRPr="00200466">
        <w:rPr>
          <w:i/>
          <w:sz w:val="24"/>
          <w:szCs w:val="24"/>
          <w:lang w:val="it-IT"/>
        </w:rPr>
        <w:t>Scholiorum</w:t>
      </w:r>
      <w:r w:rsidRPr="00200466">
        <w:rPr>
          <w:sz w:val="24"/>
          <w:szCs w:val="24"/>
          <w:lang w:val="it-IT"/>
        </w:rPr>
        <w:t>, fol. 144: “ne quis prorsus improbabilem esse credat hanc Eymerici sententiam</w:t>
      </w:r>
      <w:r w:rsidR="00DD1D1B">
        <w:rPr>
          <w:sz w:val="24"/>
          <w:szCs w:val="24"/>
          <w:lang w:val="it-IT"/>
        </w:rPr>
        <w:t>.</w:t>
      </w:r>
      <w:r w:rsidRPr="00200466">
        <w:rPr>
          <w:sz w:val="24"/>
          <w:szCs w:val="24"/>
          <w:lang w:val="it-IT"/>
        </w:rPr>
        <w:t>”</w:t>
      </w:r>
    </w:p>
  </w:footnote>
  <w:footnote w:id="65">
    <w:p w14:paraId="3A7278F7" w14:textId="77777777" w:rsidR="00E4019F" w:rsidRPr="00781B0A" w:rsidRDefault="00E4019F">
      <w:pPr>
        <w:pStyle w:val="FootnoteText"/>
        <w:rPr>
          <w:sz w:val="24"/>
          <w:szCs w:val="24"/>
          <w:lang w:val="it-IT"/>
        </w:rPr>
      </w:pPr>
      <w:r w:rsidRPr="00200466">
        <w:rPr>
          <w:rStyle w:val="FootnoteReference"/>
          <w:sz w:val="24"/>
          <w:szCs w:val="24"/>
        </w:rPr>
        <w:footnoteRef/>
      </w:r>
      <w:r w:rsidR="00C436C4">
        <w:rPr>
          <w:sz w:val="24"/>
          <w:szCs w:val="24"/>
          <w:lang w:val="it-IT"/>
        </w:rPr>
        <w:t xml:space="preserve"> </w:t>
      </w:r>
      <w:r w:rsidRPr="00200466">
        <w:rPr>
          <w:sz w:val="24"/>
          <w:szCs w:val="24"/>
          <w:lang w:val="it-IT"/>
        </w:rPr>
        <w:t xml:space="preserve">Peña, </w:t>
      </w:r>
      <w:r w:rsidRPr="00200466">
        <w:rPr>
          <w:i/>
          <w:sz w:val="24"/>
          <w:szCs w:val="24"/>
          <w:lang w:val="it-IT"/>
        </w:rPr>
        <w:t>Scholiorum</w:t>
      </w:r>
      <w:r w:rsidRPr="00200466">
        <w:rPr>
          <w:sz w:val="24"/>
          <w:szCs w:val="24"/>
          <w:lang w:val="it-IT"/>
        </w:rPr>
        <w:t>, fol. 144: “gravissimas poenas illis imponit, qui alchimitum aurum, vel argentum, aut monetam ex illis confectam vendunt: nam hae transformations sophisticate sunt, non verae, ut optime scribit ibi Romanus Pontifex.”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52313"/>
    <w:multiLevelType w:val="hybridMultilevel"/>
    <w:tmpl w:val="BE3C9E84"/>
    <w:lvl w:ilvl="0" w:tplc="C12AEAE6">
      <w:start w:val="1"/>
      <w:numFmt w:val="bullet"/>
      <w:lvlText w:val=""/>
      <w:lvlJc w:val="left"/>
      <w:pPr>
        <w:ind w:left="720" w:hanging="360"/>
      </w:pPr>
      <w:rPr>
        <w:rFonts w:ascii="Webdings" w:hAnsi="Webdings"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GB" w:vendorID="64" w:dllVersion="131078" w:nlCheck="1" w:checkStyle="1"/>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576"/>
    <w:rsid w:val="00002A90"/>
    <w:rsid w:val="00012725"/>
    <w:rsid w:val="00023063"/>
    <w:rsid w:val="00023C6A"/>
    <w:rsid w:val="00024870"/>
    <w:rsid w:val="00024AFC"/>
    <w:rsid w:val="0003089D"/>
    <w:rsid w:val="00031728"/>
    <w:rsid w:val="00034B68"/>
    <w:rsid w:val="000352E6"/>
    <w:rsid w:val="0004340F"/>
    <w:rsid w:val="00062096"/>
    <w:rsid w:val="0006758F"/>
    <w:rsid w:val="00071961"/>
    <w:rsid w:val="00075175"/>
    <w:rsid w:val="000773D2"/>
    <w:rsid w:val="000778C7"/>
    <w:rsid w:val="00084153"/>
    <w:rsid w:val="00097A57"/>
    <w:rsid w:val="000A0666"/>
    <w:rsid w:val="000B19A2"/>
    <w:rsid w:val="000E3ED7"/>
    <w:rsid w:val="000E6289"/>
    <w:rsid w:val="000E65D4"/>
    <w:rsid w:val="00101D90"/>
    <w:rsid w:val="00102BC5"/>
    <w:rsid w:val="001051BD"/>
    <w:rsid w:val="001052D5"/>
    <w:rsid w:val="00122EC1"/>
    <w:rsid w:val="001302DF"/>
    <w:rsid w:val="0013232A"/>
    <w:rsid w:val="00153E5C"/>
    <w:rsid w:val="0016723A"/>
    <w:rsid w:val="00174F89"/>
    <w:rsid w:val="00176D4B"/>
    <w:rsid w:val="00181E0C"/>
    <w:rsid w:val="00182CFE"/>
    <w:rsid w:val="00193014"/>
    <w:rsid w:val="0019398A"/>
    <w:rsid w:val="00196483"/>
    <w:rsid w:val="001A4BAA"/>
    <w:rsid w:val="001A4CFE"/>
    <w:rsid w:val="001A5CE0"/>
    <w:rsid w:val="001B44E2"/>
    <w:rsid w:val="001B69FC"/>
    <w:rsid w:val="001D20E8"/>
    <w:rsid w:val="001D2B92"/>
    <w:rsid w:val="001E3324"/>
    <w:rsid w:val="001E40DE"/>
    <w:rsid w:val="001E5D17"/>
    <w:rsid w:val="001E7BDB"/>
    <w:rsid w:val="001F029B"/>
    <w:rsid w:val="001F1A82"/>
    <w:rsid w:val="00200466"/>
    <w:rsid w:val="002040BA"/>
    <w:rsid w:val="002068FE"/>
    <w:rsid w:val="00210045"/>
    <w:rsid w:val="00210FA5"/>
    <w:rsid w:val="00223B16"/>
    <w:rsid w:val="0023137E"/>
    <w:rsid w:val="00240264"/>
    <w:rsid w:val="00240DB5"/>
    <w:rsid w:val="00255815"/>
    <w:rsid w:val="00256C2D"/>
    <w:rsid w:val="002854DB"/>
    <w:rsid w:val="00285790"/>
    <w:rsid w:val="00290F2A"/>
    <w:rsid w:val="00292139"/>
    <w:rsid w:val="002B0A24"/>
    <w:rsid w:val="002B466E"/>
    <w:rsid w:val="002B5C7A"/>
    <w:rsid w:val="002B7E14"/>
    <w:rsid w:val="002D2422"/>
    <w:rsid w:val="002D2609"/>
    <w:rsid w:val="002F066B"/>
    <w:rsid w:val="002F692B"/>
    <w:rsid w:val="00305881"/>
    <w:rsid w:val="00310C95"/>
    <w:rsid w:val="00324E24"/>
    <w:rsid w:val="003273E1"/>
    <w:rsid w:val="003278DF"/>
    <w:rsid w:val="0033011C"/>
    <w:rsid w:val="003316C4"/>
    <w:rsid w:val="00331ECE"/>
    <w:rsid w:val="00344DA5"/>
    <w:rsid w:val="00345581"/>
    <w:rsid w:val="00346165"/>
    <w:rsid w:val="00346662"/>
    <w:rsid w:val="00354D33"/>
    <w:rsid w:val="00355E5B"/>
    <w:rsid w:val="00361C7D"/>
    <w:rsid w:val="00370F5E"/>
    <w:rsid w:val="00380B2A"/>
    <w:rsid w:val="00395691"/>
    <w:rsid w:val="0039736B"/>
    <w:rsid w:val="003A16B0"/>
    <w:rsid w:val="003A42D5"/>
    <w:rsid w:val="003B68FC"/>
    <w:rsid w:val="003C4C52"/>
    <w:rsid w:val="003C7DE6"/>
    <w:rsid w:val="003D2D88"/>
    <w:rsid w:val="003D2E9C"/>
    <w:rsid w:val="003D67D5"/>
    <w:rsid w:val="003E15B1"/>
    <w:rsid w:val="003E27E5"/>
    <w:rsid w:val="003E317C"/>
    <w:rsid w:val="003E5392"/>
    <w:rsid w:val="003F0344"/>
    <w:rsid w:val="003F1723"/>
    <w:rsid w:val="003F188C"/>
    <w:rsid w:val="003F6A20"/>
    <w:rsid w:val="00401E0B"/>
    <w:rsid w:val="00404DEB"/>
    <w:rsid w:val="004161BF"/>
    <w:rsid w:val="004364C6"/>
    <w:rsid w:val="00441872"/>
    <w:rsid w:val="00447A57"/>
    <w:rsid w:val="00453466"/>
    <w:rsid w:val="00453EDC"/>
    <w:rsid w:val="00467B52"/>
    <w:rsid w:val="00481006"/>
    <w:rsid w:val="00486E32"/>
    <w:rsid w:val="004925EC"/>
    <w:rsid w:val="004A15CE"/>
    <w:rsid w:val="004A54C1"/>
    <w:rsid w:val="004A7EAA"/>
    <w:rsid w:val="004B39AF"/>
    <w:rsid w:val="004B6713"/>
    <w:rsid w:val="004C4AC9"/>
    <w:rsid w:val="004E623E"/>
    <w:rsid w:val="004E665F"/>
    <w:rsid w:val="004F3DF6"/>
    <w:rsid w:val="00507701"/>
    <w:rsid w:val="0051266C"/>
    <w:rsid w:val="0053021E"/>
    <w:rsid w:val="00535114"/>
    <w:rsid w:val="00535553"/>
    <w:rsid w:val="00537971"/>
    <w:rsid w:val="005407B1"/>
    <w:rsid w:val="00540B7C"/>
    <w:rsid w:val="005477F9"/>
    <w:rsid w:val="0055213A"/>
    <w:rsid w:val="00556D72"/>
    <w:rsid w:val="00576357"/>
    <w:rsid w:val="00581599"/>
    <w:rsid w:val="005824AA"/>
    <w:rsid w:val="0059215F"/>
    <w:rsid w:val="005A16EF"/>
    <w:rsid w:val="005A1827"/>
    <w:rsid w:val="005A774B"/>
    <w:rsid w:val="005B25FE"/>
    <w:rsid w:val="005C7180"/>
    <w:rsid w:val="005D2F3F"/>
    <w:rsid w:val="005D4E45"/>
    <w:rsid w:val="005E0797"/>
    <w:rsid w:val="005F13D2"/>
    <w:rsid w:val="005F1DA9"/>
    <w:rsid w:val="005F326C"/>
    <w:rsid w:val="006029B1"/>
    <w:rsid w:val="00612F05"/>
    <w:rsid w:val="00622F22"/>
    <w:rsid w:val="006307AD"/>
    <w:rsid w:val="00631D59"/>
    <w:rsid w:val="0064017C"/>
    <w:rsid w:val="00652C5D"/>
    <w:rsid w:val="00654738"/>
    <w:rsid w:val="00656A57"/>
    <w:rsid w:val="006647D7"/>
    <w:rsid w:val="00670BE1"/>
    <w:rsid w:val="00684E5E"/>
    <w:rsid w:val="00693674"/>
    <w:rsid w:val="00694963"/>
    <w:rsid w:val="00695543"/>
    <w:rsid w:val="00695E6A"/>
    <w:rsid w:val="006B1EDC"/>
    <w:rsid w:val="006E1496"/>
    <w:rsid w:val="006E29A2"/>
    <w:rsid w:val="00703B68"/>
    <w:rsid w:val="0070480F"/>
    <w:rsid w:val="00732CA1"/>
    <w:rsid w:val="00742BFB"/>
    <w:rsid w:val="007460E5"/>
    <w:rsid w:val="007532AF"/>
    <w:rsid w:val="00762B2F"/>
    <w:rsid w:val="00764551"/>
    <w:rsid w:val="0077131F"/>
    <w:rsid w:val="00781B0A"/>
    <w:rsid w:val="007847B2"/>
    <w:rsid w:val="0078670B"/>
    <w:rsid w:val="007A7C2C"/>
    <w:rsid w:val="007C1E5B"/>
    <w:rsid w:val="007D37C7"/>
    <w:rsid w:val="007E688F"/>
    <w:rsid w:val="007F56AE"/>
    <w:rsid w:val="0080661A"/>
    <w:rsid w:val="008067E2"/>
    <w:rsid w:val="00821900"/>
    <w:rsid w:val="00830C82"/>
    <w:rsid w:val="00845483"/>
    <w:rsid w:val="00845AD5"/>
    <w:rsid w:val="00845B99"/>
    <w:rsid w:val="00854576"/>
    <w:rsid w:val="0085546A"/>
    <w:rsid w:val="00862A6D"/>
    <w:rsid w:val="0086337A"/>
    <w:rsid w:val="008660A1"/>
    <w:rsid w:val="00883EFD"/>
    <w:rsid w:val="00885E0D"/>
    <w:rsid w:val="008876E6"/>
    <w:rsid w:val="00897DEA"/>
    <w:rsid w:val="008C0CD3"/>
    <w:rsid w:val="008C4176"/>
    <w:rsid w:val="008D0463"/>
    <w:rsid w:val="008D47EC"/>
    <w:rsid w:val="008E2ACF"/>
    <w:rsid w:val="008E39D1"/>
    <w:rsid w:val="008E57F7"/>
    <w:rsid w:val="008F090F"/>
    <w:rsid w:val="00920BA2"/>
    <w:rsid w:val="009229B5"/>
    <w:rsid w:val="00924B69"/>
    <w:rsid w:val="00925380"/>
    <w:rsid w:val="0093116C"/>
    <w:rsid w:val="00932E92"/>
    <w:rsid w:val="00944344"/>
    <w:rsid w:val="00950E0C"/>
    <w:rsid w:val="009526FC"/>
    <w:rsid w:val="00955B88"/>
    <w:rsid w:val="00971CF8"/>
    <w:rsid w:val="00975E62"/>
    <w:rsid w:val="00984D11"/>
    <w:rsid w:val="009855D0"/>
    <w:rsid w:val="00990175"/>
    <w:rsid w:val="00992114"/>
    <w:rsid w:val="0099321E"/>
    <w:rsid w:val="009938BA"/>
    <w:rsid w:val="009B058C"/>
    <w:rsid w:val="009B5CED"/>
    <w:rsid w:val="009B756B"/>
    <w:rsid w:val="009D0D5F"/>
    <w:rsid w:val="009F2107"/>
    <w:rsid w:val="009F2738"/>
    <w:rsid w:val="009F6DC8"/>
    <w:rsid w:val="00A10FB8"/>
    <w:rsid w:val="00A11E92"/>
    <w:rsid w:val="00A2120D"/>
    <w:rsid w:val="00A263C1"/>
    <w:rsid w:val="00A34F0D"/>
    <w:rsid w:val="00A36A8E"/>
    <w:rsid w:val="00A519E9"/>
    <w:rsid w:val="00A51E78"/>
    <w:rsid w:val="00A522E3"/>
    <w:rsid w:val="00A61EE5"/>
    <w:rsid w:val="00A630B2"/>
    <w:rsid w:val="00A72416"/>
    <w:rsid w:val="00A75B28"/>
    <w:rsid w:val="00A813ED"/>
    <w:rsid w:val="00AA162B"/>
    <w:rsid w:val="00AA7156"/>
    <w:rsid w:val="00AB08EF"/>
    <w:rsid w:val="00AB186E"/>
    <w:rsid w:val="00AB40D0"/>
    <w:rsid w:val="00AC0B42"/>
    <w:rsid w:val="00AC5AFC"/>
    <w:rsid w:val="00AC60EC"/>
    <w:rsid w:val="00AC7B90"/>
    <w:rsid w:val="00AF30A5"/>
    <w:rsid w:val="00B129A6"/>
    <w:rsid w:val="00B216E3"/>
    <w:rsid w:val="00B34DDF"/>
    <w:rsid w:val="00B515E6"/>
    <w:rsid w:val="00B531A0"/>
    <w:rsid w:val="00B5357A"/>
    <w:rsid w:val="00B56ADC"/>
    <w:rsid w:val="00B7343E"/>
    <w:rsid w:val="00B85665"/>
    <w:rsid w:val="00B9063D"/>
    <w:rsid w:val="00B96192"/>
    <w:rsid w:val="00BB39CF"/>
    <w:rsid w:val="00BB5614"/>
    <w:rsid w:val="00BB6223"/>
    <w:rsid w:val="00BC0522"/>
    <w:rsid w:val="00BC580B"/>
    <w:rsid w:val="00BE546E"/>
    <w:rsid w:val="00BF283C"/>
    <w:rsid w:val="00C23586"/>
    <w:rsid w:val="00C32AEE"/>
    <w:rsid w:val="00C365E6"/>
    <w:rsid w:val="00C436C4"/>
    <w:rsid w:val="00C44C56"/>
    <w:rsid w:val="00C60485"/>
    <w:rsid w:val="00C62A8A"/>
    <w:rsid w:val="00C62CE7"/>
    <w:rsid w:val="00C71D57"/>
    <w:rsid w:val="00C800A7"/>
    <w:rsid w:val="00C841D3"/>
    <w:rsid w:val="00CA5494"/>
    <w:rsid w:val="00CB1B60"/>
    <w:rsid w:val="00CB56A9"/>
    <w:rsid w:val="00CC0516"/>
    <w:rsid w:val="00CC4550"/>
    <w:rsid w:val="00CC5A77"/>
    <w:rsid w:val="00CC5F2D"/>
    <w:rsid w:val="00CE158A"/>
    <w:rsid w:val="00CE6583"/>
    <w:rsid w:val="00D00370"/>
    <w:rsid w:val="00D00C96"/>
    <w:rsid w:val="00D025B2"/>
    <w:rsid w:val="00D0286B"/>
    <w:rsid w:val="00D054AA"/>
    <w:rsid w:val="00D10B1F"/>
    <w:rsid w:val="00D232C1"/>
    <w:rsid w:val="00D31DDC"/>
    <w:rsid w:val="00D32467"/>
    <w:rsid w:val="00D32E06"/>
    <w:rsid w:val="00D34761"/>
    <w:rsid w:val="00D36C97"/>
    <w:rsid w:val="00D45121"/>
    <w:rsid w:val="00D5030D"/>
    <w:rsid w:val="00D73970"/>
    <w:rsid w:val="00D80556"/>
    <w:rsid w:val="00D809CA"/>
    <w:rsid w:val="00DA2D97"/>
    <w:rsid w:val="00DA39AA"/>
    <w:rsid w:val="00DA40FD"/>
    <w:rsid w:val="00DB3861"/>
    <w:rsid w:val="00DB5906"/>
    <w:rsid w:val="00DB6D0A"/>
    <w:rsid w:val="00DC0E03"/>
    <w:rsid w:val="00DC4EA7"/>
    <w:rsid w:val="00DC70A2"/>
    <w:rsid w:val="00DD1D1B"/>
    <w:rsid w:val="00DE4471"/>
    <w:rsid w:val="00DE4D42"/>
    <w:rsid w:val="00DF1BE9"/>
    <w:rsid w:val="00DF5D1F"/>
    <w:rsid w:val="00DF74DB"/>
    <w:rsid w:val="00E0194F"/>
    <w:rsid w:val="00E019F7"/>
    <w:rsid w:val="00E06C96"/>
    <w:rsid w:val="00E122F9"/>
    <w:rsid w:val="00E27C58"/>
    <w:rsid w:val="00E27CE7"/>
    <w:rsid w:val="00E331A4"/>
    <w:rsid w:val="00E4019F"/>
    <w:rsid w:val="00E420C6"/>
    <w:rsid w:val="00E44824"/>
    <w:rsid w:val="00E45A28"/>
    <w:rsid w:val="00E45FC1"/>
    <w:rsid w:val="00E5211D"/>
    <w:rsid w:val="00E55390"/>
    <w:rsid w:val="00E87817"/>
    <w:rsid w:val="00E955E3"/>
    <w:rsid w:val="00E956F3"/>
    <w:rsid w:val="00E96917"/>
    <w:rsid w:val="00E97FD6"/>
    <w:rsid w:val="00EA3A30"/>
    <w:rsid w:val="00EB65A8"/>
    <w:rsid w:val="00EB7E4F"/>
    <w:rsid w:val="00EC3B09"/>
    <w:rsid w:val="00EC6B68"/>
    <w:rsid w:val="00EC7D81"/>
    <w:rsid w:val="00ED72C8"/>
    <w:rsid w:val="00EE26DF"/>
    <w:rsid w:val="00EF4F53"/>
    <w:rsid w:val="00EF570B"/>
    <w:rsid w:val="00F12F92"/>
    <w:rsid w:val="00F308C2"/>
    <w:rsid w:val="00F33C12"/>
    <w:rsid w:val="00F43A29"/>
    <w:rsid w:val="00F45D03"/>
    <w:rsid w:val="00F47654"/>
    <w:rsid w:val="00F516CC"/>
    <w:rsid w:val="00F5627A"/>
    <w:rsid w:val="00F618D2"/>
    <w:rsid w:val="00F66AAF"/>
    <w:rsid w:val="00F713BD"/>
    <w:rsid w:val="00F74113"/>
    <w:rsid w:val="00F7722D"/>
    <w:rsid w:val="00F92167"/>
    <w:rsid w:val="00F928D7"/>
    <w:rsid w:val="00F963CB"/>
    <w:rsid w:val="00F97D17"/>
    <w:rsid w:val="00FA0AB9"/>
    <w:rsid w:val="00FB16EB"/>
    <w:rsid w:val="00FB4DA1"/>
    <w:rsid w:val="00FC0FDB"/>
    <w:rsid w:val="00FC6A97"/>
    <w:rsid w:val="00FD3B1D"/>
    <w:rsid w:val="00FD7B56"/>
    <w:rsid w:val="00FE179C"/>
    <w:rsid w:val="00FE7578"/>
    <w:rsid w:val="00FF4831"/>
    <w:rsid w:val="00FF6B1D"/>
    <w:rsid w:val="00FF798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23EBA2"/>
  <w15:docId w15:val="{DEEAA2FD-42B2-45DF-93E7-4A3795C86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A5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54576"/>
  </w:style>
  <w:style w:type="paragraph" w:styleId="FootnoteText">
    <w:name w:val="footnote text"/>
    <w:basedOn w:val="Normal"/>
    <w:link w:val="FootnoteTextChar"/>
    <w:uiPriority w:val="99"/>
    <w:semiHidden/>
    <w:unhideWhenUsed/>
    <w:rsid w:val="00854576"/>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854576"/>
    <w:rPr>
      <w:rFonts w:ascii="Times New Roman" w:hAnsi="Times New Roman"/>
      <w:sz w:val="20"/>
      <w:szCs w:val="20"/>
    </w:rPr>
  </w:style>
  <w:style w:type="character" w:styleId="FootnoteReference">
    <w:name w:val="footnote reference"/>
    <w:semiHidden/>
    <w:unhideWhenUsed/>
    <w:rsid w:val="00854576"/>
    <w:rPr>
      <w:vertAlign w:val="superscript"/>
    </w:rPr>
  </w:style>
  <w:style w:type="character" w:customStyle="1" w:styleId="apple-converted-space">
    <w:name w:val="apple-converted-space"/>
    <w:basedOn w:val="DefaultParagraphFont"/>
    <w:rsid w:val="00854576"/>
  </w:style>
  <w:style w:type="paragraph" w:styleId="Header">
    <w:name w:val="header"/>
    <w:basedOn w:val="Normal"/>
    <w:link w:val="HeaderChar"/>
    <w:uiPriority w:val="99"/>
    <w:unhideWhenUsed/>
    <w:rsid w:val="00854576"/>
    <w:pPr>
      <w:tabs>
        <w:tab w:val="center" w:pos="4513"/>
        <w:tab w:val="right" w:pos="9026"/>
      </w:tabs>
      <w:spacing w:after="0" w:line="240" w:lineRule="auto"/>
    </w:pPr>
    <w:rPr>
      <w:rFonts w:ascii="Times New Roman" w:hAnsi="Times New Roman"/>
      <w:sz w:val="24"/>
    </w:rPr>
  </w:style>
  <w:style w:type="character" w:customStyle="1" w:styleId="HeaderChar">
    <w:name w:val="Header Char"/>
    <w:link w:val="Header"/>
    <w:uiPriority w:val="99"/>
    <w:rsid w:val="00854576"/>
    <w:rPr>
      <w:rFonts w:ascii="Times New Roman" w:hAnsi="Times New Roman"/>
      <w:sz w:val="24"/>
    </w:rPr>
  </w:style>
  <w:style w:type="paragraph" w:styleId="Footer">
    <w:name w:val="footer"/>
    <w:basedOn w:val="Normal"/>
    <w:link w:val="FooterChar"/>
    <w:uiPriority w:val="99"/>
    <w:unhideWhenUsed/>
    <w:rsid w:val="00854576"/>
    <w:pPr>
      <w:tabs>
        <w:tab w:val="center" w:pos="4513"/>
        <w:tab w:val="right" w:pos="9026"/>
      </w:tabs>
      <w:spacing w:after="0" w:line="240" w:lineRule="auto"/>
    </w:pPr>
    <w:rPr>
      <w:rFonts w:ascii="Times New Roman" w:hAnsi="Times New Roman"/>
      <w:sz w:val="24"/>
    </w:rPr>
  </w:style>
  <w:style w:type="character" w:customStyle="1" w:styleId="FooterChar">
    <w:name w:val="Footer Char"/>
    <w:link w:val="Footer"/>
    <w:uiPriority w:val="99"/>
    <w:rsid w:val="00854576"/>
    <w:rPr>
      <w:rFonts w:ascii="Times New Roman" w:hAnsi="Times New Roman"/>
      <w:sz w:val="24"/>
    </w:rPr>
  </w:style>
  <w:style w:type="character" w:customStyle="1" w:styleId="nlmyear">
    <w:name w:val="nlm_year"/>
    <w:basedOn w:val="DefaultParagraphFont"/>
    <w:rsid w:val="00854576"/>
  </w:style>
  <w:style w:type="character" w:customStyle="1" w:styleId="nlmfpage">
    <w:name w:val="nlm_fpage"/>
    <w:basedOn w:val="DefaultParagraphFont"/>
    <w:rsid w:val="00854576"/>
  </w:style>
  <w:style w:type="character" w:customStyle="1" w:styleId="nlmlpage">
    <w:name w:val="nlm_lpage"/>
    <w:basedOn w:val="DefaultParagraphFont"/>
    <w:rsid w:val="00854576"/>
  </w:style>
  <w:style w:type="character" w:styleId="CommentReference">
    <w:name w:val="annotation reference"/>
    <w:uiPriority w:val="99"/>
    <w:semiHidden/>
    <w:unhideWhenUsed/>
    <w:rsid w:val="00854576"/>
    <w:rPr>
      <w:sz w:val="16"/>
      <w:szCs w:val="16"/>
    </w:rPr>
  </w:style>
  <w:style w:type="paragraph" w:styleId="CommentText">
    <w:name w:val="annotation text"/>
    <w:basedOn w:val="Normal"/>
    <w:link w:val="CommentTextChar"/>
    <w:uiPriority w:val="99"/>
    <w:semiHidden/>
    <w:unhideWhenUsed/>
    <w:rsid w:val="00854576"/>
    <w:pPr>
      <w:spacing w:line="240" w:lineRule="auto"/>
    </w:pPr>
    <w:rPr>
      <w:sz w:val="20"/>
      <w:szCs w:val="20"/>
    </w:rPr>
  </w:style>
  <w:style w:type="character" w:customStyle="1" w:styleId="CommentTextChar">
    <w:name w:val="Comment Text Char"/>
    <w:link w:val="CommentText"/>
    <w:uiPriority w:val="99"/>
    <w:semiHidden/>
    <w:rsid w:val="00854576"/>
    <w:rPr>
      <w:sz w:val="20"/>
      <w:szCs w:val="20"/>
    </w:rPr>
  </w:style>
  <w:style w:type="paragraph" w:styleId="CommentSubject">
    <w:name w:val="annotation subject"/>
    <w:basedOn w:val="CommentText"/>
    <w:next w:val="CommentText"/>
    <w:link w:val="CommentSubjectChar"/>
    <w:uiPriority w:val="99"/>
    <w:semiHidden/>
    <w:unhideWhenUsed/>
    <w:rsid w:val="00854576"/>
    <w:rPr>
      <w:b/>
      <w:bCs/>
    </w:rPr>
  </w:style>
  <w:style w:type="character" w:customStyle="1" w:styleId="CommentSubjectChar">
    <w:name w:val="Comment Subject Char"/>
    <w:link w:val="CommentSubject"/>
    <w:uiPriority w:val="99"/>
    <w:semiHidden/>
    <w:rsid w:val="00854576"/>
    <w:rPr>
      <w:b/>
      <w:bCs/>
      <w:sz w:val="20"/>
      <w:szCs w:val="20"/>
    </w:rPr>
  </w:style>
  <w:style w:type="paragraph" w:styleId="BalloonText">
    <w:name w:val="Balloon Text"/>
    <w:basedOn w:val="Normal"/>
    <w:link w:val="BalloonTextChar"/>
    <w:uiPriority w:val="99"/>
    <w:semiHidden/>
    <w:unhideWhenUsed/>
    <w:rsid w:val="008545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4576"/>
    <w:rPr>
      <w:rFonts w:ascii="Tahoma" w:hAnsi="Tahoma" w:cs="Tahoma"/>
      <w:sz w:val="16"/>
      <w:szCs w:val="16"/>
    </w:rPr>
  </w:style>
  <w:style w:type="paragraph" w:styleId="Revision">
    <w:name w:val="Revision"/>
    <w:hidden/>
    <w:uiPriority w:val="99"/>
    <w:semiHidden/>
    <w:rsid w:val="004A54C1"/>
    <w:rPr>
      <w:sz w:val="22"/>
      <w:szCs w:val="22"/>
      <w:lang w:eastAsia="en-US"/>
    </w:rPr>
  </w:style>
  <w:style w:type="character" w:styleId="Hyperlink">
    <w:name w:val="Hyperlink"/>
    <w:uiPriority w:val="99"/>
    <w:unhideWhenUsed/>
    <w:rsid w:val="00581599"/>
    <w:rPr>
      <w:color w:val="0000FF"/>
      <w:u w:val="single"/>
    </w:rPr>
  </w:style>
  <w:style w:type="paragraph" w:styleId="EndnoteText">
    <w:name w:val="endnote text"/>
    <w:basedOn w:val="Normal"/>
    <w:link w:val="EndnoteTextChar"/>
    <w:uiPriority w:val="99"/>
    <w:semiHidden/>
    <w:unhideWhenUsed/>
    <w:rsid w:val="00DA2D97"/>
    <w:pPr>
      <w:spacing w:after="0" w:line="240" w:lineRule="auto"/>
    </w:pPr>
    <w:rPr>
      <w:sz w:val="20"/>
      <w:szCs w:val="20"/>
    </w:rPr>
  </w:style>
  <w:style w:type="character" w:customStyle="1" w:styleId="EndnoteTextChar">
    <w:name w:val="Endnote Text Char"/>
    <w:link w:val="EndnoteText"/>
    <w:uiPriority w:val="99"/>
    <w:semiHidden/>
    <w:rsid w:val="00DA2D97"/>
    <w:rPr>
      <w:sz w:val="20"/>
      <w:szCs w:val="20"/>
    </w:rPr>
  </w:style>
  <w:style w:type="character" w:styleId="EndnoteReference">
    <w:name w:val="endnote reference"/>
    <w:uiPriority w:val="99"/>
    <w:semiHidden/>
    <w:unhideWhenUsed/>
    <w:rsid w:val="00DA2D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B988D-F2FC-4C74-B446-F294461E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8783</Words>
  <Characters>50065</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Campbell</dc:creator>
  <cp:lastModifiedBy>neil tarrant</cp:lastModifiedBy>
  <cp:revision>2</cp:revision>
  <cp:lastPrinted>2018-06-15T10:01:00Z</cp:lastPrinted>
  <dcterms:created xsi:type="dcterms:W3CDTF">2018-07-30T16:56:00Z</dcterms:created>
  <dcterms:modified xsi:type="dcterms:W3CDTF">2018-07-30T16:56:00Z</dcterms:modified>
</cp:coreProperties>
</file>