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8E3" w:rsidRPr="00064EE0" w:rsidRDefault="001A48E3" w:rsidP="001A48E3">
      <w:pPr>
        <w:jc w:val="center"/>
        <w:rPr>
          <w:rFonts w:ascii="Times New Roman" w:hAnsi="Times New Roman" w:cs="Times New Roman"/>
          <w:b/>
          <w:sz w:val="28"/>
          <w:szCs w:val="22"/>
        </w:rPr>
      </w:pPr>
      <w:r w:rsidRPr="00064EE0">
        <w:rPr>
          <w:rFonts w:ascii="Times New Roman" w:hAnsi="Times New Roman" w:cs="Times New Roman"/>
          <w:b/>
          <w:sz w:val="28"/>
          <w:szCs w:val="22"/>
        </w:rPr>
        <w:t>The NHS</w:t>
      </w:r>
      <w:r w:rsidR="00440B69" w:rsidRPr="00064EE0">
        <w:rPr>
          <w:rFonts w:ascii="Times New Roman" w:hAnsi="Times New Roman" w:cs="Times New Roman"/>
          <w:b/>
          <w:sz w:val="28"/>
          <w:szCs w:val="22"/>
        </w:rPr>
        <w:t xml:space="preserve"> and an Ageing Population</w:t>
      </w:r>
      <w:r w:rsidR="00F840BA" w:rsidRPr="00064EE0">
        <w:rPr>
          <w:rFonts w:ascii="Times New Roman" w:hAnsi="Times New Roman" w:cs="Times New Roman"/>
          <w:b/>
          <w:sz w:val="28"/>
          <w:szCs w:val="22"/>
        </w:rPr>
        <w:t xml:space="preserve"> </w:t>
      </w:r>
    </w:p>
    <w:p w:rsidR="00440B69" w:rsidRPr="006B4B85" w:rsidRDefault="00440B69" w:rsidP="001A48E3">
      <w:pPr>
        <w:jc w:val="center"/>
        <w:rPr>
          <w:rFonts w:ascii="Times New Roman" w:hAnsi="Times New Roman" w:cs="Times New Roman"/>
          <w:b/>
          <w:sz w:val="22"/>
          <w:szCs w:val="22"/>
        </w:rPr>
      </w:pPr>
    </w:p>
    <w:p w:rsidR="00440B69" w:rsidRPr="006B4B85" w:rsidRDefault="008D3AE3" w:rsidP="00440B69">
      <w:pPr>
        <w:jc w:val="both"/>
        <w:rPr>
          <w:rFonts w:ascii="Times New Roman" w:hAnsi="Times New Roman" w:cs="Times New Roman"/>
          <w:szCs w:val="22"/>
        </w:rPr>
      </w:pPr>
      <w:r w:rsidRPr="006B4B85">
        <w:rPr>
          <w:rFonts w:ascii="Times New Roman" w:hAnsi="Times New Roman" w:cs="Times New Roman"/>
          <w:szCs w:val="22"/>
        </w:rPr>
        <w:t xml:space="preserve">The founding principles </w:t>
      </w:r>
      <w:r w:rsidR="00440B69" w:rsidRPr="006B4B85">
        <w:rPr>
          <w:rFonts w:ascii="Times New Roman" w:hAnsi="Times New Roman" w:cs="Times New Roman"/>
          <w:szCs w:val="22"/>
        </w:rPr>
        <w:t>of the NHS</w:t>
      </w:r>
      <w:r w:rsidR="00B76A88">
        <w:rPr>
          <w:rFonts w:ascii="Times New Roman" w:hAnsi="Times New Roman" w:cs="Times New Roman"/>
          <w:szCs w:val="22"/>
        </w:rPr>
        <w:t>, established</w:t>
      </w:r>
      <w:r w:rsidR="00440B69" w:rsidRPr="006B4B85">
        <w:rPr>
          <w:rFonts w:ascii="Times New Roman" w:hAnsi="Times New Roman" w:cs="Times New Roman"/>
          <w:szCs w:val="22"/>
        </w:rPr>
        <w:t xml:space="preserve"> in 1948</w:t>
      </w:r>
      <w:r w:rsidR="00B76A88">
        <w:rPr>
          <w:rFonts w:ascii="Times New Roman" w:hAnsi="Times New Roman" w:cs="Times New Roman"/>
          <w:szCs w:val="22"/>
        </w:rPr>
        <w:t>,</w:t>
      </w:r>
      <w:r w:rsidR="00440B69" w:rsidRPr="006B4B85">
        <w:rPr>
          <w:rFonts w:ascii="Times New Roman" w:hAnsi="Times New Roman" w:cs="Times New Roman"/>
          <w:szCs w:val="22"/>
        </w:rPr>
        <w:t xml:space="preserve"> were three-fold: that it mee</w:t>
      </w:r>
      <w:r w:rsidR="004362AD">
        <w:rPr>
          <w:rFonts w:ascii="Times New Roman" w:hAnsi="Times New Roman" w:cs="Times New Roman"/>
          <w:szCs w:val="22"/>
        </w:rPr>
        <w:t>t the needs of everyone; that it</w:t>
      </w:r>
      <w:r w:rsidR="00440B69" w:rsidRPr="006B4B85">
        <w:rPr>
          <w:rFonts w:ascii="Times New Roman" w:hAnsi="Times New Roman" w:cs="Times New Roman"/>
          <w:szCs w:val="22"/>
        </w:rPr>
        <w:t xml:space="preserve"> be based on clinical need, not ability to play; and that it b</w:t>
      </w:r>
      <w:r w:rsidR="0029199E">
        <w:rPr>
          <w:rFonts w:ascii="Times New Roman" w:hAnsi="Times New Roman" w:cs="Times New Roman"/>
          <w:szCs w:val="22"/>
        </w:rPr>
        <w:t>e free at the point of delivery.  T</w:t>
      </w:r>
      <w:r w:rsidR="00B76A88">
        <w:rPr>
          <w:rFonts w:ascii="Times New Roman" w:hAnsi="Times New Roman" w:cs="Times New Roman"/>
          <w:szCs w:val="22"/>
        </w:rPr>
        <w:t xml:space="preserve">hese founding </w:t>
      </w:r>
      <w:r w:rsidRPr="006B4B85">
        <w:rPr>
          <w:rFonts w:ascii="Times New Roman" w:hAnsi="Times New Roman" w:cs="Times New Roman"/>
          <w:szCs w:val="22"/>
        </w:rPr>
        <w:t xml:space="preserve">principles </w:t>
      </w:r>
      <w:r w:rsidR="00B76A88">
        <w:rPr>
          <w:rFonts w:ascii="Times New Roman" w:hAnsi="Times New Roman" w:cs="Times New Roman"/>
          <w:szCs w:val="22"/>
        </w:rPr>
        <w:t>remain</w:t>
      </w:r>
      <w:r w:rsidR="00440B69" w:rsidRPr="006B4B85">
        <w:rPr>
          <w:rFonts w:ascii="Times New Roman" w:hAnsi="Times New Roman" w:cs="Times New Roman"/>
          <w:szCs w:val="22"/>
        </w:rPr>
        <w:t xml:space="preserve"> at the</w:t>
      </w:r>
      <w:r w:rsidR="006C253F">
        <w:rPr>
          <w:rFonts w:ascii="Times New Roman" w:hAnsi="Times New Roman" w:cs="Times New Roman"/>
          <w:szCs w:val="22"/>
        </w:rPr>
        <w:t xml:space="preserve"> heart of the service,</w:t>
      </w:r>
      <w:r w:rsidR="00D3722A">
        <w:rPr>
          <w:rFonts w:ascii="Times New Roman" w:hAnsi="Times New Roman" w:cs="Times New Roman"/>
          <w:szCs w:val="22"/>
        </w:rPr>
        <w:t xml:space="preserve"> </w:t>
      </w:r>
      <w:r w:rsidR="00B76A88">
        <w:rPr>
          <w:rFonts w:ascii="Times New Roman" w:hAnsi="Times New Roman" w:cs="Times New Roman"/>
          <w:szCs w:val="22"/>
        </w:rPr>
        <w:t xml:space="preserve">complemented by </w:t>
      </w:r>
      <w:r w:rsidR="0029199E">
        <w:rPr>
          <w:rFonts w:ascii="Times New Roman" w:hAnsi="Times New Roman" w:cs="Times New Roman"/>
          <w:szCs w:val="22"/>
        </w:rPr>
        <w:t xml:space="preserve">more recent </w:t>
      </w:r>
      <w:r w:rsidR="00440B69" w:rsidRPr="006B4B85">
        <w:rPr>
          <w:rFonts w:ascii="Times New Roman" w:hAnsi="Times New Roman" w:cs="Times New Roman"/>
          <w:szCs w:val="22"/>
        </w:rPr>
        <w:t>commitments to great</w:t>
      </w:r>
      <w:r w:rsidR="000F6F4A">
        <w:rPr>
          <w:rFonts w:ascii="Times New Roman" w:hAnsi="Times New Roman" w:cs="Times New Roman"/>
          <w:szCs w:val="22"/>
        </w:rPr>
        <w:t>er</w:t>
      </w:r>
      <w:r w:rsidR="00440B69" w:rsidRPr="006B4B85">
        <w:rPr>
          <w:rFonts w:ascii="Times New Roman" w:hAnsi="Times New Roman" w:cs="Times New Roman"/>
          <w:szCs w:val="22"/>
        </w:rPr>
        <w:t xml:space="preserve"> accountability, improved stand</w:t>
      </w:r>
      <w:r w:rsidR="00C07F9F">
        <w:rPr>
          <w:rFonts w:ascii="Times New Roman" w:hAnsi="Times New Roman" w:cs="Times New Roman"/>
          <w:szCs w:val="22"/>
        </w:rPr>
        <w:t>ards, best value for taxpayers, a patient-focus</w:t>
      </w:r>
      <w:r w:rsidR="00440B69" w:rsidRPr="006B4B85">
        <w:rPr>
          <w:rFonts w:ascii="Times New Roman" w:hAnsi="Times New Roman" w:cs="Times New Roman"/>
          <w:szCs w:val="22"/>
        </w:rPr>
        <w:t>, and working across organizational boundaries</w:t>
      </w:r>
      <w:r w:rsidR="00C07F9F">
        <w:rPr>
          <w:rFonts w:ascii="Times New Roman" w:hAnsi="Times New Roman" w:cs="Times New Roman"/>
          <w:szCs w:val="22"/>
        </w:rPr>
        <w:t>.</w:t>
      </w:r>
      <w:r w:rsidR="00B76A88">
        <w:rPr>
          <w:rStyle w:val="EndnoteReference"/>
          <w:rFonts w:ascii="Times New Roman" w:hAnsi="Times New Roman" w:cs="Times New Roman"/>
          <w:szCs w:val="22"/>
        </w:rPr>
        <w:endnoteReference w:id="1"/>
      </w:r>
      <w:r w:rsidR="0029199E">
        <w:rPr>
          <w:rFonts w:ascii="Times New Roman" w:hAnsi="Times New Roman" w:cs="Times New Roman"/>
          <w:szCs w:val="22"/>
        </w:rPr>
        <w:t xml:space="preserve">  But</w:t>
      </w:r>
      <w:r w:rsidR="00D3722A">
        <w:rPr>
          <w:rFonts w:ascii="Times New Roman" w:hAnsi="Times New Roman" w:cs="Times New Roman"/>
          <w:szCs w:val="22"/>
        </w:rPr>
        <w:t xml:space="preserve"> demography</w:t>
      </w:r>
      <w:r w:rsidR="00440B69" w:rsidRPr="006B4B85">
        <w:rPr>
          <w:rFonts w:ascii="Times New Roman" w:hAnsi="Times New Roman" w:cs="Times New Roman"/>
          <w:szCs w:val="22"/>
        </w:rPr>
        <w:t>, epidemiolog</w:t>
      </w:r>
      <w:r w:rsidR="00D3722A">
        <w:rPr>
          <w:rFonts w:ascii="Times New Roman" w:hAnsi="Times New Roman" w:cs="Times New Roman"/>
          <w:szCs w:val="22"/>
        </w:rPr>
        <w:t>y, technology</w:t>
      </w:r>
      <w:r w:rsidR="006D4385">
        <w:rPr>
          <w:rFonts w:ascii="Times New Roman" w:hAnsi="Times New Roman" w:cs="Times New Roman"/>
          <w:szCs w:val="22"/>
        </w:rPr>
        <w:t xml:space="preserve"> and service delivery have</w:t>
      </w:r>
      <w:r w:rsidR="00440B69" w:rsidRPr="006B4B85">
        <w:rPr>
          <w:rFonts w:ascii="Times New Roman" w:hAnsi="Times New Roman" w:cs="Times New Roman"/>
          <w:szCs w:val="22"/>
        </w:rPr>
        <w:t xml:space="preserve"> changed beyond recognition</w:t>
      </w:r>
      <w:r w:rsidRPr="006B4B85">
        <w:rPr>
          <w:rFonts w:ascii="Times New Roman" w:hAnsi="Times New Roman" w:cs="Times New Roman"/>
          <w:szCs w:val="22"/>
        </w:rPr>
        <w:t xml:space="preserve"> </w:t>
      </w:r>
      <w:r w:rsidR="00D3722A">
        <w:rPr>
          <w:rFonts w:ascii="Times New Roman" w:hAnsi="Times New Roman" w:cs="Times New Roman"/>
          <w:szCs w:val="22"/>
        </w:rPr>
        <w:t xml:space="preserve">during </w:t>
      </w:r>
      <w:r w:rsidRPr="006B4B85">
        <w:rPr>
          <w:rFonts w:ascii="Times New Roman" w:hAnsi="Times New Roman" w:cs="Times New Roman"/>
          <w:szCs w:val="22"/>
        </w:rPr>
        <w:t>the past 70 years</w:t>
      </w:r>
      <w:r w:rsidR="00440B69" w:rsidRPr="006B4B85">
        <w:rPr>
          <w:rFonts w:ascii="Times New Roman" w:hAnsi="Times New Roman" w:cs="Times New Roman"/>
          <w:szCs w:val="22"/>
        </w:rPr>
        <w:t>.  When</w:t>
      </w:r>
      <w:r w:rsidRPr="006B4B85">
        <w:rPr>
          <w:rFonts w:ascii="Times New Roman" w:hAnsi="Times New Roman" w:cs="Times New Roman"/>
          <w:szCs w:val="22"/>
        </w:rPr>
        <w:t xml:space="preserve"> the NHS was established</w:t>
      </w:r>
      <w:r w:rsidR="00440B69" w:rsidRPr="006B4B85">
        <w:rPr>
          <w:rFonts w:ascii="Times New Roman" w:hAnsi="Times New Roman" w:cs="Times New Roman"/>
          <w:szCs w:val="22"/>
        </w:rPr>
        <w:t xml:space="preserve">, 48% of </w:t>
      </w:r>
      <w:r w:rsidR="0029199E">
        <w:rPr>
          <w:rFonts w:ascii="Times New Roman" w:hAnsi="Times New Roman" w:cs="Times New Roman"/>
          <w:szCs w:val="22"/>
        </w:rPr>
        <w:t xml:space="preserve">the </w:t>
      </w:r>
      <w:r w:rsidR="00440B69" w:rsidRPr="006B4B85">
        <w:rPr>
          <w:rFonts w:ascii="Times New Roman" w:hAnsi="Times New Roman" w:cs="Times New Roman"/>
          <w:szCs w:val="22"/>
        </w:rPr>
        <w:t xml:space="preserve">population died before </w:t>
      </w:r>
      <w:r w:rsidRPr="006B4B85">
        <w:rPr>
          <w:rFonts w:ascii="Times New Roman" w:hAnsi="Times New Roman" w:cs="Times New Roman"/>
          <w:szCs w:val="22"/>
        </w:rPr>
        <w:t xml:space="preserve">the age of </w:t>
      </w:r>
      <w:r w:rsidR="00D3722A">
        <w:rPr>
          <w:rFonts w:ascii="Times New Roman" w:hAnsi="Times New Roman" w:cs="Times New Roman"/>
          <w:szCs w:val="22"/>
        </w:rPr>
        <w:t xml:space="preserve">65 – a figure that </w:t>
      </w:r>
      <w:r w:rsidR="00440B69" w:rsidRPr="006B4B85">
        <w:rPr>
          <w:rFonts w:ascii="Times New Roman" w:hAnsi="Times New Roman" w:cs="Times New Roman"/>
          <w:szCs w:val="22"/>
        </w:rPr>
        <w:t xml:space="preserve">is </w:t>
      </w:r>
      <w:r w:rsidR="006C253F">
        <w:rPr>
          <w:rFonts w:ascii="Times New Roman" w:hAnsi="Times New Roman" w:cs="Times New Roman"/>
          <w:szCs w:val="22"/>
        </w:rPr>
        <w:t xml:space="preserve">now only </w:t>
      </w:r>
      <w:r w:rsidR="00440B69" w:rsidRPr="006B4B85">
        <w:rPr>
          <w:rFonts w:ascii="Times New Roman" w:hAnsi="Times New Roman" w:cs="Times New Roman"/>
          <w:szCs w:val="22"/>
        </w:rPr>
        <w:t>14%</w:t>
      </w:r>
      <w:r w:rsidR="00C07F9F">
        <w:rPr>
          <w:rFonts w:ascii="Times New Roman" w:hAnsi="Times New Roman" w:cs="Times New Roman"/>
          <w:szCs w:val="22"/>
        </w:rPr>
        <w:t>.</w:t>
      </w:r>
      <w:r w:rsidR="00D3722A">
        <w:rPr>
          <w:rStyle w:val="EndnoteReference"/>
          <w:rFonts w:ascii="Times New Roman" w:hAnsi="Times New Roman" w:cs="Times New Roman"/>
          <w:szCs w:val="22"/>
        </w:rPr>
        <w:endnoteReference w:id="2"/>
      </w:r>
      <w:r w:rsidR="00420D8C" w:rsidRPr="006B4B85">
        <w:rPr>
          <w:rFonts w:ascii="Times New Roman" w:hAnsi="Times New Roman" w:cs="Times New Roman"/>
          <w:szCs w:val="22"/>
        </w:rPr>
        <w:t xml:space="preserve"> Success in </w:t>
      </w:r>
      <w:r w:rsidR="00440B69" w:rsidRPr="006B4B85">
        <w:rPr>
          <w:rFonts w:ascii="Times New Roman" w:hAnsi="Times New Roman" w:cs="Times New Roman"/>
          <w:szCs w:val="22"/>
        </w:rPr>
        <w:t xml:space="preserve">public health and </w:t>
      </w:r>
      <w:r w:rsidR="00D3722A">
        <w:rPr>
          <w:rFonts w:ascii="Times New Roman" w:hAnsi="Times New Roman" w:cs="Times New Roman"/>
          <w:szCs w:val="22"/>
        </w:rPr>
        <w:t xml:space="preserve">the </w:t>
      </w:r>
      <w:r w:rsidR="00420D8C" w:rsidRPr="006B4B85">
        <w:rPr>
          <w:rFonts w:ascii="Times New Roman" w:hAnsi="Times New Roman" w:cs="Times New Roman"/>
          <w:szCs w:val="22"/>
        </w:rPr>
        <w:t xml:space="preserve">development of </w:t>
      </w:r>
      <w:r w:rsidR="00440B69" w:rsidRPr="006B4B85">
        <w:rPr>
          <w:rFonts w:ascii="Times New Roman" w:hAnsi="Times New Roman" w:cs="Times New Roman"/>
          <w:szCs w:val="22"/>
        </w:rPr>
        <w:t>modern medicine</w:t>
      </w:r>
      <w:r w:rsidR="00420D8C" w:rsidRPr="006B4B85">
        <w:rPr>
          <w:rFonts w:ascii="Times New Roman" w:hAnsi="Times New Roman" w:cs="Times New Roman"/>
          <w:szCs w:val="22"/>
        </w:rPr>
        <w:t xml:space="preserve"> (</w:t>
      </w:r>
      <w:r w:rsidR="00D3722A">
        <w:rPr>
          <w:rFonts w:ascii="Times New Roman" w:hAnsi="Times New Roman" w:cs="Times New Roman"/>
          <w:szCs w:val="22"/>
        </w:rPr>
        <w:t xml:space="preserve">including </w:t>
      </w:r>
      <w:r w:rsidR="00420D8C" w:rsidRPr="006B4B85">
        <w:rPr>
          <w:rFonts w:ascii="Times New Roman" w:hAnsi="Times New Roman" w:cs="Times New Roman"/>
          <w:szCs w:val="22"/>
        </w:rPr>
        <w:t xml:space="preserve">pharma and technology) </w:t>
      </w:r>
      <w:r w:rsidR="004362AD">
        <w:rPr>
          <w:rFonts w:ascii="Times New Roman" w:hAnsi="Times New Roman" w:cs="Times New Roman"/>
          <w:szCs w:val="22"/>
        </w:rPr>
        <w:t xml:space="preserve">result in a </w:t>
      </w:r>
      <w:r w:rsidR="00420D8C" w:rsidRPr="006B4B85">
        <w:rPr>
          <w:rFonts w:ascii="Times New Roman" w:hAnsi="Times New Roman" w:cs="Times New Roman"/>
          <w:szCs w:val="22"/>
        </w:rPr>
        <w:t xml:space="preserve">population </w:t>
      </w:r>
      <w:r w:rsidR="004362AD">
        <w:rPr>
          <w:rFonts w:ascii="Times New Roman" w:hAnsi="Times New Roman" w:cs="Times New Roman"/>
          <w:szCs w:val="22"/>
        </w:rPr>
        <w:t xml:space="preserve">that is </w:t>
      </w:r>
      <w:r w:rsidR="00420D8C" w:rsidRPr="006B4B85">
        <w:rPr>
          <w:rFonts w:ascii="Times New Roman" w:hAnsi="Times New Roman" w:cs="Times New Roman"/>
          <w:szCs w:val="22"/>
        </w:rPr>
        <w:t xml:space="preserve">living longer </w:t>
      </w:r>
      <w:r w:rsidR="006D4385">
        <w:rPr>
          <w:rFonts w:ascii="Times New Roman" w:hAnsi="Times New Roman" w:cs="Times New Roman"/>
          <w:szCs w:val="22"/>
        </w:rPr>
        <w:t xml:space="preserve">but </w:t>
      </w:r>
      <w:r w:rsidR="006C253F">
        <w:rPr>
          <w:rFonts w:ascii="Times New Roman" w:hAnsi="Times New Roman" w:cs="Times New Roman"/>
          <w:szCs w:val="22"/>
        </w:rPr>
        <w:t xml:space="preserve">set to </w:t>
      </w:r>
      <w:r w:rsidR="00420D8C" w:rsidRPr="006B4B85">
        <w:rPr>
          <w:rFonts w:ascii="Times New Roman" w:hAnsi="Times New Roman" w:cs="Times New Roman"/>
          <w:szCs w:val="22"/>
        </w:rPr>
        <w:t xml:space="preserve">experience </w:t>
      </w:r>
      <w:r w:rsidR="00D3722A">
        <w:rPr>
          <w:rFonts w:ascii="Times New Roman" w:hAnsi="Times New Roman" w:cs="Times New Roman"/>
          <w:szCs w:val="22"/>
        </w:rPr>
        <w:t xml:space="preserve">greater levels of </w:t>
      </w:r>
      <w:r w:rsidR="00440B69" w:rsidRPr="006B4B85">
        <w:rPr>
          <w:rFonts w:ascii="Times New Roman" w:hAnsi="Times New Roman" w:cs="Times New Roman"/>
          <w:szCs w:val="22"/>
        </w:rPr>
        <w:t>co</w:t>
      </w:r>
      <w:r w:rsidR="00420D8C" w:rsidRPr="006B4B85">
        <w:rPr>
          <w:rFonts w:ascii="Times New Roman" w:hAnsi="Times New Roman" w:cs="Times New Roman"/>
          <w:szCs w:val="22"/>
        </w:rPr>
        <w:t>-</w:t>
      </w:r>
      <w:r w:rsidR="00440B69" w:rsidRPr="006B4B85">
        <w:rPr>
          <w:rFonts w:ascii="Times New Roman" w:hAnsi="Times New Roman" w:cs="Times New Roman"/>
          <w:szCs w:val="22"/>
        </w:rPr>
        <w:t>morbidit</w:t>
      </w:r>
      <w:r w:rsidR="00D3722A">
        <w:rPr>
          <w:rFonts w:ascii="Times New Roman" w:hAnsi="Times New Roman" w:cs="Times New Roman"/>
          <w:szCs w:val="22"/>
        </w:rPr>
        <w:t>y</w:t>
      </w:r>
      <w:r w:rsidR="00440B69" w:rsidRPr="006B4B85">
        <w:rPr>
          <w:rFonts w:ascii="Times New Roman" w:hAnsi="Times New Roman" w:cs="Times New Roman"/>
          <w:szCs w:val="22"/>
        </w:rPr>
        <w:t xml:space="preserve">, disability, </w:t>
      </w:r>
      <w:r w:rsidRPr="006B4B85">
        <w:rPr>
          <w:rFonts w:ascii="Times New Roman" w:hAnsi="Times New Roman" w:cs="Times New Roman"/>
          <w:szCs w:val="22"/>
        </w:rPr>
        <w:t xml:space="preserve">and </w:t>
      </w:r>
      <w:r w:rsidR="00440B69" w:rsidRPr="006B4B85">
        <w:rPr>
          <w:rFonts w:ascii="Times New Roman" w:hAnsi="Times New Roman" w:cs="Times New Roman"/>
          <w:szCs w:val="22"/>
        </w:rPr>
        <w:t>frailty</w:t>
      </w:r>
      <w:r w:rsidR="00420D8C" w:rsidRPr="006B4B85">
        <w:rPr>
          <w:rFonts w:ascii="Times New Roman" w:hAnsi="Times New Roman" w:cs="Times New Roman"/>
          <w:szCs w:val="22"/>
        </w:rPr>
        <w:t xml:space="preserve">.  </w:t>
      </w:r>
      <w:r w:rsidR="00D3722A">
        <w:rPr>
          <w:rFonts w:ascii="Times New Roman" w:hAnsi="Times New Roman" w:cs="Times New Roman"/>
          <w:szCs w:val="22"/>
        </w:rPr>
        <w:t xml:space="preserve">This review identifies a number of </w:t>
      </w:r>
      <w:r w:rsidRPr="006B4B85">
        <w:rPr>
          <w:rFonts w:ascii="Times New Roman" w:hAnsi="Times New Roman" w:cs="Times New Roman"/>
          <w:szCs w:val="22"/>
        </w:rPr>
        <w:t xml:space="preserve">challenges facing the NHS </w:t>
      </w:r>
      <w:r w:rsidR="00D3722A">
        <w:rPr>
          <w:rFonts w:ascii="Times New Roman" w:hAnsi="Times New Roman" w:cs="Times New Roman"/>
          <w:szCs w:val="22"/>
        </w:rPr>
        <w:t>as a result of population ageing</w:t>
      </w:r>
      <w:r w:rsidR="000F6F4A">
        <w:rPr>
          <w:rFonts w:ascii="Times New Roman" w:hAnsi="Times New Roman" w:cs="Times New Roman"/>
          <w:szCs w:val="22"/>
        </w:rPr>
        <w:t xml:space="preserve"> and the emerging policy and delivery responses</w:t>
      </w:r>
      <w:r w:rsidRPr="006B4B85">
        <w:rPr>
          <w:rFonts w:ascii="Times New Roman" w:hAnsi="Times New Roman" w:cs="Times New Roman"/>
          <w:szCs w:val="22"/>
        </w:rPr>
        <w:t xml:space="preserve">. </w:t>
      </w:r>
    </w:p>
    <w:p w:rsidR="005065E3" w:rsidRPr="006B4B85" w:rsidRDefault="005065E3" w:rsidP="001A48E3">
      <w:pPr>
        <w:jc w:val="both"/>
        <w:rPr>
          <w:rFonts w:ascii="Times New Roman" w:hAnsi="Times New Roman" w:cs="Times New Roman"/>
          <w:szCs w:val="22"/>
        </w:rPr>
      </w:pPr>
    </w:p>
    <w:p w:rsidR="001577BB" w:rsidRPr="006B4B85" w:rsidRDefault="00D939AA" w:rsidP="001A48E3">
      <w:pPr>
        <w:jc w:val="both"/>
        <w:rPr>
          <w:rFonts w:ascii="Times New Roman" w:hAnsi="Times New Roman" w:cs="Times New Roman"/>
          <w:b/>
          <w:szCs w:val="22"/>
        </w:rPr>
      </w:pPr>
      <w:r w:rsidRPr="006B4B85">
        <w:rPr>
          <w:rFonts w:ascii="Times New Roman" w:hAnsi="Times New Roman" w:cs="Times New Roman"/>
          <w:b/>
          <w:szCs w:val="22"/>
        </w:rPr>
        <w:t>Background</w:t>
      </w:r>
    </w:p>
    <w:p w:rsidR="0068579F" w:rsidRPr="006B4B85" w:rsidRDefault="0068579F" w:rsidP="0068579F">
      <w:pPr>
        <w:jc w:val="both"/>
        <w:rPr>
          <w:rFonts w:ascii="Times New Roman" w:hAnsi="Times New Roman" w:cs="Times New Roman"/>
          <w:szCs w:val="22"/>
        </w:rPr>
      </w:pPr>
      <w:r w:rsidRPr="006B4B85">
        <w:rPr>
          <w:rFonts w:ascii="Times New Roman" w:hAnsi="Times New Roman" w:cs="Times New Roman"/>
          <w:szCs w:val="22"/>
        </w:rPr>
        <w:t>The NHS</w:t>
      </w:r>
      <w:r w:rsidR="0029199E">
        <w:rPr>
          <w:rStyle w:val="EndnoteReference"/>
          <w:rFonts w:ascii="Times New Roman" w:hAnsi="Times New Roman" w:cs="Times New Roman"/>
          <w:b/>
          <w:sz w:val="22"/>
          <w:szCs w:val="22"/>
        </w:rPr>
        <w:endnoteReference w:id="3"/>
      </w:r>
      <w:r w:rsidR="0029199E" w:rsidRPr="006B4B85">
        <w:rPr>
          <w:rFonts w:ascii="Times New Roman" w:hAnsi="Times New Roman" w:cs="Times New Roman"/>
          <w:b/>
          <w:sz w:val="22"/>
          <w:szCs w:val="22"/>
        </w:rPr>
        <w:t xml:space="preserve"> </w:t>
      </w:r>
      <w:r w:rsidRPr="006B4B85">
        <w:rPr>
          <w:rFonts w:ascii="Times New Roman" w:hAnsi="Times New Roman" w:cs="Times New Roman"/>
          <w:szCs w:val="22"/>
        </w:rPr>
        <w:t xml:space="preserve">has a system of primary health care with </w:t>
      </w:r>
      <w:r w:rsidR="000F6F4A">
        <w:rPr>
          <w:rFonts w:ascii="Times New Roman" w:hAnsi="Times New Roman" w:cs="Times New Roman"/>
          <w:szCs w:val="22"/>
        </w:rPr>
        <w:t xml:space="preserve">a </w:t>
      </w:r>
      <w:r w:rsidRPr="006B4B85">
        <w:rPr>
          <w:rFonts w:ascii="Times New Roman" w:hAnsi="Times New Roman" w:cs="Times New Roman"/>
          <w:szCs w:val="22"/>
        </w:rPr>
        <w:t xml:space="preserve">key role </w:t>
      </w:r>
      <w:r w:rsidR="006C253F">
        <w:rPr>
          <w:rFonts w:ascii="Times New Roman" w:hAnsi="Times New Roman" w:cs="Times New Roman"/>
          <w:szCs w:val="22"/>
        </w:rPr>
        <w:t xml:space="preserve">for </w:t>
      </w:r>
      <w:r w:rsidRPr="006B4B85">
        <w:rPr>
          <w:rFonts w:ascii="Times New Roman" w:hAnsi="Times New Roman" w:cs="Times New Roman"/>
          <w:szCs w:val="22"/>
        </w:rPr>
        <w:t>General Practitioners</w:t>
      </w:r>
      <w:r w:rsidR="004362AD">
        <w:rPr>
          <w:rFonts w:ascii="Times New Roman" w:hAnsi="Times New Roman" w:cs="Times New Roman"/>
          <w:szCs w:val="22"/>
        </w:rPr>
        <w:t xml:space="preserve"> (GPs)</w:t>
      </w:r>
      <w:r w:rsidRPr="006B4B85">
        <w:rPr>
          <w:rFonts w:ascii="Times New Roman" w:hAnsi="Times New Roman" w:cs="Times New Roman"/>
          <w:szCs w:val="22"/>
        </w:rPr>
        <w:t xml:space="preserve"> as </w:t>
      </w:r>
      <w:r w:rsidR="006C253F">
        <w:rPr>
          <w:rFonts w:ascii="Times New Roman" w:hAnsi="Times New Roman" w:cs="Times New Roman"/>
          <w:szCs w:val="22"/>
        </w:rPr>
        <w:t xml:space="preserve">a </w:t>
      </w:r>
      <w:r w:rsidRPr="006B4B85">
        <w:rPr>
          <w:rFonts w:ascii="Times New Roman" w:hAnsi="Times New Roman" w:cs="Times New Roman"/>
          <w:szCs w:val="22"/>
        </w:rPr>
        <w:t xml:space="preserve">first point of contact and gatekeeper to secondary </w:t>
      </w:r>
      <w:r w:rsidR="002C02B4">
        <w:rPr>
          <w:rFonts w:ascii="Times New Roman" w:hAnsi="Times New Roman" w:cs="Times New Roman"/>
          <w:szCs w:val="22"/>
        </w:rPr>
        <w:t>care.</w:t>
      </w:r>
      <w:r w:rsidR="002C02B4">
        <w:rPr>
          <w:rStyle w:val="EndnoteReference"/>
          <w:rFonts w:ascii="Times New Roman" w:hAnsi="Times New Roman" w:cs="Times New Roman"/>
          <w:szCs w:val="22"/>
        </w:rPr>
        <w:endnoteReference w:id="4"/>
      </w:r>
      <w:r w:rsidR="002C02B4">
        <w:rPr>
          <w:rFonts w:ascii="Times New Roman" w:hAnsi="Times New Roman" w:cs="Times New Roman"/>
          <w:szCs w:val="22"/>
        </w:rPr>
        <w:t xml:space="preserve"> </w:t>
      </w:r>
      <w:r w:rsidRPr="006B4B85">
        <w:rPr>
          <w:rFonts w:ascii="Times New Roman" w:hAnsi="Times New Roman" w:cs="Times New Roman"/>
          <w:szCs w:val="22"/>
        </w:rPr>
        <w:t>These GP</w:t>
      </w:r>
      <w:r w:rsidR="004362AD">
        <w:rPr>
          <w:rFonts w:ascii="Times New Roman" w:hAnsi="Times New Roman" w:cs="Times New Roman"/>
          <w:szCs w:val="22"/>
        </w:rPr>
        <w:t>s</w:t>
      </w:r>
      <w:r w:rsidRPr="006B4B85">
        <w:rPr>
          <w:rFonts w:ascii="Times New Roman" w:hAnsi="Times New Roman" w:cs="Times New Roman"/>
          <w:szCs w:val="22"/>
        </w:rPr>
        <w:t xml:space="preserve"> are increasingly found in larger multidisciplinary teams that include practice nurses (</w:t>
      </w:r>
      <w:r w:rsidR="008D3AE3" w:rsidRPr="006B4B85">
        <w:rPr>
          <w:rFonts w:ascii="Times New Roman" w:hAnsi="Times New Roman" w:cs="Times New Roman"/>
          <w:szCs w:val="22"/>
        </w:rPr>
        <w:t xml:space="preserve">with a focus on </w:t>
      </w:r>
      <w:r w:rsidRPr="006B4B85">
        <w:rPr>
          <w:rFonts w:ascii="Times New Roman" w:hAnsi="Times New Roman" w:cs="Times New Roman"/>
          <w:szCs w:val="22"/>
        </w:rPr>
        <w:t>prevention, monitoring and management of chronic disease</w:t>
      </w:r>
      <w:r w:rsidR="008D3AE3" w:rsidRPr="006B4B85">
        <w:rPr>
          <w:rFonts w:ascii="Times New Roman" w:hAnsi="Times New Roman" w:cs="Times New Roman"/>
          <w:szCs w:val="22"/>
        </w:rPr>
        <w:t>s</w:t>
      </w:r>
      <w:r w:rsidRPr="006B4B85">
        <w:rPr>
          <w:rFonts w:ascii="Times New Roman" w:hAnsi="Times New Roman" w:cs="Times New Roman"/>
          <w:szCs w:val="22"/>
        </w:rPr>
        <w:t xml:space="preserve">), nurse practitioners </w:t>
      </w:r>
      <w:r w:rsidR="008D3AE3" w:rsidRPr="006B4B85">
        <w:rPr>
          <w:rFonts w:ascii="Times New Roman" w:hAnsi="Times New Roman" w:cs="Times New Roman"/>
          <w:szCs w:val="22"/>
        </w:rPr>
        <w:t xml:space="preserve">(more advanced practitioners with </w:t>
      </w:r>
      <w:r w:rsidR="0029199E">
        <w:rPr>
          <w:rFonts w:ascii="Times New Roman" w:hAnsi="Times New Roman" w:cs="Times New Roman"/>
          <w:szCs w:val="22"/>
        </w:rPr>
        <w:t>some</w:t>
      </w:r>
      <w:r w:rsidRPr="006B4B85">
        <w:rPr>
          <w:rFonts w:ascii="Times New Roman" w:hAnsi="Times New Roman" w:cs="Times New Roman"/>
          <w:szCs w:val="22"/>
        </w:rPr>
        <w:t xml:space="preserve"> prescribing rights</w:t>
      </w:r>
      <w:r w:rsidR="008D3AE3" w:rsidRPr="006B4B85">
        <w:rPr>
          <w:rFonts w:ascii="Times New Roman" w:hAnsi="Times New Roman" w:cs="Times New Roman"/>
          <w:szCs w:val="22"/>
        </w:rPr>
        <w:t>)</w:t>
      </w:r>
      <w:r w:rsidRPr="006B4B85">
        <w:rPr>
          <w:rFonts w:ascii="Times New Roman" w:hAnsi="Times New Roman" w:cs="Times New Roman"/>
          <w:szCs w:val="22"/>
        </w:rPr>
        <w:t xml:space="preserve">, and community nurses and health visitors </w:t>
      </w:r>
      <w:r w:rsidR="006C253F">
        <w:rPr>
          <w:rFonts w:ascii="Times New Roman" w:hAnsi="Times New Roman" w:cs="Times New Roman"/>
          <w:szCs w:val="22"/>
        </w:rPr>
        <w:t xml:space="preserve">who are </w:t>
      </w:r>
      <w:r w:rsidRPr="006B4B85">
        <w:rPr>
          <w:rFonts w:ascii="Times New Roman" w:hAnsi="Times New Roman" w:cs="Times New Roman"/>
          <w:szCs w:val="22"/>
        </w:rPr>
        <w:t xml:space="preserve">based in the </w:t>
      </w:r>
      <w:r w:rsidR="008D3AE3" w:rsidRPr="006B4B85">
        <w:rPr>
          <w:rFonts w:ascii="Times New Roman" w:hAnsi="Times New Roman" w:cs="Times New Roman"/>
          <w:szCs w:val="22"/>
        </w:rPr>
        <w:t>practice or linked to a group or</w:t>
      </w:r>
      <w:r w:rsidRPr="006B4B85">
        <w:rPr>
          <w:rFonts w:ascii="Times New Roman" w:hAnsi="Times New Roman" w:cs="Times New Roman"/>
          <w:szCs w:val="22"/>
        </w:rPr>
        <w:t xml:space="preserve"> </w:t>
      </w:r>
      <w:r w:rsidR="008D3AE3" w:rsidRPr="006B4B85">
        <w:rPr>
          <w:rFonts w:ascii="Times New Roman" w:hAnsi="Times New Roman" w:cs="Times New Roman"/>
          <w:szCs w:val="22"/>
        </w:rPr>
        <w:t xml:space="preserve">GP </w:t>
      </w:r>
      <w:r w:rsidRPr="006B4B85">
        <w:rPr>
          <w:rFonts w:ascii="Times New Roman" w:hAnsi="Times New Roman" w:cs="Times New Roman"/>
          <w:szCs w:val="22"/>
        </w:rPr>
        <w:t>practice</w:t>
      </w:r>
      <w:r w:rsidR="00C07F9F">
        <w:rPr>
          <w:rFonts w:ascii="Times New Roman" w:hAnsi="Times New Roman" w:cs="Times New Roman"/>
          <w:szCs w:val="22"/>
        </w:rPr>
        <w:t>.</w:t>
      </w:r>
      <w:r w:rsidR="002C02B4">
        <w:rPr>
          <w:rStyle w:val="EndnoteReference"/>
          <w:rFonts w:ascii="Times New Roman" w:hAnsi="Times New Roman" w:cs="Times New Roman"/>
          <w:szCs w:val="22"/>
        </w:rPr>
        <w:endnoteReference w:id="5"/>
      </w:r>
      <w:r w:rsidRPr="006B4B85">
        <w:rPr>
          <w:rFonts w:ascii="Times New Roman" w:hAnsi="Times New Roman" w:cs="Times New Roman"/>
          <w:szCs w:val="22"/>
        </w:rPr>
        <w:t xml:space="preserve">  </w:t>
      </w:r>
      <w:r w:rsidR="004362AD">
        <w:rPr>
          <w:rFonts w:ascii="Times New Roman" w:hAnsi="Times New Roman" w:cs="Times New Roman"/>
          <w:szCs w:val="22"/>
        </w:rPr>
        <w:t xml:space="preserve">Patients do not make co-payments for these consultations and services.  </w:t>
      </w:r>
      <w:r w:rsidRPr="006B4B85">
        <w:rPr>
          <w:rFonts w:ascii="Times New Roman" w:hAnsi="Times New Roman" w:cs="Times New Roman"/>
          <w:szCs w:val="22"/>
        </w:rPr>
        <w:t>Policy over the last 20 years has seen a major transfer of responsibility for chronic disease to General Practice (a m</w:t>
      </w:r>
      <w:r w:rsidR="006C253F">
        <w:rPr>
          <w:rFonts w:ascii="Times New Roman" w:hAnsi="Times New Roman" w:cs="Times New Roman"/>
          <w:szCs w:val="22"/>
        </w:rPr>
        <w:t xml:space="preserve">ove supported by </w:t>
      </w:r>
      <w:r w:rsidRPr="006B4B85">
        <w:rPr>
          <w:rFonts w:ascii="Times New Roman" w:hAnsi="Times New Roman" w:cs="Times New Roman"/>
          <w:szCs w:val="22"/>
        </w:rPr>
        <w:t>change</w:t>
      </w:r>
      <w:r w:rsidR="006D4385">
        <w:rPr>
          <w:rFonts w:ascii="Times New Roman" w:hAnsi="Times New Roman" w:cs="Times New Roman"/>
          <w:szCs w:val="22"/>
        </w:rPr>
        <w:t>s</w:t>
      </w:r>
      <w:r w:rsidRPr="006B4B85">
        <w:rPr>
          <w:rFonts w:ascii="Times New Roman" w:hAnsi="Times New Roman" w:cs="Times New Roman"/>
          <w:szCs w:val="22"/>
        </w:rPr>
        <w:t xml:space="preserve"> to the GP contract in 2004)</w:t>
      </w:r>
      <w:r w:rsidR="00C07F9F">
        <w:rPr>
          <w:rFonts w:ascii="Times New Roman" w:hAnsi="Times New Roman" w:cs="Times New Roman"/>
          <w:szCs w:val="22"/>
        </w:rPr>
        <w:t>.</w:t>
      </w:r>
      <w:r w:rsidR="002C02B4">
        <w:rPr>
          <w:rStyle w:val="EndnoteReference"/>
          <w:rFonts w:ascii="Times New Roman" w:hAnsi="Times New Roman" w:cs="Times New Roman"/>
          <w:szCs w:val="22"/>
        </w:rPr>
        <w:endnoteReference w:id="6"/>
      </w:r>
      <w:r w:rsidRPr="006B4B85">
        <w:rPr>
          <w:rFonts w:ascii="Times New Roman" w:hAnsi="Times New Roman" w:cs="Times New Roman"/>
          <w:szCs w:val="22"/>
        </w:rPr>
        <w:t xml:space="preserve">  Under </w:t>
      </w:r>
      <w:r w:rsidR="008D3AE3" w:rsidRPr="006B4B85">
        <w:rPr>
          <w:rFonts w:ascii="Times New Roman" w:hAnsi="Times New Roman" w:cs="Times New Roman"/>
          <w:szCs w:val="22"/>
        </w:rPr>
        <w:t xml:space="preserve">the </w:t>
      </w:r>
      <w:r w:rsidRPr="006B4B85">
        <w:rPr>
          <w:rFonts w:ascii="Times New Roman" w:hAnsi="Times New Roman" w:cs="Times New Roman"/>
          <w:szCs w:val="22"/>
        </w:rPr>
        <w:t>2012 Health and Social Care Act, GPs are involved in both healthcare provision and</w:t>
      </w:r>
      <w:r w:rsidR="006C253F">
        <w:rPr>
          <w:rFonts w:ascii="Times New Roman" w:hAnsi="Times New Roman" w:cs="Times New Roman"/>
          <w:szCs w:val="22"/>
        </w:rPr>
        <w:t xml:space="preserve">, </w:t>
      </w:r>
      <w:r w:rsidRPr="006B4B85">
        <w:rPr>
          <w:rFonts w:ascii="Times New Roman" w:hAnsi="Times New Roman" w:cs="Times New Roman"/>
          <w:szCs w:val="22"/>
        </w:rPr>
        <w:t xml:space="preserve">within local Clinical </w:t>
      </w:r>
      <w:r w:rsidR="006C253F">
        <w:rPr>
          <w:rFonts w:ascii="Times New Roman" w:hAnsi="Times New Roman" w:cs="Times New Roman"/>
          <w:szCs w:val="22"/>
        </w:rPr>
        <w:t>Commissioning Groups,</w:t>
      </w:r>
      <w:r w:rsidR="00690BCB" w:rsidRPr="006B4B85">
        <w:rPr>
          <w:rFonts w:ascii="Times New Roman" w:hAnsi="Times New Roman" w:cs="Times New Roman"/>
          <w:szCs w:val="22"/>
        </w:rPr>
        <w:t xml:space="preserve"> </w:t>
      </w:r>
      <w:r w:rsidR="0029199E">
        <w:rPr>
          <w:rFonts w:ascii="Times New Roman" w:hAnsi="Times New Roman" w:cs="Times New Roman"/>
          <w:szCs w:val="22"/>
        </w:rPr>
        <w:t xml:space="preserve">the </w:t>
      </w:r>
      <w:r w:rsidR="00690BCB" w:rsidRPr="006B4B85">
        <w:rPr>
          <w:rFonts w:ascii="Times New Roman" w:hAnsi="Times New Roman" w:cs="Times New Roman"/>
          <w:szCs w:val="22"/>
        </w:rPr>
        <w:t>purchas</w:t>
      </w:r>
      <w:r w:rsidR="006C253F">
        <w:rPr>
          <w:rFonts w:ascii="Times New Roman" w:hAnsi="Times New Roman" w:cs="Times New Roman"/>
          <w:szCs w:val="22"/>
        </w:rPr>
        <w:t xml:space="preserve">ing of services for the local patient </w:t>
      </w:r>
      <w:r w:rsidRPr="006B4B85">
        <w:rPr>
          <w:rFonts w:ascii="Times New Roman" w:hAnsi="Times New Roman" w:cs="Times New Roman"/>
          <w:szCs w:val="22"/>
        </w:rPr>
        <w:t>population</w:t>
      </w:r>
      <w:r w:rsidR="00C07F9F">
        <w:rPr>
          <w:rFonts w:ascii="Times New Roman" w:hAnsi="Times New Roman" w:cs="Times New Roman"/>
          <w:szCs w:val="22"/>
        </w:rPr>
        <w:t>.</w:t>
      </w:r>
      <w:r w:rsidR="002C02B4">
        <w:rPr>
          <w:rStyle w:val="EndnoteReference"/>
          <w:rFonts w:ascii="Times New Roman" w:hAnsi="Times New Roman" w:cs="Times New Roman"/>
          <w:szCs w:val="22"/>
        </w:rPr>
        <w:endnoteReference w:id="7"/>
      </w:r>
      <w:r w:rsidRPr="006B4B85">
        <w:rPr>
          <w:rFonts w:ascii="Times New Roman" w:hAnsi="Times New Roman" w:cs="Times New Roman"/>
          <w:szCs w:val="22"/>
        </w:rPr>
        <w:t xml:space="preserve"> </w:t>
      </w:r>
    </w:p>
    <w:p w:rsidR="004C2F4F" w:rsidRPr="006B4B85" w:rsidRDefault="002C02B4" w:rsidP="001A48E3">
      <w:pPr>
        <w:jc w:val="both"/>
        <w:rPr>
          <w:rFonts w:ascii="Times New Roman" w:hAnsi="Times New Roman" w:cs="Times New Roman"/>
          <w:b/>
          <w:sz w:val="22"/>
          <w:szCs w:val="22"/>
        </w:rPr>
      </w:pPr>
      <w:r w:rsidRPr="006B4B85">
        <w:rPr>
          <w:rFonts w:ascii="Times New Roman" w:hAnsi="Times New Roman" w:cs="Times New Roman"/>
          <w:b/>
          <w:noProof/>
          <w:sz w:val="22"/>
          <w:szCs w:val="22"/>
          <w:lang w:val="en-GB" w:eastAsia="en-GB"/>
        </w:rPr>
        <w:drawing>
          <wp:anchor distT="0" distB="0" distL="114300" distR="114300" simplePos="0" relativeHeight="251659264" behindDoc="1" locked="0" layoutInCell="1" allowOverlap="1" wp14:anchorId="00E7ADB7" wp14:editId="52FFF8CE">
            <wp:simplePos x="0" y="0"/>
            <wp:positionH relativeFrom="column">
              <wp:posOffset>0</wp:posOffset>
            </wp:positionH>
            <wp:positionV relativeFrom="paragraph">
              <wp:posOffset>64135</wp:posOffset>
            </wp:positionV>
            <wp:extent cx="4469130" cy="2858770"/>
            <wp:effectExtent l="0" t="0" r="7620" b="0"/>
            <wp:wrapTight wrapText="bothSides">
              <wp:wrapPolygon edited="0">
                <wp:start x="0" y="0"/>
                <wp:lineTo x="0" y="21446"/>
                <wp:lineTo x="21545" y="21446"/>
                <wp:lineTo x="21545"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9130" cy="2858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70F" w:rsidRPr="006B4B85" w:rsidRDefault="004C2F4F" w:rsidP="001A48E3">
      <w:pPr>
        <w:jc w:val="both"/>
        <w:rPr>
          <w:rFonts w:ascii="Times New Roman" w:hAnsi="Times New Roman" w:cs="Times New Roman"/>
          <w:b/>
          <w:sz w:val="22"/>
          <w:szCs w:val="22"/>
        </w:rPr>
      </w:pPr>
      <w:r w:rsidRPr="006B4B85">
        <w:rPr>
          <w:rFonts w:ascii="Times New Roman" w:hAnsi="Times New Roman" w:cs="Times New Roman"/>
          <w:b/>
          <w:sz w:val="22"/>
          <w:szCs w:val="22"/>
        </w:rPr>
        <w:t>NHS Structure 2016 (England)</w:t>
      </w:r>
      <w:r w:rsidR="004431A4">
        <w:rPr>
          <w:rStyle w:val="EndnoteReference"/>
          <w:rFonts w:ascii="Times New Roman" w:hAnsi="Times New Roman" w:cs="Times New Roman"/>
          <w:b/>
          <w:sz w:val="22"/>
          <w:szCs w:val="22"/>
        </w:rPr>
        <w:endnoteReference w:id="8"/>
      </w:r>
      <w:r w:rsidR="004431A4">
        <w:rPr>
          <w:rFonts w:ascii="Times New Roman" w:hAnsi="Times New Roman" w:cs="Times New Roman"/>
          <w:b/>
          <w:sz w:val="22"/>
          <w:szCs w:val="22"/>
        </w:rPr>
        <w:t xml:space="preserve"> </w:t>
      </w:r>
    </w:p>
    <w:p w:rsidR="0074470F" w:rsidRPr="006B4B85" w:rsidRDefault="0074470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68579F" w:rsidRPr="006B4B85" w:rsidRDefault="0068579F" w:rsidP="001A48E3">
      <w:pPr>
        <w:jc w:val="both"/>
        <w:rPr>
          <w:rFonts w:ascii="Times New Roman" w:hAnsi="Times New Roman" w:cs="Times New Roman"/>
          <w:sz w:val="22"/>
          <w:szCs w:val="22"/>
        </w:rPr>
      </w:pPr>
    </w:p>
    <w:p w:rsidR="004C2F4F" w:rsidRPr="006B4B85" w:rsidRDefault="004C2F4F" w:rsidP="001A48E3">
      <w:pPr>
        <w:jc w:val="both"/>
        <w:rPr>
          <w:rFonts w:ascii="Times New Roman" w:hAnsi="Times New Roman" w:cs="Times New Roman"/>
          <w:sz w:val="22"/>
          <w:szCs w:val="22"/>
        </w:rPr>
      </w:pPr>
    </w:p>
    <w:p w:rsidR="004C2F4F" w:rsidRPr="006B4B85" w:rsidRDefault="004C2F4F" w:rsidP="001A48E3">
      <w:pPr>
        <w:jc w:val="both"/>
        <w:rPr>
          <w:rFonts w:ascii="Times New Roman" w:hAnsi="Times New Roman" w:cs="Times New Roman"/>
          <w:sz w:val="22"/>
          <w:szCs w:val="22"/>
        </w:rPr>
      </w:pPr>
    </w:p>
    <w:p w:rsidR="002C02B4" w:rsidRDefault="002C02B4">
      <w:pPr>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4C2F4F" w:rsidRPr="006B4B85" w:rsidRDefault="004C2F4F" w:rsidP="001A48E3">
      <w:pPr>
        <w:jc w:val="both"/>
        <w:rPr>
          <w:rFonts w:ascii="Times New Roman" w:hAnsi="Times New Roman" w:cs="Times New Roman"/>
          <w:sz w:val="22"/>
          <w:szCs w:val="22"/>
        </w:rPr>
      </w:pPr>
    </w:p>
    <w:p w:rsidR="00CC210F" w:rsidRPr="00CC210F" w:rsidRDefault="002C02B4" w:rsidP="00CF7C6A">
      <w:pPr>
        <w:pStyle w:val="NormalWeb"/>
        <w:pBdr>
          <w:top w:val="single" w:sz="4" w:space="1" w:color="auto" w:shadow="1"/>
          <w:left w:val="single" w:sz="4" w:space="4" w:color="auto" w:shadow="1"/>
          <w:bottom w:val="single" w:sz="4" w:space="1" w:color="auto" w:shadow="1"/>
          <w:right w:val="single" w:sz="4" w:space="4" w:color="auto" w:shadow="1"/>
        </w:pBdr>
        <w:shd w:val="clear" w:color="auto" w:fill="FFFFFF"/>
        <w:rPr>
          <w:b/>
          <w:i/>
        </w:rPr>
      </w:pPr>
      <w:r>
        <w:rPr>
          <w:b/>
          <w:i/>
        </w:rPr>
        <w:t>Bridging the gap between health and social c</w:t>
      </w:r>
      <w:r w:rsidR="00CC210F" w:rsidRPr="00CC210F">
        <w:rPr>
          <w:b/>
          <w:i/>
        </w:rPr>
        <w:t xml:space="preserve">are </w:t>
      </w:r>
    </w:p>
    <w:p w:rsidR="00F104CC" w:rsidRDefault="004362AD" w:rsidP="00CF7C6A">
      <w:pPr>
        <w:pStyle w:val="NormalWeb"/>
        <w:pBdr>
          <w:top w:val="single" w:sz="4" w:space="1" w:color="auto" w:shadow="1"/>
          <w:left w:val="single" w:sz="4" w:space="4" w:color="auto" w:shadow="1"/>
          <w:bottom w:val="single" w:sz="4" w:space="1" w:color="auto" w:shadow="1"/>
          <w:right w:val="single" w:sz="4" w:space="4" w:color="auto" w:shadow="1"/>
        </w:pBdr>
        <w:shd w:val="clear" w:color="auto" w:fill="FFFFFF"/>
        <w:rPr>
          <w:color w:val="222222"/>
        </w:rPr>
      </w:pPr>
      <w:r>
        <w:t xml:space="preserve">The </w:t>
      </w:r>
      <w:r w:rsidR="004C2F4F" w:rsidRPr="006B4B85">
        <w:t xml:space="preserve">UK </w:t>
      </w:r>
      <w:r w:rsidR="00F104CC">
        <w:t xml:space="preserve">has </w:t>
      </w:r>
      <w:r>
        <w:t xml:space="preserve">a longstanding </w:t>
      </w:r>
      <w:r w:rsidR="004C2F4F" w:rsidRPr="006B4B85">
        <w:t>distinction between health and social care</w:t>
      </w:r>
      <w:r w:rsidR="00F104CC">
        <w:t xml:space="preserve"> and this boundary</w:t>
      </w:r>
      <w:r w:rsidR="00C07F9F">
        <w:t xml:space="preserve"> – </w:t>
      </w:r>
      <w:r w:rsidR="00F104CC">
        <w:rPr>
          <w:color w:val="222222"/>
        </w:rPr>
        <w:t xml:space="preserve">and </w:t>
      </w:r>
      <w:r w:rsidR="001558A3">
        <w:rPr>
          <w:color w:val="222222"/>
        </w:rPr>
        <w:t>associated</w:t>
      </w:r>
      <w:r w:rsidR="006C253F">
        <w:rPr>
          <w:color w:val="222222"/>
        </w:rPr>
        <w:t xml:space="preserve"> </w:t>
      </w:r>
      <w:r w:rsidR="00F104CC">
        <w:rPr>
          <w:color w:val="222222"/>
        </w:rPr>
        <w:t>cost shunting</w:t>
      </w:r>
      <w:r w:rsidR="00C07F9F">
        <w:rPr>
          <w:color w:val="222222"/>
        </w:rPr>
        <w:t xml:space="preserve"> – </w:t>
      </w:r>
      <w:r w:rsidR="006C253F">
        <w:rPr>
          <w:color w:val="222222"/>
        </w:rPr>
        <w:t xml:space="preserve">is a </w:t>
      </w:r>
      <w:r w:rsidR="00C07F9F">
        <w:rPr>
          <w:color w:val="222222"/>
        </w:rPr>
        <w:t xml:space="preserve">problem </w:t>
      </w:r>
      <w:r w:rsidR="000F6F4A">
        <w:rPr>
          <w:color w:val="222222"/>
        </w:rPr>
        <w:t xml:space="preserve">for </w:t>
      </w:r>
      <w:r w:rsidR="00F104CC">
        <w:rPr>
          <w:color w:val="222222"/>
        </w:rPr>
        <w:t>delivering integrated services w</w:t>
      </w:r>
      <w:r w:rsidR="006C253F">
        <w:rPr>
          <w:color w:val="222222"/>
        </w:rPr>
        <w:t>ith</w:t>
      </w:r>
      <w:r w:rsidR="00F104CC">
        <w:rPr>
          <w:color w:val="222222"/>
        </w:rPr>
        <w:t xml:space="preserve"> patient needs at the centre. </w:t>
      </w:r>
      <w:r w:rsidR="004C2F4F" w:rsidRPr="006B4B85">
        <w:rPr>
          <w:color w:val="222222"/>
        </w:rPr>
        <w:t xml:space="preserve"> </w:t>
      </w:r>
    </w:p>
    <w:p w:rsidR="004431A4" w:rsidRDefault="004431A4" w:rsidP="00CF7C6A">
      <w:pPr>
        <w:pStyle w:val="NormalWeb"/>
        <w:pBdr>
          <w:top w:val="single" w:sz="4" w:space="1" w:color="auto" w:shadow="1"/>
          <w:left w:val="single" w:sz="4" w:space="4" w:color="auto" w:shadow="1"/>
          <w:bottom w:val="single" w:sz="4" w:space="1" w:color="auto" w:shadow="1"/>
          <w:right w:val="single" w:sz="4" w:space="4" w:color="auto" w:shadow="1"/>
        </w:pBdr>
        <w:shd w:val="clear" w:color="auto" w:fill="FFFFFF"/>
        <w:rPr>
          <w:color w:val="222222"/>
        </w:rPr>
      </w:pPr>
      <w:r w:rsidRPr="004431A4">
        <w:rPr>
          <w:color w:val="222222"/>
        </w:rPr>
        <w:t>NHS healthcare</w:t>
      </w:r>
      <w:r>
        <w:rPr>
          <w:color w:val="222222"/>
        </w:rPr>
        <w:t xml:space="preserve"> (funded centrally) relates</w:t>
      </w:r>
      <w:r w:rsidRPr="004431A4">
        <w:rPr>
          <w:color w:val="222222"/>
        </w:rPr>
        <w:t xml:space="preserve"> to the treatment, control or prevention of a disease, illness, injury or disability, and </w:t>
      </w:r>
      <w:r>
        <w:rPr>
          <w:color w:val="222222"/>
        </w:rPr>
        <w:t>care or aftercare.  S</w:t>
      </w:r>
      <w:r w:rsidRPr="004431A4">
        <w:rPr>
          <w:color w:val="222222"/>
        </w:rPr>
        <w:t xml:space="preserve">ocial care </w:t>
      </w:r>
      <w:r>
        <w:rPr>
          <w:color w:val="222222"/>
        </w:rPr>
        <w:t>focuses</w:t>
      </w:r>
      <w:r w:rsidRPr="004431A4">
        <w:rPr>
          <w:color w:val="222222"/>
        </w:rPr>
        <w:t xml:space="preserve"> on providing assistance with activities of daily living, maintaining i</w:t>
      </w:r>
      <w:r>
        <w:rPr>
          <w:color w:val="222222"/>
        </w:rPr>
        <w:t xml:space="preserve">ndependence, </w:t>
      </w:r>
      <w:r w:rsidR="001558A3">
        <w:rPr>
          <w:color w:val="222222"/>
        </w:rPr>
        <w:t xml:space="preserve">and </w:t>
      </w:r>
      <w:r>
        <w:rPr>
          <w:color w:val="222222"/>
        </w:rPr>
        <w:t>social interaction</w:t>
      </w:r>
      <w:r w:rsidRPr="004431A4">
        <w:rPr>
          <w:color w:val="222222"/>
        </w:rPr>
        <w:t xml:space="preserve">.  </w:t>
      </w:r>
    </w:p>
    <w:p w:rsidR="004431A4" w:rsidRPr="004431A4" w:rsidRDefault="00F104CC" w:rsidP="00CF7C6A">
      <w:pPr>
        <w:pStyle w:val="NormalWeb"/>
        <w:pBdr>
          <w:top w:val="single" w:sz="4" w:space="1" w:color="auto" w:shadow="1"/>
          <w:left w:val="single" w:sz="4" w:space="4" w:color="auto" w:shadow="1"/>
          <w:bottom w:val="single" w:sz="4" w:space="1" w:color="auto" w:shadow="1"/>
          <w:right w:val="single" w:sz="4" w:space="4" w:color="auto" w:shadow="1"/>
        </w:pBdr>
        <w:shd w:val="clear" w:color="auto" w:fill="FFFFFF"/>
        <w:rPr>
          <w:color w:val="222222"/>
        </w:rPr>
      </w:pPr>
      <w:r w:rsidRPr="00F104CC">
        <w:rPr>
          <w:color w:val="222222"/>
        </w:rPr>
        <w:t>Local Authorities have a duty or power to provide</w:t>
      </w:r>
      <w:r>
        <w:rPr>
          <w:color w:val="222222"/>
        </w:rPr>
        <w:t xml:space="preserve"> social care services</w:t>
      </w:r>
      <w:r w:rsidR="004431A4">
        <w:rPr>
          <w:color w:val="222222"/>
        </w:rPr>
        <w:t>, including</w:t>
      </w:r>
      <w:r w:rsidRPr="00F104CC">
        <w:rPr>
          <w:color w:val="222222"/>
        </w:rPr>
        <w:t xml:space="preserve"> social work services; advice; support; practical assistance in the home; assistance with equipment and home adaptations;</w:t>
      </w:r>
      <w:r w:rsidR="004431A4">
        <w:rPr>
          <w:color w:val="222222"/>
        </w:rPr>
        <w:t xml:space="preserve"> befriending</w:t>
      </w:r>
      <w:r w:rsidRPr="00F104CC">
        <w:rPr>
          <w:color w:val="222222"/>
        </w:rPr>
        <w:t xml:space="preserve">; provision of meals; </w:t>
      </w:r>
      <w:r w:rsidR="004431A4">
        <w:rPr>
          <w:color w:val="222222"/>
        </w:rPr>
        <w:t xml:space="preserve">opportunities for </w:t>
      </w:r>
      <w:r w:rsidRPr="00F104CC">
        <w:rPr>
          <w:color w:val="222222"/>
        </w:rPr>
        <w:t>social and recreatio</w:t>
      </w:r>
      <w:r w:rsidR="004431A4">
        <w:rPr>
          <w:color w:val="222222"/>
        </w:rPr>
        <w:t>nal activities outside the home</w:t>
      </w:r>
      <w:r w:rsidRPr="00F104CC">
        <w:rPr>
          <w:color w:val="222222"/>
        </w:rPr>
        <w:t xml:space="preserve">; and assistance in finding </w:t>
      </w:r>
      <w:r w:rsidR="004431A4">
        <w:rPr>
          <w:color w:val="222222"/>
        </w:rPr>
        <w:t xml:space="preserve">appropriate </w:t>
      </w:r>
      <w:r w:rsidRPr="00F104CC">
        <w:rPr>
          <w:color w:val="222222"/>
        </w:rPr>
        <w:t>a</w:t>
      </w:r>
      <w:r w:rsidR="004431A4">
        <w:rPr>
          <w:color w:val="222222"/>
        </w:rPr>
        <w:t>ccommodation (e.g. a care home or supported accommodation)</w:t>
      </w:r>
      <w:r w:rsidRPr="00F104CC">
        <w:rPr>
          <w:color w:val="222222"/>
        </w:rPr>
        <w:t>.</w:t>
      </w:r>
      <w:r w:rsidR="004431A4">
        <w:rPr>
          <w:rStyle w:val="EndnoteReference"/>
          <w:color w:val="222222"/>
        </w:rPr>
        <w:endnoteReference w:id="9"/>
      </w:r>
      <w:r w:rsidRPr="00F104CC">
        <w:rPr>
          <w:color w:val="222222"/>
        </w:rPr>
        <w:t xml:space="preserve">  </w:t>
      </w:r>
    </w:p>
    <w:p w:rsidR="001577BB" w:rsidRPr="006B4B85" w:rsidRDefault="0074470F" w:rsidP="001A48E3">
      <w:pPr>
        <w:jc w:val="both"/>
        <w:rPr>
          <w:rFonts w:ascii="Times New Roman" w:hAnsi="Times New Roman" w:cs="Times New Roman"/>
        </w:rPr>
      </w:pPr>
      <w:r w:rsidRPr="006B4B85">
        <w:rPr>
          <w:rFonts w:ascii="Times New Roman" w:hAnsi="Times New Roman" w:cs="Times New Roman"/>
        </w:rPr>
        <w:t xml:space="preserve">Around </w:t>
      </w:r>
      <w:r w:rsidR="001577BB" w:rsidRPr="006B4B85">
        <w:rPr>
          <w:rFonts w:ascii="Times New Roman" w:hAnsi="Times New Roman" w:cs="Times New Roman"/>
        </w:rPr>
        <w:t xml:space="preserve">98.8% of revenue </w:t>
      </w:r>
      <w:r w:rsidR="00CF7C6A" w:rsidRPr="006B4B85">
        <w:rPr>
          <w:rFonts w:ascii="Times New Roman" w:hAnsi="Times New Roman" w:cs="Times New Roman"/>
        </w:rPr>
        <w:t xml:space="preserve">for healthcare </w:t>
      </w:r>
      <w:r w:rsidR="001577BB" w:rsidRPr="006B4B85">
        <w:rPr>
          <w:rFonts w:ascii="Times New Roman" w:hAnsi="Times New Roman" w:cs="Times New Roman"/>
        </w:rPr>
        <w:t>service</w:t>
      </w:r>
      <w:r w:rsidR="004362AD">
        <w:rPr>
          <w:rFonts w:ascii="Times New Roman" w:hAnsi="Times New Roman" w:cs="Times New Roman"/>
        </w:rPr>
        <w:t>s</w:t>
      </w:r>
      <w:r w:rsidR="001577BB" w:rsidRPr="006B4B85">
        <w:rPr>
          <w:rFonts w:ascii="Times New Roman" w:hAnsi="Times New Roman" w:cs="Times New Roman"/>
        </w:rPr>
        <w:t xml:space="preserve"> is funded by national tax revenues and charges are a relatively small part of the revenue (1.2%)</w:t>
      </w:r>
      <w:r w:rsidR="004431A4">
        <w:rPr>
          <w:rFonts w:ascii="Times New Roman" w:hAnsi="Times New Roman" w:cs="Times New Roman"/>
        </w:rPr>
        <w:t>.</w:t>
      </w:r>
      <w:r w:rsidR="004431A4">
        <w:rPr>
          <w:rStyle w:val="EndnoteReference"/>
          <w:rFonts w:ascii="Times New Roman" w:hAnsi="Times New Roman" w:cs="Times New Roman"/>
        </w:rPr>
        <w:endnoteReference w:id="10"/>
      </w:r>
      <w:r w:rsidR="004362AD">
        <w:rPr>
          <w:rFonts w:ascii="Times New Roman" w:hAnsi="Times New Roman" w:cs="Times New Roman"/>
        </w:rPr>
        <w:t xml:space="preserve">  The F</w:t>
      </w:r>
      <w:r w:rsidR="004431A4">
        <w:rPr>
          <w:rFonts w:ascii="Times New Roman" w:hAnsi="Times New Roman" w:cs="Times New Roman"/>
        </w:rPr>
        <w:t>igure below shows how the money flows in the new NHS.</w:t>
      </w:r>
      <w:r w:rsidR="004431A4">
        <w:rPr>
          <w:rStyle w:val="EndnoteReference"/>
          <w:rFonts w:ascii="Times New Roman" w:hAnsi="Times New Roman" w:cs="Times New Roman"/>
        </w:rPr>
        <w:endnoteReference w:id="11"/>
      </w:r>
      <w:r w:rsidR="001577BB" w:rsidRPr="006B4B85">
        <w:rPr>
          <w:rFonts w:ascii="Times New Roman" w:hAnsi="Times New Roman" w:cs="Times New Roman"/>
        </w:rPr>
        <w:t xml:space="preserve"> </w:t>
      </w:r>
    </w:p>
    <w:p w:rsidR="001577BB" w:rsidRPr="006B4B85" w:rsidRDefault="001577BB" w:rsidP="001A48E3">
      <w:pPr>
        <w:jc w:val="both"/>
        <w:rPr>
          <w:rFonts w:ascii="Times New Roman" w:hAnsi="Times New Roman" w:cs="Times New Roman"/>
          <w:sz w:val="22"/>
          <w:szCs w:val="22"/>
        </w:rPr>
      </w:pPr>
    </w:p>
    <w:p w:rsidR="000F6F4A" w:rsidRDefault="0074470F" w:rsidP="000F6F4A">
      <w:pPr>
        <w:jc w:val="both"/>
        <w:rPr>
          <w:rFonts w:ascii="Times New Roman" w:hAnsi="Times New Roman" w:cs="Times New Roman"/>
          <w:sz w:val="22"/>
          <w:szCs w:val="22"/>
        </w:rPr>
      </w:pPr>
      <w:r w:rsidRPr="006A729B">
        <w:rPr>
          <w:rFonts w:ascii="Times New Roman" w:hAnsi="Times New Roman" w:cs="Times New Roman"/>
          <w:noProof/>
          <w:color w:val="000000" w:themeColor="text1"/>
          <w:sz w:val="22"/>
          <w:szCs w:val="22"/>
          <w:lang w:val="en-GB" w:eastAsia="en-GB"/>
        </w:rPr>
        <w:drawing>
          <wp:anchor distT="0" distB="0" distL="114300" distR="114300" simplePos="0" relativeHeight="251658240" behindDoc="1" locked="0" layoutInCell="1" allowOverlap="1" wp14:anchorId="7363695A" wp14:editId="47CD98FB">
            <wp:simplePos x="0" y="0"/>
            <wp:positionH relativeFrom="column">
              <wp:posOffset>-1905</wp:posOffset>
            </wp:positionH>
            <wp:positionV relativeFrom="paragraph">
              <wp:posOffset>0</wp:posOffset>
            </wp:positionV>
            <wp:extent cx="3729355" cy="2933065"/>
            <wp:effectExtent l="0" t="0" r="4445" b="635"/>
            <wp:wrapTight wrapText="bothSides">
              <wp:wrapPolygon edited="0">
                <wp:start x="0" y="0"/>
                <wp:lineTo x="0" y="21464"/>
                <wp:lineTo x="21515" y="21464"/>
                <wp:lineTo x="2151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9355" cy="293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684" w:rsidRPr="006B4B85">
        <w:rPr>
          <w:rFonts w:ascii="Times New Roman" w:hAnsi="Times New Roman" w:cs="Times New Roman"/>
        </w:rPr>
        <w:t>Health expenditure has grown faster than nationa</w:t>
      </w:r>
      <w:r w:rsidR="001558A3">
        <w:rPr>
          <w:rFonts w:ascii="Times New Roman" w:hAnsi="Times New Roman" w:cs="Times New Roman"/>
        </w:rPr>
        <w:t xml:space="preserve">l income due to </w:t>
      </w:r>
      <w:r w:rsidR="00A62684" w:rsidRPr="006B4B85">
        <w:rPr>
          <w:rFonts w:ascii="Times New Roman" w:hAnsi="Times New Roman" w:cs="Times New Roman"/>
        </w:rPr>
        <w:t xml:space="preserve">new technology (both pharma and </w:t>
      </w:r>
      <w:r w:rsidR="006D4385">
        <w:rPr>
          <w:rFonts w:ascii="Times New Roman" w:hAnsi="Times New Roman" w:cs="Times New Roman"/>
        </w:rPr>
        <w:t>development</w:t>
      </w:r>
      <w:r w:rsidR="001558A3">
        <w:rPr>
          <w:rFonts w:ascii="Times New Roman" w:hAnsi="Times New Roman" w:cs="Times New Roman"/>
        </w:rPr>
        <w:t>s</w:t>
      </w:r>
      <w:r w:rsidR="00C07F9F">
        <w:rPr>
          <w:rFonts w:ascii="Times New Roman" w:hAnsi="Times New Roman" w:cs="Times New Roman"/>
        </w:rPr>
        <w:t xml:space="preserve"> that</w:t>
      </w:r>
      <w:r w:rsidR="006D4385">
        <w:rPr>
          <w:rFonts w:ascii="Times New Roman" w:hAnsi="Times New Roman" w:cs="Times New Roman"/>
        </w:rPr>
        <w:t xml:space="preserve"> </w:t>
      </w:r>
      <w:r w:rsidR="00A62684" w:rsidRPr="006B4B85">
        <w:rPr>
          <w:rFonts w:ascii="Times New Roman" w:hAnsi="Times New Roman" w:cs="Times New Roman"/>
        </w:rPr>
        <w:t xml:space="preserve">allow better </w:t>
      </w:r>
      <w:r w:rsidR="006D4385">
        <w:rPr>
          <w:rFonts w:ascii="Times New Roman" w:hAnsi="Times New Roman" w:cs="Times New Roman"/>
        </w:rPr>
        <w:t xml:space="preserve">diagnosis, </w:t>
      </w:r>
      <w:r w:rsidR="00A62684" w:rsidRPr="006B4B85">
        <w:rPr>
          <w:rFonts w:ascii="Times New Roman" w:hAnsi="Times New Roman" w:cs="Times New Roman"/>
        </w:rPr>
        <w:t>treatment</w:t>
      </w:r>
      <w:r w:rsidR="006D4385">
        <w:rPr>
          <w:rFonts w:ascii="Times New Roman" w:hAnsi="Times New Roman" w:cs="Times New Roman"/>
        </w:rPr>
        <w:t xml:space="preserve"> and aftercare</w:t>
      </w:r>
      <w:r w:rsidR="00A62684" w:rsidRPr="006B4B85">
        <w:rPr>
          <w:rFonts w:ascii="Times New Roman" w:hAnsi="Times New Roman" w:cs="Times New Roman"/>
        </w:rPr>
        <w:t>); increased consumer expectation</w:t>
      </w:r>
      <w:r w:rsidR="006D4385">
        <w:rPr>
          <w:rFonts w:ascii="Times New Roman" w:hAnsi="Times New Roman" w:cs="Times New Roman"/>
        </w:rPr>
        <w:t>s and knowledge</w:t>
      </w:r>
      <w:r w:rsidR="00A62684" w:rsidRPr="006B4B85">
        <w:rPr>
          <w:rFonts w:ascii="Times New Roman" w:hAnsi="Times New Roman" w:cs="Times New Roman"/>
        </w:rPr>
        <w:t>; and population ageing (</w:t>
      </w:r>
      <w:r w:rsidR="004362AD">
        <w:rPr>
          <w:rFonts w:ascii="Times New Roman" w:hAnsi="Times New Roman" w:cs="Times New Roman"/>
        </w:rPr>
        <w:t xml:space="preserve">rise in </w:t>
      </w:r>
      <w:r w:rsidR="00A62684" w:rsidRPr="006B4B85">
        <w:rPr>
          <w:rFonts w:ascii="Times New Roman" w:hAnsi="Times New Roman" w:cs="Times New Roman"/>
        </w:rPr>
        <w:t xml:space="preserve">life expectancy and </w:t>
      </w:r>
      <w:r w:rsidR="004362AD">
        <w:rPr>
          <w:rFonts w:ascii="Times New Roman" w:hAnsi="Times New Roman" w:cs="Times New Roman"/>
        </w:rPr>
        <w:t xml:space="preserve">increasing </w:t>
      </w:r>
      <w:r w:rsidR="00A62684" w:rsidRPr="006B4B85">
        <w:rPr>
          <w:rFonts w:ascii="Times New Roman" w:hAnsi="Times New Roman" w:cs="Times New Roman"/>
        </w:rPr>
        <w:t>multiple chronic diseases).</w:t>
      </w:r>
      <w:r w:rsidR="006C253F" w:rsidRPr="006C253F">
        <w:t xml:space="preserve"> </w:t>
      </w:r>
    </w:p>
    <w:p w:rsidR="000F6F4A" w:rsidRDefault="000F6F4A" w:rsidP="000F6F4A">
      <w:pPr>
        <w:jc w:val="both"/>
        <w:rPr>
          <w:rFonts w:ascii="Times New Roman" w:hAnsi="Times New Roman" w:cs="Times New Roman"/>
          <w:sz w:val="22"/>
          <w:szCs w:val="22"/>
        </w:rPr>
      </w:pPr>
    </w:p>
    <w:p w:rsidR="000F6F4A" w:rsidRDefault="006D4385" w:rsidP="001558A3">
      <w:pPr>
        <w:jc w:val="both"/>
        <w:rPr>
          <w:rFonts w:ascii="Times New Roman" w:hAnsi="Times New Roman" w:cs="Times New Roman"/>
        </w:rPr>
      </w:pPr>
      <w:r w:rsidRPr="000F6F4A">
        <w:rPr>
          <w:rFonts w:ascii="Times New Roman" w:hAnsi="Times New Roman" w:cs="Times New Roman"/>
        </w:rPr>
        <w:t>In 2014/</w:t>
      </w:r>
      <w:r w:rsidR="00BB6CB1" w:rsidRPr="000F6F4A">
        <w:rPr>
          <w:rFonts w:ascii="Times New Roman" w:hAnsi="Times New Roman" w:cs="Times New Roman"/>
        </w:rPr>
        <w:t>15</w:t>
      </w:r>
      <w:r w:rsidR="00BB6CB1" w:rsidRPr="00EA00BE">
        <w:rPr>
          <w:rFonts w:ascii="Times New Roman" w:hAnsi="Times New Roman" w:cs="Times New Roman"/>
        </w:rPr>
        <w:t xml:space="preserve"> public spending on healthcare was 7.3</w:t>
      </w:r>
      <w:r w:rsidRPr="00EA00BE">
        <w:rPr>
          <w:rFonts w:ascii="Times New Roman" w:hAnsi="Times New Roman" w:cs="Times New Roman"/>
        </w:rPr>
        <w:t>% of GDP –</w:t>
      </w:r>
      <w:r w:rsidR="004362AD" w:rsidRPr="00EA00BE">
        <w:rPr>
          <w:rFonts w:ascii="Times New Roman" w:hAnsi="Times New Roman" w:cs="Times New Roman"/>
        </w:rPr>
        <w:t xml:space="preserve"> a rise from 5.2% in 1994/5</w:t>
      </w:r>
      <w:r w:rsidR="00C07F9F" w:rsidRPr="00EA00BE">
        <w:rPr>
          <w:rFonts w:ascii="Times New Roman" w:hAnsi="Times New Roman" w:cs="Times New Roman"/>
        </w:rPr>
        <w:t>.</w:t>
      </w:r>
      <w:r w:rsidR="00CA5651" w:rsidRPr="00EA00BE">
        <w:rPr>
          <w:rStyle w:val="EndnoteReference"/>
          <w:rFonts w:ascii="Times New Roman" w:hAnsi="Times New Roman" w:cs="Times New Roman"/>
        </w:rPr>
        <w:endnoteReference w:id="12"/>
      </w:r>
      <w:r w:rsidR="00BB6CB1" w:rsidRPr="00EA00BE">
        <w:rPr>
          <w:rFonts w:ascii="Times New Roman" w:hAnsi="Times New Roman" w:cs="Times New Roman"/>
        </w:rPr>
        <w:t xml:space="preserve">  </w:t>
      </w:r>
      <w:r w:rsidR="001558A3" w:rsidRPr="00EA00BE">
        <w:rPr>
          <w:rFonts w:ascii="Times New Roman" w:hAnsi="Times New Roman" w:cs="Times New Roman"/>
        </w:rPr>
        <w:t xml:space="preserve">Whilst NHS funding continues to grow, it is slowing considerably compared to historical trends.  </w:t>
      </w:r>
      <w:r w:rsidRPr="00EA00BE">
        <w:rPr>
          <w:rFonts w:ascii="Times New Roman" w:hAnsi="Times New Roman" w:cs="Times New Roman"/>
        </w:rPr>
        <w:t>Between 2005</w:t>
      </w:r>
      <w:r w:rsidR="004362AD" w:rsidRPr="00EA00BE">
        <w:rPr>
          <w:rFonts w:ascii="Times New Roman" w:hAnsi="Times New Roman" w:cs="Times New Roman"/>
        </w:rPr>
        <w:t>/6 to 2015/16 the NHS budget ros</w:t>
      </w:r>
      <w:r w:rsidRPr="00EA00BE">
        <w:rPr>
          <w:rFonts w:ascii="Times New Roman" w:hAnsi="Times New Roman" w:cs="Times New Roman"/>
        </w:rPr>
        <w:t>e from £91</w:t>
      </w:r>
      <w:r w:rsidR="001558A3" w:rsidRPr="00EA00BE">
        <w:rPr>
          <w:rFonts w:ascii="Times New Roman" w:hAnsi="Times New Roman" w:cs="Times New Roman"/>
        </w:rPr>
        <w:t xml:space="preserve"> </w:t>
      </w:r>
      <w:r w:rsidRPr="00EA00BE">
        <w:rPr>
          <w:rFonts w:ascii="Times New Roman" w:hAnsi="Times New Roman" w:cs="Times New Roman"/>
        </w:rPr>
        <w:t>b</w:t>
      </w:r>
      <w:r w:rsidR="004362AD" w:rsidRPr="00EA00BE">
        <w:rPr>
          <w:rFonts w:ascii="Times New Roman" w:hAnsi="Times New Roman" w:cs="Times New Roman"/>
        </w:rPr>
        <w:t>illion</w:t>
      </w:r>
      <w:r w:rsidRPr="00EA00BE">
        <w:rPr>
          <w:rFonts w:ascii="Times New Roman" w:hAnsi="Times New Roman" w:cs="Times New Roman"/>
        </w:rPr>
        <w:t xml:space="preserve"> to £117.2</w:t>
      </w:r>
      <w:r w:rsidR="001558A3" w:rsidRPr="00EA00BE">
        <w:rPr>
          <w:rFonts w:ascii="Times New Roman" w:hAnsi="Times New Roman" w:cs="Times New Roman"/>
        </w:rPr>
        <w:t xml:space="preserve"> bi</w:t>
      </w:r>
      <w:r w:rsidR="004362AD" w:rsidRPr="00EA00BE">
        <w:rPr>
          <w:rFonts w:ascii="Times New Roman" w:hAnsi="Times New Roman" w:cs="Times New Roman"/>
        </w:rPr>
        <w:t>llion</w:t>
      </w:r>
      <w:r w:rsidRPr="00EA00BE">
        <w:rPr>
          <w:rFonts w:ascii="Times New Roman" w:hAnsi="Times New Roman" w:cs="Times New Roman"/>
        </w:rPr>
        <w:t xml:space="preserve"> in real terms with the rate of growth high in</w:t>
      </w:r>
      <w:r w:rsidR="000F6F4A">
        <w:rPr>
          <w:rFonts w:ascii="Times New Roman" w:hAnsi="Times New Roman" w:cs="Times New Roman"/>
        </w:rPr>
        <w:t xml:space="preserve"> the first part of the period.  </w:t>
      </w:r>
      <w:r w:rsidR="004362AD" w:rsidRPr="001558A3">
        <w:rPr>
          <w:rFonts w:ascii="Times New Roman" w:hAnsi="Times New Roman" w:cs="Times New Roman"/>
        </w:rPr>
        <w:t xml:space="preserve">Despite such growth </w:t>
      </w:r>
      <w:r w:rsidRPr="001558A3">
        <w:rPr>
          <w:rFonts w:ascii="Times New Roman" w:hAnsi="Times New Roman" w:cs="Times New Roman"/>
        </w:rPr>
        <w:t xml:space="preserve">a large deficit exists for the NHS </w:t>
      </w:r>
      <w:r w:rsidR="004362AD" w:rsidRPr="001558A3">
        <w:rPr>
          <w:rFonts w:ascii="Times New Roman" w:hAnsi="Times New Roman" w:cs="Times New Roman"/>
        </w:rPr>
        <w:t xml:space="preserve">budget </w:t>
      </w:r>
      <w:r w:rsidRPr="001558A3">
        <w:rPr>
          <w:rFonts w:ascii="Times New Roman" w:hAnsi="Times New Roman" w:cs="Times New Roman"/>
        </w:rPr>
        <w:t xml:space="preserve">(£2.5b by 2015/16).  </w:t>
      </w:r>
    </w:p>
    <w:p w:rsidR="000F6F4A" w:rsidRDefault="000F6F4A" w:rsidP="001558A3">
      <w:pPr>
        <w:jc w:val="both"/>
        <w:rPr>
          <w:rFonts w:ascii="Times New Roman" w:hAnsi="Times New Roman" w:cs="Times New Roman"/>
        </w:rPr>
      </w:pPr>
    </w:p>
    <w:p w:rsidR="001558A3" w:rsidRPr="000F6F4A" w:rsidRDefault="00BB6CB1" w:rsidP="001558A3">
      <w:pPr>
        <w:jc w:val="both"/>
        <w:rPr>
          <w:rFonts w:ascii="Times New Roman" w:hAnsi="Times New Roman" w:cs="Times New Roman"/>
          <w:sz w:val="22"/>
          <w:szCs w:val="22"/>
        </w:rPr>
      </w:pPr>
      <w:r w:rsidRPr="001558A3">
        <w:rPr>
          <w:rFonts w:ascii="Times New Roman" w:hAnsi="Times New Roman" w:cs="Times New Roman"/>
        </w:rPr>
        <w:t xml:space="preserve">Analysis suggests that over two-fifths of national health spending in the UK is for people over </w:t>
      </w:r>
      <w:r w:rsidR="001558A3" w:rsidRPr="001558A3">
        <w:rPr>
          <w:rFonts w:ascii="Times New Roman" w:hAnsi="Times New Roman" w:cs="Times New Roman"/>
        </w:rPr>
        <w:t xml:space="preserve">the age of </w:t>
      </w:r>
      <w:r w:rsidRPr="001558A3">
        <w:rPr>
          <w:rFonts w:ascii="Times New Roman" w:hAnsi="Times New Roman" w:cs="Times New Roman"/>
        </w:rPr>
        <w:t xml:space="preserve">65.  </w:t>
      </w:r>
      <w:r w:rsidR="004362AD" w:rsidRPr="001558A3">
        <w:rPr>
          <w:rFonts w:ascii="Times New Roman" w:hAnsi="Times New Roman" w:cs="Times New Roman"/>
        </w:rPr>
        <w:t>A</w:t>
      </w:r>
      <w:r w:rsidRPr="001558A3">
        <w:rPr>
          <w:rFonts w:ascii="Times New Roman" w:hAnsi="Times New Roman" w:cs="Times New Roman"/>
        </w:rPr>
        <w:t xml:space="preserve">n 85-year-old man </w:t>
      </w:r>
      <w:r w:rsidR="004362AD" w:rsidRPr="001558A3">
        <w:rPr>
          <w:rFonts w:ascii="Times New Roman" w:hAnsi="Times New Roman" w:cs="Times New Roman"/>
        </w:rPr>
        <w:t>is estimated to cost</w:t>
      </w:r>
      <w:r w:rsidRPr="001558A3">
        <w:rPr>
          <w:rFonts w:ascii="Times New Roman" w:hAnsi="Times New Roman" w:cs="Times New Roman"/>
        </w:rPr>
        <w:t xml:space="preserve"> the NHS about seven times more on avera</w:t>
      </w:r>
      <w:r w:rsidR="006D4385" w:rsidRPr="001558A3">
        <w:rPr>
          <w:rFonts w:ascii="Times New Roman" w:hAnsi="Times New Roman" w:cs="Times New Roman"/>
        </w:rPr>
        <w:t>ge than a man in his late 30s</w:t>
      </w:r>
      <w:r w:rsidRPr="001558A3">
        <w:rPr>
          <w:rFonts w:ascii="Times New Roman" w:hAnsi="Times New Roman" w:cs="Times New Roman"/>
        </w:rPr>
        <w:t xml:space="preserve">. People aged </w:t>
      </w:r>
      <w:r w:rsidR="004362AD" w:rsidRPr="001558A3">
        <w:rPr>
          <w:rFonts w:ascii="Times New Roman" w:hAnsi="Times New Roman" w:cs="Times New Roman"/>
        </w:rPr>
        <w:t xml:space="preserve">over </w:t>
      </w:r>
      <w:r w:rsidRPr="001558A3">
        <w:rPr>
          <w:rFonts w:ascii="Times New Roman" w:hAnsi="Times New Roman" w:cs="Times New Roman"/>
        </w:rPr>
        <w:t>85 cost the NHS an average of £7,000 a year</w:t>
      </w:r>
      <w:r w:rsidR="004362AD" w:rsidRPr="001558A3">
        <w:rPr>
          <w:rFonts w:ascii="Times New Roman" w:hAnsi="Times New Roman" w:cs="Times New Roman"/>
        </w:rPr>
        <w:t xml:space="preserve"> compared with the average</w:t>
      </w:r>
      <w:r w:rsidRPr="001558A3">
        <w:rPr>
          <w:rFonts w:ascii="Times New Roman" w:hAnsi="Times New Roman" w:cs="Times New Roman"/>
        </w:rPr>
        <w:t xml:space="preserve"> on health services across all age groups </w:t>
      </w:r>
      <w:r w:rsidR="004362AD" w:rsidRPr="001558A3">
        <w:rPr>
          <w:rFonts w:ascii="Times New Roman" w:hAnsi="Times New Roman" w:cs="Times New Roman"/>
        </w:rPr>
        <w:t xml:space="preserve">of </w:t>
      </w:r>
      <w:r w:rsidRPr="001558A3">
        <w:rPr>
          <w:rFonts w:ascii="Times New Roman" w:hAnsi="Times New Roman" w:cs="Times New Roman"/>
        </w:rPr>
        <w:t>£2,069</w:t>
      </w:r>
      <w:r w:rsidR="00C07F9F">
        <w:rPr>
          <w:rFonts w:ascii="Times New Roman" w:hAnsi="Times New Roman" w:cs="Times New Roman"/>
        </w:rPr>
        <w:t>.</w:t>
      </w:r>
      <w:r w:rsidR="00CA5651" w:rsidRPr="001558A3">
        <w:rPr>
          <w:rStyle w:val="EndnoteReference"/>
          <w:rFonts w:ascii="Times New Roman" w:hAnsi="Times New Roman" w:cs="Times New Roman"/>
        </w:rPr>
        <w:endnoteReference w:id="13"/>
      </w:r>
      <w:r w:rsidR="001558A3" w:rsidRPr="001558A3">
        <w:rPr>
          <w:rFonts w:ascii="Times New Roman" w:hAnsi="Times New Roman" w:cs="Times New Roman"/>
        </w:rPr>
        <w:t xml:space="preserve">  Those aged over 65 made up 41% of hospital admissions</w:t>
      </w:r>
      <w:r w:rsidR="00C07F9F">
        <w:rPr>
          <w:rFonts w:ascii="Times New Roman" w:hAnsi="Times New Roman" w:cs="Times New Roman"/>
        </w:rPr>
        <w:t>,</w:t>
      </w:r>
      <w:r w:rsidR="001558A3" w:rsidRPr="001558A3">
        <w:rPr>
          <w:rStyle w:val="EndnoteReference"/>
          <w:rFonts w:ascii="Times New Roman" w:hAnsi="Times New Roman" w:cs="Times New Roman"/>
        </w:rPr>
        <w:endnoteReference w:id="14"/>
      </w:r>
      <w:r w:rsidR="001558A3" w:rsidRPr="001558A3">
        <w:rPr>
          <w:rFonts w:ascii="Times New Roman" w:hAnsi="Times New Roman" w:cs="Times New Roman"/>
        </w:rPr>
        <w:t xml:space="preserve"> and the average length of stay for emergency admissions in hospital increases with age.  </w:t>
      </w:r>
      <w:r w:rsidR="009E42DD" w:rsidRPr="00917D6E">
        <w:rPr>
          <w:rFonts w:ascii="Times New Roman" w:hAnsi="Times New Roman" w:cs="Times New Roman"/>
        </w:rPr>
        <w:t xml:space="preserve">There was an 18% increase in emergency </w:t>
      </w:r>
      <w:r w:rsidR="00C07F9F">
        <w:rPr>
          <w:rFonts w:ascii="Times New Roman" w:hAnsi="Times New Roman" w:cs="Times New Roman"/>
        </w:rPr>
        <w:t>admissions of older people 2010/11 to 2014/</w:t>
      </w:r>
      <w:r w:rsidR="009E42DD" w:rsidRPr="00917D6E">
        <w:rPr>
          <w:rFonts w:ascii="Times New Roman" w:hAnsi="Times New Roman" w:cs="Times New Roman"/>
        </w:rPr>
        <w:t>15 (</w:t>
      </w:r>
      <w:r w:rsidR="009E42DD">
        <w:rPr>
          <w:rFonts w:ascii="Times New Roman" w:hAnsi="Times New Roman" w:cs="Times New Roman"/>
        </w:rPr>
        <w:t xml:space="preserve">compared with a </w:t>
      </w:r>
      <w:r w:rsidR="009E42DD" w:rsidRPr="00917D6E">
        <w:rPr>
          <w:rFonts w:ascii="Times New Roman" w:hAnsi="Times New Roman" w:cs="Times New Roman"/>
        </w:rPr>
        <w:t xml:space="preserve">12% increase </w:t>
      </w:r>
      <w:r w:rsidR="009E42DD" w:rsidRPr="00917D6E">
        <w:rPr>
          <w:rFonts w:ascii="Times New Roman" w:hAnsi="Times New Roman" w:cs="Times New Roman"/>
        </w:rPr>
        <w:lastRenderedPageBreak/>
        <w:t>for whole population).</w:t>
      </w:r>
      <w:r w:rsidR="009E42DD">
        <w:rPr>
          <w:rStyle w:val="EndnoteReference"/>
          <w:rFonts w:ascii="Times New Roman" w:hAnsi="Times New Roman" w:cs="Times New Roman"/>
        </w:rPr>
        <w:endnoteReference w:id="15"/>
      </w:r>
      <w:r w:rsidR="009E42DD" w:rsidRPr="00917D6E">
        <w:rPr>
          <w:rFonts w:ascii="Times New Roman" w:hAnsi="Times New Roman" w:cs="Times New Roman"/>
        </w:rPr>
        <w:t xml:space="preserve"> </w:t>
      </w:r>
      <w:r w:rsidR="009E42DD">
        <w:rPr>
          <w:rFonts w:ascii="Times New Roman" w:hAnsi="Times New Roman" w:cs="Times New Roman"/>
        </w:rPr>
        <w:t xml:space="preserve">  </w:t>
      </w:r>
      <w:r w:rsidR="001558A3" w:rsidRPr="001558A3">
        <w:rPr>
          <w:rFonts w:ascii="Times New Roman" w:hAnsi="Times New Roman" w:cs="Times New Roman"/>
        </w:rPr>
        <w:t xml:space="preserve">Falls are the largest cause of emergency admissions for older people and cost the NHS around £600 million annually.  </w:t>
      </w:r>
    </w:p>
    <w:p w:rsidR="001558A3" w:rsidRDefault="001558A3" w:rsidP="00621B1B">
      <w:pPr>
        <w:jc w:val="both"/>
        <w:rPr>
          <w:rFonts w:ascii="Times New Roman" w:eastAsia="Times New Roman" w:hAnsi="Times New Roman" w:cs="Times New Roman"/>
          <w:lang w:val="en-GB" w:eastAsia="en-GB"/>
        </w:rPr>
      </w:pPr>
    </w:p>
    <w:p w:rsidR="00837E36" w:rsidRPr="006B4B85" w:rsidRDefault="00CF7C6A" w:rsidP="00621B1B">
      <w:pPr>
        <w:jc w:val="both"/>
        <w:rPr>
          <w:rFonts w:ascii="Times New Roman" w:hAnsi="Times New Roman" w:cs="Times New Roman"/>
        </w:rPr>
      </w:pPr>
      <w:r w:rsidRPr="006B4B85">
        <w:rPr>
          <w:rFonts w:ascii="Times New Roman" w:hAnsi="Times New Roman" w:cs="Times New Roman"/>
        </w:rPr>
        <w:t xml:space="preserve">Long-term trends of falling fertility and mortality </w:t>
      </w:r>
      <w:r w:rsidR="006C253F">
        <w:rPr>
          <w:rFonts w:ascii="Times New Roman" w:hAnsi="Times New Roman" w:cs="Times New Roman"/>
        </w:rPr>
        <w:t xml:space="preserve">give rise to population ageing.  </w:t>
      </w:r>
      <w:r w:rsidR="005F635F" w:rsidRPr="006B4B85">
        <w:rPr>
          <w:rFonts w:ascii="Times New Roman" w:hAnsi="Times New Roman" w:cs="Times New Roman"/>
        </w:rPr>
        <w:t xml:space="preserve">There are 11.6 million people </w:t>
      </w:r>
      <w:r w:rsidR="006C253F">
        <w:rPr>
          <w:rFonts w:ascii="Times New Roman" w:hAnsi="Times New Roman" w:cs="Times New Roman"/>
        </w:rPr>
        <w:t xml:space="preserve">aged over </w:t>
      </w:r>
      <w:r w:rsidR="005F635F" w:rsidRPr="006B4B85">
        <w:rPr>
          <w:rFonts w:ascii="Times New Roman" w:hAnsi="Times New Roman" w:cs="Times New Roman"/>
        </w:rPr>
        <w:t>65</w:t>
      </w:r>
      <w:r w:rsidR="006C253F">
        <w:rPr>
          <w:rFonts w:ascii="Times New Roman" w:hAnsi="Times New Roman" w:cs="Times New Roman"/>
        </w:rPr>
        <w:t xml:space="preserve"> in </w:t>
      </w:r>
      <w:r w:rsidR="000F6F4A">
        <w:rPr>
          <w:rFonts w:ascii="Times New Roman" w:hAnsi="Times New Roman" w:cs="Times New Roman"/>
        </w:rPr>
        <w:t xml:space="preserve">the </w:t>
      </w:r>
      <w:r w:rsidR="006C253F">
        <w:rPr>
          <w:rFonts w:ascii="Times New Roman" w:hAnsi="Times New Roman" w:cs="Times New Roman"/>
        </w:rPr>
        <w:t>UK and 1.5 million of these are</w:t>
      </w:r>
      <w:r w:rsidR="005F635F" w:rsidRPr="006B4B85">
        <w:rPr>
          <w:rFonts w:ascii="Times New Roman" w:hAnsi="Times New Roman" w:cs="Times New Roman"/>
        </w:rPr>
        <w:t xml:space="preserve"> aged </w:t>
      </w:r>
      <w:r w:rsidR="006C253F">
        <w:rPr>
          <w:rFonts w:ascii="Times New Roman" w:hAnsi="Times New Roman" w:cs="Times New Roman"/>
        </w:rPr>
        <w:t xml:space="preserve">over </w:t>
      </w:r>
      <w:r w:rsidR="00512D7F">
        <w:rPr>
          <w:rFonts w:ascii="Times New Roman" w:hAnsi="Times New Roman" w:cs="Times New Roman"/>
        </w:rPr>
        <w:t>85</w:t>
      </w:r>
      <w:r w:rsidR="00C07F9F">
        <w:rPr>
          <w:rFonts w:ascii="Times New Roman" w:hAnsi="Times New Roman" w:cs="Times New Roman"/>
        </w:rPr>
        <w:t>.</w:t>
      </w:r>
      <w:r w:rsidR="006C253F">
        <w:rPr>
          <w:rStyle w:val="EndnoteReference"/>
          <w:rFonts w:ascii="Times New Roman" w:hAnsi="Times New Roman" w:cs="Times New Roman"/>
        </w:rPr>
        <w:endnoteReference w:id="16"/>
      </w:r>
      <w:r w:rsidR="00621B1B" w:rsidRPr="006B4B85">
        <w:rPr>
          <w:rFonts w:ascii="Times New Roman" w:hAnsi="Times New Roman" w:cs="Times New Roman"/>
        </w:rPr>
        <w:t xml:space="preserve">  </w:t>
      </w:r>
      <w:r w:rsidR="00091BFA">
        <w:rPr>
          <w:rFonts w:ascii="Times New Roman" w:hAnsi="Times New Roman" w:cs="Times New Roman"/>
        </w:rPr>
        <w:t>By 2040 nearly one-</w:t>
      </w:r>
      <w:r w:rsidR="00837E36" w:rsidRPr="006B4B85">
        <w:rPr>
          <w:rFonts w:ascii="Times New Roman" w:hAnsi="Times New Roman" w:cs="Times New Roman"/>
        </w:rPr>
        <w:t xml:space="preserve">quarter of </w:t>
      </w:r>
      <w:r w:rsidR="000F6F4A">
        <w:rPr>
          <w:rFonts w:ascii="Times New Roman" w:hAnsi="Times New Roman" w:cs="Times New Roman"/>
        </w:rPr>
        <w:t xml:space="preserve">the </w:t>
      </w:r>
      <w:r w:rsidR="00837E36" w:rsidRPr="006B4B85">
        <w:rPr>
          <w:rFonts w:ascii="Times New Roman" w:hAnsi="Times New Roman" w:cs="Times New Roman"/>
        </w:rPr>
        <w:t xml:space="preserve">UK population will be </w:t>
      </w:r>
      <w:r w:rsidR="00091BFA">
        <w:rPr>
          <w:rFonts w:ascii="Times New Roman" w:hAnsi="Times New Roman" w:cs="Times New Roman"/>
        </w:rPr>
        <w:t xml:space="preserve">over </w:t>
      </w:r>
      <w:r w:rsidR="00837E36" w:rsidRPr="006B4B85">
        <w:rPr>
          <w:rFonts w:ascii="Times New Roman" w:hAnsi="Times New Roman" w:cs="Times New Roman"/>
        </w:rPr>
        <w:t xml:space="preserve">65 </w:t>
      </w:r>
      <w:r w:rsidR="00091BFA">
        <w:rPr>
          <w:rFonts w:ascii="Times New Roman" w:hAnsi="Times New Roman" w:cs="Times New Roman"/>
        </w:rPr>
        <w:t xml:space="preserve">and the number </w:t>
      </w:r>
      <w:r w:rsidR="00512D7F">
        <w:rPr>
          <w:rFonts w:ascii="Times New Roman" w:hAnsi="Times New Roman" w:cs="Times New Roman"/>
        </w:rPr>
        <w:t xml:space="preserve">aged </w:t>
      </w:r>
      <w:r w:rsidR="00091BFA">
        <w:rPr>
          <w:rFonts w:ascii="Times New Roman" w:hAnsi="Times New Roman" w:cs="Times New Roman"/>
        </w:rPr>
        <w:t xml:space="preserve">over </w:t>
      </w:r>
      <w:r w:rsidR="00837E36" w:rsidRPr="006B4B85">
        <w:rPr>
          <w:rFonts w:ascii="Times New Roman" w:hAnsi="Times New Roman" w:cs="Times New Roman"/>
        </w:rPr>
        <w:t xml:space="preserve">85 will double in </w:t>
      </w:r>
      <w:r w:rsidR="001558A3">
        <w:rPr>
          <w:rFonts w:ascii="Times New Roman" w:hAnsi="Times New Roman" w:cs="Times New Roman"/>
        </w:rPr>
        <w:t xml:space="preserve">the </w:t>
      </w:r>
      <w:r w:rsidR="00837E36" w:rsidRPr="006B4B85">
        <w:rPr>
          <w:rFonts w:ascii="Times New Roman" w:hAnsi="Times New Roman" w:cs="Times New Roman"/>
        </w:rPr>
        <w:t>next 20 years to 3.4 million</w:t>
      </w:r>
      <w:r w:rsidR="00C07F9F">
        <w:rPr>
          <w:rFonts w:ascii="Times New Roman" w:hAnsi="Times New Roman" w:cs="Times New Roman"/>
        </w:rPr>
        <w:t>.</w:t>
      </w:r>
      <w:r w:rsidR="00091BFA">
        <w:rPr>
          <w:rStyle w:val="EndnoteReference"/>
          <w:rFonts w:ascii="Times New Roman" w:hAnsi="Times New Roman" w:cs="Times New Roman"/>
        </w:rPr>
        <w:endnoteReference w:id="17"/>
      </w:r>
    </w:p>
    <w:p w:rsidR="00551FF7" w:rsidRPr="006B4B85" w:rsidRDefault="00551FF7" w:rsidP="005F635F">
      <w:pPr>
        <w:jc w:val="both"/>
        <w:rPr>
          <w:rFonts w:ascii="Times New Roman" w:hAnsi="Times New Roman" w:cs="Times New Roman"/>
        </w:rPr>
      </w:pPr>
    </w:p>
    <w:p w:rsidR="005A2334" w:rsidRPr="001558A3" w:rsidRDefault="00621B1B" w:rsidP="00621B1B">
      <w:pPr>
        <w:jc w:val="both"/>
        <w:rPr>
          <w:rFonts w:ascii="Times New Roman" w:hAnsi="Times New Roman" w:cs="Times New Roman"/>
          <w:szCs w:val="22"/>
        </w:rPr>
      </w:pPr>
      <w:r w:rsidRPr="006B4B85">
        <w:rPr>
          <w:rFonts w:ascii="Times New Roman" w:hAnsi="Times New Roman" w:cs="Times New Roman"/>
        </w:rPr>
        <w:t>Longevity must be accompanied by improvement</w:t>
      </w:r>
      <w:r w:rsidR="001558A3">
        <w:rPr>
          <w:rFonts w:ascii="Times New Roman" w:hAnsi="Times New Roman" w:cs="Times New Roman"/>
        </w:rPr>
        <w:t>s</w:t>
      </w:r>
      <w:r w:rsidRPr="006B4B85">
        <w:rPr>
          <w:rFonts w:ascii="Times New Roman" w:hAnsi="Times New Roman" w:cs="Times New Roman"/>
        </w:rPr>
        <w:t xml:space="preserve"> in healthy life expectancy.</w:t>
      </w:r>
      <w:r w:rsidR="001558A3">
        <w:rPr>
          <w:rFonts w:ascii="Times New Roman" w:hAnsi="Times New Roman" w:cs="Times New Roman"/>
        </w:rPr>
        <w:t xml:space="preserve">  </w:t>
      </w:r>
      <w:r w:rsidR="001558A3" w:rsidRPr="006B4B85">
        <w:rPr>
          <w:rFonts w:ascii="Times New Roman" w:hAnsi="Times New Roman" w:cs="Times New Roman"/>
        </w:rPr>
        <w:t>UK life expectancy estim</w:t>
      </w:r>
      <w:r w:rsidR="001558A3">
        <w:rPr>
          <w:rFonts w:ascii="Times New Roman" w:hAnsi="Times New Roman" w:cs="Times New Roman"/>
        </w:rPr>
        <w:t>a</w:t>
      </w:r>
      <w:r w:rsidR="001558A3" w:rsidRPr="006B4B85">
        <w:rPr>
          <w:rFonts w:ascii="Times New Roman" w:hAnsi="Times New Roman" w:cs="Times New Roman"/>
        </w:rPr>
        <w:t>tes at age of 65 are 85.9 for women and 83.4 for men.</w:t>
      </w:r>
      <w:r w:rsidR="001558A3">
        <w:rPr>
          <w:rStyle w:val="EndnoteReference"/>
          <w:rFonts w:ascii="Times New Roman" w:hAnsi="Times New Roman" w:cs="Times New Roman"/>
        </w:rPr>
        <w:endnoteReference w:id="18"/>
      </w:r>
      <w:r w:rsidR="001558A3" w:rsidRPr="006B4B85">
        <w:rPr>
          <w:rFonts w:ascii="Times New Roman" w:hAnsi="Times New Roman" w:cs="Times New Roman"/>
        </w:rPr>
        <w:t xml:space="preserve">  </w:t>
      </w:r>
      <w:r w:rsidR="001558A3" w:rsidRPr="00512D7F">
        <w:rPr>
          <w:rFonts w:ascii="Times New Roman" w:hAnsi="Times New Roman" w:cs="Times New Roman"/>
          <w:i/>
        </w:rPr>
        <w:t>Healthy life expectancy</w:t>
      </w:r>
      <w:r w:rsidR="001558A3" w:rsidRPr="006B4B85">
        <w:rPr>
          <w:rFonts w:ascii="Times New Roman" w:hAnsi="Times New Roman" w:cs="Times New Roman"/>
        </w:rPr>
        <w:t xml:space="preserve"> of people in England is 64 for women and 63.4 for men.</w:t>
      </w:r>
      <w:r w:rsidR="001558A3">
        <w:rPr>
          <w:rStyle w:val="EndnoteReference"/>
          <w:rFonts w:ascii="Times New Roman" w:hAnsi="Times New Roman" w:cs="Times New Roman"/>
        </w:rPr>
        <w:endnoteReference w:id="19"/>
      </w:r>
      <w:r w:rsidR="001558A3" w:rsidRPr="006B4B85">
        <w:rPr>
          <w:rFonts w:ascii="Times New Roman" w:hAnsi="Times New Roman" w:cs="Times New Roman"/>
        </w:rPr>
        <w:t xml:space="preserve"> </w:t>
      </w:r>
      <w:r w:rsidR="00091BFA">
        <w:rPr>
          <w:rFonts w:ascii="Times New Roman" w:hAnsi="Times New Roman" w:cs="Times New Roman"/>
        </w:rPr>
        <w:t xml:space="preserve">In the UK </w:t>
      </w:r>
      <w:r w:rsidR="00837E36" w:rsidRPr="006B4B85">
        <w:rPr>
          <w:rFonts w:ascii="Times New Roman" w:hAnsi="Times New Roman" w:cs="Times New Roman"/>
        </w:rPr>
        <w:t xml:space="preserve">21% of men and 30% of women aged </w:t>
      </w:r>
      <w:r w:rsidR="00091BFA">
        <w:rPr>
          <w:rFonts w:ascii="Times New Roman" w:hAnsi="Times New Roman" w:cs="Times New Roman"/>
        </w:rPr>
        <w:t xml:space="preserve">over </w:t>
      </w:r>
      <w:r w:rsidR="00837E36" w:rsidRPr="006B4B85">
        <w:rPr>
          <w:rFonts w:ascii="Times New Roman" w:hAnsi="Times New Roman" w:cs="Times New Roman"/>
        </w:rPr>
        <w:t>65 needed help with at least on</w:t>
      </w:r>
      <w:r w:rsidR="001558A3">
        <w:rPr>
          <w:rFonts w:ascii="Times New Roman" w:hAnsi="Times New Roman" w:cs="Times New Roman"/>
        </w:rPr>
        <w:t>e</w:t>
      </w:r>
      <w:r w:rsidR="00837E36" w:rsidRPr="006B4B85">
        <w:rPr>
          <w:rFonts w:ascii="Times New Roman" w:hAnsi="Times New Roman" w:cs="Times New Roman"/>
        </w:rPr>
        <w:t xml:space="preserve"> Activity of Daily Living (ADL), and 22%</w:t>
      </w:r>
      <w:r w:rsidR="004362AD">
        <w:rPr>
          <w:rFonts w:ascii="Times New Roman" w:hAnsi="Times New Roman" w:cs="Times New Roman"/>
        </w:rPr>
        <w:t xml:space="preserve"> of men</w:t>
      </w:r>
      <w:r w:rsidR="00837E36" w:rsidRPr="006B4B85">
        <w:rPr>
          <w:rFonts w:ascii="Times New Roman" w:hAnsi="Times New Roman" w:cs="Times New Roman"/>
        </w:rPr>
        <w:t xml:space="preserve"> and 33% </w:t>
      </w:r>
      <w:r w:rsidR="004362AD">
        <w:rPr>
          <w:rFonts w:ascii="Times New Roman" w:hAnsi="Times New Roman" w:cs="Times New Roman"/>
        </w:rPr>
        <w:t xml:space="preserve">of women </w:t>
      </w:r>
      <w:r w:rsidR="00837E36" w:rsidRPr="006B4B85">
        <w:rPr>
          <w:rFonts w:ascii="Times New Roman" w:hAnsi="Times New Roman" w:cs="Times New Roman"/>
        </w:rPr>
        <w:t>needed help with at least one Instrumental Acti</w:t>
      </w:r>
      <w:r w:rsidRPr="006B4B85">
        <w:rPr>
          <w:rFonts w:ascii="Times New Roman" w:hAnsi="Times New Roman" w:cs="Times New Roman"/>
        </w:rPr>
        <w:t>v</w:t>
      </w:r>
      <w:r w:rsidR="004362AD">
        <w:rPr>
          <w:rFonts w:ascii="Times New Roman" w:hAnsi="Times New Roman" w:cs="Times New Roman"/>
        </w:rPr>
        <w:t>ity of Daily Living</w:t>
      </w:r>
      <w:r w:rsidR="005A2334">
        <w:rPr>
          <w:rFonts w:ascii="Times New Roman" w:hAnsi="Times New Roman" w:cs="Times New Roman"/>
        </w:rPr>
        <w:t>.</w:t>
      </w:r>
      <w:r w:rsidR="005A2334">
        <w:rPr>
          <w:rStyle w:val="EndnoteReference"/>
          <w:rFonts w:ascii="Times New Roman" w:hAnsi="Times New Roman" w:cs="Times New Roman"/>
        </w:rPr>
        <w:endnoteReference w:id="20"/>
      </w:r>
      <w:r w:rsidR="00512D7F">
        <w:rPr>
          <w:rStyle w:val="EndnoteReference"/>
          <w:rFonts w:ascii="Times New Roman" w:hAnsi="Times New Roman" w:cs="Times New Roman"/>
        </w:rPr>
        <w:endnoteReference w:id="21"/>
      </w:r>
      <w:r w:rsidR="005A2334" w:rsidRPr="005A2334">
        <w:rPr>
          <w:rFonts w:ascii="Times New Roman" w:hAnsi="Times New Roman" w:cs="Times New Roman"/>
          <w:szCs w:val="22"/>
        </w:rPr>
        <w:t xml:space="preserve"> </w:t>
      </w:r>
      <w:r w:rsidR="0046786B" w:rsidRPr="006B4B85">
        <w:rPr>
          <w:rFonts w:ascii="Times New Roman" w:hAnsi="Times New Roman" w:cs="Times New Roman"/>
        </w:rPr>
        <w:t xml:space="preserve">About 40% of all people </w:t>
      </w:r>
      <w:r w:rsidR="00E74FC2">
        <w:rPr>
          <w:rFonts w:ascii="Times New Roman" w:hAnsi="Times New Roman" w:cs="Times New Roman"/>
        </w:rPr>
        <w:t>aged over 65</w:t>
      </w:r>
      <w:r w:rsidR="0046786B" w:rsidRPr="006B4B85">
        <w:rPr>
          <w:rFonts w:ascii="Times New Roman" w:hAnsi="Times New Roman" w:cs="Times New Roman"/>
        </w:rPr>
        <w:t xml:space="preserve"> have a li</w:t>
      </w:r>
      <w:r w:rsidR="00512D7F">
        <w:rPr>
          <w:rFonts w:ascii="Times New Roman" w:hAnsi="Times New Roman" w:cs="Times New Roman"/>
        </w:rPr>
        <w:t>miting longstanding illness</w:t>
      </w:r>
      <w:r w:rsidR="00C07F9F">
        <w:rPr>
          <w:rFonts w:ascii="Times New Roman" w:hAnsi="Times New Roman" w:cs="Times New Roman"/>
        </w:rPr>
        <w:t>.</w:t>
      </w:r>
      <w:r w:rsidR="005A2334">
        <w:rPr>
          <w:rStyle w:val="EndnoteReference"/>
          <w:rFonts w:ascii="Times New Roman" w:hAnsi="Times New Roman" w:cs="Times New Roman"/>
        </w:rPr>
        <w:endnoteReference w:id="22"/>
      </w:r>
      <w:r w:rsidR="004362AD">
        <w:rPr>
          <w:rFonts w:ascii="Times New Roman" w:hAnsi="Times New Roman" w:cs="Times New Roman"/>
        </w:rPr>
        <w:t xml:space="preserve"> </w:t>
      </w:r>
    </w:p>
    <w:p w:rsidR="00621B1B" w:rsidRPr="006B4B85" w:rsidRDefault="00621B1B" w:rsidP="00621B1B">
      <w:pPr>
        <w:jc w:val="both"/>
        <w:rPr>
          <w:rFonts w:ascii="Times New Roman" w:hAnsi="Times New Roman" w:cs="Times New Roman"/>
        </w:rPr>
      </w:pPr>
    </w:p>
    <w:p w:rsidR="00C53E66" w:rsidRPr="006B4B85" w:rsidRDefault="0068579F" w:rsidP="008B574C">
      <w:pPr>
        <w:jc w:val="both"/>
        <w:rPr>
          <w:rFonts w:ascii="Times New Roman" w:hAnsi="Times New Roman" w:cs="Times New Roman"/>
        </w:rPr>
      </w:pPr>
      <w:r w:rsidRPr="006B4B85">
        <w:rPr>
          <w:rFonts w:ascii="Times New Roman" w:hAnsi="Times New Roman" w:cs="Times New Roman"/>
          <w:noProof/>
          <w:lang w:val="en-GB" w:eastAsia="en-GB"/>
        </w:rPr>
        <w:t xml:space="preserve">These is great diversity </w:t>
      </w:r>
      <w:r w:rsidRPr="006B4B85">
        <w:rPr>
          <w:rFonts w:ascii="Times New Roman" w:hAnsi="Times New Roman" w:cs="Times New Roman"/>
          <w:i/>
          <w:noProof/>
          <w:lang w:val="en-GB" w:eastAsia="en-GB"/>
        </w:rPr>
        <w:t>within</w:t>
      </w:r>
      <w:r w:rsidR="00F40609">
        <w:rPr>
          <w:rFonts w:ascii="Times New Roman" w:hAnsi="Times New Roman" w:cs="Times New Roman"/>
          <w:noProof/>
          <w:lang w:val="en-GB" w:eastAsia="en-GB"/>
        </w:rPr>
        <w:t xml:space="preserve"> the ageing population</w:t>
      </w:r>
      <w:r w:rsidR="001558A3" w:rsidRPr="006B4B85">
        <w:rPr>
          <w:rFonts w:ascii="Times New Roman" w:hAnsi="Times New Roman" w:cs="Times New Roman"/>
        </w:rPr>
        <w:t xml:space="preserve"> by socio-economic position, ethnicity, gender and locality</w:t>
      </w:r>
      <w:r w:rsidR="00C07F9F">
        <w:rPr>
          <w:rFonts w:ascii="Times New Roman" w:hAnsi="Times New Roman" w:cs="Times New Roman"/>
        </w:rPr>
        <w:t>.</w:t>
      </w:r>
      <w:r w:rsidR="00F45AAE">
        <w:rPr>
          <w:rStyle w:val="EndnoteReference"/>
          <w:rFonts w:ascii="Times New Roman" w:hAnsi="Times New Roman" w:cs="Times New Roman"/>
          <w:noProof/>
          <w:lang w:val="en-GB" w:eastAsia="en-GB"/>
        </w:rPr>
        <w:endnoteReference w:id="23"/>
      </w:r>
      <w:r w:rsidR="00C53E66" w:rsidRPr="006B4B85">
        <w:rPr>
          <w:rFonts w:ascii="Times New Roman" w:hAnsi="Times New Roman" w:cs="Times New Roman"/>
        </w:rPr>
        <w:t xml:space="preserve">  Those who live in the most deprived areas of England </w:t>
      </w:r>
      <w:r w:rsidR="00F40609">
        <w:rPr>
          <w:rFonts w:ascii="Times New Roman" w:hAnsi="Times New Roman" w:cs="Times New Roman"/>
        </w:rPr>
        <w:t xml:space="preserve">for example </w:t>
      </w:r>
      <w:r w:rsidR="00C53E66" w:rsidRPr="006B4B85">
        <w:rPr>
          <w:rFonts w:ascii="Times New Roman" w:hAnsi="Times New Roman" w:cs="Times New Roman"/>
        </w:rPr>
        <w:t>have nearly two more years of ‘</w:t>
      </w:r>
      <w:r w:rsidR="00F40609">
        <w:rPr>
          <w:rFonts w:ascii="Times New Roman" w:hAnsi="Times New Roman" w:cs="Times New Roman"/>
        </w:rPr>
        <w:t>not good health’ after 65 than do t</w:t>
      </w:r>
      <w:r w:rsidR="00C53E66" w:rsidRPr="006B4B85">
        <w:rPr>
          <w:rFonts w:ascii="Times New Roman" w:hAnsi="Times New Roman" w:cs="Times New Roman"/>
        </w:rPr>
        <w:t>hose in the least deprived areas.</w:t>
      </w:r>
      <w:r w:rsidR="009756EC">
        <w:rPr>
          <w:rStyle w:val="EndnoteReference"/>
          <w:rFonts w:ascii="Times New Roman" w:hAnsi="Times New Roman" w:cs="Times New Roman"/>
        </w:rPr>
        <w:endnoteReference w:id="24"/>
      </w:r>
      <w:r w:rsidR="008B574C" w:rsidRPr="008B574C">
        <w:t xml:space="preserve"> </w:t>
      </w:r>
      <w:r w:rsidR="008B574C">
        <w:rPr>
          <w:rFonts w:ascii="Times New Roman" w:hAnsi="Times New Roman" w:cs="Times New Roman"/>
        </w:rPr>
        <w:t xml:space="preserve"> </w:t>
      </w:r>
    </w:p>
    <w:p w:rsidR="00621B1B" w:rsidRPr="006B4B85" w:rsidRDefault="00621B1B" w:rsidP="00621B1B">
      <w:pPr>
        <w:jc w:val="both"/>
        <w:rPr>
          <w:rFonts w:ascii="Times New Roman" w:hAnsi="Times New Roman" w:cs="Times New Roman"/>
          <w:noProof/>
          <w:lang w:val="en-GB" w:eastAsia="en-GB"/>
        </w:rPr>
      </w:pPr>
    </w:p>
    <w:p w:rsidR="001176DD" w:rsidRPr="006B4B85" w:rsidRDefault="001176DD" w:rsidP="00621B1B">
      <w:pPr>
        <w:jc w:val="both"/>
        <w:rPr>
          <w:rFonts w:ascii="Times New Roman" w:hAnsi="Times New Roman" w:cs="Times New Roman"/>
          <w:b/>
        </w:rPr>
      </w:pPr>
      <w:r w:rsidRPr="006B4B85">
        <w:rPr>
          <w:rFonts w:ascii="Times New Roman" w:hAnsi="Times New Roman" w:cs="Times New Roman"/>
          <w:b/>
        </w:rPr>
        <w:t>Co-morbidities</w:t>
      </w:r>
      <w:r w:rsidR="00C53E66" w:rsidRPr="006B4B85">
        <w:rPr>
          <w:rFonts w:ascii="Times New Roman" w:hAnsi="Times New Roman" w:cs="Times New Roman"/>
          <w:b/>
        </w:rPr>
        <w:t>: prevention and co-ordination</w:t>
      </w:r>
    </w:p>
    <w:p w:rsidR="005F7237" w:rsidRPr="006B4B85" w:rsidRDefault="00621B1B" w:rsidP="005F7237">
      <w:pPr>
        <w:jc w:val="both"/>
        <w:rPr>
          <w:rFonts w:ascii="Times New Roman" w:hAnsi="Times New Roman" w:cs="Times New Roman"/>
        </w:rPr>
      </w:pPr>
      <w:r w:rsidRPr="006B4B85">
        <w:rPr>
          <w:rFonts w:ascii="Times New Roman" w:hAnsi="Times New Roman" w:cs="Times New Roman"/>
        </w:rPr>
        <w:t xml:space="preserve">NHS hospital medical </w:t>
      </w:r>
      <w:r w:rsidR="007B5849" w:rsidRPr="006B4B85">
        <w:rPr>
          <w:rFonts w:ascii="Times New Roman" w:hAnsi="Times New Roman" w:cs="Times New Roman"/>
        </w:rPr>
        <w:t>specialties</w:t>
      </w:r>
      <w:r w:rsidRPr="006B4B85">
        <w:rPr>
          <w:rFonts w:ascii="Times New Roman" w:hAnsi="Times New Roman" w:cs="Times New Roman"/>
        </w:rPr>
        <w:t xml:space="preserve"> </w:t>
      </w:r>
      <w:r w:rsidR="008F04FC">
        <w:rPr>
          <w:rFonts w:ascii="Times New Roman" w:hAnsi="Times New Roman" w:cs="Times New Roman"/>
        </w:rPr>
        <w:t xml:space="preserve">were traditionally based </w:t>
      </w:r>
      <w:r w:rsidRPr="006B4B85">
        <w:rPr>
          <w:rFonts w:ascii="Times New Roman" w:hAnsi="Times New Roman" w:cs="Times New Roman"/>
        </w:rPr>
        <w:t>around single organ diseases</w:t>
      </w:r>
      <w:r w:rsidR="008F04FC">
        <w:rPr>
          <w:rFonts w:ascii="Times New Roman" w:hAnsi="Times New Roman" w:cs="Times New Roman"/>
        </w:rPr>
        <w:t xml:space="preserve"> whereas patients are </w:t>
      </w:r>
      <w:r w:rsidR="006A0DFC">
        <w:rPr>
          <w:rFonts w:ascii="Times New Roman" w:hAnsi="Times New Roman" w:cs="Times New Roman"/>
        </w:rPr>
        <w:t xml:space="preserve">now </w:t>
      </w:r>
      <w:r w:rsidR="008F04FC">
        <w:rPr>
          <w:rFonts w:ascii="Times New Roman" w:hAnsi="Times New Roman" w:cs="Times New Roman"/>
        </w:rPr>
        <w:t>experiencing multiple and complex conditions or become frail</w:t>
      </w:r>
      <w:r w:rsidRPr="006B4B85">
        <w:rPr>
          <w:rFonts w:ascii="Times New Roman" w:hAnsi="Times New Roman" w:cs="Times New Roman"/>
        </w:rPr>
        <w:t>.</w:t>
      </w:r>
      <w:r w:rsidR="008F04FC">
        <w:rPr>
          <w:rStyle w:val="EndnoteReference"/>
          <w:rFonts w:ascii="Times New Roman" w:hAnsi="Times New Roman" w:cs="Times New Roman"/>
        </w:rPr>
        <w:endnoteReference w:id="25"/>
      </w:r>
      <w:r w:rsidR="006A0DFC">
        <w:rPr>
          <w:rFonts w:ascii="Times New Roman" w:hAnsi="Times New Roman" w:cs="Times New Roman"/>
        </w:rPr>
        <w:t xml:space="preserve"> </w:t>
      </w:r>
      <w:r w:rsidR="001558A3">
        <w:rPr>
          <w:rFonts w:ascii="Times New Roman" w:hAnsi="Times New Roman" w:cs="Times New Roman"/>
        </w:rPr>
        <w:t>Frailty is where</w:t>
      </w:r>
      <w:r w:rsidR="00F40609">
        <w:rPr>
          <w:rFonts w:ascii="Times New Roman" w:hAnsi="Times New Roman" w:cs="Times New Roman"/>
        </w:rPr>
        <w:t xml:space="preserve"> </w:t>
      </w:r>
      <w:r w:rsidR="00F40609" w:rsidRPr="006A0DFC">
        <w:rPr>
          <w:rFonts w:ascii="Times New Roman" w:hAnsi="Times New Roman" w:cs="Times New Roman"/>
        </w:rPr>
        <w:t xml:space="preserve">multiple body systems gradually lose </w:t>
      </w:r>
      <w:r w:rsidR="00F40609">
        <w:rPr>
          <w:rFonts w:ascii="Times New Roman" w:hAnsi="Times New Roman" w:cs="Times New Roman"/>
        </w:rPr>
        <w:t xml:space="preserve">their in-built reserves, </w:t>
      </w:r>
      <w:r w:rsidR="001558A3">
        <w:rPr>
          <w:rFonts w:ascii="Times New Roman" w:hAnsi="Times New Roman" w:cs="Times New Roman"/>
        </w:rPr>
        <w:t xml:space="preserve">and </w:t>
      </w:r>
      <w:r w:rsidR="00F40609">
        <w:rPr>
          <w:rFonts w:ascii="Times New Roman" w:hAnsi="Times New Roman" w:cs="Times New Roman"/>
        </w:rPr>
        <w:t>affects</w:t>
      </w:r>
      <w:r w:rsidR="00C07F9F">
        <w:rPr>
          <w:rFonts w:ascii="Times New Roman" w:hAnsi="Times New Roman" w:cs="Times New Roman"/>
        </w:rPr>
        <w:t xml:space="preserve"> around 10 per cent of those </w:t>
      </w:r>
      <w:r w:rsidR="00F40609" w:rsidRPr="006A0DFC">
        <w:rPr>
          <w:rFonts w:ascii="Times New Roman" w:hAnsi="Times New Roman" w:cs="Times New Roman"/>
        </w:rPr>
        <w:t xml:space="preserve">aged </w:t>
      </w:r>
      <w:r w:rsidR="001558A3">
        <w:rPr>
          <w:rFonts w:ascii="Times New Roman" w:hAnsi="Times New Roman" w:cs="Times New Roman"/>
        </w:rPr>
        <w:t xml:space="preserve">over 65, and </w:t>
      </w:r>
      <w:r w:rsidR="00F40609" w:rsidRPr="006A0DFC">
        <w:rPr>
          <w:rFonts w:ascii="Times New Roman" w:hAnsi="Times New Roman" w:cs="Times New Roman"/>
        </w:rPr>
        <w:t xml:space="preserve">between 25 and 50 per cent </w:t>
      </w:r>
      <w:r w:rsidR="00F40609">
        <w:rPr>
          <w:rFonts w:ascii="Times New Roman" w:hAnsi="Times New Roman" w:cs="Times New Roman"/>
        </w:rPr>
        <w:t xml:space="preserve">for those aged over </w:t>
      </w:r>
      <w:r w:rsidR="001558A3">
        <w:rPr>
          <w:rFonts w:ascii="Times New Roman" w:hAnsi="Times New Roman" w:cs="Times New Roman"/>
        </w:rPr>
        <w:t>85</w:t>
      </w:r>
      <w:r w:rsidR="00F40609">
        <w:rPr>
          <w:rFonts w:ascii="Times New Roman" w:hAnsi="Times New Roman" w:cs="Times New Roman"/>
        </w:rPr>
        <w:t xml:space="preserve">.  </w:t>
      </w:r>
      <w:r w:rsidR="006A0DFC">
        <w:rPr>
          <w:rFonts w:ascii="Times New Roman" w:hAnsi="Times New Roman" w:cs="Times New Roman"/>
        </w:rPr>
        <w:t>The challenge is coordinating</w:t>
      </w:r>
      <w:r w:rsidR="008F04FC">
        <w:rPr>
          <w:rFonts w:ascii="Times New Roman" w:hAnsi="Times New Roman" w:cs="Times New Roman"/>
        </w:rPr>
        <w:t xml:space="preserve"> services around an individual’s needs and </w:t>
      </w:r>
      <w:r w:rsidR="006A0DFC">
        <w:rPr>
          <w:rFonts w:ascii="Times New Roman" w:hAnsi="Times New Roman" w:cs="Times New Roman"/>
        </w:rPr>
        <w:t>prioritising</w:t>
      </w:r>
      <w:r w:rsidR="008F04FC">
        <w:rPr>
          <w:rFonts w:ascii="Times New Roman" w:hAnsi="Times New Roman" w:cs="Times New Roman"/>
        </w:rPr>
        <w:t xml:space="preserve"> prevention and greater support for independence.</w:t>
      </w:r>
      <w:r w:rsidR="005B7A48">
        <w:rPr>
          <w:rStyle w:val="EndnoteReference"/>
          <w:rFonts w:ascii="Times New Roman" w:hAnsi="Times New Roman" w:cs="Times New Roman"/>
        </w:rPr>
        <w:endnoteReference w:id="26"/>
      </w:r>
      <w:r w:rsidR="002D1412">
        <w:rPr>
          <w:rStyle w:val="EndnoteReference"/>
          <w:rFonts w:ascii="Times New Roman" w:hAnsi="Times New Roman" w:cs="Times New Roman"/>
        </w:rPr>
        <w:endnoteReference w:id="27"/>
      </w:r>
      <w:r w:rsidR="008F04FC">
        <w:rPr>
          <w:rFonts w:ascii="Times New Roman" w:hAnsi="Times New Roman" w:cs="Times New Roman"/>
        </w:rPr>
        <w:t xml:space="preserve">  </w:t>
      </w:r>
      <w:r w:rsidR="008F04FC" w:rsidRPr="008F04FC">
        <w:rPr>
          <w:rFonts w:ascii="Times New Roman" w:hAnsi="Times New Roman" w:cs="Times New Roman"/>
        </w:rPr>
        <w:t>The more conditions someone has, and the more limitation on their activities of daily living, the more li</w:t>
      </w:r>
      <w:r w:rsidR="001558A3">
        <w:rPr>
          <w:rFonts w:ascii="Times New Roman" w:hAnsi="Times New Roman" w:cs="Times New Roman"/>
        </w:rPr>
        <w:t xml:space="preserve">kely they are to need integrated </w:t>
      </w:r>
      <w:r w:rsidR="008F04FC" w:rsidRPr="008F04FC">
        <w:rPr>
          <w:rFonts w:ascii="Times New Roman" w:hAnsi="Times New Roman" w:cs="Times New Roman"/>
        </w:rPr>
        <w:t>health and social care.</w:t>
      </w:r>
      <w:r w:rsidR="00A25579">
        <w:rPr>
          <w:rFonts w:ascii="Times New Roman" w:hAnsi="Times New Roman" w:cs="Times New Roman"/>
        </w:rPr>
        <w:t xml:space="preserve">  </w:t>
      </w:r>
      <w:r w:rsidR="001558A3">
        <w:rPr>
          <w:rFonts w:ascii="Times New Roman" w:hAnsi="Times New Roman" w:cs="Times New Roman"/>
          <w:noProof/>
          <w:lang w:val="en-GB" w:eastAsia="en-GB"/>
        </w:rPr>
        <w:t>Older people receive</w:t>
      </w:r>
      <w:r w:rsidR="00A25579" w:rsidRPr="00E74FC2">
        <w:rPr>
          <w:rFonts w:ascii="Times New Roman" w:hAnsi="Times New Roman" w:cs="Times New Roman"/>
          <w:noProof/>
          <w:lang w:val="en-GB" w:eastAsia="en-GB"/>
        </w:rPr>
        <w:t xml:space="preserve"> the majority of their personal care from f</w:t>
      </w:r>
      <w:r w:rsidR="00A25579">
        <w:rPr>
          <w:rFonts w:ascii="Times New Roman" w:hAnsi="Times New Roman" w:cs="Times New Roman"/>
          <w:noProof/>
          <w:lang w:val="en-GB" w:eastAsia="en-GB"/>
        </w:rPr>
        <w:t xml:space="preserve">amily and </w:t>
      </w:r>
      <w:r w:rsidR="001558A3">
        <w:rPr>
          <w:rFonts w:ascii="Times New Roman" w:hAnsi="Times New Roman" w:cs="Times New Roman"/>
          <w:noProof/>
          <w:lang w:val="en-GB" w:eastAsia="en-GB"/>
        </w:rPr>
        <w:t xml:space="preserve">other unpaid carers and </w:t>
      </w:r>
      <w:r w:rsidR="00C07F9F">
        <w:rPr>
          <w:rFonts w:ascii="Times New Roman" w:hAnsi="Times New Roman" w:cs="Times New Roman"/>
          <w:noProof/>
          <w:lang w:val="en-GB" w:eastAsia="en-GB"/>
        </w:rPr>
        <w:t xml:space="preserve">so </w:t>
      </w:r>
      <w:r w:rsidR="00A25579">
        <w:rPr>
          <w:rFonts w:ascii="Times New Roman" w:hAnsi="Times New Roman" w:cs="Times New Roman"/>
          <w:noProof/>
          <w:lang w:val="en-GB" w:eastAsia="en-GB"/>
        </w:rPr>
        <w:t>informal services</w:t>
      </w:r>
      <w:r w:rsidR="001558A3">
        <w:rPr>
          <w:rFonts w:ascii="Times New Roman" w:hAnsi="Times New Roman" w:cs="Times New Roman"/>
          <w:noProof/>
          <w:lang w:val="en-GB" w:eastAsia="en-GB"/>
        </w:rPr>
        <w:t xml:space="preserve"> will remain a cruc</w:t>
      </w:r>
      <w:r w:rsidR="000F6F4A">
        <w:rPr>
          <w:rFonts w:ascii="Times New Roman" w:hAnsi="Times New Roman" w:cs="Times New Roman"/>
          <w:noProof/>
          <w:lang w:val="en-GB" w:eastAsia="en-GB"/>
        </w:rPr>
        <w:t>ial part of the overall response</w:t>
      </w:r>
      <w:r w:rsidR="00A25579">
        <w:rPr>
          <w:rFonts w:ascii="Times New Roman" w:hAnsi="Times New Roman" w:cs="Times New Roman"/>
          <w:noProof/>
          <w:lang w:val="en-GB" w:eastAsia="en-GB"/>
        </w:rPr>
        <w:t>.</w:t>
      </w:r>
      <w:r w:rsidR="00A25579">
        <w:rPr>
          <w:rFonts w:ascii="Times New Roman" w:hAnsi="Times New Roman" w:cs="Times New Roman"/>
        </w:rPr>
        <w:t xml:space="preserve">  </w:t>
      </w:r>
      <w:r w:rsidR="002D1412">
        <w:rPr>
          <w:rFonts w:ascii="Times New Roman" w:hAnsi="Times New Roman" w:cs="Times New Roman"/>
        </w:rPr>
        <w:t>There is a need for m</w:t>
      </w:r>
      <w:r w:rsidR="00730E35" w:rsidRPr="006B4B85">
        <w:rPr>
          <w:rFonts w:ascii="Times New Roman" w:hAnsi="Times New Roman" w:cs="Times New Roman"/>
        </w:rPr>
        <w:t xml:space="preserve">ore evidence on what works around </w:t>
      </w:r>
      <w:r w:rsidR="002D1412">
        <w:rPr>
          <w:rFonts w:ascii="Times New Roman" w:hAnsi="Times New Roman" w:cs="Times New Roman"/>
        </w:rPr>
        <w:t xml:space="preserve">services </w:t>
      </w:r>
      <w:r w:rsidR="00730E35" w:rsidRPr="006B4B85">
        <w:rPr>
          <w:rFonts w:ascii="Times New Roman" w:hAnsi="Times New Roman" w:cs="Times New Roman"/>
        </w:rPr>
        <w:t xml:space="preserve">for </w:t>
      </w:r>
      <w:r w:rsidR="002D1412">
        <w:rPr>
          <w:rFonts w:ascii="Times New Roman" w:hAnsi="Times New Roman" w:cs="Times New Roman"/>
        </w:rPr>
        <w:t xml:space="preserve">patients with multi-morbidity and </w:t>
      </w:r>
      <w:r w:rsidR="001558A3">
        <w:rPr>
          <w:rFonts w:ascii="Times New Roman" w:hAnsi="Times New Roman" w:cs="Times New Roman"/>
        </w:rPr>
        <w:t xml:space="preserve">for </w:t>
      </w:r>
      <w:r w:rsidR="002D1412">
        <w:rPr>
          <w:rFonts w:ascii="Times New Roman" w:hAnsi="Times New Roman" w:cs="Times New Roman"/>
        </w:rPr>
        <w:t>t</w:t>
      </w:r>
      <w:r w:rsidR="00730E35" w:rsidRPr="006B4B85">
        <w:rPr>
          <w:rFonts w:ascii="Times New Roman" w:hAnsi="Times New Roman" w:cs="Times New Roman"/>
        </w:rPr>
        <w:t xml:space="preserve">raining practitioners to provide support to people with </w:t>
      </w:r>
      <w:r w:rsidR="002D1412">
        <w:rPr>
          <w:rFonts w:ascii="Times New Roman" w:hAnsi="Times New Roman" w:cs="Times New Roman"/>
        </w:rPr>
        <w:t xml:space="preserve">these </w:t>
      </w:r>
      <w:r w:rsidR="001558A3">
        <w:rPr>
          <w:rFonts w:ascii="Times New Roman" w:hAnsi="Times New Roman" w:cs="Times New Roman"/>
        </w:rPr>
        <w:t>complex conditions</w:t>
      </w:r>
      <w:r w:rsidR="002D1412">
        <w:rPr>
          <w:rFonts w:ascii="Times New Roman" w:hAnsi="Times New Roman" w:cs="Times New Roman"/>
        </w:rPr>
        <w:t>.</w:t>
      </w:r>
      <w:r w:rsidR="008F04FC">
        <w:rPr>
          <w:rStyle w:val="EndnoteReference"/>
          <w:rFonts w:ascii="Times New Roman" w:hAnsi="Times New Roman" w:cs="Times New Roman"/>
        </w:rPr>
        <w:endnoteReference w:id="28"/>
      </w:r>
      <w:r w:rsidR="008F04FC">
        <w:rPr>
          <w:rFonts w:ascii="Times New Roman" w:hAnsi="Times New Roman" w:cs="Times New Roman"/>
        </w:rPr>
        <w:t xml:space="preserve"> </w:t>
      </w:r>
      <w:r w:rsidR="00F40609">
        <w:rPr>
          <w:rFonts w:ascii="Times New Roman" w:hAnsi="Times New Roman" w:cs="Times New Roman"/>
        </w:rPr>
        <w:t xml:space="preserve">  </w:t>
      </w:r>
    </w:p>
    <w:p w:rsidR="00F40609" w:rsidRPr="006B4B85" w:rsidRDefault="00F40609" w:rsidP="00C53E66">
      <w:pPr>
        <w:jc w:val="both"/>
        <w:rPr>
          <w:rFonts w:ascii="Times New Roman" w:hAnsi="Times New Roman" w:cs="Times New Roman"/>
        </w:rPr>
      </w:pPr>
    </w:p>
    <w:p w:rsidR="005D64BE" w:rsidRPr="00406029" w:rsidRDefault="004A6031" w:rsidP="000F6F4A">
      <w:pPr>
        <w:jc w:val="both"/>
        <w:rPr>
          <w:rFonts w:ascii="Times New Roman" w:hAnsi="Times New Roman" w:cs="Times New Roman"/>
        </w:rPr>
      </w:pPr>
      <w:r>
        <w:rPr>
          <w:rFonts w:ascii="Times New Roman" w:hAnsi="Times New Roman" w:cs="Times New Roman"/>
        </w:rPr>
        <w:t xml:space="preserve">One in four older people have symptoms of depression that require treatment.  </w:t>
      </w:r>
      <w:r w:rsidR="001558A3">
        <w:rPr>
          <w:rFonts w:ascii="Times New Roman" w:hAnsi="Times New Roman" w:cs="Times New Roman"/>
        </w:rPr>
        <w:t>However, l</w:t>
      </w:r>
      <w:r>
        <w:rPr>
          <w:rFonts w:ascii="Times New Roman" w:hAnsi="Times New Roman" w:cs="Times New Roman"/>
        </w:rPr>
        <w:t>ess that one in six older people with depression discuss their symptoms with their GP – and of these only half re</w:t>
      </w:r>
      <w:r w:rsidR="001558A3">
        <w:rPr>
          <w:rFonts w:ascii="Times New Roman" w:hAnsi="Times New Roman" w:cs="Times New Roman"/>
        </w:rPr>
        <w:t>ceive adequate treatments</w:t>
      </w:r>
      <w:r w:rsidR="00C07F9F">
        <w:rPr>
          <w:rFonts w:ascii="Times New Roman" w:hAnsi="Times New Roman" w:cs="Times New Roman"/>
        </w:rPr>
        <w:t>.</w:t>
      </w:r>
      <w:r w:rsidR="00AC7787">
        <w:rPr>
          <w:rStyle w:val="EndnoteReference"/>
          <w:rFonts w:ascii="Times New Roman" w:hAnsi="Times New Roman" w:cs="Times New Roman"/>
        </w:rPr>
        <w:endnoteReference w:id="29"/>
      </w:r>
      <w:r w:rsidR="00A25579">
        <w:rPr>
          <w:rFonts w:ascii="Times New Roman" w:hAnsi="Times New Roman" w:cs="Times New Roman"/>
        </w:rPr>
        <w:t xml:space="preserve">  Other evidence suggests:</w:t>
      </w:r>
    </w:p>
    <w:p w:rsidR="005D64BE" w:rsidRPr="005D4703" w:rsidRDefault="005D64BE" w:rsidP="000F6F4A">
      <w:pPr>
        <w:numPr>
          <w:ilvl w:val="0"/>
          <w:numId w:val="3"/>
        </w:numPr>
        <w:rPr>
          <w:rFonts w:ascii="Times New Roman" w:eastAsia="Times New Roman" w:hAnsi="Times New Roman" w:cs="Times New Roman"/>
          <w:lang w:eastAsia="en-GB"/>
        </w:rPr>
      </w:pPr>
      <w:r w:rsidRPr="005D4703">
        <w:rPr>
          <w:rFonts w:ascii="Times New Roman" w:eastAsia="Times New Roman" w:hAnsi="Times New Roman" w:cs="Times New Roman"/>
          <w:lang w:eastAsia="en-GB"/>
        </w:rPr>
        <w:t>For every 1,000 people over the age of 65, 250 will have a mental illness, 135 will have depression, of which 115 will have no treatment.</w:t>
      </w:r>
    </w:p>
    <w:p w:rsidR="005D64BE" w:rsidRPr="005D4703" w:rsidRDefault="005D64BE" w:rsidP="000F6F4A">
      <w:pPr>
        <w:numPr>
          <w:ilvl w:val="0"/>
          <w:numId w:val="3"/>
        </w:numPr>
        <w:rPr>
          <w:rFonts w:ascii="Times New Roman" w:eastAsia="Times New Roman" w:hAnsi="Times New Roman" w:cs="Times New Roman"/>
          <w:lang w:eastAsia="en-GB"/>
        </w:rPr>
      </w:pPr>
      <w:r w:rsidRPr="005D4703">
        <w:rPr>
          <w:rFonts w:ascii="Times New Roman" w:eastAsia="Times New Roman" w:hAnsi="Times New Roman" w:cs="Times New Roman"/>
          <w:lang w:eastAsia="en-GB"/>
        </w:rPr>
        <w:t>85% of older people with depression receive no help from the NHS, and older people are a fifth as likely as younger age groups to have access to talking therapies but six times as likely to be on medication.</w:t>
      </w:r>
    </w:p>
    <w:p w:rsidR="009D520E" w:rsidRPr="00FA48C4" w:rsidRDefault="005D64BE" w:rsidP="000F6F4A">
      <w:pPr>
        <w:numPr>
          <w:ilvl w:val="0"/>
          <w:numId w:val="3"/>
        </w:numPr>
        <w:rPr>
          <w:rFonts w:ascii="Times New Roman" w:eastAsia="Times New Roman" w:hAnsi="Times New Roman" w:cs="Times New Roman"/>
          <w:lang w:eastAsia="en-GB"/>
        </w:rPr>
      </w:pPr>
      <w:r w:rsidRPr="005D4703">
        <w:rPr>
          <w:rFonts w:ascii="Times New Roman" w:eastAsia="Times New Roman" w:hAnsi="Times New Roman" w:cs="Times New Roman"/>
          <w:lang w:eastAsia="en-GB"/>
        </w:rPr>
        <w:t>While 50% of younger people with depression are referred to mental health services, only 6% of older people are.</w:t>
      </w:r>
      <w:r w:rsidR="00406029" w:rsidRPr="005D4703">
        <w:rPr>
          <w:rStyle w:val="EndnoteReference"/>
          <w:rFonts w:ascii="Times New Roman" w:eastAsia="Times New Roman" w:hAnsi="Times New Roman" w:cs="Times New Roman"/>
          <w:lang w:eastAsia="en-GB"/>
        </w:rPr>
        <w:endnoteReference w:id="30"/>
      </w:r>
    </w:p>
    <w:p w:rsidR="000F6F4A" w:rsidRDefault="000F6F4A" w:rsidP="000F6F4A">
      <w:pPr>
        <w:jc w:val="both"/>
        <w:rPr>
          <w:rFonts w:ascii="Times New Roman" w:hAnsi="Times New Roman" w:cs="Times New Roman"/>
        </w:rPr>
      </w:pPr>
      <w:r>
        <w:rPr>
          <w:rFonts w:ascii="Times New Roman" w:hAnsi="Times New Roman" w:cs="Times New Roman"/>
        </w:rPr>
        <w:t xml:space="preserve">Commentators highlight </w:t>
      </w:r>
      <w:r w:rsidRPr="006B4B85">
        <w:rPr>
          <w:rFonts w:ascii="Times New Roman" w:hAnsi="Times New Roman" w:cs="Times New Roman"/>
        </w:rPr>
        <w:t>befriending initiatives, social prescribing and group activities can reduce loneliness and symptoms of depression</w:t>
      </w:r>
      <w:r>
        <w:rPr>
          <w:rFonts w:ascii="Times New Roman" w:hAnsi="Times New Roman" w:cs="Times New Roman"/>
        </w:rPr>
        <w:t>.</w:t>
      </w:r>
      <w:r>
        <w:rPr>
          <w:rStyle w:val="EndnoteReference"/>
          <w:rFonts w:ascii="Times New Roman" w:hAnsi="Times New Roman" w:cs="Times New Roman"/>
        </w:rPr>
        <w:endnoteReference w:id="31"/>
      </w:r>
      <w:r>
        <w:rPr>
          <w:rFonts w:ascii="Times New Roman" w:hAnsi="Times New Roman" w:cs="Times New Roman"/>
        </w:rPr>
        <w:t xml:space="preserve">  </w:t>
      </w:r>
    </w:p>
    <w:p w:rsidR="000F6F4A" w:rsidRDefault="000F6F4A" w:rsidP="00F30F0E">
      <w:pPr>
        <w:jc w:val="both"/>
        <w:rPr>
          <w:rFonts w:ascii="Times New Roman" w:hAnsi="Times New Roman" w:cs="Times New Roman"/>
        </w:rPr>
      </w:pPr>
    </w:p>
    <w:p w:rsidR="00F30F0E" w:rsidRPr="00CB7A2B" w:rsidRDefault="005061EA" w:rsidP="00F30F0E">
      <w:pPr>
        <w:jc w:val="both"/>
        <w:rPr>
          <w:rFonts w:ascii="Times New Roman" w:hAnsi="Times New Roman" w:cs="Times New Roman"/>
        </w:rPr>
      </w:pPr>
      <w:r w:rsidRPr="00F30F0E">
        <w:rPr>
          <w:rFonts w:ascii="Times New Roman" w:hAnsi="Times New Roman" w:cs="Times New Roman"/>
        </w:rPr>
        <w:t>Over 400,000 people in England hav</w:t>
      </w:r>
      <w:r>
        <w:rPr>
          <w:rFonts w:ascii="Times New Roman" w:hAnsi="Times New Roman" w:cs="Times New Roman"/>
        </w:rPr>
        <w:t xml:space="preserve">e been diagnosed with dementia. </w:t>
      </w:r>
      <w:r w:rsidR="00A25579">
        <w:rPr>
          <w:rFonts w:ascii="Times New Roman" w:hAnsi="Times New Roman" w:cs="Times New Roman"/>
        </w:rPr>
        <w:t>F</w:t>
      </w:r>
      <w:r w:rsidRPr="00F30F0E">
        <w:rPr>
          <w:rFonts w:ascii="Times New Roman" w:hAnsi="Times New Roman" w:cs="Times New Roman"/>
        </w:rPr>
        <w:t>igures show that 0.77%</w:t>
      </w:r>
      <w:r>
        <w:rPr>
          <w:rFonts w:ascii="Times New Roman" w:hAnsi="Times New Roman" w:cs="Times New Roman"/>
        </w:rPr>
        <w:t xml:space="preserve"> of people registered with a GP </w:t>
      </w:r>
      <w:r w:rsidRPr="00F30F0E">
        <w:rPr>
          <w:rFonts w:ascii="Times New Roman" w:hAnsi="Times New Roman" w:cs="Times New Roman"/>
        </w:rPr>
        <w:t>practice are diagnosed with dementia (1 person in 130).</w:t>
      </w:r>
      <w:r>
        <w:rPr>
          <w:rFonts w:ascii="Times New Roman" w:hAnsi="Times New Roman" w:cs="Times New Roman"/>
        </w:rPr>
        <w:t xml:space="preserve"> </w:t>
      </w:r>
      <w:r w:rsidR="00406029" w:rsidRPr="00F30F0E">
        <w:rPr>
          <w:rFonts w:ascii="Times New Roman" w:hAnsi="Times New Roman" w:cs="Times New Roman"/>
        </w:rPr>
        <w:lastRenderedPageBreak/>
        <w:t>Dementia is estimated to cost the UK economy over £26 billion a year</w:t>
      </w:r>
      <w:r w:rsidR="00CB7A2B" w:rsidRPr="00CB7A2B">
        <w:rPr>
          <w:rFonts w:ascii="Times New Roman" w:hAnsi="Times New Roman" w:cs="Times New Roman"/>
        </w:rPr>
        <w:t>, with 39% due to social ca</w:t>
      </w:r>
      <w:r w:rsidR="00CB7A2B">
        <w:rPr>
          <w:rFonts w:ascii="Times New Roman" w:hAnsi="Times New Roman" w:cs="Times New Roman"/>
        </w:rPr>
        <w:t>re and 44% due to unpaid care</w:t>
      </w:r>
      <w:r w:rsidR="009E42DD">
        <w:rPr>
          <w:rFonts w:ascii="Times New Roman" w:hAnsi="Times New Roman" w:cs="Times New Roman"/>
        </w:rPr>
        <w:t xml:space="preserve">.  </w:t>
      </w:r>
      <w:r w:rsidR="009E42DD" w:rsidRPr="005061EA">
        <w:rPr>
          <w:rFonts w:ascii="Times New Roman" w:hAnsi="Times New Roman" w:cs="Times New Roman"/>
        </w:rPr>
        <w:t>Dementia patients often</w:t>
      </w:r>
      <w:r w:rsidR="009E42DD">
        <w:rPr>
          <w:rFonts w:ascii="Times New Roman" w:hAnsi="Times New Roman" w:cs="Times New Roman"/>
        </w:rPr>
        <w:t xml:space="preserve"> have longer hospital stays than other inpa</w:t>
      </w:r>
      <w:r w:rsidR="009E42DD" w:rsidRPr="005061EA">
        <w:rPr>
          <w:rFonts w:ascii="Times New Roman" w:hAnsi="Times New Roman" w:cs="Times New Roman"/>
        </w:rPr>
        <w:t>t</w:t>
      </w:r>
      <w:r w:rsidR="009E42DD">
        <w:rPr>
          <w:rFonts w:ascii="Times New Roman" w:hAnsi="Times New Roman" w:cs="Times New Roman"/>
        </w:rPr>
        <w:t>ie</w:t>
      </w:r>
      <w:r w:rsidR="009E42DD" w:rsidRPr="005061EA">
        <w:rPr>
          <w:rFonts w:ascii="Times New Roman" w:hAnsi="Times New Roman" w:cs="Times New Roman"/>
        </w:rPr>
        <w:t>n</w:t>
      </w:r>
      <w:r w:rsidR="009E42DD">
        <w:rPr>
          <w:rFonts w:ascii="Times New Roman" w:hAnsi="Times New Roman" w:cs="Times New Roman"/>
        </w:rPr>
        <w:t>t</w:t>
      </w:r>
      <w:r w:rsidR="009E42DD" w:rsidRPr="005061EA">
        <w:rPr>
          <w:rFonts w:ascii="Times New Roman" w:hAnsi="Times New Roman" w:cs="Times New Roman"/>
        </w:rPr>
        <w:t xml:space="preserve">s, and </w:t>
      </w:r>
      <w:r w:rsidR="00C07F9F">
        <w:rPr>
          <w:rFonts w:ascii="Times New Roman" w:hAnsi="Times New Roman" w:cs="Times New Roman"/>
        </w:rPr>
        <w:t xml:space="preserve">are </w:t>
      </w:r>
      <w:r w:rsidR="009E42DD" w:rsidRPr="005061EA">
        <w:rPr>
          <w:rFonts w:ascii="Times New Roman" w:hAnsi="Times New Roman" w:cs="Times New Roman"/>
        </w:rPr>
        <w:t>less likely to retu</w:t>
      </w:r>
      <w:r w:rsidR="009E42DD">
        <w:rPr>
          <w:rFonts w:ascii="Times New Roman" w:hAnsi="Times New Roman" w:cs="Times New Roman"/>
        </w:rPr>
        <w:t xml:space="preserve">rn home after a hospital stay.  </w:t>
      </w:r>
      <w:r w:rsidR="00406029" w:rsidRPr="00F30F0E">
        <w:rPr>
          <w:rFonts w:ascii="Times New Roman" w:hAnsi="Times New Roman" w:cs="Times New Roman"/>
        </w:rPr>
        <w:t>By 2040, predicted costs are expected to treble.</w:t>
      </w:r>
      <w:r w:rsidR="00406029" w:rsidRPr="00F30F0E">
        <w:rPr>
          <w:rStyle w:val="EndnoteReference"/>
          <w:rFonts w:ascii="Times New Roman" w:hAnsi="Times New Roman" w:cs="Times New Roman"/>
        </w:rPr>
        <w:endnoteReference w:id="32"/>
      </w:r>
      <w:r w:rsidR="00F30F0E" w:rsidRPr="00F30F0E">
        <w:rPr>
          <w:rFonts w:ascii="Times New Roman" w:hAnsi="Times New Roman" w:cs="Times New Roman"/>
        </w:rPr>
        <w:t xml:space="preserve"> </w:t>
      </w:r>
      <w:r w:rsidR="002D1412">
        <w:rPr>
          <w:rFonts w:ascii="Times New Roman" w:hAnsi="Times New Roman" w:cs="Times New Roman"/>
        </w:rPr>
        <w:t>It is e</w:t>
      </w:r>
      <w:r w:rsidR="002D1412" w:rsidRPr="006B4B85">
        <w:rPr>
          <w:rFonts w:ascii="Times New Roman" w:hAnsi="Times New Roman" w:cs="Times New Roman"/>
        </w:rPr>
        <w:t>stimated that 40% of people age</w:t>
      </w:r>
      <w:r w:rsidR="00FA48C4">
        <w:rPr>
          <w:rFonts w:ascii="Times New Roman" w:hAnsi="Times New Roman" w:cs="Times New Roman"/>
        </w:rPr>
        <w:t>d</w:t>
      </w:r>
      <w:r w:rsidR="002D1412" w:rsidRPr="006B4B85">
        <w:rPr>
          <w:rFonts w:ascii="Times New Roman" w:hAnsi="Times New Roman" w:cs="Times New Roman"/>
        </w:rPr>
        <w:t xml:space="preserve"> </w:t>
      </w:r>
      <w:r w:rsidR="00FA48C4">
        <w:rPr>
          <w:rFonts w:ascii="Times New Roman" w:hAnsi="Times New Roman" w:cs="Times New Roman"/>
        </w:rPr>
        <w:t>over 85</w:t>
      </w:r>
      <w:r w:rsidR="002D1412" w:rsidRPr="006B4B85">
        <w:rPr>
          <w:rFonts w:ascii="Times New Roman" w:hAnsi="Times New Roman" w:cs="Times New Roman"/>
        </w:rPr>
        <w:t xml:space="preserve"> will develop dementia and be in need of long-term care.</w:t>
      </w:r>
      <w:r w:rsidR="002D1412">
        <w:rPr>
          <w:rStyle w:val="EndnoteReference"/>
          <w:rFonts w:ascii="Times New Roman" w:hAnsi="Times New Roman" w:cs="Times New Roman"/>
        </w:rPr>
        <w:endnoteReference w:id="33"/>
      </w:r>
      <w:r w:rsidR="002D1412">
        <w:rPr>
          <w:rStyle w:val="EndnoteReference"/>
          <w:rFonts w:ascii="Times New Roman" w:hAnsi="Times New Roman" w:cs="Times New Roman"/>
        </w:rPr>
        <w:endnoteReference w:id="34"/>
      </w:r>
      <w:r w:rsidR="002D1412">
        <w:rPr>
          <w:rFonts w:ascii="Times New Roman" w:hAnsi="Times New Roman" w:cs="Times New Roman"/>
        </w:rPr>
        <w:t xml:space="preserve"> </w:t>
      </w:r>
    </w:p>
    <w:p w:rsidR="005F7237" w:rsidRPr="006B4B85" w:rsidRDefault="005F7237" w:rsidP="005F7237">
      <w:pPr>
        <w:jc w:val="both"/>
        <w:rPr>
          <w:rFonts w:ascii="Times New Roman" w:hAnsi="Times New Roman" w:cs="Times New Roman"/>
        </w:rPr>
      </w:pPr>
    </w:p>
    <w:p w:rsidR="005061EA" w:rsidRPr="005061EA" w:rsidRDefault="005061EA" w:rsidP="00C53E66">
      <w:pPr>
        <w:jc w:val="both"/>
        <w:rPr>
          <w:rFonts w:ascii="Times New Roman" w:hAnsi="Times New Roman" w:cs="Times New Roman"/>
          <w:b/>
        </w:rPr>
      </w:pPr>
      <w:r w:rsidRPr="005061EA">
        <w:rPr>
          <w:rFonts w:ascii="Times New Roman" w:hAnsi="Times New Roman" w:cs="Times New Roman"/>
          <w:b/>
        </w:rPr>
        <w:t>Discharge</w:t>
      </w:r>
      <w:r w:rsidR="00E1537F">
        <w:rPr>
          <w:rFonts w:ascii="Times New Roman" w:hAnsi="Times New Roman" w:cs="Times New Roman"/>
          <w:b/>
        </w:rPr>
        <w:t xml:space="preserve"> from hospital care</w:t>
      </w:r>
    </w:p>
    <w:p w:rsidR="00A40E58" w:rsidRDefault="00917D6E" w:rsidP="00917D6E">
      <w:pPr>
        <w:jc w:val="both"/>
        <w:rPr>
          <w:rFonts w:ascii="Times New Roman" w:eastAsia="Times New Roman" w:hAnsi="Times New Roman" w:cs="Times New Roman"/>
          <w:color w:val="333333"/>
          <w:lang w:val="en-GB" w:eastAsia="en-GB"/>
        </w:rPr>
      </w:pPr>
      <w:r>
        <w:rPr>
          <w:rFonts w:ascii="Times New Roman" w:hAnsi="Times New Roman" w:cs="Times New Roman"/>
        </w:rPr>
        <w:t xml:space="preserve">An estimated </w:t>
      </w:r>
      <w:r w:rsidR="00C53E66" w:rsidRPr="006B4B85">
        <w:rPr>
          <w:rFonts w:ascii="Times New Roman" w:hAnsi="Times New Roman" w:cs="Times New Roman"/>
        </w:rPr>
        <w:t>one-third of older patients initially admitted to hospital as a</w:t>
      </w:r>
      <w:r w:rsidR="009E42DD">
        <w:rPr>
          <w:rFonts w:ascii="Times New Roman" w:hAnsi="Times New Roman" w:cs="Times New Roman"/>
        </w:rPr>
        <w:t>n</w:t>
      </w:r>
      <w:r w:rsidR="00C53E66" w:rsidRPr="006B4B85">
        <w:rPr>
          <w:rFonts w:ascii="Times New Roman" w:hAnsi="Times New Roman" w:cs="Times New Roman"/>
        </w:rPr>
        <w:t xml:space="preserve"> emergency no longer should be in a hospit</w:t>
      </w:r>
      <w:r>
        <w:rPr>
          <w:rFonts w:ascii="Times New Roman" w:hAnsi="Times New Roman" w:cs="Times New Roman"/>
        </w:rPr>
        <w:t>al bed</w:t>
      </w:r>
      <w:r w:rsidR="00CB7A2B">
        <w:rPr>
          <w:rFonts w:ascii="Times New Roman" w:hAnsi="Times New Roman" w:cs="Times New Roman"/>
        </w:rPr>
        <w:t>.</w:t>
      </w:r>
      <w:r w:rsidR="00CB7A2B">
        <w:rPr>
          <w:rStyle w:val="EndnoteReference"/>
          <w:rFonts w:ascii="Times New Roman" w:hAnsi="Times New Roman" w:cs="Times New Roman"/>
        </w:rPr>
        <w:endnoteReference w:id="35"/>
      </w:r>
      <w:r w:rsidR="00CB7A2B">
        <w:rPr>
          <w:rFonts w:ascii="Times New Roman" w:hAnsi="Times New Roman" w:cs="Times New Roman"/>
        </w:rPr>
        <w:t xml:space="preserve">  </w:t>
      </w:r>
      <w:r>
        <w:rPr>
          <w:rFonts w:ascii="Times New Roman" w:hAnsi="Times New Roman" w:cs="Times New Roman"/>
        </w:rPr>
        <w:t>The N</w:t>
      </w:r>
      <w:r w:rsidRPr="00917D6E">
        <w:rPr>
          <w:rFonts w:ascii="Times New Roman" w:hAnsi="Times New Roman" w:cs="Times New Roman"/>
        </w:rPr>
        <w:t>ational Audit Office</w:t>
      </w:r>
      <w:r w:rsidR="000F6F4A">
        <w:rPr>
          <w:rFonts w:ascii="Times New Roman" w:hAnsi="Times New Roman" w:cs="Times New Roman"/>
        </w:rPr>
        <w:t xml:space="preserve"> (NAO)</w:t>
      </w:r>
      <w:r w:rsidR="00C07F9F">
        <w:rPr>
          <w:rFonts w:ascii="Times New Roman" w:hAnsi="Times New Roman" w:cs="Times New Roman"/>
        </w:rPr>
        <w:t xml:space="preserve"> n</w:t>
      </w:r>
      <w:r w:rsidR="00C07F9F" w:rsidRPr="00917D6E">
        <w:rPr>
          <w:rFonts w:ascii="Times New Roman" w:hAnsi="Times New Roman" w:cs="Times New Roman"/>
        </w:rPr>
        <w:t xml:space="preserve">otes that 62% of hospital bed days </w:t>
      </w:r>
      <w:r w:rsidR="00C07F9F">
        <w:rPr>
          <w:rFonts w:ascii="Times New Roman" w:hAnsi="Times New Roman" w:cs="Times New Roman"/>
        </w:rPr>
        <w:t xml:space="preserve">were </w:t>
      </w:r>
      <w:r w:rsidR="00C07F9F" w:rsidRPr="00917D6E">
        <w:rPr>
          <w:rFonts w:ascii="Times New Roman" w:hAnsi="Times New Roman" w:cs="Times New Roman"/>
        </w:rPr>
        <w:t xml:space="preserve">occupied </w:t>
      </w:r>
      <w:r w:rsidR="00C07F9F">
        <w:rPr>
          <w:rFonts w:ascii="Times New Roman" w:hAnsi="Times New Roman" w:cs="Times New Roman"/>
        </w:rPr>
        <w:t>by patients aged over 65 in 2014/</w:t>
      </w:r>
      <w:r w:rsidR="00C07F9F" w:rsidRPr="00917D6E">
        <w:rPr>
          <w:rFonts w:ascii="Times New Roman" w:hAnsi="Times New Roman" w:cs="Times New Roman"/>
        </w:rPr>
        <w:t>15</w:t>
      </w:r>
      <w:r w:rsidR="00C07F9F">
        <w:rPr>
          <w:rFonts w:ascii="Times New Roman" w:hAnsi="Times New Roman" w:cs="Times New Roman"/>
        </w:rPr>
        <w:t>.</w:t>
      </w:r>
      <w:r>
        <w:rPr>
          <w:rStyle w:val="EndnoteReference"/>
          <w:rFonts w:ascii="Times New Roman" w:hAnsi="Times New Roman" w:cs="Times New Roman"/>
        </w:rPr>
        <w:endnoteReference w:id="36"/>
      </w:r>
      <w:r w:rsidR="00C07F9F">
        <w:rPr>
          <w:rFonts w:ascii="Times New Roman" w:hAnsi="Times New Roman" w:cs="Times New Roman"/>
        </w:rPr>
        <w:t xml:space="preserve">  </w:t>
      </w:r>
      <w:r w:rsidR="007F2667" w:rsidRPr="007F2667">
        <w:rPr>
          <w:rFonts w:ascii="Times New Roman" w:hAnsi="Times New Roman" w:cs="Times New Roman"/>
        </w:rPr>
        <w:t xml:space="preserve">Approximately 2.7 million hospital beds were occupied by older patients no longer in need of acute treatment </w:t>
      </w:r>
      <w:r w:rsidR="00382BD0">
        <w:rPr>
          <w:rFonts w:ascii="Times New Roman" w:hAnsi="Times New Roman" w:cs="Times New Roman"/>
        </w:rPr>
        <w:t>– at</w:t>
      </w:r>
      <w:r w:rsidR="007F2667">
        <w:rPr>
          <w:rFonts w:ascii="Times New Roman" w:hAnsi="Times New Roman" w:cs="Times New Roman"/>
        </w:rPr>
        <w:t xml:space="preserve"> </w:t>
      </w:r>
      <w:r w:rsidR="000E5CF4">
        <w:rPr>
          <w:rFonts w:ascii="Times New Roman" w:hAnsi="Times New Roman" w:cs="Times New Roman"/>
        </w:rPr>
        <w:t>an e</w:t>
      </w:r>
      <w:r w:rsidRPr="00917D6E">
        <w:rPr>
          <w:rFonts w:ascii="Times New Roman" w:hAnsi="Times New Roman" w:cs="Times New Roman"/>
        </w:rPr>
        <w:t xml:space="preserve">stimated </w:t>
      </w:r>
      <w:r w:rsidR="007F2667">
        <w:rPr>
          <w:rFonts w:ascii="Times New Roman" w:hAnsi="Times New Roman" w:cs="Times New Roman"/>
        </w:rPr>
        <w:t xml:space="preserve">cost of £820million to the </w:t>
      </w:r>
      <w:r w:rsidRPr="00917D6E">
        <w:rPr>
          <w:rFonts w:ascii="Times New Roman" w:hAnsi="Times New Roman" w:cs="Times New Roman"/>
        </w:rPr>
        <w:t>NHS</w:t>
      </w:r>
      <w:r w:rsidRPr="00A40E58">
        <w:rPr>
          <w:rFonts w:ascii="Times New Roman" w:hAnsi="Times New Roman" w:cs="Times New Roman"/>
        </w:rPr>
        <w:t xml:space="preserve">. </w:t>
      </w:r>
      <w:r w:rsidR="00A40E58" w:rsidRPr="00A40E58">
        <w:rPr>
          <w:rFonts w:ascii="Times New Roman" w:eastAsia="Times New Roman" w:hAnsi="Times New Roman" w:cs="Times New Roman"/>
          <w:lang w:val="en-GB" w:eastAsia="en-GB"/>
        </w:rPr>
        <w:t>Increasingly, older patients are experiencing delays in b</w:t>
      </w:r>
      <w:r w:rsidR="007F2667">
        <w:rPr>
          <w:rFonts w:ascii="Times New Roman" w:eastAsia="Times New Roman" w:hAnsi="Times New Roman" w:cs="Times New Roman"/>
          <w:lang w:val="en-GB" w:eastAsia="en-GB"/>
        </w:rPr>
        <w:t>eing discharged from hospital and s</w:t>
      </w:r>
      <w:r w:rsidR="00A40E58" w:rsidRPr="00A40E58">
        <w:rPr>
          <w:rFonts w:ascii="Times New Roman" w:eastAsia="Times New Roman" w:hAnsi="Times New Roman" w:cs="Times New Roman"/>
          <w:lang w:val="en-GB" w:eastAsia="en-GB"/>
        </w:rPr>
        <w:t>uch delays are bad for their health and increase the level of care they may need after leaving hospital. Longer stays in hospital can increase the risk of adverse events such as falls, healthcare acquired infections (urinary tract infections, pneumonia) and reduced mobil</w:t>
      </w:r>
      <w:r w:rsidR="009E42DD">
        <w:rPr>
          <w:rFonts w:ascii="Times New Roman" w:eastAsia="Times New Roman" w:hAnsi="Times New Roman" w:cs="Times New Roman"/>
          <w:lang w:val="en-GB" w:eastAsia="en-GB"/>
        </w:rPr>
        <w:t>ity through muscle loss</w:t>
      </w:r>
      <w:r w:rsidR="00FA48C4">
        <w:rPr>
          <w:rFonts w:ascii="Times New Roman" w:eastAsia="Times New Roman" w:hAnsi="Times New Roman" w:cs="Times New Roman"/>
          <w:lang w:val="en-GB" w:eastAsia="en-GB"/>
        </w:rPr>
        <w:t>.</w:t>
      </w:r>
      <w:r w:rsidR="007F2667">
        <w:rPr>
          <w:rStyle w:val="EndnoteReference"/>
          <w:rFonts w:ascii="Times New Roman" w:eastAsia="Times New Roman" w:hAnsi="Times New Roman" w:cs="Times New Roman"/>
          <w:lang w:val="en-GB" w:eastAsia="en-GB"/>
        </w:rPr>
        <w:endnoteReference w:id="37"/>
      </w:r>
    </w:p>
    <w:p w:rsidR="00A40E58" w:rsidRDefault="00A40E58" w:rsidP="00917D6E">
      <w:pPr>
        <w:jc w:val="both"/>
        <w:rPr>
          <w:rFonts w:ascii="Times New Roman" w:eastAsia="Times New Roman" w:hAnsi="Times New Roman" w:cs="Times New Roman"/>
          <w:color w:val="333333"/>
          <w:lang w:val="en-GB" w:eastAsia="en-GB"/>
        </w:rPr>
      </w:pPr>
    </w:p>
    <w:p w:rsidR="00C53E66" w:rsidRPr="00A40E58" w:rsidRDefault="009E42DD" w:rsidP="00C53E66">
      <w:pPr>
        <w:jc w:val="both"/>
        <w:rPr>
          <w:rFonts w:ascii="Times New Roman" w:hAnsi="Times New Roman" w:cs="Times New Roman"/>
        </w:rPr>
      </w:pPr>
      <w:r>
        <w:rPr>
          <w:rFonts w:ascii="Times New Roman" w:hAnsi="Times New Roman" w:cs="Times New Roman"/>
        </w:rPr>
        <w:t>I</w:t>
      </w:r>
      <w:r w:rsidR="00382BD0">
        <w:rPr>
          <w:rFonts w:ascii="Times New Roman" w:hAnsi="Times New Roman" w:cs="Times New Roman"/>
        </w:rPr>
        <w:t>n an</w:t>
      </w:r>
      <w:r w:rsidR="00A40E58">
        <w:rPr>
          <w:rFonts w:ascii="Times New Roman" w:hAnsi="Times New Roman" w:cs="Times New Roman"/>
        </w:rPr>
        <w:t xml:space="preserve"> NAO study </w:t>
      </w:r>
      <w:r w:rsidR="00917D6E" w:rsidRPr="00917D6E">
        <w:rPr>
          <w:rFonts w:ascii="Times New Roman" w:hAnsi="Times New Roman" w:cs="Times New Roman"/>
        </w:rPr>
        <w:t xml:space="preserve">54% of hospitals in their survey </w:t>
      </w:r>
      <w:r w:rsidR="00BF3AEF">
        <w:rPr>
          <w:rFonts w:ascii="Times New Roman" w:hAnsi="Times New Roman" w:cs="Times New Roman"/>
        </w:rPr>
        <w:t xml:space="preserve">reported </w:t>
      </w:r>
      <w:r w:rsidR="00917D6E" w:rsidRPr="00917D6E">
        <w:rPr>
          <w:rFonts w:ascii="Times New Roman" w:hAnsi="Times New Roman" w:cs="Times New Roman"/>
        </w:rPr>
        <w:t>that discharge planning is not started soon enough to minimize delay</w:t>
      </w:r>
      <w:r w:rsidR="000E5CF4">
        <w:rPr>
          <w:rFonts w:ascii="Times New Roman" w:hAnsi="Times New Roman" w:cs="Times New Roman"/>
        </w:rPr>
        <w:t>s for</w:t>
      </w:r>
      <w:r w:rsidR="00095322">
        <w:rPr>
          <w:rFonts w:ascii="Times New Roman" w:hAnsi="Times New Roman" w:cs="Times New Roman"/>
        </w:rPr>
        <w:t xml:space="preserve"> </w:t>
      </w:r>
      <w:r w:rsidR="00917D6E" w:rsidRPr="00917D6E">
        <w:rPr>
          <w:rFonts w:ascii="Times New Roman" w:hAnsi="Times New Roman" w:cs="Times New Roman"/>
        </w:rPr>
        <w:t>older patients</w:t>
      </w:r>
      <w:r w:rsidR="00382BD0">
        <w:rPr>
          <w:rFonts w:ascii="Times New Roman" w:hAnsi="Times New Roman" w:cs="Times New Roman"/>
        </w:rPr>
        <w:t>.</w:t>
      </w:r>
      <w:r w:rsidR="007F2667">
        <w:rPr>
          <w:rStyle w:val="EndnoteReference"/>
          <w:rFonts w:ascii="Times New Roman" w:hAnsi="Times New Roman" w:cs="Times New Roman"/>
        </w:rPr>
        <w:endnoteReference w:id="38"/>
      </w:r>
      <w:r w:rsidR="00CE1B33">
        <w:rPr>
          <w:rFonts w:ascii="Times New Roman" w:hAnsi="Times New Roman" w:cs="Times New Roman"/>
        </w:rPr>
        <w:t xml:space="preserve">  </w:t>
      </w:r>
      <w:r w:rsidR="00FA48C4">
        <w:rPr>
          <w:rFonts w:ascii="Times New Roman" w:hAnsi="Times New Roman" w:cs="Times New Roman"/>
        </w:rPr>
        <w:t>W</w:t>
      </w:r>
      <w:r w:rsidR="00917D6E" w:rsidRPr="00917D6E">
        <w:rPr>
          <w:rFonts w:ascii="Times New Roman" w:hAnsi="Times New Roman" w:cs="Times New Roman"/>
        </w:rPr>
        <w:t xml:space="preserve">aiting for a home care package </w:t>
      </w:r>
      <w:r w:rsidR="000F6F4A">
        <w:rPr>
          <w:rFonts w:ascii="Times New Roman" w:hAnsi="Times New Roman" w:cs="Times New Roman"/>
        </w:rPr>
        <w:t>was</w:t>
      </w:r>
      <w:r w:rsidR="00BF3AEF">
        <w:rPr>
          <w:rFonts w:ascii="Times New Roman" w:hAnsi="Times New Roman" w:cs="Times New Roman"/>
        </w:rPr>
        <w:t xml:space="preserve"> the</w:t>
      </w:r>
      <w:r w:rsidR="00382BD0">
        <w:rPr>
          <w:rFonts w:ascii="Times New Roman" w:hAnsi="Times New Roman" w:cs="Times New Roman"/>
        </w:rPr>
        <w:t xml:space="preserve"> leading cause of delays;</w:t>
      </w:r>
      <w:r w:rsidR="00BF3AEF">
        <w:rPr>
          <w:rFonts w:ascii="Times New Roman" w:hAnsi="Times New Roman" w:cs="Times New Roman"/>
        </w:rPr>
        <w:t xml:space="preserve"> delays because of </w:t>
      </w:r>
      <w:r w:rsidR="00917D6E" w:rsidRPr="00917D6E">
        <w:rPr>
          <w:rFonts w:ascii="Times New Roman" w:hAnsi="Times New Roman" w:cs="Times New Roman"/>
        </w:rPr>
        <w:t>nursing home placement and residential c</w:t>
      </w:r>
      <w:r w:rsidR="00A40E58">
        <w:rPr>
          <w:rFonts w:ascii="Times New Roman" w:hAnsi="Times New Roman" w:cs="Times New Roman"/>
        </w:rPr>
        <w:t>a</w:t>
      </w:r>
      <w:r w:rsidR="00917D6E" w:rsidRPr="00917D6E">
        <w:rPr>
          <w:rFonts w:ascii="Times New Roman" w:hAnsi="Times New Roman" w:cs="Times New Roman"/>
        </w:rPr>
        <w:t>re</w:t>
      </w:r>
      <w:r w:rsidR="00CE1B33">
        <w:rPr>
          <w:rFonts w:ascii="Times New Roman" w:hAnsi="Times New Roman" w:cs="Times New Roman"/>
        </w:rPr>
        <w:t xml:space="preserve"> placements have </w:t>
      </w:r>
      <w:r>
        <w:rPr>
          <w:rFonts w:ascii="Times New Roman" w:hAnsi="Times New Roman" w:cs="Times New Roman"/>
        </w:rPr>
        <w:t>also risen sharply</w:t>
      </w:r>
      <w:r w:rsidR="00CE1B33">
        <w:rPr>
          <w:rFonts w:ascii="Times New Roman" w:hAnsi="Times New Roman" w:cs="Times New Roman"/>
        </w:rPr>
        <w:t xml:space="preserve">.  </w:t>
      </w:r>
      <w:r w:rsidR="00A40E58" w:rsidRPr="00A40E58">
        <w:rPr>
          <w:rStyle w:val="para1span1"/>
          <w:rFonts w:ascii="Times New Roman" w:hAnsi="Times New Roman" w:cs="Times New Roman"/>
        </w:rPr>
        <w:t>The P</w:t>
      </w:r>
      <w:r w:rsidR="000E5CF4">
        <w:rPr>
          <w:rStyle w:val="para1span1"/>
          <w:rFonts w:ascii="Times New Roman" w:hAnsi="Times New Roman" w:cs="Times New Roman"/>
        </w:rPr>
        <w:t>ublic Accounts Co</w:t>
      </w:r>
      <w:r w:rsidR="00CE1B33">
        <w:rPr>
          <w:rStyle w:val="para1span1"/>
          <w:rFonts w:ascii="Times New Roman" w:hAnsi="Times New Roman" w:cs="Times New Roman"/>
        </w:rPr>
        <w:t>mmittee</w:t>
      </w:r>
      <w:r w:rsidR="00A40E58" w:rsidRPr="00A40E58">
        <w:rPr>
          <w:rStyle w:val="para1span1"/>
          <w:rFonts w:ascii="Times New Roman" w:hAnsi="Times New Roman" w:cs="Times New Roman"/>
        </w:rPr>
        <w:t xml:space="preserve"> identified an ‘</w:t>
      </w:r>
      <w:r w:rsidR="00C53E66" w:rsidRPr="00A40E58">
        <w:rPr>
          <w:rStyle w:val="Strong"/>
          <w:rFonts w:ascii="Times New Roman" w:hAnsi="Times New Roman" w:cs="Times New Roman"/>
          <w:b w:val="0"/>
        </w:rPr>
        <w:t>unacceptable variation in local performance on discharging older patients</w:t>
      </w:r>
      <w:r w:rsidR="00A40E58" w:rsidRPr="00A40E58">
        <w:rPr>
          <w:rStyle w:val="Strong"/>
          <w:rFonts w:ascii="Times New Roman" w:hAnsi="Times New Roman" w:cs="Times New Roman"/>
          <w:b w:val="0"/>
        </w:rPr>
        <w:t>’</w:t>
      </w:r>
      <w:r w:rsidR="00382BD0">
        <w:rPr>
          <w:rStyle w:val="Strong"/>
          <w:rFonts w:ascii="Times New Roman" w:hAnsi="Times New Roman" w:cs="Times New Roman"/>
          <w:b w:val="0"/>
        </w:rPr>
        <w:t>.</w:t>
      </w:r>
      <w:r w:rsidR="00095322">
        <w:rPr>
          <w:rStyle w:val="EndnoteReference"/>
          <w:rFonts w:ascii="Times New Roman" w:hAnsi="Times New Roman" w:cs="Times New Roman"/>
          <w:bCs/>
        </w:rPr>
        <w:endnoteReference w:id="39"/>
      </w:r>
      <w:r w:rsidR="00C53E66" w:rsidRPr="00A40E58">
        <w:rPr>
          <w:rStyle w:val="Strong"/>
          <w:rFonts w:ascii="Times New Roman" w:hAnsi="Times New Roman" w:cs="Times New Roman"/>
        </w:rPr>
        <w:t xml:space="preserve"> </w:t>
      </w:r>
      <w:r w:rsidR="00095322">
        <w:rPr>
          <w:rFonts w:ascii="Times New Roman" w:hAnsi="Times New Roman" w:cs="Times New Roman"/>
        </w:rPr>
        <w:t>For example</w:t>
      </w:r>
      <w:r>
        <w:rPr>
          <w:rFonts w:ascii="Times New Roman" w:hAnsi="Times New Roman" w:cs="Times New Roman"/>
        </w:rPr>
        <w:t>,</w:t>
      </w:r>
      <w:r w:rsidR="00095322">
        <w:rPr>
          <w:rFonts w:ascii="Times New Roman" w:hAnsi="Times New Roman" w:cs="Times New Roman"/>
        </w:rPr>
        <w:t xml:space="preserve"> </w:t>
      </w:r>
      <w:r w:rsidR="00C53E66" w:rsidRPr="00A40E58">
        <w:rPr>
          <w:rFonts w:ascii="Times New Roman" w:hAnsi="Times New Roman" w:cs="Times New Roman"/>
        </w:rPr>
        <w:t>the number of officially recorded de</w:t>
      </w:r>
      <w:r w:rsidR="00095322">
        <w:rPr>
          <w:rFonts w:ascii="Times New Roman" w:hAnsi="Times New Roman" w:cs="Times New Roman"/>
        </w:rPr>
        <w:t>layed transfers of care in 2015/</w:t>
      </w:r>
      <w:r w:rsidR="00C53E66" w:rsidRPr="00A40E58">
        <w:rPr>
          <w:rFonts w:ascii="Times New Roman" w:hAnsi="Times New Roman" w:cs="Times New Roman"/>
        </w:rPr>
        <w:t>16 ranged from 10 days in Northumbria to nearly 18,000 days in Lincolnshire</w:t>
      </w:r>
      <w:r w:rsidR="00C53E66" w:rsidRPr="006B4B85">
        <w:rPr>
          <w:rFonts w:ascii="Times New Roman" w:hAnsi="Times New Roman" w:cs="Times New Roman"/>
          <w:color w:val="333333"/>
        </w:rPr>
        <w:t>.</w:t>
      </w:r>
      <w:r w:rsidR="007F2667">
        <w:rPr>
          <w:rStyle w:val="EndnoteReference"/>
          <w:rFonts w:ascii="Times New Roman" w:hAnsi="Times New Roman" w:cs="Times New Roman"/>
          <w:color w:val="333333"/>
        </w:rPr>
        <w:endnoteReference w:id="40"/>
      </w:r>
      <w:r w:rsidR="007F2667" w:rsidRPr="007F2667">
        <w:t xml:space="preserve"> </w:t>
      </w:r>
      <w:r w:rsidR="00095322" w:rsidRPr="00095322">
        <w:rPr>
          <w:rFonts w:ascii="Times New Roman" w:hAnsi="Times New Roman" w:cs="Times New Roman"/>
          <w:color w:val="000000" w:themeColor="text1"/>
        </w:rPr>
        <w:t xml:space="preserve">Improving </w:t>
      </w:r>
      <w:r w:rsidR="007F2667" w:rsidRPr="00095322">
        <w:rPr>
          <w:rFonts w:ascii="Times New Roman" w:hAnsi="Times New Roman" w:cs="Times New Roman"/>
          <w:color w:val="000000" w:themeColor="text1"/>
        </w:rPr>
        <w:t xml:space="preserve">discharge </w:t>
      </w:r>
      <w:r w:rsidR="00095322" w:rsidRPr="00095322">
        <w:rPr>
          <w:rFonts w:ascii="Times New Roman" w:hAnsi="Times New Roman" w:cs="Times New Roman"/>
          <w:color w:val="000000" w:themeColor="text1"/>
        </w:rPr>
        <w:t xml:space="preserve">involves a focus on </w:t>
      </w:r>
      <w:r w:rsidR="007F2667" w:rsidRPr="00095322">
        <w:rPr>
          <w:rFonts w:ascii="Times New Roman" w:hAnsi="Times New Roman" w:cs="Times New Roman"/>
          <w:color w:val="000000" w:themeColor="text1"/>
        </w:rPr>
        <w:t>treatments out of hospital</w:t>
      </w:r>
      <w:r w:rsidR="00095322" w:rsidRPr="00095322">
        <w:rPr>
          <w:rFonts w:ascii="Times New Roman" w:hAnsi="Times New Roman" w:cs="Times New Roman"/>
          <w:color w:val="000000" w:themeColor="text1"/>
        </w:rPr>
        <w:t>,</w:t>
      </w:r>
      <w:r w:rsidR="00382BD0">
        <w:rPr>
          <w:rFonts w:ascii="Times New Roman" w:hAnsi="Times New Roman" w:cs="Times New Roman"/>
          <w:color w:val="000000" w:themeColor="text1"/>
        </w:rPr>
        <w:t xml:space="preserve"> including</w:t>
      </w:r>
      <w:r w:rsidR="00095322" w:rsidRPr="00095322">
        <w:rPr>
          <w:rFonts w:ascii="Times New Roman" w:hAnsi="Times New Roman" w:cs="Times New Roman"/>
          <w:color w:val="000000" w:themeColor="text1"/>
        </w:rPr>
        <w:t xml:space="preserve"> co-ordination and partnership at the system level</w:t>
      </w:r>
      <w:r w:rsidR="00095322">
        <w:rPr>
          <w:rFonts w:ascii="Times New Roman" w:hAnsi="Times New Roman" w:cs="Times New Roman"/>
          <w:color w:val="000000" w:themeColor="text1"/>
        </w:rPr>
        <w:t xml:space="preserve">.  </w:t>
      </w:r>
      <w:r w:rsidR="00CE1B33">
        <w:rPr>
          <w:rFonts w:ascii="Times New Roman" w:hAnsi="Times New Roman" w:cs="Times New Roman"/>
        </w:rPr>
        <w:t xml:space="preserve">The </w:t>
      </w:r>
      <w:r w:rsidR="00A40E58" w:rsidRPr="00A40E58">
        <w:rPr>
          <w:rStyle w:val="Strong"/>
          <w:rFonts w:ascii="Times New Roman" w:hAnsi="Times New Roman" w:cs="Times New Roman"/>
          <w:b w:val="0"/>
        </w:rPr>
        <w:t xml:space="preserve">fragile </w:t>
      </w:r>
      <w:r w:rsidR="00C53E66" w:rsidRPr="00A40E58">
        <w:rPr>
          <w:rStyle w:val="Strong"/>
          <w:rFonts w:ascii="Times New Roman" w:hAnsi="Times New Roman" w:cs="Times New Roman"/>
          <w:b w:val="0"/>
        </w:rPr>
        <w:t xml:space="preserve">adult social care provider market </w:t>
      </w:r>
      <w:r w:rsidR="00A40E58" w:rsidRPr="00A40E58">
        <w:rPr>
          <w:rStyle w:val="Strong"/>
          <w:rFonts w:ascii="Times New Roman" w:hAnsi="Times New Roman" w:cs="Times New Roman"/>
          <w:b w:val="0"/>
        </w:rPr>
        <w:t xml:space="preserve">creates problems </w:t>
      </w:r>
      <w:r w:rsidR="00C53E66" w:rsidRPr="00A40E58">
        <w:rPr>
          <w:rStyle w:val="Strong"/>
          <w:rFonts w:ascii="Times New Roman" w:hAnsi="Times New Roman" w:cs="Times New Roman"/>
          <w:b w:val="0"/>
        </w:rPr>
        <w:t>in discharging older patients from hospital</w:t>
      </w:r>
      <w:r w:rsidR="00382BD0">
        <w:rPr>
          <w:rStyle w:val="Strong"/>
          <w:rFonts w:ascii="Times New Roman" w:hAnsi="Times New Roman" w:cs="Times New Roman"/>
          <w:b w:val="0"/>
        </w:rPr>
        <w:t>.</w:t>
      </w:r>
      <w:r w:rsidR="00081FA1">
        <w:rPr>
          <w:rStyle w:val="EndnoteReference"/>
          <w:rFonts w:ascii="Times New Roman" w:hAnsi="Times New Roman" w:cs="Times New Roman"/>
          <w:bCs/>
        </w:rPr>
        <w:endnoteReference w:id="41"/>
      </w:r>
      <w:r w:rsidR="00C53E66" w:rsidRPr="00A40E58">
        <w:rPr>
          <w:rStyle w:val="Strong"/>
          <w:rFonts w:ascii="Times New Roman" w:hAnsi="Times New Roman" w:cs="Times New Roman"/>
        </w:rPr>
        <w:t xml:space="preserve"> </w:t>
      </w:r>
      <w:r w:rsidR="00CE1B33">
        <w:rPr>
          <w:rFonts w:ascii="Times New Roman" w:hAnsi="Times New Roman" w:cs="Times New Roman"/>
        </w:rPr>
        <w:t>L</w:t>
      </w:r>
      <w:r w:rsidR="00C53E66" w:rsidRPr="00A40E58">
        <w:rPr>
          <w:rFonts w:ascii="Times New Roman" w:hAnsi="Times New Roman" w:cs="Times New Roman"/>
        </w:rPr>
        <w:t>oc</w:t>
      </w:r>
      <w:r w:rsidR="00CE1B33">
        <w:rPr>
          <w:rFonts w:ascii="Times New Roman" w:hAnsi="Times New Roman" w:cs="Times New Roman"/>
        </w:rPr>
        <w:t>al A</w:t>
      </w:r>
      <w:r w:rsidR="00C53E66" w:rsidRPr="00A40E58">
        <w:rPr>
          <w:rFonts w:ascii="Times New Roman" w:hAnsi="Times New Roman" w:cs="Times New Roman"/>
        </w:rPr>
        <w:t xml:space="preserve">uthorities </w:t>
      </w:r>
      <w:r w:rsidR="004C58EC">
        <w:rPr>
          <w:rFonts w:ascii="Times New Roman" w:hAnsi="Times New Roman" w:cs="Times New Roman"/>
        </w:rPr>
        <w:t>are experiencing</w:t>
      </w:r>
      <w:r w:rsidR="00081FA1">
        <w:rPr>
          <w:rFonts w:ascii="Times New Roman" w:hAnsi="Times New Roman" w:cs="Times New Roman"/>
        </w:rPr>
        <w:t xml:space="preserve"> </w:t>
      </w:r>
      <w:r w:rsidR="004C58EC">
        <w:rPr>
          <w:rFonts w:ascii="Times New Roman" w:hAnsi="Times New Roman" w:cs="Times New Roman"/>
        </w:rPr>
        <w:t xml:space="preserve">austerity and face </w:t>
      </w:r>
      <w:r w:rsidR="00081FA1">
        <w:rPr>
          <w:rFonts w:ascii="Times New Roman" w:hAnsi="Times New Roman" w:cs="Times New Roman"/>
        </w:rPr>
        <w:t xml:space="preserve">pressure </w:t>
      </w:r>
      <w:r w:rsidR="00C53E66" w:rsidRPr="00A40E58">
        <w:rPr>
          <w:rFonts w:ascii="Times New Roman" w:hAnsi="Times New Roman" w:cs="Times New Roman"/>
        </w:rPr>
        <w:t>t</w:t>
      </w:r>
      <w:r w:rsidR="00DD3CD4">
        <w:rPr>
          <w:rFonts w:ascii="Times New Roman" w:hAnsi="Times New Roman" w:cs="Times New Roman"/>
        </w:rPr>
        <w:t xml:space="preserve">o reduce fees </w:t>
      </w:r>
      <w:r>
        <w:rPr>
          <w:rFonts w:ascii="Times New Roman" w:hAnsi="Times New Roman" w:cs="Times New Roman"/>
        </w:rPr>
        <w:t xml:space="preserve">they pay for social care homes and homecare </w:t>
      </w:r>
      <w:r w:rsidR="00DD3CD4">
        <w:rPr>
          <w:rFonts w:ascii="Times New Roman" w:hAnsi="Times New Roman" w:cs="Times New Roman"/>
        </w:rPr>
        <w:t>which in turn put</w:t>
      </w:r>
      <w:r w:rsidR="00081FA1">
        <w:rPr>
          <w:rFonts w:ascii="Times New Roman" w:hAnsi="Times New Roman" w:cs="Times New Roman"/>
        </w:rPr>
        <w:t>s</w:t>
      </w:r>
      <w:r w:rsidR="00C53E66" w:rsidRPr="00A40E58">
        <w:rPr>
          <w:rFonts w:ascii="Times New Roman" w:hAnsi="Times New Roman" w:cs="Times New Roman"/>
        </w:rPr>
        <w:t xml:space="preserve"> pressure on care providers.</w:t>
      </w:r>
      <w:r>
        <w:rPr>
          <w:rFonts w:ascii="Times New Roman" w:hAnsi="Times New Roman" w:cs="Times New Roman"/>
        </w:rPr>
        <w:t xml:space="preserve"> </w:t>
      </w:r>
      <w:r w:rsidR="00C53E66" w:rsidRPr="00A40E58">
        <w:rPr>
          <w:rFonts w:ascii="Times New Roman" w:hAnsi="Times New Roman" w:cs="Times New Roman"/>
        </w:rPr>
        <w:t xml:space="preserve"> </w:t>
      </w:r>
      <w:r w:rsidR="004C58EC" w:rsidRPr="00CE1B33">
        <w:rPr>
          <w:rFonts w:ascii="Times New Roman" w:hAnsi="Times New Roman" w:cs="Times New Roman"/>
        </w:rPr>
        <w:t>In 2005/06 spen</w:t>
      </w:r>
      <w:r w:rsidR="000F6F4A">
        <w:rPr>
          <w:rFonts w:ascii="Times New Roman" w:hAnsi="Times New Roman" w:cs="Times New Roman"/>
        </w:rPr>
        <w:t>ding from Local A</w:t>
      </w:r>
      <w:r w:rsidR="004C58EC">
        <w:rPr>
          <w:rFonts w:ascii="Times New Roman" w:hAnsi="Times New Roman" w:cs="Times New Roman"/>
        </w:rPr>
        <w:t>uthority funds</w:t>
      </w:r>
      <w:r w:rsidR="004C58EC" w:rsidRPr="00CE1B33">
        <w:rPr>
          <w:rFonts w:ascii="Times New Roman" w:hAnsi="Times New Roman" w:cs="Times New Roman"/>
        </w:rPr>
        <w:t xml:space="preserve"> on social care </w:t>
      </w:r>
      <w:r w:rsidR="004C58EC">
        <w:rPr>
          <w:rFonts w:ascii="Times New Roman" w:hAnsi="Times New Roman" w:cs="Times New Roman"/>
        </w:rPr>
        <w:t xml:space="preserve">for older people </w:t>
      </w:r>
      <w:r w:rsidR="004C58EC" w:rsidRPr="00CE1B33">
        <w:rPr>
          <w:rFonts w:ascii="Times New Roman" w:hAnsi="Times New Roman" w:cs="Times New Roman"/>
        </w:rPr>
        <w:t xml:space="preserve">organized by local authorities </w:t>
      </w:r>
      <w:r w:rsidR="004C58EC">
        <w:rPr>
          <w:rFonts w:ascii="Times New Roman" w:hAnsi="Times New Roman" w:cs="Times New Roman"/>
        </w:rPr>
        <w:t xml:space="preserve">was </w:t>
      </w:r>
      <w:r w:rsidR="004C58EC" w:rsidRPr="00CE1B33">
        <w:rPr>
          <w:rFonts w:ascii="Times New Roman" w:hAnsi="Times New Roman" w:cs="Times New Roman"/>
        </w:rPr>
        <w:t xml:space="preserve">£8.08 billion.  Spending remained relatively constant reaching £8.12billion in 2009/10 before entering a period of </w:t>
      </w:r>
      <w:r w:rsidR="004C58EC">
        <w:rPr>
          <w:rFonts w:ascii="Times New Roman" w:hAnsi="Times New Roman" w:cs="Times New Roman"/>
        </w:rPr>
        <w:t xml:space="preserve">sharp </w:t>
      </w:r>
      <w:r w:rsidR="004C58EC" w:rsidRPr="00CE1B33">
        <w:rPr>
          <w:rFonts w:ascii="Times New Roman" w:hAnsi="Times New Roman" w:cs="Times New Roman"/>
        </w:rPr>
        <w:t xml:space="preserve">decline, </w:t>
      </w:r>
      <w:r w:rsidR="004C58EC">
        <w:rPr>
          <w:rFonts w:ascii="Times New Roman" w:hAnsi="Times New Roman" w:cs="Times New Roman"/>
        </w:rPr>
        <w:t>reaching</w:t>
      </w:r>
      <w:r w:rsidR="004C58EC" w:rsidRPr="00CE1B33">
        <w:rPr>
          <w:rFonts w:ascii="Times New Roman" w:hAnsi="Times New Roman" w:cs="Times New Roman"/>
        </w:rPr>
        <w:t xml:space="preserve"> £6.31 billion in real terms in 2015/16.</w:t>
      </w:r>
      <w:r w:rsidR="004C58EC">
        <w:rPr>
          <w:rFonts w:ascii="Times New Roman" w:hAnsi="Times New Roman" w:cs="Times New Roman"/>
        </w:rPr>
        <w:t xml:space="preserve">  </w:t>
      </w:r>
      <w:r w:rsidR="00C53E66" w:rsidRPr="00A40E58">
        <w:rPr>
          <w:rFonts w:ascii="Times New Roman" w:hAnsi="Times New Roman" w:cs="Times New Roman"/>
        </w:rPr>
        <w:t xml:space="preserve">The introduction of the national living wage </w:t>
      </w:r>
      <w:r w:rsidR="00081FA1">
        <w:rPr>
          <w:rFonts w:ascii="Times New Roman" w:hAnsi="Times New Roman" w:cs="Times New Roman"/>
        </w:rPr>
        <w:t>has added</w:t>
      </w:r>
      <w:r w:rsidR="00C53E66" w:rsidRPr="00A40E58">
        <w:rPr>
          <w:rFonts w:ascii="Times New Roman" w:hAnsi="Times New Roman" w:cs="Times New Roman"/>
        </w:rPr>
        <w:t xml:space="preserve"> further to this pressure</w:t>
      </w:r>
      <w:r w:rsidR="004C58EC">
        <w:rPr>
          <w:rFonts w:ascii="Times New Roman" w:hAnsi="Times New Roman" w:cs="Times New Roman"/>
        </w:rPr>
        <w:t xml:space="preserve"> given such services are</w:t>
      </w:r>
      <w:r w:rsidR="00081FA1">
        <w:rPr>
          <w:rFonts w:ascii="Times New Roman" w:hAnsi="Times New Roman" w:cs="Times New Roman"/>
        </w:rPr>
        <w:t xml:space="preserve"> </w:t>
      </w:r>
      <w:r w:rsidR="004C58EC">
        <w:rPr>
          <w:rFonts w:ascii="Times New Roman" w:hAnsi="Times New Roman" w:cs="Times New Roman"/>
        </w:rPr>
        <w:t>highly labour intensive</w:t>
      </w:r>
      <w:r w:rsidR="00C53E66" w:rsidRPr="00A40E58">
        <w:rPr>
          <w:rFonts w:ascii="Times New Roman" w:hAnsi="Times New Roman" w:cs="Times New Roman"/>
        </w:rPr>
        <w:t xml:space="preserve">. </w:t>
      </w:r>
    </w:p>
    <w:p w:rsidR="00A373C2" w:rsidRDefault="00A373C2" w:rsidP="00C53E66">
      <w:pPr>
        <w:jc w:val="both"/>
        <w:rPr>
          <w:rFonts w:ascii="Times New Roman" w:hAnsi="Times New Roman" w:cs="Times New Roman"/>
          <w:color w:val="333333"/>
        </w:rPr>
      </w:pPr>
    </w:p>
    <w:p w:rsidR="00A373C2" w:rsidRPr="004C58EC" w:rsidRDefault="00A95B15" w:rsidP="00C53E66">
      <w:pPr>
        <w:jc w:val="both"/>
        <w:rPr>
          <w:rFonts w:ascii="Times New Roman" w:hAnsi="Times New Roman" w:cs="Times New Roman"/>
        </w:rPr>
      </w:pPr>
      <w:r>
        <w:rPr>
          <w:rFonts w:ascii="Times New Roman" w:hAnsi="Times New Roman" w:cs="Times New Roman"/>
        </w:rPr>
        <w:t xml:space="preserve">There is a need for better discharge planning </w:t>
      </w:r>
      <w:r w:rsidR="00A40E58">
        <w:rPr>
          <w:rFonts w:ascii="Times New Roman" w:hAnsi="Times New Roman" w:cs="Times New Roman"/>
        </w:rPr>
        <w:t>– includ</w:t>
      </w:r>
      <w:r w:rsidR="004C58EC">
        <w:rPr>
          <w:rFonts w:ascii="Times New Roman" w:hAnsi="Times New Roman" w:cs="Times New Roman"/>
        </w:rPr>
        <w:t>ing 7 day discharge.  T</w:t>
      </w:r>
      <w:r>
        <w:rPr>
          <w:rFonts w:ascii="Times New Roman" w:hAnsi="Times New Roman" w:cs="Times New Roman"/>
        </w:rPr>
        <w:t>he role of e</w:t>
      </w:r>
      <w:r w:rsidR="00A373C2" w:rsidRPr="006B4B85">
        <w:rPr>
          <w:rFonts w:ascii="Times New Roman" w:hAnsi="Times New Roman" w:cs="Times New Roman"/>
        </w:rPr>
        <w:t>arly suppor</w:t>
      </w:r>
      <w:r w:rsidR="00650EE8">
        <w:rPr>
          <w:rFonts w:ascii="Times New Roman" w:hAnsi="Times New Roman" w:cs="Times New Roman"/>
        </w:rPr>
        <w:t>t</w:t>
      </w:r>
      <w:r>
        <w:rPr>
          <w:rFonts w:ascii="Times New Roman" w:hAnsi="Times New Roman" w:cs="Times New Roman"/>
        </w:rPr>
        <w:t xml:space="preserve">ed discharge teams offering </w:t>
      </w:r>
      <w:r w:rsidR="00A373C2" w:rsidRPr="006B4B85">
        <w:rPr>
          <w:rFonts w:ascii="Times New Roman" w:hAnsi="Times New Roman" w:cs="Times New Roman"/>
        </w:rPr>
        <w:t>rehabilitation, equipment, per</w:t>
      </w:r>
      <w:r w:rsidR="00DD3CD4">
        <w:rPr>
          <w:rFonts w:ascii="Times New Roman" w:hAnsi="Times New Roman" w:cs="Times New Roman"/>
        </w:rPr>
        <w:t>son</w:t>
      </w:r>
      <w:r w:rsidR="00A373C2" w:rsidRPr="006B4B85">
        <w:rPr>
          <w:rFonts w:ascii="Times New Roman" w:hAnsi="Times New Roman" w:cs="Times New Roman"/>
        </w:rPr>
        <w:t>a</w:t>
      </w:r>
      <w:r w:rsidR="00DD3CD4">
        <w:rPr>
          <w:rFonts w:ascii="Times New Roman" w:hAnsi="Times New Roman" w:cs="Times New Roman"/>
        </w:rPr>
        <w:t>l</w:t>
      </w:r>
      <w:r w:rsidR="00A373C2" w:rsidRPr="006B4B85">
        <w:rPr>
          <w:rFonts w:ascii="Times New Roman" w:hAnsi="Times New Roman" w:cs="Times New Roman"/>
        </w:rPr>
        <w:t xml:space="preserve"> care, medical review or nursing interventions, </w:t>
      </w:r>
      <w:r>
        <w:rPr>
          <w:rFonts w:ascii="Times New Roman" w:hAnsi="Times New Roman" w:cs="Times New Roman"/>
        </w:rPr>
        <w:t xml:space="preserve">time-limited but tailored to an individual </w:t>
      </w:r>
      <w:r w:rsidR="00A373C2" w:rsidRPr="006B4B85">
        <w:rPr>
          <w:rFonts w:ascii="Times New Roman" w:hAnsi="Times New Roman" w:cs="Times New Roman"/>
        </w:rPr>
        <w:t xml:space="preserve">have been shown </w:t>
      </w:r>
      <w:r>
        <w:rPr>
          <w:rFonts w:ascii="Times New Roman" w:hAnsi="Times New Roman" w:cs="Times New Roman"/>
        </w:rPr>
        <w:t xml:space="preserve">as </w:t>
      </w:r>
      <w:r w:rsidR="00A373C2" w:rsidRPr="006B4B85">
        <w:rPr>
          <w:rFonts w:ascii="Times New Roman" w:hAnsi="Times New Roman" w:cs="Times New Roman"/>
        </w:rPr>
        <w:t xml:space="preserve">effective </w:t>
      </w:r>
      <w:r w:rsidR="004C58EC">
        <w:rPr>
          <w:rFonts w:ascii="Times New Roman" w:hAnsi="Times New Roman" w:cs="Times New Roman"/>
        </w:rPr>
        <w:t xml:space="preserve">(e.g. </w:t>
      </w:r>
      <w:r w:rsidR="00A373C2" w:rsidRPr="006B4B85">
        <w:rPr>
          <w:rFonts w:ascii="Times New Roman" w:hAnsi="Times New Roman" w:cs="Times New Roman"/>
        </w:rPr>
        <w:t>in reducing readmissions a</w:t>
      </w:r>
      <w:r>
        <w:rPr>
          <w:rFonts w:ascii="Times New Roman" w:hAnsi="Times New Roman" w:cs="Times New Roman"/>
        </w:rPr>
        <w:t>nd improving outcomes for stroke patient admissions</w:t>
      </w:r>
      <w:r w:rsidR="004C58EC">
        <w:rPr>
          <w:rFonts w:ascii="Times New Roman" w:hAnsi="Times New Roman" w:cs="Times New Roman"/>
        </w:rPr>
        <w:t>)</w:t>
      </w:r>
      <w:r w:rsidR="00382BD0">
        <w:rPr>
          <w:rFonts w:ascii="Times New Roman" w:hAnsi="Times New Roman" w:cs="Times New Roman"/>
        </w:rPr>
        <w:t>.</w:t>
      </w:r>
      <w:r w:rsidR="001505AA">
        <w:rPr>
          <w:rStyle w:val="EndnoteReference"/>
          <w:rFonts w:ascii="Times New Roman" w:hAnsi="Times New Roman" w:cs="Times New Roman"/>
        </w:rPr>
        <w:endnoteReference w:id="42"/>
      </w:r>
      <w:r w:rsidR="00A40E58">
        <w:rPr>
          <w:rFonts w:ascii="Times New Roman" w:hAnsi="Times New Roman" w:cs="Times New Roman"/>
        </w:rPr>
        <w:t xml:space="preserve">  </w:t>
      </w:r>
      <w:r w:rsidRPr="00A2331E">
        <w:rPr>
          <w:rFonts w:ascii="Times New Roman" w:hAnsi="Times New Roman" w:cs="Times New Roman"/>
        </w:rPr>
        <w:t xml:space="preserve">Intermediate Services help patients avoid hospital admission and allow earlier discharge home – also delaying </w:t>
      </w:r>
      <w:r w:rsidR="00A26828">
        <w:rPr>
          <w:rFonts w:ascii="Times New Roman" w:hAnsi="Times New Roman" w:cs="Times New Roman"/>
        </w:rPr>
        <w:t>admission to residential care</w:t>
      </w:r>
      <w:r>
        <w:rPr>
          <w:rFonts w:ascii="Times New Roman" w:hAnsi="Times New Roman" w:cs="Times New Roman"/>
        </w:rPr>
        <w:t xml:space="preserve">. </w:t>
      </w:r>
      <w:r w:rsidR="00A26828">
        <w:rPr>
          <w:rFonts w:ascii="Times New Roman" w:hAnsi="Times New Roman" w:cs="Times New Roman"/>
        </w:rPr>
        <w:t>Int</w:t>
      </w:r>
      <w:r w:rsidR="004C58EC">
        <w:rPr>
          <w:rFonts w:ascii="Times New Roman" w:hAnsi="Times New Roman" w:cs="Times New Roman"/>
        </w:rPr>
        <w:t>ermediate services work across a range of settings</w:t>
      </w:r>
      <w:r w:rsidR="000F6F4A">
        <w:rPr>
          <w:rFonts w:ascii="Times New Roman" w:hAnsi="Times New Roman" w:cs="Times New Roman"/>
        </w:rPr>
        <w:t>:</w:t>
      </w:r>
      <w:r w:rsidR="00A26828">
        <w:rPr>
          <w:rFonts w:ascii="Times New Roman" w:hAnsi="Times New Roman" w:cs="Times New Roman"/>
        </w:rPr>
        <w:t xml:space="preserve"> </w:t>
      </w:r>
      <w:r w:rsidRPr="00A2331E">
        <w:rPr>
          <w:rFonts w:ascii="Times New Roman" w:hAnsi="Times New Roman" w:cs="Times New Roman"/>
        </w:rPr>
        <w:t>crisis</w:t>
      </w:r>
      <w:r w:rsidR="004C58EC">
        <w:rPr>
          <w:rFonts w:ascii="Times New Roman" w:hAnsi="Times New Roman" w:cs="Times New Roman"/>
        </w:rPr>
        <w:t>, re-</w:t>
      </w:r>
      <w:proofErr w:type="spellStart"/>
      <w:r w:rsidR="004C58EC">
        <w:rPr>
          <w:rFonts w:ascii="Times New Roman" w:hAnsi="Times New Roman" w:cs="Times New Roman"/>
        </w:rPr>
        <w:t>ablement</w:t>
      </w:r>
      <w:proofErr w:type="spellEnd"/>
      <w:r w:rsidR="004C58EC">
        <w:rPr>
          <w:rFonts w:ascii="Times New Roman" w:hAnsi="Times New Roman" w:cs="Times New Roman"/>
        </w:rPr>
        <w:t>,</w:t>
      </w:r>
      <w:r w:rsidR="00A26828">
        <w:rPr>
          <w:rFonts w:ascii="Times New Roman" w:hAnsi="Times New Roman" w:cs="Times New Roman"/>
        </w:rPr>
        <w:t xml:space="preserve"> </w:t>
      </w:r>
      <w:r w:rsidRPr="00A2331E">
        <w:rPr>
          <w:rFonts w:ascii="Times New Roman" w:hAnsi="Times New Roman" w:cs="Times New Roman"/>
        </w:rPr>
        <w:t>home-ba</w:t>
      </w:r>
      <w:r w:rsidR="004C58EC">
        <w:rPr>
          <w:rFonts w:ascii="Times New Roman" w:hAnsi="Times New Roman" w:cs="Times New Roman"/>
        </w:rPr>
        <w:t>sed and</w:t>
      </w:r>
      <w:r w:rsidR="00A26828">
        <w:rPr>
          <w:rFonts w:ascii="Times New Roman" w:hAnsi="Times New Roman" w:cs="Times New Roman"/>
        </w:rPr>
        <w:t xml:space="preserve"> </w:t>
      </w:r>
      <w:r w:rsidR="004C58EC">
        <w:rPr>
          <w:rFonts w:ascii="Times New Roman" w:hAnsi="Times New Roman" w:cs="Times New Roman"/>
        </w:rPr>
        <w:t xml:space="preserve">bed-bound.  </w:t>
      </w:r>
    </w:p>
    <w:p w:rsidR="00A2331E" w:rsidRPr="00A373C2" w:rsidRDefault="00A2331E" w:rsidP="00C53E66">
      <w:pPr>
        <w:jc w:val="both"/>
        <w:rPr>
          <w:rFonts w:ascii="Times New Roman" w:hAnsi="Times New Roman" w:cs="Times New Roman"/>
          <w:color w:val="333333"/>
        </w:rPr>
      </w:pPr>
    </w:p>
    <w:p w:rsidR="003E6E42" w:rsidRDefault="004C58EC" w:rsidP="003E6E42">
      <w:pPr>
        <w:jc w:val="both"/>
        <w:rPr>
          <w:rFonts w:ascii="Times New Roman" w:hAnsi="Times New Roman" w:cs="Times New Roman"/>
          <w:noProof/>
          <w:lang w:val="en-GB" w:eastAsia="en-GB"/>
        </w:rPr>
      </w:pPr>
      <w:r>
        <w:rPr>
          <w:rFonts w:ascii="Times New Roman" w:hAnsi="Times New Roman" w:cs="Times New Roman"/>
          <w:noProof/>
          <w:lang w:val="en-GB" w:eastAsia="en-GB"/>
        </w:rPr>
        <w:t>Innovations in n</w:t>
      </w:r>
      <w:r w:rsidR="00A26828">
        <w:rPr>
          <w:rFonts w:ascii="Times New Roman" w:hAnsi="Times New Roman" w:cs="Times New Roman"/>
          <w:noProof/>
          <w:lang w:val="en-GB" w:eastAsia="en-GB"/>
        </w:rPr>
        <w:t>ew medical and information technology</w:t>
      </w:r>
      <w:r w:rsidR="003E6E42">
        <w:rPr>
          <w:rFonts w:ascii="Times New Roman" w:hAnsi="Times New Roman" w:cs="Times New Roman"/>
          <w:noProof/>
          <w:lang w:val="en-GB" w:eastAsia="en-GB"/>
        </w:rPr>
        <w:t xml:space="preserve"> create new health care ta</w:t>
      </w:r>
      <w:r w:rsidR="000F6F4A">
        <w:rPr>
          <w:rFonts w:ascii="Times New Roman" w:hAnsi="Times New Roman" w:cs="Times New Roman"/>
          <w:noProof/>
          <w:lang w:val="en-GB" w:eastAsia="en-GB"/>
        </w:rPr>
        <w:t>s</w:t>
      </w:r>
      <w:r w:rsidR="003E6E42">
        <w:rPr>
          <w:rFonts w:ascii="Times New Roman" w:hAnsi="Times New Roman" w:cs="Times New Roman"/>
          <w:noProof/>
          <w:lang w:val="en-GB" w:eastAsia="en-GB"/>
        </w:rPr>
        <w:t>ks, including wid</w:t>
      </w:r>
      <w:r w:rsidR="00BE1BE0">
        <w:rPr>
          <w:rFonts w:ascii="Times New Roman" w:hAnsi="Times New Roman" w:cs="Times New Roman"/>
          <w:noProof/>
          <w:lang w:val="en-GB" w:eastAsia="en-GB"/>
        </w:rPr>
        <w:t>er roles for patients and opportunities for more care to be delivered</w:t>
      </w:r>
      <w:r w:rsidR="003E6E42">
        <w:rPr>
          <w:rFonts w:ascii="Times New Roman" w:hAnsi="Times New Roman" w:cs="Times New Roman"/>
          <w:noProof/>
          <w:lang w:val="en-GB" w:eastAsia="en-GB"/>
        </w:rPr>
        <w:t xml:space="preserve"> outside of </w:t>
      </w:r>
      <w:r w:rsidR="001505AA">
        <w:rPr>
          <w:rFonts w:ascii="Times New Roman" w:hAnsi="Times New Roman" w:cs="Times New Roman"/>
          <w:noProof/>
          <w:lang w:val="en-GB" w:eastAsia="en-GB"/>
        </w:rPr>
        <w:t>the hospital seting.  For example</w:t>
      </w:r>
      <w:r w:rsidR="003E6E42">
        <w:rPr>
          <w:rFonts w:ascii="Times New Roman" w:hAnsi="Times New Roman" w:cs="Times New Roman"/>
          <w:noProof/>
          <w:lang w:val="en-GB" w:eastAsia="en-GB"/>
        </w:rPr>
        <w:t>, the use of portable monitors for patients who are at risk of str</w:t>
      </w:r>
      <w:r w:rsidR="00A131D1">
        <w:rPr>
          <w:rFonts w:ascii="Times New Roman" w:hAnsi="Times New Roman" w:cs="Times New Roman"/>
          <w:noProof/>
          <w:lang w:val="en-GB" w:eastAsia="en-GB"/>
        </w:rPr>
        <w:t xml:space="preserve">oke </w:t>
      </w:r>
      <w:r w:rsidR="00BE1BE0">
        <w:rPr>
          <w:rFonts w:ascii="Times New Roman" w:hAnsi="Times New Roman" w:cs="Times New Roman"/>
          <w:noProof/>
          <w:lang w:val="en-GB" w:eastAsia="en-GB"/>
        </w:rPr>
        <w:t>and on oral anticoalulation a</w:t>
      </w:r>
      <w:r w:rsidR="000F6F4A">
        <w:rPr>
          <w:rFonts w:ascii="Times New Roman" w:hAnsi="Times New Roman" w:cs="Times New Roman"/>
          <w:noProof/>
          <w:lang w:val="en-GB" w:eastAsia="en-GB"/>
        </w:rPr>
        <w:t>nd</w:t>
      </w:r>
      <w:r w:rsidR="00BE1BE0">
        <w:rPr>
          <w:rFonts w:ascii="Times New Roman" w:hAnsi="Times New Roman" w:cs="Times New Roman"/>
          <w:noProof/>
          <w:lang w:val="en-GB" w:eastAsia="en-GB"/>
        </w:rPr>
        <w:t xml:space="preserve"> </w:t>
      </w:r>
      <w:r w:rsidR="000F6F4A">
        <w:rPr>
          <w:rFonts w:ascii="Times New Roman" w:hAnsi="Times New Roman" w:cs="Times New Roman"/>
          <w:noProof/>
          <w:lang w:val="en-GB" w:eastAsia="en-GB"/>
        </w:rPr>
        <w:t>monitoring</w:t>
      </w:r>
      <w:r w:rsidR="00BE1BE0">
        <w:rPr>
          <w:rFonts w:ascii="Times New Roman" w:hAnsi="Times New Roman" w:cs="Times New Roman"/>
          <w:noProof/>
          <w:lang w:val="en-GB" w:eastAsia="en-GB"/>
        </w:rPr>
        <w:t xml:space="preserve"> vital signs, and patients can self test and adjust levels r</w:t>
      </w:r>
      <w:r w:rsidR="003E6E42">
        <w:rPr>
          <w:rFonts w:ascii="Times New Roman" w:hAnsi="Times New Roman" w:cs="Times New Roman"/>
          <w:noProof/>
          <w:lang w:val="en-GB" w:eastAsia="en-GB"/>
        </w:rPr>
        <w:t>ather</w:t>
      </w:r>
      <w:r w:rsidR="00A131D1">
        <w:rPr>
          <w:rFonts w:ascii="Times New Roman" w:hAnsi="Times New Roman" w:cs="Times New Roman"/>
          <w:noProof/>
          <w:lang w:val="en-GB" w:eastAsia="en-GB"/>
        </w:rPr>
        <w:t xml:space="preserve"> than spending many hours attend</w:t>
      </w:r>
      <w:r w:rsidR="00FA48C4">
        <w:rPr>
          <w:rFonts w:ascii="Times New Roman" w:hAnsi="Times New Roman" w:cs="Times New Roman"/>
          <w:noProof/>
          <w:lang w:val="en-GB" w:eastAsia="en-GB"/>
        </w:rPr>
        <w:t>ing outpatient clinics</w:t>
      </w:r>
      <w:r w:rsidR="00BE1BE0">
        <w:rPr>
          <w:rFonts w:ascii="Times New Roman" w:hAnsi="Times New Roman" w:cs="Times New Roman"/>
          <w:noProof/>
          <w:lang w:val="en-GB" w:eastAsia="en-GB"/>
        </w:rPr>
        <w:t xml:space="preserve"> for monitoring</w:t>
      </w:r>
      <w:r w:rsidR="00382BD0">
        <w:rPr>
          <w:rFonts w:ascii="Times New Roman" w:hAnsi="Times New Roman" w:cs="Times New Roman"/>
          <w:noProof/>
          <w:lang w:val="en-GB" w:eastAsia="en-GB"/>
        </w:rPr>
        <w:t>.</w:t>
      </w:r>
      <w:r w:rsidR="003E6E42">
        <w:rPr>
          <w:rStyle w:val="EndnoteReference"/>
          <w:rFonts w:ascii="Times New Roman" w:hAnsi="Times New Roman" w:cs="Times New Roman"/>
          <w:noProof/>
          <w:lang w:val="en-GB" w:eastAsia="en-GB"/>
        </w:rPr>
        <w:endnoteReference w:id="43"/>
      </w:r>
    </w:p>
    <w:p w:rsidR="00C53E66" w:rsidRPr="00A373C2" w:rsidRDefault="00C53E66" w:rsidP="005F635F">
      <w:pPr>
        <w:jc w:val="both"/>
        <w:rPr>
          <w:rFonts w:ascii="Times New Roman" w:hAnsi="Times New Roman" w:cs="Times New Roman"/>
        </w:rPr>
      </w:pPr>
    </w:p>
    <w:p w:rsidR="00674C9A" w:rsidRPr="00650EE8" w:rsidRDefault="001176DD" w:rsidP="005F635F">
      <w:pPr>
        <w:jc w:val="both"/>
        <w:rPr>
          <w:rFonts w:ascii="Times New Roman" w:hAnsi="Times New Roman" w:cs="Times New Roman"/>
          <w:b/>
        </w:rPr>
      </w:pPr>
      <w:r w:rsidRPr="00650EE8">
        <w:rPr>
          <w:rFonts w:ascii="Times New Roman" w:hAnsi="Times New Roman" w:cs="Times New Roman"/>
          <w:b/>
        </w:rPr>
        <w:t>Workforce</w:t>
      </w:r>
    </w:p>
    <w:p w:rsidR="004E3865" w:rsidRDefault="008B574C" w:rsidP="00BB6CB1">
      <w:pPr>
        <w:jc w:val="both"/>
        <w:rPr>
          <w:rFonts w:ascii="Times New Roman" w:hAnsi="Times New Roman" w:cs="Times New Roman"/>
        </w:rPr>
      </w:pPr>
      <w:r w:rsidRPr="009822E8">
        <w:rPr>
          <w:rFonts w:ascii="Times New Roman" w:hAnsi="Times New Roman" w:cs="Times New Roman"/>
        </w:rPr>
        <w:lastRenderedPageBreak/>
        <w:t xml:space="preserve">One of the biggest challenges for </w:t>
      </w:r>
      <w:r w:rsidR="00CB1D26">
        <w:rPr>
          <w:rFonts w:ascii="Times New Roman" w:hAnsi="Times New Roman" w:cs="Times New Roman"/>
        </w:rPr>
        <w:t xml:space="preserve">the </w:t>
      </w:r>
      <w:r w:rsidRPr="009822E8">
        <w:rPr>
          <w:rFonts w:ascii="Times New Roman" w:hAnsi="Times New Roman" w:cs="Times New Roman"/>
        </w:rPr>
        <w:t>current</w:t>
      </w:r>
      <w:r w:rsidR="00CB1D26">
        <w:rPr>
          <w:rFonts w:ascii="Times New Roman" w:hAnsi="Times New Roman" w:cs="Times New Roman"/>
        </w:rPr>
        <w:t xml:space="preserve"> health</w:t>
      </w:r>
      <w:r w:rsidRPr="009822E8">
        <w:rPr>
          <w:rFonts w:ascii="Times New Roman" w:hAnsi="Times New Roman" w:cs="Times New Roman"/>
        </w:rPr>
        <w:t xml:space="preserve"> workforce is that it was trained to work within a model based around sing</w:t>
      </w:r>
      <w:r w:rsidR="00650EE8">
        <w:rPr>
          <w:rFonts w:ascii="Times New Roman" w:hAnsi="Times New Roman" w:cs="Times New Roman"/>
        </w:rPr>
        <w:t>le episodes of treatment.  Howe</w:t>
      </w:r>
      <w:r w:rsidR="001505AA">
        <w:rPr>
          <w:rFonts w:ascii="Times New Roman" w:hAnsi="Times New Roman" w:cs="Times New Roman"/>
        </w:rPr>
        <w:t xml:space="preserve">ver </w:t>
      </w:r>
      <w:r w:rsidR="00CB1D26">
        <w:rPr>
          <w:rFonts w:ascii="Times New Roman" w:hAnsi="Times New Roman" w:cs="Times New Roman"/>
        </w:rPr>
        <w:t xml:space="preserve">it </w:t>
      </w:r>
      <w:r w:rsidR="001505AA">
        <w:rPr>
          <w:rFonts w:ascii="Times New Roman" w:hAnsi="Times New Roman" w:cs="Times New Roman"/>
        </w:rPr>
        <w:t xml:space="preserve">now </w:t>
      </w:r>
      <w:r w:rsidR="00A131D1">
        <w:rPr>
          <w:rFonts w:ascii="Times New Roman" w:hAnsi="Times New Roman" w:cs="Times New Roman"/>
        </w:rPr>
        <w:t xml:space="preserve">must deal with </w:t>
      </w:r>
      <w:r w:rsidR="001505AA">
        <w:rPr>
          <w:rFonts w:ascii="Times New Roman" w:hAnsi="Times New Roman" w:cs="Times New Roman"/>
        </w:rPr>
        <w:t xml:space="preserve">co-morbidities, </w:t>
      </w:r>
      <w:r w:rsidRPr="009822E8">
        <w:rPr>
          <w:rFonts w:ascii="Times New Roman" w:hAnsi="Times New Roman" w:cs="Times New Roman"/>
        </w:rPr>
        <w:t xml:space="preserve">mental and physical </w:t>
      </w:r>
      <w:r w:rsidR="00A131D1">
        <w:rPr>
          <w:rFonts w:ascii="Times New Roman" w:hAnsi="Times New Roman" w:cs="Times New Roman"/>
        </w:rPr>
        <w:t>needs, and ensure</w:t>
      </w:r>
      <w:r w:rsidRPr="009822E8">
        <w:rPr>
          <w:rFonts w:ascii="Times New Roman" w:hAnsi="Times New Roman" w:cs="Times New Roman"/>
        </w:rPr>
        <w:t xml:space="preserve"> integrated</w:t>
      </w:r>
      <w:r w:rsidR="00A131D1">
        <w:rPr>
          <w:rFonts w:ascii="Times New Roman" w:hAnsi="Times New Roman" w:cs="Times New Roman"/>
        </w:rPr>
        <w:t xml:space="preserve"> care</w:t>
      </w:r>
      <w:r w:rsidR="00382BD0">
        <w:rPr>
          <w:rFonts w:ascii="Times New Roman" w:hAnsi="Times New Roman" w:cs="Times New Roman"/>
        </w:rPr>
        <w:t>.</w:t>
      </w:r>
      <w:r w:rsidR="00650EE8">
        <w:rPr>
          <w:rStyle w:val="EndnoteReference"/>
          <w:rFonts w:ascii="Times New Roman" w:hAnsi="Times New Roman" w:cs="Times New Roman"/>
        </w:rPr>
        <w:endnoteReference w:id="44"/>
      </w:r>
      <w:r w:rsidR="00A131D1">
        <w:rPr>
          <w:rFonts w:ascii="Times New Roman" w:hAnsi="Times New Roman" w:cs="Times New Roman"/>
        </w:rPr>
        <w:t xml:space="preserve">   Th</w:t>
      </w:r>
      <w:r w:rsidR="000F6F4A">
        <w:rPr>
          <w:rFonts w:ascii="Times New Roman" w:hAnsi="Times New Roman" w:cs="Times New Roman"/>
        </w:rPr>
        <w:t xml:space="preserve">ere are staff shortages in medicine, </w:t>
      </w:r>
      <w:r w:rsidR="00A131D1">
        <w:rPr>
          <w:rFonts w:ascii="Times New Roman" w:hAnsi="Times New Roman" w:cs="Times New Roman"/>
        </w:rPr>
        <w:t>nursing and social care settings</w:t>
      </w:r>
      <w:r>
        <w:rPr>
          <w:rFonts w:ascii="Times New Roman" w:hAnsi="Times New Roman" w:cs="Times New Roman"/>
        </w:rPr>
        <w:t xml:space="preserve">.  </w:t>
      </w:r>
      <w:r w:rsidR="000F6F4A">
        <w:rPr>
          <w:rFonts w:ascii="Times New Roman" w:hAnsi="Times New Roman" w:cs="Times New Roman"/>
        </w:rPr>
        <w:t>H</w:t>
      </w:r>
      <w:r w:rsidR="000F6F4A" w:rsidRPr="00E04B8F">
        <w:rPr>
          <w:rFonts w:ascii="Times New Roman" w:hAnsi="Times New Roman" w:cs="Times New Roman"/>
        </w:rPr>
        <w:t>ospital</w:t>
      </w:r>
      <w:r w:rsidR="000F6F4A">
        <w:rPr>
          <w:rFonts w:ascii="Times New Roman" w:hAnsi="Times New Roman" w:cs="Times New Roman"/>
        </w:rPr>
        <w:t>s face an</w:t>
      </w:r>
      <w:r w:rsidR="000F6F4A" w:rsidRPr="00E04B8F">
        <w:rPr>
          <w:rFonts w:ascii="Times New Roman" w:hAnsi="Times New Roman" w:cs="Times New Roman"/>
        </w:rPr>
        <w:t xml:space="preserve"> imbalance</w:t>
      </w:r>
      <w:r w:rsidR="000F6F4A">
        <w:rPr>
          <w:rFonts w:ascii="Times New Roman" w:hAnsi="Times New Roman" w:cs="Times New Roman"/>
        </w:rPr>
        <w:t xml:space="preserve"> across specialties with shortages within e</w:t>
      </w:r>
      <w:r w:rsidR="000F6F4A" w:rsidRPr="00E04B8F">
        <w:rPr>
          <w:rFonts w:ascii="Times New Roman" w:hAnsi="Times New Roman" w:cs="Times New Roman"/>
        </w:rPr>
        <w:t>mergency, geriatric and psychologi</w:t>
      </w:r>
      <w:r w:rsidR="000F6F4A">
        <w:rPr>
          <w:rFonts w:ascii="Times New Roman" w:hAnsi="Times New Roman" w:cs="Times New Roman"/>
        </w:rPr>
        <w:t>cal services</w:t>
      </w:r>
      <w:r w:rsidR="000F6F4A">
        <w:rPr>
          <w:rFonts w:ascii="Times New Roman" w:hAnsi="Times New Roman" w:cs="Times New Roman"/>
        </w:rPr>
        <w:t xml:space="preserve">: </w:t>
      </w:r>
      <w:r w:rsidRPr="00A373C2">
        <w:rPr>
          <w:rFonts w:ascii="Times New Roman" w:hAnsi="Times New Roman" w:cs="Times New Roman"/>
        </w:rPr>
        <w:t xml:space="preserve">14.1% </w:t>
      </w:r>
      <w:r w:rsidR="000F6F4A">
        <w:rPr>
          <w:rFonts w:ascii="Times New Roman" w:hAnsi="Times New Roman" w:cs="Times New Roman"/>
        </w:rPr>
        <w:t xml:space="preserve">of </w:t>
      </w:r>
      <w:r w:rsidRPr="00A373C2">
        <w:rPr>
          <w:rFonts w:ascii="Times New Roman" w:hAnsi="Times New Roman" w:cs="Times New Roman"/>
        </w:rPr>
        <w:t>Geriatric medicine training posts trainee opportunities were unfilled in May 2013</w:t>
      </w:r>
      <w:r w:rsidR="00382BD0">
        <w:rPr>
          <w:rFonts w:ascii="Times New Roman" w:hAnsi="Times New Roman" w:cs="Times New Roman"/>
        </w:rPr>
        <w:t>.</w:t>
      </w:r>
      <w:r w:rsidR="00A2331E">
        <w:rPr>
          <w:rStyle w:val="EndnoteReference"/>
          <w:rFonts w:ascii="Times New Roman" w:hAnsi="Times New Roman" w:cs="Times New Roman"/>
        </w:rPr>
        <w:endnoteReference w:id="45"/>
      </w:r>
      <w:r w:rsidR="00E04B8F">
        <w:rPr>
          <w:rFonts w:ascii="Times New Roman" w:hAnsi="Times New Roman" w:cs="Times New Roman"/>
        </w:rPr>
        <w:t xml:space="preserve">  </w:t>
      </w:r>
      <w:r w:rsidR="00CB1D26">
        <w:rPr>
          <w:rFonts w:ascii="Times New Roman" w:hAnsi="Times New Roman" w:cs="Times New Roman"/>
        </w:rPr>
        <w:t>There is an u</w:t>
      </w:r>
      <w:r w:rsidR="00E04B8F">
        <w:rPr>
          <w:rFonts w:ascii="Times New Roman" w:hAnsi="Times New Roman" w:cs="Times New Roman"/>
        </w:rPr>
        <w:t xml:space="preserve">nder-supply </w:t>
      </w:r>
      <w:r>
        <w:rPr>
          <w:rFonts w:ascii="Times New Roman" w:hAnsi="Times New Roman" w:cs="Times New Roman"/>
        </w:rPr>
        <w:t>of GPs</w:t>
      </w:r>
      <w:r w:rsidR="00CB1D26">
        <w:rPr>
          <w:rFonts w:ascii="Times New Roman" w:hAnsi="Times New Roman" w:cs="Times New Roman"/>
        </w:rPr>
        <w:t xml:space="preserve"> and concerns about the growing primary care workload.  </w:t>
      </w:r>
      <w:r w:rsidR="00674C9A" w:rsidRPr="00A373C2">
        <w:rPr>
          <w:rFonts w:ascii="Times New Roman" w:hAnsi="Times New Roman" w:cs="Times New Roman"/>
        </w:rPr>
        <w:t>Within GPs training there is no compulso</w:t>
      </w:r>
      <w:r w:rsidR="00CB1D26">
        <w:rPr>
          <w:rFonts w:ascii="Times New Roman" w:hAnsi="Times New Roman" w:cs="Times New Roman"/>
        </w:rPr>
        <w:t xml:space="preserve">ry geriatric component.  </w:t>
      </w:r>
      <w:r w:rsidR="000F6F4A">
        <w:rPr>
          <w:rFonts w:ascii="Times New Roman" w:hAnsi="Times New Roman" w:cs="Times New Roman"/>
        </w:rPr>
        <w:t>The Royal College of General Practitioners</w:t>
      </w:r>
      <w:r w:rsidR="00674C9A" w:rsidRPr="00A373C2">
        <w:rPr>
          <w:rFonts w:ascii="Times New Roman" w:hAnsi="Times New Roman" w:cs="Times New Roman"/>
        </w:rPr>
        <w:t xml:space="preserve"> has recommend</w:t>
      </w:r>
      <w:r w:rsidR="003E6E42">
        <w:rPr>
          <w:rFonts w:ascii="Times New Roman" w:hAnsi="Times New Roman" w:cs="Times New Roman"/>
        </w:rPr>
        <w:t>e</w:t>
      </w:r>
      <w:r w:rsidR="00674C9A" w:rsidRPr="00A373C2">
        <w:rPr>
          <w:rFonts w:ascii="Times New Roman" w:hAnsi="Times New Roman" w:cs="Times New Roman"/>
        </w:rPr>
        <w:t xml:space="preserve">d that GP training be extended </w:t>
      </w:r>
      <w:r w:rsidR="00FA48C4">
        <w:rPr>
          <w:rFonts w:ascii="Times New Roman" w:hAnsi="Times New Roman" w:cs="Times New Roman"/>
        </w:rPr>
        <w:t xml:space="preserve">so </w:t>
      </w:r>
      <w:r w:rsidR="00674C9A" w:rsidRPr="00A373C2">
        <w:rPr>
          <w:rFonts w:ascii="Times New Roman" w:hAnsi="Times New Roman" w:cs="Times New Roman"/>
        </w:rPr>
        <w:t xml:space="preserve">that they are </w:t>
      </w:r>
      <w:r w:rsidR="000F6F4A">
        <w:rPr>
          <w:rFonts w:ascii="Times New Roman" w:hAnsi="Times New Roman" w:cs="Times New Roman"/>
        </w:rPr>
        <w:t xml:space="preserve">better </w:t>
      </w:r>
      <w:r w:rsidR="00674C9A" w:rsidRPr="00A373C2">
        <w:rPr>
          <w:rFonts w:ascii="Times New Roman" w:hAnsi="Times New Roman" w:cs="Times New Roman"/>
        </w:rPr>
        <w:t>prepared to care for ageing po</w:t>
      </w:r>
      <w:r w:rsidR="003E6E42">
        <w:rPr>
          <w:rFonts w:ascii="Times New Roman" w:hAnsi="Times New Roman" w:cs="Times New Roman"/>
        </w:rPr>
        <w:t>pulations.</w:t>
      </w:r>
      <w:r w:rsidR="003E6E42">
        <w:rPr>
          <w:rStyle w:val="EndnoteReference"/>
          <w:rFonts w:ascii="Times New Roman" w:hAnsi="Times New Roman" w:cs="Times New Roman"/>
        </w:rPr>
        <w:endnoteReference w:id="46"/>
      </w:r>
      <w:r w:rsidR="004E3865">
        <w:rPr>
          <w:rFonts w:ascii="Times New Roman" w:hAnsi="Times New Roman" w:cs="Times New Roman"/>
        </w:rPr>
        <w:t xml:space="preserve">  </w:t>
      </w:r>
      <w:r w:rsidR="00382BD0">
        <w:rPr>
          <w:rFonts w:ascii="Times New Roman" w:hAnsi="Times New Roman" w:cs="Times New Roman"/>
        </w:rPr>
        <w:t>Workforce is a</w:t>
      </w:r>
      <w:r w:rsidR="00CB1D26">
        <w:rPr>
          <w:rFonts w:ascii="Times New Roman" w:hAnsi="Times New Roman" w:cs="Times New Roman"/>
        </w:rPr>
        <w:t xml:space="preserve"> </w:t>
      </w:r>
      <w:r w:rsidR="00382BD0">
        <w:rPr>
          <w:rFonts w:ascii="Times New Roman" w:hAnsi="Times New Roman" w:cs="Times New Roman"/>
        </w:rPr>
        <w:t>problem</w:t>
      </w:r>
      <w:r w:rsidR="000F6F4A">
        <w:rPr>
          <w:rFonts w:ascii="Times New Roman" w:hAnsi="Times New Roman" w:cs="Times New Roman"/>
        </w:rPr>
        <w:t xml:space="preserve"> for social care with</w:t>
      </w:r>
      <w:r w:rsidR="009E42DD" w:rsidRPr="00A40E58">
        <w:rPr>
          <w:rFonts w:ascii="Times New Roman" w:hAnsi="Times New Roman" w:cs="Times New Roman"/>
        </w:rPr>
        <w:t xml:space="preserve"> care and resident</w:t>
      </w:r>
      <w:r w:rsidR="00CB1D26">
        <w:rPr>
          <w:rFonts w:ascii="Times New Roman" w:hAnsi="Times New Roman" w:cs="Times New Roman"/>
        </w:rPr>
        <w:t>ial/nursing home</w:t>
      </w:r>
      <w:r w:rsidR="000F6F4A">
        <w:rPr>
          <w:rFonts w:ascii="Times New Roman" w:hAnsi="Times New Roman" w:cs="Times New Roman"/>
        </w:rPr>
        <w:t>s</w:t>
      </w:r>
      <w:r w:rsidR="009E42DD">
        <w:rPr>
          <w:rFonts w:ascii="Times New Roman" w:hAnsi="Times New Roman" w:cs="Times New Roman"/>
        </w:rPr>
        <w:t xml:space="preserve"> </w:t>
      </w:r>
      <w:r w:rsidR="00CB1D26">
        <w:rPr>
          <w:rFonts w:ascii="Times New Roman" w:hAnsi="Times New Roman" w:cs="Times New Roman"/>
        </w:rPr>
        <w:t>facing</w:t>
      </w:r>
      <w:r w:rsidR="009E42DD">
        <w:rPr>
          <w:rFonts w:ascii="Times New Roman" w:hAnsi="Times New Roman" w:cs="Times New Roman"/>
        </w:rPr>
        <w:t xml:space="preserve"> significant difficulties </w:t>
      </w:r>
      <w:r w:rsidR="009E42DD" w:rsidRPr="00A40E58">
        <w:rPr>
          <w:rFonts w:ascii="Times New Roman" w:hAnsi="Times New Roman" w:cs="Times New Roman"/>
        </w:rPr>
        <w:t>with the recruitment and retention of home care work</w:t>
      </w:r>
      <w:r w:rsidR="009E42DD">
        <w:rPr>
          <w:rFonts w:ascii="Times New Roman" w:hAnsi="Times New Roman" w:cs="Times New Roman"/>
        </w:rPr>
        <w:t>ers and nurses in nursing homes</w:t>
      </w:r>
      <w:r w:rsidR="009E42DD" w:rsidRPr="00A40E58">
        <w:rPr>
          <w:rFonts w:ascii="Times New Roman" w:hAnsi="Times New Roman" w:cs="Times New Roman"/>
        </w:rPr>
        <w:t>.</w:t>
      </w:r>
      <w:r w:rsidR="009E42DD" w:rsidRPr="00CE1B33">
        <w:t xml:space="preserve"> </w:t>
      </w:r>
      <w:r w:rsidR="004E3865">
        <w:rPr>
          <w:rFonts w:ascii="Times New Roman" w:hAnsi="Times New Roman" w:cs="Times New Roman"/>
        </w:rPr>
        <w:t xml:space="preserve">The UK decision to exit the European Union and ongoing </w:t>
      </w:r>
      <w:r w:rsidRPr="003E6E42">
        <w:rPr>
          <w:rFonts w:ascii="Times New Roman" w:hAnsi="Times New Roman" w:cs="Times New Roman"/>
        </w:rPr>
        <w:t>financial squeeze</w:t>
      </w:r>
      <w:r w:rsidR="004E3865">
        <w:rPr>
          <w:rFonts w:ascii="Times New Roman" w:hAnsi="Times New Roman" w:cs="Times New Roman"/>
        </w:rPr>
        <w:t xml:space="preserve"> has fueled</w:t>
      </w:r>
      <w:r w:rsidR="000F6F4A">
        <w:rPr>
          <w:rFonts w:ascii="Times New Roman" w:hAnsi="Times New Roman" w:cs="Times New Roman"/>
        </w:rPr>
        <w:t xml:space="preserve"> concerns </w:t>
      </w:r>
      <w:r w:rsidR="004E3865">
        <w:rPr>
          <w:rFonts w:ascii="Times New Roman" w:hAnsi="Times New Roman" w:cs="Times New Roman"/>
        </w:rPr>
        <w:t xml:space="preserve">within the NHS </w:t>
      </w:r>
      <w:r w:rsidR="00382BD0">
        <w:rPr>
          <w:rFonts w:ascii="Times New Roman" w:hAnsi="Times New Roman" w:cs="Times New Roman"/>
        </w:rPr>
        <w:t xml:space="preserve">and social care </w:t>
      </w:r>
      <w:r w:rsidR="000F6F4A">
        <w:rPr>
          <w:rFonts w:ascii="Times New Roman" w:hAnsi="Times New Roman" w:cs="Times New Roman"/>
        </w:rPr>
        <w:t>about</w:t>
      </w:r>
      <w:r w:rsidR="004E3865">
        <w:rPr>
          <w:rFonts w:ascii="Times New Roman" w:hAnsi="Times New Roman" w:cs="Times New Roman"/>
        </w:rPr>
        <w:t xml:space="preserve"> the difficulties of rec</w:t>
      </w:r>
      <w:r w:rsidR="00382BD0">
        <w:rPr>
          <w:rFonts w:ascii="Times New Roman" w:hAnsi="Times New Roman" w:cs="Times New Roman"/>
        </w:rPr>
        <w:t xml:space="preserve">ruiting and retaining a range of </w:t>
      </w:r>
      <w:r w:rsidR="004E3865">
        <w:rPr>
          <w:rFonts w:ascii="Times New Roman" w:hAnsi="Times New Roman" w:cs="Times New Roman"/>
        </w:rPr>
        <w:t xml:space="preserve">staff. </w:t>
      </w:r>
    </w:p>
    <w:p w:rsidR="003E137F" w:rsidRPr="006B4B85" w:rsidRDefault="003E137F" w:rsidP="00BB6CB1">
      <w:pPr>
        <w:jc w:val="both"/>
        <w:rPr>
          <w:rFonts w:ascii="Times New Roman" w:hAnsi="Times New Roman" w:cs="Times New Roman"/>
          <w:b/>
        </w:rPr>
      </w:pPr>
    </w:p>
    <w:p w:rsidR="005D4703" w:rsidRPr="0001764C" w:rsidRDefault="005D4703" w:rsidP="00F9268A">
      <w:pPr>
        <w:rPr>
          <w:rFonts w:ascii="Times New Roman" w:hAnsi="Times New Roman" w:cs="Times New Roman"/>
          <w:b/>
        </w:rPr>
      </w:pPr>
      <w:r w:rsidRPr="0001764C">
        <w:rPr>
          <w:rFonts w:ascii="Times New Roman" w:hAnsi="Times New Roman" w:cs="Times New Roman"/>
          <w:b/>
        </w:rPr>
        <w:t>The NHS moving forwards</w:t>
      </w:r>
    </w:p>
    <w:p w:rsidR="001A6D7F" w:rsidRDefault="005219E3" w:rsidP="00F9268A">
      <w:pPr>
        <w:jc w:val="both"/>
        <w:rPr>
          <w:rFonts w:ascii="Times New Roman" w:hAnsi="Times New Roman" w:cs="Times New Roman"/>
        </w:rPr>
      </w:pPr>
      <w:r w:rsidRPr="0001764C">
        <w:rPr>
          <w:rFonts w:ascii="Times New Roman" w:hAnsi="Times New Roman" w:cs="Times New Roman"/>
        </w:rPr>
        <w:t>The NHS continues to receive widesprea</w:t>
      </w:r>
      <w:r w:rsidR="001A6D7F">
        <w:rPr>
          <w:rFonts w:ascii="Times New Roman" w:hAnsi="Times New Roman" w:cs="Times New Roman"/>
        </w:rPr>
        <w:t>d public support.  The task</w:t>
      </w:r>
      <w:r w:rsidRPr="0001764C">
        <w:rPr>
          <w:rFonts w:ascii="Times New Roman" w:hAnsi="Times New Roman" w:cs="Times New Roman"/>
        </w:rPr>
        <w:t xml:space="preserve"> facing politicians and pro</w:t>
      </w:r>
      <w:r w:rsidR="00382BD0">
        <w:rPr>
          <w:rFonts w:ascii="Times New Roman" w:hAnsi="Times New Roman" w:cs="Times New Roman"/>
        </w:rPr>
        <w:t>fessional</w:t>
      </w:r>
      <w:r w:rsidR="001A6D7F">
        <w:rPr>
          <w:rFonts w:ascii="Times New Roman" w:hAnsi="Times New Roman" w:cs="Times New Roman"/>
        </w:rPr>
        <w:t>s</w:t>
      </w:r>
      <w:r w:rsidR="00382BD0">
        <w:rPr>
          <w:rFonts w:ascii="Times New Roman" w:hAnsi="Times New Roman" w:cs="Times New Roman"/>
        </w:rPr>
        <w:t xml:space="preserve"> </w:t>
      </w:r>
      <w:r w:rsidR="005453DA">
        <w:rPr>
          <w:rFonts w:ascii="Times New Roman" w:hAnsi="Times New Roman" w:cs="Times New Roman"/>
        </w:rPr>
        <w:t xml:space="preserve">however is </w:t>
      </w:r>
      <w:r w:rsidR="001A6D7F">
        <w:rPr>
          <w:rFonts w:ascii="Times New Roman" w:hAnsi="Times New Roman" w:cs="Times New Roman"/>
        </w:rPr>
        <w:t xml:space="preserve">to ensure the NHS </w:t>
      </w:r>
      <w:r w:rsidR="00382BD0">
        <w:rPr>
          <w:rFonts w:ascii="Times New Roman" w:hAnsi="Times New Roman" w:cs="Times New Roman"/>
        </w:rPr>
        <w:t>undergo</w:t>
      </w:r>
      <w:r w:rsidR="001A6D7F">
        <w:rPr>
          <w:rFonts w:ascii="Times New Roman" w:hAnsi="Times New Roman" w:cs="Times New Roman"/>
        </w:rPr>
        <w:t>es</w:t>
      </w:r>
      <w:r w:rsidRPr="0001764C">
        <w:rPr>
          <w:rFonts w:ascii="Times New Roman" w:hAnsi="Times New Roman" w:cs="Times New Roman"/>
        </w:rPr>
        <w:t xml:space="preserve"> a “complete transformation”</w:t>
      </w:r>
      <w:r w:rsidRPr="0001764C">
        <w:rPr>
          <w:rStyle w:val="EndnoteReference"/>
          <w:rFonts w:ascii="Times New Roman" w:hAnsi="Times New Roman" w:cs="Times New Roman"/>
        </w:rPr>
        <w:endnoteReference w:id="47"/>
      </w:r>
      <w:r w:rsidR="001A6D7F">
        <w:rPr>
          <w:rFonts w:ascii="Times New Roman" w:hAnsi="Times New Roman" w:cs="Times New Roman"/>
        </w:rPr>
        <w:t xml:space="preserve"> to </w:t>
      </w:r>
      <w:r w:rsidR="00CB1D26">
        <w:rPr>
          <w:rFonts w:ascii="Times New Roman" w:hAnsi="Times New Roman" w:cs="Times New Roman"/>
        </w:rPr>
        <w:t xml:space="preserve">become </w:t>
      </w:r>
      <w:r w:rsidR="0001764C">
        <w:rPr>
          <w:rFonts w:ascii="Times New Roman" w:hAnsi="Times New Roman" w:cs="Times New Roman"/>
        </w:rPr>
        <w:t>a 21st century integ</w:t>
      </w:r>
      <w:r w:rsidRPr="0001764C">
        <w:rPr>
          <w:rFonts w:ascii="Times New Roman" w:hAnsi="Times New Roman" w:cs="Times New Roman"/>
        </w:rPr>
        <w:t>r</w:t>
      </w:r>
      <w:r w:rsidR="0001764C">
        <w:rPr>
          <w:rFonts w:ascii="Times New Roman" w:hAnsi="Times New Roman" w:cs="Times New Roman"/>
        </w:rPr>
        <w:t>a</w:t>
      </w:r>
      <w:r w:rsidRPr="0001764C">
        <w:rPr>
          <w:rFonts w:ascii="Times New Roman" w:hAnsi="Times New Roman" w:cs="Times New Roman"/>
        </w:rPr>
        <w:t xml:space="preserve">ted national </w:t>
      </w:r>
      <w:r w:rsidR="00CB1D26">
        <w:rPr>
          <w:rFonts w:ascii="Times New Roman" w:hAnsi="Times New Roman" w:cs="Times New Roman"/>
        </w:rPr>
        <w:t>health and social care service.  This service would acknowledge</w:t>
      </w:r>
      <w:r w:rsidRPr="0001764C">
        <w:rPr>
          <w:rFonts w:ascii="Times New Roman" w:hAnsi="Times New Roman" w:cs="Times New Roman"/>
        </w:rPr>
        <w:t xml:space="preserve"> the impact of ageing, including more complex consu</w:t>
      </w:r>
      <w:r w:rsidR="00CB1D26">
        <w:rPr>
          <w:rFonts w:ascii="Times New Roman" w:hAnsi="Times New Roman" w:cs="Times New Roman"/>
        </w:rPr>
        <w:t xml:space="preserve">ltant work in </w:t>
      </w:r>
      <w:r w:rsidR="00382BD0">
        <w:rPr>
          <w:rFonts w:ascii="Times New Roman" w:hAnsi="Times New Roman" w:cs="Times New Roman"/>
        </w:rPr>
        <w:t xml:space="preserve">the </w:t>
      </w:r>
      <w:r w:rsidR="00CB1D26">
        <w:rPr>
          <w:rFonts w:ascii="Times New Roman" w:hAnsi="Times New Roman" w:cs="Times New Roman"/>
        </w:rPr>
        <w:t>GP sur</w:t>
      </w:r>
      <w:r w:rsidR="00382BD0">
        <w:rPr>
          <w:rFonts w:ascii="Times New Roman" w:hAnsi="Times New Roman" w:cs="Times New Roman"/>
        </w:rPr>
        <w:t>gery, and provide a joined-</w:t>
      </w:r>
      <w:r w:rsidR="00CB1D26">
        <w:rPr>
          <w:rFonts w:ascii="Times New Roman" w:hAnsi="Times New Roman" w:cs="Times New Roman"/>
        </w:rPr>
        <w:t>up service based around community and home</w:t>
      </w:r>
      <w:r w:rsidRPr="0001764C">
        <w:rPr>
          <w:rFonts w:ascii="Times New Roman" w:hAnsi="Times New Roman" w:cs="Times New Roman"/>
        </w:rPr>
        <w:t>.</w:t>
      </w:r>
      <w:r w:rsidR="001A6D7F">
        <w:rPr>
          <w:rFonts w:ascii="Times New Roman" w:hAnsi="Times New Roman" w:cs="Times New Roman"/>
        </w:rPr>
        <w:t xml:space="preserve">  There is no silver</w:t>
      </w:r>
      <w:r w:rsidR="007A31C8">
        <w:rPr>
          <w:rFonts w:ascii="Times New Roman" w:hAnsi="Times New Roman" w:cs="Times New Roman"/>
        </w:rPr>
        <w:t xml:space="preserve"> bullet for the challenges </w:t>
      </w:r>
      <w:r w:rsidR="005453DA">
        <w:rPr>
          <w:rFonts w:ascii="Times New Roman" w:hAnsi="Times New Roman" w:cs="Times New Roman"/>
        </w:rPr>
        <w:t xml:space="preserve">an </w:t>
      </w:r>
      <w:r w:rsidR="001A6D7F">
        <w:rPr>
          <w:rFonts w:ascii="Times New Roman" w:hAnsi="Times New Roman" w:cs="Times New Roman"/>
        </w:rPr>
        <w:t xml:space="preserve">ageing </w:t>
      </w:r>
      <w:r w:rsidR="005453DA">
        <w:rPr>
          <w:rFonts w:ascii="Times New Roman" w:hAnsi="Times New Roman" w:cs="Times New Roman"/>
        </w:rPr>
        <w:t xml:space="preserve">population </w:t>
      </w:r>
      <w:r w:rsidR="001A6D7F">
        <w:rPr>
          <w:rFonts w:ascii="Times New Roman" w:hAnsi="Times New Roman" w:cs="Times New Roman"/>
        </w:rPr>
        <w:t xml:space="preserve">presents </w:t>
      </w:r>
      <w:r w:rsidR="005453DA">
        <w:rPr>
          <w:rFonts w:ascii="Times New Roman" w:hAnsi="Times New Roman" w:cs="Times New Roman"/>
        </w:rPr>
        <w:t xml:space="preserve">for </w:t>
      </w:r>
      <w:r w:rsidR="001A6D7F">
        <w:rPr>
          <w:rFonts w:ascii="Times New Roman" w:hAnsi="Times New Roman" w:cs="Times New Roman"/>
        </w:rPr>
        <w:t xml:space="preserve">the NHS.  The </w:t>
      </w:r>
      <w:r w:rsidR="007A31C8">
        <w:rPr>
          <w:rFonts w:ascii="Times New Roman" w:hAnsi="Times New Roman" w:cs="Times New Roman"/>
        </w:rPr>
        <w:t xml:space="preserve">solution will require </w:t>
      </w:r>
      <w:r w:rsidR="001A6D7F">
        <w:rPr>
          <w:rFonts w:ascii="Times New Roman" w:hAnsi="Times New Roman" w:cs="Times New Roman"/>
        </w:rPr>
        <w:t xml:space="preserve">top-down </w:t>
      </w:r>
      <w:r w:rsidR="005453DA">
        <w:rPr>
          <w:rFonts w:ascii="Times New Roman" w:hAnsi="Times New Roman" w:cs="Times New Roman"/>
        </w:rPr>
        <w:t xml:space="preserve">resource allocation and some </w:t>
      </w:r>
      <w:r w:rsidR="007A31C8">
        <w:rPr>
          <w:rFonts w:ascii="Times New Roman" w:hAnsi="Times New Roman" w:cs="Times New Roman"/>
        </w:rPr>
        <w:t xml:space="preserve">national </w:t>
      </w:r>
      <w:r w:rsidR="005453DA">
        <w:rPr>
          <w:rFonts w:ascii="Times New Roman" w:hAnsi="Times New Roman" w:cs="Times New Roman"/>
        </w:rPr>
        <w:t xml:space="preserve">policy </w:t>
      </w:r>
      <w:r w:rsidR="001A6D7F">
        <w:rPr>
          <w:rFonts w:ascii="Times New Roman" w:hAnsi="Times New Roman" w:cs="Times New Roman"/>
        </w:rPr>
        <w:t xml:space="preserve">dictates but </w:t>
      </w:r>
      <w:r w:rsidR="007A31C8">
        <w:rPr>
          <w:rFonts w:ascii="Times New Roman" w:hAnsi="Times New Roman" w:cs="Times New Roman"/>
        </w:rPr>
        <w:t xml:space="preserve">must </w:t>
      </w:r>
      <w:r w:rsidR="001A6D7F">
        <w:rPr>
          <w:rFonts w:ascii="Times New Roman" w:hAnsi="Times New Roman" w:cs="Times New Roman"/>
        </w:rPr>
        <w:t>also reflec</w:t>
      </w:r>
      <w:r w:rsidR="005453DA">
        <w:rPr>
          <w:rFonts w:ascii="Times New Roman" w:hAnsi="Times New Roman" w:cs="Times New Roman"/>
        </w:rPr>
        <w:t>t</w:t>
      </w:r>
      <w:r w:rsidR="001A6D7F">
        <w:rPr>
          <w:rFonts w:ascii="Times New Roman" w:hAnsi="Times New Roman" w:cs="Times New Roman"/>
        </w:rPr>
        <w:t xml:space="preserve"> the </w:t>
      </w:r>
      <w:r w:rsidR="005453DA">
        <w:rPr>
          <w:rFonts w:ascii="Times New Roman" w:hAnsi="Times New Roman" w:cs="Times New Roman"/>
        </w:rPr>
        <w:t>reality of decentralized NHS delivery</w:t>
      </w:r>
      <w:r w:rsidR="001A6D7F">
        <w:rPr>
          <w:rFonts w:ascii="Times New Roman" w:hAnsi="Times New Roman" w:cs="Times New Roman"/>
        </w:rPr>
        <w:t xml:space="preserve">, and </w:t>
      </w:r>
      <w:r w:rsidR="005453DA">
        <w:rPr>
          <w:rFonts w:ascii="Times New Roman" w:hAnsi="Times New Roman" w:cs="Times New Roman"/>
        </w:rPr>
        <w:t>the range of stake</w:t>
      </w:r>
      <w:r w:rsidR="007A31C8">
        <w:rPr>
          <w:rFonts w:ascii="Times New Roman" w:hAnsi="Times New Roman" w:cs="Times New Roman"/>
        </w:rPr>
        <w:t>holders</w:t>
      </w:r>
      <w:r w:rsidR="005453DA">
        <w:rPr>
          <w:rFonts w:ascii="Times New Roman" w:hAnsi="Times New Roman" w:cs="Times New Roman"/>
        </w:rPr>
        <w:t xml:space="preserve">.  Indeed, </w:t>
      </w:r>
      <w:r w:rsidR="007A31C8">
        <w:rPr>
          <w:rFonts w:ascii="Times New Roman" w:hAnsi="Times New Roman" w:cs="Times New Roman"/>
        </w:rPr>
        <w:t>better</w:t>
      </w:r>
      <w:r w:rsidR="001A6D7F">
        <w:rPr>
          <w:rFonts w:ascii="Times New Roman" w:hAnsi="Times New Roman" w:cs="Times New Roman"/>
        </w:rPr>
        <w:t xml:space="preserve"> health outcomes are r</w:t>
      </w:r>
      <w:r w:rsidR="00A55F22">
        <w:rPr>
          <w:rFonts w:ascii="Times New Roman" w:hAnsi="Times New Roman" w:cs="Times New Roman"/>
        </w:rPr>
        <w:t xml:space="preserve">eliant </w:t>
      </w:r>
      <w:r w:rsidR="007A31C8">
        <w:rPr>
          <w:rFonts w:ascii="Times New Roman" w:hAnsi="Times New Roman" w:cs="Times New Roman"/>
        </w:rPr>
        <w:t xml:space="preserve">in part </w:t>
      </w:r>
      <w:r w:rsidR="00A55F22">
        <w:rPr>
          <w:rFonts w:ascii="Times New Roman" w:hAnsi="Times New Roman" w:cs="Times New Roman"/>
        </w:rPr>
        <w:t>on attitudinal and behavioral shifts within</w:t>
      </w:r>
      <w:r w:rsidR="001A6D7F">
        <w:rPr>
          <w:rFonts w:ascii="Times New Roman" w:hAnsi="Times New Roman" w:cs="Times New Roman"/>
        </w:rPr>
        <w:t xml:space="preserve"> the population itself.</w:t>
      </w:r>
    </w:p>
    <w:p w:rsidR="001A6D7F" w:rsidRDefault="001A6D7F" w:rsidP="00BB6CB1">
      <w:pPr>
        <w:jc w:val="both"/>
        <w:rPr>
          <w:rFonts w:ascii="Times New Roman" w:hAnsi="Times New Roman" w:cs="Times New Roman"/>
        </w:rPr>
      </w:pPr>
    </w:p>
    <w:p w:rsidR="001A6D7F" w:rsidRPr="00A55F22" w:rsidRDefault="00A55F22" w:rsidP="00BB6CB1">
      <w:pPr>
        <w:jc w:val="both"/>
        <w:rPr>
          <w:rFonts w:ascii="Times New Roman" w:hAnsi="Times New Roman" w:cs="Times New Roman"/>
          <w:b/>
          <w:i/>
        </w:rPr>
      </w:pPr>
      <w:r w:rsidRPr="00A55F22">
        <w:rPr>
          <w:rFonts w:ascii="Times New Roman" w:hAnsi="Times New Roman" w:cs="Times New Roman"/>
          <w:b/>
          <w:i/>
        </w:rPr>
        <w:t>Funding healthcare</w:t>
      </w:r>
    </w:p>
    <w:p w:rsidR="005453DA" w:rsidRDefault="00BF0794" w:rsidP="00A55F22">
      <w:pPr>
        <w:jc w:val="both"/>
        <w:rPr>
          <w:rFonts w:ascii="Times New Roman" w:hAnsi="Times New Roman" w:cs="Times New Roman"/>
        </w:rPr>
      </w:pPr>
      <w:r>
        <w:rPr>
          <w:rFonts w:ascii="Times New Roman" w:hAnsi="Times New Roman" w:cs="Times New Roman"/>
        </w:rPr>
        <w:t>According to projections from the</w:t>
      </w:r>
      <w:r w:rsidRPr="00BF0794">
        <w:t xml:space="preserve"> </w:t>
      </w:r>
      <w:r w:rsidRPr="00BF0794">
        <w:rPr>
          <w:rFonts w:ascii="Times New Roman" w:hAnsi="Times New Roman" w:cs="Times New Roman"/>
        </w:rPr>
        <w:t>Office for Budget Responsibility</w:t>
      </w:r>
      <w:r>
        <w:rPr>
          <w:rFonts w:ascii="Times New Roman" w:hAnsi="Times New Roman" w:cs="Times New Roman"/>
        </w:rPr>
        <w:t>, t</w:t>
      </w:r>
      <w:r w:rsidR="005453DA" w:rsidRPr="005453DA">
        <w:rPr>
          <w:rFonts w:ascii="Times New Roman" w:hAnsi="Times New Roman" w:cs="Times New Roman"/>
        </w:rPr>
        <w:t xml:space="preserve">he NHS’s budget will need </w:t>
      </w:r>
      <w:r w:rsidR="000F6F4A">
        <w:rPr>
          <w:rFonts w:ascii="Times New Roman" w:hAnsi="Times New Roman" w:cs="Times New Roman"/>
        </w:rPr>
        <w:t>to increase from £140bn in 2020/21 to £228bn by 2066/</w:t>
      </w:r>
      <w:r w:rsidR="005453DA" w:rsidRPr="005453DA">
        <w:rPr>
          <w:rFonts w:ascii="Times New Roman" w:hAnsi="Times New Roman" w:cs="Times New Roman"/>
        </w:rPr>
        <w:t xml:space="preserve">67 </w:t>
      </w:r>
      <w:r>
        <w:rPr>
          <w:rFonts w:ascii="Times New Roman" w:hAnsi="Times New Roman" w:cs="Times New Roman"/>
        </w:rPr>
        <w:t>in order</w:t>
      </w:r>
      <w:r w:rsidR="005453DA">
        <w:rPr>
          <w:rFonts w:ascii="Times New Roman" w:hAnsi="Times New Roman" w:cs="Times New Roman"/>
        </w:rPr>
        <w:t xml:space="preserve"> to keep pace </w:t>
      </w:r>
      <w:r w:rsidR="005453DA" w:rsidRPr="005453DA">
        <w:rPr>
          <w:rFonts w:ascii="Times New Roman" w:hAnsi="Times New Roman" w:cs="Times New Roman"/>
        </w:rPr>
        <w:t>with t</w:t>
      </w:r>
      <w:r>
        <w:rPr>
          <w:rFonts w:ascii="Times New Roman" w:hAnsi="Times New Roman" w:cs="Times New Roman"/>
        </w:rPr>
        <w:t>he rising demand for healthcare</w:t>
      </w:r>
      <w:r w:rsidR="005453DA" w:rsidRPr="005453DA">
        <w:rPr>
          <w:rFonts w:ascii="Times New Roman" w:hAnsi="Times New Roman" w:cs="Times New Roman"/>
        </w:rPr>
        <w:t xml:space="preserve">.  This would equate to the budget </w:t>
      </w:r>
      <w:r w:rsidR="005453DA">
        <w:rPr>
          <w:rFonts w:ascii="Times New Roman" w:hAnsi="Times New Roman" w:cs="Times New Roman"/>
        </w:rPr>
        <w:t>rising</w:t>
      </w:r>
      <w:r w:rsidR="005453DA" w:rsidRPr="005453DA">
        <w:rPr>
          <w:rFonts w:ascii="Times New Roman" w:hAnsi="Times New Roman" w:cs="Times New Roman"/>
        </w:rPr>
        <w:t xml:space="preserve"> by an average of 2% each year</w:t>
      </w:r>
      <w:r w:rsidR="00627FB5">
        <w:rPr>
          <w:rFonts w:ascii="Times New Roman" w:hAnsi="Times New Roman" w:cs="Times New Roman"/>
        </w:rPr>
        <w:t xml:space="preserve"> </w:t>
      </w:r>
      <w:r w:rsidR="005453DA" w:rsidRPr="005453DA">
        <w:rPr>
          <w:rFonts w:ascii="Times New Roman" w:hAnsi="Times New Roman" w:cs="Times New Roman"/>
        </w:rPr>
        <w:t xml:space="preserve">– much more than the 1% annual rises </w:t>
      </w:r>
      <w:r w:rsidR="00D21828">
        <w:rPr>
          <w:rFonts w:ascii="Times New Roman" w:hAnsi="Times New Roman" w:cs="Times New Roman"/>
        </w:rPr>
        <w:t>of the NHS post-</w:t>
      </w:r>
      <w:r w:rsidR="00627FB5">
        <w:rPr>
          <w:rFonts w:ascii="Times New Roman" w:hAnsi="Times New Roman" w:cs="Times New Roman"/>
        </w:rPr>
        <w:t>2010. This would see an</w:t>
      </w:r>
      <w:r w:rsidR="005453DA" w:rsidRPr="005453DA">
        <w:rPr>
          <w:rFonts w:ascii="Times New Roman" w:hAnsi="Times New Roman" w:cs="Times New Roman"/>
        </w:rPr>
        <w:t xml:space="preserve"> increase </w:t>
      </w:r>
      <w:r>
        <w:rPr>
          <w:rFonts w:ascii="Times New Roman" w:hAnsi="Times New Roman" w:cs="Times New Roman"/>
        </w:rPr>
        <w:t xml:space="preserve">in </w:t>
      </w:r>
      <w:r w:rsidR="005453DA" w:rsidRPr="005453DA">
        <w:rPr>
          <w:rFonts w:ascii="Times New Roman" w:hAnsi="Times New Roman" w:cs="Times New Roman"/>
        </w:rPr>
        <w:t xml:space="preserve">the proportion of GDP </w:t>
      </w:r>
      <w:r w:rsidR="00627FB5">
        <w:rPr>
          <w:rFonts w:ascii="Times New Roman" w:hAnsi="Times New Roman" w:cs="Times New Roman"/>
        </w:rPr>
        <w:t xml:space="preserve">spent on </w:t>
      </w:r>
      <w:r w:rsidR="005453DA" w:rsidRPr="005453DA">
        <w:rPr>
          <w:rFonts w:ascii="Times New Roman" w:hAnsi="Times New Roman" w:cs="Times New Roman"/>
        </w:rPr>
        <w:t>he</w:t>
      </w:r>
      <w:r w:rsidR="00D21828">
        <w:rPr>
          <w:rFonts w:ascii="Times New Roman" w:hAnsi="Times New Roman" w:cs="Times New Roman"/>
        </w:rPr>
        <w:t>alth from 6.9% expected in 2020/21 to 12.6% by 2066/</w:t>
      </w:r>
      <w:r w:rsidR="005453DA" w:rsidRPr="005453DA">
        <w:rPr>
          <w:rFonts w:ascii="Times New Roman" w:hAnsi="Times New Roman" w:cs="Times New Roman"/>
        </w:rPr>
        <w:t>67.</w:t>
      </w:r>
      <w:r w:rsidR="005453DA">
        <w:rPr>
          <w:rStyle w:val="EndnoteReference"/>
          <w:rFonts w:ascii="Times New Roman" w:hAnsi="Times New Roman" w:cs="Times New Roman"/>
        </w:rPr>
        <w:endnoteReference w:id="48"/>
      </w:r>
      <w:r>
        <w:rPr>
          <w:rFonts w:ascii="Times New Roman" w:hAnsi="Times New Roman" w:cs="Times New Roman"/>
        </w:rPr>
        <w:t xml:space="preserve">  </w:t>
      </w:r>
      <w:r w:rsidR="00627FB5">
        <w:rPr>
          <w:rFonts w:ascii="Times New Roman" w:hAnsi="Times New Roman" w:cs="Times New Roman"/>
        </w:rPr>
        <w:t>It is a moot point</w:t>
      </w:r>
      <w:r w:rsidR="00627FB5" w:rsidRPr="0001764C">
        <w:rPr>
          <w:rFonts w:ascii="Times New Roman" w:hAnsi="Times New Roman" w:cs="Times New Roman"/>
        </w:rPr>
        <w:t xml:space="preserve"> about whethe</w:t>
      </w:r>
      <w:r w:rsidR="00627FB5">
        <w:rPr>
          <w:rFonts w:ascii="Times New Roman" w:hAnsi="Times New Roman" w:cs="Times New Roman"/>
        </w:rPr>
        <w:t>r this will entail tax increase</w:t>
      </w:r>
      <w:r w:rsidR="00D21828">
        <w:rPr>
          <w:rFonts w:ascii="Times New Roman" w:hAnsi="Times New Roman" w:cs="Times New Roman"/>
        </w:rPr>
        <w:t>s</w:t>
      </w:r>
      <w:r w:rsidR="00627FB5">
        <w:rPr>
          <w:rFonts w:ascii="Times New Roman" w:hAnsi="Times New Roman" w:cs="Times New Roman"/>
        </w:rPr>
        <w:t xml:space="preserve"> and co-payments </w:t>
      </w:r>
      <w:r w:rsidR="00627FB5" w:rsidRPr="0001764C">
        <w:rPr>
          <w:rFonts w:ascii="Times New Roman" w:hAnsi="Times New Roman" w:cs="Times New Roman"/>
        </w:rPr>
        <w:t xml:space="preserve">to allow for more spending, </w:t>
      </w:r>
      <w:r w:rsidR="00627FB5">
        <w:rPr>
          <w:rFonts w:ascii="Times New Roman" w:hAnsi="Times New Roman" w:cs="Times New Roman"/>
        </w:rPr>
        <w:t xml:space="preserve">or whether </w:t>
      </w:r>
      <w:r w:rsidR="00627FB5" w:rsidRPr="0001764C">
        <w:rPr>
          <w:rFonts w:ascii="Times New Roman" w:hAnsi="Times New Roman" w:cs="Times New Roman"/>
        </w:rPr>
        <w:t>the NHS may no longer offer the same range and quality of services.</w:t>
      </w:r>
      <w:r w:rsidR="00627FB5">
        <w:rPr>
          <w:rFonts w:ascii="Times New Roman" w:hAnsi="Times New Roman" w:cs="Times New Roman"/>
        </w:rPr>
        <w:t xml:space="preserve">  </w:t>
      </w:r>
    </w:p>
    <w:p w:rsidR="00627FB5" w:rsidRDefault="00627FB5" w:rsidP="00A55F22">
      <w:pPr>
        <w:jc w:val="both"/>
        <w:rPr>
          <w:rFonts w:ascii="Times New Roman" w:hAnsi="Times New Roman" w:cs="Times New Roman"/>
        </w:rPr>
      </w:pPr>
    </w:p>
    <w:p w:rsidR="00F27C7A" w:rsidRPr="00B717B3" w:rsidRDefault="00F27C7A" w:rsidP="00A55F22">
      <w:pPr>
        <w:jc w:val="both"/>
        <w:rPr>
          <w:rFonts w:ascii="Times New Roman" w:hAnsi="Times New Roman" w:cs="Times New Roman"/>
          <w:b/>
          <w:i/>
        </w:rPr>
      </w:pPr>
      <w:r w:rsidRPr="00B717B3">
        <w:rPr>
          <w:rFonts w:ascii="Times New Roman" w:hAnsi="Times New Roman" w:cs="Times New Roman"/>
          <w:b/>
          <w:i/>
        </w:rPr>
        <w:t>Planning and partnerships</w:t>
      </w:r>
    </w:p>
    <w:p w:rsidR="00A55F22" w:rsidRDefault="00F27C7A" w:rsidP="00A55F22">
      <w:pPr>
        <w:jc w:val="both"/>
        <w:rPr>
          <w:rFonts w:ascii="Times New Roman" w:hAnsi="Times New Roman" w:cs="Times New Roman"/>
        </w:rPr>
      </w:pPr>
      <w:r w:rsidRPr="00F27C7A">
        <w:rPr>
          <w:rFonts w:ascii="Times New Roman" w:hAnsi="Times New Roman" w:cs="Times New Roman"/>
        </w:rPr>
        <w:t>The NHS and local councils have come together in 44 areas covering England to develop proposals and make improvements to health and care</w:t>
      </w:r>
      <w:r>
        <w:rPr>
          <w:rFonts w:ascii="Times New Roman" w:hAnsi="Times New Roman" w:cs="Times New Roman"/>
        </w:rPr>
        <w:t xml:space="preserve"> known as Sustainability and Transformation Plans (STPs)</w:t>
      </w:r>
      <w:r w:rsidR="00F9268A" w:rsidRPr="00F9268A">
        <w:t xml:space="preserve"> </w:t>
      </w:r>
      <w:r w:rsidR="00D21828">
        <w:rPr>
          <w:rFonts w:ascii="Times New Roman" w:hAnsi="Times New Roman" w:cs="Times New Roman"/>
        </w:rPr>
        <w:t>taking a 5-year forward</w:t>
      </w:r>
      <w:r w:rsidR="00F9268A">
        <w:rPr>
          <w:rFonts w:ascii="Times New Roman" w:hAnsi="Times New Roman" w:cs="Times New Roman"/>
        </w:rPr>
        <w:t xml:space="preserve"> view</w:t>
      </w:r>
      <w:r w:rsidR="00D21828">
        <w:rPr>
          <w:rFonts w:ascii="Times New Roman" w:hAnsi="Times New Roman" w:cs="Times New Roman"/>
        </w:rPr>
        <w:t xml:space="preserve">.  STPs </w:t>
      </w:r>
      <w:r>
        <w:rPr>
          <w:rFonts w:ascii="Times New Roman" w:hAnsi="Times New Roman" w:cs="Times New Roman"/>
        </w:rPr>
        <w:t>are</w:t>
      </w:r>
      <w:r w:rsidRPr="00F27C7A">
        <w:rPr>
          <w:rFonts w:ascii="Times New Roman" w:hAnsi="Times New Roman" w:cs="Times New Roman"/>
        </w:rPr>
        <w:t xml:space="preserve"> place-based </w:t>
      </w:r>
      <w:r>
        <w:rPr>
          <w:rFonts w:ascii="Times New Roman" w:hAnsi="Times New Roman" w:cs="Times New Roman"/>
        </w:rPr>
        <w:t>approaches</w:t>
      </w:r>
      <w:r w:rsidRPr="00F27C7A">
        <w:t xml:space="preserve"> </w:t>
      </w:r>
      <w:r>
        <w:rPr>
          <w:rFonts w:ascii="Times New Roman" w:hAnsi="Times New Roman" w:cs="Times New Roman"/>
        </w:rPr>
        <w:t xml:space="preserve">that </w:t>
      </w:r>
      <w:r w:rsidR="00BF0794">
        <w:rPr>
          <w:rFonts w:ascii="Times New Roman" w:hAnsi="Times New Roman" w:cs="Times New Roman"/>
        </w:rPr>
        <w:t xml:space="preserve">outline </w:t>
      </w:r>
      <w:r w:rsidRPr="00F27C7A">
        <w:rPr>
          <w:rFonts w:ascii="Times New Roman" w:hAnsi="Times New Roman" w:cs="Times New Roman"/>
        </w:rPr>
        <w:t>practical ways for the local NHS to improve services.</w:t>
      </w:r>
      <w:r>
        <w:rPr>
          <w:rFonts w:ascii="Times New Roman" w:hAnsi="Times New Roman" w:cs="Times New Roman"/>
        </w:rPr>
        <w:t xml:space="preserve">  </w:t>
      </w:r>
      <w:r w:rsidR="00BF0794">
        <w:rPr>
          <w:rFonts w:ascii="Times New Roman" w:hAnsi="Times New Roman" w:cs="Times New Roman"/>
        </w:rPr>
        <w:t>T</w:t>
      </w:r>
      <w:r w:rsidRPr="00F27C7A">
        <w:rPr>
          <w:rFonts w:ascii="Times New Roman" w:hAnsi="Times New Roman" w:cs="Times New Roman"/>
        </w:rPr>
        <w:t xml:space="preserve">he NHS must turn </w:t>
      </w:r>
      <w:r>
        <w:rPr>
          <w:rFonts w:ascii="Times New Roman" w:hAnsi="Times New Roman" w:cs="Times New Roman"/>
        </w:rPr>
        <w:t xml:space="preserve">these </w:t>
      </w:r>
      <w:r w:rsidRPr="00F27C7A">
        <w:rPr>
          <w:rFonts w:ascii="Times New Roman" w:hAnsi="Times New Roman" w:cs="Times New Roman"/>
        </w:rPr>
        <w:t xml:space="preserve">STPs into delivery partnerships focused on implementing the </w:t>
      </w:r>
      <w:r>
        <w:rPr>
          <w:rFonts w:ascii="Times New Roman" w:hAnsi="Times New Roman" w:cs="Times New Roman"/>
        </w:rPr>
        <w:t xml:space="preserve">specific </w:t>
      </w:r>
      <w:r w:rsidRPr="00F27C7A">
        <w:rPr>
          <w:rFonts w:ascii="Times New Roman" w:hAnsi="Times New Roman" w:cs="Times New Roman"/>
        </w:rPr>
        <w:t>proposals</w:t>
      </w:r>
      <w:r w:rsidR="00D21828">
        <w:rPr>
          <w:rFonts w:ascii="Times New Roman" w:hAnsi="Times New Roman" w:cs="Times New Roman"/>
        </w:rPr>
        <w:t xml:space="preserve"> with </w:t>
      </w:r>
      <w:r>
        <w:rPr>
          <w:rFonts w:ascii="Times New Roman" w:hAnsi="Times New Roman" w:cs="Times New Roman"/>
        </w:rPr>
        <w:t>a significant focus on how the</w:t>
      </w:r>
      <w:r w:rsidR="00BF0794">
        <w:rPr>
          <w:rFonts w:ascii="Times New Roman" w:hAnsi="Times New Roman" w:cs="Times New Roman"/>
        </w:rPr>
        <w:t xml:space="preserve"> local NHS can best respond to an </w:t>
      </w:r>
      <w:r>
        <w:rPr>
          <w:rFonts w:ascii="Times New Roman" w:hAnsi="Times New Roman" w:cs="Times New Roman"/>
        </w:rPr>
        <w:t>ageing population.</w:t>
      </w:r>
      <w:r>
        <w:rPr>
          <w:rStyle w:val="EndnoteReference"/>
          <w:rFonts w:ascii="Times New Roman" w:hAnsi="Times New Roman" w:cs="Times New Roman"/>
        </w:rPr>
        <w:endnoteReference w:id="49"/>
      </w:r>
    </w:p>
    <w:p w:rsidR="005453DA" w:rsidRDefault="005453DA" w:rsidP="00A55F22">
      <w:pPr>
        <w:jc w:val="both"/>
        <w:rPr>
          <w:rFonts w:ascii="Times New Roman" w:hAnsi="Times New Roman" w:cs="Times New Roman"/>
        </w:rPr>
      </w:pPr>
    </w:p>
    <w:p w:rsidR="00A55F22" w:rsidRPr="00A55F22" w:rsidRDefault="00A55F22" w:rsidP="00A55F22">
      <w:pPr>
        <w:jc w:val="both"/>
        <w:rPr>
          <w:rFonts w:ascii="Times New Roman" w:hAnsi="Times New Roman" w:cs="Times New Roman"/>
          <w:b/>
          <w:i/>
        </w:rPr>
      </w:pPr>
      <w:r w:rsidRPr="00A55F22">
        <w:rPr>
          <w:rFonts w:ascii="Times New Roman" w:hAnsi="Times New Roman" w:cs="Times New Roman"/>
          <w:b/>
          <w:i/>
        </w:rPr>
        <w:t>Social care services and wider ageing-friendly society</w:t>
      </w:r>
    </w:p>
    <w:p w:rsidR="00A55F22" w:rsidRDefault="00A55F22" w:rsidP="00B717B3">
      <w:pPr>
        <w:jc w:val="both"/>
        <w:rPr>
          <w:rFonts w:ascii="Times New Roman" w:hAnsi="Times New Roman" w:cs="Times New Roman"/>
        </w:rPr>
      </w:pPr>
      <w:r>
        <w:rPr>
          <w:rFonts w:ascii="Times New Roman" w:hAnsi="Times New Roman" w:cs="Times New Roman"/>
        </w:rPr>
        <w:t>Solutions are not confined to healthcare: s</w:t>
      </w:r>
      <w:r w:rsidRPr="00BF5323">
        <w:rPr>
          <w:rFonts w:ascii="Times New Roman" w:hAnsi="Times New Roman" w:cs="Times New Roman"/>
        </w:rPr>
        <w:t>upporting family a</w:t>
      </w:r>
      <w:r w:rsidR="00F9268A">
        <w:rPr>
          <w:rFonts w:ascii="Times New Roman" w:hAnsi="Times New Roman" w:cs="Times New Roman"/>
        </w:rPr>
        <w:t>nd unpaid carers is pivotal.  I</w:t>
      </w:r>
      <w:r w:rsidR="00B4329B">
        <w:rPr>
          <w:rFonts w:ascii="Times New Roman" w:hAnsi="Times New Roman" w:cs="Times New Roman"/>
        </w:rPr>
        <w:t xml:space="preserve">n </w:t>
      </w:r>
      <w:r w:rsidR="00B4329B" w:rsidRPr="00B4329B">
        <w:rPr>
          <w:rFonts w:ascii="Times New Roman" w:hAnsi="Times New Roman" w:cs="Times New Roman"/>
        </w:rPr>
        <w:t xml:space="preserve">2014, </w:t>
      </w:r>
      <w:r w:rsidR="00B4329B">
        <w:rPr>
          <w:rFonts w:ascii="Times New Roman" w:hAnsi="Times New Roman" w:cs="Times New Roman"/>
        </w:rPr>
        <w:t xml:space="preserve">the NHS </w:t>
      </w:r>
      <w:r w:rsidR="00B4329B" w:rsidRPr="00B4329B">
        <w:rPr>
          <w:rFonts w:ascii="Times New Roman" w:hAnsi="Times New Roman" w:cs="Times New Roman"/>
        </w:rPr>
        <w:t>published</w:t>
      </w:r>
      <w:r w:rsidR="00B4329B">
        <w:rPr>
          <w:rFonts w:ascii="Times New Roman" w:hAnsi="Times New Roman" w:cs="Times New Roman"/>
        </w:rPr>
        <w:t xml:space="preserve"> its</w:t>
      </w:r>
      <w:r w:rsidR="00F9268A">
        <w:rPr>
          <w:rFonts w:ascii="Times New Roman" w:hAnsi="Times New Roman" w:cs="Times New Roman"/>
        </w:rPr>
        <w:t xml:space="preserve"> </w:t>
      </w:r>
      <w:r w:rsidR="00F9268A" w:rsidRPr="00F9268A">
        <w:rPr>
          <w:rFonts w:ascii="Times New Roman" w:hAnsi="Times New Roman" w:cs="Times New Roman"/>
          <w:i/>
        </w:rPr>
        <w:t>Commitment to C</w:t>
      </w:r>
      <w:r w:rsidR="00B4329B" w:rsidRPr="00F9268A">
        <w:rPr>
          <w:rFonts w:ascii="Times New Roman" w:hAnsi="Times New Roman" w:cs="Times New Roman"/>
          <w:i/>
        </w:rPr>
        <w:t>arers</w:t>
      </w:r>
      <w:r w:rsidR="00B4329B" w:rsidRPr="00B4329B">
        <w:rPr>
          <w:rFonts w:ascii="Times New Roman" w:hAnsi="Times New Roman" w:cs="Times New Roman"/>
        </w:rPr>
        <w:t xml:space="preserve"> to give them the recognition and support they need to provide care for</w:t>
      </w:r>
      <w:r w:rsidR="00B4329B">
        <w:rPr>
          <w:rFonts w:ascii="Times New Roman" w:hAnsi="Times New Roman" w:cs="Times New Roman"/>
        </w:rPr>
        <w:t xml:space="preserve"> their family and friends</w:t>
      </w:r>
      <w:r w:rsidR="00B4329B" w:rsidRPr="00B4329B">
        <w:rPr>
          <w:rFonts w:ascii="Times New Roman" w:hAnsi="Times New Roman" w:cs="Times New Roman"/>
        </w:rPr>
        <w:t>.</w:t>
      </w:r>
      <w:r w:rsidR="00B4329B">
        <w:rPr>
          <w:rStyle w:val="EndnoteReference"/>
          <w:rFonts w:ascii="Times New Roman" w:hAnsi="Times New Roman" w:cs="Times New Roman"/>
        </w:rPr>
        <w:endnoteReference w:id="50"/>
      </w:r>
      <w:r w:rsidR="00B4329B">
        <w:rPr>
          <w:rFonts w:ascii="Times New Roman" w:hAnsi="Times New Roman" w:cs="Times New Roman"/>
        </w:rPr>
        <w:t xml:space="preserve">  I</w:t>
      </w:r>
      <w:r>
        <w:rPr>
          <w:rFonts w:ascii="Times New Roman" w:hAnsi="Times New Roman" w:cs="Times New Roman"/>
        </w:rPr>
        <w:t xml:space="preserve">nvesting in </w:t>
      </w:r>
      <w:r w:rsidRPr="0001764C">
        <w:rPr>
          <w:rFonts w:ascii="Times New Roman" w:hAnsi="Times New Roman" w:cs="Times New Roman"/>
        </w:rPr>
        <w:t>social care</w:t>
      </w:r>
      <w:r>
        <w:rPr>
          <w:rFonts w:ascii="Times New Roman" w:hAnsi="Times New Roman" w:cs="Times New Roman"/>
        </w:rPr>
        <w:t xml:space="preserve"> services, and </w:t>
      </w:r>
      <w:r w:rsidRPr="0001764C">
        <w:rPr>
          <w:rFonts w:ascii="Times New Roman" w:hAnsi="Times New Roman" w:cs="Times New Roman"/>
        </w:rPr>
        <w:t xml:space="preserve">joining up </w:t>
      </w:r>
      <w:r>
        <w:rPr>
          <w:rFonts w:ascii="Times New Roman" w:hAnsi="Times New Roman" w:cs="Times New Roman"/>
        </w:rPr>
        <w:t>policy responses – including transport, h</w:t>
      </w:r>
      <w:r w:rsidRPr="0001764C">
        <w:rPr>
          <w:rFonts w:ascii="Times New Roman" w:hAnsi="Times New Roman" w:cs="Times New Roman"/>
        </w:rPr>
        <w:t>ousing</w:t>
      </w:r>
      <w:r>
        <w:rPr>
          <w:rFonts w:ascii="Times New Roman" w:hAnsi="Times New Roman" w:cs="Times New Roman"/>
        </w:rPr>
        <w:t xml:space="preserve"> and work environments – all </w:t>
      </w:r>
      <w:r>
        <w:rPr>
          <w:rFonts w:ascii="Times New Roman" w:hAnsi="Times New Roman" w:cs="Times New Roman"/>
        </w:rPr>
        <w:lastRenderedPageBreak/>
        <w:t>contribute to addressing the challenges that</w:t>
      </w:r>
      <w:r w:rsidR="00B4329B">
        <w:rPr>
          <w:rFonts w:ascii="Times New Roman" w:hAnsi="Times New Roman" w:cs="Times New Roman"/>
        </w:rPr>
        <w:t xml:space="preserve"> exist now and into the future.  </w:t>
      </w:r>
      <w:r w:rsidR="00B717B3">
        <w:rPr>
          <w:rFonts w:ascii="Times New Roman" w:hAnsi="Times New Roman" w:cs="Times New Roman"/>
        </w:rPr>
        <w:t xml:space="preserve">Health Foundation </w:t>
      </w:r>
      <w:r w:rsidR="00D21828">
        <w:rPr>
          <w:rFonts w:ascii="Times New Roman" w:hAnsi="Times New Roman" w:cs="Times New Roman"/>
        </w:rPr>
        <w:t xml:space="preserve">analysis </w:t>
      </w:r>
      <w:r w:rsidR="00B717B3" w:rsidRPr="00B717B3">
        <w:rPr>
          <w:rFonts w:ascii="Times New Roman" w:hAnsi="Times New Roman" w:cs="Times New Roman"/>
        </w:rPr>
        <w:t>suggests that the funding gap for adu</w:t>
      </w:r>
      <w:r w:rsidR="00B717B3">
        <w:rPr>
          <w:rFonts w:ascii="Times New Roman" w:hAnsi="Times New Roman" w:cs="Times New Roman"/>
        </w:rPr>
        <w:t xml:space="preserve">lt social care is at least £2bn </w:t>
      </w:r>
      <w:r w:rsidR="00B717B3" w:rsidRPr="00B717B3">
        <w:rPr>
          <w:rFonts w:ascii="Times New Roman" w:hAnsi="Times New Roman" w:cs="Times New Roman"/>
        </w:rPr>
        <w:t>in 2017/18.</w:t>
      </w:r>
      <w:r w:rsidR="00B717B3">
        <w:rPr>
          <w:rStyle w:val="EndnoteReference"/>
          <w:rFonts w:ascii="Times New Roman" w:hAnsi="Times New Roman" w:cs="Times New Roman"/>
        </w:rPr>
        <w:endnoteReference w:id="51"/>
      </w:r>
      <w:r w:rsidR="00B717B3" w:rsidRPr="00B717B3">
        <w:rPr>
          <w:rFonts w:ascii="Times New Roman" w:hAnsi="Times New Roman" w:cs="Times New Roman"/>
        </w:rPr>
        <w:t xml:space="preserve"> </w:t>
      </w:r>
      <w:r w:rsidR="00B717B3">
        <w:rPr>
          <w:rFonts w:ascii="Times New Roman" w:hAnsi="Times New Roman" w:cs="Times New Roman"/>
        </w:rPr>
        <w:t>This will require a social care settlement</w:t>
      </w:r>
      <w:r w:rsidR="00B4329B">
        <w:rPr>
          <w:rFonts w:ascii="Times New Roman" w:hAnsi="Times New Roman" w:cs="Times New Roman"/>
        </w:rPr>
        <w:t xml:space="preserve"> that is </w:t>
      </w:r>
      <w:r w:rsidR="00F9268A">
        <w:rPr>
          <w:rFonts w:ascii="Times New Roman" w:hAnsi="Times New Roman" w:cs="Times New Roman"/>
        </w:rPr>
        <w:t xml:space="preserve">accepted </w:t>
      </w:r>
      <w:r w:rsidR="00B4329B">
        <w:rPr>
          <w:rFonts w:ascii="Times New Roman" w:hAnsi="Times New Roman" w:cs="Times New Roman"/>
        </w:rPr>
        <w:t xml:space="preserve">as equitable and enduring – something that </w:t>
      </w:r>
      <w:r w:rsidR="00F9268A">
        <w:rPr>
          <w:rFonts w:ascii="Times New Roman" w:hAnsi="Times New Roman" w:cs="Times New Roman"/>
        </w:rPr>
        <w:t xml:space="preserve">currently </w:t>
      </w:r>
      <w:r w:rsidR="00B4329B">
        <w:rPr>
          <w:rFonts w:ascii="Times New Roman" w:hAnsi="Times New Roman" w:cs="Times New Roman"/>
        </w:rPr>
        <w:t>looks far from achi</w:t>
      </w:r>
      <w:r w:rsidR="00D21828">
        <w:rPr>
          <w:rFonts w:ascii="Times New Roman" w:hAnsi="Times New Roman" w:cs="Times New Roman"/>
        </w:rPr>
        <w:t>evable given the political differences</w:t>
      </w:r>
      <w:r w:rsidR="00F9268A">
        <w:rPr>
          <w:rFonts w:ascii="Times New Roman" w:hAnsi="Times New Roman" w:cs="Times New Roman"/>
        </w:rPr>
        <w:t xml:space="preserve">.  </w:t>
      </w:r>
      <w:r w:rsidR="00D21828">
        <w:rPr>
          <w:rFonts w:ascii="Times New Roman" w:hAnsi="Times New Roman" w:cs="Times New Roman"/>
        </w:rPr>
        <w:t>Within the STPs</w:t>
      </w:r>
      <w:r w:rsidR="00EA00BE">
        <w:rPr>
          <w:rFonts w:ascii="Times New Roman" w:hAnsi="Times New Roman" w:cs="Times New Roman"/>
        </w:rPr>
        <w:t xml:space="preserve"> there is the expectation that local areas will show ‘significant and measureable </w:t>
      </w:r>
      <w:proofErr w:type="gramStart"/>
      <w:r w:rsidR="00EA00BE">
        <w:rPr>
          <w:rFonts w:ascii="Times New Roman" w:hAnsi="Times New Roman" w:cs="Times New Roman"/>
        </w:rPr>
        <w:t>progress’</w:t>
      </w:r>
      <w:proofErr w:type="gramEnd"/>
      <w:r w:rsidR="00EA00BE">
        <w:rPr>
          <w:rFonts w:ascii="Times New Roman" w:hAnsi="Times New Roman" w:cs="Times New Roman"/>
        </w:rPr>
        <w:t xml:space="preserve"> in health and social care service integration. </w:t>
      </w:r>
    </w:p>
    <w:p w:rsidR="00EA00BE" w:rsidRDefault="00EA00BE" w:rsidP="00BB6CB1">
      <w:pPr>
        <w:jc w:val="both"/>
        <w:rPr>
          <w:rFonts w:ascii="Times New Roman" w:hAnsi="Times New Roman" w:cs="Times New Roman"/>
        </w:rPr>
      </w:pPr>
    </w:p>
    <w:p w:rsidR="00A55F22" w:rsidRPr="00A55F22" w:rsidRDefault="00A55F22" w:rsidP="00A55F22">
      <w:pPr>
        <w:jc w:val="both"/>
        <w:rPr>
          <w:rFonts w:ascii="Times New Roman" w:hAnsi="Times New Roman" w:cs="Times New Roman"/>
          <w:b/>
          <w:i/>
        </w:rPr>
      </w:pPr>
      <w:r w:rsidRPr="00A55F22">
        <w:rPr>
          <w:rFonts w:ascii="Times New Roman" w:hAnsi="Times New Roman" w:cs="Times New Roman"/>
          <w:b/>
          <w:i/>
        </w:rPr>
        <w:t>National priorities</w:t>
      </w:r>
      <w:r w:rsidR="00B717B3">
        <w:rPr>
          <w:rFonts w:ascii="Times New Roman" w:hAnsi="Times New Roman" w:cs="Times New Roman"/>
          <w:b/>
          <w:i/>
        </w:rPr>
        <w:t xml:space="preserve"> around disease and long term conditions</w:t>
      </w:r>
    </w:p>
    <w:p w:rsidR="00A55F22" w:rsidRPr="00F30F0E" w:rsidRDefault="00F9268A" w:rsidP="00A55F22">
      <w:pPr>
        <w:jc w:val="both"/>
        <w:rPr>
          <w:rFonts w:ascii="Times New Roman" w:hAnsi="Times New Roman" w:cs="Times New Roman"/>
        </w:rPr>
      </w:pPr>
      <w:r>
        <w:rPr>
          <w:rFonts w:ascii="Times New Roman" w:hAnsi="Times New Roman" w:cs="Times New Roman"/>
        </w:rPr>
        <w:t xml:space="preserve">The Government will continue to identify priority diseases and conditions and develop overarching strategies to ensure they are tackled.  </w:t>
      </w:r>
      <w:r w:rsidR="00A55F22" w:rsidRPr="00F30F0E">
        <w:rPr>
          <w:rFonts w:ascii="Times New Roman" w:hAnsi="Times New Roman" w:cs="Times New Roman"/>
        </w:rPr>
        <w:t>The Government’s first National Dementia Strategy</w:t>
      </w:r>
      <w:r w:rsidR="00A55F22">
        <w:rPr>
          <w:rFonts w:ascii="Times New Roman" w:hAnsi="Times New Roman" w:cs="Times New Roman"/>
        </w:rPr>
        <w:t xml:space="preserve"> </w:t>
      </w:r>
      <w:r w:rsidR="00A55F22" w:rsidRPr="00F30F0E">
        <w:rPr>
          <w:rFonts w:ascii="Times New Roman" w:hAnsi="Times New Roman" w:cs="Times New Roman"/>
        </w:rPr>
        <w:t>was published in 2009</w:t>
      </w:r>
      <w:r w:rsidR="00A55F22">
        <w:rPr>
          <w:rFonts w:ascii="Times New Roman" w:hAnsi="Times New Roman" w:cs="Times New Roman"/>
        </w:rPr>
        <w:t xml:space="preserve"> and t</w:t>
      </w:r>
      <w:r w:rsidR="00A55F22" w:rsidRPr="00F30F0E">
        <w:rPr>
          <w:rFonts w:ascii="Times New Roman" w:hAnsi="Times New Roman" w:cs="Times New Roman"/>
        </w:rPr>
        <w:t>he Prime</w:t>
      </w:r>
      <w:r w:rsidR="00A55F22">
        <w:rPr>
          <w:rFonts w:ascii="Times New Roman" w:hAnsi="Times New Roman" w:cs="Times New Roman"/>
        </w:rPr>
        <w:t xml:space="preserve"> Minister Launched </w:t>
      </w:r>
      <w:r w:rsidR="00A55F22" w:rsidRPr="002D1412">
        <w:rPr>
          <w:rFonts w:ascii="Times New Roman" w:hAnsi="Times New Roman" w:cs="Times New Roman"/>
          <w:i/>
        </w:rPr>
        <w:t>Dementia 2012: A national challenge</w:t>
      </w:r>
      <w:r w:rsidR="00A55F22">
        <w:rPr>
          <w:rFonts w:ascii="Times New Roman" w:hAnsi="Times New Roman" w:cs="Times New Roman"/>
        </w:rPr>
        <w:t xml:space="preserve"> and the </w:t>
      </w:r>
      <w:r w:rsidR="00A55F22" w:rsidRPr="002D1412">
        <w:rPr>
          <w:rFonts w:ascii="Times New Roman" w:hAnsi="Times New Roman" w:cs="Times New Roman"/>
          <w:i/>
        </w:rPr>
        <w:t>Prime Minister’s Challenge on Dementia 2020</w:t>
      </w:r>
      <w:r w:rsidR="00A55F22">
        <w:rPr>
          <w:rFonts w:ascii="Times New Roman" w:hAnsi="Times New Roman" w:cs="Times New Roman"/>
        </w:rPr>
        <w:t>.</w:t>
      </w:r>
      <w:r w:rsidR="00A55F22">
        <w:rPr>
          <w:rStyle w:val="EndnoteReference"/>
          <w:rFonts w:ascii="Times New Roman" w:hAnsi="Times New Roman" w:cs="Times New Roman"/>
        </w:rPr>
        <w:endnoteReference w:id="52"/>
      </w:r>
      <w:r w:rsidR="00A55F22">
        <w:rPr>
          <w:rFonts w:ascii="Times New Roman" w:hAnsi="Times New Roman" w:cs="Times New Roman"/>
        </w:rPr>
        <w:t xml:space="preserve"> Key routes to better dementia services include better </w:t>
      </w:r>
      <w:r w:rsidR="00A55F22" w:rsidRPr="00F30F0E">
        <w:rPr>
          <w:rFonts w:ascii="Times New Roman" w:hAnsi="Times New Roman" w:cs="Times New Roman"/>
        </w:rPr>
        <w:t xml:space="preserve">public awareness and understanding of </w:t>
      </w:r>
      <w:r w:rsidR="00A55F22">
        <w:rPr>
          <w:rFonts w:ascii="Times New Roman" w:hAnsi="Times New Roman" w:cs="Times New Roman"/>
        </w:rPr>
        <w:t xml:space="preserve">risk </w:t>
      </w:r>
      <w:r w:rsidR="00A55F22" w:rsidRPr="00F30F0E">
        <w:rPr>
          <w:rFonts w:ascii="Times New Roman" w:hAnsi="Times New Roman" w:cs="Times New Roman"/>
        </w:rPr>
        <w:t xml:space="preserve">factors of developing dementia; </w:t>
      </w:r>
      <w:r w:rsidR="00A55F22">
        <w:rPr>
          <w:rFonts w:ascii="Times New Roman" w:hAnsi="Times New Roman" w:cs="Times New Roman"/>
        </w:rPr>
        <w:t xml:space="preserve">quicker </w:t>
      </w:r>
      <w:r w:rsidR="00A55F22" w:rsidRPr="00F30F0E">
        <w:rPr>
          <w:rFonts w:ascii="Times New Roman" w:hAnsi="Times New Roman" w:cs="Times New Roman"/>
        </w:rPr>
        <w:t>access to dementia diagnosis</w:t>
      </w:r>
      <w:r w:rsidR="00A55F22">
        <w:rPr>
          <w:rFonts w:ascii="Times New Roman" w:hAnsi="Times New Roman" w:cs="Times New Roman"/>
        </w:rPr>
        <w:t xml:space="preserve">; better standards of care; </w:t>
      </w:r>
      <w:r w:rsidR="00A55F22" w:rsidRPr="00F30F0E">
        <w:rPr>
          <w:rFonts w:ascii="Times New Roman" w:hAnsi="Times New Roman" w:cs="Times New Roman"/>
        </w:rPr>
        <w:t xml:space="preserve">NHS staff </w:t>
      </w:r>
      <w:r w:rsidR="00A55F22">
        <w:rPr>
          <w:rFonts w:ascii="Times New Roman" w:hAnsi="Times New Roman" w:cs="Times New Roman"/>
        </w:rPr>
        <w:t xml:space="preserve">receiving </w:t>
      </w:r>
      <w:r w:rsidR="00A55F22" w:rsidRPr="00F30F0E">
        <w:rPr>
          <w:rFonts w:ascii="Times New Roman" w:hAnsi="Times New Roman" w:cs="Times New Roman"/>
        </w:rPr>
        <w:t>training o</w:t>
      </w:r>
      <w:r w:rsidR="00A55F22">
        <w:rPr>
          <w:rFonts w:ascii="Times New Roman" w:hAnsi="Times New Roman" w:cs="Times New Roman"/>
        </w:rPr>
        <w:t>n dementia appropriate to their role; and all</w:t>
      </w:r>
      <w:r w:rsidR="00A55F22" w:rsidRPr="00F30F0E">
        <w:rPr>
          <w:rFonts w:ascii="Times New Roman" w:hAnsi="Times New Roman" w:cs="Times New Roman"/>
        </w:rPr>
        <w:t xml:space="preserve"> hospitals and care homes to </w:t>
      </w:r>
      <w:r w:rsidR="00A55F22">
        <w:rPr>
          <w:rFonts w:ascii="Times New Roman" w:hAnsi="Times New Roman" w:cs="Times New Roman"/>
        </w:rPr>
        <w:t>become dementia friendly health and care settings.</w:t>
      </w:r>
    </w:p>
    <w:p w:rsidR="00A55F22" w:rsidRDefault="00A55F22" w:rsidP="00BB6CB1">
      <w:pPr>
        <w:jc w:val="both"/>
        <w:rPr>
          <w:rFonts w:ascii="Times New Roman" w:hAnsi="Times New Roman" w:cs="Times New Roman"/>
        </w:rPr>
      </w:pPr>
    </w:p>
    <w:p w:rsidR="00C614A9" w:rsidRDefault="00C614A9" w:rsidP="00C614A9">
      <w:pPr>
        <w:jc w:val="both"/>
        <w:rPr>
          <w:rFonts w:ascii="Times New Roman" w:hAnsi="Times New Roman" w:cs="Times New Roman"/>
          <w:b/>
          <w:i/>
        </w:rPr>
      </w:pPr>
      <w:r w:rsidRPr="00EA00BE">
        <w:rPr>
          <w:rFonts w:ascii="Times New Roman" w:hAnsi="Times New Roman" w:cs="Times New Roman"/>
          <w:b/>
          <w:i/>
        </w:rPr>
        <w:t>Training</w:t>
      </w:r>
    </w:p>
    <w:p w:rsidR="00C614A9" w:rsidRPr="005C219A" w:rsidRDefault="00C614A9" w:rsidP="00C614A9">
      <w:pPr>
        <w:jc w:val="both"/>
        <w:rPr>
          <w:rFonts w:ascii="Times New Roman" w:hAnsi="Times New Roman" w:cs="Times New Roman"/>
        </w:rPr>
      </w:pPr>
      <w:r>
        <w:rPr>
          <w:rFonts w:ascii="Times New Roman" w:hAnsi="Times New Roman" w:cs="Times New Roman"/>
        </w:rPr>
        <w:t xml:space="preserve">In 2014 the Government made a commitment to </w:t>
      </w:r>
      <w:r w:rsidRPr="00486E8F">
        <w:rPr>
          <w:rFonts w:ascii="Times New Roman" w:hAnsi="Times New Roman" w:cs="Times New Roman"/>
        </w:rPr>
        <w:t>train and retain an extra 5,000 GPs</w:t>
      </w:r>
      <w:r>
        <w:rPr>
          <w:rFonts w:ascii="Times New Roman" w:hAnsi="Times New Roman" w:cs="Times New Roman"/>
        </w:rPr>
        <w:t>, including 10-point plan</w:t>
      </w:r>
      <w:r w:rsidRPr="00CC53C3">
        <w:rPr>
          <w:rFonts w:ascii="Times New Roman" w:hAnsi="Times New Roman" w:cs="Times New Roman"/>
        </w:rPr>
        <w:t xml:space="preserve"> </w:t>
      </w:r>
      <w:r>
        <w:rPr>
          <w:rFonts w:ascii="Times New Roman" w:hAnsi="Times New Roman" w:cs="Times New Roman"/>
        </w:rPr>
        <w:t>(working closely with the British Medical Association</w:t>
      </w:r>
      <w:r w:rsidRPr="00CC53C3">
        <w:rPr>
          <w:rFonts w:ascii="Times New Roman" w:hAnsi="Times New Roman" w:cs="Times New Roman"/>
        </w:rPr>
        <w:t xml:space="preserve"> and R</w:t>
      </w:r>
      <w:r>
        <w:rPr>
          <w:rFonts w:ascii="Times New Roman" w:hAnsi="Times New Roman" w:cs="Times New Roman"/>
        </w:rPr>
        <w:t>oyal College of General Practitioners)</w:t>
      </w:r>
      <w:r w:rsidRPr="00CC53C3">
        <w:rPr>
          <w:rFonts w:ascii="Times New Roman" w:hAnsi="Times New Roman" w:cs="Times New Roman"/>
        </w:rPr>
        <w:t xml:space="preserve"> on how </w:t>
      </w:r>
      <w:r w:rsidR="00D21828">
        <w:rPr>
          <w:rFonts w:ascii="Times New Roman" w:hAnsi="Times New Roman" w:cs="Times New Roman"/>
        </w:rPr>
        <w:t xml:space="preserve">to </w:t>
      </w:r>
      <w:r w:rsidRPr="00CC53C3">
        <w:rPr>
          <w:rFonts w:ascii="Times New Roman" w:hAnsi="Times New Roman" w:cs="Times New Roman"/>
        </w:rPr>
        <w:t>achieve this.</w:t>
      </w:r>
      <w:r w:rsidRPr="00CC53C3">
        <w:t xml:space="preserve"> </w:t>
      </w:r>
      <w:r>
        <w:rPr>
          <w:rFonts w:ascii="Times New Roman" w:hAnsi="Times New Roman" w:cs="Times New Roman"/>
        </w:rPr>
        <w:t>‘G</w:t>
      </w:r>
      <w:r w:rsidRPr="00CC53C3">
        <w:rPr>
          <w:rFonts w:ascii="Times New Roman" w:hAnsi="Times New Roman" w:cs="Times New Roman"/>
        </w:rPr>
        <w:t xml:space="preserve">olden hellos’ for trainees </w:t>
      </w:r>
      <w:r>
        <w:rPr>
          <w:rFonts w:ascii="Times New Roman" w:hAnsi="Times New Roman" w:cs="Times New Roman"/>
        </w:rPr>
        <w:t xml:space="preserve">who are willing </w:t>
      </w:r>
      <w:r w:rsidRPr="00CC53C3">
        <w:rPr>
          <w:rFonts w:ascii="Times New Roman" w:hAnsi="Times New Roman" w:cs="Times New Roman"/>
        </w:rPr>
        <w:t>to work in areas with poor recruitment</w:t>
      </w:r>
      <w:r>
        <w:rPr>
          <w:rFonts w:ascii="Times New Roman" w:hAnsi="Times New Roman" w:cs="Times New Roman"/>
        </w:rPr>
        <w:t xml:space="preserve"> have been introduced, and there is a review of culture within medical schools to ensure</w:t>
      </w:r>
      <w:r w:rsidRPr="00CC53C3">
        <w:t xml:space="preserve"> </w:t>
      </w:r>
      <w:r w:rsidRPr="00CC53C3">
        <w:rPr>
          <w:rFonts w:ascii="Times New Roman" w:hAnsi="Times New Roman" w:cs="Times New Roman"/>
        </w:rPr>
        <w:t>prospective new GPs are not being put off</w:t>
      </w:r>
      <w:r>
        <w:rPr>
          <w:rFonts w:ascii="Times New Roman" w:hAnsi="Times New Roman" w:cs="Times New Roman"/>
        </w:rPr>
        <w:t>.  A</w:t>
      </w:r>
      <w:r w:rsidRPr="00486E8F">
        <w:rPr>
          <w:rFonts w:ascii="Times New Roman" w:hAnsi="Times New Roman" w:cs="Times New Roman"/>
        </w:rPr>
        <w:t xml:space="preserve">nalysis of workforce data </w:t>
      </w:r>
      <w:r>
        <w:rPr>
          <w:rFonts w:ascii="Times New Roman" w:hAnsi="Times New Roman" w:cs="Times New Roman"/>
        </w:rPr>
        <w:t xml:space="preserve">however suggests that without significant improvement </w:t>
      </w:r>
      <w:r w:rsidRPr="00486E8F">
        <w:rPr>
          <w:rFonts w:ascii="Times New Roman" w:hAnsi="Times New Roman" w:cs="Times New Roman"/>
        </w:rPr>
        <w:t>just 2,100 new GPs will be delivered by 2020.</w:t>
      </w:r>
      <w:r w:rsidRPr="00486E8F">
        <w:t xml:space="preserve"> </w:t>
      </w:r>
    </w:p>
    <w:p w:rsidR="00C614A9" w:rsidRDefault="00C614A9" w:rsidP="00A55F22">
      <w:pPr>
        <w:jc w:val="both"/>
        <w:rPr>
          <w:rFonts w:ascii="Times New Roman" w:hAnsi="Times New Roman" w:cs="Times New Roman"/>
        </w:rPr>
      </w:pPr>
    </w:p>
    <w:p w:rsidR="00A55F22" w:rsidRPr="00A55F22" w:rsidRDefault="00EA00BE" w:rsidP="00A55F22">
      <w:pPr>
        <w:jc w:val="both"/>
        <w:rPr>
          <w:rFonts w:ascii="Times New Roman" w:hAnsi="Times New Roman" w:cs="Times New Roman"/>
          <w:b/>
          <w:i/>
        </w:rPr>
      </w:pPr>
      <w:r>
        <w:rPr>
          <w:rFonts w:ascii="Times New Roman" w:hAnsi="Times New Roman" w:cs="Times New Roman"/>
          <w:b/>
          <w:i/>
        </w:rPr>
        <w:t>Care at h</w:t>
      </w:r>
      <w:r w:rsidR="009B4BEC">
        <w:rPr>
          <w:rFonts w:ascii="Times New Roman" w:hAnsi="Times New Roman" w:cs="Times New Roman"/>
          <w:b/>
          <w:i/>
        </w:rPr>
        <w:t>ome</w:t>
      </w:r>
      <w:r>
        <w:rPr>
          <w:rFonts w:ascii="Times New Roman" w:hAnsi="Times New Roman" w:cs="Times New Roman"/>
          <w:b/>
          <w:i/>
        </w:rPr>
        <w:t xml:space="preserve"> and new models of care</w:t>
      </w:r>
    </w:p>
    <w:p w:rsidR="00C614A9" w:rsidRDefault="00A55F22" w:rsidP="00BB6CB1">
      <w:pPr>
        <w:jc w:val="both"/>
        <w:rPr>
          <w:rFonts w:ascii="Times New Roman" w:hAnsi="Times New Roman" w:cs="Times New Roman"/>
          <w:lang w:val="en"/>
        </w:rPr>
      </w:pPr>
      <w:r w:rsidRPr="00A2331E">
        <w:rPr>
          <w:rFonts w:ascii="Times New Roman" w:hAnsi="Times New Roman" w:cs="Times New Roman"/>
          <w:lang w:val="en"/>
        </w:rPr>
        <w:t>Intermediate care and re-ablement se</w:t>
      </w:r>
      <w:r>
        <w:rPr>
          <w:rFonts w:ascii="Times New Roman" w:hAnsi="Times New Roman" w:cs="Times New Roman"/>
          <w:lang w:val="en"/>
        </w:rPr>
        <w:t>rvices are a key part of Govern</w:t>
      </w:r>
      <w:r w:rsidR="00D21828">
        <w:rPr>
          <w:rFonts w:ascii="Times New Roman" w:hAnsi="Times New Roman" w:cs="Times New Roman"/>
          <w:lang w:val="en"/>
        </w:rPr>
        <w:t xml:space="preserve">ment </w:t>
      </w:r>
      <w:r w:rsidRPr="00A2331E">
        <w:rPr>
          <w:rFonts w:ascii="Times New Roman" w:hAnsi="Times New Roman" w:cs="Times New Roman"/>
          <w:lang w:val="en"/>
        </w:rPr>
        <w:t>attempt to provide health and care withi</w:t>
      </w:r>
      <w:r>
        <w:rPr>
          <w:rFonts w:ascii="Times New Roman" w:hAnsi="Times New Roman" w:cs="Times New Roman"/>
          <w:lang w:val="en"/>
        </w:rPr>
        <w:t>n community settings.  The £5.4</w:t>
      </w:r>
      <w:r w:rsidRPr="00A2331E">
        <w:rPr>
          <w:rFonts w:ascii="Times New Roman" w:hAnsi="Times New Roman" w:cs="Times New Roman"/>
          <w:lang w:val="en"/>
        </w:rPr>
        <w:t>b</w:t>
      </w:r>
      <w:r>
        <w:rPr>
          <w:rFonts w:ascii="Times New Roman" w:hAnsi="Times New Roman" w:cs="Times New Roman"/>
          <w:lang w:val="en"/>
        </w:rPr>
        <w:t>n</w:t>
      </w:r>
      <w:r w:rsidRPr="00A2331E">
        <w:rPr>
          <w:rFonts w:ascii="Times New Roman" w:hAnsi="Times New Roman" w:cs="Times New Roman"/>
          <w:lang w:val="en"/>
        </w:rPr>
        <w:t xml:space="preserve"> </w:t>
      </w:r>
      <w:r w:rsidR="00D21828">
        <w:rPr>
          <w:rFonts w:ascii="Times New Roman" w:hAnsi="Times New Roman" w:cs="Times New Roman"/>
          <w:i/>
          <w:lang w:val="en"/>
        </w:rPr>
        <w:t>Better Care Fund</w:t>
      </w:r>
      <w:r w:rsidRPr="00A2331E">
        <w:rPr>
          <w:rFonts w:ascii="Times New Roman" w:hAnsi="Times New Roman" w:cs="Times New Roman"/>
          <w:lang w:val="en"/>
        </w:rPr>
        <w:t xml:space="preserve"> seeks to support integrated pl</w:t>
      </w:r>
      <w:r>
        <w:rPr>
          <w:rFonts w:ascii="Times New Roman" w:hAnsi="Times New Roman" w:cs="Times New Roman"/>
          <w:lang w:val="en"/>
        </w:rPr>
        <w:t>anning, commissioning and deliver</w:t>
      </w:r>
      <w:r w:rsidRPr="00A2331E">
        <w:rPr>
          <w:rFonts w:ascii="Times New Roman" w:hAnsi="Times New Roman" w:cs="Times New Roman"/>
          <w:lang w:val="en"/>
        </w:rPr>
        <w:t>y.</w:t>
      </w:r>
      <w:r>
        <w:rPr>
          <w:rStyle w:val="EndnoteReference"/>
          <w:rFonts w:ascii="Times New Roman" w:hAnsi="Times New Roman" w:cs="Times New Roman"/>
          <w:lang w:val="en"/>
        </w:rPr>
        <w:endnoteReference w:id="53"/>
      </w:r>
      <w:r>
        <w:rPr>
          <w:rFonts w:ascii="Times New Roman" w:hAnsi="Times New Roman" w:cs="Times New Roman"/>
          <w:lang w:val="en"/>
        </w:rPr>
        <w:t xml:space="preserve">  Under S</w:t>
      </w:r>
      <w:r w:rsidR="00D21828">
        <w:rPr>
          <w:rFonts w:ascii="Times New Roman" w:hAnsi="Times New Roman" w:cs="Times New Roman"/>
          <w:lang w:val="en"/>
        </w:rPr>
        <w:t>TP</w:t>
      </w:r>
      <w:r>
        <w:rPr>
          <w:rFonts w:ascii="Times New Roman" w:hAnsi="Times New Roman" w:cs="Times New Roman"/>
          <w:lang w:val="en"/>
        </w:rPr>
        <w:t xml:space="preserve">s the NHS is to play a role in reducing Delayed Transfers of Care out of acute settings, including developing new incentives. </w:t>
      </w:r>
    </w:p>
    <w:p w:rsidR="00C614A9" w:rsidRDefault="00C614A9" w:rsidP="00BB6CB1">
      <w:pPr>
        <w:jc w:val="both"/>
        <w:rPr>
          <w:rFonts w:ascii="Times New Roman" w:hAnsi="Times New Roman" w:cs="Times New Roman"/>
          <w:lang w:val="en"/>
        </w:rPr>
      </w:pPr>
    </w:p>
    <w:p w:rsidR="00EA00BE" w:rsidRDefault="00C614A9" w:rsidP="00BB6CB1">
      <w:pPr>
        <w:jc w:val="both"/>
        <w:rPr>
          <w:rFonts w:ascii="Times New Roman" w:hAnsi="Times New Roman" w:cs="Times New Roman"/>
        </w:rPr>
      </w:pPr>
      <w:r w:rsidRPr="00C614A9">
        <w:rPr>
          <w:rFonts w:ascii="Times New Roman" w:hAnsi="Times New Roman" w:cs="Times New Roman"/>
          <w:lang w:val="en"/>
        </w:rPr>
        <w:t>Ensuring the voices and experiences of service users is at the heart of the NHS</w:t>
      </w:r>
      <w:r w:rsidR="00D21828">
        <w:rPr>
          <w:rFonts w:ascii="Times New Roman" w:hAnsi="Times New Roman" w:cs="Times New Roman"/>
          <w:lang w:val="en"/>
        </w:rPr>
        <w:t>,</w:t>
      </w:r>
      <w:r w:rsidRPr="00C614A9">
        <w:rPr>
          <w:rFonts w:ascii="Times New Roman" w:hAnsi="Times New Roman" w:cs="Times New Roman"/>
          <w:lang w:val="en"/>
        </w:rPr>
        <w:t xml:space="preserve"> </w:t>
      </w:r>
      <w:r w:rsidR="00D21828">
        <w:rPr>
          <w:rFonts w:ascii="Times New Roman" w:hAnsi="Times New Roman" w:cs="Times New Roman"/>
          <w:lang w:val="en"/>
        </w:rPr>
        <w:t xml:space="preserve">requiring </w:t>
      </w:r>
      <w:r w:rsidRPr="00C614A9">
        <w:rPr>
          <w:rFonts w:ascii="Times New Roman" w:hAnsi="Times New Roman" w:cs="Times New Roman"/>
          <w:lang w:val="en"/>
        </w:rPr>
        <w:t>continuous at</w:t>
      </w:r>
      <w:r w:rsidR="00D21828">
        <w:rPr>
          <w:rFonts w:ascii="Times New Roman" w:hAnsi="Times New Roman" w:cs="Times New Roman"/>
          <w:lang w:val="en"/>
        </w:rPr>
        <w:t>tention to patient experience.  F</w:t>
      </w:r>
      <w:r w:rsidRPr="00C614A9">
        <w:rPr>
          <w:rFonts w:ascii="Times New Roman" w:hAnsi="Times New Roman" w:cs="Times New Roman"/>
          <w:lang w:val="en"/>
        </w:rPr>
        <w:t>or example</w:t>
      </w:r>
      <w:r w:rsidR="00D21828">
        <w:rPr>
          <w:rFonts w:ascii="Times New Roman" w:hAnsi="Times New Roman" w:cs="Times New Roman"/>
          <w:lang w:val="en"/>
        </w:rPr>
        <w:t>,</w:t>
      </w:r>
      <w:r w:rsidRPr="00C614A9">
        <w:rPr>
          <w:rFonts w:ascii="Times New Roman" w:hAnsi="Times New Roman" w:cs="Times New Roman"/>
          <w:lang w:val="en"/>
        </w:rPr>
        <w:t xml:space="preserve"> the </w:t>
      </w:r>
      <w:r w:rsidRPr="00C614A9">
        <w:rPr>
          <w:rFonts w:ascii="Times New Roman" w:hAnsi="Times New Roman" w:cs="Times New Roman"/>
          <w:i/>
          <w:lang w:val="en"/>
        </w:rPr>
        <w:t>Family and Friends Test</w:t>
      </w:r>
      <w:r w:rsidR="00D21828">
        <w:rPr>
          <w:rFonts w:ascii="Times New Roman" w:hAnsi="Times New Roman" w:cs="Times New Roman"/>
          <w:lang w:val="en"/>
        </w:rPr>
        <w:t xml:space="preserve">, a feedback tool </w:t>
      </w:r>
      <w:r w:rsidRPr="00C614A9">
        <w:rPr>
          <w:rFonts w:ascii="Times New Roman" w:hAnsi="Times New Roman" w:cs="Times New Roman"/>
          <w:lang w:val="en"/>
        </w:rPr>
        <w:t>asks people if they would recommend the services they have used and offers a range of responses.</w:t>
      </w:r>
    </w:p>
    <w:p w:rsidR="00EA00BE" w:rsidRDefault="00EA00BE" w:rsidP="00BB6CB1">
      <w:pPr>
        <w:jc w:val="both"/>
        <w:rPr>
          <w:rFonts w:ascii="Times New Roman" w:hAnsi="Times New Roman" w:cs="Times New Roman"/>
        </w:rPr>
      </w:pPr>
    </w:p>
    <w:p w:rsidR="00A55F22" w:rsidRPr="00A55F22" w:rsidRDefault="00A55F22" w:rsidP="00BB6CB1">
      <w:pPr>
        <w:jc w:val="both"/>
        <w:rPr>
          <w:rFonts w:ascii="Times New Roman" w:hAnsi="Times New Roman" w:cs="Times New Roman"/>
          <w:b/>
          <w:i/>
        </w:rPr>
      </w:pPr>
      <w:r>
        <w:rPr>
          <w:rFonts w:ascii="Times New Roman" w:hAnsi="Times New Roman" w:cs="Times New Roman"/>
          <w:b/>
          <w:i/>
        </w:rPr>
        <w:t>Self-care and prevention</w:t>
      </w:r>
    </w:p>
    <w:p w:rsidR="00363DD9" w:rsidRDefault="00CB1D26" w:rsidP="00BB6CB1">
      <w:pPr>
        <w:jc w:val="both"/>
        <w:rPr>
          <w:rFonts w:ascii="Times New Roman" w:hAnsi="Times New Roman" w:cs="Times New Roman"/>
        </w:rPr>
      </w:pPr>
      <w:r>
        <w:rPr>
          <w:rFonts w:ascii="Times New Roman" w:hAnsi="Times New Roman" w:cs="Times New Roman"/>
        </w:rPr>
        <w:t>There is i</w:t>
      </w:r>
      <w:r w:rsidR="00BF5323" w:rsidRPr="00BF5323">
        <w:rPr>
          <w:rFonts w:ascii="Times New Roman" w:hAnsi="Times New Roman" w:cs="Times New Roman"/>
        </w:rPr>
        <w:t>ncreased exp</w:t>
      </w:r>
      <w:r w:rsidR="00D21828">
        <w:rPr>
          <w:rFonts w:ascii="Times New Roman" w:hAnsi="Times New Roman" w:cs="Times New Roman"/>
        </w:rPr>
        <w:t xml:space="preserve">ectation that older people </w:t>
      </w:r>
      <w:r w:rsidR="00BF5323" w:rsidRPr="00BF5323">
        <w:rPr>
          <w:rFonts w:ascii="Times New Roman" w:hAnsi="Times New Roman" w:cs="Times New Roman"/>
        </w:rPr>
        <w:t xml:space="preserve">take greater responsibility for their health within </w:t>
      </w:r>
      <w:r w:rsidR="00382BD0">
        <w:rPr>
          <w:rFonts w:ascii="Times New Roman" w:hAnsi="Times New Roman" w:cs="Times New Roman"/>
        </w:rPr>
        <w:t>prevention and self-care initiatives</w:t>
      </w:r>
      <w:r>
        <w:rPr>
          <w:rFonts w:ascii="Times New Roman" w:hAnsi="Times New Roman" w:cs="Times New Roman"/>
        </w:rPr>
        <w:t>.</w:t>
      </w:r>
      <w:r w:rsidR="00D21828">
        <w:rPr>
          <w:rFonts w:ascii="Times New Roman" w:hAnsi="Times New Roman" w:cs="Times New Roman"/>
        </w:rPr>
        <w:t xml:space="preserve">  A</w:t>
      </w:r>
      <w:r w:rsidR="00F9268A">
        <w:rPr>
          <w:rFonts w:ascii="Times New Roman" w:hAnsi="Times New Roman" w:cs="Times New Roman"/>
        </w:rPr>
        <w:t xml:space="preserve"> </w:t>
      </w:r>
      <w:r w:rsidR="00A55F22">
        <w:rPr>
          <w:rFonts w:ascii="Times New Roman" w:hAnsi="Times New Roman" w:cs="Times New Roman"/>
        </w:rPr>
        <w:t>number of gu</w:t>
      </w:r>
      <w:r w:rsidR="00D21828">
        <w:rPr>
          <w:rFonts w:ascii="Times New Roman" w:hAnsi="Times New Roman" w:cs="Times New Roman"/>
        </w:rPr>
        <w:t xml:space="preserve">ides and initiatives support </w:t>
      </w:r>
      <w:r w:rsidR="00A55F22">
        <w:rPr>
          <w:rFonts w:ascii="Times New Roman" w:hAnsi="Times New Roman" w:cs="Times New Roman"/>
        </w:rPr>
        <w:t xml:space="preserve">such aspirations.  For example, the </w:t>
      </w:r>
      <w:r w:rsidR="00A55F22" w:rsidRPr="00A55F22">
        <w:rPr>
          <w:rFonts w:ascii="Times New Roman" w:hAnsi="Times New Roman" w:cs="Times New Roman"/>
          <w:i/>
        </w:rPr>
        <w:t>NHS Guide to Healthy Ageing</w:t>
      </w:r>
      <w:r w:rsidR="00B112F0">
        <w:rPr>
          <w:rStyle w:val="EndnoteReference"/>
          <w:rFonts w:ascii="Times New Roman" w:hAnsi="Times New Roman" w:cs="Times New Roman"/>
          <w:i/>
        </w:rPr>
        <w:endnoteReference w:id="54"/>
      </w:r>
      <w:r w:rsidR="00A55F22">
        <w:rPr>
          <w:rFonts w:ascii="Times New Roman" w:hAnsi="Times New Roman" w:cs="Times New Roman"/>
        </w:rPr>
        <w:t xml:space="preserve"> seeks to help people maintain health and fitness, particularly targeting those</w:t>
      </w:r>
      <w:r w:rsidR="00D21828">
        <w:rPr>
          <w:rFonts w:ascii="Times New Roman" w:hAnsi="Times New Roman" w:cs="Times New Roman"/>
        </w:rPr>
        <w:t xml:space="preserve"> aged above 70 and</w:t>
      </w:r>
      <w:r w:rsidR="00A55F22">
        <w:rPr>
          <w:rFonts w:ascii="Times New Roman" w:hAnsi="Times New Roman" w:cs="Times New Roman"/>
        </w:rPr>
        <w:t xml:space="preserve"> </w:t>
      </w:r>
      <w:r w:rsidR="00F9268A">
        <w:rPr>
          <w:rFonts w:ascii="Times New Roman" w:hAnsi="Times New Roman" w:cs="Times New Roman"/>
        </w:rPr>
        <w:t xml:space="preserve">contains </w:t>
      </w:r>
      <w:r w:rsidR="00A55F22">
        <w:rPr>
          <w:rFonts w:ascii="Times New Roman" w:hAnsi="Times New Roman" w:cs="Times New Roman"/>
        </w:rPr>
        <w:t>self</w:t>
      </w:r>
      <w:r w:rsidR="00B112F0">
        <w:rPr>
          <w:rFonts w:ascii="Times New Roman" w:hAnsi="Times New Roman" w:cs="Times New Roman"/>
        </w:rPr>
        <w:t>-care advice includ</w:t>
      </w:r>
      <w:r w:rsidR="00D21828">
        <w:rPr>
          <w:rFonts w:ascii="Times New Roman" w:hAnsi="Times New Roman" w:cs="Times New Roman"/>
        </w:rPr>
        <w:t xml:space="preserve">ing how to prevent falls and </w:t>
      </w:r>
      <w:r w:rsidR="00B112F0">
        <w:rPr>
          <w:rFonts w:ascii="Times New Roman" w:hAnsi="Times New Roman" w:cs="Times New Roman"/>
        </w:rPr>
        <w:t xml:space="preserve">prepare for winter.  </w:t>
      </w:r>
    </w:p>
    <w:p w:rsidR="00CC53C3" w:rsidRDefault="00CC53C3" w:rsidP="00CC53C3">
      <w:pPr>
        <w:jc w:val="both"/>
        <w:rPr>
          <w:rFonts w:ascii="Times New Roman" w:hAnsi="Times New Roman" w:cs="Times New Roman"/>
          <w:b/>
          <w:i/>
        </w:rPr>
      </w:pPr>
    </w:p>
    <w:p w:rsidR="00CC53C3" w:rsidRPr="00486E8F" w:rsidRDefault="00D21828" w:rsidP="00CC53C3">
      <w:pPr>
        <w:jc w:val="both"/>
        <w:rPr>
          <w:rFonts w:ascii="Times New Roman" w:hAnsi="Times New Roman" w:cs="Times New Roman"/>
          <w:b/>
          <w:i/>
        </w:rPr>
      </w:pPr>
      <w:r>
        <w:rPr>
          <w:rFonts w:ascii="Times New Roman" w:hAnsi="Times New Roman" w:cs="Times New Roman"/>
          <w:b/>
          <w:i/>
        </w:rPr>
        <w:t xml:space="preserve">Better </w:t>
      </w:r>
      <w:r w:rsidR="00CC53C3" w:rsidRPr="00486E8F">
        <w:rPr>
          <w:rFonts w:ascii="Times New Roman" w:hAnsi="Times New Roman" w:cs="Times New Roman"/>
          <w:b/>
          <w:i/>
        </w:rPr>
        <w:t>End of Life Care</w:t>
      </w:r>
      <w:r>
        <w:rPr>
          <w:rFonts w:ascii="Times New Roman" w:hAnsi="Times New Roman" w:cs="Times New Roman"/>
          <w:b/>
          <w:i/>
        </w:rPr>
        <w:t xml:space="preserve"> Choices</w:t>
      </w:r>
    </w:p>
    <w:p w:rsidR="00CC53C3" w:rsidRDefault="00CC53C3" w:rsidP="00CC53C3">
      <w:pPr>
        <w:jc w:val="both"/>
      </w:pPr>
      <w:r>
        <w:rPr>
          <w:rFonts w:ascii="Times New Roman" w:hAnsi="Times New Roman" w:cs="Times New Roman"/>
        </w:rPr>
        <w:t>The Parliamentary Health Committee report</w:t>
      </w:r>
      <w:r w:rsidR="00D21828">
        <w:rPr>
          <w:rFonts w:ascii="Times New Roman" w:hAnsi="Times New Roman" w:cs="Times New Roman"/>
        </w:rPr>
        <w:t>s</w:t>
      </w:r>
      <w:r>
        <w:rPr>
          <w:rFonts w:ascii="Times New Roman" w:hAnsi="Times New Roman" w:cs="Times New Roman"/>
        </w:rPr>
        <w:t xml:space="preserve"> that 80% of the 500,000 people who die each year in England and Wales are aged over </w:t>
      </w:r>
      <w:r w:rsidR="00076E6C">
        <w:rPr>
          <w:rFonts w:ascii="Times New Roman" w:hAnsi="Times New Roman" w:cs="Times New Roman"/>
        </w:rPr>
        <w:t>65</w:t>
      </w:r>
      <w:r>
        <w:rPr>
          <w:rFonts w:ascii="Times New Roman" w:hAnsi="Times New Roman" w:cs="Times New Roman"/>
        </w:rPr>
        <w:t xml:space="preserve"> and one-third are over 85.  Around half of deaths occur in NHS hospitals, with around 21% occurring at home.  However about two-thirds of </w:t>
      </w:r>
      <w:r>
        <w:rPr>
          <w:rFonts w:ascii="Times New Roman" w:hAnsi="Times New Roman" w:cs="Times New Roman"/>
        </w:rPr>
        <w:lastRenderedPageBreak/>
        <w:t>patients would prefer to die at home.</w:t>
      </w:r>
      <w:r>
        <w:rPr>
          <w:rStyle w:val="EndnoteReference"/>
          <w:rFonts w:ascii="Times New Roman" w:hAnsi="Times New Roman" w:cs="Times New Roman"/>
        </w:rPr>
        <w:endnoteReference w:id="55"/>
      </w:r>
      <w:r>
        <w:rPr>
          <w:rFonts w:ascii="Times New Roman" w:hAnsi="Times New Roman" w:cs="Times New Roman"/>
        </w:rPr>
        <w:t xml:space="preserve">  </w:t>
      </w:r>
      <w:r w:rsidRPr="00B717B3">
        <w:rPr>
          <w:rFonts w:ascii="Times New Roman" w:hAnsi="Times New Roman" w:cs="Times New Roman"/>
        </w:rPr>
        <w:t xml:space="preserve">Increased patient choice </w:t>
      </w:r>
      <w:r w:rsidR="00D21828">
        <w:rPr>
          <w:rFonts w:ascii="Times New Roman" w:hAnsi="Times New Roman" w:cs="Times New Roman"/>
        </w:rPr>
        <w:t>around</w:t>
      </w:r>
      <w:r>
        <w:rPr>
          <w:rFonts w:ascii="Times New Roman" w:hAnsi="Times New Roman" w:cs="Times New Roman"/>
        </w:rPr>
        <w:t xml:space="preserve"> </w:t>
      </w:r>
      <w:r w:rsidRPr="00B717B3">
        <w:rPr>
          <w:rFonts w:ascii="Times New Roman" w:hAnsi="Times New Roman" w:cs="Times New Roman"/>
        </w:rPr>
        <w:t>E</w:t>
      </w:r>
      <w:r>
        <w:rPr>
          <w:rFonts w:ascii="Times New Roman" w:hAnsi="Times New Roman" w:cs="Times New Roman"/>
        </w:rPr>
        <w:t>nd of Life Care (as well as other sorts of care) is a key policy agenda.</w:t>
      </w:r>
      <w:r w:rsidRPr="00B717B3">
        <w:t xml:space="preserve"> </w:t>
      </w:r>
    </w:p>
    <w:p w:rsidR="001505AA" w:rsidRDefault="001505AA" w:rsidP="005F635F">
      <w:pPr>
        <w:jc w:val="both"/>
        <w:rPr>
          <w:rFonts w:ascii="Times New Roman" w:hAnsi="Times New Roman" w:cs="Times New Roman"/>
        </w:rPr>
      </w:pPr>
    </w:p>
    <w:p w:rsidR="00B112F0" w:rsidRPr="00B112F0" w:rsidRDefault="00B112F0" w:rsidP="005F635F">
      <w:pPr>
        <w:jc w:val="both"/>
        <w:rPr>
          <w:rFonts w:ascii="Times New Roman" w:hAnsi="Times New Roman" w:cs="Times New Roman"/>
          <w:b/>
          <w:i/>
        </w:rPr>
      </w:pPr>
      <w:r w:rsidRPr="00B112F0">
        <w:rPr>
          <w:rFonts w:ascii="Times New Roman" w:hAnsi="Times New Roman" w:cs="Times New Roman"/>
          <w:b/>
          <w:i/>
        </w:rPr>
        <w:t>Piloting and experimenting with local programmes</w:t>
      </w:r>
    </w:p>
    <w:p w:rsidR="00B112F0" w:rsidRDefault="00F9268A" w:rsidP="005F635F">
      <w:pPr>
        <w:jc w:val="both"/>
        <w:rPr>
          <w:rFonts w:ascii="Times New Roman" w:hAnsi="Times New Roman" w:cs="Times New Roman"/>
        </w:rPr>
      </w:pPr>
      <w:r>
        <w:rPr>
          <w:rFonts w:ascii="Times New Roman" w:hAnsi="Times New Roman" w:cs="Times New Roman"/>
        </w:rPr>
        <w:t xml:space="preserve">There has been a longstanding encouragement for piloting </w:t>
      </w:r>
      <w:r w:rsidR="00B112F0">
        <w:rPr>
          <w:rFonts w:ascii="Times New Roman" w:hAnsi="Times New Roman" w:cs="Times New Roman"/>
        </w:rPr>
        <w:t>local initiatives to gather evidence of what works most effectively</w:t>
      </w:r>
      <w:r>
        <w:rPr>
          <w:rFonts w:ascii="Times New Roman" w:hAnsi="Times New Roman" w:cs="Times New Roman"/>
        </w:rPr>
        <w:t xml:space="preserve"> at the local level</w:t>
      </w:r>
      <w:r w:rsidR="00B112F0">
        <w:rPr>
          <w:rFonts w:ascii="Times New Roman" w:hAnsi="Times New Roman" w:cs="Times New Roman"/>
        </w:rPr>
        <w:t>.  National funding was distributed to a number of local Partnership</w:t>
      </w:r>
      <w:r>
        <w:rPr>
          <w:rFonts w:ascii="Times New Roman" w:hAnsi="Times New Roman" w:cs="Times New Roman"/>
        </w:rPr>
        <w:t>s</w:t>
      </w:r>
      <w:r w:rsidR="00B112F0">
        <w:rPr>
          <w:rFonts w:ascii="Times New Roman" w:hAnsi="Times New Roman" w:cs="Times New Roman"/>
        </w:rPr>
        <w:t xml:space="preserve"> for Older People’s Projects</w:t>
      </w:r>
      <w:r w:rsidR="009B4BEC">
        <w:rPr>
          <w:rFonts w:ascii="Times New Roman" w:hAnsi="Times New Roman" w:cs="Times New Roman"/>
        </w:rPr>
        <w:t xml:space="preserve"> (2006-2009)</w:t>
      </w:r>
      <w:r w:rsidR="00B112F0">
        <w:rPr>
          <w:rFonts w:ascii="Times New Roman" w:hAnsi="Times New Roman" w:cs="Times New Roman"/>
        </w:rPr>
        <w:t>, many focusing on prevention initiatives</w:t>
      </w:r>
      <w:r w:rsidR="00D21828">
        <w:rPr>
          <w:rFonts w:ascii="Times New Roman" w:hAnsi="Times New Roman" w:cs="Times New Roman"/>
        </w:rPr>
        <w:t xml:space="preserve"> but also </w:t>
      </w:r>
      <w:r>
        <w:rPr>
          <w:rFonts w:ascii="Times New Roman" w:hAnsi="Times New Roman" w:cs="Times New Roman"/>
        </w:rPr>
        <w:t>initiatives such as lunch clubs</w:t>
      </w:r>
      <w:r w:rsidR="00B112F0">
        <w:rPr>
          <w:rFonts w:ascii="Times New Roman" w:hAnsi="Times New Roman" w:cs="Times New Roman"/>
        </w:rPr>
        <w:t xml:space="preserve">.  These included a number of interventions aimed at changing behavior of older people (rather than relying on distribution of information), and also </w:t>
      </w:r>
      <w:r w:rsidR="009B4BEC">
        <w:rPr>
          <w:rFonts w:ascii="Times New Roman" w:hAnsi="Times New Roman" w:cs="Times New Roman"/>
        </w:rPr>
        <w:t xml:space="preserve">the role of </w:t>
      </w:r>
      <w:r w:rsidR="00B112F0">
        <w:rPr>
          <w:rFonts w:ascii="Times New Roman" w:hAnsi="Times New Roman" w:cs="Times New Roman"/>
        </w:rPr>
        <w:t>peer mentoring.</w:t>
      </w:r>
      <w:r w:rsidR="00B112F0">
        <w:rPr>
          <w:rStyle w:val="EndnoteReference"/>
          <w:rFonts w:ascii="Times New Roman" w:hAnsi="Times New Roman" w:cs="Times New Roman"/>
        </w:rPr>
        <w:endnoteReference w:id="56"/>
      </w:r>
      <w:r w:rsidR="00D21828">
        <w:rPr>
          <w:rFonts w:ascii="Times New Roman" w:hAnsi="Times New Roman" w:cs="Times New Roman"/>
        </w:rPr>
        <w:t xml:space="preserve">  The </w:t>
      </w:r>
      <w:r w:rsidR="009B4BEC">
        <w:rPr>
          <w:rFonts w:ascii="Times New Roman" w:hAnsi="Times New Roman" w:cs="Times New Roman"/>
        </w:rPr>
        <w:t>Partnership for Older People Evaluation found that overall there was improved quality of life and considerable savings, with practical and low-level support offering a major contribution towards wellbeing.</w:t>
      </w:r>
      <w:r w:rsidR="009B4BEC">
        <w:rPr>
          <w:rStyle w:val="EndnoteReference"/>
          <w:rFonts w:ascii="Times New Roman" w:hAnsi="Times New Roman" w:cs="Times New Roman"/>
        </w:rPr>
        <w:endnoteReference w:id="57"/>
      </w:r>
      <w:r w:rsidR="00EA00BE">
        <w:rPr>
          <w:rFonts w:ascii="Times New Roman" w:hAnsi="Times New Roman" w:cs="Times New Roman"/>
        </w:rPr>
        <w:t xml:space="preserve">  Such evidence will have implications for commissioning practices</w:t>
      </w:r>
      <w:r w:rsidR="005C219A">
        <w:rPr>
          <w:rFonts w:ascii="Times New Roman" w:hAnsi="Times New Roman" w:cs="Times New Roman"/>
        </w:rPr>
        <w:t xml:space="preserve"> and the development of initiatives – including those delivered in partnership with voluntary sector, old</w:t>
      </w:r>
      <w:r w:rsidR="00D21828">
        <w:rPr>
          <w:rFonts w:ascii="Times New Roman" w:hAnsi="Times New Roman" w:cs="Times New Roman"/>
        </w:rPr>
        <w:t>er people and their families</w:t>
      </w:r>
      <w:r w:rsidR="005C219A">
        <w:rPr>
          <w:rFonts w:ascii="Times New Roman" w:hAnsi="Times New Roman" w:cs="Times New Roman"/>
        </w:rPr>
        <w:t>.</w:t>
      </w:r>
      <w:r w:rsidR="009B4BEC">
        <w:rPr>
          <w:rFonts w:ascii="Times New Roman" w:hAnsi="Times New Roman" w:cs="Times New Roman"/>
        </w:rPr>
        <w:t xml:space="preserve">  </w:t>
      </w:r>
    </w:p>
    <w:p w:rsidR="00EA00BE" w:rsidRDefault="00EA00BE" w:rsidP="005F635F">
      <w:pPr>
        <w:jc w:val="both"/>
        <w:rPr>
          <w:rFonts w:ascii="Times New Roman" w:hAnsi="Times New Roman" w:cs="Times New Roman"/>
          <w:b/>
          <w:i/>
        </w:rPr>
      </w:pPr>
    </w:p>
    <w:p w:rsidR="00486E8F" w:rsidRPr="0062147F" w:rsidRDefault="00C614A9" w:rsidP="005F635F">
      <w:pPr>
        <w:jc w:val="both"/>
        <w:rPr>
          <w:rFonts w:ascii="Times New Roman" w:hAnsi="Times New Roman" w:cs="Times New Roman"/>
        </w:rPr>
      </w:pPr>
      <w:r w:rsidRPr="0062147F">
        <w:rPr>
          <w:rFonts w:ascii="Times New Roman" w:hAnsi="Times New Roman" w:cs="Times New Roman"/>
        </w:rPr>
        <w:t>In short, addressing the implicatio</w:t>
      </w:r>
      <w:r w:rsidR="00D21828">
        <w:rPr>
          <w:rFonts w:ascii="Times New Roman" w:hAnsi="Times New Roman" w:cs="Times New Roman"/>
        </w:rPr>
        <w:t xml:space="preserve">ns of ageing for the NHS involves a </w:t>
      </w:r>
      <w:r w:rsidR="0062147F">
        <w:rPr>
          <w:rFonts w:ascii="Times New Roman" w:hAnsi="Times New Roman" w:cs="Times New Roman"/>
        </w:rPr>
        <w:t xml:space="preserve">number of interrelated issues – </w:t>
      </w:r>
      <w:r w:rsidRPr="0062147F">
        <w:rPr>
          <w:rFonts w:ascii="Times New Roman" w:hAnsi="Times New Roman" w:cs="Times New Roman"/>
        </w:rPr>
        <w:t xml:space="preserve">spending levels, </w:t>
      </w:r>
      <w:r w:rsidR="0062147F">
        <w:rPr>
          <w:rFonts w:ascii="Times New Roman" w:hAnsi="Times New Roman" w:cs="Times New Roman"/>
        </w:rPr>
        <w:t xml:space="preserve">responsibility for health, </w:t>
      </w:r>
      <w:r w:rsidRPr="0062147F">
        <w:rPr>
          <w:rFonts w:ascii="Times New Roman" w:hAnsi="Times New Roman" w:cs="Times New Roman"/>
        </w:rPr>
        <w:t>the organization and</w:t>
      </w:r>
      <w:r w:rsidR="00D21828">
        <w:rPr>
          <w:rFonts w:ascii="Times New Roman" w:hAnsi="Times New Roman" w:cs="Times New Roman"/>
        </w:rPr>
        <w:t xml:space="preserve"> delivery of health care including</w:t>
      </w:r>
      <w:r w:rsidRPr="0062147F">
        <w:rPr>
          <w:rFonts w:ascii="Times New Roman" w:hAnsi="Times New Roman" w:cs="Times New Roman"/>
        </w:rPr>
        <w:t xml:space="preserve"> purchasing models, treatment roles and related decision making</w:t>
      </w:r>
      <w:r w:rsidR="00D21828">
        <w:rPr>
          <w:rFonts w:ascii="Times New Roman" w:hAnsi="Times New Roman" w:cs="Times New Roman"/>
        </w:rPr>
        <w:t xml:space="preserve">.  Taken as a whole these exemplify the need for </w:t>
      </w:r>
      <w:r w:rsidR="0062147F">
        <w:rPr>
          <w:rFonts w:ascii="Times New Roman" w:hAnsi="Times New Roman" w:cs="Times New Roman"/>
        </w:rPr>
        <w:t xml:space="preserve">a holistic study of health </w:t>
      </w:r>
      <w:r w:rsidR="00D21828">
        <w:rPr>
          <w:rFonts w:ascii="Times New Roman" w:hAnsi="Times New Roman" w:cs="Times New Roman"/>
        </w:rPr>
        <w:t xml:space="preserve">systems and the debates will traverse the disciplines of </w:t>
      </w:r>
      <w:r w:rsidRPr="0062147F">
        <w:rPr>
          <w:rFonts w:ascii="Times New Roman" w:hAnsi="Times New Roman" w:cs="Times New Roman"/>
        </w:rPr>
        <w:t xml:space="preserve">epidemiology; health economics, health policy ethics; </w:t>
      </w:r>
      <w:r w:rsidR="00D21828">
        <w:rPr>
          <w:rFonts w:ascii="Times New Roman" w:hAnsi="Times New Roman" w:cs="Times New Roman"/>
        </w:rPr>
        <w:t>health politics</w:t>
      </w:r>
      <w:r w:rsidR="0062147F" w:rsidRPr="0062147F">
        <w:rPr>
          <w:rFonts w:ascii="Times New Roman" w:hAnsi="Times New Roman" w:cs="Times New Roman"/>
        </w:rPr>
        <w:t xml:space="preserve"> h</w:t>
      </w:r>
      <w:r w:rsidRPr="0062147F">
        <w:rPr>
          <w:rFonts w:ascii="Times New Roman" w:hAnsi="Times New Roman" w:cs="Times New Roman"/>
        </w:rPr>
        <w:t>ealth</w:t>
      </w:r>
      <w:r w:rsidR="0062147F" w:rsidRPr="0062147F">
        <w:rPr>
          <w:rFonts w:ascii="Times New Roman" w:hAnsi="Times New Roman" w:cs="Times New Roman"/>
        </w:rPr>
        <w:t>; health m</w:t>
      </w:r>
      <w:r w:rsidRPr="0062147F">
        <w:rPr>
          <w:rFonts w:ascii="Times New Roman" w:hAnsi="Times New Roman" w:cs="Times New Roman"/>
        </w:rPr>
        <w:t>anagement</w:t>
      </w:r>
      <w:r w:rsidR="0062147F" w:rsidRPr="0062147F">
        <w:rPr>
          <w:rFonts w:ascii="Times New Roman" w:hAnsi="Times New Roman" w:cs="Times New Roman"/>
        </w:rPr>
        <w:t>; and health p</w:t>
      </w:r>
      <w:r w:rsidRPr="0062147F">
        <w:rPr>
          <w:rFonts w:ascii="Times New Roman" w:hAnsi="Times New Roman" w:cs="Times New Roman"/>
        </w:rPr>
        <w:t>olicy</w:t>
      </w:r>
      <w:r w:rsidR="0062147F">
        <w:rPr>
          <w:rFonts w:ascii="Times New Roman" w:hAnsi="Times New Roman" w:cs="Times New Roman"/>
        </w:rPr>
        <w:t>.</w:t>
      </w:r>
    </w:p>
    <w:p w:rsidR="0062147F" w:rsidRDefault="0062147F" w:rsidP="00F7746D">
      <w:pPr>
        <w:spacing w:after="200" w:line="276" w:lineRule="auto"/>
        <w:rPr>
          <w:rFonts w:ascii="Times New Roman" w:hAnsi="Times New Roman" w:cs="Times New Roman"/>
          <w:b/>
        </w:rPr>
      </w:pPr>
    </w:p>
    <w:p w:rsidR="00F840BA" w:rsidRPr="006B4B85" w:rsidRDefault="00F840BA" w:rsidP="00F7746D">
      <w:pPr>
        <w:spacing w:after="200" w:line="276" w:lineRule="auto"/>
        <w:rPr>
          <w:rFonts w:ascii="Times New Roman" w:hAnsi="Times New Roman" w:cs="Times New Roman"/>
          <w:b/>
        </w:rPr>
      </w:pPr>
      <w:r w:rsidRPr="006B4B85">
        <w:rPr>
          <w:rFonts w:ascii="Times New Roman" w:hAnsi="Times New Roman" w:cs="Times New Roman"/>
          <w:b/>
        </w:rPr>
        <w:t>References</w:t>
      </w:r>
    </w:p>
    <w:sectPr w:rsidR="00F840BA" w:rsidRPr="006B4B85" w:rsidSect="00E1425E">
      <w:footerReference w:type="default" r:id="rId11"/>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72B" w:rsidRDefault="00DF772B" w:rsidP="00420D8C">
      <w:r>
        <w:separator/>
      </w:r>
    </w:p>
  </w:endnote>
  <w:endnote w:type="continuationSeparator" w:id="0">
    <w:p w:rsidR="00DF772B" w:rsidRDefault="00DF772B" w:rsidP="00420D8C">
      <w:r>
        <w:continuationSeparator/>
      </w:r>
    </w:p>
  </w:endnote>
  <w:endnote w:id="1">
    <w:p w:rsidR="00C614A9" w:rsidRPr="00B76A88" w:rsidRDefault="00C614A9" w:rsidP="00F7746D">
      <w:pPr>
        <w:pStyle w:val="EndnoteText"/>
        <w:spacing w:line="360" w:lineRule="auto"/>
        <w:rPr>
          <w:lang w:val="en-GB"/>
        </w:rPr>
      </w:pPr>
      <w:r>
        <w:rPr>
          <w:rStyle w:val="EndnoteReference"/>
        </w:rPr>
        <w:endnoteRef/>
      </w:r>
      <w:r>
        <w:t xml:space="preserve"> Department of Health (2015) </w:t>
      </w:r>
      <w:r w:rsidRPr="00BF5323">
        <w:rPr>
          <w:i/>
        </w:rPr>
        <w:t>NHS Constitution</w:t>
      </w:r>
      <w:r w:rsidRPr="00B76A88">
        <w:t>, 2015</w:t>
      </w:r>
      <w:r>
        <w:t>, DH.</w:t>
      </w:r>
    </w:p>
  </w:endnote>
  <w:endnote w:id="2">
    <w:p w:rsidR="00C614A9" w:rsidRPr="00D3722A" w:rsidRDefault="00C614A9" w:rsidP="00F7746D">
      <w:pPr>
        <w:pStyle w:val="EndnoteText"/>
        <w:spacing w:line="360" w:lineRule="auto"/>
        <w:rPr>
          <w:lang w:val="en-GB"/>
        </w:rPr>
      </w:pPr>
      <w:r>
        <w:rPr>
          <w:rStyle w:val="EndnoteReference"/>
        </w:rPr>
        <w:endnoteRef/>
      </w:r>
      <w:r>
        <w:t xml:space="preserve"> Office for National Statistics (2011)</w:t>
      </w:r>
    </w:p>
  </w:endnote>
  <w:endnote w:id="3">
    <w:p w:rsidR="00C614A9" w:rsidRPr="00622968" w:rsidRDefault="00C614A9" w:rsidP="00F7746D">
      <w:pPr>
        <w:pStyle w:val="EndnoteText"/>
        <w:spacing w:line="360" w:lineRule="auto"/>
        <w:rPr>
          <w:lang w:val="en-GB"/>
        </w:rPr>
      </w:pPr>
      <w:r>
        <w:rPr>
          <w:rStyle w:val="EndnoteReference"/>
        </w:rPr>
        <w:endnoteRef/>
      </w:r>
      <w:r>
        <w:t xml:space="preserve"> Since 1999 </w:t>
      </w:r>
      <w:r>
        <w:rPr>
          <w:lang w:val="en-GB"/>
        </w:rPr>
        <w:t xml:space="preserve">there are differences across the devolved administrations of the UK (England, Scotland, Wales and Northern Ireland.  They have control </w:t>
      </w:r>
      <w:r w:rsidRPr="00622968">
        <w:rPr>
          <w:lang w:val="en-GB"/>
        </w:rPr>
        <w:t xml:space="preserve">over </w:t>
      </w:r>
      <w:r>
        <w:rPr>
          <w:lang w:val="en-GB"/>
        </w:rPr>
        <w:t xml:space="preserve">the organisation of services and the spending of NHS budgets </w:t>
      </w:r>
      <w:r w:rsidRPr="00622968">
        <w:rPr>
          <w:lang w:val="en-GB"/>
        </w:rPr>
        <w:t>in their jurisdictions.</w:t>
      </w:r>
      <w:r>
        <w:rPr>
          <w:lang w:val="en-GB"/>
        </w:rPr>
        <w:t xml:space="preserve"> </w:t>
      </w:r>
      <w:r w:rsidRPr="00622968">
        <w:rPr>
          <w:lang w:val="en-GB"/>
        </w:rPr>
        <w:t xml:space="preserve"> </w:t>
      </w:r>
    </w:p>
  </w:endnote>
  <w:endnote w:id="4">
    <w:p w:rsidR="00C614A9" w:rsidRPr="002C02B4" w:rsidRDefault="00C614A9" w:rsidP="00F7746D">
      <w:pPr>
        <w:pStyle w:val="EndnoteText"/>
        <w:spacing w:line="360" w:lineRule="auto"/>
        <w:rPr>
          <w:lang w:val="en-GB"/>
        </w:rPr>
      </w:pPr>
      <w:r>
        <w:rPr>
          <w:rStyle w:val="EndnoteReference"/>
        </w:rPr>
        <w:endnoteRef/>
      </w:r>
      <w:r>
        <w:t xml:space="preserve"> </w:t>
      </w:r>
      <w:r w:rsidRPr="002C02B4">
        <w:t xml:space="preserve">Lunt, N., Atkin, K. and Hirst, M. (1997) ‘Staying single in the 1990s: single-handed practitioners in the new National Health </w:t>
      </w:r>
      <w:r w:rsidRPr="002C02B4">
        <w:rPr>
          <w:i/>
        </w:rPr>
        <w:t>Service, Social Science &amp; Medicine</w:t>
      </w:r>
      <w:r w:rsidRPr="002C02B4">
        <w:t>, 45, 3, 341-349.</w:t>
      </w:r>
    </w:p>
  </w:endnote>
  <w:endnote w:id="5">
    <w:p w:rsidR="00C614A9" w:rsidRPr="002C02B4" w:rsidRDefault="00C614A9" w:rsidP="00F7746D">
      <w:pPr>
        <w:pStyle w:val="EndnoteText"/>
        <w:spacing w:line="360" w:lineRule="auto"/>
      </w:pPr>
      <w:r>
        <w:rPr>
          <w:rStyle w:val="EndnoteReference"/>
        </w:rPr>
        <w:endnoteRef/>
      </w:r>
      <w:r>
        <w:t xml:space="preserve"> </w:t>
      </w:r>
      <w:r w:rsidRPr="002C02B4">
        <w:t>Royal College of General Practitioners</w:t>
      </w:r>
      <w:r>
        <w:t xml:space="preserve"> (2013) </w:t>
      </w:r>
      <w:r w:rsidRPr="00AA36DD">
        <w:rPr>
          <w:i/>
        </w:rPr>
        <w:t>The 2022 GP: A Vision for General Practice in the future NHS</w:t>
      </w:r>
      <w:r>
        <w:t xml:space="preserve">, </w:t>
      </w:r>
      <w:r w:rsidRPr="001E02A3">
        <w:t>Royal College of General Practitioners: London</w:t>
      </w:r>
      <w:r>
        <w:t>.</w:t>
      </w:r>
    </w:p>
  </w:endnote>
  <w:endnote w:id="6">
    <w:p w:rsidR="00C614A9" w:rsidRPr="002C02B4" w:rsidRDefault="00C614A9" w:rsidP="00F7746D">
      <w:pPr>
        <w:pStyle w:val="EndnoteText"/>
        <w:spacing w:line="360" w:lineRule="auto"/>
      </w:pPr>
      <w:r>
        <w:rPr>
          <w:rStyle w:val="EndnoteReference"/>
        </w:rPr>
        <w:endnoteRef/>
      </w:r>
      <w:r>
        <w:t xml:space="preserve"> Statutory Instruments 2004 No. 291 National Health Service, England. The National Health Service (General Medical Services Contracts) Regulations 2004</w:t>
      </w:r>
    </w:p>
  </w:endnote>
  <w:endnote w:id="7">
    <w:p w:rsidR="00C614A9" w:rsidRPr="002C02B4" w:rsidRDefault="00C614A9" w:rsidP="00F7746D">
      <w:pPr>
        <w:pStyle w:val="EndnoteText"/>
        <w:spacing w:line="360" w:lineRule="auto"/>
        <w:rPr>
          <w:lang w:val="en-GB"/>
        </w:rPr>
      </w:pPr>
      <w:r>
        <w:rPr>
          <w:rStyle w:val="EndnoteReference"/>
        </w:rPr>
        <w:endnoteRef/>
      </w:r>
      <w:r>
        <w:t xml:space="preserve"> </w:t>
      </w:r>
      <w:r w:rsidRPr="002C02B4">
        <w:t>Health and Social Care Act 2012</w:t>
      </w:r>
    </w:p>
  </w:endnote>
  <w:endnote w:id="8">
    <w:p w:rsidR="00C614A9" w:rsidRPr="004431A4" w:rsidRDefault="00C614A9" w:rsidP="00F7746D">
      <w:pPr>
        <w:pStyle w:val="EndnoteText"/>
        <w:tabs>
          <w:tab w:val="right" w:pos="9020"/>
        </w:tabs>
        <w:spacing w:line="360" w:lineRule="auto"/>
        <w:rPr>
          <w:lang w:val="en-GB"/>
        </w:rPr>
      </w:pPr>
      <w:r w:rsidRPr="00E11F75">
        <w:rPr>
          <w:rStyle w:val="EndnoteReference"/>
        </w:rPr>
        <w:endnoteRef/>
      </w:r>
      <w:r w:rsidRPr="00E11F75">
        <w:t xml:space="preserve"> King’s Fund, (2016)</w:t>
      </w:r>
      <w:r>
        <w:tab/>
      </w:r>
    </w:p>
  </w:endnote>
  <w:endnote w:id="9">
    <w:p w:rsidR="00C614A9" w:rsidRPr="004431A4" w:rsidRDefault="00C614A9" w:rsidP="00F7746D">
      <w:pPr>
        <w:pStyle w:val="EndnoteText"/>
        <w:spacing w:line="360" w:lineRule="auto"/>
        <w:rPr>
          <w:lang w:val="en-GB"/>
        </w:rPr>
      </w:pPr>
      <w:r>
        <w:rPr>
          <w:rStyle w:val="EndnoteReference"/>
        </w:rPr>
        <w:endnoteRef/>
      </w:r>
      <w:r>
        <w:t xml:space="preserve"> </w:t>
      </w:r>
      <w:r w:rsidRPr="00AA36DD">
        <w:rPr>
          <w:i/>
        </w:rPr>
        <w:t>The National Framework for NHS Continuing Healthcare</w:t>
      </w:r>
      <w:r w:rsidRPr="004431A4">
        <w:t xml:space="preserve"> </w:t>
      </w:r>
      <w:r>
        <w:t xml:space="preserve">2015 </w:t>
      </w:r>
      <w:r w:rsidRPr="004431A4">
        <w:t>(page 50 paragraph 2.1, 2.2 and 2.3)</w:t>
      </w:r>
    </w:p>
  </w:endnote>
  <w:endnote w:id="10">
    <w:p w:rsidR="00C614A9" w:rsidRPr="004431A4" w:rsidRDefault="00C614A9" w:rsidP="00F7746D">
      <w:pPr>
        <w:pStyle w:val="EndnoteText"/>
        <w:spacing w:line="360" w:lineRule="auto"/>
        <w:rPr>
          <w:lang w:val="en-GB"/>
        </w:rPr>
      </w:pPr>
      <w:r w:rsidRPr="00E11F75">
        <w:rPr>
          <w:rStyle w:val="EndnoteReference"/>
        </w:rPr>
        <w:endnoteRef/>
      </w:r>
      <w:r w:rsidRPr="00E11F75">
        <w:t xml:space="preserve"> King’s Fund (2017)</w:t>
      </w:r>
      <w:r>
        <w:t xml:space="preserve">  </w:t>
      </w:r>
      <w:r w:rsidRPr="00F77782">
        <w:rPr>
          <w:i/>
        </w:rPr>
        <w:t>How the NHS is funded</w:t>
      </w:r>
      <w:r>
        <w:t>, King’s Fund: London.</w:t>
      </w:r>
    </w:p>
  </w:endnote>
  <w:endnote w:id="11">
    <w:p w:rsidR="00C614A9" w:rsidRPr="00AA36DD" w:rsidRDefault="00C614A9" w:rsidP="00F7746D">
      <w:pPr>
        <w:pStyle w:val="EndnoteText"/>
        <w:spacing w:line="360" w:lineRule="auto"/>
      </w:pPr>
      <w:r>
        <w:rPr>
          <w:rStyle w:val="EndnoteReference"/>
        </w:rPr>
        <w:endnoteRef/>
      </w:r>
      <w:r w:rsidRPr="004431A4">
        <w:t xml:space="preserve"> NHS </w:t>
      </w:r>
      <w:r>
        <w:t xml:space="preserve">England </w:t>
      </w:r>
      <w:r w:rsidRPr="004431A4">
        <w:t>(2014)</w:t>
      </w:r>
      <w:r w:rsidRPr="00AA36DD">
        <w:t xml:space="preserve"> </w:t>
      </w:r>
      <w:r>
        <w:t>Understanding the New NHS: A guide for everyone working and training within the NHS, NHS England.</w:t>
      </w:r>
    </w:p>
  </w:endnote>
  <w:endnote w:id="12">
    <w:p w:rsidR="00C614A9" w:rsidRPr="00CA5651" w:rsidRDefault="00C614A9" w:rsidP="00F7746D">
      <w:pPr>
        <w:pStyle w:val="EndnoteText"/>
        <w:spacing w:line="360" w:lineRule="auto"/>
        <w:rPr>
          <w:lang w:val="en-GB"/>
        </w:rPr>
      </w:pPr>
      <w:r>
        <w:rPr>
          <w:rStyle w:val="EndnoteReference"/>
        </w:rPr>
        <w:endnoteRef/>
      </w:r>
      <w:r>
        <w:t xml:space="preserve"> </w:t>
      </w:r>
      <w:r w:rsidRPr="00CA5651">
        <w:t xml:space="preserve">HM Treasury </w:t>
      </w:r>
      <w:r>
        <w:t>(</w:t>
      </w:r>
      <w:r w:rsidRPr="00CA5651">
        <w:t>2015</w:t>
      </w:r>
      <w:r>
        <w:t xml:space="preserve">) </w:t>
      </w:r>
      <w:r w:rsidRPr="00CA5651">
        <w:t>Statistics Bulletin: Public Sp</w:t>
      </w:r>
      <w:r>
        <w:t>ending Statistics November 2015</w:t>
      </w:r>
      <w:r w:rsidRPr="00CA5651">
        <w:t xml:space="preserve">.  </w:t>
      </w:r>
    </w:p>
  </w:endnote>
  <w:endnote w:id="13">
    <w:p w:rsidR="00C614A9" w:rsidRPr="00CA5651" w:rsidRDefault="00C614A9" w:rsidP="00F7746D">
      <w:pPr>
        <w:pStyle w:val="EndnoteText"/>
        <w:spacing w:line="360" w:lineRule="auto"/>
        <w:rPr>
          <w:lang w:val="en-GB"/>
        </w:rPr>
      </w:pPr>
      <w:r>
        <w:rPr>
          <w:rStyle w:val="EndnoteReference"/>
        </w:rPr>
        <w:endnoteRef/>
      </w:r>
      <w:r>
        <w:t xml:space="preserve"> </w:t>
      </w:r>
      <w:r w:rsidRPr="00CA5651">
        <w:t>Robineau, D. (2016) Ageing Britain: two-fifths of NHS budget is spent on over-65s</w:t>
      </w:r>
      <w:r>
        <w:t>,</w:t>
      </w:r>
      <w:r w:rsidRPr="00CA5651">
        <w:t xml:space="preserve"> </w:t>
      </w:r>
      <w:r w:rsidRPr="00E11F75">
        <w:rPr>
          <w:i/>
        </w:rPr>
        <w:t>Guardian</w:t>
      </w:r>
      <w:r w:rsidRPr="00CA5651">
        <w:t xml:space="preserve">, 1 February.   </w:t>
      </w:r>
    </w:p>
  </w:endnote>
  <w:endnote w:id="14">
    <w:p w:rsidR="00C614A9" w:rsidRPr="005A2334" w:rsidRDefault="00C614A9" w:rsidP="00F7746D">
      <w:pPr>
        <w:pStyle w:val="EndnoteText"/>
        <w:spacing w:line="360" w:lineRule="auto"/>
        <w:rPr>
          <w:lang w:val="en-GB"/>
        </w:rPr>
      </w:pPr>
      <w:r>
        <w:rPr>
          <w:rStyle w:val="EndnoteReference"/>
        </w:rPr>
        <w:endnoteRef/>
      </w:r>
      <w:r>
        <w:t xml:space="preserve"> Hospital Episodes Survey (2015)</w:t>
      </w:r>
      <w:r w:rsidRPr="005A2334">
        <w:t xml:space="preserve"> Admitte</w:t>
      </w:r>
      <w:r>
        <w:t>d Patient Care, England 2014-5 (</w:t>
      </w:r>
      <w:r w:rsidRPr="005A2334">
        <w:t>published Nov</w:t>
      </w:r>
      <w:r>
        <w:t>ember</w:t>
      </w:r>
      <w:r w:rsidRPr="005A2334">
        <w:t xml:space="preserve"> 2015)</w:t>
      </w:r>
    </w:p>
  </w:endnote>
  <w:endnote w:id="15">
    <w:p w:rsidR="00C614A9" w:rsidRPr="009E42DD" w:rsidRDefault="00C614A9" w:rsidP="00F7746D">
      <w:pPr>
        <w:pStyle w:val="EndnoteText"/>
        <w:spacing w:line="360" w:lineRule="auto"/>
        <w:rPr>
          <w:lang w:val="en-GB"/>
        </w:rPr>
      </w:pPr>
      <w:r>
        <w:rPr>
          <w:rStyle w:val="EndnoteReference"/>
        </w:rPr>
        <w:endnoteRef/>
      </w:r>
      <w:r>
        <w:t xml:space="preserve"> </w:t>
      </w:r>
      <w:r>
        <w:rPr>
          <w:lang w:val="en-GB"/>
        </w:rPr>
        <w:t>Na</w:t>
      </w:r>
      <w:r w:rsidRPr="007F2667">
        <w:t xml:space="preserve">tional Audit Office (2016) </w:t>
      </w:r>
      <w:r w:rsidRPr="007F2667">
        <w:rPr>
          <w:i/>
        </w:rPr>
        <w:t>Discharging older patients from hospital</w:t>
      </w:r>
      <w:r>
        <w:t>, (HC 18 Session 2016-17), 26 M</w:t>
      </w:r>
      <w:r w:rsidRPr="007F2667">
        <w:t xml:space="preserve">ay.  </w:t>
      </w:r>
    </w:p>
  </w:endnote>
  <w:endnote w:id="16">
    <w:p w:rsidR="00C614A9" w:rsidRPr="006C253F" w:rsidRDefault="00C614A9" w:rsidP="00F7746D">
      <w:pPr>
        <w:pStyle w:val="EndnoteText"/>
        <w:spacing w:line="360" w:lineRule="auto"/>
        <w:rPr>
          <w:lang w:val="en-GB"/>
        </w:rPr>
      </w:pPr>
      <w:r>
        <w:rPr>
          <w:rStyle w:val="EndnoteReference"/>
        </w:rPr>
        <w:endnoteRef/>
      </w:r>
      <w:r>
        <w:t xml:space="preserve"> Office for National Statistics (</w:t>
      </w:r>
      <w:r w:rsidRPr="006C253F">
        <w:t>2016</w:t>
      </w:r>
      <w:r>
        <w:t>)</w:t>
      </w:r>
    </w:p>
  </w:endnote>
  <w:endnote w:id="17">
    <w:p w:rsidR="00C614A9" w:rsidRPr="00091BFA" w:rsidRDefault="00C614A9" w:rsidP="00F7746D">
      <w:pPr>
        <w:pStyle w:val="EndnoteText"/>
        <w:spacing w:line="360" w:lineRule="auto"/>
        <w:rPr>
          <w:lang w:val="en-GB"/>
        </w:rPr>
      </w:pPr>
      <w:r>
        <w:rPr>
          <w:rStyle w:val="EndnoteReference"/>
        </w:rPr>
        <w:endnoteRef/>
      </w:r>
      <w:r>
        <w:t xml:space="preserve"> </w:t>
      </w:r>
      <w:r w:rsidRPr="00091BFA">
        <w:t>Office for National Statistics (2016)</w:t>
      </w:r>
    </w:p>
  </w:endnote>
  <w:endnote w:id="18">
    <w:p w:rsidR="00C614A9" w:rsidRPr="005A2334" w:rsidRDefault="00C614A9" w:rsidP="00F7746D">
      <w:pPr>
        <w:pStyle w:val="EndnoteText"/>
        <w:spacing w:line="360" w:lineRule="auto"/>
        <w:rPr>
          <w:lang w:val="en-GB"/>
        </w:rPr>
      </w:pPr>
      <w:r>
        <w:rPr>
          <w:rStyle w:val="EndnoteReference"/>
        </w:rPr>
        <w:endnoteRef/>
      </w:r>
      <w:r>
        <w:t xml:space="preserve"> </w:t>
      </w:r>
      <w:r w:rsidRPr="007628B8">
        <w:t>Office for National Statistics</w:t>
      </w:r>
      <w:r>
        <w:t xml:space="preserve"> (2016)</w:t>
      </w:r>
      <w:r w:rsidRPr="007628B8">
        <w:t xml:space="preserve"> </w:t>
      </w:r>
      <w:r>
        <w:t xml:space="preserve">ONS </w:t>
      </w:r>
      <w:r w:rsidRPr="005A2334">
        <w:t>Nat</w:t>
      </w:r>
      <w:r>
        <w:t>ional Life Tables UK 2013-2015.</w:t>
      </w:r>
    </w:p>
  </w:endnote>
  <w:endnote w:id="19">
    <w:p w:rsidR="00C614A9" w:rsidRPr="005A2334" w:rsidRDefault="00C614A9" w:rsidP="00F7746D">
      <w:pPr>
        <w:pStyle w:val="EndnoteText"/>
        <w:spacing w:line="360" w:lineRule="auto"/>
        <w:rPr>
          <w:lang w:val="en-GB"/>
        </w:rPr>
      </w:pPr>
      <w:r>
        <w:rPr>
          <w:rStyle w:val="EndnoteReference"/>
        </w:rPr>
        <w:endnoteRef/>
      </w:r>
      <w:r>
        <w:t xml:space="preserve"> </w:t>
      </w:r>
      <w:r w:rsidRPr="007628B8">
        <w:t xml:space="preserve">Office for National Statistics </w:t>
      </w:r>
      <w:r>
        <w:t>(</w:t>
      </w:r>
      <w:r w:rsidRPr="005A2334">
        <w:t>2016) ‘Disability Free-life Expectancy (DFLE) and life expectancy (L</w:t>
      </w:r>
      <w:r>
        <w:t>E) as age 65 by region, England.</w:t>
      </w:r>
    </w:p>
  </w:endnote>
  <w:endnote w:id="20">
    <w:p w:rsidR="00C614A9" w:rsidRPr="005A2334" w:rsidRDefault="00C614A9" w:rsidP="00F7746D">
      <w:pPr>
        <w:pStyle w:val="EndnoteText"/>
        <w:spacing w:line="360" w:lineRule="auto"/>
        <w:rPr>
          <w:lang w:val="en-GB"/>
        </w:rPr>
      </w:pPr>
      <w:r>
        <w:rPr>
          <w:rStyle w:val="EndnoteReference"/>
        </w:rPr>
        <w:endnoteRef/>
      </w:r>
      <w:r>
        <w:t xml:space="preserve"> Health Survey for England (2015) </w:t>
      </w:r>
      <w:r w:rsidRPr="005A2334">
        <w:t>Adu</w:t>
      </w:r>
      <w:r>
        <w:t>lt Social Care, 2016</w:t>
      </w:r>
      <w:r w:rsidRPr="005A2334">
        <w:t xml:space="preserve">.  </w:t>
      </w:r>
    </w:p>
  </w:endnote>
  <w:endnote w:id="21">
    <w:p w:rsidR="00C614A9" w:rsidRPr="00512D7F" w:rsidRDefault="00C614A9" w:rsidP="00F7746D">
      <w:pPr>
        <w:pStyle w:val="EndnoteText"/>
        <w:spacing w:line="360" w:lineRule="auto"/>
        <w:rPr>
          <w:lang w:val="en-GB"/>
        </w:rPr>
      </w:pPr>
      <w:r>
        <w:rPr>
          <w:rStyle w:val="EndnoteReference"/>
        </w:rPr>
        <w:endnoteRef/>
      </w:r>
      <w:r>
        <w:t xml:space="preserve"> </w:t>
      </w:r>
      <w:r w:rsidRPr="00512D7F">
        <w:t xml:space="preserve">‘Activities of daily living’ refer to basic tasks of everyday life and are </w:t>
      </w:r>
      <w:r w:rsidRPr="00BF5323">
        <w:rPr>
          <w:i/>
        </w:rPr>
        <w:t>instrumental</w:t>
      </w:r>
      <w:r w:rsidRPr="00512D7F">
        <w:t xml:space="preserve"> (housework, taking medication, making meals) and </w:t>
      </w:r>
      <w:r w:rsidRPr="00BF5323">
        <w:rPr>
          <w:i/>
        </w:rPr>
        <w:t>basic</w:t>
      </w:r>
      <w:r w:rsidRPr="00512D7F">
        <w:t xml:space="preserve"> (eating, toileting and washing).  </w:t>
      </w:r>
    </w:p>
  </w:endnote>
  <w:endnote w:id="22">
    <w:p w:rsidR="00C614A9" w:rsidRPr="005A2334" w:rsidRDefault="00C614A9" w:rsidP="00F7746D">
      <w:pPr>
        <w:pStyle w:val="EndnoteText"/>
        <w:spacing w:line="360" w:lineRule="auto"/>
        <w:rPr>
          <w:lang w:val="en-GB"/>
        </w:rPr>
      </w:pPr>
      <w:r>
        <w:rPr>
          <w:rStyle w:val="EndnoteReference"/>
        </w:rPr>
        <w:endnoteRef/>
      </w:r>
      <w:r>
        <w:t xml:space="preserve"> </w:t>
      </w:r>
      <w:r w:rsidRPr="007628B8">
        <w:t>Office for National Statistics</w:t>
      </w:r>
      <w:r>
        <w:t xml:space="preserve"> (2013)</w:t>
      </w:r>
      <w:r w:rsidRPr="005A2334">
        <w:t xml:space="preserve"> </w:t>
      </w:r>
    </w:p>
  </w:endnote>
  <w:endnote w:id="23">
    <w:p w:rsidR="00C614A9" w:rsidRPr="00F45AAE" w:rsidRDefault="00C614A9" w:rsidP="00F7746D">
      <w:pPr>
        <w:pStyle w:val="EndnoteText"/>
        <w:spacing w:line="360" w:lineRule="auto"/>
        <w:rPr>
          <w:lang w:val="en-GB"/>
        </w:rPr>
      </w:pPr>
      <w:r>
        <w:rPr>
          <w:rStyle w:val="EndnoteReference"/>
        </w:rPr>
        <w:endnoteRef/>
      </w:r>
      <w:r>
        <w:t xml:space="preserve"> </w:t>
      </w:r>
      <w:r w:rsidRPr="00F45AAE">
        <w:t xml:space="preserve">Age Concern (2016) </w:t>
      </w:r>
      <w:r w:rsidRPr="00F77782">
        <w:rPr>
          <w:i/>
        </w:rPr>
        <w:t>Briefing: Health and Care of Older People in England 2016</w:t>
      </w:r>
      <w:r>
        <w:t>, Age Concern.</w:t>
      </w:r>
    </w:p>
  </w:endnote>
  <w:endnote w:id="24">
    <w:p w:rsidR="00C614A9" w:rsidRPr="001E02A3" w:rsidRDefault="00C614A9" w:rsidP="00F7746D">
      <w:pPr>
        <w:pStyle w:val="EndnoteText"/>
        <w:spacing w:line="360" w:lineRule="auto"/>
        <w:rPr>
          <w:lang w:val="en-GB"/>
        </w:rPr>
      </w:pPr>
      <w:r>
        <w:rPr>
          <w:rStyle w:val="EndnoteReference"/>
        </w:rPr>
        <w:endnoteRef/>
      </w:r>
      <w:r>
        <w:t xml:space="preserve"> </w:t>
      </w:r>
      <w:r w:rsidRPr="00BF5DDC">
        <w:t xml:space="preserve">Nazroo, J. Y. (2015) </w:t>
      </w:r>
      <w:r w:rsidRPr="007628B8">
        <w:rPr>
          <w:i/>
        </w:rPr>
        <w:t>Addressing inequalities in healthy life expectancy</w:t>
      </w:r>
      <w:r>
        <w:t>, Government Office for Science.</w:t>
      </w:r>
    </w:p>
  </w:endnote>
  <w:endnote w:id="25">
    <w:p w:rsidR="00C614A9" w:rsidRPr="00DD3CD4" w:rsidRDefault="00C614A9" w:rsidP="00F7746D">
      <w:pPr>
        <w:pStyle w:val="EndnoteText"/>
        <w:spacing w:line="360" w:lineRule="auto"/>
        <w:rPr>
          <w:i/>
        </w:rPr>
      </w:pPr>
      <w:r>
        <w:rPr>
          <w:rStyle w:val="EndnoteReference"/>
        </w:rPr>
        <w:endnoteRef/>
      </w:r>
      <w:r>
        <w:t xml:space="preserve"> </w:t>
      </w:r>
      <w:r w:rsidRPr="008F04FC">
        <w:t>Oliver</w:t>
      </w:r>
      <w:r>
        <w:t>, D., Foot, C. and Humphries, R.</w:t>
      </w:r>
      <w:r w:rsidRPr="008F04FC">
        <w:t xml:space="preserve"> (2014)</w:t>
      </w:r>
      <w:r w:rsidRPr="00DD3CD4">
        <w:t xml:space="preserve"> </w:t>
      </w:r>
      <w:r w:rsidRPr="00DD3CD4">
        <w:rPr>
          <w:i/>
        </w:rPr>
        <w:t>Making our health and care systems fit for an ageing</w:t>
      </w:r>
    </w:p>
    <w:p w:rsidR="00C614A9" w:rsidRPr="00DD3CD4" w:rsidRDefault="00C614A9" w:rsidP="00F7746D">
      <w:pPr>
        <w:pStyle w:val="EndnoteText"/>
        <w:spacing w:line="360" w:lineRule="auto"/>
      </w:pPr>
      <w:r w:rsidRPr="00DD3CD4">
        <w:rPr>
          <w:i/>
        </w:rPr>
        <w:t>Population</w:t>
      </w:r>
      <w:r>
        <w:t>, King’s Fund.</w:t>
      </w:r>
    </w:p>
  </w:endnote>
  <w:endnote w:id="26">
    <w:p w:rsidR="00C614A9" w:rsidRPr="005B7A48" w:rsidRDefault="00C614A9" w:rsidP="00F7746D">
      <w:pPr>
        <w:pStyle w:val="EndnoteText"/>
        <w:spacing w:line="360" w:lineRule="auto"/>
        <w:rPr>
          <w:lang w:val="en-GB"/>
        </w:rPr>
      </w:pPr>
      <w:r>
        <w:rPr>
          <w:rStyle w:val="EndnoteReference"/>
        </w:rPr>
        <w:endnoteRef/>
      </w:r>
      <w:r>
        <w:t xml:space="preserve"> Government Office for Science (2016) </w:t>
      </w:r>
      <w:r w:rsidRPr="00DD3CD4">
        <w:rPr>
          <w:i/>
        </w:rPr>
        <w:t>Future of an Ageing Population</w:t>
      </w:r>
      <w:r>
        <w:t xml:space="preserve"> </w:t>
      </w:r>
      <w:r w:rsidRPr="00DD3CD4">
        <w:t>http://www.ageing.ox.ac.uk/files/Future_of_Ageing_Report.pdf</w:t>
      </w:r>
    </w:p>
  </w:endnote>
  <w:endnote w:id="27">
    <w:p w:rsidR="00C614A9" w:rsidRPr="002D1412" w:rsidRDefault="00C614A9" w:rsidP="00F7746D">
      <w:pPr>
        <w:pStyle w:val="EndnoteText"/>
        <w:spacing w:line="360" w:lineRule="auto"/>
        <w:rPr>
          <w:lang w:val="en-GB"/>
        </w:rPr>
      </w:pPr>
      <w:r>
        <w:rPr>
          <w:rStyle w:val="EndnoteReference"/>
        </w:rPr>
        <w:endnoteRef/>
      </w:r>
      <w:r>
        <w:t xml:space="preserve"> </w:t>
      </w:r>
      <w:r w:rsidRPr="002D1412">
        <w:t xml:space="preserve">Windle, K. (2015) </w:t>
      </w:r>
      <w:r w:rsidRPr="001E02A3">
        <w:rPr>
          <w:i/>
        </w:rPr>
        <w:t>What role can local and national supportive services play in supporting independent and healthy living in individuals 65 and over</w:t>
      </w:r>
      <w:r w:rsidRPr="002D1412">
        <w:t>?</w:t>
      </w:r>
      <w:r w:rsidRPr="001E02A3">
        <w:t xml:space="preserve"> Government Office for Scienc</w:t>
      </w:r>
      <w:r>
        <w:t>e.</w:t>
      </w:r>
    </w:p>
  </w:endnote>
  <w:endnote w:id="28">
    <w:p w:rsidR="00C614A9" w:rsidRPr="001E02A3" w:rsidRDefault="00C614A9" w:rsidP="00F7746D">
      <w:pPr>
        <w:pStyle w:val="EndnoteText"/>
        <w:spacing w:line="360" w:lineRule="auto"/>
      </w:pPr>
      <w:r>
        <w:rPr>
          <w:rStyle w:val="EndnoteReference"/>
        </w:rPr>
        <w:endnoteRef/>
      </w:r>
      <w:r>
        <w:t xml:space="preserve"> Robinson, L. (2015) </w:t>
      </w:r>
      <w:r w:rsidRPr="007628B8">
        <w:rPr>
          <w:i/>
        </w:rPr>
        <w:t>Present and future con</w:t>
      </w:r>
      <w:r>
        <w:rPr>
          <w:i/>
        </w:rPr>
        <w:t xml:space="preserve">figuration of health and social </w:t>
      </w:r>
      <w:r w:rsidRPr="007628B8">
        <w:rPr>
          <w:i/>
        </w:rPr>
        <w:t>care services to enhance robustness in older age</w:t>
      </w:r>
      <w:r>
        <w:t xml:space="preserve">, </w:t>
      </w:r>
      <w:r w:rsidRPr="001E02A3">
        <w:t>Government Office for Scienc</w:t>
      </w:r>
      <w:r>
        <w:t>e.</w:t>
      </w:r>
    </w:p>
  </w:endnote>
  <w:endnote w:id="29">
    <w:p w:rsidR="00C614A9" w:rsidRPr="00AC7787" w:rsidRDefault="00C614A9" w:rsidP="00F7746D">
      <w:pPr>
        <w:pStyle w:val="EndnoteText"/>
        <w:spacing w:line="360" w:lineRule="auto"/>
      </w:pPr>
      <w:r>
        <w:rPr>
          <w:rStyle w:val="EndnoteReference"/>
        </w:rPr>
        <w:endnoteRef/>
      </w:r>
      <w:r>
        <w:t xml:space="preserve"> Graham, C., Campion, J., Kaiser, P. and Edwards, K. (2011)</w:t>
      </w:r>
      <w:r w:rsidRPr="00A2331E">
        <w:t xml:space="preserve"> </w:t>
      </w:r>
      <w:r w:rsidRPr="007628B8">
        <w:rPr>
          <w:i/>
        </w:rPr>
        <w:t>Management of depression in older people: why this is important in primary care</w:t>
      </w:r>
      <w:r>
        <w:t xml:space="preserve">. Primary care guidance – management of depression in older people. Royal College of General Practitioners.  </w:t>
      </w:r>
    </w:p>
  </w:endnote>
  <w:endnote w:id="30">
    <w:p w:rsidR="00C614A9" w:rsidRPr="00406029" w:rsidRDefault="00C614A9" w:rsidP="00F7746D">
      <w:pPr>
        <w:pStyle w:val="EndnoteText"/>
        <w:spacing w:line="360" w:lineRule="auto"/>
      </w:pPr>
      <w:r>
        <w:rPr>
          <w:rStyle w:val="EndnoteReference"/>
        </w:rPr>
        <w:endnoteRef/>
      </w:r>
      <w:r>
        <w:t xml:space="preserve"> Burns, A. (2015) Better access to mental health services for older people NHS England, Comment, 9 October.</w:t>
      </w:r>
    </w:p>
  </w:endnote>
  <w:endnote w:id="31">
    <w:p w:rsidR="000F6F4A" w:rsidRPr="007628B8" w:rsidRDefault="000F6F4A" w:rsidP="000F6F4A">
      <w:pPr>
        <w:pStyle w:val="EndnoteText"/>
        <w:spacing w:line="360" w:lineRule="auto"/>
        <w:rPr>
          <w:i/>
        </w:rPr>
      </w:pPr>
      <w:r>
        <w:rPr>
          <w:rStyle w:val="EndnoteReference"/>
        </w:rPr>
        <w:endnoteRef/>
      </w:r>
      <w:r>
        <w:t xml:space="preserve"> </w:t>
      </w:r>
      <w:proofErr w:type="spellStart"/>
      <w:r>
        <w:t>Windle</w:t>
      </w:r>
      <w:proofErr w:type="spellEnd"/>
      <w:r>
        <w:t xml:space="preserve">, K. (2015) </w:t>
      </w:r>
      <w:proofErr w:type="gramStart"/>
      <w:r w:rsidRPr="007628B8">
        <w:rPr>
          <w:i/>
        </w:rPr>
        <w:t>What</w:t>
      </w:r>
      <w:proofErr w:type="gramEnd"/>
      <w:r w:rsidRPr="007628B8">
        <w:rPr>
          <w:i/>
        </w:rPr>
        <w:t xml:space="preserve"> role can local and na</w:t>
      </w:r>
      <w:r>
        <w:rPr>
          <w:i/>
        </w:rPr>
        <w:t xml:space="preserve">tional supportive services play </w:t>
      </w:r>
      <w:r w:rsidRPr="007628B8">
        <w:rPr>
          <w:i/>
        </w:rPr>
        <w:t>in supporting independent and healthy living in individuals 65 and over?</w:t>
      </w:r>
      <w:r w:rsidRPr="001E02A3">
        <w:t xml:space="preserve"> </w:t>
      </w:r>
      <w:proofErr w:type="gramStart"/>
      <w:r w:rsidRPr="001E02A3">
        <w:t>Government Office for Scienc</w:t>
      </w:r>
      <w:r>
        <w:t>e.</w:t>
      </w:r>
      <w:proofErr w:type="gramEnd"/>
    </w:p>
  </w:endnote>
  <w:endnote w:id="32">
    <w:p w:rsidR="00C614A9" w:rsidRPr="005061EA" w:rsidRDefault="00C614A9" w:rsidP="00F7746D">
      <w:pPr>
        <w:pStyle w:val="EndnoteText"/>
        <w:spacing w:line="360" w:lineRule="auto"/>
      </w:pPr>
      <w:r>
        <w:rPr>
          <w:rStyle w:val="EndnoteReference"/>
        </w:rPr>
        <w:endnoteRef/>
      </w:r>
      <w:r>
        <w:t xml:space="preserve"> </w:t>
      </w:r>
      <w:proofErr w:type="spellStart"/>
      <w:r>
        <w:t>Parkin</w:t>
      </w:r>
      <w:proofErr w:type="spellEnd"/>
      <w:r>
        <w:t xml:space="preserve">, E. and Baker, C. (2016) </w:t>
      </w:r>
      <w:r w:rsidRPr="006A729B">
        <w:rPr>
          <w:i/>
        </w:rPr>
        <w:t>Dementia: policy, services and statistics</w:t>
      </w:r>
      <w:r>
        <w:t xml:space="preserve"> (Briefing Paper</w:t>
      </w:r>
      <w:r>
        <w:rPr>
          <w:lang w:val="en-GB"/>
        </w:rPr>
        <w:t xml:space="preserve"> </w:t>
      </w:r>
      <w:r>
        <w:t>No. 7007), 17 October, House of Commons Library.</w:t>
      </w:r>
    </w:p>
  </w:endnote>
  <w:endnote w:id="33">
    <w:p w:rsidR="00C614A9" w:rsidRPr="006A729B" w:rsidRDefault="00C614A9" w:rsidP="00F7746D">
      <w:pPr>
        <w:pStyle w:val="EndnoteText"/>
        <w:spacing w:line="360" w:lineRule="auto"/>
        <w:rPr>
          <w:lang w:val="en-GB"/>
        </w:rPr>
      </w:pPr>
      <w:r>
        <w:rPr>
          <w:rStyle w:val="EndnoteReference"/>
        </w:rPr>
        <w:endnoteRef/>
      </w:r>
      <w:r>
        <w:t xml:space="preserve"> </w:t>
      </w:r>
      <w:r w:rsidRPr="006A729B">
        <w:t>Wu,</w:t>
      </w:r>
      <w:r>
        <w:t xml:space="preserve"> Y-T et al. (2015) Dementia in W</w:t>
      </w:r>
      <w:r w:rsidRPr="006A729B">
        <w:t xml:space="preserve">estern Europe: epidemiological evidence and implications for policy making, </w:t>
      </w:r>
      <w:r w:rsidRPr="006A729B">
        <w:rPr>
          <w:i/>
        </w:rPr>
        <w:t>The Lancet Neurology</w:t>
      </w:r>
      <w:r w:rsidRPr="006A729B">
        <w:t xml:space="preserve"> 15, 116-124.  </w:t>
      </w:r>
    </w:p>
  </w:endnote>
  <w:endnote w:id="34">
    <w:p w:rsidR="00C614A9" w:rsidRPr="005061EA" w:rsidRDefault="00C614A9" w:rsidP="00F7746D">
      <w:pPr>
        <w:pStyle w:val="EndnoteText"/>
        <w:spacing w:line="360" w:lineRule="auto"/>
        <w:rPr>
          <w:lang w:val="en-GB"/>
        </w:rPr>
      </w:pPr>
      <w:r>
        <w:rPr>
          <w:rStyle w:val="EndnoteReference"/>
        </w:rPr>
        <w:endnoteRef/>
      </w:r>
      <w:r>
        <w:t xml:space="preserve"> </w:t>
      </w:r>
      <w:r w:rsidRPr="005061EA">
        <w:t>Prevalence rise</w:t>
      </w:r>
      <w:r>
        <w:t>s</w:t>
      </w:r>
      <w:r w:rsidRPr="005061EA">
        <w:t xml:space="preserve"> more quickly in countries that are ageing very rapid</w:t>
      </w:r>
      <w:r>
        <w:t xml:space="preserve">ly.  For East Asian countries </w:t>
      </w:r>
      <w:r w:rsidRPr="005061EA">
        <w:t xml:space="preserve">this is very relevant.  In the next two decades prevalence of dementia </w:t>
      </w:r>
      <w:r>
        <w:t xml:space="preserve">in Japan </w:t>
      </w:r>
      <w:r w:rsidRPr="005061EA">
        <w:t>will rise from 21 to nearly 37 per 1000 population, and for Korea prevalence will more than double from 8 to 20 per 1000 population.</w:t>
      </w:r>
    </w:p>
  </w:endnote>
  <w:endnote w:id="35">
    <w:p w:rsidR="00C614A9" w:rsidRPr="00385C4F" w:rsidRDefault="00C614A9" w:rsidP="00F7746D">
      <w:pPr>
        <w:pStyle w:val="EndnoteText"/>
        <w:spacing w:line="360" w:lineRule="auto"/>
      </w:pPr>
      <w:r>
        <w:rPr>
          <w:rStyle w:val="EndnoteReference"/>
        </w:rPr>
        <w:endnoteRef/>
      </w:r>
      <w:r>
        <w:t xml:space="preserve">  NHS Confederation (2013) </w:t>
      </w:r>
      <w:r w:rsidRPr="00385C4F">
        <w:rPr>
          <w:i/>
        </w:rPr>
        <w:t>Transforming local care: Community healthcare rises to the challenge</w:t>
      </w:r>
      <w:r>
        <w:t xml:space="preserve">, </w:t>
      </w:r>
      <w:r w:rsidRPr="00385C4F">
        <w:t xml:space="preserve">Community Health Services Forum </w:t>
      </w:r>
      <w:r>
        <w:t>B</w:t>
      </w:r>
      <w:r w:rsidRPr="00385C4F">
        <w:t>riefing</w:t>
      </w:r>
      <w:r>
        <w:t xml:space="preserve"> (Issue 258), NHS Confederation.</w:t>
      </w:r>
    </w:p>
  </w:endnote>
  <w:endnote w:id="36">
    <w:p w:rsidR="00C614A9" w:rsidRPr="00917D6E" w:rsidRDefault="00C614A9" w:rsidP="00F7746D">
      <w:pPr>
        <w:pStyle w:val="EndnoteText"/>
        <w:spacing w:line="360" w:lineRule="auto"/>
        <w:rPr>
          <w:lang w:val="en-GB"/>
        </w:rPr>
      </w:pPr>
      <w:r>
        <w:rPr>
          <w:rStyle w:val="EndnoteReference"/>
        </w:rPr>
        <w:endnoteRef/>
      </w:r>
      <w:r>
        <w:t xml:space="preserve"> </w:t>
      </w:r>
      <w:r w:rsidRPr="00917D6E">
        <w:t>National Audit Office (</w:t>
      </w:r>
      <w:r>
        <w:t xml:space="preserve">2016) </w:t>
      </w:r>
      <w:r w:rsidRPr="007628B8">
        <w:rPr>
          <w:i/>
        </w:rPr>
        <w:t>Discharging older patients from hospital</w:t>
      </w:r>
      <w:r>
        <w:t>, (HC 18 Session 2016-17), 26 M</w:t>
      </w:r>
      <w:r w:rsidRPr="00917D6E">
        <w:t xml:space="preserve">ay.  </w:t>
      </w:r>
    </w:p>
  </w:endnote>
  <w:endnote w:id="37">
    <w:p w:rsidR="00C614A9" w:rsidRPr="007F2667" w:rsidRDefault="00C614A9" w:rsidP="00F7746D">
      <w:pPr>
        <w:pStyle w:val="EndnoteText"/>
        <w:spacing w:line="360" w:lineRule="auto"/>
        <w:rPr>
          <w:lang w:val="en-GB"/>
        </w:rPr>
      </w:pPr>
      <w:r>
        <w:rPr>
          <w:rStyle w:val="EndnoteReference"/>
        </w:rPr>
        <w:endnoteRef/>
      </w:r>
      <w:r>
        <w:t xml:space="preserve"> Public Accounts Committee (2016) </w:t>
      </w:r>
      <w:r w:rsidRPr="007F2667">
        <w:rPr>
          <w:i/>
        </w:rPr>
        <w:t>Discharging older people from acute hospitals</w:t>
      </w:r>
      <w:r>
        <w:rPr>
          <w:i/>
        </w:rPr>
        <w:t xml:space="preserve"> inquiry</w:t>
      </w:r>
      <w:r>
        <w:t>, Public Accounts Committee,</w:t>
      </w:r>
      <w:r w:rsidRPr="00C36921">
        <w:t xml:space="preserve"> 22 July</w:t>
      </w:r>
      <w:r>
        <w:t>.</w:t>
      </w:r>
    </w:p>
  </w:endnote>
  <w:endnote w:id="38">
    <w:p w:rsidR="00C614A9" w:rsidRPr="007F2667" w:rsidRDefault="00C614A9" w:rsidP="00F7746D">
      <w:pPr>
        <w:pStyle w:val="EndnoteText"/>
        <w:spacing w:line="360" w:lineRule="auto"/>
        <w:rPr>
          <w:lang w:val="en-GB"/>
        </w:rPr>
      </w:pPr>
      <w:r>
        <w:rPr>
          <w:rStyle w:val="EndnoteReference"/>
        </w:rPr>
        <w:endnoteRef/>
      </w:r>
      <w:r>
        <w:t xml:space="preserve"> </w:t>
      </w:r>
      <w:r w:rsidRPr="007F2667">
        <w:t xml:space="preserve">National Audit Office (2016) </w:t>
      </w:r>
      <w:r w:rsidRPr="007F2667">
        <w:rPr>
          <w:i/>
        </w:rPr>
        <w:t>Discharging older patients from hospital</w:t>
      </w:r>
      <w:r>
        <w:t>, (HC 18 Session 2016-17), 26 M</w:t>
      </w:r>
      <w:r w:rsidRPr="007F2667">
        <w:t xml:space="preserve">ay.  </w:t>
      </w:r>
    </w:p>
  </w:endnote>
  <w:endnote w:id="39">
    <w:p w:rsidR="00C614A9" w:rsidRPr="00095322" w:rsidRDefault="00C614A9" w:rsidP="00F7746D">
      <w:pPr>
        <w:pStyle w:val="EndnoteText"/>
        <w:spacing w:line="360" w:lineRule="auto"/>
        <w:rPr>
          <w:lang w:val="en-GB"/>
        </w:rPr>
      </w:pPr>
      <w:r>
        <w:rPr>
          <w:rStyle w:val="EndnoteReference"/>
        </w:rPr>
        <w:endnoteRef/>
      </w:r>
      <w:r>
        <w:t xml:space="preserve"> </w:t>
      </w:r>
      <w:r w:rsidRPr="00095322">
        <w:t xml:space="preserve">Public Accounts Committee (2016) </w:t>
      </w:r>
      <w:r w:rsidRPr="00095322">
        <w:rPr>
          <w:i/>
        </w:rPr>
        <w:t>Discharging older people from acute hospitals</w:t>
      </w:r>
      <w:r>
        <w:rPr>
          <w:i/>
        </w:rPr>
        <w:t xml:space="preserve"> inquiry</w:t>
      </w:r>
      <w:r w:rsidRPr="00095322">
        <w:t>, Public Accounts Committee</w:t>
      </w:r>
      <w:r>
        <w:t>.</w:t>
      </w:r>
      <w:r w:rsidRPr="00C36921">
        <w:t xml:space="preserve"> 22 July</w:t>
      </w:r>
      <w:r>
        <w:t>.</w:t>
      </w:r>
    </w:p>
  </w:endnote>
  <w:endnote w:id="40">
    <w:p w:rsidR="00C614A9" w:rsidRPr="007F2667" w:rsidRDefault="00C614A9" w:rsidP="00F7746D">
      <w:pPr>
        <w:pStyle w:val="EndnoteText"/>
        <w:spacing w:line="360" w:lineRule="auto"/>
        <w:rPr>
          <w:lang w:val="en-GB"/>
        </w:rPr>
      </w:pPr>
      <w:r>
        <w:rPr>
          <w:rStyle w:val="EndnoteReference"/>
        </w:rPr>
        <w:endnoteRef/>
      </w:r>
      <w:r>
        <w:t xml:space="preserve"> Public Accounts Committee (2</w:t>
      </w:r>
      <w:r w:rsidRPr="007F2667">
        <w:t>0</w:t>
      </w:r>
      <w:r>
        <w:t>1</w:t>
      </w:r>
      <w:r w:rsidRPr="007F2667">
        <w:t xml:space="preserve">6) </w:t>
      </w:r>
      <w:r w:rsidRPr="007F2667">
        <w:rPr>
          <w:i/>
        </w:rPr>
        <w:t>Discharging older people from acute hospitals</w:t>
      </w:r>
      <w:r>
        <w:rPr>
          <w:i/>
        </w:rPr>
        <w:t xml:space="preserve"> inquiry</w:t>
      </w:r>
      <w:r w:rsidRPr="007F2667">
        <w:t>, Public Accounts Committee</w:t>
      </w:r>
      <w:r>
        <w:t>.</w:t>
      </w:r>
      <w:r w:rsidRPr="00C36921">
        <w:t xml:space="preserve"> 22 July</w:t>
      </w:r>
      <w:r>
        <w:t>.</w:t>
      </w:r>
    </w:p>
  </w:endnote>
  <w:endnote w:id="41">
    <w:p w:rsidR="00C614A9" w:rsidRPr="00081FA1" w:rsidRDefault="00C614A9" w:rsidP="00F7746D">
      <w:pPr>
        <w:pStyle w:val="EndnoteText"/>
        <w:spacing w:line="360" w:lineRule="auto"/>
        <w:rPr>
          <w:lang w:val="en-GB"/>
        </w:rPr>
      </w:pPr>
      <w:r>
        <w:rPr>
          <w:rStyle w:val="EndnoteReference"/>
        </w:rPr>
        <w:endnoteRef/>
      </w:r>
      <w:r>
        <w:t xml:space="preserve"> </w:t>
      </w:r>
      <w:r w:rsidRPr="00081FA1">
        <w:t xml:space="preserve">Public Accounts Committee (2016) </w:t>
      </w:r>
      <w:r w:rsidRPr="00081FA1">
        <w:rPr>
          <w:i/>
        </w:rPr>
        <w:t>Discharging older people from acute hospitals</w:t>
      </w:r>
      <w:r>
        <w:rPr>
          <w:i/>
        </w:rPr>
        <w:t xml:space="preserve"> inquiry</w:t>
      </w:r>
      <w:r w:rsidRPr="00081FA1">
        <w:t>, Public Accounts Committee</w:t>
      </w:r>
      <w:r>
        <w:t>.</w:t>
      </w:r>
      <w:r w:rsidRPr="00C36921">
        <w:t xml:space="preserve"> 22 July</w:t>
      </w:r>
      <w:r>
        <w:t>.</w:t>
      </w:r>
      <w:r w:rsidRPr="00C36921">
        <w:t xml:space="preserve"> </w:t>
      </w:r>
    </w:p>
  </w:endnote>
  <w:endnote w:id="42">
    <w:p w:rsidR="00C614A9" w:rsidRPr="001505AA" w:rsidRDefault="00C614A9" w:rsidP="00F7746D">
      <w:pPr>
        <w:pStyle w:val="EndnoteText"/>
        <w:spacing w:line="360" w:lineRule="auto"/>
        <w:rPr>
          <w:i/>
        </w:rPr>
      </w:pPr>
      <w:r>
        <w:rPr>
          <w:rStyle w:val="EndnoteReference"/>
        </w:rPr>
        <w:endnoteRef/>
      </w:r>
      <w:r>
        <w:t xml:space="preserve"> Oliver, D., Foot, C. and Humphries, R. (2014) </w:t>
      </w:r>
      <w:r w:rsidRPr="001505AA">
        <w:rPr>
          <w:i/>
        </w:rPr>
        <w:t>Making our health and</w:t>
      </w:r>
      <w:r>
        <w:rPr>
          <w:i/>
        </w:rPr>
        <w:t xml:space="preserve"> care systems fit for an ageing </w:t>
      </w:r>
      <w:r w:rsidRPr="001505AA">
        <w:rPr>
          <w:i/>
        </w:rPr>
        <w:t>Population</w:t>
      </w:r>
      <w:r>
        <w:t>, King’s Fund: London (p.</w:t>
      </w:r>
      <w:r w:rsidRPr="001505AA">
        <w:t xml:space="preserve"> 35</w:t>
      </w:r>
      <w:r>
        <w:t>).</w:t>
      </w:r>
    </w:p>
  </w:endnote>
  <w:endnote w:id="43">
    <w:p w:rsidR="00C614A9" w:rsidRPr="00E04B8F" w:rsidRDefault="00C614A9" w:rsidP="00F7746D">
      <w:pPr>
        <w:pStyle w:val="EndnoteText"/>
        <w:spacing w:line="360" w:lineRule="auto"/>
        <w:rPr>
          <w:lang w:val="en-GB"/>
        </w:rPr>
      </w:pPr>
      <w:r>
        <w:rPr>
          <w:rStyle w:val="EndnoteReference"/>
        </w:rPr>
        <w:endnoteRef/>
      </w:r>
      <w:r>
        <w:t xml:space="preserve"> </w:t>
      </w:r>
      <w:r w:rsidRPr="00E04B8F">
        <w:t>Imison</w:t>
      </w:r>
      <w:r>
        <w:t>, C.</w:t>
      </w:r>
      <w:r w:rsidRPr="00E04B8F">
        <w:t xml:space="preserve"> and Bohmer, </w:t>
      </w:r>
      <w:r>
        <w:t>R. (</w:t>
      </w:r>
      <w:r w:rsidRPr="00E04B8F">
        <w:t>2013</w:t>
      </w:r>
      <w:r>
        <w:t>)</w:t>
      </w:r>
      <w:r w:rsidRPr="00E04B8F">
        <w:t xml:space="preserve"> </w:t>
      </w:r>
      <w:r w:rsidRPr="00E04B8F">
        <w:rPr>
          <w:i/>
        </w:rPr>
        <w:t>NHS and Social Care Workforce: meeting our needs now and in the future</w:t>
      </w:r>
      <w:r w:rsidRPr="00E04B8F">
        <w:t>, King’s Fund</w:t>
      </w:r>
      <w:r>
        <w:t>: London.</w:t>
      </w:r>
    </w:p>
  </w:endnote>
  <w:endnote w:id="44">
    <w:p w:rsidR="00C614A9" w:rsidRPr="00650EE8" w:rsidRDefault="00C614A9" w:rsidP="00F7746D">
      <w:pPr>
        <w:pStyle w:val="EndnoteText"/>
        <w:spacing w:line="360" w:lineRule="auto"/>
        <w:rPr>
          <w:lang w:val="en-GB"/>
        </w:rPr>
      </w:pPr>
      <w:r>
        <w:rPr>
          <w:rStyle w:val="EndnoteReference"/>
        </w:rPr>
        <w:endnoteRef/>
      </w:r>
      <w:r>
        <w:t xml:space="preserve"> </w:t>
      </w:r>
      <w:r w:rsidRPr="00650EE8">
        <w:t>Imison</w:t>
      </w:r>
      <w:r>
        <w:t>, C.</w:t>
      </w:r>
      <w:r w:rsidRPr="00650EE8">
        <w:t xml:space="preserve"> and Bohmer, </w:t>
      </w:r>
      <w:r>
        <w:t>R. (</w:t>
      </w:r>
      <w:r w:rsidRPr="00650EE8">
        <w:t>20</w:t>
      </w:r>
      <w:r>
        <w:t>13)</w:t>
      </w:r>
      <w:r w:rsidRPr="00650EE8">
        <w:t xml:space="preserve"> </w:t>
      </w:r>
      <w:r w:rsidRPr="001E02A3">
        <w:rPr>
          <w:i/>
        </w:rPr>
        <w:t>NHS and Social Care Workforce: meeting our needs now and in the future</w:t>
      </w:r>
      <w:r>
        <w:t>, King’s Fund: London.</w:t>
      </w:r>
    </w:p>
  </w:endnote>
  <w:endnote w:id="45">
    <w:p w:rsidR="00C614A9" w:rsidRPr="00A2331E" w:rsidRDefault="00C614A9" w:rsidP="00F7746D">
      <w:pPr>
        <w:pStyle w:val="EndnoteText"/>
        <w:spacing w:line="360" w:lineRule="auto"/>
        <w:rPr>
          <w:lang w:val="en-GB"/>
        </w:rPr>
      </w:pPr>
      <w:r>
        <w:rPr>
          <w:rStyle w:val="EndnoteReference"/>
        </w:rPr>
        <w:endnoteRef/>
      </w:r>
      <w:r>
        <w:t xml:space="preserve"> Fisher, J.M., Garside, M., Hunt, K. and Lo, N. (2014) Geriatric medicine workforce planning: a giant geriatric problem or has the tide turned?</w:t>
      </w:r>
      <w:r w:rsidRPr="00A2331E">
        <w:t xml:space="preserve"> </w:t>
      </w:r>
      <w:r w:rsidRPr="001E02A3">
        <w:rPr>
          <w:i/>
        </w:rPr>
        <w:t>Clinical Medicine</w:t>
      </w:r>
      <w:r>
        <w:t xml:space="preserve"> 14, 2, </w:t>
      </w:r>
      <w:r w:rsidRPr="00A2331E">
        <w:t xml:space="preserve">102-6. </w:t>
      </w:r>
    </w:p>
  </w:endnote>
  <w:endnote w:id="46">
    <w:p w:rsidR="00C614A9" w:rsidRPr="003E6E42" w:rsidRDefault="00C614A9" w:rsidP="00F7746D">
      <w:pPr>
        <w:pStyle w:val="EndnoteText"/>
        <w:spacing w:line="360" w:lineRule="auto"/>
        <w:rPr>
          <w:lang w:val="en-GB"/>
        </w:rPr>
      </w:pPr>
      <w:r>
        <w:rPr>
          <w:rStyle w:val="EndnoteReference"/>
        </w:rPr>
        <w:endnoteRef/>
      </w:r>
      <w:r>
        <w:t xml:space="preserve"> Gerada </w:t>
      </w:r>
      <w:r w:rsidRPr="003E6E42">
        <w:t>C</w:t>
      </w:r>
      <w:r>
        <w:t>.,</w:t>
      </w:r>
      <w:r w:rsidRPr="003E6E42">
        <w:t xml:space="preserve"> et al (2012</w:t>
      </w:r>
      <w:r w:rsidRPr="003E6E42">
        <w:rPr>
          <w:i/>
        </w:rPr>
        <w:t>) Preparing the Future GP: the case for enhanced GP Training</w:t>
      </w:r>
      <w:r w:rsidRPr="003E6E42">
        <w:t>. Royal College of General Practitioners: London.</w:t>
      </w:r>
    </w:p>
  </w:endnote>
  <w:endnote w:id="47">
    <w:p w:rsidR="00C614A9" w:rsidRPr="001505AA" w:rsidRDefault="00C614A9" w:rsidP="005453DA">
      <w:pPr>
        <w:pStyle w:val="EndnoteText"/>
        <w:spacing w:line="360" w:lineRule="auto"/>
        <w:rPr>
          <w:lang w:val="en-GB"/>
        </w:rPr>
      </w:pPr>
      <w:r>
        <w:rPr>
          <w:rStyle w:val="EndnoteReference"/>
        </w:rPr>
        <w:endnoteRef/>
      </w:r>
      <w:r>
        <w:t xml:space="preserve"> Keogh, B. (2015) </w:t>
      </w:r>
      <w:r w:rsidRPr="001505AA">
        <w:t>NHS cannot cope with ageing population, warns top doctor</w:t>
      </w:r>
      <w:r>
        <w:t xml:space="preserve">, </w:t>
      </w:r>
      <w:r w:rsidRPr="001505AA">
        <w:rPr>
          <w:i/>
        </w:rPr>
        <w:t>Guardian</w:t>
      </w:r>
      <w:r w:rsidRPr="001505AA">
        <w:t xml:space="preserve"> 19th January</w:t>
      </w:r>
      <w:r>
        <w:t>.</w:t>
      </w:r>
      <w:r w:rsidRPr="001505AA">
        <w:t xml:space="preserve"> </w:t>
      </w:r>
    </w:p>
  </w:endnote>
  <w:endnote w:id="48">
    <w:p w:rsidR="00C614A9" w:rsidRPr="005453DA" w:rsidRDefault="00C614A9" w:rsidP="00B4329B">
      <w:pPr>
        <w:pStyle w:val="EndnoteText"/>
        <w:spacing w:line="360" w:lineRule="auto"/>
      </w:pPr>
      <w:r>
        <w:rPr>
          <w:rStyle w:val="EndnoteReference"/>
        </w:rPr>
        <w:endnoteRef/>
      </w:r>
      <w:r>
        <w:t xml:space="preserve"> Office for Budget Responsibility (2017) </w:t>
      </w:r>
      <w:r w:rsidRPr="005453DA">
        <w:rPr>
          <w:i/>
        </w:rPr>
        <w:t>Fiscal sustainability report January 2017</w:t>
      </w:r>
      <w:r>
        <w:t>, Presented to Parliament pursuant to Section 8 of the Budget Responsibility and National Audit Act 2011 London: OBR.</w:t>
      </w:r>
    </w:p>
  </w:endnote>
  <w:endnote w:id="49">
    <w:p w:rsidR="00C614A9" w:rsidRPr="00F27C7A" w:rsidRDefault="00C614A9" w:rsidP="00B4329B">
      <w:pPr>
        <w:pStyle w:val="EndnoteText"/>
        <w:spacing w:line="360" w:lineRule="auto"/>
        <w:rPr>
          <w:lang w:val="en-GB"/>
        </w:rPr>
      </w:pPr>
      <w:r>
        <w:rPr>
          <w:rStyle w:val="EndnoteReference"/>
        </w:rPr>
        <w:endnoteRef/>
      </w:r>
      <w:r>
        <w:t xml:space="preserve"> </w:t>
      </w:r>
      <w:r w:rsidRPr="00F27C7A">
        <w:t xml:space="preserve">Sustainability and Transformation Plans (STPs) </w:t>
      </w:r>
      <w:r>
        <w:t xml:space="preserve"> at </w:t>
      </w:r>
      <w:r w:rsidRPr="00F27C7A">
        <w:t>https://www.england.nhs.uk/stps/</w:t>
      </w:r>
    </w:p>
  </w:endnote>
  <w:endnote w:id="50">
    <w:p w:rsidR="00C614A9" w:rsidRPr="00B4329B" w:rsidRDefault="00C614A9" w:rsidP="00B4329B">
      <w:pPr>
        <w:pStyle w:val="EndnoteText"/>
        <w:spacing w:line="360" w:lineRule="auto"/>
        <w:rPr>
          <w:lang w:val="en-GB"/>
        </w:rPr>
      </w:pPr>
      <w:r>
        <w:rPr>
          <w:rStyle w:val="EndnoteReference"/>
        </w:rPr>
        <w:endnoteRef/>
      </w:r>
      <w:r>
        <w:t xml:space="preserve"> </w:t>
      </w:r>
      <w:r w:rsidRPr="00B4329B">
        <w:t>NHS England's Commitment for Carers</w:t>
      </w:r>
      <w:r>
        <w:t xml:space="preserve"> (2014)  </w:t>
      </w:r>
      <w:r w:rsidRPr="00B4329B">
        <w:t>https://www.england.nhs.uk/wp-content/uploads/2014/05/commitment-to-carers-may14.pdf</w:t>
      </w:r>
    </w:p>
  </w:endnote>
  <w:endnote w:id="51">
    <w:p w:rsidR="00C614A9" w:rsidRDefault="00C614A9" w:rsidP="00B4329B">
      <w:pPr>
        <w:pStyle w:val="EndnoteText"/>
        <w:spacing w:line="360" w:lineRule="auto"/>
      </w:pPr>
      <w:r>
        <w:rPr>
          <w:rStyle w:val="EndnoteReference"/>
        </w:rPr>
        <w:endnoteRef/>
      </w:r>
      <w:r>
        <w:t xml:space="preserve"> Health Foundation (2017) </w:t>
      </w:r>
      <w:r w:rsidRPr="00B717B3">
        <w:rPr>
          <w:i/>
        </w:rPr>
        <w:t>Briefing: The social care funding gap: implications for local health care reform</w:t>
      </w:r>
      <w:r w:rsidRPr="00B717B3">
        <w:t>.</w:t>
      </w:r>
    </w:p>
    <w:p w:rsidR="00C614A9" w:rsidRPr="00B717B3" w:rsidRDefault="00C614A9" w:rsidP="00B4329B">
      <w:pPr>
        <w:pStyle w:val="EndnoteText"/>
        <w:spacing w:line="360" w:lineRule="auto"/>
      </w:pPr>
      <w:r w:rsidRPr="00B717B3">
        <w:t>http://www.health.org.uk/sites/health/files/SocialCareFundingGap.pdf</w:t>
      </w:r>
    </w:p>
  </w:endnote>
  <w:endnote w:id="52">
    <w:p w:rsidR="00C614A9" w:rsidRPr="003E6E42" w:rsidRDefault="00C614A9" w:rsidP="00B717B3">
      <w:pPr>
        <w:pStyle w:val="EndnoteText"/>
        <w:spacing w:line="360" w:lineRule="auto"/>
      </w:pPr>
      <w:r>
        <w:rPr>
          <w:rStyle w:val="EndnoteReference"/>
        </w:rPr>
        <w:endnoteRef/>
      </w:r>
      <w:r>
        <w:t xml:space="preserve"> The National Dementia Strategy 2009 </w:t>
      </w:r>
      <w:r w:rsidRPr="007628B8">
        <w:rPr>
          <w:i/>
        </w:rPr>
        <w:t>Living well with dementia</w:t>
      </w:r>
      <w:r>
        <w:t xml:space="preserve">; Department of Health (2012) </w:t>
      </w:r>
      <w:r w:rsidRPr="007628B8">
        <w:rPr>
          <w:i/>
        </w:rPr>
        <w:t>Dementia 2012: A national challenge</w:t>
      </w:r>
      <w:r>
        <w:t xml:space="preserve">; Department of Health (2015) </w:t>
      </w:r>
      <w:r w:rsidRPr="007628B8">
        <w:rPr>
          <w:i/>
        </w:rPr>
        <w:t>Prime Minister’s challenge on dementia 2020</w:t>
      </w:r>
      <w:r>
        <w:t>, 2015,</w:t>
      </w:r>
    </w:p>
  </w:endnote>
  <w:endnote w:id="53">
    <w:p w:rsidR="00C614A9" w:rsidRPr="00A2331E" w:rsidRDefault="00C614A9" w:rsidP="005C219A">
      <w:pPr>
        <w:pStyle w:val="EndnoteText"/>
        <w:spacing w:line="360" w:lineRule="auto"/>
        <w:rPr>
          <w:lang w:val="en-GB"/>
        </w:rPr>
      </w:pPr>
      <w:r>
        <w:rPr>
          <w:rStyle w:val="EndnoteReference"/>
        </w:rPr>
        <w:endnoteRef/>
      </w:r>
      <w:r>
        <w:t xml:space="preserve"> </w:t>
      </w:r>
      <w:r w:rsidRPr="00A2331E">
        <w:t xml:space="preserve">National Audit of Intermediate Care (2015) </w:t>
      </w:r>
      <w:r w:rsidRPr="007628B8">
        <w:rPr>
          <w:i/>
        </w:rPr>
        <w:t>Summary report</w:t>
      </w:r>
      <w:r w:rsidRPr="00A2331E">
        <w:t>.</w:t>
      </w:r>
      <w:r w:rsidR="0062147F" w:rsidRPr="0062147F">
        <w:t xml:space="preserve"> NHS Benchmarking Network</w:t>
      </w:r>
      <w:r w:rsidR="0062147F">
        <w:t>.</w:t>
      </w:r>
    </w:p>
  </w:endnote>
  <w:endnote w:id="54">
    <w:p w:rsidR="00C614A9" w:rsidRPr="00B112F0" w:rsidRDefault="00C614A9" w:rsidP="005C219A">
      <w:pPr>
        <w:pStyle w:val="EndnoteText"/>
        <w:spacing w:line="360" w:lineRule="auto"/>
        <w:rPr>
          <w:lang w:val="en-GB"/>
        </w:rPr>
      </w:pPr>
      <w:r>
        <w:rPr>
          <w:rStyle w:val="EndnoteReference"/>
        </w:rPr>
        <w:endnoteRef/>
      </w:r>
      <w:r>
        <w:t xml:space="preserve"> </w:t>
      </w:r>
      <w:r w:rsidR="0062147F">
        <w:t xml:space="preserve">NHS England/ Age UK (2015) </w:t>
      </w:r>
      <w:r>
        <w:rPr>
          <w:lang w:val="en-GB"/>
        </w:rPr>
        <w:t xml:space="preserve">NHS Guide to Healthy Ageing (with Age UK). </w:t>
      </w:r>
    </w:p>
  </w:endnote>
  <w:endnote w:id="55">
    <w:p w:rsidR="00C614A9" w:rsidRPr="00D91BF2" w:rsidRDefault="00C614A9" w:rsidP="00CC53C3">
      <w:pPr>
        <w:pStyle w:val="EndnoteText"/>
        <w:spacing w:line="360" w:lineRule="auto"/>
        <w:rPr>
          <w:lang w:val="en-GB"/>
        </w:rPr>
      </w:pPr>
      <w:r>
        <w:rPr>
          <w:rStyle w:val="EndnoteReference"/>
        </w:rPr>
        <w:endnoteRef/>
      </w:r>
      <w:r>
        <w:t xml:space="preserve"> House of Commons Health Committee (2015) </w:t>
      </w:r>
      <w:r w:rsidRPr="00D91BF2">
        <w:rPr>
          <w:i/>
          <w:lang w:val="en-GB"/>
        </w:rPr>
        <w:t>End of Life Care</w:t>
      </w:r>
      <w:r>
        <w:rPr>
          <w:lang w:val="en-GB"/>
        </w:rPr>
        <w:t>, Fifth Report of Session 2014-15, 10 March 2015</w:t>
      </w:r>
      <w:r w:rsidR="0062147F">
        <w:rPr>
          <w:lang w:val="en-GB"/>
        </w:rPr>
        <w:t>.</w:t>
      </w:r>
    </w:p>
  </w:endnote>
  <w:endnote w:id="56">
    <w:p w:rsidR="00C614A9" w:rsidRPr="00B112F0" w:rsidRDefault="00C614A9" w:rsidP="00AA7AD9">
      <w:pPr>
        <w:pStyle w:val="EndnoteText"/>
        <w:spacing w:line="360" w:lineRule="auto"/>
        <w:rPr>
          <w:lang w:val="en-GB"/>
        </w:rPr>
      </w:pPr>
      <w:r>
        <w:rPr>
          <w:rStyle w:val="EndnoteReference"/>
        </w:rPr>
        <w:endnoteRef/>
      </w:r>
      <w:r>
        <w:t xml:space="preserve"> </w:t>
      </w:r>
      <w:r w:rsidR="0062147F">
        <w:rPr>
          <w:lang w:val="en-GB"/>
        </w:rPr>
        <w:t>Age UK (undated)</w:t>
      </w:r>
      <w:r>
        <w:rPr>
          <w:lang w:val="en-GB"/>
        </w:rPr>
        <w:t xml:space="preserve"> Healthy Ageing Evidence Review</w:t>
      </w:r>
      <w:r w:rsidR="0062147F">
        <w:rPr>
          <w:lang w:val="en-GB"/>
        </w:rPr>
        <w:t>.</w:t>
      </w:r>
    </w:p>
  </w:endnote>
  <w:endnote w:id="57">
    <w:p w:rsidR="00C614A9" w:rsidRPr="009B4BEC" w:rsidRDefault="00C614A9" w:rsidP="00AA7AD9">
      <w:pPr>
        <w:pStyle w:val="EndnoteText"/>
        <w:spacing w:line="360" w:lineRule="auto"/>
        <w:rPr>
          <w:lang w:val="en-GB"/>
        </w:rPr>
      </w:pPr>
      <w:r>
        <w:rPr>
          <w:rStyle w:val="EndnoteReference"/>
        </w:rPr>
        <w:endnoteRef/>
      </w:r>
      <w:r>
        <w:t xml:space="preserve"> PSSRU (2009) </w:t>
      </w:r>
      <w:r w:rsidRPr="009B4BEC">
        <w:rPr>
          <w:i/>
          <w:lang w:val="en-GB"/>
        </w:rPr>
        <w:t>The National Evaluation of Partnerships for Older People Projects</w:t>
      </w:r>
      <w:r>
        <w:rPr>
          <w:lang w:val="en-GB"/>
        </w:rPr>
        <w:t xml:space="preserve"> – Executive Summary, Kent: PSSRU.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158144"/>
      <w:docPartObj>
        <w:docPartGallery w:val="Page Numbers (Bottom of Page)"/>
        <w:docPartUnique/>
      </w:docPartObj>
    </w:sdtPr>
    <w:sdtEndPr>
      <w:rPr>
        <w:noProof/>
      </w:rPr>
    </w:sdtEndPr>
    <w:sdtContent>
      <w:p w:rsidR="00C614A9" w:rsidRDefault="00C614A9">
        <w:pPr>
          <w:pStyle w:val="Footer"/>
          <w:jc w:val="right"/>
        </w:pPr>
        <w:r>
          <w:fldChar w:fldCharType="begin"/>
        </w:r>
        <w:r>
          <w:instrText xml:space="preserve"> PAGE   \* MERGEFORMAT </w:instrText>
        </w:r>
        <w:r>
          <w:fldChar w:fldCharType="separate"/>
        </w:r>
        <w:r w:rsidR="00064EE0">
          <w:rPr>
            <w:noProof/>
          </w:rPr>
          <w:t>9</w:t>
        </w:r>
        <w:r>
          <w:rPr>
            <w:noProof/>
          </w:rPr>
          <w:fldChar w:fldCharType="end"/>
        </w:r>
      </w:p>
    </w:sdtContent>
  </w:sdt>
  <w:p w:rsidR="00C614A9" w:rsidRDefault="00C61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72B" w:rsidRDefault="00DF772B" w:rsidP="00420D8C">
      <w:r>
        <w:separator/>
      </w:r>
    </w:p>
  </w:footnote>
  <w:footnote w:type="continuationSeparator" w:id="0">
    <w:p w:rsidR="00DF772B" w:rsidRDefault="00DF772B" w:rsidP="00420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F659B"/>
    <w:multiLevelType w:val="multilevel"/>
    <w:tmpl w:val="4E26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4493B"/>
    <w:multiLevelType w:val="hybridMultilevel"/>
    <w:tmpl w:val="1296521A"/>
    <w:lvl w:ilvl="0" w:tplc="38E04164">
      <w:numFmt w:val="bullet"/>
      <w:lvlText w:val="-"/>
      <w:lvlJc w:val="left"/>
      <w:pPr>
        <w:ind w:left="720" w:hanging="360"/>
      </w:pPr>
      <w:rPr>
        <w:rFonts w:ascii="Georgia" w:eastAsiaTheme="minorEastAsia"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BD2F80"/>
    <w:multiLevelType w:val="hybridMultilevel"/>
    <w:tmpl w:val="0140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E3"/>
    <w:rsid w:val="0001764C"/>
    <w:rsid w:val="00043DD7"/>
    <w:rsid w:val="00064EE0"/>
    <w:rsid w:val="00076E6C"/>
    <w:rsid w:val="00081FA1"/>
    <w:rsid w:val="00091BFA"/>
    <w:rsid w:val="00095322"/>
    <w:rsid w:val="000E5CF4"/>
    <w:rsid w:val="000F6DB9"/>
    <w:rsid w:val="000F6F4A"/>
    <w:rsid w:val="001176DD"/>
    <w:rsid w:val="00142794"/>
    <w:rsid w:val="001505AA"/>
    <w:rsid w:val="001558A3"/>
    <w:rsid w:val="001577BB"/>
    <w:rsid w:val="001A48E3"/>
    <w:rsid w:val="001A6D7F"/>
    <w:rsid w:val="001E02A3"/>
    <w:rsid w:val="00213094"/>
    <w:rsid w:val="0026166F"/>
    <w:rsid w:val="0029199E"/>
    <w:rsid w:val="002C02B4"/>
    <w:rsid w:val="002C0D4C"/>
    <w:rsid w:val="002D1412"/>
    <w:rsid w:val="003028A3"/>
    <w:rsid w:val="00316B31"/>
    <w:rsid w:val="00335F1E"/>
    <w:rsid w:val="00363DD9"/>
    <w:rsid w:val="00370F69"/>
    <w:rsid w:val="00382BD0"/>
    <w:rsid w:val="00385C4F"/>
    <w:rsid w:val="00396C64"/>
    <w:rsid w:val="003E137F"/>
    <w:rsid w:val="003E200B"/>
    <w:rsid w:val="003E5E62"/>
    <w:rsid w:val="003E6E42"/>
    <w:rsid w:val="00406029"/>
    <w:rsid w:val="00420D8C"/>
    <w:rsid w:val="00422239"/>
    <w:rsid w:val="00425D56"/>
    <w:rsid w:val="004362AD"/>
    <w:rsid w:val="00440B69"/>
    <w:rsid w:val="004431A4"/>
    <w:rsid w:val="004478EF"/>
    <w:rsid w:val="00463559"/>
    <w:rsid w:val="0046786B"/>
    <w:rsid w:val="00486E8F"/>
    <w:rsid w:val="004A6031"/>
    <w:rsid w:val="004C2F4F"/>
    <w:rsid w:val="004C58EC"/>
    <w:rsid w:val="004D1F53"/>
    <w:rsid w:val="004E3865"/>
    <w:rsid w:val="005061EA"/>
    <w:rsid w:val="005065E3"/>
    <w:rsid w:val="00512D7F"/>
    <w:rsid w:val="005219E3"/>
    <w:rsid w:val="00527B3C"/>
    <w:rsid w:val="005453DA"/>
    <w:rsid w:val="00551FF7"/>
    <w:rsid w:val="005A2334"/>
    <w:rsid w:val="005B7A48"/>
    <w:rsid w:val="005C219A"/>
    <w:rsid w:val="005D4703"/>
    <w:rsid w:val="005D64BE"/>
    <w:rsid w:val="005E583E"/>
    <w:rsid w:val="005F635F"/>
    <w:rsid w:val="005F7237"/>
    <w:rsid w:val="00601BD2"/>
    <w:rsid w:val="0062147F"/>
    <w:rsid w:val="00621B1B"/>
    <w:rsid w:val="00622968"/>
    <w:rsid w:val="00627FB5"/>
    <w:rsid w:val="00630D03"/>
    <w:rsid w:val="006347C5"/>
    <w:rsid w:val="00650EE8"/>
    <w:rsid w:val="00674C9A"/>
    <w:rsid w:val="0068579F"/>
    <w:rsid w:val="00690BCB"/>
    <w:rsid w:val="00693A8F"/>
    <w:rsid w:val="006A0DFC"/>
    <w:rsid w:val="006A729B"/>
    <w:rsid w:val="006B4B85"/>
    <w:rsid w:val="006B65BD"/>
    <w:rsid w:val="006C253F"/>
    <w:rsid w:val="006C359A"/>
    <w:rsid w:val="006D4385"/>
    <w:rsid w:val="00721641"/>
    <w:rsid w:val="00730E35"/>
    <w:rsid w:val="0074470F"/>
    <w:rsid w:val="007628B8"/>
    <w:rsid w:val="007815D5"/>
    <w:rsid w:val="007A31C8"/>
    <w:rsid w:val="007B5849"/>
    <w:rsid w:val="007F2667"/>
    <w:rsid w:val="00837E36"/>
    <w:rsid w:val="008547BA"/>
    <w:rsid w:val="0085778C"/>
    <w:rsid w:val="00872A77"/>
    <w:rsid w:val="00893CA5"/>
    <w:rsid w:val="008B574C"/>
    <w:rsid w:val="008D3AE3"/>
    <w:rsid w:val="008F04FC"/>
    <w:rsid w:val="00917D6E"/>
    <w:rsid w:val="009752FE"/>
    <w:rsid w:val="009756EC"/>
    <w:rsid w:val="009822E8"/>
    <w:rsid w:val="009A561B"/>
    <w:rsid w:val="009B4BEC"/>
    <w:rsid w:val="009D520E"/>
    <w:rsid w:val="009E06E6"/>
    <w:rsid w:val="009E42DD"/>
    <w:rsid w:val="00A131D1"/>
    <w:rsid w:val="00A2331E"/>
    <w:rsid w:val="00A25579"/>
    <w:rsid w:val="00A26828"/>
    <w:rsid w:val="00A373C2"/>
    <w:rsid w:val="00A40E58"/>
    <w:rsid w:val="00A55F22"/>
    <w:rsid w:val="00A62684"/>
    <w:rsid w:val="00A650D9"/>
    <w:rsid w:val="00A76DCA"/>
    <w:rsid w:val="00A91971"/>
    <w:rsid w:val="00A95B15"/>
    <w:rsid w:val="00AA36DD"/>
    <w:rsid w:val="00AA7AD9"/>
    <w:rsid w:val="00AC7787"/>
    <w:rsid w:val="00B02176"/>
    <w:rsid w:val="00B112F0"/>
    <w:rsid w:val="00B4329B"/>
    <w:rsid w:val="00B717B3"/>
    <w:rsid w:val="00B76A88"/>
    <w:rsid w:val="00BB6CB1"/>
    <w:rsid w:val="00BC1151"/>
    <w:rsid w:val="00BE1BE0"/>
    <w:rsid w:val="00BF0794"/>
    <w:rsid w:val="00BF3AEF"/>
    <w:rsid w:val="00BF5323"/>
    <w:rsid w:val="00BF5DDC"/>
    <w:rsid w:val="00C07F9F"/>
    <w:rsid w:val="00C36921"/>
    <w:rsid w:val="00C53E66"/>
    <w:rsid w:val="00C541E6"/>
    <w:rsid w:val="00C614A9"/>
    <w:rsid w:val="00C96B8A"/>
    <w:rsid w:val="00CA5651"/>
    <w:rsid w:val="00CA7DA1"/>
    <w:rsid w:val="00CB1D26"/>
    <w:rsid w:val="00CB7A2B"/>
    <w:rsid w:val="00CC210F"/>
    <w:rsid w:val="00CC53C3"/>
    <w:rsid w:val="00CE1B33"/>
    <w:rsid w:val="00CF6931"/>
    <w:rsid w:val="00CF7C6A"/>
    <w:rsid w:val="00D21828"/>
    <w:rsid w:val="00D3321B"/>
    <w:rsid w:val="00D3722A"/>
    <w:rsid w:val="00D91BF2"/>
    <w:rsid w:val="00D939AA"/>
    <w:rsid w:val="00DD3CD4"/>
    <w:rsid w:val="00DF6403"/>
    <w:rsid w:val="00DF772B"/>
    <w:rsid w:val="00E04B8F"/>
    <w:rsid w:val="00E11F75"/>
    <w:rsid w:val="00E1425E"/>
    <w:rsid w:val="00E1537F"/>
    <w:rsid w:val="00E57F57"/>
    <w:rsid w:val="00E74FC2"/>
    <w:rsid w:val="00E757C9"/>
    <w:rsid w:val="00EA00BE"/>
    <w:rsid w:val="00EA7456"/>
    <w:rsid w:val="00EC3704"/>
    <w:rsid w:val="00F104CC"/>
    <w:rsid w:val="00F267D7"/>
    <w:rsid w:val="00F27C7A"/>
    <w:rsid w:val="00F30F0E"/>
    <w:rsid w:val="00F40609"/>
    <w:rsid w:val="00F45AAE"/>
    <w:rsid w:val="00F64C8C"/>
    <w:rsid w:val="00F7746D"/>
    <w:rsid w:val="00F77782"/>
    <w:rsid w:val="00F840BA"/>
    <w:rsid w:val="00F85403"/>
    <w:rsid w:val="00F9268A"/>
    <w:rsid w:val="00FA48C4"/>
    <w:rsid w:val="00FE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E3"/>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721641"/>
    <w:pPr>
      <w:spacing w:before="240" w:after="120"/>
      <w:outlineLvl w:val="0"/>
    </w:pPr>
    <w:rPr>
      <w:rFonts w:ascii="Times New Roman" w:eastAsia="Times New Roman" w:hAnsi="Times New Roman" w:cs="Times New Roman"/>
      <w:b/>
      <w:bCs/>
      <w:color w:val="000000"/>
      <w:kern w:val="36"/>
      <w:sz w:val="33"/>
      <w:szCs w:val="33"/>
      <w:lang w:val="en-GB" w:eastAsia="en-GB"/>
    </w:rPr>
  </w:style>
  <w:style w:type="paragraph" w:styleId="Heading2">
    <w:name w:val="heading 2"/>
    <w:basedOn w:val="Normal"/>
    <w:next w:val="Normal"/>
    <w:link w:val="Heading2Char"/>
    <w:uiPriority w:val="9"/>
    <w:semiHidden/>
    <w:unhideWhenUsed/>
    <w:qFormat/>
    <w:rsid w:val="005D64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BB"/>
    <w:pPr>
      <w:ind w:left="720"/>
      <w:contextualSpacing/>
    </w:pPr>
  </w:style>
  <w:style w:type="paragraph" w:styleId="BalloonText">
    <w:name w:val="Balloon Text"/>
    <w:basedOn w:val="Normal"/>
    <w:link w:val="BalloonTextChar"/>
    <w:uiPriority w:val="99"/>
    <w:semiHidden/>
    <w:unhideWhenUsed/>
    <w:rsid w:val="00CF6931"/>
    <w:rPr>
      <w:rFonts w:ascii="Tahoma" w:hAnsi="Tahoma" w:cs="Tahoma"/>
      <w:sz w:val="16"/>
      <w:szCs w:val="16"/>
    </w:rPr>
  </w:style>
  <w:style w:type="character" w:customStyle="1" w:styleId="BalloonTextChar">
    <w:name w:val="Balloon Text Char"/>
    <w:basedOn w:val="DefaultParagraphFont"/>
    <w:link w:val="BalloonText"/>
    <w:uiPriority w:val="99"/>
    <w:semiHidden/>
    <w:rsid w:val="00CF6931"/>
    <w:rPr>
      <w:rFonts w:ascii="Tahoma" w:eastAsiaTheme="minorEastAsia" w:hAnsi="Tahoma" w:cs="Tahoma"/>
      <w:sz w:val="16"/>
      <w:szCs w:val="16"/>
      <w:lang w:val="en-US"/>
    </w:rPr>
  </w:style>
  <w:style w:type="paragraph" w:styleId="NormalWeb">
    <w:name w:val="Normal (Web)"/>
    <w:basedOn w:val="Normal"/>
    <w:uiPriority w:val="99"/>
    <w:unhideWhenUsed/>
    <w:rsid w:val="00872A77"/>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872A77"/>
    <w:rPr>
      <w:color w:val="0000FF"/>
      <w:u w:val="single"/>
    </w:rPr>
  </w:style>
  <w:style w:type="paragraph" w:styleId="Header">
    <w:name w:val="header"/>
    <w:basedOn w:val="Normal"/>
    <w:link w:val="HeaderChar"/>
    <w:uiPriority w:val="99"/>
    <w:unhideWhenUsed/>
    <w:rsid w:val="00420D8C"/>
    <w:pPr>
      <w:tabs>
        <w:tab w:val="center" w:pos="4513"/>
        <w:tab w:val="right" w:pos="9026"/>
      </w:tabs>
    </w:pPr>
  </w:style>
  <w:style w:type="character" w:customStyle="1" w:styleId="HeaderChar">
    <w:name w:val="Header Char"/>
    <w:basedOn w:val="DefaultParagraphFont"/>
    <w:link w:val="Header"/>
    <w:uiPriority w:val="99"/>
    <w:rsid w:val="00420D8C"/>
    <w:rPr>
      <w:rFonts w:eastAsiaTheme="minorEastAsia"/>
      <w:sz w:val="24"/>
      <w:szCs w:val="24"/>
      <w:lang w:val="en-US"/>
    </w:rPr>
  </w:style>
  <w:style w:type="paragraph" w:styleId="Footer">
    <w:name w:val="footer"/>
    <w:basedOn w:val="Normal"/>
    <w:link w:val="FooterChar"/>
    <w:uiPriority w:val="99"/>
    <w:unhideWhenUsed/>
    <w:rsid w:val="00420D8C"/>
    <w:pPr>
      <w:tabs>
        <w:tab w:val="center" w:pos="4513"/>
        <w:tab w:val="right" w:pos="9026"/>
      </w:tabs>
    </w:pPr>
  </w:style>
  <w:style w:type="character" w:customStyle="1" w:styleId="FooterChar">
    <w:name w:val="Footer Char"/>
    <w:basedOn w:val="DefaultParagraphFont"/>
    <w:link w:val="Footer"/>
    <w:uiPriority w:val="99"/>
    <w:rsid w:val="00420D8C"/>
    <w:rPr>
      <w:rFonts w:eastAsiaTheme="minorEastAsia"/>
      <w:sz w:val="24"/>
      <w:szCs w:val="24"/>
      <w:lang w:val="en-US"/>
    </w:rPr>
  </w:style>
  <w:style w:type="paragraph" w:customStyle="1" w:styleId="paracontinued">
    <w:name w:val="paracontinued"/>
    <w:basedOn w:val="Normal"/>
    <w:rsid w:val="00A91971"/>
    <w:pPr>
      <w:spacing w:before="150" w:after="180" w:line="288" w:lineRule="auto"/>
    </w:pPr>
    <w:rPr>
      <w:rFonts w:ascii="Times New Roman" w:eastAsia="Times New Roman" w:hAnsi="Times New Roman" w:cs="Times New Roman"/>
      <w:lang w:val="en-GB" w:eastAsia="en-GB"/>
    </w:rPr>
  </w:style>
  <w:style w:type="character" w:customStyle="1" w:styleId="para1span1">
    <w:name w:val="para1span1"/>
    <w:basedOn w:val="DefaultParagraphFont"/>
    <w:rsid w:val="008D3AE3"/>
  </w:style>
  <w:style w:type="character" w:styleId="Strong">
    <w:name w:val="Strong"/>
    <w:basedOn w:val="DefaultParagraphFont"/>
    <w:uiPriority w:val="22"/>
    <w:qFormat/>
    <w:rsid w:val="008D3AE3"/>
    <w:rPr>
      <w:b/>
      <w:bCs/>
    </w:rPr>
  </w:style>
  <w:style w:type="character" w:customStyle="1" w:styleId="Heading1Char">
    <w:name w:val="Heading 1 Char"/>
    <w:basedOn w:val="DefaultParagraphFont"/>
    <w:link w:val="Heading1"/>
    <w:uiPriority w:val="9"/>
    <w:rsid w:val="00721641"/>
    <w:rPr>
      <w:rFonts w:ascii="Times New Roman" w:eastAsia="Times New Roman" w:hAnsi="Times New Roman" w:cs="Times New Roman"/>
      <w:b/>
      <w:bCs/>
      <w:color w:val="000000"/>
      <w:kern w:val="36"/>
      <w:sz w:val="33"/>
      <w:szCs w:val="33"/>
      <w:lang w:eastAsia="en-GB"/>
    </w:rPr>
  </w:style>
  <w:style w:type="paragraph" w:styleId="NoSpacing">
    <w:name w:val="No Spacing"/>
    <w:uiPriority w:val="1"/>
    <w:qFormat/>
    <w:rsid w:val="00721641"/>
    <w:pPr>
      <w:spacing w:after="0" w:line="240" w:lineRule="auto"/>
    </w:pPr>
    <w:rPr>
      <w:rFonts w:eastAsiaTheme="minorEastAsia"/>
      <w:sz w:val="24"/>
      <w:szCs w:val="24"/>
      <w:lang w:val="en-US"/>
    </w:rPr>
  </w:style>
  <w:style w:type="character" w:customStyle="1" w:styleId="Heading2Char">
    <w:name w:val="Heading 2 Char"/>
    <w:basedOn w:val="DefaultParagraphFont"/>
    <w:link w:val="Heading2"/>
    <w:uiPriority w:val="9"/>
    <w:semiHidden/>
    <w:rsid w:val="005D64BE"/>
    <w:rPr>
      <w:rFonts w:asciiTheme="majorHAnsi" w:eastAsiaTheme="majorEastAsia" w:hAnsiTheme="majorHAnsi" w:cstheme="majorBidi"/>
      <w:b/>
      <w:bCs/>
      <w:color w:val="4F81BD" w:themeColor="accent1"/>
      <w:sz w:val="26"/>
      <w:szCs w:val="26"/>
      <w:lang w:val="en-US"/>
    </w:rPr>
  </w:style>
  <w:style w:type="paragraph" w:customStyle="1" w:styleId="post-author">
    <w:name w:val="post-author"/>
    <w:basedOn w:val="Normal"/>
    <w:rsid w:val="005D64BE"/>
    <w:pPr>
      <w:spacing w:before="100" w:beforeAutospacing="1" w:after="100" w:afterAutospacing="1"/>
    </w:pPr>
    <w:rPr>
      <w:rFonts w:ascii="Times New Roman" w:eastAsia="Times New Roman" w:hAnsi="Times New Roman" w:cs="Times New Roman"/>
      <w:lang w:val="en-GB" w:eastAsia="en-GB"/>
    </w:rPr>
  </w:style>
  <w:style w:type="paragraph" w:styleId="EndnoteText">
    <w:name w:val="endnote text"/>
    <w:basedOn w:val="Normal"/>
    <w:link w:val="EndnoteTextChar"/>
    <w:uiPriority w:val="99"/>
    <w:unhideWhenUsed/>
    <w:rsid w:val="00B76A88"/>
    <w:rPr>
      <w:sz w:val="20"/>
      <w:szCs w:val="20"/>
    </w:rPr>
  </w:style>
  <w:style w:type="character" w:customStyle="1" w:styleId="EndnoteTextChar">
    <w:name w:val="Endnote Text Char"/>
    <w:basedOn w:val="DefaultParagraphFont"/>
    <w:link w:val="EndnoteText"/>
    <w:uiPriority w:val="99"/>
    <w:rsid w:val="00B76A88"/>
    <w:rPr>
      <w:rFonts w:eastAsiaTheme="minorEastAsia"/>
      <w:sz w:val="20"/>
      <w:szCs w:val="20"/>
      <w:lang w:val="en-US"/>
    </w:rPr>
  </w:style>
  <w:style w:type="character" w:styleId="EndnoteReference">
    <w:name w:val="endnote reference"/>
    <w:basedOn w:val="DefaultParagraphFont"/>
    <w:uiPriority w:val="99"/>
    <w:semiHidden/>
    <w:unhideWhenUsed/>
    <w:rsid w:val="00B76A88"/>
    <w:rPr>
      <w:vertAlign w:val="superscript"/>
    </w:rPr>
  </w:style>
  <w:style w:type="paragraph" w:styleId="FootnoteText">
    <w:name w:val="footnote text"/>
    <w:basedOn w:val="Normal"/>
    <w:link w:val="FootnoteTextChar"/>
    <w:uiPriority w:val="99"/>
    <w:semiHidden/>
    <w:unhideWhenUsed/>
    <w:rsid w:val="005061EA"/>
    <w:rPr>
      <w:sz w:val="20"/>
      <w:szCs w:val="20"/>
    </w:rPr>
  </w:style>
  <w:style w:type="character" w:customStyle="1" w:styleId="FootnoteTextChar">
    <w:name w:val="Footnote Text Char"/>
    <w:basedOn w:val="DefaultParagraphFont"/>
    <w:link w:val="FootnoteText"/>
    <w:uiPriority w:val="99"/>
    <w:semiHidden/>
    <w:rsid w:val="005061EA"/>
    <w:rPr>
      <w:rFonts w:eastAsiaTheme="minorEastAsia"/>
      <w:sz w:val="20"/>
      <w:szCs w:val="20"/>
      <w:lang w:val="en-US"/>
    </w:rPr>
  </w:style>
  <w:style w:type="character" w:styleId="FootnoteReference">
    <w:name w:val="footnote reference"/>
    <w:basedOn w:val="DefaultParagraphFont"/>
    <w:uiPriority w:val="99"/>
    <w:semiHidden/>
    <w:unhideWhenUsed/>
    <w:rsid w:val="005061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E3"/>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721641"/>
    <w:pPr>
      <w:spacing w:before="240" w:after="120"/>
      <w:outlineLvl w:val="0"/>
    </w:pPr>
    <w:rPr>
      <w:rFonts w:ascii="Times New Roman" w:eastAsia="Times New Roman" w:hAnsi="Times New Roman" w:cs="Times New Roman"/>
      <w:b/>
      <w:bCs/>
      <w:color w:val="000000"/>
      <w:kern w:val="36"/>
      <w:sz w:val="33"/>
      <w:szCs w:val="33"/>
      <w:lang w:val="en-GB" w:eastAsia="en-GB"/>
    </w:rPr>
  </w:style>
  <w:style w:type="paragraph" w:styleId="Heading2">
    <w:name w:val="heading 2"/>
    <w:basedOn w:val="Normal"/>
    <w:next w:val="Normal"/>
    <w:link w:val="Heading2Char"/>
    <w:uiPriority w:val="9"/>
    <w:semiHidden/>
    <w:unhideWhenUsed/>
    <w:qFormat/>
    <w:rsid w:val="005D64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BB"/>
    <w:pPr>
      <w:ind w:left="720"/>
      <w:contextualSpacing/>
    </w:pPr>
  </w:style>
  <w:style w:type="paragraph" w:styleId="BalloonText">
    <w:name w:val="Balloon Text"/>
    <w:basedOn w:val="Normal"/>
    <w:link w:val="BalloonTextChar"/>
    <w:uiPriority w:val="99"/>
    <w:semiHidden/>
    <w:unhideWhenUsed/>
    <w:rsid w:val="00CF6931"/>
    <w:rPr>
      <w:rFonts w:ascii="Tahoma" w:hAnsi="Tahoma" w:cs="Tahoma"/>
      <w:sz w:val="16"/>
      <w:szCs w:val="16"/>
    </w:rPr>
  </w:style>
  <w:style w:type="character" w:customStyle="1" w:styleId="BalloonTextChar">
    <w:name w:val="Balloon Text Char"/>
    <w:basedOn w:val="DefaultParagraphFont"/>
    <w:link w:val="BalloonText"/>
    <w:uiPriority w:val="99"/>
    <w:semiHidden/>
    <w:rsid w:val="00CF6931"/>
    <w:rPr>
      <w:rFonts w:ascii="Tahoma" w:eastAsiaTheme="minorEastAsia" w:hAnsi="Tahoma" w:cs="Tahoma"/>
      <w:sz w:val="16"/>
      <w:szCs w:val="16"/>
      <w:lang w:val="en-US"/>
    </w:rPr>
  </w:style>
  <w:style w:type="paragraph" w:styleId="NormalWeb">
    <w:name w:val="Normal (Web)"/>
    <w:basedOn w:val="Normal"/>
    <w:uiPriority w:val="99"/>
    <w:unhideWhenUsed/>
    <w:rsid w:val="00872A77"/>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872A77"/>
    <w:rPr>
      <w:color w:val="0000FF"/>
      <w:u w:val="single"/>
    </w:rPr>
  </w:style>
  <w:style w:type="paragraph" w:styleId="Header">
    <w:name w:val="header"/>
    <w:basedOn w:val="Normal"/>
    <w:link w:val="HeaderChar"/>
    <w:uiPriority w:val="99"/>
    <w:unhideWhenUsed/>
    <w:rsid w:val="00420D8C"/>
    <w:pPr>
      <w:tabs>
        <w:tab w:val="center" w:pos="4513"/>
        <w:tab w:val="right" w:pos="9026"/>
      </w:tabs>
    </w:pPr>
  </w:style>
  <w:style w:type="character" w:customStyle="1" w:styleId="HeaderChar">
    <w:name w:val="Header Char"/>
    <w:basedOn w:val="DefaultParagraphFont"/>
    <w:link w:val="Header"/>
    <w:uiPriority w:val="99"/>
    <w:rsid w:val="00420D8C"/>
    <w:rPr>
      <w:rFonts w:eastAsiaTheme="minorEastAsia"/>
      <w:sz w:val="24"/>
      <w:szCs w:val="24"/>
      <w:lang w:val="en-US"/>
    </w:rPr>
  </w:style>
  <w:style w:type="paragraph" w:styleId="Footer">
    <w:name w:val="footer"/>
    <w:basedOn w:val="Normal"/>
    <w:link w:val="FooterChar"/>
    <w:uiPriority w:val="99"/>
    <w:unhideWhenUsed/>
    <w:rsid w:val="00420D8C"/>
    <w:pPr>
      <w:tabs>
        <w:tab w:val="center" w:pos="4513"/>
        <w:tab w:val="right" w:pos="9026"/>
      </w:tabs>
    </w:pPr>
  </w:style>
  <w:style w:type="character" w:customStyle="1" w:styleId="FooterChar">
    <w:name w:val="Footer Char"/>
    <w:basedOn w:val="DefaultParagraphFont"/>
    <w:link w:val="Footer"/>
    <w:uiPriority w:val="99"/>
    <w:rsid w:val="00420D8C"/>
    <w:rPr>
      <w:rFonts w:eastAsiaTheme="minorEastAsia"/>
      <w:sz w:val="24"/>
      <w:szCs w:val="24"/>
      <w:lang w:val="en-US"/>
    </w:rPr>
  </w:style>
  <w:style w:type="paragraph" w:customStyle="1" w:styleId="paracontinued">
    <w:name w:val="paracontinued"/>
    <w:basedOn w:val="Normal"/>
    <w:rsid w:val="00A91971"/>
    <w:pPr>
      <w:spacing w:before="150" w:after="180" w:line="288" w:lineRule="auto"/>
    </w:pPr>
    <w:rPr>
      <w:rFonts w:ascii="Times New Roman" w:eastAsia="Times New Roman" w:hAnsi="Times New Roman" w:cs="Times New Roman"/>
      <w:lang w:val="en-GB" w:eastAsia="en-GB"/>
    </w:rPr>
  </w:style>
  <w:style w:type="character" w:customStyle="1" w:styleId="para1span1">
    <w:name w:val="para1span1"/>
    <w:basedOn w:val="DefaultParagraphFont"/>
    <w:rsid w:val="008D3AE3"/>
  </w:style>
  <w:style w:type="character" w:styleId="Strong">
    <w:name w:val="Strong"/>
    <w:basedOn w:val="DefaultParagraphFont"/>
    <w:uiPriority w:val="22"/>
    <w:qFormat/>
    <w:rsid w:val="008D3AE3"/>
    <w:rPr>
      <w:b/>
      <w:bCs/>
    </w:rPr>
  </w:style>
  <w:style w:type="character" w:customStyle="1" w:styleId="Heading1Char">
    <w:name w:val="Heading 1 Char"/>
    <w:basedOn w:val="DefaultParagraphFont"/>
    <w:link w:val="Heading1"/>
    <w:uiPriority w:val="9"/>
    <w:rsid w:val="00721641"/>
    <w:rPr>
      <w:rFonts w:ascii="Times New Roman" w:eastAsia="Times New Roman" w:hAnsi="Times New Roman" w:cs="Times New Roman"/>
      <w:b/>
      <w:bCs/>
      <w:color w:val="000000"/>
      <w:kern w:val="36"/>
      <w:sz w:val="33"/>
      <w:szCs w:val="33"/>
      <w:lang w:eastAsia="en-GB"/>
    </w:rPr>
  </w:style>
  <w:style w:type="paragraph" w:styleId="NoSpacing">
    <w:name w:val="No Spacing"/>
    <w:uiPriority w:val="1"/>
    <w:qFormat/>
    <w:rsid w:val="00721641"/>
    <w:pPr>
      <w:spacing w:after="0" w:line="240" w:lineRule="auto"/>
    </w:pPr>
    <w:rPr>
      <w:rFonts w:eastAsiaTheme="minorEastAsia"/>
      <w:sz w:val="24"/>
      <w:szCs w:val="24"/>
      <w:lang w:val="en-US"/>
    </w:rPr>
  </w:style>
  <w:style w:type="character" w:customStyle="1" w:styleId="Heading2Char">
    <w:name w:val="Heading 2 Char"/>
    <w:basedOn w:val="DefaultParagraphFont"/>
    <w:link w:val="Heading2"/>
    <w:uiPriority w:val="9"/>
    <w:semiHidden/>
    <w:rsid w:val="005D64BE"/>
    <w:rPr>
      <w:rFonts w:asciiTheme="majorHAnsi" w:eastAsiaTheme="majorEastAsia" w:hAnsiTheme="majorHAnsi" w:cstheme="majorBidi"/>
      <w:b/>
      <w:bCs/>
      <w:color w:val="4F81BD" w:themeColor="accent1"/>
      <w:sz w:val="26"/>
      <w:szCs w:val="26"/>
      <w:lang w:val="en-US"/>
    </w:rPr>
  </w:style>
  <w:style w:type="paragraph" w:customStyle="1" w:styleId="post-author">
    <w:name w:val="post-author"/>
    <w:basedOn w:val="Normal"/>
    <w:rsid w:val="005D64BE"/>
    <w:pPr>
      <w:spacing w:before="100" w:beforeAutospacing="1" w:after="100" w:afterAutospacing="1"/>
    </w:pPr>
    <w:rPr>
      <w:rFonts w:ascii="Times New Roman" w:eastAsia="Times New Roman" w:hAnsi="Times New Roman" w:cs="Times New Roman"/>
      <w:lang w:val="en-GB" w:eastAsia="en-GB"/>
    </w:rPr>
  </w:style>
  <w:style w:type="paragraph" w:styleId="EndnoteText">
    <w:name w:val="endnote text"/>
    <w:basedOn w:val="Normal"/>
    <w:link w:val="EndnoteTextChar"/>
    <w:uiPriority w:val="99"/>
    <w:unhideWhenUsed/>
    <w:rsid w:val="00B76A88"/>
    <w:rPr>
      <w:sz w:val="20"/>
      <w:szCs w:val="20"/>
    </w:rPr>
  </w:style>
  <w:style w:type="character" w:customStyle="1" w:styleId="EndnoteTextChar">
    <w:name w:val="Endnote Text Char"/>
    <w:basedOn w:val="DefaultParagraphFont"/>
    <w:link w:val="EndnoteText"/>
    <w:uiPriority w:val="99"/>
    <w:rsid w:val="00B76A88"/>
    <w:rPr>
      <w:rFonts w:eastAsiaTheme="minorEastAsia"/>
      <w:sz w:val="20"/>
      <w:szCs w:val="20"/>
      <w:lang w:val="en-US"/>
    </w:rPr>
  </w:style>
  <w:style w:type="character" w:styleId="EndnoteReference">
    <w:name w:val="endnote reference"/>
    <w:basedOn w:val="DefaultParagraphFont"/>
    <w:uiPriority w:val="99"/>
    <w:semiHidden/>
    <w:unhideWhenUsed/>
    <w:rsid w:val="00B76A88"/>
    <w:rPr>
      <w:vertAlign w:val="superscript"/>
    </w:rPr>
  </w:style>
  <w:style w:type="paragraph" w:styleId="FootnoteText">
    <w:name w:val="footnote text"/>
    <w:basedOn w:val="Normal"/>
    <w:link w:val="FootnoteTextChar"/>
    <w:uiPriority w:val="99"/>
    <w:semiHidden/>
    <w:unhideWhenUsed/>
    <w:rsid w:val="005061EA"/>
    <w:rPr>
      <w:sz w:val="20"/>
      <w:szCs w:val="20"/>
    </w:rPr>
  </w:style>
  <w:style w:type="character" w:customStyle="1" w:styleId="FootnoteTextChar">
    <w:name w:val="Footnote Text Char"/>
    <w:basedOn w:val="DefaultParagraphFont"/>
    <w:link w:val="FootnoteText"/>
    <w:uiPriority w:val="99"/>
    <w:semiHidden/>
    <w:rsid w:val="005061EA"/>
    <w:rPr>
      <w:rFonts w:eastAsiaTheme="minorEastAsia"/>
      <w:sz w:val="20"/>
      <w:szCs w:val="20"/>
      <w:lang w:val="en-US"/>
    </w:rPr>
  </w:style>
  <w:style w:type="character" w:styleId="FootnoteReference">
    <w:name w:val="footnote reference"/>
    <w:basedOn w:val="DefaultParagraphFont"/>
    <w:uiPriority w:val="99"/>
    <w:semiHidden/>
    <w:unhideWhenUsed/>
    <w:rsid w:val="00506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70509">
      <w:bodyDiv w:val="1"/>
      <w:marLeft w:val="0"/>
      <w:marRight w:val="0"/>
      <w:marTop w:val="0"/>
      <w:marBottom w:val="0"/>
      <w:divBdr>
        <w:top w:val="none" w:sz="0" w:space="0" w:color="auto"/>
        <w:left w:val="none" w:sz="0" w:space="0" w:color="auto"/>
        <w:bottom w:val="none" w:sz="0" w:space="0" w:color="auto"/>
        <w:right w:val="none" w:sz="0" w:space="0" w:color="auto"/>
      </w:divBdr>
      <w:divsChild>
        <w:div w:id="1403215814">
          <w:marLeft w:val="0"/>
          <w:marRight w:val="0"/>
          <w:marTop w:val="0"/>
          <w:marBottom w:val="0"/>
          <w:divBdr>
            <w:top w:val="none" w:sz="0" w:space="0" w:color="auto"/>
            <w:left w:val="none" w:sz="0" w:space="0" w:color="auto"/>
            <w:bottom w:val="none" w:sz="0" w:space="0" w:color="auto"/>
            <w:right w:val="none" w:sz="0" w:space="0" w:color="auto"/>
          </w:divBdr>
          <w:divsChild>
            <w:div w:id="2018537589">
              <w:marLeft w:val="0"/>
              <w:marRight w:val="0"/>
              <w:marTop w:val="0"/>
              <w:marBottom w:val="0"/>
              <w:divBdr>
                <w:top w:val="none" w:sz="0" w:space="0" w:color="auto"/>
                <w:left w:val="none" w:sz="0" w:space="0" w:color="auto"/>
                <w:bottom w:val="none" w:sz="0" w:space="0" w:color="auto"/>
                <w:right w:val="none" w:sz="0" w:space="0" w:color="auto"/>
              </w:divBdr>
              <w:divsChild>
                <w:div w:id="49312279">
                  <w:marLeft w:val="0"/>
                  <w:marRight w:val="0"/>
                  <w:marTop w:val="0"/>
                  <w:marBottom w:val="0"/>
                  <w:divBdr>
                    <w:top w:val="none" w:sz="0" w:space="0" w:color="auto"/>
                    <w:left w:val="none" w:sz="0" w:space="0" w:color="auto"/>
                    <w:bottom w:val="none" w:sz="0" w:space="0" w:color="auto"/>
                    <w:right w:val="none" w:sz="0" w:space="0" w:color="auto"/>
                  </w:divBdr>
                  <w:divsChild>
                    <w:div w:id="606931361">
                      <w:marLeft w:val="0"/>
                      <w:marRight w:val="0"/>
                      <w:marTop w:val="0"/>
                      <w:marBottom w:val="0"/>
                      <w:divBdr>
                        <w:top w:val="none" w:sz="0" w:space="0" w:color="auto"/>
                        <w:left w:val="none" w:sz="0" w:space="0" w:color="auto"/>
                        <w:bottom w:val="none" w:sz="0" w:space="0" w:color="auto"/>
                        <w:right w:val="none" w:sz="0" w:space="0" w:color="auto"/>
                      </w:divBdr>
                      <w:divsChild>
                        <w:div w:id="1635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264796">
      <w:bodyDiv w:val="1"/>
      <w:marLeft w:val="300"/>
      <w:marRight w:val="0"/>
      <w:marTop w:val="0"/>
      <w:marBottom w:val="300"/>
      <w:divBdr>
        <w:top w:val="none" w:sz="0" w:space="0" w:color="auto"/>
        <w:left w:val="none" w:sz="0" w:space="0" w:color="auto"/>
        <w:bottom w:val="none" w:sz="0" w:space="0" w:color="auto"/>
        <w:right w:val="none" w:sz="0" w:space="0" w:color="auto"/>
      </w:divBdr>
      <w:divsChild>
        <w:div w:id="1919246778">
          <w:marLeft w:val="0"/>
          <w:marRight w:val="0"/>
          <w:marTop w:val="75"/>
          <w:marBottom w:val="0"/>
          <w:divBdr>
            <w:top w:val="none" w:sz="0" w:space="0" w:color="auto"/>
            <w:left w:val="none" w:sz="0" w:space="0" w:color="auto"/>
            <w:bottom w:val="none" w:sz="0" w:space="0" w:color="auto"/>
            <w:right w:val="none" w:sz="0" w:space="0" w:color="auto"/>
          </w:divBdr>
        </w:div>
      </w:divsChild>
    </w:div>
    <w:div w:id="1256983926">
      <w:bodyDiv w:val="1"/>
      <w:marLeft w:val="0"/>
      <w:marRight w:val="0"/>
      <w:marTop w:val="0"/>
      <w:marBottom w:val="0"/>
      <w:divBdr>
        <w:top w:val="none" w:sz="0" w:space="0" w:color="auto"/>
        <w:left w:val="none" w:sz="0" w:space="0" w:color="auto"/>
        <w:bottom w:val="none" w:sz="0" w:space="0" w:color="auto"/>
        <w:right w:val="none" w:sz="0" w:space="0" w:color="auto"/>
      </w:divBdr>
      <w:divsChild>
        <w:div w:id="1096367957">
          <w:marLeft w:val="0"/>
          <w:marRight w:val="1"/>
          <w:marTop w:val="0"/>
          <w:marBottom w:val="0"/>
          <w:divBdr>
            <w:top w:val="none" w:sz="0" w:space="0" w:color="auto"/>
            <w:left w:val="none" w:sz="0" w:space="0" w:color="auto"/>
            <w:bottom w:val="none" w:sz="0" w:space="0" w:color="auto"/>
            <w:right w:val="none" w:sz="0" w:space="0" w:color="auto"/>
          </w:divBdr>
          <w:divsChild>
            <w:div w:id="1469010808">
              <w:marLeft w:val="0"/>
              <w:marRight w:val="0"/>
              <w:marTop w:val="0"/>
              <w:marBottom w:val="0"/>
              <w:divBdr>
                <w:top w:val="none" w:sz="0" w:space="0" w:color="auto"/>
                <w:left w:val="none" w:sz="0" w:space="0" w:color="auto"/>
                <w:bottom w:val="none" w:sz="0" w:space="0" w:color="auto"/>
                <w:right w:val="none" w:sz="0" w:space="0" w:color="auto"/>
              </w:divBdr>
              <w:divsChild>
                <w:div w:id="1133525091">
                  <w:marLeft w:val="0"/>
                  <w:marRight w:val="1"/>
                  <w:marTop w:val="0"/>
                  <w:marBottom w:val="0"/>
                  <w:divBdr>
                    <w:top w:val="none" w:sz="0" w:space="0" w:color="auto"/>
                    <w:left w:val="none" w:sz="0" w:space="0" w:color="auto"/>
                    <w:bottom w:val="none" w:sz="0" w:space="0" w:color="auto"/>
                    <w:right w:val="none" w:sz="0" w:space="0" w:color="auto"/>
                  </w:divBdr>
                  <w:divsChild>
                    <w:div w:id="1155606362">
                      <w:marLeft w:val="0"/>
                      <w:marRight w:val="0"/>
                      <w:marTop w:val="0"/>
                      <w:marBottom w:val="0"/>
                      <w:divBdr>
                        <w:top w:val="none" w:sz="0" w:space="0" w:color="auto"/>
                        <w:left w:val="none" w:sz="0" w:space="0" w:color="auto"/>
                        <w:bottom w:val="none" w:sz="0" w:space="0" w:color="auto"/>
                        <w:right w:val="none" w:sz="0" w:space="0" w:color="auto"/>
                      </w:divBdr>
                      <w:divsChild>
                        <w:div w:id="1068766138">
                          <w:marLeft w:val="0"/>
                          <w:marRight w:val="0"/>
                          <w:marTop w:val="0"/>
                          <w:marBottom w:val="0"/>
                          <w:divBdr>
                            <w:top w:val="none" w:sz="0" w:space="0" w:color="auto"/>
                            <w:left w:val="none" w:sz="0" w:space="0" w:color="auto"/>
                            <w:bottom w:val="none" w:sz="0" w:space="0" w:color="auto"/>
                            <w:right w:val="none" w:sz="0" w:space="0" w:color="auto"/>
                          </w:divBdr>
                          <w:divsChild>
                            <w:div w:id="1939362436">
                              <w:marLeft w:val="0"/>
                              <w:marRight w:val="0"/>
                              <w:marTop w:val="120"/>
                              <w:marBottom w:val="360"/>
                              <w:divBdr>
                                <w:top w:val="none" w:sz="0" w:space="0" w:color="auto"/>
                                <w:left w:val="none" w:sz="0" w:space="0" w:color="auto"/>
                                <w:bottom w:val="none" w:sz="0" w:space="0" w:color="auto"/>
                                <w:right w:val="none" w:sz="0" w:space="0" w:color="auto"/>
                              </w:divBdr>
                              <w:divsChild>
                                <w:div w:id="1895895130">
                                  <w:marLeft w:val="0"/>
                                  <w:marRight w:val="0"/>
                                  <w:marTop w:val="0"/>
                                  <w:marBottom w:val="0"/>
                                  <w:divBdr>
                                    <w:top w:val="none" w:sz="0" w:space="0" w:color="auto"/>
                                    <w:left w:val="none" w:sz="0" w:space="0" w:color="auto"/>
                                    <w:bottom w:val="none" w:sz="0" w:space="0" w:color="auto"/>
                                    <w:right w:val="none" w:sz="0" w:space="0" w:color="auto"/>
                                  </w:divBdr>
                                </w:div>
                                <w:div w:id="15762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338502">
      <w:bodyDiv w:val="1"/>
      <w:marLeft w:val="0"/>
      <w:marRight w:val="0"/>
      <w:marTop w:val="0"/>
      <w:marBottom w:val="0"/>
      <w:divBdr>
        <w:top w:val="none" w:sz="0" w:space="0" w:color="auto"/>
        <w:left w:val="none" w:sz="0" w:space="0" w:color="auto"/>
        <w:bottom w:val="none" w:sz="0" w:space="0" w:color="auto"/>
        <w:right w:val="none" w:sz="0" w:space="0" w:color="auto"/>
      </w:divBdr>
      <w:divsChild>
        <w:div w:id="1656640998">
          <w:marLeft w:val="0"/>
          <w:marRight w:val="0"/>
          <w:marTop w:val="0"/>
          <w:marBottom w:val="0"/>
          <w:divBdr>
            <w:top w:val="none" w:sz="0" w:space="0" w:color="auto"/>
            <w:left w:val="none" w:sz="0" w:space="0" w:color="auto"/>
            <w:bottom w:val="none" w:sz="0" w:space="0" w:color="auto"/>
            <w:right w:val="none" w:sz="0" w:space="0" w:color="auto"/>
          </w:divBdr>
          <w:divsChild>
            <w:div w:id="601836225">
              <w:marLeft w:val="0"/>
              <w:marRight w:val="0"/>
              <w:marTop w:val="0"/>
              <w:marBottom w:val="0"/>
              <w:divBdr>
                <w:top w:val="none" w:sz="0" w:space="0" w:color="auto"/>
                <w:left w:val="none" w:sz="0" w:space="0" w:color="auto"/>
                <w:bottom w:val="none" w:sz="0" w:space="0" w:color="auto"/>
                <w:right w:val="none" w:sz="0" w:space="0" w:color="auto"/>
              </w:divBdr>
              <w:divsChild>
                <w:div w:id="1193769013">
                  <w:marLeft w:val="0"/>
                  <w:marRight w:val="0"/>
                  <w:marTop w:val="0"/>
                  <w:marBottom w:val="0"/>
                  <w:divBdr>
                    <w:top w:val="none" w:sz="0" w:space="0" w:color="auto"/>
                    <w:left w:val="none" w:sz="0" w:space="0" w:color="auto"/>
                    <w:bottom w:val="none" w:sz="0" w:space="0" w:color="auto"/>
                    <w:right w:val="none" w:sz="0" w:space="0" w:color="auto"/>
                  </w:divBdr>
                  <w:divsChild>
                    <w:div w:id="2044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71397">
      <w:bodyDiv w:val="1"/>
      <w:marLeft w:val="0"/>
      <w:marRight w:val="0"/>
      <w:marTop w:val="0"/>
      <w:marBottom w:val="0"/>
      <w:divBdr>
        <w:top w:val="none" w:sz="0" w:space="0" w:color="auto"/>
        <w:left w:val="none" w:sz="0" w:space="0" w:color="auto"/>
        <w:bottom w:val="none" w:sz="0" w:space="0" w:color="auto"/>
        <w:right w:val="none" w:sz="0" w:space="0" w:color="auto"/>
      </w:divBdr>
      <w:divsChild>
        <w:div w:id="963578577">
          <w:marLeft w:val="0"/>
          <w:marRight w:val="0"/>
          <w:marTop w:val="0"/>
          <w:marBottom w:val="0"/>
          <w:divBdr>
            <w:top w:val="none" w:sz="0" w:space="0" w:color="auto"/>
            <w:left w:val="none" w:sz="0" w:space="0" w:color="auto"/>
            <w:bottom w:val="none" w:sz="0" w:space="0" w:color="auto"/>
            <w:right w:val="none" w:sz="0" w:space="0" w:color="auto"/>
          </w:divBdr>
          <w:divsChild>
            <w:div w:id="80837098">
              <w:marLeft w:val="0"/>
              <w:marRight w:val="0"/>
              <w:marTop w:val="0"/>
              <w:marBottom w:val="0"/>
              <w:divBdr>
                <w:top w:val="none" w:sz="0" w:space="0" w:color="auto"/>
                <w:left w:val="none" w:sz="0" w:space="0" w:color="auto"/>
                <w:bottom w:val="none" w:sz="0" w:space="0" w:color="auto"/>
                <w:right w:val="none" w:sz="0" w:space="0" w:color="auto"/>
              </w:divBdr>
              <w:divsChild>
                <w:div w:id="1510755604">
                  <w:marLeft w:val="0"/>
                  <w:marRight w:val="0"/>
                  <w:marTop w:val="0"/>
                  <w:marBottom w:val="0"/>
                  <w:divBdr>
                    <w:top w:val="none" w:sz="0" w:space="0" w:color="auto"/>
                    <w:left w:val="none" w:sz="0" w:space="0" w:color="auto"/>
                    <w:bottom w:val="none" w:sz="0" w:space="0" w:color="auto"/>
                    <w:right w:val="none" w:sz="0" w:space="0" w:color="auto"/>
                  </w:divBdr>
                  <w:divsChild>
                    <w:div w:id="8770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0088">
      <w:bodyDiv w:val="1"/>
      <w:marLeft w:val="0"/>
      <w:marRight w:val="0"/>
      <w:marTop w:val="0"/>
      <w:marBottom w:val="0"/>
      <w:divBdr>
        <w:top w:val="none" w:sz="0" w:space="0" w:color="auto"/>
        <w:left w:val="none" w:sz="0" w:space="0" w:color="auto"/>
        <w:bottom w:val="none" w:sz="0" w:space="0" w:color="auto"/>
        <w:right w:val="none" w:sz="0" w:space="0" w:color="auto"/>
      </w:divBdr>
      <w:divsChild>
        <w:div w:id="29113234">
          <w:marLeft w:val="0"/>
          <w:marRight w:val="0"/>
          <w:marTop w:val="0"/>
          <w:marBottom w:val="0"/>
          <w:divBdr>
            <w:top w:val="none" w:sz="0" w:space="0" w:color="auto"/>
            <w:left w:val="none" w:sz="0" w:space="0" w:color="auto"/>
            <w:bottom w:val="none" w:sz="0" w:space="0" w:color="auto"/>
            <w:right w:val="none" w:sz="0" w:space="0" w:color="auto"/>
          </w:divBdr>
          <w:divsChild>
            <w:div w:id="1569194751">
              <w:marLeft w:val="0"/>
              <w:marRight w:val="0"/>
              <w:marTop w:val="0"/>
              <w:marBottom w:val="0"/>
              <w:divBdr>
                <w:top w:val="none" w:sz="0" w:space="0" w:color="auto"/>
                <w:left w:val="none" w:sz="0" w:space="0" w:color="auto"/>
                <w:bottom w:val="none" w:sz="0" w:space="0" w:color="auto"/>
                <w:right w:val="none" w:sz="0" w:space="0" w:color="auto"/>
              </w:divBdr>
              <w:divsChild>
                <w:div w:id="1413701838">
                  <w:marLeft w:val="0"/>
                  <w:marRight w:val="0"/>
                  <w:marTop w:val="0"/>
                  <w:marBottom w:val="0"/>
                  <w:divBdr>
                    <w:top w:val="none" w:sz="0" w:space="0" w:color="auto"/>
                    <w:left w:val="none" w:sz="0" w:space="0" w:color="auto"/>
                    <w:bottom w:val="none" w:sz="0" w:space="0" w:color="auto"/>
                    <w:right w:val="none" w:sz="0" w:space="0" w:color="auto"/>
                  </w:divBdr>
                  <w:divsChild>
                    <w:div w:id="1908222054">
                      <w:marLeft w:val="0"/>
                      <w:marRight w:val="0"/>
                      <w:marTop w:val="0"/>
                      <w:marBottom w:val="0"/>
                      <w:divBdr>
                        <w:top w:val="none" w:sz="0" w:space="0" w:color="auto"/>
                        <w:left w:val="none" w:sz="0" w:space="0" w:color="auto"/>
                        <w:bottom w:val="none" w:sz="0" w:space="0" w:color="auto"/>
                        <w:right w:val="none" w:sz="0" w:space="0" w:color="auto"/>
                      </w:divBdr>
                      <w:divsChild>
                        <w:div w:id="104810304">
                          <w:marLeft w:val="0"/>
                          <w:marRight w:val="0"/>
                          <w:marTop w:val="750"/>
                          <w:marBottom w:val="900"/>
                          <w:divBdr>
                            <w:top w:val="none" w:sz="0" w:space="0" w:color="auto"/>
                            <w:left w:val="none" w:sz="0" w:space="0" w:color="auto"/>
                            <w:bottom w:val="none" w:sz="0" w:space="0" w:color="auto"/>
                            <w:right w:val="none" w:sz="0" w:space="0" w:color="auto"/>
                          </w:divBdr>
                          <w:divsChild>
                            <w:div w:id="519973491">
                              <w:marLeft w:val="0"/>
                              <w:marRight w:val="0"/>
                              <w:marTop w:val="0"/>
                              <w:marBottom w:val="0"/>
                              <w:divBdr>
                                <w:top w:val="none" w:sz="0" w:space="0" w:color="auto"/>
                                <w:left w:val="none" w:sz="0" w:space="0" w:color="auto"/>
                                <w:bottom w:val="none" w:sz="0" w:space="0" w:color="E4E4E4"/>
                                <w:right w:val="none" w:sz="0" w:space="0" w:color="auto"/>
                              </w:divBdr>
                              <w:divsChild>
                                <w:div w:id="194271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9402-9571-4333-8835-7E305CAB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9</Pages>
  <Words>3050</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Lunt</dc:creator>
  <cp:lastModifiedBy>Neil Lunt</cp:lastModifiedBy>
  <cp:revision>15</cp:revision>
  <dcterms:created xsi:type="dcterms:W3CDTF">2017-05-07T10:59:00Z</dcterms:created>
  <dcterms:modified xsi:type="dcterms:W3CDTF">2017-05-24T16:32:00Z</dcterms:modified>
</cp:coreProperties>
</file>