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146B1" w14:textId="5FD4A31B" w:rsidR="00586D20" w:rsidRPr="00D57344" w:rsidRDefault="00586D20" w:rsidP="00F07639">
      <w:pPr>
        <w:tabs>
          <w:tab w:val="left" w:pos="1985"/>
        </w:tabs>
        <w:spacing w:line="480" w:lineRule="auto"/>
        <w:rPr>
          <w:rFonts w:ascii="Times New Roman" w:hAnsi="Times New Roman"/>
          <w:b/>
          <w:lang w:val="en-GB"/>
        </w:rPr>
      </w:pPr>
      <w:r w:rsidRPr="005D5356">
        <w:rPr>
          <w:rFonts w:ascii="Times New Roman" w:hAnsi="Times New Roman"/>
          <w:b/>
          <w:lang w:val="en-GB"/>
        </w:rPr>
        <w:t>Title page</w:t>
      </w:r>
    </w:p>
    <w:p w14:paraId="667D45A7" w14:textId="3AA1CFCE" w:rsidR="004463BE" w:rsidRPr="00D57344" w:rsidRDefault="004463BE" w:rsidP="00F07639">
      <w:pPr>
        <w:tabs>
          <w:tab w:val="left" w:pos="1985"/>
        </w:tabs>
        <w:spacing w:line="480" w:lineRule="auto"/>
        <w:rPr>
          <w:rFonts w:ascii="Times New Roman" w:hAnsi="Times New Roman"/>
          <w:b/>
          <w:lang w:val="en-GB"/>
        </w:rPr>
      </w:pPr>
      <w:r w:rsidRPr="005D5356">
        <w:rPr>
          <w:rFonts w:ascii="Times New Roman" w:hAnsi="Times New Roman"/>
          <w:b/>
          <w:lang w:val="en-GB"/>
        </w:rPr>
        <w:t xml:space="preserve">Title: </w:t>
      </w:r>
    </w:p>
    <w:p w14:paraId="6EE5FB3F" w14:textId="2104EC90" w:rsidR="004C4A41" w:rsidRPr="005D5356" w:rsidRDefault="00046997" w:rsidP="00F07639">
      <w:pPr>
        <w:tabs>
          <w:tab w:val="left" w:pos="1985"/>
        </w:tabs>
        <w:spacing w:line="480" w:lineRule="auto"/>
        <w:rPr>
          <w:rFonts w:ascii="Times New Roman" w:hAnsi="Times New Roman"/>
        </w:rPr>
      </w:pPr>
      <w:r w:rsidRPr="005D5356">
        <w:rPr>
          <w:rFonts w:ascii="Times New Roman" w:hAnsi="Times New Roman"/>
        </w:rPr>
        <w:t>S</w:t>
      </w:r>
      <w:r w:rsidR="00D22243" w:rsidRPr="005D5356">
        <w:rPr>
          <w:rFonts w:ascii="Times New Roman" w:hAnsi="Times New Roman"/>
        </w:rPr>
        <w:t xml:space="preserve">econd-hand smoke exposure during pregnancy: </w:t>
      </w:r>
      <w:r w:rsidR="00095A0F">
        <w:rPr>
          <w:rFonts w:ascii="Times New Roman" w:hAnsi="Times New Roman"/>
        </w:rPr>
        <w:t xml:space="preserve">a cross-sectional </w:t>
      </w:r>
      <w:r w:rsidR="00D22243" w:rsidRPr="005D5356">
        <w:rPr>
          <w:rFonts w:ascii="Times New Roman" w:hAnsi="Times New Roman"/>
        </w:rPr>
        <w:t>analysis of</w:t>
      </w:r>
      <w:r w:rsidRPr="005D5356">
        <w:rPr>
          <w:rFonts w:ascii="Times New Roman" w:hAnsi="Times New Roman"/>
        </w:rPr>
        <w:t xml:space="preserve"> data from</w:t>
      </w:r>
      <w:r w:rsidR="00D22243" w:rsidRPr="005D5356">
        <w:rPr>
          <w:rFonts w:ascii="Times New Roman" w:hAnsi="Times New Roman"/>
        </w:rPr>
        <w:t xml:space="preserve"> </w:t>
      </w:r>
      <w:r w:rsidR="00BF2DE3" w:rsidRPr="005D5356">
        <w:rPr>
          <w:rFonts w:ascii="Times New Roman" w:hAnsi="Times New Roman"/>
        </w:rPr>
        <w:t>D</w:t>
      </w:r>
      <w:r w:rsidR="00D22243" w:rsidRPr="005D5356">
        <w:rPr>
          <w:rFonts w:ascii="Times New Roman" w:hAnsi="Times New Roman"/>
        </w:rPr>
        <w:t xml:space="preserve">emographic and </w:t>
      </w:r>
      <w:r w:rsidR="00BF2DE3" w:rsidRPr="005D5356">
        <w:rPr>
          <w:rFonts w:ascii="Times New Roman" w:hAnsi="Times New Roman"/>
        </w:rPr>
        <w:t>H</w:t>
      </w:r>
      <w:r w:rsidR="00D22243" w:rsidRPr="005D5356">
        <w:rPr>
          <w:rFonts w:ascii="Times New Roman" w:hAnsi="Times New Roman"/>
        </w:rPr>
        <w:t xml:space="preserve">ealth </w:t>
      </w:r>
      <w:r w:rsidR="00BF2DE3" w:rsidRPr="005D5356">
        <w:rPr>
          <w:rFonts w:ascii="Times New Roman" w:hAnsi="Times New Roman"/>
        </w:rPr>
        <w:t>S</w:t>
      </w:r>
      <w:r w:rsidR="00D22243" w:rsidRPr="005D5356">
        <w:rPr>
          <w:rFonts w:ascii="Times New Roman" w:hAnsi="Times New Roman"/>
        </w:rPr>
        <w:t xml:space="preserve">urvey </w:t>
      </w:r>
      <w:r w:rsidRPr="005D5356">
        <w:rPr>
          <w:rFonts w:ascii="Times New Roman" w:hAnsi="Times New Roman"/>
        </w:rPr>
        <w:t xml:space="preserve">from </w:t>
      </w:r>
      <w:r w:rsidR="00D22243" w:rsidRPr="005D5356">
        <w:rPr>
          <w:rFonts w:ascii="Times New Roman" w:hAnsi="Times New Roman"/>
        </w:rPr>
        <w:t>30 low-</w:t>
      </w:r>
      <w:r w:rsidRPr="005D5356">
        <w:rPr>
          <w:rFonts w:ascii="Times New Roman" w:hAnsi="Times New Roman"/>
        </w:rPr>
        <w:t>income</w:t>
      </w:r>
      <w:r w:rsidR="00D22243" w:rsidRPr="005D5356">
        <w:rPr>
          <w:rFonts w:ascii="Times New Roman" w:hAnsi="Times New Roman"/>
        </w:rPr>
        <w:t xml:space="preserve"> and middle-income countries.</w:t>
      </w:r>
    </w:p>
    <w:p w14:paraId="07E48917" w14:textId="77777777" w:rsidR="00D22243" w:rsidRPr="005D5356" w:rsidRDefault="00D22243" w:rsidP="00F07639">
      <w:pPr>
        <w:tabs>
          <w:tab w:val="left" w:pos="1985"/>
        </w:tabs>
        <w:spacing w:line="480" w:lineRule="auto"/>
        <w:rPr>
          <w:rFonts w:ascii="Times New Roman" w:hAnsi="Times New Roman"/>
          <w:lang w:val="en-GB"/>
        </w:rPr>
      </w:pPr>
    </w:p>
    <w:p w14:paraId="783F3D7F" w14:textId="49305FB6" w:rsidR="004463BE" w:rsidRPr="00D57344" w:rsidRDefault="00D57344" w:rsidP="00F07639">
      <w:pPr>
        <w:tabs>
          <w:tab w:val="left" w:pos="1985"/>
        </w:tabs>
        <w:spacing w:line="480" w:lineRule="auto"/>
        <w:rPr>
          <w:rFonts w:ascii="Times New Roman" w:hAnsi="Times New Roman"/>
          <w:b/>
          <w:lang w:val="en-GB"/>
        </w:rPr>
      </w:pPr>
      <w:r>
        <w:rPr>
          <w:rFonts w:ascii="Times New Roman" w:hAnsi="Times New Roman"/>
          <w:b/>
          <w:lang w:val="en-GB"/>
        </w:rPr>
        <w:t>Authors:</w:t>
      </w:r>
    </w:p>
    <w:p w14:paraId="2D2725CD" w14:textId="77777777" w:rsidR="004463BE" w:rsidRPr="005D5356" w:rsidRDefault="004463BE" w:rsidP="00F07639">
      <w:pPr>
        <w:tabs>
          <w:tab w:val="left" w:pos="1985"/>
        </w:tabs>
        <w:spacing w:line="480" w:lineRule="auto"/>
        <w:rPr>
          <w:rFonts w:ascii="Times New Roman" w:hAnsi="Times New Roman"/>
          <w:lang w:val="en-GB"/>
        </w:rPr>
      </w:pPr>
      <w:r w:rsidRPr="005D5356">
        <w:rPr>
          <w:rFonts w:ascii="Times New Roman" w:hAnsi="Times New Roman"/>
          <w:lang w:val="en-GB"/>
        </w:rPr>
        <w:t>Sian Reece MBBS (corresponding author)</w:t>
      </w:r>
    </w:p>
    <w:p w14:paraId="51E1FC45" w14:textId="77777777" w:rsidR="004463BE" w:rsidRPr="005D5356" w:rsidRDefault="004463BE" w:rsidP="00F07639">
      <w:pPr>
        <w:tabs>
          <w:tab w:val="left" w:pos="1985"/>
        </w:tabs>
        <w:spacing w:line="480" w:lineRule="auto"/>
        <w:rPr>
          <w:rFonts w:ascii="Times New Roman" w:hAnsi="Times New Roman"/>
          <w:lang w:val="en-GB"/>
        </w:rPr>
      </w:pPr>
      <w:r w:rsidRPr="005D5356">
        <w:rPr>
          <w:rFonts w:ascii="Times New Roman" w:hAnsi="Times New Roman"/>
          <w:lang w:val="en-GB"/>
        </w:rPr>
        <w:t>University of York</w:t>
      </w:r>
    </w:p>
    <w:p w14:paraId="6597B1E4" w14:textId="77777777" w:rsidR="004463BE" w:rsidRPr="005D5356" w:rsidRDefault="000253F6" w:rsidP="00F07639">
      <w:pPr>
        <w:tabs>
          <w:tab w:val="left" w:pos="1985"/>
        </w:tabs>
        <w:spacing w:line="480" w:lineRule="auto"/>
        <w:rPr>
          <w:rFonts w:ascii="Times New Roman" w:hAnsi="Times New Roman"/>
          <w:lang w:val="en-GB"/>
        </w:rPr>
      </w:pPr>
      <w:proofErr w:type="gramStart"/>
      <w:r w:rsidRPr="005D5356">
        <w:rPr>
          <w:rFonts w:ascii="Times New Roman" w:hAnsi="Times New Roman"/>
          <w:lang w:val="en-GB"/>
        </w:rPr>
        <w:t xml:space="preserve">Department of Health Science, University of York, </w:t>
      </w:r>
      <w:proofErr w:type="spellStart"/>
      <w:r w:rsidR="004463BE" w:rsidRPr="005D5356">
        <w:rPr>
          <w:rFonts w:ascii="Times New Roman" w:hAnsi="Times New Roman"/>
          <w:lang w:val="en-GB"/>
        </w:rPr>
        <w:t>Heslington</w:t>
      </w:r>
      <w:proofErr w:type="spellEnd"/>
      <w:r w:rsidR="004463BE" w:rsidRPr="005D5356">
        <w:rPr>
          <w:rFonts w:ascii="Times New Roman" w:hAnsi="Times New Roman"/>
          <w:lang w:val="en-GB"/>
        </w:rPr>
        <w:t xml:space="preserve"> Road, York.</w:t>
      </w:r>
      <w:proofErr w:type="gramEnd"/>
      <w:r w:rsidR="004463BE" w:rsidRPr="005D5356">
        <w:rPr>
          <w:rFonts w:ascii="Times New Roman" w:hAnsi="Times New Roman"/>
          <w:lang w:val="en-GB"/>
        </w:rPr>
        <w:t xml:space="preserve"> </w:t>
      </w:r>
      <w:proofErr w:type="gramStart"/>
      <w:r w:rsidR="004463BE" w:rsidRPr="005D5356">
        <w:rPr>
          <w:rFonts w:ascii="Times New Roman" w:hAnsi="Times New Roman"/>
          <w:lang w:val="en-GB"/>
        </w:rPr>
        <w:t>YO10 5DD. UK.</w:t>
      </w:r>
      <w:proofErr w:type="gramEnd"/>
    </w:p>
    <w:p w14:paraId="079054F8" w14:textId="77777777" w:rsidR="004463BE" w:rsidRPr="005D5356" w:rsidRDefault="005B5042" w:rsidP="00F07639">
      <w:pPr>
        <w:tabs>
          <w:tab w:val="left" w:pos="1985"/>
        </w:tabs>
        <w:spacing w:line="480" w:lineRule="auto"/>
        <w:rPr>
          <w:rFonts w:ascii="Times New Roman" w:hAnsi="Times New Roman"/>
          <w:lang w:val="en-GB"/>
        </w:rPr>
      </w:pPr>
      <w:hyperlink r:id="rId9" w:history="1">
        <w:r w:rsidR="004463BE" w:rsidRPr="005D5356">
          <w:rPr>
            <w:rStyle w:val="Hyperlink"/>
            <w:rFonts w:ascii="Times New Roman" w:hAnsi="Times New Roman"/>
            <w:lang w:val="en-GB"/>
          </w:rPr>
          <w:t>sianreece@doctors.org.uk</w:t>
        </w:r>
      </w:hyperlink>
    </w:p>
    <w:p w14:paraId="4718591A" w14:textId="77777777" w:rsidR="004463BE" w:rsidRPr="005D5356" w:rsidRDefault="004463BE" w:rsidP="00F07639">
      <w:pPr>
        <w:tabs>
          <w:tab w:val="left" w:pos="1985"/>
        </w:tabs>
        <w:spacing w:line="480" w:lineRule="auto"/>
        <w:rPr>
          <w:rFonts w:ascii="Times New Roman" w:hAnsi="Times New Roman"/>
          <w:lang w:val="en-GB"/>
        </w:rPr>
      </w:pPr>
      <w:r w:rsidRPr="005D5356">
        <w:rPr>
          <w:rFonts w:ascii="Times New Roman" w:hAnsi="Times New Roman"/>
          <w:lang w:val="en-GB"/>
        </w:rPr>
        <w:t>+44 (</w:t>
      </w:r>
      <w:proofErr w:type="gramStart"/>
      <w:r w:rsidRPr="005D5356">
        <w:rPr>
          <w:rFonts w:ascii="Times New Roman" w:hAnsi="Times New Roman"/>
          <w:lang w:val="en-GB"/>
        </w:rPr>
        <w:t>0)7850687377</w:t>
      </w:r>
      <w:proofErr w:type="gramEnd"/>
    </w:p>
    <w:p w14:paraId="0C1F1E54" w14:textId="77777777" w:rsidR="004463BE" w:rsidRPr="005D5356" w:rsidRDefault="004463BE" w:rsidP="00F07639">
      <w:pPr>
        <w:tabs>
          <w:tab w:val="left" w:pos="1985"/>
        </w:tabs>
        <w:spacing w:line="480" w:lineRule="auto"/>
        <w:rPr>
          <w:rFonts w:ascii="Times New Roman" w:hAnsi="Times New Roman"/>
          <w:lang w:val="en-GB"/>
        </w:rPr>
      </w:pPr>
    </w:p>
    <w:p w14:paraId="20DB34DD" w14:textId="77777777" w:rsidR="004463BE" w:rsidRPr="005D5356" w:rsidRDefault="004463BE" w:rsidP="00F07639">
      <w:pPr>
        <w:tabs>
          <w:tab w:val="left" w:pos="1985"/>
        </w:tabs>
        <w:spacing w:line="480" w:lineRule="auto"/>
        <w:rPr>
          <w:rFonts w:ascii="Times New Roman" w:hAnsi="Times New Roman"/>
          <w:lang w:val="en-GB"/>
        </w:rPr>
      </w:pPr>
      <w:r w:rsidRPr="005D5356">
        <w:rPr>
          <w:rFonts w:ascii="Times New Roman" w:hAnsi="Times New Roman"/>
          <w:lang w:val="en-GB"/>
        </w:rPr>
        <w:t>Camille Morgan</w:t>
      </w:r>
      <w:r w:rsidR="00FA289C" w:rsidRPr="005D5356">
        <w:rPr>
          <w:rFonts w:ascii="Times New Roman" w:hAnsi="Times New Roman"/>
          <w:lang w:val="en-GB"/>
        </w:rPr>
        <w:t>, BSPH</w:t>
      </w:r>
    </w:p>
    <w:p w14:paraId="38BEA433" w14:textId="30377C52" w:rsidR="00AF0A89" w:rsidRPr="005D5356" w:rsidRDefault="00BE6722" w:rsidP="00F07639">
      <w:pPr>
        <w:tabs>
          <w:tab w:val="left" w:pos="1985"/>
        </w:tabs>
        <w:spacing w:line="480" w:lineRule="auto"/>
        <w:rPr>
          <w:rFonts w:ascii="Times New Roman" w:hAnsi="Times New Roman"/>
          <w:lang w:val="en-GB"/>
        </w:rPr>
      </w:pPr>
      <w:r w:rsidRPr="005D5356">
        <w:rPr>
          <w:rFonts w:ascii="Times New Roman" w:hAnsi="Times New Roman"/>
          <w:lang w:val="en-GB"/>
        </w:rPr>
        <w:t xml:space="preserve">Tobacco Control Research Branch, National Cancer Institute, </w:t>
      </w:r>
      <w:r w:rsidR="00AF0A89" w:rsidRPr="005D5356">
        <w:rPr>
          <w:rFonts w:ascii="Times New Roman" w:hAnsi="Times New Roman"/>
        </w:rPr>
        <w:t>Rockville</w:t>
      </w:r>
      <w:r w:rsidRPr="005D5356">
        <w:rPr>
          <w:rFonts w:ascii="Times New Roman" w:hAnsi="Times New Roman"/>
        </w:rPr>
        <w:t>,</w:t>
      </w:r>
      <w:r w:rsidR="00AF0A89" w:rsidRPr="005D5356">
        <w:rPr>
          <w:rFonts w:ascii="Times New Roman" w:hAnsi="Times New Roman"/>
        </w:rPr>
        <w:t xml:space="preserve"> United States</w:t>
      </w:r>
    </w:p>
    <w:p w14:paraId="04ADF8BF" w14:textId="77777777" w:rsidR="004463BE" w:rsidRPr="005D5356" w:rsidRDefault="004463BE" w:rsidP="00F07639">
      <w:pPr>
        <w:tabs>
          <w:tab w:val="left" w:pos="1985"/>
        </w:tabs>
        <w:spacing w:line="480" w:lineRule="auto"/>
        <w:rPr>
          <w:rFonts w:ascii="Times New Roman" w:hAnsi="Times New Roman"/>
        </w:rPr>
      </w:pPr>
    </w:p>
    <w:p w14:paraId="212C5E0D" w14:textId="77777777" w:rsidR="004463BE" w:rsidRPr="005D5356" w:rsidRDefault="004463BE" w:rsidP="00F07639">
      <w:pPr>
        <w:tabs>
          <w:tab w:val="left" w:pos="1985"/>
        </w:tabs>
        <w:spacing w:line="480" w:lineRule="auto"/>
        <w:rPr>
          <w:rFonts w:ascii="Times New Roman" w:hAnsi="Times New Roman"/>
          <w:lang w:val="en-GB"/>
        </w:rPr>
      </w:pPr>
      <w:r w:rsidRPr="005D5356">
        <w:rPr>
          <w:rFonts w:ascii="Times New Roman" w:hAnsi="Times New Roman"/>
          <w:lang w:val="en-GB"/>
        </w:rPr>
        <w:t xml:space="preserve">Mark </w:t>
      </w:r>
      <w:proofErr w:type="spellStart"/>
      <w:r w:rsidRPr="005D5356">
        <w:rPr>
          <w:rFonts w:ascii="Times New Roman" w:hAnsi="Times New Roman"/>
        </w:rPr>
        <w:t>Parascandola</w:t>
      </w:r>
      <w:proofErr w:type="spellEnd"/>
      <w:r w:rsidR="0087097D" w:rsidRPr="005D5356">
        <w:rPr>
          <w:rFonts w:ascii="Times New Roman" w:hAnsi="Times New Roman"/>
        </w:rPr>
        <w:t>, PhD, MPH</w:t>
      </w:r>
    </w:p>
    <w:p w14:paraId="6BB5673E" w14:textId="056C9B77" w:rsidR="004463BE" w:rsidRPr="005D5356" w:rsidRDefault="00BE6722" w:rsidP="00F07639">
      <w:pPr>
        <w:tabs>
          <w:tab w:val="left" w:pos="1985"/>
        </w:tabs>
        <w:spacing w:line="480" w:lineRule="auto"/>
        <w:rPr>
          <w:rFonts w:ascii="Times New Roman" w:hAnsi="Times New Roman"/>
        </w:rPr>
      </w:pPr>
      <w:r w:rsidRPr="005D5356">
        <w:rPr>
          <w:rFonts w:ascii="Times New Roman" w:hAnsi="Times New Roman"/>
          <w:lang w:val="en-GB"/>
        </w:rPr>
        <w:t xml:space="preserve">Tobacco Control Research Branch, National Cancer Institute, </w:t>
      </w:r>
      <w:r w:rsidRPr="005D5356">
        <w:rPr>
          <w:rFonts w:ascii="Times New Roman" w:hAnsi="Times New Roman"/>
        </w:rPr>
        <w:t>Rockville, United States</w:t>
      </w:r>
    </w:p>
    <w:p w14:paraId="3294D516" w14:textId="77777777" w:rsidR="00BE6722" w:rsidRPr="005D5356" w:rsidRDefault="00BE6722" w:rsidP="00F07639">
      <w:pPr>
        <w:tabs>
          <w:tab w:val="left" w:pos="1985"/>
        </w:tabs>
        <w:spacing w:line="480" w:lineRule="auto"/>
        <w:rPr>
          <w:rFonts w:ascii="Times New Roman" w:hAnsi="Times New Roman"/>
          <w:lang w:val="en-GB"/>
        </w:rPr>
      </w:pPr>
    </w:p>
    <w:p w14:paraId="29469C07" w14:textId="77777777" w:rsidR="004463BE" w:rsidRPr="005D5356" w:rsidRDefault="00512D2A" w:rsidP="00F07639">
      <w:pPr>
        <w:tabs>
          <w:tab w:val="left" w:pos="1985"/>
        </w:tabs>
        <w:spacing w:line="480" w:lineRule="auto"/>
        <w:rPr>
          <w:rFonts w:ascii="Times New Roman" w:hAnsi="Times New Roman"/>
          <w:lang w:val="en-GB"/>
        </w:rPr>
      </w:pPr>
      <w:r w:rsidRPr="005D5356">
        <w:rPr>
          <w:rFonts w:ascii="Times New Roman" w:hAnsi="Times New Roman"/>
          <w:lang w:val="en-GB"/>
        </w:rPr>
        <w:t xml:space="preserve">Kamran </w:t>
      </w:r>
      <w:proofErr w:type="spellStart"/>
      <w:r w:rsidRPr="005D5356">
        <w:rPr>
          <w:rFonts w:ascii="Times New Roman" w:hAnsi="Times New Roman"/>
          <w:lang w:val="en-GB"/>
        </w:rPr>
        <w:t>Siddiqi</w:t>
      </w:r>
      <w:proofErr w:type="spellEnd"/>
      <w:r w:rsidR="00BF2DE3" w:rsidRPr="005D5356">
        <w:rPr>
          <w:rFonts w:ascii="Times New Roman" w:hAnsi="Times New Roman"/>
          <w:lang w:val="en-GB"/>
        </w:rPr>
        <w:t>, PhD</w:t>
      </w:r>
    </w:p>
    <w:p w14:paraId="69F1AD6A" w14:textId="2FC4CA8E" w:rsidR="004463BE" w:rsidRPr="005D5356" w:rsidRDefault="000253F6" w:rsidP="00F07639">
      <w:pPr>
        <w:tabs>
          <w:tab w:val="left" w:pos="1985"/>
        </w:tabs>
        <w:spacing w:line="480" w:lineRule="auto"/>
        <w:rPr>
          <w:rFonts w:ascii="Times New Roman" w:hAnsi="Times New Roman"/>
          <w:lang w:val="en-GB"/>
        </w:rPr>
      </w:pPr>
      <w:r w:rsidRPr="005D5356">
        <w:rPr>
          <w:rFonts w:ascii="Times New Roman" w:hAnsi="Times New Roman"/>
          <w:lang w:val="en-GB"/>
        </w:rPr>
        <w:t xml:space="preserve">Department of Health Science, University of York, </w:t>
      </w:r>
      <w:r w:rsidR="00BE6722" w:rsidRPr="005D5356">
        <w:rPr>
          <w:rFonts w:ascii="Times New Roman" w:hAnsi="Times New Roman"/>
          <w:lang w:val="en-GB"/>
        </w:rPr>
        <w:t>York, UK</w:t>
      </w:r>
    </w:p>
    <w:p w14:paraId="1698CAFB" w14:textId="77777777" w:rsidR="00221092" w:rsidRPr="005D5356" w:rsidRDefault="00221092" w:rsidP="00221092">
      <w:pPr>
        <w:spacing w:line="480" w:lineRule="auto"/>
        <w:rPr>
          <w:rFonts w:ascii="Times New Roman" w:hAnsi="Times New Roman"/>
        </w:rPr>
      </w:pPr>
    </w:p>
    <w:p w14:paraId="7EAFC071" w14:textId="77777777" w:rsidR="00221092" w:rsidRPr="00221092" w:rsidRDefault="00221092" w:rsidP="00221092">
      <w:pPr>
        <w:spacing w:line="480" w:lineRule="auto"/>
        <w:rPr>
          <w:rFonts w:ascii="Times New Roman" w:hAnsi="Times New Roman"/>
          <w:b/>
        </w:rPr>
      </w:pPr>
      <w:r w:rsidRPr="00221092">
        <w:rPr>
          <w:rFonts w:ascii="Times New Roman" w:hAnsi="Times New Roman"/>
          <w:b/>
        </w:rPr>
        <w:lastRenderedPageBreak/>
        <w:t>Key Words:</w:t>
      </w:r>
    </w:p>
    <w:p w14:paraId="3776B745" w14:textId="77777777" w:rsidR="00221092" w:rsidRPr="005D5356" w:rsidRDefault="00221092" w:rsidP="00221092">
      <w:pPr>
        <w:spacing w:line="480" w:lineRule="auto"/>
        <w:rPr>
          <w:rFonts w:ascii="Times New Roman" w:hAnsi="Times New Roman"/>
        </w:rPr>
      </w:pPr>
      <w:r>
        <w:rPr>
          <w:rFonts w:ascii="Times New Roman" w:hAnsi="Times New Roman"/>
        </w:rPr>
        <w:t>Second-hand smoke, pregnancy, maternal health, global health</w:t>
      </w:r>
    </w:p>
    <w:p w14:paraId="7796A2AE" w14:textId="77777777" w:rsidR="00A134AF" w:rsidRPr="005D5356" w:rsidRDefault="00A134AF" w:rsidP="00F07639">
      <w:pPr>
        <w:spacing w:line="480" w:lineRule="auto"/>
        <w:rPr>
          <w:rFonts w:ascii="Times New Roman" w:hAnsi="Times New Roman"/>
        </w:rPr>
      </w:pPr>
    </w:p>
    <w:p w14:paraId="6400CE3D" w14:textId="71F7817E" w:rsidR="001267DF" w:rsidRPr="00D57344" w:rsidRDefault="001267DF" w:rsidP="00F07639">
      <w:pPr>
        <w:spacing w:line="480" w:lineRule="auto"/>
        <w:rPr>
          <w:rFonts w:ascii="Times New Roman" w:hAnsi="Times New Roman"/>
          <w:b/>
          <w:lang w:val="en-GB"/>
        </w:rPr>
      </w:pPr>
      <w:r w:rsidRPr="005D5356">
        <w:rPr>
          <w:rFonts w:ascii="Times New Roman" w:hAnsi="Times New Roman"/>
          <w:b/>
          <w:lang w:val="en-GB"/>
        </w:rPr>
        <w:t>Word count (excluding title page, abstract, references, figures and tables):</w:t>
      </w:r>
      <w:r w:rsidR="00D57344">
        <w:rPr>
          <w:rFonts w:ascii="Times New Roman" w:hAnsi="Times New Roman"/>
          <w:b/>
          <w:lang w:val="en-GB"/>
        </w:rPr>
        <w:t xml:space="preserve"> </w:t>
      </w:r>
      <w:r w:rsidR="005D5356" w:rsidRPr="005D5356">
        <w:rPr>
          <w:rFonts w:ascii="Times New Roman" w:hAnsi="Times New Roman"/>
          <w:lang w:val="en-GB"/>
        </w:rPr>
        <w:t>3</w:t>
      </w:r>
      <w:r w:rsidR="009A414E">
        <w:rPr>
          <w:rFonts w:ascii="Times New Roman" w:hAnsi="Times New Roman"/>
          <w:lang w:val="en-GB"/>
        </w:rPr>
        <w:t>477</w:t>
      </w:r>
    </w:p>
    <w:p w14:paraId="50F5007A" w14:textId="77777777" w:rsidR="00221092" w:rsidRDefault="00221092">
      <w:pPr>
        <w:rPr>
          <w:rFonts w:ascii="Times New Roman" w:hAnsi="Times New Roman"/>
          <w:b/>
        </w:rPr>
      </w:pPr>
      <w:r>
        <w:rPr>
          <w:rFonts w:ascii="Times New Roman" w:hAnsi="Times New Roman"/>
          <w:b/>
        </w:rPr>
        <w:br w:type="page"/>
      </w:r>
    </w:p>
    <w:p w14:paraId="3EAF254B" w14:textId="202545D7" w:rsidR="00A75700" w:rsidRPr="005D5356" w:rsidRDefault="00C6068D" w:rsidP="00F07639">
      <w:pPr>
        <w:spacing w:line="480" w:lineRule="auto"/>
        <w:rPr>
          <w:rFonts w:ascii="Times New Roman" w:hAnsi="Times New Roman"/>
          <w:b/>
        </w:rPr>
      </w:pPr>
      <w:r w:rsidRPr="005D5356">
        <w:rPr>
          <w:rFonts w:ascii="Times New Roman" w:hAnsi="Times New Roman"/>
          <w:b/>
        </w:rPr>
        <w:lastRenderedPageBreak/>
        <w:t xml:space="preserve">Abstract </w:t>
      </w:r>
    </w:p>
    <w:p w14:paraId="6036726E" w14:textId="77777777" w:rsidR="00C6068D" w:rsidRPr="005D5356" w:rsidRDefault="00C6068D" w:rsidP="00F07639">
      <w:pPr>
        <w:spacing w:line="480" w:lineRule="auto"/>
        <w:rPr>
          <w:rFonts w:ascii="Times New Roman" w:hAnsi="Times New Roman"/>
          <w:b/>
        </w:rPr>
      </w:pPr>
    </w:p>
    <w:p w14:paraId="23D0CB0B" w14:textId="77777777" w:rsidR="00C6068D" w:rsidRPr="005D5356" w:rsidRDefault="00C6068D" w:rsidP="00F07639">
      <w:pPr>
        <w:spacing w:line="480" w:lineRule="auto"/>
        <w:rPr>
          <w:rFonts w:ascii="Times New Roman" w:hAnsi="Times New Roman"/>
          <w:b/>
        </w:rPr>
      </w:pPr>
      <w:r w:rsidRPr="005D5356">
        <w:rPr>
          <w:rFonts w:ascii="Times New Roman" w:hAnsi="Times New Roman"/>
          <w:b/>
        </w:rPr>
        <w:t>Background</w:t>
      </w:r>
    </w:p>
    <w:p w14:paraId="1C0A19C0" w14:textId="20C444D5" w:rsidR="00A874A4" w:rsidRPr="005D5356" w:rsidRDefault="00A874A4" w:rsidP="00F07639">
      <w:pPr>
        <w:pStyle w:val="Default"/>
        <w:spacing w:line="480" w:lineRule="auto"/>
        <w:rPr>
          <w:rFonts w:ascii="Times New Roman" w:hAnsi="Times New Roman" w:cs="Times New Roman"/>
        </w:rPr>
      </w:pPr>
      <w:r w:rsidRPr="005D5356">
        <w:rPr>
          <w:rFonts w:ascii="Times New Roman" w:hAnsi="Times New Roman" w:cs="Times New Roman"/>
        </w:rPr>
        <w:t>Second</w:t>
      </w:r>
      <w:r w:rsidR="002D1B10">
        <w:rPr>
          <w:rFonts w:ascii="Times New Roman" w:hAnsi="Times New Roman" w:cs="Times New Roman"/>
        </w:rPr>
        <w:t>-</w:t>
      </w:r>
      <w:r w:rsidRPr="005D5356">
        <w:rPr>
          <w:rFonts w:ascii="Times New Roman" w:hAnsi="Times New Roman" w:cs="Times New Roman"/>
        </w:rPr>
        <w:t>hand smoke (SHS) exposure during pregnancy increase</w:t>
      </w:r>
      <w:r w:rsidR="00990B6F" w:rsidRPr="005D5356">
        <w:rPr>
          <w:rFonts w:ascii="Times New Roman" w:hAnsi="Times New Roman" w:cs="Times New Roman"/>
        </w:rPr>
        <w:t>s</w:t>
      </w:r>
      <w:r w:rsidRPr="005D5356">
        <w:rPr>
          <w:rFonts w:ascii="Times New Roman" w:hAnsi="Times New Roman" w:cs="Times New Roman"/>
        </w:rPr>
        <w:t xml:space="preserve"> the risk of </w:t>
      </w:r>
      <w:r w:rsidR="00077C0A">
        <w:rPr>
          <w:rFonts w:ascii="Times New Roman" w:hAnsi="Times New Roman" w:cs="Times New Roman"/>
        </w:rPr>
        <w:t xml:space="preserve">infant </w:t>
      </w:r>
      <w:r w:rsidRPr="005D5356">
        <w:rPr>
          <w:rFonts w:ascii="Times New Roman" w:hAnsi="Times New Roman" w:cs="Times New Roman"/>
        </w:rPr>
        <w:t xml:space="preserve">stillbirth, congenital malformations, low </w:t>
      </w:r>
      <w:r w:rsidR="00EC35BC" w:rsidRPr="005D5356">
        <w:rPr>
          <w:rFonts w:ascii="Times New Roman" w:hAnsi="Times New Roman" w:cs="Times New Roman"/>
        </w:rPr>
        <w:t>birth</w:t>
      </w:r>
      <w:r w:rsidR="00F72D55" w:rsidRPr="005D5356">
        <w:rPr>
          <w:rFonts w:ascii="Times New Roman" w:hAnsi="Times New Roman" w:cs="Times New Roman"/>
        </w:rPr>
        <w:t>-</w:t>
      </w:r>
      <w:r w:rsidR="00EC35BC" w:rsidRPr="005D5356">
        <w:rPr>
          <w:rFonts w:ascii="Times New Roman" w:hAnsi="Times New Roman" w:cs="Times New Roman"/>
        </w:rPr>
        <w:t>weight</w:t>
      </w:r>
      <w:r w:rsidRPr="005D5356">
        <w:rPr>
          <w:rFonts w:ascii="Times New Roman" w:hAnsi="Times New Roman" w:cs="Times New Roman"/>
        </w:rPr>
        <w:t xml:space="preserve">, and respiratory </w:t>
      </w:r>
      <w:r w:rsidR="00911924" w:rsidRPr="005D5356">
        <w:rPr>
          <w:rFonts w:ascii="Times New Roman" w:hAnsi="Times New Roman" w:cs="Times New Roman"/>
        </w:rPr>
        <w:t>illnesses</w:t>
      </w:r>
      <w:r w:rsidRPr="005D5356">
        <w:rPr>
          <w:rFonts w:ascii="Times New Roman" w:hAnsi="Times New Roman" w:cs="Times New Roman"/>
        </w:rPr>
        <w:t xml:space="preserve">. </w:t>
      </w:r>
      <w:r w:rsidR="00911924" w:rsidRPr="005D5356">
        <w:rPr>
          <w:rFonts w:ascii="Times New Roman" w:hAnsi="Times New Roman" w:cs="Times New Roman"/>
        </w:rPr>
        <w:t xml:space="preserve">However, little is known about the extent of SHS exposure </w:t>
      </w:r>
      <w:r w:rsidR="00F72D55" w:rsidRPr="005D5356">
        <w:rPr>
          <w:rFonts w:ascii="Times New Roman" w:hAnsi="Times New Roman" w:cs="Times New Roman"/>
        </w:rPr>
        <w:t>during pregnancy</w:t>
      </w:r>
      <w:r w:rsidR="00911924" w:rsidRPr="005D5356">
        <w:rPr>
          <w:rFonts w:ascii="Times New Roman" w:hAnsi="Times New Roman" w:cs="Times New Roman"/>
        </w:rPr>
        <w:t xml:space="preserve">. We assessed the prevalence of SHS exposure </w:t>
      </w:r>
      <w:r w:rsidR="00F72D55" w:rsidRPr="005D5356">
        <w:rPr>
          <w:rFonts w:ascii="Times New Roman" w:hAnsi="Times New Roman" w:cs="Times New Roman"/>
        </w:rPr>
        <w:t>in pregnant women</w:t>
      </w:r>
      <w:r w:rsidR="00911924" w:rsidRPr="005D5356">
        <w:rPr>
          <w:rFonts w:ascii="Times New Roman" w:hAnsi="Times New Roman" w:cs="Times New Roman"/>
        </w:rPr>
        <w:t xml:space="preserve"> in </w:t>
      </w:r>
      <w:r w:rsidR="00F72D55" w:rsidRPr="005D5356">
        <w:rPr>
          <w:rFonts w:ascii="Times New Roman" w:hAnsi="Times New Roman" w:cs="Times New Roman"/>
        </w:rPr>
        <w:t>low- and middle-income countries (LMICs)</w:t>
      </w:r>
      <w:r w:rsidR="00911924" w:rsidRPr="005D5356">
        <w:rPr>
          <w:rFonts w:ascii="Times New Roman" w:hAnsi="Times New Roman" w:cs="Times New Roman"/>
        </w:rPr>
        <w:t>.</w:t>
      </w:r>
    </w:p>
    <w:p w14:paraId="4A8A896E" w14:textId="77777777" w:rsidR="00A874A4" w:rsidRPr="005D5356" w:rsidRDefault="00A874A4" w:rsidP="00F07639">
      <w:pPr>
        <w:spacing w:line="480" w:lineRule="auto"/>
        <w:rPr>
          <w:rFonts w:ascii="Times New Roman" w:hAnsi="Times New Roman"/>
          <w:b/>
        </w:rPr>
      </w:pPr>
    </w:p>
    <w:p w14:paraId="3FC72105" w14:textId="77777777" w:rsidR="00C6068D" w:rsidRPr="005D5356" w:rsidRDefault="00C6068D" w:rsidP="00F07639">
      <w:pPr>
        <w:spacing w:line="480" w:lineRule="auto"/>
        <w:rPr>
          <w:rFonts w:ascii="Times New Roman" w:hAnsi="Times New Roman"/>
          <w:b/>
        </w:rPr>
      </w:pPr>
      <w:r w:rsidRPr="005D5356">
        <w:rPr>
          <w:rFonts w:ascii="Times New Roman" w:hAnsi="Times New Roman"/>
          <w:b/>
        </w:rPr>
        <w:t>Methods</w:t>
      </w:r>
    </w:p>
    <w:p w14:paraId="554A9169" w14:textId="50A1ACB0" w:rsidR="00A874A4" w:rsidRPr="005D5356" w:rsidRDefault="00B1183F" w:rsidP="00F07639">
      <w:pPr>
        <w:spacing w:line="480" w:lineRule="auto"/>
        <w:rPr>
          <w:rFonts w:ascii="Times New Roman" w:hAnsi="Times New Roman"/>
        </w:rPr>
      </w:pPr>
      <w:r w:rsidRPr="005D5356">
        <w:rPr>
          <w:rFonts w:ascii="Times New Roman" w:hAnsi="Times New Roman"/>
        </w:rPr>
        <w:t xml:space="preserve">We used </w:t>
      </w:r>
      <w:r w:rsidR="005D14CE" w:rsidRPr="005D5356">
        <w:rPr>
          <w:rFonts w:ascii="Times New Roman" w:hAnsi="Times New Roman"/>
          <w:lang w:val="en-GB"/>
        </w:rPr>
        <w:t>Demographic and Health Survey</w:t>
      </w:r>
      <w:r w:rsidRPr="005D5356">
        <w:rPr>
          <w:rFonts w:ascii="Times New Roman" w:hAnsi="Times New Roman"/>
          <w:lang w:val="en-GB"/>
        </w:rPr>
        <w:t xml:space="preserve"> data collected between </w:t>
      </w:r>
      <w:r w:rsidR="00884B65" w:rsidRPr="005D5356">
        <w:rPr>
          <w:rFonts w:ascii="Times New Roman" w:hAnsi="Times New Roman"/>
          <w:lang w:val="en-GB"/>
        </w:rPr>
        <w:t>2008</w:t>
      </w:r>
      <w:r w:rsidRPr="005D5356">
        <w:rPr>
          <w:rFonts w:ascii="Times New Roman" w:hAnsi="Times New Roman"/>
          <w:lang w:val="en-GB"/>
        </w:rPr>
        <w:t xml:space="preserve"> and</w:t>
      </w:r>
      <w:r w:rsidR="00884B65" w:rsidRPr="005D5356">
        <w:rPr>
          <w:rFonts w:ascii="Times New Roman" w:hAnsi="Times New Roman"/>
          <w:lang w:val="en-GB"/>
        </w:rPr>
        <w:t xml:space="preserve"> 2013</w:t>
      </w:r>
      <w:r w:rsidR="005D14CE" w:rsidRPr="005D5356">
        <w:rPr>
          <w:rFonts w:ascii="Times New Roman" w:hAnsi="Times New Roman"/>
          <w:lang w:val="en-GB"/>
        </w:rPr>
        <w:t xml:space="preserve"> </w:t>
      </w:r>
      <w:r w:rsidRPr="005D5356">
        <w:rPr>
          <w:rFonts w:ascii="Times New Roman" w:hAnsi="Times New Roman"/>
          <w:lang w:val="en-GB"/>
        </w:rPr>
        <w:t>from</w:t>
      </w:r>
      <w:r w:rsidR="005D14CE" w:rsidRPr="005D5356">
        <w:rPr>
          <w:rFonts w:ascii="Times New Roman" w:hAnsi="Times New Roman"/>
          <w:lang w:val="en-GB"/>
        </w:rPr>
        <w:t xml:space="preserve"> 30 </w:t>
      </w:r>
      <w:r w:rsidR="00EA13D6" w:rsidRPr="005D5356">
        <w:rPr>
          <w:rFonts w:ascii="Times New Roman" w:hAnsi="Times New Roman"/>
          <w:lang w:val="en-GB"/>
        </w:rPr>
        <w:t>LMICs</w:t>
      </w:r>
      <w:r w:rsidR="001E0DD1" w:rsidRPr="005D5356">
        <w:rPr>
          <w:rFonts w:ascii="Times New Roman" w:hAnsi="Times New Roman"/>
          <w:lang w:val="en-GB"/>
        </w:rPr>
        <w:t>.</w:t>
      </w:r>
      <w:r w:rsidR="005D14CE" w:rsidRPr="005D5356">
        <w:rPr>
          <w:rFonts w:ascii="Times New Roman" w:hAnsi="Times New Roman"/>
          <w:lang w:val="en-GB"/>
        </w:rPr>
        <w:t xml:space="preserve"> </w:t>
      </w:r>
      <w:r w:rsidRPr="005D5356">
        <w:rPr>
          <w:rFonts w:ascii="Times New Roman" w:hAnsi="Times New Roman"/>
        </w:rPr>
        <w:t xml:space="preserve">We estimated </w:t>
      </w:r>
      <w:r w:rsidR="002C4532" w:rsidRPr="005D5356">
        <w:rPr>
          <w:rFonts w:ascii="Times New Roman" w:hAnsi="Times New Roman"/>
        </w:rPr>
        <w:t xml:space="preserve">weighted </w:t>
      </w:r>
      <w:r w:rsidRPr="005D5356">
        <w:rPr>
          <w:rFonts w:ascii="Times New Roman" w:hAnsi="Times New Roman"/>
        </w:rPr>
        <w:t>country-specific</w:t>
      </w:r>
      <w:r w:rsidRPr="005D5356">
        <w:rPr>
          <w:rFonts w:ascii="Times New Roman" w:hAnsi="Times New Roman"/>
          <w:lang w:val="en-GB"/>
        </w:rPr>
        <w:t xml:space="preserve"> prevalence of SHS exposure among</w:t>
      </w:r>
      <w:r w:rsidRPr="005D5356">
        <w:rPr>
          <w:rFonts w:ascii="Times New Roman" w:hAnsi="Times New Roman"/>
        </w:rPr>
        <w:t xml:space="preserve"> </w:t>
      </w:r>
      <w:r w:rsidR="005D14CE" w:rsidRPr="005D5356">
        <w:rPr>
          <w:rFonts w:ascii="Times New Roman" w:hAnsi="Times New Roman"/>
        </w:rPr>
        <w:t>37,427 pregnant women.</w:t>
      </w:r>
      <w:r w:rsidR="00911924" w:rsidRPr="005D5356">
        <w:rPr>
          <w:rFonts w:ascii="Times New Roman" w:hAnsi="Times New Roman"/>
        </w:rPr>
        <w:t xml:space="preserve"> </w:t>
      </w:r>
      <w:r w:rsidR="00F72D55" w:rsidRPr="005D5356">
        <w:rPr>
          <w:rFonts w:ascii="Times New Roman" w:hAnsi="Times New Roman"/>
        </w:rPr>
        <w:t>We</w:t>
      </w:r>
      <w:r w:rsidR="00911924" w:rsidRPr="005D5356">
        <w:rPr>
          <w:rFonts w:ascii="Times New Roman" w:hAnsi="Times New Roman"/>
        </w:rPr>
        <w:t xml:space="preserve"> accounted for sampling weights, clustering, and stratification in the sampling </w:t>
      </w:r>
      <w:r w:rsidR="00F72D55" w:rsidRPr="005D5356">
        <w:rPr>
          <w:rFonts w:ascii="Times New Roman" w:hAnsi="Times New Roman"/>
        </w:rPr>
        <w:t>methods</w:t>
      </w:r>
      <w:r w:rsidR="00911924" w:rsidRPr="005D5356">
        <w:rPr>
          <w:rFonts w:ascii="Times New Roman" w:hAnsi="Times New Roman"/>
        </w:rPr>
        <w:t>.</w:t>
      </w:r>
      <w:r w:rsidR="005D14CE" w:rsidRPr="005D5356">
        <w:rPr>
          <w:rFonts w:ascii="Times New Roman" w:hAnsi="Times New Roman"/>
        </w:rPr>
        <w:t xml:space="preserve"> </w:t>
      </w:r>
      <w:r w:rsidR="00A1568A" w:rsidRPr="005D5356">
        <w:rPr>
          <w:rFonts w:ascii="Times New Roman" w:hAnsi="Times New Roman"/>
        </w:rPr>
        <w:t xml:space="preserve">We also </w:t>
      </w:r>
      <w:r w:rsidR="00EC35BC" w:rsidRPr="005D5356">
        <w:rPr>
          <w:rFonts w:ascii="Times New Roman" w:hAnsi="Times New Roman"/>
          <w:lang w:val="en-GB"/>
        </w:rPr>
        <w:t xml:space="preserve">explored associations between socio-demographic variables and SHS exposure in pregnant women using </w:t>
      </w:r>
      <w:r w:rsidR="00EC35BC" w:rsidRPr="005D5356">
        <w:rPr>
          <w:rFonts w:ascii="Times New Roman" w:hAnsi="Times New Roman"/>
        </w:rPr>
        <w:t>pairwise multinomial regression model</w:t>
      </w:r>
      <w:r w:rsidR="00EC35BC" w:rsidRPr="005D5356">
        <w:rPr>
          <w:rFonts w:ascii="Times New Roman" w:hAnsi="Times New Roman"/>
          <w:lang w:val="en-GB"/>
        </w:rPr>
        <w:t xml:space="preserve">. </w:t>
      </w:r>
      <w:r w:rsidR="00EC35BC" w:rsidRPr="005D5356">
        <w:rPr>
          <w:rFonts w:ascii="Times New Roman" w:hAnsi="Times New Roman"/>
        </w:rPr>
        <w:t xml:space="preserve"> </w:t>
      </w:r>
    </w:p>
    <w:p w14:paraId="28B945C2" w14:textId="77777777" w:rsidR="006124FD" w:rsidRPr="005D5356" w:rsidRDefault="006124FD" w:rsidP="00F07639">
      <w:pPr>
        <w:spacing w:line="480" w:lineRule="auto"/>
        <w:rPr>
          <w:rFonts w:ascii="Times New Roman" w:hAnsi="Times New Roman"/>
        </w:rPr>
      </w:pPr>
    </w:p>
    <w:p w14:paraId="66B5EA6E" w14:textId="77777777" w:rsidR="00C6068D" w:rsidRPr="005D5356" w:rsidRDefault="00C6068D" w:rsidP="00F07639">
      <w:pPr>
        <w:spacing w:line="480" w:lineRule="auto"/>
        <w:rPr>
          <w:rFonts w:ascii="Times New Roman" w:hAnsi="Times New Roman"/>
          <w:b/>
        </w:rPr>
      </w:pPr>
      <w:r w:rsidRPr="005D5356">
        <w:rPr>
          <w:rFonts w:ascii="Times New Roman" w:hAnsi="Times New Roman"/>
          <w:b/>
        </w:rPr>
        <w:t>Findings</w:t>
      </w:r>
    </w:p>
    <w:p w14:paraId="6BEF7EAF" w14:textId="02A4C3EB" w:rsidR="00A874A4" w:rsidRPr="005D5356" w:rsidRDefault="00747F83" w:rsidP="00F07639">
      <w:pPr>
        <w:spacing w:line="480" w:lineRule="auto"/>
        <w:rPr>
          <w:rFonts w:ascii="Times New Roman" w:hAnsi="Times New Roman"/>
        </w:rPr>
      </w:pPr>
      <w:r w:rsidRPr="005D5356">
        <w:rPr>
          <w:rFonts w:ascii="Times New Roman" w:hAnsi="Times New Roman"/>
        </w:rPr>
        <w:t>The prevalence of</w:t>
      </w:r>
      <w:r w:rsidR="00A874A4" w:rsidRPr="005D5356">
        <w:rPr>
          <w:rFonts w:ascii="Times New Roman" w:hAnsi="Times New Roman"/>
        </w:rPr>
        <w:t xml:space="preserve"> </w:t>
      </w:r>
      <w:r w:rsidR="00990B6F" w:rsidRPr="005D5356">
        <w:rPr>
          <w:rFonts w:ascii="Times New Roman" w:hAnsi="Times New Roman"/>
        </w:rPr>
        <w:t xml:space="preserve">daily </w:t>
      </w:r>
      <w:r w:rsidR="00A874A4" w:rsidRPr="005D5356">
        <w:rPr>
          <w:rFonts w:ascii="Times New Roman" w:hAnsi="Times New Roman"/>
        </w:rPr>
        <w:t>SHS exposure</w:t>
      </w:r>
      <w:r w:rsidR="00990B6F" w:rsidRPr="005D5356">
        <w:rPr>
          <w:rFonts w:ascii="Times New Roman" w:hAnsi="Times New Roman"/>
        </w:rPr>
        <w:t xml:space="preserve"> </w:t>
      </w:r>
      <w:r w:rsidR="00F72D55" w:rsidRPr="005D5356">
        <w:rPr>
          <w:rFonts w:ascii="Times New Roman" w:hAnsi="Times New Roman"/>
        </w:rPr>
        <w:t>during pregnancy</w:t>
      </w:r>
      <w:r w:rsidR="00A874A4" w:rsidRPr="005D5356">
        <w:rPr>
          <w:rFonts w:ascii="Times New Roman" w:hAnsi="Times New Roman"/>
        </w:rPr>
        <w:t xml:space="preserve"> </w:t>
      </w:r>
      <w:r w:rsidR="00990B6F" w:rsidRPr="005D5356">
        <w:rPr>
          <w:rFonts w:ascii="Times New Roman" w:hAnsi="Times New Roman"/>
        </w:rPr>
        <w:t xml:space="preserve">ranged </w:t>
      </w:r>
      <w:r w:rsidR="00A874A4" w:rsidRPr="005D5356">
        <w:rPr>
          <w:rFonts w:ascii="Times New Roman" w:hAnsi="Times New Roman"/>
        </w:rPr>
        <w:t>from 6%</w:t>
      </w:r>
      <w:r w:rsidR="00957B17" w:rsidRPr="005D5356">
        <w:rPr>
          <w:rFonts w:ascii="Times New Roman" w:hAnsi="Times New Roman"/>
        </w:rPr>
        <w:t xml:space="preserve"> </w:t>
      </w:r>
      <w:r w:rsidR="00A52479" w:rsidRPr="005D5356">
        <w:rPr>
          <w:rFonts w:ascii="Times New Roman" w:hAnsi="Times New Roman"/>
        </w:rPr>
        <w:t>[</w:t>
      </w:r>
      <w:r w:rsidR="006E2C2F">
        <w:rPr>
          <w:rFonts w:ascii="Times New Roman" w:hAnsi="Times New Roman"/>
        </w:rPr>
        <w:t xml:space="preserve">95% CI </w:t>
      </w:r>
      <w:r w:rsidR="00A52479" w:rsidRPr="005D5356">
        <w:rPr>
          <w:rFonts w:ascii="Times New Roman" w:hAnsi="Times New Roman"/>
        </w:rPr>
        <w:t xml:space="preserve">5%, 7%] </w:t>
      </w:r>
      <w:r w:rsidR="00990B6F" w:rsidRPr="005D5356">
        <w:rPr>
          <w:rFonts w:ascii="Times New Roman" w:hAnsi="Times New Roman"/>
        </w:rPr>
        <w:t>(</w:t>
      </w:r>
      <w:r w:rsidR="00A874A4" w:rsidRPr="005D5356">
        <w:rPr>
          <w:rFonts w:ascii="Times New Roman" w:hAnsi="Times New Roman"/>
        </w:rPr>
        <w:t>Nigeria</w:t>
      </w:r>
      <w:r w:rsidR="00990B6F" w:rsidRPr="005D5356">
        <w:rPr>
          <w:rFonts w:ascii="Times New Roman" w:hAnsi="Times New Roman"/>
        </w:rPr>
        <w:t>)</w:t>
      </w:r>
      <w:r w:rsidR="00A874A4" w:rsidRPr="005D5356">
        <w:rPr>
          <w:rFonts w:ascii="Times New Roman" w:hAnsi="Times New Roman"/>
        </w:rPr>
        <w:t xml:space="preserve"> to 73% </w:t>
      </w:r>
      <w:r w:rsidR="00A52479" w:rsidRPr="005D5356">
        <w:rPr>
          <w:rFonts w:ascii="Times New Roman" w:hAnsi="Times New Roman"/>
        </w:rPr>
        <w:t>[</w:t>
      </w:r>
      <w:r w:rsidR="006E2C2F">
        <w:rPr>
          <w:rFonts w:ascii="Times New Roman" w:hAnsi="Times New Roman"/>
        </w:rPr>
        <w:t xml:space="preserve">95% CI </w:t>
      </w:r>
      <w:r w:rsidR="00A52479" w:rsidRPr="005D5356">
        <w:rPr>
          <w:rFonts w:ascii="Times New Roman" w:hAnsi="Times New Roman"/>
        </w:rPr>
        <w:t xml:space="preserve">62%, 81%] </w:t>
      </w:r>
      <w:r w:rsidR="00990B6F" w:rsidRPr="005D5356">
        <w:rPr>
          <w:rFonts w:ascii="Times New Roman" w:hAnsi="Times New Roman"/>
        </w:rPr>
        <w:t>(</w:t>
      </w:r>
      <w:r w:rsidR="00A874A4" w:rsidRPr="005D5356">
        <w:rPr>
          <w:rFonts w:ascii="Times New Roman" w:hAnsi="Times New Roman"/>
        </w:rPr>
        <w:t>Armenia</w:t>
      </w:r>
      <w:r w:rsidR="00990B6F" w:rsidRPr="005D5356">
        <w:rPr>
          <w:rFonts w:ascii="Times New Roman" w:hAnsi="Times New Roman"/>
        </w:rPr>
        <w:t xml:space="preserve">), and was greater than active </w:t>
      </w:r>
      <w:r w:rsidR="00C46B28">
        <w:rPr>
          <w:rFonts w:ascii="Times New Roman" w:hAnsi="Times New Roman"/>
        </w:rPr>
        <w:t>tobacco use</w:t>
      </w:r>
      <w:r w:rsidR="00C46B28" w:rsidRPr="005D5356">
        <w:rPr>
          <w:rFonts w:ascii="Times New Roman" w:hAnsi="Times New Roman"/>
        </w:rPr>
        <w:t xml:space="preserve"> </w:t>
      </w:r>
      <w:r w:rsidR="00990B6F" w:rsidRPr="005D5356">
        <w:rPr>
          <w:rFonts w:ascii="Times New Roman" w:hAnsi="Times New Roman"/>
        </w:rPr>
        <w:t>in pregnancy across all countries studied</w:t>
      </w:r>
      <w:r w:rsidR="00B4168B" w:rsidRPr="005D5356">
        <w:rPr>
          <w:rFonts w:ascii="Times New Roman" w:hAnsi="Times New Roman"/>
        </w:rPr>
        <w:t xml:space="preserve">. </w:t>
      </w:r>
      <w:r w:rsidR="00C049B7">
        <w:rPr>
          <w:rFonts w:ascii="Times New Roman" w:hAnsi="Times New Roman"/>
        </w:rPr>
        <w:t>Being wealt</w:t>
      </w:r>
      <w:r w:rsidR="00BB694A">
        <w:rPr>
          <w:rFonts w:ascii="Times New Roman" w:hAnsi="Times New Roman"/>
        </w:rPr>
        <w:t>h</w:t>
      </w:r>
      <w:r w:rsidR="00C049B7">
        <w:rPr>
          <w:rFonts w:ascii="Times New Roman" w:hAnsi="Times New Roman"/>
        </w:rPr>
        <w:t>ier</w:t>
      </w:r>
      <w:r w:rsidR="00415FCD" w:rsidRPr="005D5356">
        <w:rPr>
          <w:rFonts w:ascii="Times New Roman" w:hAnsi="Times New Roman"/>
        </w:rPr>
        <w:t>,</w:t>
      </w:r>
      <w:r w:rsidR="00A874A4" w:rsidRPr="005D5356">
        <w:rPr>
          <w:rFonts w:ascii="Times New Roman" w:hAnsi="Times New Roman"/>
        </w:rPr>
        <w:t xml:space="preserve"> </w:t>
      </w:r>
      <w:r w:rsidR="00163EF7" w:rsidRPr="005D5356">
        <w:rPr>
          <w:rFonts w:ascii="Times New Roman" w:hAnsi="Times New Roman"/>
        </w:rPr>
        <w:t>maternal</w:t>
      </w:r>
      <w:r w:rsidR="00915C8F" w:rsidRPr="005D5356">
        <w:rPr>
          <w:rFonts w:ascii="Times New Roman" w:hAnsi="Times New Roman"/>
        </w:rPr>
        <w:t xml:space="preserve"> employment</w:t>
      </w:r>
      <w:r w:rsidR="0074718F" w:rsidRPr="005D5356">
        <w:rPr>
          <w:rFonts w:ascii="Times New Roman" w:hAnsi="Times New Roman"/>
        </w:rPr>
        <w:t>, higher education,</w:t>
      </w:r>
      <w:r w:rsidR="00A874A4" w:rsidRPr="005D5356">
        <w:rPr>
          <w:rFonts w:ascii="Times New Roman" w:hAnsi="Times New Roman"/>
        </w:rPr>
        <w:t xml:space="preserve"> </w:t>
      </w:r>
      <w:r w:rsidR="00415FCD" w:rsidRPr="005D5356">
        <w:rPr>
          <w:rFonts w:ascii="Times New Roman" w:hAnsi="Times New Roman"/>
        </w:rPr>
        <w:t xml:space="preserve">and urban households </w:t>
      </w:r>
      <w:r w:rsidR="00A874A4" w:rsidRPr="005D5356">
        <w:rPr>
          <w:rFonts w:ascii="Times New Roman" w:hAnsi="Times New Roman"/>
        </w:rPr>
        <w:t xml:space="preserve">were associated with lower SHS exposure </w:t>
      </w:r>
      <w:r w:rsidR="00415FCD" w:rsidRPr="005D5356">
        <w:rPr>
          <w:rFonts w:ascii="Times New Roman" w:hAnsi="Times New Roman"/>
        </w:rPr>
        <w:t>in</w:t>
      </w:r>
      <w:r w:rsidR="00A874A4" w:rsidRPr="005D5356">
        <w:rPr>
          <w:rFonts w:ascii="Times New Roman" w:hAnsi="Times New Roman"/>
        </w:rPr>
        <w:t xml:space="preserve"> full regression models.</w:t>
      </w:r>
      <w:r w:rsidR="0074718F" w:rsidRPr="005D5356">
        <w:rPr>
          <w:rFonts w:ascii="Times New Roman" w:hAnsi="Times New Roman"/>
        </w:rPr>
        <w:t xml:space="preserve"> </w:t>
      </w:r>
      <w:r w:rsidR="003778B3" w:rsidRPr="005D5356">
        <w:rPr>
          <w:rFonts w:ascii="Times New Roman" w:hAnsi="Times New Roman"/>
        </w:rPr>
        <w:t xml:space="preserve">SHS exposure in pregnant women closely </w:t>
      </w:r>
      <w:r w:rsidR="00C46B28">
        <w:rPr>
          <w:rFonts w:ascii="Times New Roman" w:hAnsi="Times New Roman"/>
        </w:rPr>
        <w:t>mirrors WHO GATS</w:t>
      </w:r>
      <w:r w:rsidR="00C46B28" w:rsidRPr="005D5356">
        <w:rPr>
          <w:rFonts w:ascii="Times New Roman" w:hAnsi="Times New Roman"/>
        </w:rPr>
        <w:t xml:space="preserve"> </w:t>
      </w:r>
      <w:r w:rsidR="00990B6F" w:rsidRPr="005D5356">
        <w:rPr>
          <w:rFonts w:ascii="Times New Roman" w:hAnsi="Times New Roman"/>
        </w:rPr>
        <w:t xml:space="preserve">male </w:t>
      </w:r>
      <w:r w:rsidR="003778B3" w:rsidRPr="005D5356">
        <w:rPr>
          <w:rFonts w:ascii="Times New Roman" w:hAnsi="Times New Roman"/>
        </w:rPr>
        <w:t xml:space="preserve">active smoking </w:t>
      </w:r>
      <w:r w:rsidR="00132DE5">
        <w:rPr>
          <w:rFonts w:ascii="Times New Roman" w:hAnsi="Times New Roman"/>
        </w:rPr>
        <w:t>patterns</w:t>
      </w:r>
      <w:r w:rsidR="003778B3" w:rsidRPr="005D5356">
        <w:rPr>
          <w:rFonts w:ascii="Times New Roman" w:hAnsi="Times New Roman"/>
        </w:rPr>
        <w:t>.</w:t>
      </w:r>
      <w:r w:rsidR="000C555A" w:rsidRPr="005D5356">
        <w:rPr>
          <w:rFonts w:ascii="Times New Roman" w:hAnsi="Times New Roman"/>
        </w:rPr>
        <w:t xml:space="preserve"> </w:t>
      </w:r>
      <w:r w:rsidR="0074718F" w:rsidRPr="005D5356">
        <w:rPr>
          <w:rFonts w:ascii="Times New Roman" w:hAnsi="Times New Roman"/>
        </w:rPr>
        <w:t xml:space="preserve">Daily SHS exposure </w:t>
      </w:r>
      <w:r w:rsidR="0074718F" w:rsidRPr="005D5356">
        <w:rPr>
          <w:rFonts w:ascii="Times New Roman" w:hAnsi="Times New Roman"/>
        </w:rPr>
        <w:lastRenderedPageBreak/>
        <w:t xml:space="preserve">accounted </w:t>
      </w:r>
      <w:r w:rsidR="00990B6F" w:rsidRPr="005D5356">
        <w:rPr>
          <w:rFonts w:ascii="Times New Roman" w:hAnsi="Times New Roman"/>
        </w:rPr>
        <w:t xml:space="preserve">for a greater </w:t>
      </w:r>
      <w:r w:rsidR="0074718F" w:rsidRPr="005D5356">
        <w:rPr>
          <w:rFonts w:ascii="Times New Roman" w:hAnsi="Times New Roman"/>
        </w:rPr>
        <w:t xml:space="preserve">population </w:t>
      </w:r>
      <w:proofErr w:type="gramStart"/>
      <w:r w:rsidR="0074718F" w:rsidRPr="005D5356">
        <w:rPr>
          <w:rFonts w:ascii="Times New Roman" w:hAnsi="Times New Roman"/>
        </w:rPr>
        <w:t>attributable</w:t>
      </w:r>
      <w:proofErr w:type="gramEnd"/>
      <w:r w:rsidR="0074718F" w:rsidRPr="005D5356">
        <w:rPr>
          <w:rFonts w:ascii="Times New Roman" w:hAnsi="Times New Roman"/>
        </w:rPr>
        <w:t xml:space="preserve"> fraction of stillbirths </w:t>
      </w:r>
      <w:r w:rsidR="00990B6F" w:rsidRPr="005D5356">
        <w:rPr>
          <w:rFonts w:ascii="Times New Roman" w:hAnsi="Times New Roman"/>
        </w:rPr>
        <w:t xml:space="preserve">than active smoking, ranging from 1% of stillbirths (Nigeria) to 14% (Indonesia). </w:t>
      </w:r>
      <w:r w:rsidR="0002054D" w:rsidRPr="005D5356">
        <w:rPr>
          <w:rFonts w:ascii="Times New Roman" w:hAnsi="Times New Roman"/>
        </w:rPr>
        <w:t xml:space="preserve"> </w:t>
      </w:r>
    </w:p>
    <w:p w14:paraId="5DDC0206" w14:textId="77777777" w:rsidR="00A874A4" w:rsidRPr="005D5356" w:rsidRDefault="00A874A4" w:rsidP="00F07639">
      <w:pPr>
        <w:spacing w:line="480" w:lineRule="auto"/>
        <w:rPr>
          <w:rFonts w:ascii="Times New Roman" w:hAnsi="Times New Roman"/>
          <w:b/>
        </w:rPr>
      </w:pPr>
    </w:p>
    <w:p w14:paraId="5C468329" w14:textId="77777777" w:rsidR="00C6068D" w:rsidRPr="005D5356" w:rsidRDefault="00C6068D" w:rsidP="00F07639">
      <w:pPr>
        <w:spacing w:line="480" w:lineRule="auto"/>
        <w:rPr>
          <w:rFonts w:ascii="Times New Roman" w:hAnsi="Times New Roman"/>
          <w:b/>
        </w:rPr>
      </w:pPr>
      <w:r w:rsidRPr="005D5356">
        <w:rPr>
          <w:rFonts w:ascii="Times New Roman" w:hAnsi="Times New Roman"/>
          <w:b/>
        </w:rPr>
        <w:t>Interpretation</w:t>
      </w:r>
    </w:p>
    <w:p w14:paraId="182293B7" w14:textId="12C3A19D" w:rsidR="00A874A4" w:rsidRPr="005D5356" w:rsidRDefault="00A47A36" w:rsidP="00F07639">
      <w:pPr>
        <w:spacing w:line="480" w:lineRule="auto"/>
        <w:rPr>
          <w:rFonts w:ascii="Times New Roman" w:hAnsi="Times New Roman"/>
        </w:rPr>
      </w:pPr>
      <w:r w:rsidRPr="005D5356">
        <w:rPr>
          <w:rFonts w:ascii="Times New Roman" w:hAnsi="Times New Roman"/>
        </w:rPr>
        <w:t xml:space="preserve">We have demonstrated </w:t>
      </w:r>
      <w:r w:rsidR="008E7861" w:rsidRPr="005D5356">
        <w:rPr>
          <w:rFonts w:ascii="Times New Roman" w:hAnsi="Times New Roman"/>
        </w:rPr>
        <w:t>that</w:t>
      </w:r>
      <w:r w:rsidR="005D14CE" w:rsidRPr="005D5356">
        <w:rPr>
          <w:rFonts w:ascii="Times New Roman" w:hAnsi="Times New Roman"/>
        </w:rPr>
        <w:t xml:space="preserve"> </w:t>
      </w:r>
      <w:r w:rsidR="00990B6F" w:rsidRPr="005D5356">
        <w:rPr>
          <w:rFonts w:ascii="Times New Roman" w:hAnsi="Times New Roman"/>
        </w:rPr>
        <w:t>SHS</w:t>
      </w:r>
      <w:r w:rsidR="00A53241" w:rsidRPr="005D5356">
        <w:rPr>
          <w:rFonts w:ascii="Times New Roman" w:hAnsi="Times New Roman"/>
        </w:rPr>
        <w:t xml:space="preserve"> exposure during pregnancy is far more </w:t>
      </w:r>
      <w:r w:rsidR="00A874A4" w:rsidRPr="005D5356">
        <w:rPr>
          <w:rFonts w:ascii="Times New Roman" w:hAnsi="Times New Roman"/>
        </w:rPr>
        <w:t xml:space="preserve">common </w:t>
      </w:r>
      <w:r w:rsidR="00A53241" w:rsidRPr="005D5356">
        <w:rPr>
          <w:rFonts w:ascii="Times New Roman" w:hAnsi="Times New Roman"/>
        </w:rPr>
        <w:t>than active smoking</w:t>
      </w:r>
      <w:r w:rsidR="008E7861" w:rsidRPr="005D5356">
        <w:rPr>
          <w:rFonts w:ascii="Times New Roman" w:hAnsi="Times New Roman"/>
        </w:rPr>
        <w:t xml:space="preserve"> in LMICs</w:t>
      </w:r>
      <w:r w:rsidR="00990B6F" w:rsidRPr="005D5356">
        <w:rPr>
          <w:rFonts w:ascii="Times New Roman" w:hAnsi="Times New Roman"/>
        </w:rPr>
        <w:t>, accounting for</w:t>
      </w:r>
      <w:r w:rsidR="00A53241" w:rsidRPr="005D5356">
        <w:rPr>
          <w:rFonts w:ascii="Times New Roman" w:hAnsi="Times New Roman"/>
        </w:rPr>
        <w:t xml:space="preserve"> more stillbirths than active smoking. </w:t>
      </w:r>
      <w:r w:rsidR="00EC35BC" w:rsidRPr="005D5356">
        <w:rPr>
          <w:rFonts w:ascii="Times New Roman" w:hAnsi="Times New Roman"/>
        </w:rPr>
        <w:t>Protecting</w:t>
      </w:r>
      <w:r w:rsidR="00A874A4" w:rsidRPr="005D5356">
        <w:rPr>
          <w:rFonts w:ascii="Times New Roman" w:hAnsi="Times New Roman"/>
        </w:rPr>
        <w:t xml:space="preserve"> </w:t>
      </w:r>
      <w:r w:rsidR="00A042BE" w:rsidRPr="005D5356">
        <w:rPr>
          <w:rFonts w:ascii="Times New Roman" w:hAnsi="Times New Roman"/>
        </w:rPr>
        <w:t xml:space="preserve">pregnant </w:t>
      </w:r>
      <w:r w:rsidR="00A874A4" w:rsidRPr="005D5356">
        <w:rPr>
          <w:rFonts w:ascii="Times New Roman" w:hAnsi="Times New Roman"/>
        </w:rPr>
        <w:t xml:space="preserve">women from SHS exposure should be </w:t>
      </w:r>
      <w:r w:rsidR="00BB3346" w:rsidRPr="005D5356">
        <w:rPr>
          <w:rFonts w:ascii="Times New Roman" w:hAnsi="Times New Roman"/>
        </w:rPr>
        <w:t>a</w:t>
      </w:r>
      <w:r w:rsidR="00A1568A" w:rsidRPr="005D5356">
        <w:rPr>
          <w:rFonts w:ascii="Times New Roman" w:hAnsi="Times New Roman"/>
        </w:rPr>
        <w:t xml:space="preserve"> key </w:t>
      </w:r>
      <w:r w:rsidR="00A874A4" w:rsidRPr="005D5356">
        <w:rPr>
          <w:rFonts w:ascii="Times New Roman" w:hAnsi="Times New Roman"/>
        </w:rPr>
        <w:t>strateg</w:t>
      </w:r>
      <w:r w:rsidR="00BB3346" w:rsidRPr="005D5356">
        <w:rPr>
          <w:rFonts w:ascii="Times New Roman" w:hAnsi="Times New Roman"/>
        </w:rPr>
        <w:t>y</w:t>
      </w:r>
      <w:r w:rsidR="00A874A4" w:rsidRPr="005D5356">
        <w:rPr>
          <w:rFonts w:ascii="Times New Roman" w:hAnsi="Times New Roman"/>
        </w:rPr>
        <w:t xml:space="preserve"> to improve maternal and child health.</w:t>
      </w:r>
    </w:p>
    <w:p w14:paraId="01898277" w14:textId="77777777" w:rsidR="00A874A4" w:rsidRPr="005D5356" w:rsidRDefault="00A874A4" w:rsidP="00F07639">
      <w:pPr>
        <w:spacing w:line="480" w:lineRule="auto"/>
        <w:rPr>
          <w:rFonts w:ascii="Times New Roman" w:hAnsi="Times New Roman"/>
          <w:b/>
        </w:rPr>
      </w:pPr>
    </w:p>
    <w:p w14:paraId="135EBE70" w14:textId="77777777" w:rsidR="00C6068D" w:rsidRPr="005D5356" w:rsidRDefault="00C6068D" w:rsidP="00F07639">
      <w:pPr>
        <w:spacing w:line="480" w:lineRule="auto"/>
        <w:rPr>
          <w:rFonts w:ascii="Times New Roman" w:hAnsi="Times New Roman"/>
          <w:b/>
        </w:rPr>
      </w:pPr>
      <w:r w:rsidRPr="005D5356">
        <w:rPr>
          <w:rFonts w:ascii="Times New Roman" w:hAnsi="Times New Roman"/>
          <w:b/>
        </w:rPr>
        <w:t>Funding</w:t>
      </w:r>
    </w:p>
    <w:p w14:paraId="34BC92CD" w14:textId="77777777" w:rsidR="00C6068D" w:rsidRPr="005D5356" w:rsidRDefault="00915C8F" w:rsidP="00F07639">
      <w:pPr>
        <w:spacing w:line="480" w:lineRule="auto"/>
        <w:rPr>
          <w:rFonts w:ascii="Times New Roman" w:hAnsi="Times New Roman"/>
        </w:rPr>
      </w:pPr>
      <w:r w:rsidRPr="005D5356">
        <w:rPr>
          <w:rFonts w:ascii="Times New Roman" w:hAnsi="Times New Roman"/>
        </w:rPr>
        <w:t>Partial funding received from the Medical Research Council</w:t>
      </w:r>
      <w:r w:rsidR="00A874A4" w:rsidRPr="005D5356">
        <w:rPr>
          <w:rFonts w:ascii="Times New Roman" w:hAnsi="Times New Roman"/>
        </w:rPr>
        <w:t>.</w:t>
      </w:r>
    </w:p>
    <w:p w14:paraId="415885B9" w14:textId="77777777" w:rsidR="00A874A4" w:rsidRDefault="00A874A4" w:rsidP="00F07639">
      <w:pPr>
        <w:spacing w:line="480" w:lineRule="auto"/>
        <w:rPr>
          <w:rFonts w:ascii="Times New Roman" w:hAnsi="Times New Roman"/>
        </w:rPr>
      </w:pPr>
    </w:p>
    <w:p w14:paraId="5BDC9DAE" w14:textId="77777777" w:rsidR="00605172" w:rsidRPr="00165BD2" w:rsidRDefault="00605172" w:rsidP="00605172">
      <w:pPr>
        <w:spacing w:line="480" w:lineRule="auto"/>
        <w:rPr>
          <w:rFonts w:ascii="Times New Roman" w:hAnsi="Times New Roman"/>
          <w:b/>
        </w:rPr>
      </w:pPr>
      <w:r w:rsidRPr="00165BD2">
        <w:rPr>
          <w:rFonts w:ascii="Times New Roman" w:hAnsi="Times New Roman"/>
          <w:b/>
        </w:rPr>
        <w:t>What this paper adds</w:t>
      </w:r>
    </w:p>
    <w:p w14:paraId="3999FD2B" w14:textId="4C2F98CF" w:rsidR="00605172" w:rsidRPr="004D4784" w:rsidRDefault="00605172" w:rsidP="00605172">
      <w:pPr>
        <w:pStyle w:val="ListParagraph"/>
        <w:numPr>
          <w:ilvl w:val="0"/>
          <w:numId w:val="10"/>
        </w:numPr>
        <w:spacing w:line="480" w:lineRule="auto"/>
        <w:rPr>
          <w:rFonts w:ascii="Times New Roman" w:hAnsi="Times New Roman"/>
        </w:rPr>
      </w:pPr>
      <w:r w:rsidRPr="004D4784">
        <w:rPr>
          <w:rFonts w:ascii="Times New Roman" w:hAnsi="Times New Roman"/>
        </w:rPr>
        <w:t xml:space="preserve">Three primary research articles </w:t>
      </w:r>
      <w:r>
        <w:rPr>
          <w:rFonts w:ascii="Times New Roman" w:hAnsi="Times New Roman"/>
        </w:rPr>
        <w:t>are published</w:t>
      </w:r>
      <w:r w:rsidRPr="004D4784">
        <w:rPr>
          <w:rFonts w:ascii="Times New Roman" w:hAnsi="Times New Roman"/>
        </w:rPr>
        <w:t xml:space="preserve"> describing the preva</w:t>
      </w:r>
      <w:r>
        <w:rPr>
          <w:rFonts w:ascii="Times New Roman" w:hAnsi="Times New Roman"/>
        </w:rPr>
        <w:t xml:space="preserve">lence of </w:t>
      </w:r>
      <w:r w:rsidR="007B42E2">
        <w:rPr>
          <w:rFonts w:ascii="Times New Roman" w:hAnsi="Times New Roman"/>
        </w:rPr>
        <w:t>second</w:t>
      </w:r>
      <w:r w:rsidR="002D1B10">
        <w:rPr>
          <w:rFonts w:ascii="Times New Roman" w:hAnsi="Times New Roman"/>
        </w:rPr>
        <w:t>-</w:t>
      </w:r>
      <w:r w:rsidR="007B42E2">
        <w:rPr>
          <w:rFonts w:ascii="Times New Roman" w:hAnsi="Times New Roman"/>
        </w:rPr>
        <w:t xml:space="preserve">hand smoke (SHS) exposure </w:t>
      </w:r>
      <w:r>
        <w:rPr>
          <w:rFonts w:ascii="Times New Roman" w:hAnsi="Times New Roman"/>
        </w:rPr>
        <w:t>in pregnancy in</w:t>
      </w:r>
      <w:r w:rsidR="009213BB">
        <w:rPr>
          <w:rFonts w:ascii="Times New Roman" w:hAnsi="Times New Roman"/>
        </w:rPr>
        <w:t xml:space="preserve"> low- and middle-income countries</w:t>
      </w:r>
      <w:r>
        <w:rPr>
          <w:rFonts w:ascii="Times New Roman" w:hAnsi="Times New Roman"/>
        </w:rPr>
        <w:t xml:space="preserve"> </w:t>
      </w:r>
      <w:r w:rsidR="009213BB">
        <w:rPr>
          <w:rFonts w:ascii="Times New Roman" w:hAnsi="Times New Roman"/>
        </w:rPr>
        <w:t>(</w:t>
      </w:r>
      <w:r>
        <w:rPr>
          <w:rFonts w:ascii="Times New Roman" w:hAnsi="Times New Roman"/>
        </w:rPr>
        <w:t>LMICs</w:t>
      </w:r>
      <w:r w:rsidR="009213BB">
        <w:rPr>
          <w:rFonts w:ascii="Times New Roman" w:hAnsi="Times New Roman"/>
        </w:rPr>
        <w:t>)</w:t>
      </w:r>
      <w:r>
        <w:rPr>
          <w:rFonts w:ascii="Times New Roman" w:hAnsi="Times New Roman"/>
        </w:rPr>
        <w:t xml:space="preserve"> that focus on</w:t>
      </w:r>
      <w:r w:rsidRPr="004D4784">
        <w:rPr>
          <w:rFonts w:ascii="Times New Roman" w:hAnsi="Times New Roman"/>
        </w:rPr>
        <w:t xml:space="preserve"> 11 countries</w:t>
      </w:r>
      <w:r>
        <w:rPr>
          <w:rFonts w:ascii="Times New Roman" w:hAnsi="Times New Roman"/>
        </w:rPr>
        <w:t xml:space="preserve"> in total</w:t>
      </w:r>
      <w:r w:rsidRPr="004D4784">
        <w:rPr>
          <w:rFonts w:ascii="Times New Roman" w:hAnsi="Times New Roman"/>
        </w:rPr>
        <w:t>.</w:t>
      </w:r>
    </w:p>
    <w:p w14:paraId="6392361B" w14:textId="6632AF4D" w:rsidR="00605172" w:rsidRPr="004D4784" w:rsidRDefault="00605172" w:rsidP="00605172">
      <w:pPr>
        <w:pStyle w:val="ListParagraph"/>
        <w:numPr>
          <w:ilvl w:val="0"/>
          <w:numId w:val="10"/>
        </w:numPr>
        <w:spacing w:line="480" w:lineRule="auto"/>
        <w:rPr>
          <w:rFonts w:ascii="Times New Roman" w:hAnsi="Times New Roman"/>
        </w:rPr>
      </w:pPr>
      <w:r w:rsidRPr="004D4784">
        <w:rPr>
          <w:rFonts w:ascii="Times New Roman" w:hAnsi="Times New Roman"/>
        </w:rPr>
        <w:t>These papers demonstrate that in the countries studied, maternal exposure to SHS is common, from 17</w:t>
      </w:r>
      <w:r w:rsidRPr="004D4784">
        <w:rPr>
          <w:rFonts w:ascii="Times New Roman" w:hAnsi="Times New Roman"/>
          <w:lang w:val="en-GB"/>
        </w:rPr>
        <w:t>·</w:t>
      </w:r>
      <w:r w:rsidRPr="004D4784">
        <w:rPr>
          <w:rFonts w:ascii="Times New Roman" w:hAnsi="Times New Roman"/>
        </w:rPr>
        <w:t>1% in the Democratic Republic of the Congo to 91</w:t>
      </w:r>
      <w:r w:rsidRPr="004D4784">
        <w:rPr>
          <w:rFonts w:ascii="Times New Roman" w:hAnsi="Times New Roman"/>
          <w:lang w:val="en-GB"/>
        </w:rPr>
        <w:t>·</w:t>
      </w:r>
      <w:r w:rsidRPr="004D4784">
        <w:rPr>
          <w:rFonts w:ascii="Times New Roman" w:hAnsi="Times New Roman"/>
        </w:rPr>
        <w:t>6% in Pakistan</w:t>
      </w:r>
      <w:r w:rsidR="00DD4DB9">
        <w:rPr>
          <w:rFonts w:ascii="Times New Roman" w:hAnsi="Times New Roman"/>
        </w:rPr>
        <w:t>. This represents</w:t>
      </w:r>
      <w:r w:rsidRPr="004D4784">
        <w:rPr>
          <w:rFonts w:ascii="Times New Roman" w:hAnsi="Times New Roman"/>
        </w:rPr>
        <w:t xml:space="preserve"> an emerging problem for LMIC</w:t>
      </w:r>
      <w:r w:rsidR="00DD4DB9">
        <w:rPr>
          <w:rFonts w:ascii="Times New Roman" w:hAnsi="Times New Roman"/>
        </w:rPr>
        <w:t>s</w:t>
      </w:r>
      <w:r w:rsidRPr="004D4784">
        <w:rPr>
          <w:rFonts w:ascii="Times New Roman" w:hAnsi="Times New Roman"/>
        </w:rPr>
        <w:t xml:space="preserve"> in tackling maternal and child health.</w:t>
      </w:r>
    </w:p>
    <w:p w14:paraId="7B32A1B1" w14:textId="43944C40" w:rsidR="00605172" w:rsidRDefault="00605172" w:rsidP="00605172">
      <w:pPr>
        <w:pStyle w:val="ListParagraph"/>
        <w:numPr>
          <w:ilvl w:val="0"/>
          <w:numId w:val="10"/>
        </w:numPr>
        <w:spacing w:line="480" w:lineRule="auto"/>
        <w:rPr>
          <w:rFonts w:ascii="Times New Roman" w:hAnsi="Times New Roman"/>
        </w:rPr>
      </w:pPr>
      <w:r w:rsidRPr="004D4784">
        <w:rPr>
          <w:rFonts w:ascii="Times New Roman" w:hAnsi="Times New Roman"/>
        </w:rPr>
        <w:t xml:space="preserve">Only one research article </w:t>
      </w:r>
      <w:r w:rsidR="009213BB">
        <w:rPr>
          <w:rFonts w:ascii="Times New Roman" w:hAnsi="Times New Roman"/>
        </w:rPr>
        <w:t>from</w:t>
      </w:r>
      <w:r w:rsidRPr="004D4784">
        <w:rPr>
          <w:rFonts w:ascii="Times New Roman" w:hAnsi="Times New Roman"/>
        </w:rPr>
        <w:t xml:space="preserve"> Bangladesh provided prevalence data on country-level nationally representative samples.</w:t>
      </w:r>
    </w:p>
    <w:p w14:paraId="6071F51D" w14:textId="36F30AD7" w:rsidR="00605172" w:rsidRPr="004D4784" w:rsidRDefault="00605172" w:rsidP="00605172">
      <w:pPr>
        <w:pStyle w:val="ListParagraph"/>
        <w:numPr>
          <w:ilvl w:val="0"/>
          <w:numId w:val="10"/>
        </w:numPr>
        <w:spacing w:line="480" w:lineRule="auto"/>
        <w:rPr>
          <w:rFonts w:ascii="Times New Roman" w:hAnsi="Times New Roman"/>
        </w:rPr>
      </w:pPr>
      <w:r>
        <w:rPr>
          <w:rFonts w:ascii="Times New Roman" w:hAnsi="Times New Roman"/>
        </w:rPr>
        <w:t xml:space="preserve">Whilst national prevalence estimates are available for </w:t>
      </w:r>
      <w:r w:rsidR="003D432E">
        <w:rPr>
          <w:rFonts w:ascii="Times New Roman" w:hAnsi="Times New Roman"/>
        </w:rPr>
        <w:t>active</w:t>
      </w:r>
      <w:r>
        <w:rPr>
          <w:rFonts w:ascii="Times New Roman" w:hAnsi="Times New Roman"/>
        </w:rPr>
        <w:t xml:space="preserve"> smok</w:t>
      </w:r>
      <w:r w:rsidR="003D432E">
        <w:rPr>
          <w:rFonts w:ascii="Times New Roman" w:hAnsi="Times New Roman"/>
        </w:rPr>
        <w:t>ing during pregnancy for many low- a</w:t>
      </w:r>
      <w:r w:rsidR="00641887">
        <w:rPr>
          <w:rFonts w:ascii="Times New Roman" w:hAnsi="Times New Roman"/>
        </w:rPr>
        <w:t>n</w:t>
      </w:r>
      <w:r w:rsidR="003D432E">
        <w:rPr>
          <w:rFonts w:ascii="Times New Roman" w:hAnsi="Times New Roman"/>
        </w:rPr>
        <w:t>d middle-income countries</w:t>
      </w:r>
      <w:r>
        <w:rPr>
          <w:rFonts w:ascii="Times New Roman" w:hAnsi="Times New Roman"/>
        </w:rPr>
        <w:t xml:space="preserve">, </w:t>
      </w:r>
      <w:r w:rsidR="003D432E">
        <w:rPr>
          <w:rFonts w:ascii="Times New Roman" w:hAnsi="Times New Roman"/>
        </w:rPr>
        <w:t>such</w:t>
      </w:r>
      <w:r>
        <w:rPr>
          <w:rFonts w:ascii="Times New Roman" w:hAnsi="Times New Roman"/>
        </w:rPr>
        <w:t xml:space="preserve"> data </w:t>
      </w:r>
      <w:r w:rsidR="003D432E">
        <w:rPr>
          <w:rFonts w:ascii="Times New Roman" w:hAnsi="Times New Roman"/>
        </w:rPr>
        <w:t xml:space="preserve">are not </w:t>
      </w:r>
      <w:r>
        <w:rPr>
          <w:rFonts w:ascii="Times New Roman" w:hAnsi="Times New Roman"/>
        </w:rPr>
        <w:lastRenderedPageBreak/>
        <w:t xml:space="preserve">available to describe the </w:t>
      </w:r>
      <w:r w:rsidR="003D432E">
        <w:rPr>
          <w:rFonts w:ascii="Times New Roman" w:hAnsi="Times New Roman"/>
        </w:rPr>
        <w:t>prevalence of second</w:t>
      </w:r>
      <w:r w:rsidR="002D1B10">
        <w:rPr>
          <w:rFonts w:ascii="Times New Roman" w:hAnsi="Times New Roman"/>
        </w:rPr>
        <w:t>-</w:t>
      </w:r>
      <w:r w:rsidR="003D432E">
        <w:rPr>
          <w:rFonts w:ascii="Times New Roman" w:hAnsi="Times New Roman"/>
        </w:rPr>
        <w:t>hand smoking</w:t>
      </w:r>
      <w:r>
        <w:rPr>
          <w:rFonts w:ascii="Times New Roman" w:hAnsi="Times New Roman"/>
        </w:rPr>
        <w:t xml:space="preserve"> during pregnancy. </w:t>
      </w:r>
    </w:p>
    <w:p w14:paraId="7FD091D5" w14:textId="06947C84" w:rsidR="003D432E" w:rsidRDefault="00605172" w:rsidP="00605172">
      <w:pPr>
        <w:pStyle w:val="ListParagraph"/>
        <w:numPr>
          <w:ilvl w:val="0"/>
          <w:numId w:val="10"/>
        </w:numPr>
        <w:spacing w:line="480" w:lineRule="auto"/>
        <w:rPr>
          <w:rFonts w:ascii="Times New Roman" w:hAnsi="Times New Roman"/>
        </w:rPr>
      </w:pPr>
      <w:r w:rsidRPr="004D4784">
        <w:rPr>
          <w:rFonts w:ascii="Times New Roman" w:hAnsi="Times New Roman"/>
        </w:rPr>
        <w:t xml:space="preserve">This is the first </w:t>
      </w:r>
      <w:proofErr w:type="gramStart"/>
      <w:r w:rsidRPr="004D4784">
        <w:rPr>
          <w:rFonts w:ascii="Times New Roman" w:hAnsi="Times New Roman"/>
        </w:rPr>
        <w:t xml:space="preserve">study </w:t>
      </w:r>
      <w:r w:rsidR="0093450A">
        <w:rPr>
          <w:rFonts w:ascii="Times New Roman" w:hAnsi="Times New Roman"/>
        </w:rPr>
        <w:t>which</w:t>
      </w:r>
      <w:proofErr w:type="gramEnd"/>
      <w:r w:rsidR="0093450A">
        <w:rPr>
          <w:rFonts w:ascii="Times New Roman" w:hAnsi="Times New Roman"/>
        </w:rPr>
        <w:t xml:space="preserve"> provides</w:t>
      </w:r>
      <w:r w:rsidR="0093450A" w:rsidRPr="004D4784">
        <w:rPr>
          <w:rFonts w:ascii="Times New Roman" w:hAnsi="Times New Roman"/>
        </w:rPr>
        <w:t xml:space="preserve"> </w:t>
      </w:r>
      <w:r w:rsidRPr="004D4784">
        <w:rPr>
          <w:rFonts w:ascii="Times New Roman" w:hAnsi="Times New Roman"/>
        </w:rPr>
        <w:t>national estimates for 30 LMIC</w:t>
      </w:r>
      <w:r>
        <w:rPr>
          <w:rFonts w:ascii="Times New Roman" w:hAnsi="Times New Roman"/>
        </w:rPr>
        <w:t>s</w:t>
      </w:r>
      <w:r w:rsidRPr="004D4784">
        <w:rPr>
          <w:rFonts w:ascii="Times New Roman" w:hAnsi="Times New Roman"/>
        </w:rPr>
        <w:t xml:space="preserve"> on </w:t>
      </w:r>
      <w:r w:rsidR="003D432E">
        <w:rPr>
          <w:rFonts w:ascii="Times New Roman" w:hAnsi="Times New Roman"/>
        </w:rPr>
        <w:t>second-hand smoke</w:t>
      </w:r>
      <w:r w:rsidRPr="004D4784">
        <w:rPr>
          <w:rFonts w:ascii="Times New Roman" w:hAnsi="Times New Roman"/>
        </w:rPr>
        <w:t xml:space="preserve"> exposure in pregnancy</w:t>
      </w:r>
      <w:r w:rsidR="003D432E">
        <w:rPr>
          <w:rFonts w:ascii="Times New Roman" w:hAnsi="Times New Roman"/>
        </w:rPr>
        <w:t xml:space="preserve"> and shows that </w:t>
      </w:r>
      <w:r w:rsidR="00F578DB">
        <w:rPr>
          <w:rFonts w:ascii="Times New Roman" w:hAnsi="Times New Roman"/>
        </w:rPr>
        <w:t>these estimates are</w:t>
      </w:r>
      <w:r w:rsidR="003D432E">
        <w:rPr>
          <w:rFonts w:ascii="Times New Roman" w:hAnsi="Times New Roman"/>
        </w:rPr>
        <w:t xml:space="preserve"> much higher than active smoking during pregnancy</w:t>
      </w:r>
      <w:r w:rsidRPr="004D4784">
        <w:rPr>
          <w:rFonts w:ascii="Times New Roman" w:hAnsi="Times New Roman"/>
        </w:rPr>
        <w:t xml:space="preserve">. </w:t>
      </w:r>
    </w:p>
    <w:p w14:paraId="0ED55672" w14:textId="4F5BB155" w:rsidR="00605172" w:rsidRPr="00FD430C" w:rsidRDefault="00F578DB" w:rsidP="00605172">
      <w:pPr>
        <w:pStyle w:val="ListParagraph"/>
        <w:numPr>
          <w:ilvl w:val="0"/>
          <w:numId w:val="10"/>
        </w:numPr>
        <w:spacing w:line="480" w:lineRule="auto"/>
        <w:rPr>
          <w:rFonts w:ascii="Times New Roman" w:hAnsi="Times New Roman"/>
        </w:rPr>
      </w:pPr>
      <w:r>
        <w:rPr>
          <w:rFonts w:ascii="Times New Roman" w:hAnsi="Times New Roman"/>
        </w:rPr>
        <w:t>For these countries, the estimated</w:t>
      </w:r>
      <w:r w:rsidR="00605172" w:rsidRPr="004D4784">
        <w:rPr>
          <w:rFonts w:ascii="Times New Roman" w:hAnsi="Times New Roman"/>
        </w:rPr>
        <w:t xml:space="preserve"> </w:t>
      </w:r>
      <w:r w:rsidR="00605172">
        <w:rPr>
          <w:rFonts w:ascii="Times New Roman" w:hAnsi="Times New Roman"/>
        </w:rPr>
        <w:t xml:space="preserve">population </w:t>
      </w:r>
      <w:proofErr w:type="gramStart"/>
      <w:r w:rsidR="00605172" w:rsidRPr="004D4784">
        <w:rPr>
          <w:rFonts w:ascii="Times New Roman" w:hAnsi="Times New Roman"/>
        </w:rPr>
        <w:t>attributable</w:t>
      </w:r>
      <w:proofErr w:type="gramEnd"/>
      <w:r w:rsidR="00605172" w:rsidRPr="004D4784">
        <w:rPr>
          <w:rFonts w:ascii="Times New Roman" w:hAnsi="Times New Roman"/>
        </w:rPr>
        <w:t xml:space="preserve"> risk</w:t>
      </w:r>
      <w:r w:rsidR="003D432E">
        <w:rPr>
          <w:rFonts w:ascii="Times New Roman" w:hAnsi="Times New Roman"/>
        </w:rPr>
        <w:t xml:space="preserve"> due </w:t>
      </w:r>
      <w:r>
        <w:rPr>
          <w:rFonts w:ascii="Times New Roman" w:hAnsi="Times New Roman"/>
        </w:rPr>
        <w:t xml:space="preserve">to </w:t>
      </w:r>
      <w:r w:rsidR="00641887">
        <w:rPr>
          <w:rFonts w:ascii="Times New Roman" w:hAnsi="Times New Roman"/>
        </w:rPr>
        <w:t>SHS</w:t>
      </w:r>
      <w:r>
        <w:rPr>
          <w:rFonts w:ascii="Times New Roman" w:hAnsi="Times New Roman"/>
        </w:rPr>
        <w:t xml:space="preserve"> exposure</w:t>
      </w:r>
      <w:r w:rsidR="003D432E">
        <w:rPr>
          <w:rFonts w:ascii="Times New Roman" w:hAnsi="Times New Roman"/>
        </w:rPr>
        <w:t xml:space="preserve"> </w:t>
      </w:r>
      <w:r w:rsidR="00605172" w:rsidRPr="004D4784">
        <w:rPr>
          <w:rFonts w:ascii="Times New Roman" w:hAnsi="Times New Roman"/>
        </w:rPr>
        <w:t xml:space="preserve">during pregnancy </w:t>
      </w:r>
      <w:r w:rsidR="003D432E">
        <w:rPr>
          <w:rFonts w:ascii="Times New Roman" w:hAnsi="Times New Roman"/>
        </w:rPr>
        <w:t>could be higher than that due</w:t>
      </w:r>
      <w:r w:rsidR="00605172" w:rsidRPr="004D4784">
        <w:rPr>
          <w:rFonts w:ascii="Times New Roman" w:hAnsi="Times New Roman"/>
        </w:rPr>
        <w:t xml:space="preserve"> to active smoking.</w:t>
      </w:r>
    </w:p>
    <w:p w14:paraId="4A97C3F7" w14:textId="77777777" w:rsidR="00BC0B3F" w:rsidRPr="005D5356" w:rsidRDefault="00BC0B3F" w:rsidP="00F07639">
      <w:pPr>
        <w:spacing w:line="480" w:lineRule="auto"/>
        <w:rPr>
          <w:rFonts w:ascii="Times New Roman" w:hAnsi="Times New Roman"/>
        </w:rPr>
      </w:pPr>
    </w:p>
    <w:p w14:paraId="3B45AB34" w14:textId="19CA99F5" w:rsidR="00FC4C7B" w:rsidRPr="005D5356" w:rsidRDefault="00BC0B3F" w:rsidP="00F07639">
      <w:pPr>
        <w:spacing w:line="480" w:lineRule="auto"/>
        <w:rPr>
          <w:rFonts w:ascii="Times New Roman" w:hAnsi="Times New Roman"/>
          <w:b/>
        </w:rPr>
      </w:pPr>
      <w:r w:rsidRPr="005D5356">
        <w:rPr>
          <w:rFonts w:ascii="Times New Roman" w:hAnsi="Times New Roman"/>
        </w:rPr>
        <w:br w:type="page"/>
      </w:r>
    </w:p>
    <w:p w14:paraId="106B692D" w14:textId="54F41D43" w:rsidR="000975C8" w:rsidRPr="005D5356" w:rsidRDefault="00A26BE6" w:rsidP="00F07639">
      <w:pPr>
        <w:tabs>
          <w:tab w:val="left" w:pos="1985"/>
        </w:tabs>
        <w:spacing w:line="480" w:lineRule="auto"/>
        <w:rPr>
          <w:rFonts w:ascii="Times New Roman" w:hAnsi="Times New Roman"/>
          <w:b/>
          <w:bCs/>
        </w:rPr>
      </w:pPr>
      <w:r w:rsidRPr="005D5356">
        <w:rPr>
          <w:rFonts w:ascii="Times New Roman" w:hAnsi="Times New Roman"/>
          <w:b/>
          <w:bCs/>
        </w:rPr>
        <w:lastRenderedPageBreak/>
        <w:t>S</w:t>
      </w:r>
      <w:r w:rsidR="000975C8" w:rsidRPr="005D5356">
        <w:rPr>
          <w:rFonts w:ascii="Times New Roman" w:hAnsi="Times New Roman"/>
          <w:b/>
          <w:bCs/>
        </w:rPr>
        <w:t xml:space="preserve">econd-hand smoke exposure during pregnancy: </w:t>
      </w:r>
      <w:r w:rsidR="00095A0F">
        <w:rPr>
          <w:rFonts w:ascii="Times New Roman" w:hAnsi="Times New Roman"/>
          <w:b/>
          <w:bCs/>
        </w:rPr>
        <w:t xml:space="preserve">a cross-sectional </w:t>
      </w:r>
      <w:r w:rsidR="000975C8" w:rsidRPr="005D5356">
        <w:rPr>
          <w:rFonts w:ascii="Times New Roman" w:hAnsi="Times New Roman"/>
          <w:b/>
          <w:bCs/>
        </w:rPr>
        <w:t xml:space="preserve">analysis of </w:t>
      </w:r>
      <w:r w:rsidR="0030242B" w:rsidRPr="005D5356">
        <w:rPr>
          <w:rFonts w:ascii="Times New Roman" w:hAnsi="Times New Roman"/>
          <w:b/>
          <w:bCs/>
        </w:rPr>
        <w:t xml:space="preserve">data from </w:t>
      </w:r>
      <w:r w:rsidR="00BF2DE3" w:rsidRPr="005D5356">
        <w:rPr>
          <w:rFonts w:ascii="Times New Roman" w:hAnsi="Times New Roman"/>
          <w:b/>
          <w:bCs/>
        </w:rPr>
        <w:t>D</w:t>
      </w:r>
      <w:r w:rsidR="000975C8" w:rsidRPr="005D5356">
        <w:rPr>
          <w:rFonts w:ascii="Times New Roman" w:hAnsi="Times New Roman"/>
          <w:b/>
          <w:bCs/>
        </w:rPr>
        <w:t xml:space="preserve">emographic and </w:t>
      </w:r>
      <w:r w:rsidR="00BF2DE3" w:rsidRPr="005D5356">
        <w:rPr>
          <w:rFonts w:ascii="Times New Roman" w:hAnsi="Times New Roman"/>
          <w:b/>
          <w:bCs/>
        </w:rPr>
        <w:t>H</w:t>
      </w:r>
      <w:r w:rsidR="000975C8" w:rsidRPr="005D5356">
        <w:rPr>
          <w:rFonts w:ascii="Times New Roman" w:hAnsi="Times New Roman"/>
          <w:b/>
          <w:bCs/>
        </w:rPr>
        <w:t xml:space="preserve">ealth </w:t>
      </w:r>
      <w:r w:rsidR="00BF2DE3" w:rsidRPr="005D5356">
        <w:rPr>
          <w:rFonts w:ascii="Times New Roman" w:hAnsi="Times New Roman"/>
          <w:b/>
          <w:bCs/>
        </w:rPr>
        <w:t>S</w:t>
      </w:r>
      <w:r w:rsidR="000975C8" w:rsidRPr="005D5356">
        <w:rPr>
          <w:rFonts w:ascii="Times New Roman" w:hAnsi="Times New Roman"/>
          <w:b/>
          <w:bCs/>
        </w:rPr>
        <w:t>urvey in 30 low-</w:t>
      </w:r>
      <w:r w:rsidR="0030242B" w:rsidRPr="005D5356">
        <w:rPr>
          <w:rFonts w:ascii="Times New Roman" w:hAnsi="Times New Roman"/>
          <w:b/>
          <w:bCs/>
        </w:rPr>
        <w:t>income</w:t>
      </w:r>
      <w:r w:rsidR="000975C8" w:rsidRPr="005D5356">
        <w:rPr>
          <w:rFonts w:ascii="Times New Roman" w:hAnsi="Times New Roman"/>
          <w:b/>
          <w:bCs/>
        </w:rPr>
        <w:t xml:space="preserve"> and middle-income countries.</w:t>
      </w:r>
    </w:p>
    <w:p w14:paraId="03AEA91C" w14:textId="77777777" w:rsidR="000975C8" w:rsidRPr="005D5356" w:rsidRDefault="000975C8" w:rsidP="00F07639">
      <w:pPr>
        <w:spacing w:line="480" w:lineRule="auto"/>
        <w:rPr>
          <w:rFonts w:ascii="Times New Roman" w:hAnsi="Times New Roman"/>
          <w:b/>
        </w:rPr>
      </w:pPr>
    </w:p>
    <w:p w14:paraId="5E9A4EC4" w14:textId="77777777" w:rsidR="00FC4C7B" w:rsidRPr="00E00ABD" w:rsidRDefault="00FC4C7B" w:rsidP="00F07639">
      <w:pPr>
        <w:spacing w:line="480" w:lineRule="auto"/>
        <w:rPr>
          <w:rFonts w:ascii="Times New Roman" w:hAnsi="Times New Roman"/>
          <w:b/>
          <w:bCs/>
          <w:caps/>
        </w:rPr>
      </w:pPr>
      <w:r w:rsidRPr="00E00ABD">
        <w:rPr>
          <w:rFonts w:ascii="Times New Roman" w:hAnsi="Times New Roman"/>
          <w:b/>
          <w:bCs/>
          <w:caps/>
        </w:rPr>
        <w:t>Introduction</w:t>
      </w:r>
    </w:p>
    <w:p w14:paraId="60CCACDD" w14:textId="77777777" w:rsidR="00FC4C7B" w:rsidRPr="005D5356" w:rsidRDefault="00FC4C7B" w:rsidP="00F07639">
      <w:pPr>
        <w:spacing w:line="480" w:lineRule="auto"/>
        <w:rPr>
          <w:rFonts w:ascii="Times New Roman" w:hAnsi="Times New Roman"/>
        </w:rPr>
      </w:pPr>
    </w:p>
    <w:p w14:paraId="27107733" w14:textId="0BAEEAC4" w:rsidR="001B6B69" w:rsidRPr="005D5356" w:rsidRDefault="00C75ADC" w:rsidP="00F07639">
      <w:pPr>
        <w:spacing w:line="480" w:lineRule="auto"/>
        <w:rPr>
          <w:rFonts w:ascii="Times New Roman" w:hAnsi="Times New Roman"/>
        </w:rPr>
      </w:pPr>
      <w:r w:rsidRPr="005D5356">
        <w:rPr>
          <w:rFonts w:ascii="Times New Roman" w:hAnsi="Times New Roman"/>
        </w:rPr>
        <w:t>Tobacco smoke</w:t>
      </w:r>
      <w:r w:rsidR="00716824" w:rsidRPr="005D5356">
        <w:rPr>
          <w:rFonts w:ascii="Times New Roman" w:hAnsi="Times New Roman"/>
        </w:rPr>
        <w:t xml:space="preserve"> exposure during pregnancy is an important and avoidable risk to </w:t>
      </w:r>
      <w:r w:rsidR="00FE0B8F" w:rsidRPr="005D5356">
        <w:rPr>
          <w:rFonts w:ascii="Times New Roman" w:hAnsi="Times New Roman"/>
        </w:rPr>
        <w:t xml:space="preserve">fetal development and </w:t>
      </w:r>
      <w:r w:rsidR="008E518E" w:rsidRPr="005D5356">
        <w:rPr>
          <w:rFonts w:ascii="Times New Roman" w:hAnsi="Times New Roman"/>
        </w:rPr>
        <w:t>contributes</w:t>
      </w:r>
      <w:r w:rsidR="00FE0B8F" w:rsidRPr="005D5356">
        <w:rPr>
          <w:rFonts w:ascii="Times New Roman" w:hAnsi="Times New Roman"/>
        </w:rPr>
        <w:t xml:space="preserve"> to adverse </w:t>
      </w:r>
      <w:r w:rsidR="008E518E" w:rsidRPr="005D5356">
        <w:rPr>
          <w:rFonts w:ascii="Times New Roman" w:hAnsi="Times New Roman"/>
        </w:rPr>
        <w:t>perinatal</w:t>
      </w:r>
      <w:r w:rsidR="00FE0B8F" w:rsidRPr="005D5356">
        <w:rPr>
          <w:rFonts w:ascii="Times New Roman" w:hAnsi="Times New Roman"/>
        </w:rPr>
        <w:t xml:space="preserve"> and postnatal outcomes</w:t>
      </w:r>
      <w:r w:rsidR="00AE0D2C" w:rsidRPr="005D5356">
        <w:rPr>
          <w:rFonts w:ascii="Times New Roman" w:hAnsi="Times New Roman"/>
        </w:rPr>
        <w:t>,</w:t>
      </w:r>
      <w:r w:rsidR="00FE0B8F" w:rsidRPr="005D5356">
        <w:rPr>
          <w:rFonts w:ascii="Times New Roman" w:hAnsi="Times New Roman"/>
        </w:rPr>
        <w:t xml:space="preserve"> often </w:t>
      </w:r>
      <w:r w:rsidR="00F826AF" w:rsidRPr="005D5356">
        <w:rPr>
          <w:rFonts w:ascii="Times New Roman" w:hAnsi="Times New Roman"/>
        </w:rPr>
        <w:t xml:space="preserve">with a lasting and negative impact </w:t>
      </w:r>
      <w:r w:rsidR="00FA63DF" w:rsidRPr="005D5356">
        <w:rPr>
          <w:rFonts w:ascii="Times New Roman" w:hAnsi="Times New Roman"/>
        </w:rPr>
        <w:t>during</w:t>
      </w:r>
      <w:r w:rsidR="00FE0B8F" w:rsidRPr="005D5356">
        <w:rPr>
          <w:rFonts w:ascii="Times New Roman" w:hAnsi="Times New Roman"/>
        </w:rPr>
        <w:t xml:space="preserve"> infancy </w:t>
      </w:r>
      <w:r w:rsidR="00F826AF" w:rsidRPr="005D5356">
        <w:rPr>
          <w:rFonts w:ascii="Times New Roman" w:hAnsi="Times New Roman"/>
        </w:rPr>
        <w:t>and beyond</w:t>
      </w:r>
      <w:proofErr w:type="gramStart"/>
      <w:r w:rsidR="00716824" w:rsidRPr="005D5356">
        <w:rPr>
          <w:rFonts w:ascii="Times New Roman" w:hAnsi="Times New Roman"/>
        </w:rPr>
        <w:t>.</w:t>
      </w:r>
      <w:r w:rsidR="000F465F" w:rsidRPr="005D5356">
        <w:rPr>
          <w:rFonts w:ascii="Times New Roman" w:hAnsi="Times New Roman"/>
        </w:rPr>
        <w:t>[</w:t>
      </w:r>
      <w:proofErr w:type="gramEnd"/>
      <w:r w:rsidR="00E70F4A" w:rsidRPr="005D5356">
        <w:rPr>
          <w:rFonts w:ascii="Times New Roman" w:hAnsi="Times New Roman"/>
        </w:rPr>
        <w:t>1]</w:t>
      </w:r>
      <w:r w:rsidR="00716824" w:rsidRPr="005D5356">
        <w:rPr>
          <w:rFonts w:ascii="Times New Roman" w:hAnsi="Times New Roman"/>
        </w:rPr>
        <w:t xml:space="preserve"> </w:t>
      </w:r>
      <w:r w:rsidR="00F826AF" w:rsidRPr="005D5356">
        <w:rPr>
          <w:rFonts w:ascii="Times New Roman" w:hAnsi="Times New Roman"/>
        </w:rPr>
        <w:t xml:space="preserve">The </w:t>
      </w:r>
      <w:r w:rsidR="0030242B" w:rsidRPr="005D5356">
        <w:rPr>
          <w:rFonts w:ascii="Times New Roman" w:hAnsi="Times New Roman"/>
        </w:rPr>
        <w:t xml:space="preserve">prevalence </w:t>
      </w:r>
      <w:r w:rsidR="00F826AF" w:rsidRPr="005D5356">
        <w:rPr>
          <w:rFonts w:ascii="Times New Roman" w:hAnsi="Times New Roman"/>
        </w:rPr>
        <w:t xml:space="preserve">of </w:t>
      </w:r>
      <w:r w:rsidR="00CF5058">
        <w:rPr>
          <w:rFonts w:ascii="Times New Roman" w:hAnsi="Times New Roman"/>
        </w:rPr>
        <w:t xml:space="preserve">active smoking during pregnancy </w:t>
      </w:r>
      <w:r w:rsidR="004F368B" w:rsidRPr="005D5356">
        <w:rPr>
          <w:rFonts w:ascii="Times New Roman" w:hAnsi="Times New Roman"/>
        </w:rPr>
        <w:t xml:space="preserve">and </w:t>
      </w:r>
      <w:r w:rsidR="00CF5058">
        <w:rPr>
          <w:rFonts w:ascii="Times New Roman" w:hAnsi="Times New Roman"/>
        </w:rPr>
        <w:t xml:space="preserve">its associated </w:t>
      </w:r>
      <w:r w:rsidR="004F368B" w:rsidRPr="005D5356">
        <w:rPr>
          <w:rFonts w:ascii="Times New Roman" w:hAnsi="Times New Roman"/>
        </w:rPr>
        <w:t xml:space="preserve">risks </w:t>
      </w:r>
      <w:r w:rsidR="00DF50E6">
        <w:rPr>
          <w:rFonts w:ascii="Times New Roman" w:hAnsi="Times New Roman"/>
        </w:rPr>
        <w:t>are</w:t>
      </w:r>
      <w:r w:rsidR="00F826AF" w:rsidRPr="005D5356">
        <w:rPr>
          <w:rFonts w:ascii="Times New Roman" w:hAnsi="Times New Roman"/>
        </w:rPr>
        <w:t xml:space="preserve"> </w:t>
      </w:r>
      <w:r w:rsidR="00442C9D">
        <w:rPr>
          <w:rFonts w:ascii="Times New Roman" w:hAnsi="Times New Roman"/>
        </w:rPr>
        <w:t xml:space="preserve">well </w:t>
      </w:r>
      <w:r w:rsidR="00DF50E6">
        <w:rPr>
          <w:rFonts w:ascii="Times New Roman" w:hAnsi="Times New Roman"/>
        </w:rPr>
        <w:t>documented in existing literature</w:t>
      </w:r>
      <w:r w:rsidR="008A50A2" w:rsidRPr="005D5356">
        <w:rPr>
          <w:rFonts w:ascii="Times New Roman" w:hAnsi="Times New Roman"/>
        </w:rPr>
        <w:t>.</w:t>
      </w:r>
      <w:r w:rsidR="00E70F4A" w:rsidRPr="005D5356">
        <w:rPr>
          <w:rFonts w:ascii="Times New Roman" w:hAnsi="Times New Roman"/>
        </w:rPr>
        <w:t>[2]</w:t>
      </w:r>
      <w:r w:rsidR="00F826AF" w:rsidRPr="005D5356">
        <w:rPr>
          <w:rFonts w:ascii="Times New Roman" w:hAnsi="Times New Roman"/>
        </w:rPr>
        <w:t xml:space="preserve"> </w:t>
      </w:r>
      <w:r w:rsidR="003C339A" w:rsidRPr="005D5356">
        <w:rPr>
          <w:rFonts w:ascii="Times New Roman" w:hAnsi="Times New Roman"/>
        </w:rPr>
        <w:t>However</w:t>
      </w:r>
      <w:r w:rsidR="00F826AF" w:rsidRPr="005D5356">
        <w:rPr>
          <w:rFonts w:ascii="Times New Roman" w:hAnsi="Times New Roman"/>
        </w:rPr>
        <w:t>, the evidence on the effect of second-hand smoke (SHS) exposure during pregnancy is still growing.</w:t>
      </w:r>
      <w:r w:rsidR="00E70F4A" w:rsidRPr="005D5356">
        <w:rPr>
          <w:rFonts w:ascii="Times New Roman" w:hAnsi="Times New Roman"/>
        </w:rPr>
        <w:t>[3]</w:t>
      </w:r>
      <w:r w:rsidR="00F826AF" w:rsidRPr="005D5356">
        <w:rPr>
          <w:rFonts w:ascii="Times New Roman" w:hAnsi="Times New Roman"/>
        </w:rPr>
        <w:t xml:space="preserve"> </w:t>
      </w:r>
      <w:r w:rsidR="0089311B" w:rsidRPr="005D5356">
        <w:rPr>
          <w:rFonts w:ascii="Times New Roman" w:hAnsi="Times New Roman"/>
        </w:rPr>
        <w:t>Published</w:t>
      </w:r>
      <w:r w:rsidR="00716824" w:rsidRPr="005D5356">
        <w:rPr>
          <w:rFonts w:ascii="Times New Roman" w:hAnsi="Times New Roman"/>
        </w:rPr>
        <w:t xml:space="preserve"> </w:t>
      </w:r>
      <w:r w:rsidR="00FA63DF" w:rsidRPr="005D5356">
        <w:rPr>
          <w:rFonts w:ascii="Times New Roman" w:hAnsi="Times New Roman"/>
        </w:rPr>
        <w:t>research</w:t>
      </w:r>
      <w:r w:rsidR="00716824" w:rsidRPr="005D5356">
        <w:rPr>
          <w:rFonts w:ascii="Times New Roman" w:hAnsi="Times New Roman"/>
        </w:rPr>
        <w:t xml:space="preserve"> </w:t>
      </w:r>
      <w:r w:rsidR="004F368B" w:rsidRPr="005D5356">
        <w:rPr>
          <w:rFonts w:ascii="Times New Roman" w:hAnsi="Times New Roman"/>
        </w:rPr>
        <w:t>suggests</w:t>
      </w:r>
      <w:r w:rsidR="00716824" w:rsidRPr="005D5356">
        <w:rPr>
          <w:rFonts w:ascii="Times New Roman" w:hAnsi="Times New Roman"/>
        </w:rPr>
        <w:t xml:space="preserve"> that </w:t>
      </w:r>
      <w:r w:rsidR="00D842B2" w:rsidRPr="005D5356">
        <w:rPr>
          <w:rFonts w:ascii="Times New Roman" w:hAnsi="Times New Roman"/>
        </w:rPr>
        <w:t>exposure to SHS</w:t>
      </w:r>
      <w:r w:rsidR="00716824" w:rsidRPr="005D5356">
        <w:rPr>
          <w:rFonts w:ascii="Times New Roman" w:hAnsi="Times New Roman"/>
        </w:rPr>
        <w:t xml:space="preserve"> </w:t>
      </w:r>
      <w:r w:rsidR="00B557D4" w:rsidRPr="005D5356">
        <w:rPr>
          <w:rFonts w:ascii="Times New Roman" w:hAnsi="Times New Roman"/>
        </w:rPr>
        <w:t xml:space="preserve">can </w:t>
      </w:r>
      <w:r w:rsidR="00716824" w:rsidRPr="005D5356">
        <w:rPr>
          <w:rFonts w:ascii="Times New Roman" w:hAnsi="Times New Roman"/>
        </w:rPr>
        <w:t>increase</w:t>
      </w:r>
      <w:r w:rsidR="001B6B69" w:rsidRPr="005D5356">
        <w:rPr>
          <w:rFonts w:ascii="Times New Roman" w:hAnsi="Times New Roman"/>
        </w:rPr>
        <w:t xml:space="preserve"> </w:t>
      </w:r>
      <w:r w:rsidR="00716824" w:rsidRPr="005D5356">
        <w:rPr>
          <w:rFonts w:ascii="Times New Roman" w:hAnsi="Times New Roman"/>
        </w:rPr>
        <w:t>the risk of stillbirth (OR 1</w:t>
      </w:r>
      <w:r w:rsidR="003E0E25" w:rsidRPr="005D5356">
        <w:rPr>
          <w:rFonts w:ascii="Times New Roman" w:hAnsi="Times New Roman"/>
        </w:rPr>
        <w:t>·</w:t>
      </w:r>
      <w:r w:rsidR="00716824" w:rsidRPr="005D5356">
        <w:rPr>
          <w:rFonts w:ascii="Times New Roman" w:hAnsi="Times New Roman"/>
        </w:rPr>
        <w:t>23, 95% CI 1</w:t>
      </w:r>
      <w:r w:rsidR="003E0E25" w:rsidRPr="005D5356">
        <w:rPr>
          <w:rFonts w:ascii="Times New Roman" w:hAnsi="Times New Roman"/>
        </w:rPr>
        <w:t>·</w:t>
      </w:r>
      <w:r w:rsidR="00716824" w:rsidRPr="005D5356">
        <w:rPr>
          <w:rFonts w:ascii="Times New Roman" w:hAnsi="Times New Roman"/>
        </w:rPr>
        <w:t>09-1</w:t>
      </w:r>
      <w:r w:rsidR="003E0E25" w:rsidRPr="005D5356">
        <w:rPr>
          <w:rFonts w:ascii="Times New Roman" w:hAnsi="Times New Roman"/>
        </w:rPr>
        <w:t>·</w:t>
      </w:r>
      <w:r w:rsidR="00716824" w:rsidRPr="005D5356">
        <w:rPr>
          <w:rFonts w:ascii="Times New Roman" w:hAnsi="Times New Roman"/>
        </w:rPr>
        <w:t>38)</w:t>
      </w:r>
      <w:r w:rsidR="00D842B2" w:rsidRPr="005D5356">
        <w:rPr>
          <w:rFonts w:ascii="Times New Roman" w:hAnsi="Times New Roman"/>
        </w:rPr>
        <w:t xml:space="preserve">, </w:t>
      </w:r>
      <w:r w:rsidR="00716824" w:rsidRPr="005D5356">
        <w:rPr>
          <w:rFonts w:ascii="Times New Roman" w:hAnsi="Times New Roman"/>
        </w:rPr>
        <w:t>congenital malformation (OR 1</w:t>
      </w:r>
      <w:r w:rsidR="003E0E25" w:rsidRPr="005D5356">
        <w:rPr>
          <w:rFonts w:ascii="Times New Roman" w:hAnsi="Times New Roman"/>
        </w:rPr>
        <w:t>·</w:t>
      </w:r>
      <w:r w:rsidR="00716824" w:rsidRPr="005D5356">
        <w:rPr>
          <w:rFonts w:ascii="Times New Roman" w:hAnsi="Times New Roman"/>
        </w:rPr>
        <w:t>13, 95% CI 1</w:t>
      </w:r>
      <w:r w:rsidR="003E0E25" w:rsidRPr="005D5356">
        <w:rPr>
          <w:rFonts w:ascii="Times New Roman" w:hAnsi="Times New Roman"/>
        </w:rPr>
        <w:t>·</w:t>
      </w:r>
      <w:r w:rsidR="00716824" w:rsidRPr="005D5356">
        <w:rPr>
          <w:rFonts w:ascii="Times New Roman" w:hAnsi="Times New Roman"/>
        </w:rPr>
        <w:t>01-1</w:t>
      </w:r>
      <w:r w:rsidR="003E0E25" w:rsidRPr="005D5356">
        <w:rPr>
          <w:rFonts w:ascii="Times New Roman" w:hAnsi="Times New Roman"/>
        </w:rPr>
        <w:t>·</w:t>
      </w:r>
      <w:r w:rsidR="00716824" w:rsidRPr="005D5356">
        <w:rPr>
          <w:rFonts w:ascii="Times New Roman" w:hAnsi="Times New Roman"/>
        </w:rPr>
        <w:t>26)</w:t>
      </w:r>
      <w:r w:rsidR="00E03895" w:rsidRPr="005D5356">
        <w:rPr>
          <w:rFonts w:ascii="Times New Roman" w:hAnsi="Times New Roman"/>
        </w:rPr>
        <w:t>,</w:t>
      </w:r>
      <w:r w:rsidR="00E70F4A" w:rsidRPr="005D5356">
        <w:rPr>
          <w:rFonts w:ascii="Times New Roman" w:hAnsi="Times New Roman"/>
        </w:rPr>
        <w:t>[4]</w:t>
      </w:r>
      <w:r w:rsidR="00D842B2" w:rsidRPr="005D5356">
        <w:rPr>
          <w:rFonts w:ascii="Times New Roman" w:hAnsi="Times New Roman"/>
        </w:rPr>
        <w:t xml:space="preserve"> and </w:t>
      </w:r>
      <w:r w:rsidR="001B6B69" w:rsidRPr="005D5356">
        <w:rPr>
          <w:rFonts w:ascii="Times New Roman" w:hAnsi="Times New Roman"/>
        </w:rPr>
        <w:t>low birth-weight</w:t>
      </w:r>
      <w:r w:rsidR="004C0A98" w:rsidRPr="005D5356">
        <w:rPr>
          <w:rFonts w:ascii="Times New Roman" w:hAnsi="Times New Roman"/>
        </w:rPr>
        <w:t xml:space="preserve"> infants</w:t>
      </w:r>
      <w:r w:rsidR="00D842B2" w:rsidRPr="005D5356">
        <w:rPr>
          <w:rFonts w:ascii="Times New Roman" w:hAnsi="Times New Roman"/>
        </w:rPr>
        <w:t xml:space="preserve"> (RR 1</w:t>
      </w:r>
      <w:r w:rsidR="003E0E25" w:rsidRPr="005D5356">
        <w:rPr>
          <w:rFonts w:ascii="Times New Roman" w:hAnsi="Times New Roman"/>
        </w:rPr>
        <w:t>·</w:t>
      </w:r>
      <w:r w:rsidR="00D842B2" w:rsidRPr="005D5356">
        <w:rPr>
          <w:rFonts w:ascii="Times New Roman" w:hAnsi="Times New Roman"/>
        </w:rPr>
        <w:t>16; 95% CI 0</w:t>
      </w:r>
      <w:r w:rsidR="003E0E25" w:rsidRPr="005D5356">
        <w:rPr>
          <w:rFonts w:ascii="Times New Roman" w:hAnsi="Times New Roman"/>
        </w:rPr>
        <w:t>·</w:t>
      </w:r>
      <w:r w:rsidR="00D842B2" w:rsidRPr="005D5356">
        <w:rPr>
          <w:rFonts w:ascii="Times New Roman" w:hAnsi="Times New Roman"/>
        </w:rPr>
        <w:t>99</w:t>
      </w:r>
      <w:r w:rsidR="001B6B69" w:rsidRPr="005D5356">
        <w:rPr>
          <w:rFonts w:ascii="Times New Roman" w:hAnsi="Times New Roman"/>
        </w:rPr>
        <w:t>-</w:t>
      </w:r>
      <w:r w:rsidR="00D842B2" w:rsidRPr="005D5356">
        <w:rPr>
          <w:rFonts w:ascii="Times New Roman" w:hAnsi="Times New Roman"/>
        </w:rPr>
        <w:t>1</w:t>
      </w:r>
      <w:r w:rsidR="003E0E25" w:rsidRPr="005D5356">
        <w:rPr>
          <w:rFonts w:ascii="Times New Roman" w:hAnsi="Times New Roman"/>
        </w:rPr>
        <w:t>·</w:t>
      </w:r>
      <w:r w:rsidR="00D842B2" w:rsidRPr="005D5356">
        <w:rPr>
          <w:rFonts w:ascii="Times New Roman" w:hAnsi="Times New Roman"/>
        </w:rPr>
        <w:t>36).</w:t>
      </w:r>
      <w:r w:rsidR="00E70F4A" w:rsidRPr="005D5356">
        <w:rPr>
          <w:rFonts w:ascii="Times New Roman" w:hAnsi="Times New Roman"/>
        </w:rPr>
        <w:t>[5]</w:t>
      </w:r>
      <w:r w:rsidR="00D851DA" w:rsidRPr="005D5356">
        <w:rPr>
          <w:rFonts w:ascii="Times New Roman" w:hAnsi="Times New Roman"/>
        </w:rPr>
        <w:t xml:space="preserve"> Tobacco control is </w:t>
      </w:r>
      <w:r w:rsidR="00B728A3" w:rsidRPr="005D5356">
        <w:rPr>
          <w:rFonts w:ascii="Times New Roman" w:hAnsi="Times New Roman"/>
        </w:rPr>
        <w:t>recognized</w:t>
      </w:r>
      <w:r w:rsidR="00875CE0" w:rsidRPr="005D5356">
        <w:rPr>
          <w:rFonts w:ascii="Times New Roman" w:hAnsi="Times New Roman"/>
        </w:rPr>
        <w:t xml:space="preserve"> as an important contributor to overall health and as a</w:t>
      </w:r>
      <w:r w:rsidR="00017696" w:rsidRPr="005D5356">
        <w:rPr>
          <w:rFonts w:ascii="Times New Roman" w:hAnsi="Times New Roman"/>
        </w:rPr>
        <w:t xml:space="preserve"> contributor to non-communicable disease (NCD)</w:t>
      </w:r>
      <w:r w:rsidR="00875CE0" w:rsidRPr="005D5356">
        <w:rPr>
          <w:rFonts w:ascii="Times New Roman" w:hAnsi="Times New Roman"/>
        </w:rPr>
        <w:t xml:space="preserve"> </w:t>
      </w:r>
      <w:r w:rsidR="00B75464">
        <w:rPr>
          <w:rFonts w:ascii="Times New Roman" w:hAnsi="Times New Roman"/>
        </w:rPr>
        <w:t xml:space="preserve">prevention </w:t>
      </w:r>
      <w:r w:rsidR="00875CE0" w:rsidRPr="005D5356">
        <w:rPr>
          <w:rFonts w:ascii="Times New Roman" w:hAnsi="Times New Roman"/>
        </w:rPr>
        <w:t xml:space="preserve">through the inclusion of the Framework Convention on Tobacco Control as one of the means of implementation to achieve Sustainable Development Goal 3, </w:t>
      </w:r>
      <w:r w:rsidR="00017696" w:rsidRPr="005D5356">
        <w:rPr>
          <w:rFonts w:ascii="Times New Roman" w:hAnsi="Times New Roman"/>
        </w:rPr>
        <w:t>‘</w:t>
      </w:r>
      <w:r w:rsidR="00875CE0" w:rsidRPr="005D5356">
        <w:rPr>
          <w:rFonts w:ascii="Times New Roman" w:hAnsi="Times New Roman"/>
        </w:rPr>
        <w:t>Good Heal</w:t>
      </w:r>
      <w:r w:rsidR="00017696" w:rsidRPr="005D5356">
        <w:rPr>
          <w:rFonts w:ascii="Times New Roman" w:hAnsi="Times New Roman"/>
        </w:rPr>
        <w:t>th and Wellbeing’.</w:t>
      </w:r>
      <w:r w:rsidR="00E70F4A" w:rsidRPr="005D5356">
        <w:rPr>
          <w:rFonts w:ascii="Times New Roman" w:hAnsi="Times New Roman"/>
        </w:rPr>
        <w:t>[6]</w:t>
      </w:r>
      <w:r w:rsidR="00017696" w:rsidRPr="005D5356">
        <w:rPr>
          <w:rFonts w:ascii="Times New Roman" w:hAnsi="Times New Roman"/>
        </w:rPr>
        <w:t xml:space="preserve"> This issue highlights that tobacco control impacts more than just NCDs</w:t>
      </w:r>
      <w:r w:rsidR="002F18FC">
        <w:rPr>
          <w:rFonts w:ascii="Times New Roman" w:hAnsi="Times New Roman"/>
        </w:rPr>
        <w:t xml:space="preserve">, including the </w:t>
      </w:r>
      <w:r w:rsidR="00017696" w:rsidRPr="005D5356">
        <w:rPr>
          <w:rFonts w:ascii="Times New Roman" w:hAnsi="Times New Roman"/>
        </w:rPr>
        <w:t xml:space="preserve">more traditional development goals </w:t>
      </w:r>
      <w:r w:rsidR="002E223E" w:rsidRPr="005D5356">
        <w:rPr>
          <w:rFonts w:ascii="Times New Roman" w:hAnsi="Times New Roman"/>
        </w:rPr>
        <w:t>such as</w:t>
      </w:r>
      <w:r w:rsidR="00017696" w:rsidRPr="005D5356">
        <w:rPr>
          <w:rFonts w:ascii="Times New Roman" w:hAnsi="Times New Roman"/>
        </w:rPr>
        <w:t xml:space="preserve"> maternal and child health, poverty reduction and reduced inequalities. </w:t>
      </w:r>
    </w:p>
    <w:p w14:paraId="3DB99BFF" w14:textId="77777777" w:rsidR="001B6B69" w:rsidRPr="005D5356" w:rsidRDefault="001B6B69" w:rsidP="00F07639">
      <w:pPr>
        <w:spacing w:line="480" w:lineRule="auto"/>
        <w:rPr>
          <w:rFonts w:ascii="Times New Roman" w:hAnsi="Times New Roman"/>
        </w:rPr>
      </w:pPr>
    </w:p>
    <w:p w14:paraId="14A24F85" w14:textId="50710F5C" w:rsidR="001B6B69" w:rsidRPr="005D5356" w:rsidRDefault="004C0A98" w:rsidP="00F07639">
      <w:pPr>
        <w:spacing w:line="480" w:lineRule="auto"/>
        <w:rPr>
          <w:rFonts w:ascii="Times New Roman" w:hAnsi="Times New Roman"/>
        </w:rPr>
      </w:pPr>
      <w:r w:rsidRPr="005D5356">
        <w:rPr>
          <w:rFonts w:ascii="Times New Roman" w:hAnsi="Times New Roman"/>
        </w:rPr>
        <w:t>G</w:t>
      </w:r>
      <w:r w:rsidR="002F0681" w:rsidRPr="005D5356">
        <w:rPr>
          <w:rFonts w:ascii="Times New Roman" w:hAnsi="Times New Roman"/>
        </w:rPr>
        <w:t xml:space="preserve">lobal </w:t>
      </w:r>
      <w:r w:rsidR="004F368B" w:rsidRPr="005D5356">
        <w:rPr>
          <w:rFonts w:ascii="Times New Roman" w:hAnsi="Times New Roman"/>
        </w:rPr>
        <w:t xml:space="preserve">prevalence </w:t>
      </w:r>
      <w:r w:rsidR="002F0681" w:rsidRPr="005D5356">
        <w:rPr>
          <w:rFonts w:ascii="Times New Roman" w:hAnsi="Times New Roman"/>
        </w:rPr>
        <w:t xml:space="preserve">estimates for active smoking during pregnancy have been </w:t>
      </w:r>
      <w:proofErr w:type="gramStart"/>
      <w:r w:rsidR="002F0681" w:rsidRPr="005D5356">
        <w:rPr>
          <w:rFonts w:ascii="Times New Roman" w:hAnsi="Times New Roman"/>
        </w:rPr>
        <w:t>published</w:t>
      </w:r>
      <w:r w:rsidR="00E70F4A" w:rsidRPr="005D5356">
        <w:rPr>
          <w:rFonts w:ascii="Times New Roman" w:hAnsi="Times New Roman"/>
        </w:rPr>
        <w:t>[</w:t>
      </w:r>
      <w:proofErr w:type="gramEnd"/>
      <w:r w:rsidR="00E70F4A" w:rsidRPr="005D5356">
        <w:rPr>
          <w:rFonts w:ascii="Times New Roman" w:hAnsi="Times New Roman"/>
        </w:rPr>
        <w:t>7]</w:t>
      </w:r>
      <w:r w:rsidR="002F0681" w:rsidRPr="005D5356">
        <w:rPr>
          <w:rFonts w:ascii="Times New Roman" w:hAnsi="Times New Roman"/>
        </w:rPr>
        <w:t xml:space="preserve"> but </w:t>
      </w:r>
      <w:r w:rsidR="001B6B69" w:rsidRPr="005D5356">
        <w:rPr>
          <w:rFonts w:ascii="Times New Roman" w:hAnsi="Times New Roman"/>
        </w:rPr>
        <w:t xml:space="preserve">there are no existing global estimates of the prevalence of SHS </w:t>
      </w:r>
      <w:r w:rsidR="001B6B69" w:rsidRPr="005D5356">
        <w:rPr>
          <w:rFonts w:ascii="Times New Roman" w:hAnsi="Times New Roman"/>
        </w:rPr>
        <w:lastRenderedPageBreak/>
        <w:t>exposure in pregnancy</w:t>
      </w:r>
      <w:r w:rsidR="002F0681" w:rsidRPr="005D5356">
        <w:rPr>
          <w:rFonts w:ascii="Times New Roman" w:hAnsi="Times New Roman"/>
        </w:rPr>
        <w:t xml:space="preserve"> in the literature</w:t>
      </w:r>
      <w:r w:rsidR="001B6B69" w:rsidRPr="005D5356">
        <w:rPr>
          <w:rFonts w:ascii="Times New Roman" w:hAnsi="Times New Roman"/>
        </w:rPr>
        <w:t>.</w:t>
      </w:r>
      <w:r w:rsidR="002F0681" w:rsidRPr="005D5356">
        <w:rPr>
          <w:rFonts w:ascii="Times New Roman" w:hAnsi="Times New Roman"/>
        </w:rPr>
        <w:t xml:space="preserve"> Based on the Demographic Health Surveys </w:t>
      </w:r>
      <w:r w:rsidR="00516F23" w:rsidRPr="005D5356">
        <w:rPr>
          <w:rFonts w:ascii="Times New Roman" w:hAnsi="Times New Roman"/>
        </w:rPr>
        <w:t xml:space="preserve">(DHS) </w:t>
      </w:r>
      <w:r w:rsidR="002C6E6D" w:rsidRPr="005D5356">
        <w:rPr>
          <w:rFonts w:ascii="Times New Roman" w:hAnsi="Times New Roman"/>
        </w:rPr>
        <w:t xml:space="preserve">conducted </w:t>
      </w:r>
      <w:r w:rsidR="002F0681" w:rsidRPr="005D5356">
        <w:rPr>
          <w:rFonts w:ascii="Times New Roman" w:hAnsi="Times New Roman"/>
        </w:rPr>
        <w:t>in 51 low- and middle-income countries</w:t>
      </w:r>
      <w:r w:rsidR="00767BD3" w:rsidRPr="005D5356">
        <w:rPr>
          <w:rFonts w:ascii="Times New Roman" w:hAnsi="Times New Roman"/>
        </w:rPr>
        <w:t xml:space="preserve"> (LMICs)</w:t>
      </w:r>
      <w:r w:rsidR="002F0681" w:rsidRPr="005D5356">
        <w:rPr>
          <w:rFonts w:ascii="Times New Roman" w:hAnsi="Times New Roman"/>
        </w:rPr>
        <w:t>, the</w:t>
      </w:r>
      <w:r w:rsidR="00767BD3" w:rsidRPr="005D5356">
        <w:rPr>
          <w:rFonts w:ascii="Times New Roman" w:hAnsi="Times New Roman"/>
        </w:rPr>
        <w:t xml:space="preserve"> p</w:t>
      </w:r>
      <w:r w:rsidR="002F0681" w:rsidRPr="005D5356">
        <w:rPr>
          <w:rFonts w:ascii="Times New Roman" w:hAnsi="Times New Roman"/>
        </w:rPr>
        <w:t>ooled prevalence of any tobacco use in pregnant women was found to be 2·6% (95% CI 1·8–3·6)</w:t>
      </w:r>
      <w:proofErr w:type="gramStart"/>
      <w:r w:rsidR="002F0681" w:rsidRPr="005D5356">
        <w:rPr>
          <w:rFonts w:ascii="Times New Roman" w:hAnsi="Times New Roman"/>
        </w:rPr>
        <w:t>.</w:t>
      </w:r>
      <w:r w:rsidR="00E70F4A" w:rsidRPr="005D5356">
        <w:rPr>
          <w:rFonts w:ascii="Times New Roman" w:hAnsi="Times New Roman"/>
        </w:rPr>
        <w:t>[</w:t>
      </w:r>
      <w:proofErr w:type="gramEnd"/>
      <w:r w:rsidR="00E70F4A" w:rsidRPr="005D5356">
        <w:rPr>
          <w:rFonts w:ascii="Times New Roman" w:hAnsi="Times New Roman"/>
        </w:rPr>
        <w:t xml:space="preserve">7] </w:t>
      </w:r>
      <w:r w:rsidR="003B25D3" w:rsidRPr="005D5356">
        <w:rPr>
          <w:rFonts w:ascii="Times New Roman" w:hAnsi="Times New Roman"/>
        </w:rPr>
        <w:t>Conversely</w:t>
      </w:r>
      <w:r w:rsidR="00767BD3" w:rsidRPr="005D5356">
        <w:rPr>
          <w:rFonts w:ascii="Times New Roman" w:hAnsi="Times New Roman"/>
        </w:rPr>
        <w:t xml:space="preserve">, only one report </w:t>
      </w:r>
      <w:r w:rsidR="00A05E50" w:rsidRPr="005D5356">
        <w:rPr>
          <w:rFonts w:ascii="Times New Roman" w:hAnsi="Times New Roman"/>
        </w:rPr>
        <w:t xml:space="preserve">exists </w:t>
      </w:r>
      <w:r w:rsidR="00767BD3" w:rsidRPr="005D5356">
        <w:rPr>
          <w:rFonts w:ascii="Times New Roman" w:hAnsi="Times New Roman"/>
        </w:rPr>
        <w:t>of</w:t>
      </w:r>
      <w:r w:rsidR="001B6B69" w:rsidRPr="005D5356">
        <w:rPr>
          <w:rFonts w:ascii="Times New Roman" w:hAnsi="Times New Roman"/>
        </w:rPr>
        <w:t xml:space="preserve"> </w:t>
      </w:r>
      <w:r w:rsidR="00767BD3" w:rsidRPr="005D5356">
        <w:rPr>
          <w:rFonts w:ascii="Times New Roman" w:hAnsi="Times New Roman"/>
        </w:rPr>
        <w:t>a</w:t>
      </w:r>
      <w:r w:rsidR="001B6B69" w:rsidRPr="005D5356">
        <w:rPr>
          <w:rFonts w:ascii="Times New Roman" w:hAnsi="Times New Roman"/>
        </w:rPr>
        <w:t xml:space="preserve">n international survey of </w:t>
      </w:r>
      <w:r w:rsidR="00792F4A" w:rsidRPr="005D5356">
        <w:rPr>
          <w:rFonts w:ascii="Times New Roman" w:hAnsi="Times New Roman"/>
        </w:rPr>
        <w:t xml:space="preserve">SHS exposure in </w:t>
      </w:r>
      <w:r w:rsidR="001B6B69" w:rsidRPr="005D5356">
        <w:rPr>
          <w:rFonts w:ascii="Times New Roman" w:hAnsi="Times New Roman"/>
        </w:rPr>
        <w:t>pregnant women</w:t>
      </w:r>
      <w:r w:rsidR="0087097D" w:rsidRPr="005D5356">
        <w:rPr>
          <w:rFonts w:ascii="Times New Roman" w:hAnsi="Times New Roman"/>
        </w:rPr>
        <w:t>,</w:t>
      </w:r>
      <w:r w:rsidR="001B6B69" w:rsidRPr="005D5356">
        <w:rPr>
          <w:rFonts w:ascii="Times New Roman" w:hAnsi="Times New Roman"/>
        </w:rPr>
        <w:t xml:space="preserve"> conducted in nine developing countries</w:t>
      </w:r>
      <w:r w:rsidR="00472D71" w:rsidRPr="005D5356">
        <w:rPr>
          <w:rFonts w:ascii="Times New Roman" w:hAnsi="Times New Roman"/>
        </w:rPr>
        <w:t>,</w:t>
      </w:r>
      <w:r w:rsidR="0087097D" w:rsidRPr="005D5356">
        <w:rPr>
          <w:rFonts w:ascii="Times New Roman" w:hAnsi="Times New Roman"/>
        </w:rPr>
        <w:t xml:space="preserve"> </w:t>
      </w:r>
      <w:r w:rsidR="001B6B69" w:rsidRPr="005D5356">
        <w:rPr>
          <w:rFonts w:ascii="Times New Roman" w:hAnsi="Times New Roman"/>
        </w:rPr>
        <w:t>suggest</w:t>
      </w:r>
      <w:r w:rsidR="0087097D" w:rsidRPr="005D5356">
        <w:rPr>
          <w:rFonts w:ascii="Times New Roman" w:hAnsi="Times New Roman"/>
        </w:rPr>
        <w:t>ing</w:t>
      </w:r>
      <w:r w:rsidR="001B6B69" w:rsidRPr="005D5356">
        <w:rPr>
          <w:rFonts w:ascii="Times New Roman" w:hAnsi="Times New Roman"/>
        </w:rPr>
        <w:t xml:space="preserve"> that the prevalence of SHS exposure </w:t>
      </w:r>
      <w:r w:rsidR="00767BD3" w:rsidRPr="005D5356">
        <w:rPr>
          <w:rFonts w:ascii="Times New Roman" w:hAnsi="Times New Roman"/>
        </w:rPr>
        <w:t>could range between</w:t>
      </w:r>
      <w:r w:rsidR="001B6B69" w:rsidRPr="005D5356">
        <w:rPr>
          <w:rFonts w:ascii="Times New Roman" w:hAnsi="Times New Roman"/>
        </w:rPr>
        <w:t xml:space="preserve"> 17</w:t>
      </w:r>
      <w:r w:rsidR="00612DFB" w:rsidRPr="005D5356">
        <w:rPr>
          <w:rFonts w:ascii="Times New Roman" w:hAnsi="Times New Roman"/>
        </w:rPr>
        <w:t>·</w:t>
      </w:r>
      <w:r w:rsidR="001B6B69" w:rsidRPr="005D5356">
        <w:rPr>
          <w:rFonts w:ascii="Times New Roman" w:hAnsi="Times New Roman"/>
        </w:rPr>
        <w:t>1% in Democratic Republic of Congo and 91</w:t>
      </w:r>
      <w:r w:rsidR="00612DFB" w:rsidRPr="005D5356">
        <w:rPr>
          <w:rFonts w:ascii="Times New Roman" w:hAnsi="Times New Roman"/>
        </w:rPr>
        <w:t>·</w:t>
      </w:r>
      <w:r w:rsidR="001B6B69" w:rsidRPr="005D5356">
        <w:rPr>
          <w:rFonts w:ascii="Times New Roman" w:hAnsi="Times New Roman"/>
        </w:rPr>
        <w:t>6% in Pakistan.</w:t>
      </w:r>
      <w:r w:rsidR="00E70F4A" w:rsidRPr="005D5356">
        <w:rPr>
          <w:rFonts w:ascii="Times New Roman" w:hAnsi="Times New Roman"/>
        </w:rPr>
        <w:t>[8]</w:t>
      </w:r>
      <w:r w:rsidR="001C3E18">
        <w:rPr>
          <w:rFonts w:ascii="Times New Roman" w:hAnsi="Times New Roman"/>
        </w:rPr>
        <w:t xml:space="preserve"> Whilst </w:t>
      </w:r>
      <w:r w:rsidR="002C0907">
        <w:rPr>
          <w:rFonts w:ascii="Times New Roman" w:hAnsi="Times New Roman"/>
        </w:rPr>
        <w:t xml:space="preserve">data already exists </w:t>
      </w:r>
      <w:r w:rsidR="001C3E18">
        <w:rPr>
          <w:rFonts w:ascii="Times New Roman" w:hAnsi="Times New Roman"/>
        </w:rPr>
        <w:t>on SHS exposure</w:t>
      </w:r>
      <w:r w:rsidR="003D388A">
        <w:rPr>
          <w:rFonts w:ascii="Times New Roman" w:hAnsi="Times New Roman"/>
        </w:rPr>
        <w:t xml:space="preserve"> among women of</w:t>
      </w:r>
      <w:r w:rsidR="001C3E18">
        <w:rPr>
          <w:rFonts w:ascii="Times New Roman" w:hAnsi="Times New Roman"/>
        </w:rPr>
        <w:t xml:space="preserve"> reproductive age</w:t>
      </w:r>
      <w:r w:rsidR="00C05AF7">
        <w:rPr>
          <w:rFonts w:ascii="Times New Roman" w:hAnsi="Times New Roman"/>
        </w:rPr>
        <w:t>,[9, 10</w:t>
      </w:r>
      <w:r w:rsidR="001C3E18">
        <w:rPr>
          <w:rFonts w:ascii="Times New Roman" w:hAnsi="Times New Roman"/>
        </w:rPr>
        <w:t>]</w:t>
      </w:r>
      <w:r w:rsidR="002C0907">
        <w:rPr>
          <w:rFonts w:ascii="Times New Roman" w:hAnsi="Times New Roman"/>
        </w:rPr>
        <w:t xml:space="preserve"> evidence suggests that smoking </w:t>
      </w:r>
      <w:proofErr w:type="spellStart"/>
      <w:r w:rsidR="002C0907">
        <w:rPr>
          <w:rFonts w:ascii="Times New Roman" w:hAnsi="Times New Roman"/>
        </w:rPr>
        <w:t>behavio</w:t>
      </w:r>
      <w:r w:rsidR="0008336E">
        <w:rPr>
          <w:rFonts w:ascii="Times New Roman" w:hAnsi="Times New Roman"/>
        </w:rPr>
        <w:t>urs</w:t>
      </w:r>
      <w:proofErr w:type="spellEnd"/>
      <w:r w:rsidR="0008336E">
        <w:rPr>
          <w:rFonts w:ascii="Times New Roman" w:hAnsi="Times New Roman"/>
        </w:rPr>
        <w:t xml:space="preserve"> can change during pregnancy; including asking smokers to refrain from smoking indoors where a pregnant women may reside</w:t>
      </w:r>
      <w:r w:rsidR="00CF2E2A">
        <w:rPr>
          <w:rFonts w:ascii="Times New Roman" w:hAnsi="Times New Roman"/>
        </w:rPr>
        <w:t>.</w:t>
      </w:r>
      <w:r w:rsidR="002C0907">
        <w:rPr>
          <w:rFonts w:ascii="Times New Roman" w:hAnsi="Times New Roman"/>
        </w:rPr>
        <w:t>[</w:t>
      </w:r>
      <w:r w:rsidR="00CF2E2A">
        <w:rPr>
          <w:rFonts w:ascii="Times New Roman" w:hAnsi="Times New Roman"/>
        </w:rPr>
        <w:t>11-14</w:t>
      </w:r>
      <w:r w:rsidR="002C0907">
        <w:rPr>
          <w:rFonts w:ascii="Times New Roman" w:hAnsi="Times New Roman"/>
        </w:rPr>
        <w:t>]</w:t>
      </w:r>
      <w:r w:rsidR="00F578DB">
        <w:rPr>
          <w:rFonts w:ascii="Times New Roman" w:hAnsi="Times New Roman"/>
        </w:rPr>
        <w:t xml:space="preserve"> </w:t>
      </w:r>
      <w:r w:rsidR="002C0907">
        <w:rPr>
          <w:rFonts w:ascii="Times New Roman" w:hAnsi="Times New Roman"/>
        </w:rPr>
        <w:t xml:space="preserve"> SHS exposure among women of reproductive age is therefore a </w:t>
      </w:r>
      <w:r w:rsidR="00F578DB">
        <w:rPr>
          <w:rFonts w:ascii="Times New Roman" w:hAnsi="Times New Roman"/>
        </w:rPr>
        <w:t>reasonable</w:t>
      </w:r>
      <w:r w:rsidR="002C0907">
        <w:rPr>
          <w:rFonts w:ascii="Times New Roman" w:hAnsi="Times New Roman"/>
        </w:rPr>
        <w:t xml:space="preserve"> proxy but is not </w:t>
      </w:r>
      <w:r w:rsidR="00F578DB">
        <w:rPr>
          <w:rFonts w:ascii="Times New Roman" w:hAnsi="Times New Roman"/>
        </w:rPr>
        <w:t>the same as</w:t>
      </w:r>
      <w:r w:rsidR="002C0907">
        <w:rPr>
          <w:rFonts w:ascii="Times New Roman" w:hAnsi="Times New Roman"/>
        </w:rPr>
        <w:t xml:space="preserve"> exposure</w:t>
      </w:r>
      <w:r w:rsidR="00F578DB">
        <w:rPr>
          <w:rFonts w:ascii="Times New Roman" w:hAnsi="Times New Roman"/>
        </w:rPr>
        <w:t xml:space="preserve"> during pregnancy</w:t>
      </w:r>
      <w:r w:rsidR="002C0907">
        <w:rPr>
          <w:rFonts w:ascii="Times New Roman" w:hAnsi="Times New Roman"/>
        </w:rPr>
        <w:t>.</w:t>
      </w:r>
    </w:p>
    <w:p w14:paraId="31D1588A" w14:textId="77777777" w:rsidR="00767BD3" w:rsidRPr="005D5356" w:rsidRDefault="00767BD3" w:rsidP="00F07639">
      <w:pPr>
        <w:spacing w:line="480" w:lineRule="auto"/>
        <w:rPr>
          <w:rFonts w:ascii="Times New Roman" w:hAnsi="Times New Roman"/>
        </w:rPr>
      </w:pPr>
    </w:p>
    <w:p w14:paraId="473E7AF4" w14:textId="1E0DDF40" w:rsidR="00716824" w:rsidRPr="005D5356" w:rsidRDefault="00767BD3" w:rsidP="00F07639">
      <w:pPr>
        <w:spacing w:line="480" w:lineRule="auto"/>
        <w:rPr>
          <w:rFonts w:ascii="Times New Roman" w:hAnsi="Times New Roman"/>
        </w:rPr>
      </w:pPr>
      <w:r w:rsidRPr="005D5356">
        <w:rPr>
          <w:rFonts w:ascii="Times New Roman" w:hAnsi="Times New Roman"/>
        </w:rPr>
        <w:t>There ar</w:t>
      </w:r>
      <w:r w:rsidR="00792F4A" w:rsidRPr="005D5356">
        <w:rPr>
          <w:rFonts w:ascii="Times New Roman" w:hAnsi="Times New Roman"/>
        </w:rPr>
        <w:t xml:space="preserve">e several </w:t>
      </w:r>
      <w:r w:rsidRPr="005D5356">
        <w:rPr>
          <w:rFonts w:ascii="Times New Roman" w:hAnsi="Times New Roman"/>
        </w:rPr>
        <w:t xml:space="preserve">reasons to believe that for many LMICs, SHS exposure could pose a </w:t>
      </w:r>
      <w:r w:rsidR="003D30D5" w:rsidRPr="005D5356">
        <w:rPr>
          <w:rFonts w:ascii="Times New Roman" w:hAnsi="Times New Roman"/>
        </w:rPr>
        <w:t>larger</w:t>
      </w:r>
      <w:r w:rsidRPr="005D5356">
        <w:rPr>
          <w:rFonts w:ascii="Times New Roman" w:hAnsi="Times New Roman"/>
        </w:rPr>
        <w:t xml:space="preserve"> attributable risk </w:t>
      </w:r>
      <w:r w:rsidR="001B77AF" w:rsidRPr="005D5356">
        <w:rPr>
          <w:rFonts w:ascii="Times New Roman" w:hAnsi="Times New Roman"/>
        </w:rPr>
        <w:t>to</w:t>
      </w:r>
      <w:r w:rsidRPr="005D5356">
        <w:rPr>
          <w:rFonts w:ascii="Times New Roman" w:hAnsi="Times New Roman"/>
        </w:rPr>
        <w:t xml:space="preserve"> pregnancy and birth outcomes than active smoking. Firstly, some of the</w:t>
      </w:r>
      <w:r w:rsidR="002F0681" w:rsidRPr="005D5356">
        <w:rPr>
          <w:rFonts w:ascii="Times New Roman" w:hAnsi="Times New Roman"/>
        </w:rPr>
        <w:t xml:space="preserve"> risks to </w:t>
      </w:r>
      <w:r w:rsidR="00AE238D" w:rsidRPr="005D5356">
        <w:rPr>
          <w:rFonts w:ascii="Times New Roman" w:hAnsi="Times New Roman"/>
        </w:rPr>
        <w:t>antenatal</w:t>
      </w:r>
      <w:r w:rsidR="002F0681" w:rsidRPr="005D5356">
        <w:rPr>
          <w:rFonts w:ascii="Times New Roman" w:hAnsi="Times New Roman"/>
        </w:rPr>
        <w:t xml:space="preserve"> outcomes associated with SHS exposure are comparable to </w:t>
      </w:r>
      <w:r w:rsidR="00AE238D" w:rsidRPr="005D5356">
        <w:rPr>
          <w:rFonts w:ascii="Times New Roman" w:hAnsi="Times New Roman"/>
        </w:rPr>
        <w:t xml:space="preserve">the </w:t>
      </w:r>
      <w:r w:rsidR="002F0681" w:rsidRPr="005D5356">
        <w:rPr>
          <w:rFonts w:ascii="Times New Roman" w:hAnsi="Times New Roman"/>
        </w:rPr>
        <w:t xml:space="preserve">risks associated with other modifiable factors; for example, </w:t>
      </w:r>
      <w:r w:rsidR="004C7FC4" w:rsidRPr="005D5356">
        <w:rPr>
          <w:rFonts w:ascii="Times New Roman" w:hAnsi="Times New Roman"/>
        </w:rPr>
        <w:t xml:space="preserve">the </w:t>
      </w:r>
      <w:r w:rsidR="002F0681" w:rsidRPr="005D5356">
        <w:rPr>
          <w:rFonts w:ascii="Times New Roman" w:hAnsi="Times New Roman"/>
        </w:rPr>
        <w:t>risk of stillbirth with active smoking (OR 1</w:t>
      </w:r>
      <w:r w:rsidR="00612DFB" w:rsidRPr="005D5356">
        <w:rPr>
          <w:rFonts w:ascii="Times New Roman" w:hAnsi="Times New Roman"/>
        </w:rPr>
        <w:t>·</w:t>
      </w:r>
      <w:r w:rsidR="002F0681" w:rsidRPr="005D5356">
        <w:rPr>
          <w:rFonts w:ascii="Times New Roman" w:hAnsi="Times New Roman"/>
        </w:rPr>
        <w:t>4) and with a BMI of greater than 30kg/m</w:t>
      </w:r>
      <w:r w:rsidR="002F0681" w:rsidRPr="005D5356">
        <w:rPr>
          <w:rFonts w:ascii="Times New Roman" w:hAnsi="Times New Roman"/>
          <w:vertAlign w:val="superscript"/>
        </w:rPr>
        <w:t>2</w:t>
      </w:r>
      <w:r w:rsidR="002F0681" w:rsidRPr="005D5356">
        <w:rPr>
          <w:rFonts w:ascii="Times New Roman" w:hAnsi="Times New Roman"/>
        </w:rPr>
        <w:t xml:space="preserve"> (OR 1</w:t>
      </w:r>
      <w:r w:rsidR="00612DFB" w:rsidRPr="005D5356">
        <w:rPr>
          <w:rFonts w:ascii="Times New Roman" w:hAnsi="Times New Roman"/>
        </w:rPr>
        <w:t>·</w:t>
      </w:r>
      <w:r w:rsidR="002F0681" w:rsidRPr="005D5356">
        <w:rPr>
          <w:rFonts w:ascii="Times New Roman" w:hAnsi="Times New Roman"/>
        </w:rPr>
        <w:t>6)</w:t>
      </w:r>
      <w:r w:rsidR="000D1A54" w:rsidRPr="005D5356">
        <w:rPr>
          <w:rFonts w:ascii="Times New Roman" w:hAnsi="Times New Roman"/>
        </w:rPr>
        <w:t xml:space="preserve"> </w:t>
      </w:r>
      <w:r w:rsidR="00AF089B" w:rsidRPr="005D5356">
        <w:rPr>
          <w:rFonts w:ascii="Times New Roman" w:hAnsi="Times New Roman"/>
        </w:rPr>
        <w:t>are</w:t>
      </w:r>
      <w:r w:rsidR="000D1A54" w:rsidRPr="005D5356">
        <w:rPr>
          <w:rFonts w:ascii="Times New Roman" w:hAnsi="Times New Roman"/>
        </w:rPr>
        <w:t xml:space="preserve"> </w:t>
      </w:r>
      <w:r w:rsidR="00AF089B" w:rsidRPr="005D5356">
        <w:rPr>
          <w:rFonts w:ascii="Times New Roman" w:hAnsi="Times New Roman"/>
        </w:rPr>
        <w:t>comparable to</w:t>
      </w:r>
      <w:r w:rsidRPr="005D5356">
        <w:rPr>
          <w:rFonts w:ascii="Times New Roman" w:hAnsi="Times New Roman"/>
        </w:rPr>
        <w:t xml:space="preserve"> the risk </w:t>
      </w:r>
      <w:r w:rsidR="00AF089B" w:rsidRPr="005D5356">
        <w:rPr>
          <w:rFonts w:ascii="Times New Roman" w:hAnsi="Times New Roman"/>
        </w:rPr>
        <w:t xml:space="preserve">associated </w:t>
      </w:r>
      <w:r w:rsidRPr="005D5356">
        <w:rPr>
          <w:rFonts w:ascii="Times New Roman" w:hAnsi="Times New Roman"/>
        </w:rPr>
        <w:t>with passive smoking (OR 1</w:t>
      </w:r>
      <w:r w:rsidR="00612DFB" w:rsidRPr="005D5356">
        <w:rPr>
          <w:rFonts w:ascii="Times New Roman" w:hAnsi="Times New Roman"/>
        </w:rPr>
        <w:t>·</w:t>
      </w:r>
      <w:r w:rsidRPr="005D5356">
        <w:rPr>
          <w:rFonts w:ascii="Times New Roman" w:hAnsi="Times New Roman"/>
        </w:rPr>
        <w:t>23)</w:t>
      </w:r>
      <w:proofErr w:type="gramStart"/>
      <w:r w:rsidR="002F0681" w:rsidRPr="005D5356">
        <w:rPr>
          <w:rFonts w:ascii="Times New Roman" w:hAnsi="Times New Roman"/>
        </w:rPr>
        <w:t>.</w:t>
      </w:r>
      <w:r w:rsidR="00630505">
        <w:rPr>
          <w:rFonts w:ascii="Times New Roman" w:hAnsi="Times New Roman"/>
        </w:rPr>
        <w:t>[</w:t>
      </w:r>
      <w:proofErr w:type="gramEnd"/>
      <w:r w:rsidR="00630505">
        <w:rPr>
          <w:rFonts w:ascii="Times New Roman" w:hAnsi="Times New Roman"/>
        </w:rPr>
        <w:t>4]</w:t>
      </w:r>
      <w:r w:rsidR="002F0681" w:rsidRPr="005D5356">
        <w:rPr>
          <w:rFonts w:ascii="Times New Roman" w:hAnsi="Times New Roman"/>
        </w:rPr>
        <w:t xml:space="preserve"> </w:t>
      </w:r>
      <w:r w:rsidRPr="005D5356">
        <w:rPr>
          <w:rFonts w:ascii="Times New Roman" w:hAnsi="Times New Roman"/>
        </w:rPr>
        <w:t>Secondly, evidence suggest</w:t>
      </w:r>
      <w:r w:rsidR="000D1A54" w:rsidRPr="005D5356">
        <w:rPr>
          <w:rFonts w:ascii="Times New Roman" w:hAnsi="Times New Roman"/>
        </w:rPr>
        <w:t>s</w:t>
      </w:r>
      <w:r w:rsidRPr="005D5356">
        <w:rPr>
          <w:rFonts w:ascii="Times New Roman" w:hAnsi="Times New Roman"/>
        </w:rPr>
        <w:t xml:space="preserve"> that </w:t>
      </w:r>
      <w:r w:rsidR="00716824" w:rsidRPr="005D5356">
        <w:rPr>
          <w:rFonts w:ascii="Times New Roman" w:hAnsi="Times New Roman"/>
        </w:rPr>
        <w:t>more than a third of non-smoking women (35%) in their reproductive age could be exposed to SHS</w:t>
      </w:r>
      <w:r w:rsidR="002A7DAA" w:rsidRPr="005D5356">
        <w:rPr>
          <w:rFonts w:ascii="Times New Roman" w:hAnsi="Times New Roman"/>
        </w:rPr>
        <w:t xml:space="preserve"> in LMIC.</w:t>
      </w:r>
      <w:r w:rsidR="00E70F4A" w:rsidRPr="005D5356">
        <w:rPr>
          <w:rFonts w:ascii="Times New Roman" w:hAnsi="Times New Roman"/>
        </w:rPr>
        <w:t>[</w:t>
      </w:r>
      <w:r w:rsidR="000735F9">
        <w:rPr>
          <w:rFonts w:ascii="Times New Roman" w:hAnsi="Times New Roman"/>
        </w:rPr>
        <w:t>15</w:t>
      </w:r>
      <w:r w:rsidR="00E70F4A" w:rsidRPr="005D5356">
        <w:rPr>
          <w:rFonts w:ascii="Times New Roman" w:hAnsi="Times New Roman"/>
        </w:rPr>
        <w:t>]</w:t>
      </w:r>
      <w:r w:rsidR="00716824" w:rsidRPr="005D5356">
        <w:rPr>
          <w:rFonts w:ascii="Times New Roman" w:hAnsi="Times New Roman"/>
        </w:rPr>
        <w:t xml:space="preserve"> </w:t>
      </w:r>
      <w:r w:rsidR="004F368B" w:rsidRPr="005D5356">
        <w:rPr>
          <w:rFonts w:ascii="Times New Roman" w:hAnsi="Times New Roman"/>
        </w:rPr>
        <w:t xml:space="preserve">This indicates </w:t>
      </w:r>
      <w:r w:rsidR="00AC0EF2">
        <w:rPr>
          <w:rFonts w:ascii="Times New Roman" w:hAnsi="Times New Roman"/>
        </w:rPr>
        <w:t>the potential for</w:t>
      </w:r>
      <w:r w:rsidR="004F368B" w:rsidRPr="005D5356">
        <w:rPr>
          <w:rFonts w:ascii="Times New Roman" w:hAnsi="Times New Roman"/>
        </w:rPr>
        <w:t xml:space="preserve"> SHS exposure in pregnancy. </w:t>
      </w:r>
      <w:r w:rsidR="009D4BD0" w:rsidRPr="005D5356">
        <w:rPr>
          <w:rFonts w:ascii="Times New Roman" w:hAnsi="Times New Roman"/>
        </w:rPr>
        <w:t>Consequently</w:t>
      </w:r>
      <w:r w:rsidR="000D1A54" w:rsidRPr="005D5356">
        <w:rPr>
          <w:rFonts w:ascii="Times New Roman" w:hAnsi="Times New Roman"/>
        </w:rPr>
        <w:t>,</w:t>
      </w:r>
      <w:r w:rsidR="00716824" w:rsidRPr="005D5356">
        <w:rPr>
          <w:rFonts w:ascii="Times New Roman" w:hAnsi="Times New Roman"/>
        </w:rPr>
        <w:t xml:space="preserve"> the attributable risk and population attributable fraction</w:t>
      </w:r>
      <w:r w:rsidR="00C9525E" w:rsidRPr="005D5356">
        <w:rPr>
          <w:rFonts w:ascii="Times New Roman" w:hAnsi="Times New Roman"/>
        </w:rPr>
        <w:t xml:space="preserve"> (PAF)</w:t>
      </w:r>
      <w:r w:rsidR="00716824" w:rsidRPr="005D5356">
        <w:rPr>
          <w:rFonts w:ascii="Times New Roman" w:hAnsi="Times New Roman"/>
        </w:rPr>
        <w:t xml:space="preserve"> due to passive smoking </w:t>
      </w:r>
      <w:r w:rsidR="000D1A54" w:rsidRPr="005D5356">
        <w:rPr>
          <w:rFonts w:ascii="Times New Roman" w:hAnsi="Times New Roman"/>
        </w:rPr>
        <w:t xml:space="preserve">could </w:t>
      </w:r>
      <w:r w:rsidR="00757A8D">
        <w:rPr>
          <w:rFonts w:ascii="Times New Roman" w:hAnsi="Times New Roman"/>
        </w:rPr>
        <w:t>comparable to</w:t>
      </w:r>
      <w:r w:rsidR="00716824" w:rsidRPr="005D5356">
        <w:rPr>
          <w:rFonts w:ascii="Times New Roman" w:hAnsi="Times New Roman"/>
        </w:rPr>
        <w:t xml:space="preserve"> active smoking in pregnancy</w:t>
      </w:r>
      <w:proofErr w:type="gramStart"/>
      <w:r w:rsidR="00716824" w:rsidRPr="005D5356">
        <w:rPr>
          <w:rFonts w:ascii="Times New Roman" w:hAnsi="Times New Roman"/>
        </w:rPr>
        <w:t>.</w:t>
      </w:r>
      <w:r w:rsidR="00E70F4A" w:rsidRPr="005D5356">
        <w:rPr>
          <w:rFonts w:ascii="Times New Roman" w:hAnsi="Times New Roman"/>
        </w:rPr>
        <w:t>[</w:t>
      </w:r>
      <w:proofErr w:type="gramEnd"/>
      <w:r w:rsidR="00E70F4A" w:rsidRPr="005D5356">
        <w:rPr>
          <w:rFonts w:ascii="Times New Roman" w:hAnsi="Times New Roman"/>
        </w:rPr>
        <w:t>7]</w:t>
      </w:r>
      <w:r w:rsidR="000D1A54" w:rsidRPr="005D5356">
        <w:rPr>
          <w:rFonts w:ascii="Times New Roman" w:hAnsi="Times New Roman"/>
        </w:rPr>
        <w:t xml:space="preserve"> </w:t>
      </w:r>
      <w:r w:rsidR="00A10129" w:rsidRPr="005D5356">
        <w:rPr>
          <w:rFonts w:ascii="Times New Roman" w:hAnsi="Times New Roman"/>
        </w:rPr>
        <w:t xml:space="preserve">However </w:t>
      </w:r>
      <w:r w:rsidR="00DA70BE" w:rsidRPr="005D5356">
        <w:rPr>
          <w:rFonts w:ascii="Times New Roman" w:hAnsi="Times New Roman"/>
        </w:rPr>
        <w:t>b</w:t>
      </w:r>
      <w:r w:rsidR="000D1A54" w:rsidRPr="005D5356">
        <w:rPr>
          <w:rFonts w:ascii="Times New Roman" w:hAnsi="Times New Roman"/>
        </w:rPr>
        <w:t xml:space="preserve">efore reaching this conclusion, better global estimates of the prevalence of SHS exposure in pregnancy are required. </w:t>
      </w:r>
    </w:p>
    <w:p w14:paraId="42FFADCB" w14:textId="77777777" w:rsidR="00716824" w:rsidRPr="005D5356" w:rsidRDefault="00716824" w:rsidP="00F07639">
      <w:pPr>
        <w:spacing w:line="480" w:lineRule="auto"/>
        <w:rPr>
          <w:rFonts w:ascii="Times New Roman" w:hAnsi="Times New Roman"/>
        </w:rPr>
      </w:pPr>
    </w:p>
    <w:p w14:paraId="65BB25B4" w14:textId="79C5D524" w:rsidR="00716824" w:rsidRPr="005D5356" w:rsidRDefault="004E1885" w:rsidP="00F07639">
      <w:pPr>
        <w:spacing w:line="480" w:lineRule="auto"/>
        <w:rPr>
          <w:rFonts w:ascii="Times New Roman" w:hAnsi="Times New Roman"/>
        </w:rPr>
      </w:pPr>
      <w:r w:rsidRPr="005D5356">
        <w:rPr>
          <w:rFonts w:ascii="Times New Roman" w:hAnsi="Times New Roman"/>
          <w:lang w:val="en-GB"/>
        </w:rPr>
        <w:t>Our paper</w:t>
      </w:r>
      <w:r w:rsidR="00DA70BE" w:rsidRPr="005D5356">
        <w:rPr>
          <w:rFonts w:ascii="Times New Roman" w:hAnsi="Times New Roman"/>
          <w:lang w:val="en-GB"/>
        </w:rPr>
        <w:t xml:space="preserve"> address</w:t>
      </w:r>
      <w:r w:rsidRPr="005D5356">
        <w:rPr>
          <w:rFonts w:ascii="Times New Roman" w:hAnsi="Times New Roman"/>
          <w:lang w:val="en-GB"/>
        </w:rPr>
        <w:t>es</w:t>
      </w:r>
      <w:r w:rsidR="00DA70BE" w:rsidRPr="005D5356">
        <w:rPr>
          <w:rFonts w:ascii="Times New Roman" w:hAnsi="Times New Roman"/>
          <w:lang w:val="en-GB"/>
        </w:rPr>
        <w:t xml:space="preserve"> this </w:t>
      </w:r>
      <w:r w:rsidR="009D4BD0" w:rsidRPr="005D5356">
        <w:rPr>
          <w:rFonts w:ascii="Times New Roman" w:hAnsi="Times New Roman"/>
          <w:lang w:val="en-GB"/>
        </w:rPr>
        <w:t xml:space="preserve">particular </w:t>
      </w:r>
      <w:r w:rsidR="00DA70BE" w:rsidRPr="005D5356">
        <w:rPr>
          <w:rFonts w:ascii="Times New Roman" w:hAnsi="Times New Roman"/>
          <w:lang w:val="en-GB"/>
        </w:rPr>
        <w:t>gap in knowledge</w:t>
      </w:r>
      <w:r w:rsidR="000D1A54" w:rsidRPr="005D5356">
        <w:rPr>
          <w:rFonts w:ascii="Times New Roman" w:hAnsi="Times New Roman"/>
          <w:lang w:val="en-GB"/>
        </w:rPr>
        <w:t xml:space="preserve">. We </w:t>
      </w:r>
      <w:r w:rsidRPr="005D5356">
        <w:rPr>
          <w:rFonts w:ascii="Times New Roman" w:hAnsi="Times New Roman"/>
          <w:lang w:val="en-GB"/>
        </w:rPr>
        <w:t xml:space="preserve">estimated </w:t>
      </w:r>
      <w:r w:rsidR="000D1A54" w:rsidRPr="005D5356">
        <w:rPr>
          <w:rFonts w:ascii="Times New Roman" w:hAnsi="Times New Roman"/>
          <w:lang w:val="en-GB"/>
        </w:rPr>
        <w:t xml:space="preserve">the prevalence of </w:t>
      </w:r>
      <w:r w:rsidR="00644F90" w:rsidRPr="005D5356">
        <w:rPr>
          <w:rFonts w:ascii="Times New Roman" w:hAnsi="Times New Roman"/>
          <w:lang w:val="en-GB"/>
        </w:rPr>
        <w:t>SHS</w:t>
      </w:r>
      <w:r w:rsidR="000D1A54" w:rsidRPr="005D5356">
        <w:rPr>
          <w:rFonts w:ascii="Times New Roman" w:hAnsi="Times New Roman"/>
          <w:lang w:val="en-GB"/>
        </w:rPr>
        <w:t xml:space="preserve"> exposure in households with pregnant women in </w:t>
      </w:r>
      <w:r w:rsidR="00686366" w:rsidRPr="005D5356">
        <w:rPr>
          <w:rFonts w:ascii="Times New Roman" w:hAnsi="Times New Roman"/>
          <w:lang w:val="en-GB"/>
        </w:rPr>
        <w:t>30</w:t>
      </w:r>
      <w:r w:rsidR="0059489B" w:rsidRPr="005D5356">
        <w:rPr>
          <w:rFonts w:ascii="Times New Roman" w:hAnsi="Times New Roman"/>
          <w:lang w:val="en-GB"/>
        </w:rPr>
        <w:t xml:space="preserve"> </w:t>
      </w:r>
      <w:r w:rsidR="000D1A54" w:rsidRPr="005D5356">
        <w:rPr>
          <w:rFonts w:ascii="Times New Roman" w:hAnsi="Times New Roman"/>
          <w:lang w:val="en-GB"/>
        </w:rPr>
        <w:t>LMIC</w:t>
      </w:r>
      <w:r w:rsidR="00644F90" w:rsidRPr="005D5356">
        <w:rPr>
          <w:rFonts w:ascii="Times New Roman" w:hAnsi="Times New Roman"/>
          <w:lang w:val="en-GB"/>
        </w:rPr>
        <w:t>s</w:t>
      </w:r>
      <w:r w:rsidR="000D1A54" w:rsidRPr="005D5356">
        <w:rPr>
          <w:rFonts w:ascii="Times New Roman" w:hAnsi="Times New Roman"/>
          <w:lang w:val="en-GB"/>
        </w:rPr>
        <w:t xml:space="preserve">. </w:t>
      </w:r>
      <w:r w:rsidR="000D1A54" w:rsidRPr="005D5356">
        <w:rPr>
          <w:rFonts w:ascii="Times New Roman" w:hAnsi="Times New Roman"/>
        </w:rPr>
        <w:t>R</w:t>
      </w:r>
      <w:r w:rsidR="00716824" w:rsidRPr="005D5356">
        <w:rPr>
          <w:rFonts w:ascii="Times New Roman" w:hAnsi="Times New Roman"/>
        </w:rPr>
        <w:t>ecently, DHS included a question on the frequency of smoking inside households</w:t>
      </w:r>
      <w:r w:rsidRPr="005D5356">
        <w:rPr>
          <w:rFonts w:ascii="Times New Roman" w:hAnsi="Times New Roman"/>
        </w:rPr>
        <w:t xml:space="preserve"> in phase six of their questionnaire.</w:t>
      </w:r>
      <w:r w:rsidR="00716824" w:rsidRPr="005D5356">
        <w:rPr>
          <w:rFonts w:ascii="Times New Roman" w:hAnsi="Times New Roman"/>
        </w:rPr>
        <w:t xml:space="preserve"> </w:t>
      </w:r>
      <w:r w:rsidRPr="005D5356">
        <w:rPr>
          <w:rFonts w:ascii="Times New Roman" w:hAnsi="Times New Roman"/>
        </w:rPr>
        <w:t xml:space="preserve">This </w:t>
      </w:r>
      <w:r w:rsidR="00716824" w:rsidRPr="005D5356">
        <w:rPr>
          <w:rFonts w:ascii="Times New Roman" w:hAnsi="Times New Roman"/>
        </w:rPr>
        <w:t>provide</w:t>
      </w:r>
      <w:r w:rsidRPr="005D5356">
        <w:rPr>
          <w:rFonts w:ascii="Times New Roman" w:hAnsi="Times New Roman"/>
        </w:rPr>
        <w:t>d</w:t>
      </w:r>
      <w:r w:rsidR="00716824" w:rsidRPr="005D5356">
        <w:rPr>
          <w:rFonts w:ascii="Times New Roman" w:hAnsi="Times New Roman"/>
        </w:rPr>
        <w:t xml:space="preserve"> an opportunity to estimate SHS prevalence in pregnancy</w:t>
      </w:r>
      <w:r w:rsidRPr="005D5356">
        <w:rPr>
          <w:rFonts w:ascii="Times New Roman" w:hAnsi="Times New Roman"/>
        </w:rPr>
        <w:t xml:space="preserve"> and compare it to active smoking rates</w:t>
      </w:r>
      <w:proofErr w:type="gramStart"/>
      <w:r w:rsidR="00E70F4A" w:rsidRPr="005D5356">
        <w:rPr>
          <w:rFonts w:ascii="Times New Roman" w:hAnsi="Times New Roman"/>
        </w:rPr>
        <w:t>.[</w:t>
      </w:r>
      <w:proofErr w:type="gramEnd"/>
      <w:r w:rsidR="00E70F4A" w:rsidRPr="005D5356">
        <w:rPr>
          <w:rFonts w:ascii="Times New Roman" w:hAnsi="Times New Roman"/>
        </w:rPr>
        <w:t>1</w:t>
      </w:r>
      <w:r w:rsidR="000735F9">
        <w:rPr>
          <w:rFonts w:ascii="Times New Roman" w:hAnsi="Times New Roman"/>
        </w:rPr>
        <w:t>6</w:t>
      </w:r>
      <w:r w:rsidR="00E70F4A" w:rsidRPr="005D5356">
        <w:rPr>
          <w:rFonts w:ascii="Times New Roman" w:hAnsi="Times New Roman"/>
        </w:rPr>
        <w:t>,</w:t>
      </w:r>
      <w:r w:rsidR="000F465F" w:rsidRPr="005D5356">
        <w:rPr>
          <w:rFonts w:ascii="Times New Roman" w:hAnsi="Times New Roman"/>
        </w:rPr>
        <w:t xml:space="preserve"> </w:t>
      </w:r>
      <w:r w:rsidR="00E70F4A" w:rsidRPr="005D5356">
        <w:rPr>
          <w:rFonts w:ascii="Times New Roman" w:hAnsi="Times New Roman"/>
        </w:rPr>
        <w:t>1</w:t>
      </w:r>
      <w:r w:rsidR="000735F9">
        <w:rPr>
          <w:rFonts w:ascii="Times New Roman" w:hAnsi="Times New Roman"/>
        </w:rPr>
        <w:t>7</w:t>
      </w:r>
      <w:r w:rsidR="00E70F4A" w:rsidRPr="005D5356">
        <w:rPr>
          <w:rFonts w:ascii="Times New Roman" w:hAnsi="Times New Roman"/>
        </w:rPr>
        <w:t>]</w:t>
      </w:r>
      <w:r w:rsidR="000D1A54" w:rsidRPr="005D5356">
        <w:rPr>
          <w:rFonts w:ascii="Times New Roman" w:hAnsi="Times New Roman"/>
          <w:lang w:val="en-GB"/>
        </w:rPr>
        <w:t xml:space="preserve"> We also explore</w:t>
      </w:r>
      <w:r w:rsidR="00884B65" w:rsidRPr="005D5356">
        <w:rPr>
          <w:rFonts w:ascii="Times New Roman" w:hAnsi="Times New Roman"/>
          <w:lang w:val="en-GB"/>
        </w:rPr>
        <w:t>d</w:t>
      </w:r>
      <w:r w:rsidR="000D1A54" w:rsidRPr="005D5356">
        <w:rPr>
          <w:rFonts w:ascii="Times New Roman" w:hAnsi="Times New Roman"/>
          <w:lang w:val="en-GB"/>
        </w:rPr>
        <w:t xml:space="preserve"> variables associated with SHS exposure in pregnant women</w:t>
      </w:r>
      <w:r w:rsidR="00884B65" w:rsidRPr="005D5356">
        <w:rPr>
          <w:rFonts w:ascii="Times New Roman" w:hAnsi="Times New Roman"/>
          <w:lang w:val="en-GB"/>
        </w:rPr>
        <w:t xml:space="preserve"> and</w:t>
      </w:r>
      <w:r w:rsidR="000D1A54" w:rsidRPr="005D5356">
        <w:rPr>
          <w:rFonts w:ascii="Times New Roman" w:hAnsi="Times New Roman"/>
          <w:lang w:val="en-GB"/>
        </w:rPr>
        <w:t xml:space="preserve"> a </w:t>
      </w:r>
      <w:r w:rsidR="00C9525E" w:rsidRPr="005D5356">
        <w:rPr>
          <w:rFonts w:ascii="Times New Roman" w:hAnsi="Times New Roman"/>
          <w:lang w:val="en-GB"/>
        </w:rPr>
        <w:t>PAF</w:t>
      </w:r>
      <w:r w:rsidR="000D1A54" w:rsidRPr="005D5356">
        <w:rPr>
          <w:rFonts w:ascii="Times New Roman" w:hAnsi="Times New Roman"/>
          <w:lang w:val="en-GB"/>
        </w:rPr>
        <w:t xml:space="preserve"> for passive smoking for </w:t>
      </w:r>
      <w:r w:rsidR="00884B65" w:rsidRPr="005D5356">
        <w:rPr>
          <w:rFonts w:ascii="Times New Roman" w:hAnsi="Times New Roman"/>
          <w:lang w:val="en-GB"/>
        </w:rPr>
        <w:t>stillbirths in selected countries</w:t>
      </w:r>
      <w:r w:rsidR="000D1A54" w:rsidRPr="005D5356">
        <w:rPr>
          <w:rFonts w:ascii="Times New Roman" w:hAnsi="Times New Roman"/>
          <w:lang w:val="en-GB"/>
        </w:rPr>
        <w:t xml:space="preserve">. </w:t>
      </w:r>
      <w:r w:rsidR="000D1A54" w:rsidRPr="005D5356">
        <w:rPr>
          <w:rFonts w:ascii="Times New Roman" w:hAnsi="Times New Roman"/>
        </w:rPr>
        <w:t xml:space="preserve"> </w:t>
      </w:r>
    </w:p>
    <w:p w14:paraId="57A245E0" w14:textId="77777777" w:rsidR="00716824" w:rsidRPr="005D5356" w:rsidRDefault="00716824" w:rsidP="00F07639">
      <w:pPr>
        <w:spacing w:line="480" w:lineRule="auto"/>
        <w:rPr>
          <w:rFonts w:ascii="Times New Roman" w:hAnsi="Times New Roman"/>
        </w:rPr>
      </w:pPr>
    </w:p>
    <w:p w14:paraId="075F9A44" w14:textId="77777777" w:rsidR="00A75700" w:rsidRPr="00E00ABD" w:rsidRDefault="00A75700" w:rsidP="00F07639">
      <w:pPr>
        <w:spacing w:line="480" w:lineRule="auto"/>
        <w:rPr>
          <w:rFonts w:ascii="Times New Roman" w:hAnsi="Times New Roman"/>
          <w:b/>
          <w:bCs/>
          <w:caps/>
        </w:rPr>
      </w:pPr>
      <w:r w:rsidRPr="00E00ABD">
        <w:rPr>
          <w:rFonts w:ascii="Times New Roman" w:hAnsi="Times New Roman"/>
          <w:b/>
          <w:bCs/>
          <w:caps/>
        </w:rPr>
        <w:t>Methods</w:t>
      </w:r>
      <w:r w:rsidR="00E211B3" w:rsidRPr="00E00ABD">
        <w:rPr>
          <w:rFonts w:ascii="Times New Roman" w:hAnsi="Times New Roman"/>
          <w:b/>
          <w:bCs/>
          <w:caps/>
        </w:rPr>
        <w:t xml:space="preserve"> </w:t>
      </w:r>
    </w:p>
    <w:p w14:paraId="79ADC7CA" w14:textId="429651F3" w:rsidR="00A75700" w:rsidRPr="00692E2F" w:rsidRDefault="000B698C" w:rsidP="00F07639">
      <w:pPr>
        <w:spacing w:line="480" w:lineRule="auto"/>
        <w:rPr>
          <w:rFonts w:ascii="Times New Roman" w:hAnsi="Times New Roman"/>
          <w:i/>
        </w:rPr>
      </w:pPr>
      <w:r w:rsidRPr="00692E2F">
        <w:rPr>
          <w:rFonts w:ascii="Times New Roman" w:hAnsi="Times New Roman"/>
          <w:i/>
        </w:rPr>
        <w:t>Data source</w:t>
      </w:r>
    </w:p>
    <w:p w14:paraId="1AD68D37" w14:textId="358EAF6E" w:rsidR="00D60C79" w:rsidRPr="005D5356" w:rsidRDefault="00F60B54" w:rsidP="00F07639">
      <w:pPr>
        <w:tabs>
          <w:tab w:val="left" w:pos="1985"/>
        </w:tabs>
        <w:spacing w:line="480" w:lineRule="auto"/>
        <w:rPr>
          <w:rFonts w:ascii="Times New Roman" w:hAnsi="Times New Roman"/>
        </w:rPr>
      </w:pPr>
      <w:r w:rsidRPr="005D5356">
        <w:rPr>
          <w:rFonts w:ascii="Times New Roman" w:hAnsi="Times New Roman"/>
        </w:rPr>
        <w:t>We conducted</w:t>
      </w:r>
      <w:r w:rsidR="001B77AF" w:rsidRPr="005D5356">
        <w:rPr>
          <w:rFonts w:ascii="Times New Roman" w:hAnsi="Times New Roman"/>
        </w:rPr>
        <w:t xml:space="preserve"> a secondary analysis of the most recent (phase 6)</w:t>
      </w:r>
      <w:r w:rsidR="00966023" w:rsidRPr="005D5356">
        <w:rPr>
          <w:rFonts w:ascii="Times New Roman" w:hAnsi="Times New Roman"/>
        </w:rPr>
        <w:t xml:space="preserve"> </w:t>
      </w:r>
      <w:r w:rsidR="001B77AF" w:rsidRPr="005D5356">
        <w:rPr>
          <w:rFonts w:ascii="Times New Roman" w:hAnsi="Times New Roman"/>
        </w:rPr>
        <w:t xml:space="preserve">DHS </w:t>
      </w:r>
      <w:r w:rsidR="00407B2E" w:rsidRPr="005D5356">
        <w:rPr>
          <w:rFonts w:ascii="Times New Roman" w:hAnsi="Times New Roman"/>
        </w:rPr>
        <w:t xml:space="preserve">data collected between 2008 and 2013 from all LMICs using </w:t>
      </w:r>
      <w:r w:rsidR="001B77AF" w:rsidRPr="005D5356">
        <w:rPr>
          <w:rFonts w:ascii="Times New Roman" w:hAnsi="Times New Roman"/>
        </w:rPr>
        <w:t xml:space="preserve">DHS </w:t>
      </w:r>
      <w:r w:rsidR="00407B2E" w:rsidRPr="005D5356">
        <w:rPr>
          <w:rFonts w:ascii="Times New Roman" w:hAnsi="Times New Roman"/>
        </w:rPr>
        <w:t xml:space="preserve">standard household questionnaires. </w:t>
      </w:r>
      <w:r w:rsidR="00D60C79" w:rsidRPr="005D5356">
        <w:rPr>
          <w:rFonts w:ascii="Times New Roman" w:hAnsi="Times New Roman"/>
        </w:rPr>
        <w:t>DHS are nationally representative cross-sectional household surveys that collect information on populations and their health.</w:t>
      </w:r>
      <w:r w:rsidR="0079355B" w:rsidRPr="005D5356">
        <w:rPr>
          <w:rFonts w:ascii="Times New Roman" w:hAnsi="Times New Roman"/>
        </w:rPr>
        <w:t xml:space="preserve"> </w:t>
      </w:r>
      <w:r w:rsidR="0079355B" w:rsidRPr="005D5356">
        <w:rPr>
          <w:rFonts w:ascii="Times New Roman" w:hAnsi="Times New Roman"/>
          <w:lang w:val="en-GB"/>
        </w:rPr>
        <w:t>The DHS Program is a United States Agency for International Development funded project and is implemented by ICF</w:t>
      </w:r>
      <w:r w:rsidR="0063480A" w:rsidRPr="005D5356">
        <w:rPr>
          <w:rFonts w:ascii="Times New Roman" w:hAnsi="Times New Roman"/>
          <w:lang w:val="en-GB"/>
        </w:rPr>
        <w:t xml:space="preserve"> I</w:t>
      </w:r>
      <w:r w:rsidR="0079355B" w:rsidRPr="005D5356">
        <w:rPr>
          <w:rFonts w:ascii="Times New Roman" w:hAnsi="Times New Roman"/>
          <w:lang w:val="en-GB"/>
        </w:rPr>
        <w:t>nternational.</w:t>
      </w:r>
      <w:r w:rsidR="00D60C79" w:rsidRPr="005D5356">
        <w:rPr>
          <w:rFonts w:ascii="Times New Roman" w:hAnsi="Times New Roman"/>
        </w:rPr>
        <w:t xml:space="preserve"> Surveys are conducted at five-year intervals across LMICs, using model questionnaires designed to collect comparable data</w:t>
      </w:r>
      <w:proofErr w:type="gramStart"/>
      <w:r w:rsidR="00D60C79" w:rsidRPr="005D5356">
        <w:rPr>
          <w:rFonts w:ascii="Times New Roman" w:hAnsi="Times New Roman"/>
        </w:rPr>
        <w:t>.</w:t>
      </w:r>
      <w:r w:rsidR="00E70F4A" w:rsidRPr="005D5356">
        <w:rPr>
          <w:rFonts w:ascii="Times New Roman" w:hAnsi="Times New Roman"/>
        </w:rPr>
        <w:t>[</w:t>
      </w:r>
      <w:proofErr w:type="gramEnd"/>
      <w:r w:rsidR="00E70F4A" w:rsidRPr="005D5356">
        <w:rPr>
          <w:rFonts w:ascii="Times New Roman" w:hAnsi="Times New Roman"/>
        </w:rPr>
        <w:t>1</w:t>
      </w:r>
      <w:r w:rsidR="000735F9">
        <w:rPr>
          <w:rFonts w:ascii="Times New Roman" w:hAnsi="Times New Roman"/>
        </w:rPr>
        <w:t>8</w:t>
      </w:r>
      <w:r w:rsidR="00E70F4A" w:rsidRPr="005D5356">
        <w:rPr>
          <w:rFonts w:ascii="Times New Roman" w:hAnsi="Times New Roman"/>
        </w:rPr>
        <w:t>]</w:t>
      </w:r>
      <w:r w:rsidR="00D60C79" w:rsidRPr="005D5356">
        <w:rPr>
          <w:rFonts w:ascii="Times New Roman" w:hAnsi="Times New Roman"/>
        </w:rPr>
        <w:t xml:space="preserve"> </w:t>
      </w:r>
    </w:p>
    <w:p w14:paraId="33F44222" w14:textId="77777777" w:rsidR="00D60C79" w:rsidRPr="005D5356" w:rsidRDefault="00D60C79" w:rsidP="00F07639">
      <w:pPr>
        <w:tabs>
          <w:tab w:val="left" w:pos="1553"/>
          <w:tab w:val="left" w:pos="1985"/>
        </w:tabs>
        <w:spacing w:line="480" w:lineRule="auto"/>
        <w:rPr>
          <w:rFonts w:ascii="Times New Roman" w:hAnsi="Times New Roman"/>
        </w:rPr>
      </w:pPr>
    </w:p>
    <w:p w14:paraId="3C99F34F" w14:textId="19A33058" w:rsidR="0079355B" w:rsidRPr="007B635E" w:rsidRDefault="00D60C79" w:rsidP="007B635E">
      <w:pPr>
        <w:tabs>
          <w:tab w:val="left" w:pos="1553"/>
          <w:tab w:val="left" w:pos="1985"/>
        </w:tabs>
        <w:spacing w:line="480" w:lineRule="auto"/>
        <w:rPr>
          <w:rFonts w:ascii="Times New Roman" w:hAnsi="Times New Roman"/>
        </w:rPr>
      </w:pPr>
      <w:r w:rsidRPr="005D5356">
        <w:rPr>
          <w:rFonts w:ascii="Times New Roman" w:hAnsi="Times New Roman"/>
        </w:rPr>
        <w:t>National samples are selected based on a stratified two-stage cluster design. Enumeration areas are determined and a representative sample of households is selected from each enumeration area. Eligible members of each selected household are then interviewed as appropriate using household</w:t>
      </w:r>
      <w:r w:rsidR="0053475C">
        <w:rPr>
          <w:rFonts w:ascii="Times New Roman" w:hAnsi="Times New Roman"/>
        </w:rPr>
        <w:t xml:space="preserve">, </w:t>
      </w:r>
      <w:r w:rsidRPr="005D5356">
        <w:rPr>
          <w:rFonts w:ascii="Times New Roman" w:hAnsi="Times New Roman"/>
        </w:rPr>
        <w:t xml:space="preserve">woman’s </w:t>
      </w:r>
      <w:r w:rsidR="0053475C">
        <w:rPr>
          <w:rFonts w:ascii="Times New Roman" w:hAnsi="Times New Roman"/>
        </w:rPr>
        <w:t xml:space="preserve">and man’s </w:t>
      </w:r>
      <w:r w:rsidRPr="005D5356">
        <w:rPr>
          <w:rFonts w:ascii="Times New Roman" w:hAnsi="Times New Roman"/>
        </w:rPr>
        <w:t>questionnaires as required.</w:t>
      </w:r>
      <w:r w:rsidR="00C20CB3">
        <w:rPr>
          <w:rFonts w:ascii="Times New Roman" w:hAnsi="Times New Roman"/>
        </w:rPr>
        <w:t xml:space="preserve"> </w:t>
      </w:r>
      <w:r w:rsidR="009008C4">
        <w:rPr>
          <w:rFonts w:ascii="Times New Roman" w:hAnsi="Times New Roman"/>
        </w:rPr>
        <w:t xml:space="preserve">It is assumed that the nationally representative samples of women </w:t>
      </w:r>
      <w:r w:rsidR="0056656E">
        <w:rPr>
          <w:rFonts w:ascii="Times New Roman" w:hAnsi="Times New Roman"/>
        </w:rPr>
        <w:t>are</w:t>
      </w:r>
      <w:r w:rsidR="009008C4">
        <w:rPr>
          <w:rFonts w:ascii="Times New Roman" w:hAnsi="Times New Roman"/>
        </w:rPr>
        <w:t xml:space="preserve"> also nationally representative of pregnant women. </w:t>
      </w:r>
    </w:p>
    <w:p w14:paraId="7917F92F" w14:textId="77777777" w:rsidR="007A1516" w:rsidRPr="005D5356" w:rsidRDefault="007A1516" w:rsidP="00F07639">
      <w:pPr>
        <w:tabs>
          <w:tab w:val="left" w:pos="1985"/>
        </w:tabs>
        <w:spacing w:line="480" w:lineRule="auto"/>
        <w:rPr>
          <w:rFonts w:ascii="Times New Roman" w:hAnsi="Times New Roman"/>
        </w:rPr>
      </w:pPr>
    </w:p>
    <w:p w14:paraId="27BF77F6" w14:textId="74554A50" w:rsidR="001B77AF" w:rsidRDefault="00C860FA" w:rsidP="00F07639">
      <w:pPr>
        <w:tabs>
          <w:tab w:val="left" w:pos="1985"/>
        </w:tabs>
        <w:spacing w:line="480" w:lineRule="auto"/>
        <w:rPr>
          <w:rFonts w:ascii="Times New Roman" w:hAnsi="Times New Roman"/>
          <w:lang w:val="en-GB"/>
        </w:rPr>
      </w:pPr>
      <w:r w:rsidRPr="005D5356">
        <w:rPr>
          <w:rFonts w:ascii="Times New Roman" w:hAnsi="Times New Roman"/>
          <w:lang w:val="en-GB"/>
        </w:rPr>
        <w:t xml:space="preserve">The household questionnaire is used to collect information on characteristics of the household's dwelling unit and characteristics of usual residents and visitors. It is also used to identify members of the household who are eligible for an individual interview. Eligible respondents are then interviewed using a </w:t>
      </w:r>
      <w:proofErr w:type="gramStart"/>
      <w:r w:rsidRPr="005D5356">
        <w:rPr>
          <w:rFonts w:ascii="Times New Roman" w:hAnsi="Times New Roman"/>
          <w:lang w:val="en-GB"/>
        </w:rPr>
        <w:t>woman's</w:t>
      </w:r>
      <w:proofErr w:type="gramEnd"/>
      <w:r w:rsidRPr="005D5356">
        <w:rPr>
          <w:rFonts w:ascii="Times New Roman" w:hAnsi="Times New Roman"/>
          <w:lang w:val="en-GB"/>
        </w:rPr>
        <w:t xml:space="preserve"> or man's questionnaire. </w:t>
      </w:r>
      <w:r w:rsidR="00645C1D">
        <w:rPr>
          <w:rFonts w:ascii="Times New Roman" w:hAnsi="Times New Roman"/>
          <w:lang w:val="en-GB"/>
        </w:rPr>
        <w:t>Eligibility</w:t>
      </w:r>
      <w:r w:rsidR="0053475C">
        <w:rPr>
          <w:rFonts w:ascii="Times New Roman" w:hAnsi="Times New Roman"/>
        </w:rPr>
        <w:t xml:space="preserve"> for interview </w:t>
      </w:r>
      <w:r w:rsidR="00645C1D">
        <w:rPr>
          <w:rFonts w:ascii="Times New Roman" w:hAnsi="Times New Roman"/>
        </w:rPr>
        <w:t>includes</w:t>
      </w:r>
      <w:r w:rsidR="0053475C">
        <w:rPr>
          <w:rFonts w:ascii="Times New Roman" w:hAnsi="Times New Roman"/>
        </w:rPr>
        <w:t xml:space="preserve"> </w:t>
      </w:r>
      <w:r w:rsidR="00937EE8">
        <w:rPr>
          <w:rFonts w:ascii="Times New Roman" w:hAnsi="Times New Roman"/>
        </w:rPr>
        <w:t>adults</w:t>
      </w:r>
      <w:r w:rsidR="0053475C" w:rsidRPr="007B635E">
        <w:rPr>
          <w:rFonts w:ascii="Times New Roman" w:hAnsi="Times New Roman"/>
        </w:rPr>
        <w:t xml:space="preserve"> between the ages of 15 and 49 who slept in the household the night before the survey.</w:t>
      </w:r>
      <w:r w:rsidR="0053475C">
        <w:rPr>
          <w:rFonts w:ascii="Times New Roman" w:hAnsi="Times New Roman"/>
        </w:rPr>
        <w:t xml:space="preserve"> </w:t>
      </w:r>
      <w:r w:rsidR="00100E21">
        <w:rPr>
          <w:rFonts w:ascii="Times New Roman" w:hAnsi="Times New Roman"/>
        </w:rPr>
        <w:t xml:space="preserve">All eligible participants </w:t>
      </w:r>
      <w:r w:rsidR="00553D26">
        <w:rPr>
          <w:rFonts w:ascii="Times New Roman" w:hAnsi="Times New Roman"/>
        </w:rPr>
        <w:t xml:space="preserve">from each household </w:t>
      </w:r>
      <w:r w:rsidR="00100E21">
        <w:rPr>
          <w:rFonts w:ascii="Times New Roman" w:hAnsi="Times New Roman"/>
        </w:rPr>
        <w:t xml:space="preserve">are included in the </w:t>
      </w:r>
      <w:r w:rsidR="00553D26">
        <w:rPr>
          <w:rFonts w:ascii="Times New Roman" w:hAnsi="Times New Roman"/>
        </w:rPr>
        <w:t>data coll</w:t>
      </w:r>
      <w:r w:rsidR="00A33A93">
        <w:rPr>
          <w:rFonts w:ascii="Times New Roman" w:hAnsi="Times New Roman"/>
        </w:rPr>
        <w:t>ection process for DHS program</w:t>
      </w:r>
      <w:r w:rsidR="00100E21">
        <w:rPr>
          <w:rFonts w:ascii="Times New Roman" w:hAnsi="Times New Roman"/>
        </w:rPr>
        <w:t xml:space="preserve">. </w:t>
      </w:r>
      <w:r w:rsidRPr="005D5356">
        <w:rPr>
          <w:rFonts w:ascii="Times New Roman" w:hAnsi="Times New Roman"/>
          <w:lang w:val="en-GB"/>
        </w:rPr>
        <w:t xml:space="preserve">Data </w:t>
      </w:r>
      <w:r w:rsidR="0048626B" w:rsidRPr="005D5356">
        <w:rPr>
          <w:rFonts w:ascii="Times New Roman" w:hAnsi="Times New Roman"/>
          <w:lang w:val="en-GB"/>
        </w:rPr>
        <w:t>is</w:t>
      </w:r>
      <w:r w:rsidRPr="005D5356">
        <w:rPr>
          <w:rFonts w:ascii="Times New Roman" w:hAnsi="Times New Roman"/>
          <w:lang w:val="en-GB"/>
        </w:rPr>
        <w:t xml:space="preserve"> </w:t>
      </w:r>
      <w:proofErr w:type="spellStart"/>
      <w:r w:rsidRPr="005D5356">
        <w:rPr>
          <w:rFonts w:ascii="Times New Roman" w:hAnsi="Times New Roman"/>
          <w:lang w:val="en-GB"/>
        </w:rPr>
        <w:t>anonymised</w:t>
      </w:r>
      <w:proofErr w:type="spellEnd"/>
      <w:r w:rsidRPr="005D5356">
        <w:rPr>
          <w:rFonts w:ascii="Times New Roman" w:hAnsi="Times New Roman"/>
          <w:lang w:val="en-GB"/>
        </w:rPr>
        <w:t xml:space="preserve"> at point of collection and interviews are only conducted if the participant provides informed consent. </w:t>
      </w:r>
    </w:p>
    <w:p w14:paraId="1AE9738F" w14:textId="77777777" w:rsidR="00B96790" w:rsidRPr="005D5356" w:rsidRDefault="00B96790" w:rsidP="00F07639">
      <w:pPr>
        <w:tabs>
          <w:tab w:val="left" w:pos="1985"/>
        </w:tabs>
        <w:spacing w:line="480" w:lineRule="auto"/>
        <w:rPr>
          <w:rFonts w:ascii="Times New Roman" w:hAnsi="Times New Roman"/>
          <w:lang w:val="en-GB"/>
        </w:rPr>
      </w:pPr>
    </w:p>
    <w:p w14:paraId="7769E3D1" w14:textId="1147EFD2" w:rsidR="0030029A" w:rsidRPr="00692E2F" w:rsidRDefault="00B96790" w:rsidP="00F07639">
      <w:pPr>
        <w:tabs>
          <w:tab w:val="left" w:pos="1985"/>
        </w:tabs>
        <w:spacing w:line="480" w:lineRule="auto"/>
        <w:rPr>
          <w:rFonts w:ascii="Times New Roman" w:hAnsi="Times New Roman"/>
          <w:i/>
        </w:rPr>
      </w:pPr>
      <w:r w:rsidRPr="00692E2F">
        <w:rPr>
          <w:rFonts w:ascii="Times New Roman" w:hAnsi="Times New Roman"/>
          <w:i/>
        </w:rPr>
        <w:t>Study indicators</w:t>
      </w:r>
    </w:p>
    <w:p w14:paraId="3455C5C2" w14:textId="09CA549B" w:rsidR="00D92610" w:rsidRPr="005D5356" w:rsidRDefault="00BE03D5" w:rsidP="00F07639">
      <w:pPr>
        <w:tabs>
          <w:tab w:val="left" w:pos="1985"/>
        </w:tabs>
        <w:spacing w:line="480" w:lineRule="auto"/>
        <w:rPr>
          <w:rFonts w:ascii="Times New Roman" w:hAnsi="Times New Roman"/>
          <w:lang w:val="en-GB"/>
        </w:rPr>
      </w:pPr>
      <w:r w:rsidRPr="005D5356">
        <w:rPr>
          <w:rFonts w:ascii="Times New Roman" w:hAnsi="Times New Roman"/>
          <w:lang w:val="en-GB"/>
        </w:rPr>
        <w:t xml:space="preserve">The primary outcome of this study </w:t>
      </w:r>
      <w:r w:rsidR="00A51F17">
        <w:rPr>
          <w:rFonts w:ascii="Times New Roman" w:hAnsi="Times New Roman"/>
          <w:lang w:val="en-GB"/>
        </w:rPr>
        <w:t>was</w:t>
      </w:r>
      <w:r w:rsidR="00A51F17" w:rsidRPr="005D5356">
        <w:rPr>
          <w:rFonts w:ascii="Times New Roman" w:hAnsi="Times New Roman"/>
          <w:lang w:val="en-GB"/>
        </w:rPr>
        <w:t xml:space="preserve"> </w:t>
      </w:r>
      <w:r w:rsidR="008B7564" w:rsidRPr="005D5356">
        <w:rPr>
          <w:rFonts w:ascii="Times New Roman" w:hAnsi="Times New Roman"/>
          <w:lang w:val="en-GB"/>
        </w:rPr>
        <w:t xml:space="preserve">to determine </w:t>
      </w:r>
      <w:r w:rsidRPr="005D5356">
        <w:rPr>
          <w:rFonts w:ascii="Times New Roman" w:hAnsi="Times New Roman"/>
          <w:lang w:val="en-GB"/>
        </w:rPr>
        <w:t>the prevalence of</w:t>
      </w:r>
      <w:r w:rsidR="003D7BC8">
        <w:rPr>
          <w:rFonts w:ascii="Times New Roman" w:hAnsi="Times New Roman"/>
          <w:lang w:val="en-GB"/>
        </w:rPr>
        <w:t xml:space="preserve"> </w:t>
      </w:r>
      <w:r w:rsidRPr="005D5356">
        <w:rPr>
          <w:rFonts w:ascii="Times New Roman" w:hAnsi="Times New Roman"/>
          <w:lang w:val="en-GB"/>
        </w:rPr>
        <w:t xml:space="preserve">exposure to </w:t>
      </w:r>
      <w:r w:rsidR="00AF0588">
        <w:rPr>
          <w:rFonts w:ascii="Times New Roman" w:hAnsi="Times New Roman"/>
          <w:lang w:val="en-GB"/>
        </w:rPr>
        <w:t>household</w:t>
      </w:r>
      <w:r w:rsidR="00AF0588" w:rsidRPr="005D5356">
        <w:rPr>
          <w:rFonts w:ascii="Times New Roman" w:hAnsi="Times New Roman"/>
          <w:lang w:val="en-GB"/>
        </w:rPr>
        <w:t xml:space="preserve"> </w:t>
      </w:r>
      <w:r w:rsidRPr="005D5356">
        <w:rPr>
          <w:rFonts w:ascii="Times New Roman" w:hAnsi="Times New Roman"/>
          <w:lang w:val="en-GB"/>
        </w:rPr>
        <w:t>SHS in pregnancy. Pregnancy status is self</w:t>
      </w:r>
      <w:r w:rsidR="00641887">
        <w:rPr>
          <w:rFonts w:ascii="Times New Roman" w:hAnsi="Times New Roman"/>
          <w:lang w:val="en-GB"/>
        </w:rPr>
        <w:t>-</w:t>
      </w:r>
      <w:r w:rsidRPr="005D5356">
        <w:rPr>
          <w:rFonts w:ascii="Times New Roman" w:hAnsi="Times New Roman"/>
          <w:lang w:val="en-GB"/>
        </w:rPr>
        <w:t xml:space="preserve">reported and established from question 226 from the Women’s Model </w:t>
      </w:r>
      <w:r w:rsidR="00AD6BC5" w:rsidRPr="005D5356">
        <w:rPr>
          <w:rFonts w:ascii="Times New Roman" w:hAnsi="Times New Roman"/>
          <w:lang w:val="en-GB"/>
        </w:rPr>
        <w:t>q</w:t>
      </w:r>
      <w:r w:rsidRPr="005D5356">
        <w:rPr>
          <w:rFonts w:ascii="Times New Roman" w:hAnsi="Times New Roman"/>
          <w:lang w:val="en-GB"/>
        </w:rPr>
        <w:t xml:space="preserve">uestionnaire “Are you pregnant now?” </w:t>
      </w:r>
      <w:r w:rsidR="00D83513">
        <w:rPr>
          <w:rFonts w:ascii="Times New Roman" w:hAnsi="Times New Roman"/>
          <w:lang w:val="en-GB"/>
        </w:rPr>
        <w:t xml:space="preserve">with the option of a yes or no answer. </w:t>
      </w:r>
      <w:r w:rsidRPr="005D5356">
        <w:rPr>
          <w:rFonts w:ascii="Times New Roman" w:hAnsi="Times New Roman"/>
          <w:lang w:val="en-GB"/>
        </w:rPr>
        <w:t xml:space="preserve">Prevalence and frequency of </w:t>
      </w:r>
      <w:r w:rsidR="00AF0588">
        <w:rPr>
          <w:rFonts w:ascii="Times New Roman" w:hAnsi="Times New Roman"/>
          <w:lang w:val="en-GB"/>
        </w:rPr>
        <w:t xml:space="preserve">household </w:t>
      </w:r>
      <w:r w:rsidRPr="005D5356">
        <w:rPr>
          <w:rFonts w:ascii="Times New Roman" w:hAnsi="Times New Roman"/>
          <w:lang w:val="en-GB"/>
        </w:rPr>
        <w:t xml:space="preserve">SHS </w:t>
      </w:r>
      <w:r w:rsidR="00AF0588">
        <w:rPr>
          <w:rFonts w:ascii="Times New Roman" w:hAnsi="Times New Roman"/>
          <w:lang w:val="en-GB"/>
        </w:rPr>
        <w:t xml:space="preserve">exposure </w:t>
      </w:r>
      <w:r w:rsidR="001B77AF" w:rsidRPr="005D5356">
        <w:rPr>
          <w:rFonts w:ascii="Times New Roman" w:hAnsi="Times New Roman"/>
          <w:lang w:val="en-GB"/>
        </w:rPr>
        <w:t>were</w:t>
      </w:r>
      <w:r w:rsidRPr="005D5356">
        <w:rPr>
          <w:rFonts w:ascii="Times New Roman" w:hAnsi="Times New Roman"/>
          <w:lang w:val="en-GB"/>
        </w:rPr>
        <w:t xml:space="preserve"> determined using question 101 of the DHS </w:t>
      </w:r>
      <w:r w:rsidR="00AD6BC5" w:rsidRPr="005D5356">
        <w:rPr>
          <w:rFonts w:ascii="Times New Roman" w:hAnsi="Times New Roman"/>
          <w:lang w:val="en-GB"/>
        </w:rPr>
        <w:t xml:space="preserve">Household </w:t>
      </w:r>
      <w:r w:rsidRPr="005D5356">
        <w:rPr>
          <w:rFonts w:ascii="Times New Roman" w:hAnsi="Times New Roman"/>
          <w:lang w:val="en-GB"/>
        </w:rPr>
        <w:t xml:space="preserve">Standard </w:t>
      </w:r>
      <w:r w:rsidR="00AD6BC5" w:rsidRPr="005D5356">
        <w:rPr>
          <w:rFonts w:ascii="Times New Roman" w:hAnsi="Times New Roman"/>
          <w:lang w:val="en-GB"/>
        </w:rPr>
        <w:t>q</w:t>
      </w:r>
      <w:r w:rsidRPr="005D5356">
        <w:rPr>
          <w:rFonts w:ascii="Times New Roman" w:hAnsi="Times New Roman"/>
          <w:lang w:val="en-GB"/>
        </w:rPr>
        <w:t>uestionnaire, “How often does anyone smoke inside your house? Would you say daily, weekly, monthly, less than monthly, or never?”</w:t>
      </w:r>
      <w:r w:rsidR="003717AC" w:rsidRPr="005D5356">
        <w:rPr>
          <w:rFonts w:ascii="Times New Roman" w:hAnsi="Times New Roman"/>
          <w:lang w:val="en-GB"/>
        </w:rPr>
        <w:t xml:space="preserve"> </w:t>
      </w:r>
      <w:r w:rsidR="009555EF" w:rsidRPr="005D5356">
        <w:rPr>
          <w:rFonts w:ascii="Times New Roman" w:hAnsi="Times New Roman"/>
          <w:lang w:val="en-GB"/>
        </w:rPr>
        <w:t xml:space="preserve">Active smoking </w:t>
      </w:r>
      <w:r w:rsidR="004C3CDB">
        <w:rPr>
          <w:rFonts w:ascii="Times New Roman" w:hAnsi="Times New Roman"/>
          <w:lang w:val="en-GB"/>
        </w:rPr>
        <w:t xml:space="preserve">status </w:t>
      </w:r>
      <w:r w:rsidR="009555EF" w:rsidRPr="005D5356">
        <w:rPr>
          <w:rFonts w:ascii="Times New Roman" w:hAnsi="Times New Roman"/>
          <w:lang w:val="en-GB"/>
        </w:rPr>
        <w:t xml:space="preserve">was </w:t>
      </w:r>
      <w:r w:rsidR="004C3CDB">
        <w:rPr>
          <w:rFonts w:ascii="Times New Roman" w:hAnsi="Times New Roman"/>
          <w:lang w:val="en-GB"/>
        </w:rPr>
        <w:t xml:space="preserve">self-reported and </w:t>
      </w:r>
      <w:r w:rsidR="009555EF" w:rsidRPr="005D5356">
        <w:rPr>
          <w:rFonts w:ascii="Times New Roman" w:hAnsi="Times New Roman"/>
          <w:lang w:val="en-GB"/>
        </w:rPr>
        <w:t xml:space="preserve">determined from question 1004, “Do you currently smoke cigarettes?” </w:t>
      </w:r>
      <w:r w:rsidR="006059C6">
        <w:rPr>
          <w:rFonts w:ascii="Times New Roman" w:hAnsi="Times New Roman"/>
          <w:lang w:val="en-GB"/>
        </w:rPr>
        <w:t xml:space="preserve">with the option of a yes or no answer </w:t>
      </w:r>
      <w:r w:rsidR="009555EF" w:rsidRPr="005D5356">
        <w:rPr>
          <w:rFonts w:ascii="Times New Roman" w:hAnsi="Times New Roman"/>
          <w:lang w:val="en-GB"/>
        </w:rPr>
        <w:t>and question 1007, “What (other) types of tobacco do you currently smoke or use?</w:t>
      </w:r>
      <w:r w:rsidR="000C6407" w:rsidRPr="005D5356">
        <w:rPr>
          <w:rFonts w:ascii="Times New Roman" w:hAnsi="Times New Roman"/>
          <w:lang w:val="en-GB"/>
        </w:rPr>
        <w:t>”</w:t>
      </w:r>
      <w:r w:rsidR="009555EF" w:rsidRPr="005D5356">
        <w:rPr>
          <w:rFonts w:ascii="Times New Roman" w:hAnsi="Times New Roman"/>
          <w:lang w:val="en-GB"/>
        </w:rPr>
        <w:t xml:space="preserve"> (</w:t>
      </w:r>
      <w:proofErr w:type="gramStart"/>
      <w:r w:rsidR="009555EF" w:rsidRPr="005D5356">
        <w:rPr>
          <w:rFonts w:ascii="Times New Roman" w:hAnsi="Times New Roman"/>
          <w:lang w:val="en-GB"/>
        </w:rPr>
        <w:t>pipe</w:t>
      </w:r>
      <w:proofErr w:type="gramEnd"/>
      <w:r w:rsidR="009555EF" w:rsidRPr="005D5356">
        <w:rPr>
          <w:rFonts w:ascii="Times New Roman" w:hAnsi="Times New Roman"/>
          <w:lang w:val="en-GB"/>
        </w:rPr>
        <w:t xml:space="preserve">, chewing tobacco, cigar, snuff, other country-specific). </w:t>
      </w:r>
      <w:r w:rsidR="003E7CA5">
        <w:rPr>
          <w:rFonts w:ascii="Times New Roman" w:hAnsi="Times New Roman"/>
          <w:lang w:val="en-GB"/>
        </w:rPr>
        <w:t xml:space="preserve">For this analysis, active smoking was limited to smoked tobacco </w:t>
      </w:r>
      <w:r w:rsidR="00AD233A">
        <w:rPr>
          <w:rFonts w:ascii="Times New Roman" w:hAnsi="Times New Roman"/>
          <w:lang w:val="en-GB"/>
        </w:rPr>
        <w:t>products (cigarettes, pipes, cigars, and country-specific smoked tobaccos)</w:t>
      </w:r>
      <w:r w:rsidR="003E7CA5">
        <w:rPr>
          <w:rFonts w:ascii="Times New Roman" w:hAnsi="Times New Roman"/>
          <w:lang w:val="en-GB"/>
        </w:rPr>
        <w:t xml:space="preserve">. Active smokers were excluded from </w:t>
      </w:r>
      <w:r w:rsidR="00641887">
        <w:rPr>
          <w:rFonts w:ascii="Times New Roman" w:hAnsi="Times New Roman"/>
          <w:lang w:val="en-GB"/>
        </w:rPr>
        <w:t>SHS</w:t>
      </w:r>
      <w:r w:rsidR="003E7CA5">
        <w:rPr>
          <w:rFonts w:ascii="Times New Roman" w:hAnsi="Times New Roman"/>
          <w:lang w:val="en-GB"/>
        </w:rPr>
        <w:t xml:space="preserve"> calculations. </w:t>
      </w:r>
      <w:r w:rsidR="00D92610" w:rsidRPr="005D5356">
        <w:rPr>
          <w:rFonts w:ascii="Times New Roman" w:hAnsi="Times New Roman"/>
          <w:lang w:val="en-GB"/>
        </w:rPr>
        <w:t xml:space="preserve">Age, urban residence, wealth index, </w:t>
      </w:r>
      <w:r w:rsidR="00D92610" w:rsidRPr="005D5356">
        <w:rPr>
          <w:rFonts w:ascii="Times New Roman" w:hAnsi="Times New Roman"/>
          <w:lang w:val="en-GB"/>
        </w:rPr>
        <w:lastRenderedPageBreak/>
        <w:t xml:space="preserve">occupational status and educational status </w:t>
      </w:r>
      <w:r w:rsidR="001B77AF" w:rsidRPr="005D5356">
        <w:rPr>
          <w:rFonts w:ascii="Times New Roman" w:hAnsi="Times New Roman"/>
          <w:lang w:val="en-GB"/>
        </w:rPr>
        <w:t>were</w:t>
      </w:r>
      <w:r w:rsidR="00D92610" w:rsidRPr="005D5356">
        <w:rPr>
          <w:rFonts w:ascii="Times New Roman" w:hAnsi="Times New Roman"/>
          <w:lang w:val="en-GB"/>
        </w:rPr>
        <w:t xml:space="preserve"> </w:t>
      </w:r>
      <w:r w:rsidR="00884B65" w:rsidRPr="005D5356">
        <w:rPr>
          <w:rFonts w:ascii="Times New Roman" w:hAnsi="Times New Roman"/>
          <w:lang w:val="en-GB"/>
        </w:rPr>
        <w:t xml:space="preserve">also </w:t>
      </w:r>
      <w:r w:rsidR="00D92610" w:rsidRPr="005D5356">
        <w:rPr>
          <w:rFonts w:ascii="Times New Roman" w:hAnsi="Times New Roman"/>
          <w:lang w:val="en-GB"/>
        </w:rPr>
        <w:t xml:space="preserve">extracted from the data set for all pregnant women </w:t>
      </w:r>
      <w:r w:rsidR="00884B65" w:rsidRPr="005D5356">
        <w:rPr>
          <w:rFonts w:ascii="Times New Roman" w:hAnsi="Times New Roman"/>
          <w:lang w:val="en-GB"/>
        </w:rPr>
        <w:t xml:space="preserve">for </w:t>
      </w:r>
      <w:r w:rsidR="00D92610" w:rsidRPr="005D5356">
        <w:rPr>
          <w:rFonts w:ascii="Times New Roman" w:hAnsi="Times New Roman"/>
          <w:lang w:val="en-GB"/>
        </w:rPr>
        <w:t>each country. This provide</w:t>
      </w:r>
      <w:r w:rsidR="001B77AF" w:rsidRPr="005D5356">
        <w:rPr>
          <w:rFonts w:ascii="Times New Roman" w:hAnsi="Times New Roman"/>
          <w:lang w:val="en-GB"/>
        </w:rPr>
        <w:t>d</w:t>
      </w:r>
      <w:r w:rsidR="00D92610" w:rsidRPr="005D5356">
        <w:rPr>
          <w:rFonts w:ascii="Times New Roman" w:hAnsi="Times New Roman"/>
          <w:lang w:val="en-GB"/>
        </w:rPr>
        <w:t xml:space="preserve"> a comparison between pregnant women who are exposed to </w:t>
      </w:r>
      <w:r w:rsidR="00AF0588">
        <w:rPr>
          <w:rFonts w:ascii="Times New Roman" w:hAnsi="Times New Roman"/>
          <w:lang w:val="en-GB"/>
        </w:rPr>
        <w:t xml:space="preserve">household </w:t>
      </w:r>
      <w:r w:rsidR="00D92610" w:rsidRPr="005D5356">
        <w:rPr>
          <w:rFonts w:ascii="Times New Roman" w:hAnsi="Times New Roman"/>
          <w:lang w:val="en-GB"/>
        </w:rPr>
        <w:t xml:space="preserve">SHS </w:t>
      </w:r>
      <w:r w:rsidR="00792F4A" w:rsidRPr="005D5356">
        <w:rPr>
          <w:rFonts w:ascii="Times New Roman" w:hAnsi="Times New Roman"/>
          <w:lang w:val="en-GB"/>
        </w:rPr>
        <w:t>versus</w:t>
      </w:r>
      <w:r w:rsidR="00D92610" w:rsidRPr="005D5356">
        <w:rPr>
          <w:rFonts w:ascii="Times New Roman" w:hAnsi="Times New Roman"/>
          <w:lang w:val="en-GB"/>
        </w:rPr>
        <w:t xml:space="preserve"> those who are not exposed and those who smoke</w:t>
      </w:r>
      <w:r w:rsidR="001B77AF" w:rsidRPr="005D5356">
        <w:rPr>
          <w:rFonts w:ascii="Times New Roman" w:hAnsi="Times New Roman"/>
          <w:lang w:val="en-GB"/>
        </w:rPr>
        <w:t>d</w:t>
      </w:r>
      <w:r w:rsidR="00D92610" w:rsidRPr="005D5356">
        <w:rPr>
          <w:rFonts w:ascii="Times New Roman" w:hAnsi="Times New Roman"/>
          <w:lang w:val="en-GB"/>
        </w:rPr>
        <w:t xml:space="preserve"> first</w:t>
      </w:r>
      <w:r w:rsidR="00641887">
        <w:rPr>
          <w:rFonts w:ascii="Times New Roman" w:hAnsi="Times New Roman"/>
          <w:lang w:val="en-GB"/>
        </w:rPr>
        <w:t>-</w:t>
      </w:r>
      <w:r w:rsidR="00D92610" w:rsidRPr="005D5356">
        <w:rPr>
          <w:rFonts w:ascii="Times New Roman" w:hAnsi="Times New Roman"/>
          <w:lang w:val="en-GB"/>
        </w:rPr>
        <w:t xml:space="preserve">hand. </w:t>
      </w:r>
    </w:p>
    <w:p w14:paraId="59906EA1" w14:textId="77777777" w:rsidR="00BE03D5" w:rsidRPr="005D5356" w:rsidRDefault="00BE03D5" w:rsidP="00F07639">
      <w:pPr>
        <w:tabs>
          <w:tab w:val="left" w:pos="1985"/>
        </w:tabs>
        <w:spacing w:line="480" w:lineRule="auto"/>
        <w:rPr>
          <w:rFonts w:ascii="Times New Roman" w:hAnsi="Times New Roman"/>
        </w:rPr>
      </w:pPr>
    </w:p>
    <w:p w14:paraId="14F0F773" w14:textId="4A9BC937" w:rsidR="001B77AF" w:rsidRDefault="001B77AF" w:rsidP="00F07639">
      <w:pPr>
        <w:tabs>
          <w:tab w:val="left" w:pos="1985"/>
        </w:tabs>
        <w:spacing w:line="480" w:lineRule="auto"/>
        <w:rPr>
          <w:rFonts w:ascii="Times New Roman" w:hAnsi="Times New Roman"/>
        </w:rPr>
      </w:pPr>
      <w:r w:rsidRPr="005D5356">
        <w:rPr>
          <w:rFonts w:ascii="Times New Roman" w:hAnsi="Times New Roman"/>
          <w:lang w:val="en-GB"/>
        </w:rPr>
        <w:t xml:space="preserve">For the purpose of this analysis, </w:t>
      </w:r>
      <w:r w:rsidR="0070721E" w:rsidRPr="005D5356">
        <w:rPr>
          <w:rFonts w:ascii="Times New Roman" w:hAnsi="Times New Roman"/>
          <w:lang w:val="en-GB"/>
        </w:rPr>
        <w:t>relevant</w:t>
      </w:r>
      <w:r w:rsidRPr="005D5356">
        <w:rPr>
          <w:rFonts w:ascii="Times New Roman" w:hAnsi="Times New Roman"/>
          <w:lang w:val="en-GB"/>
        </w:rPr>
        <w:t xml:space="preserve"> variables </w:t>
      </w:r>
      <w:r w:rsidR="00A2597F" w:rsidRPr="005D5356">
        <w:rPr>
          <w:rFonts w:ascii="Times New Roman" w:hAnsi="Times New Roman"/>
          <w:lang w:val="en-GB"/>
        </w:rPr>
        <w:t xml:space="preserve">(Table 1) </w:t>
      </w:r>
      <w:r w:rsidRPr="005D5356">
        <w:rPr>
          <w:rFonts w:ascii="Times New Roman" w:hAnsi="Times New Roman"/>
          <w:lang w:val="en-GB"/>
        </w:rPr>
        <w:t xml:space="preserve">from </w:t>
      </w:r>
      <w:r w:rsidR="00E3040F" w:rsidRPr="005D5356">
        <w:rPr>
          <w:rFonts w:ascii="Times New Roman" w:hAnsi="Times New Roman"/>
          <w:lang w:val="en-GB"/>
        </w:rPr>
        <w:t>the Women</w:t>
      </w:r>
      <w:r w:rsidR="005C4509" w:rsidRPr="005D5356">
        <w:rPr>
          <w:rFonts w:ascii="Times New Roman" w:hAnsi="Times New Roman"/>
          <w:lang w:val="en-GB"/>
        </w:rPr>
        <w:t>’s</w:t>
      </w:r>
      <w:r w:rsidR="00E3040F" w:rsidRPr="005D5356">
        <w:rPr>
          <w:rFonts w:ascii="Times New Roman" w:hAnsi="Times New Roman"/>
          <w:lang w:val="en-GB"/>
        </w:rPr>
        <w:t xml:space="preserve"> Model and the Household</w:t>
      </w:r>
      <w:r w:rsidR="00AD6BC5" w:rsidRPr="005D5356">
        <w:rPr>
          <w:rFonts w:ascii="Times New Roman" w:hAnsi="Times New Roman"/>
          <w:lang w:val="en-GB"/>
        </w:rPr>
        <w:t xml:space="preserve"> Standard</w:t>
      </w:r>
      <w:r w:rsidR="00E3040F" w:rsidRPr="005D5356">
        <w:rPr>
          <w:rFonts w:ascii="Times New Roman" w:hAnsi="Times New Roman"/>
          <w:lang w:val="en-GB"/>
        </w:rPr>
        <w:t xml:space="preserve"> </w:t>
      </w:r>
      <w:r w:rsidR="00AD6BC5" w:rsidRPr="005D5356">
        <w:rPr>
          <w:rFonts w:ascii="Times New Roman" w:hAnsi="Times New Roman"/>
          <w:lang w:val="en-GB"/>
        </w:rPr>
        <w:t>q</w:t>
      </w:r>
      <w:r w:rsidRPr="005D5356">
        <w:rPr>
          <w:rFonts w:ascii="Times New Roman" w:hAnsi="Times New Roman"/>
          <w:lang w:val="en-GB"/>
        </w:rPr>
        <w:t>uestionnaire</w:t>
      </w:r>
      <w:r w:rsidR="00AD6BC5" w:rsidRPr="005D5356">
        <w:rPr>
          <w:rFonts w:ascii="Times New Roman" w:hAnsi="Times New Roman"/>
          <w:lang w:val="en-GB"/>
        </w:rPr>
        <w:t>s</w:t>
      </w:r>
      <w:r w:rsidRPr="005D5356">
        <w:rPr>
          <w:rFonts w:ascii="Times New Roman" w:hAnsi="Times New Roman"/>
          <w:lang w:val="en-GB"/>
        </w:rPr>
        <w:t xml:space="preserve"> were merged </w:t>
      </w:r>
      <w:r w:rsidR="00884B65" w:rsidRPr="005D5356">
        <w:rPr>
          <w:rFonts w:ascii="Times New Roman" w:hAnsi="Times New Roman"/>
          <w:lang w:val="en-GB"/>
        </w:rPr>
        <w:t>together</w:t>
      </w:r>
      <w:r w:rsidRPr="005D5356">
        <w:rPr>
          <w:rFonts w:ascii="Times New Roman" w:hAnsi="Times New Roman"/>
          <w:lang w:val="en-GB"/>
        </w:rPr>
        <w:t xml:space="preserve">. </w:t>
      </w:r>
      <w:r w:rsidRPr="005D5356">
        <w:rPr>
          <w:rFonts w:ascii="Times New Roman" w:hAnsi="Times New Roman"/>
        </w:rPr>
        <w:t>Countries with an insufficient response rate (&lt;80%) to question 101 were excluded from analysis</w:t>
      </w:r>
      <w:r w:rsidR="00D84BB0" w:rsidRPr="005D5356">
        <w:rPr>
          <w:rFonts w:ascii="Times New Roman" w:hAnsi="Times New Roman"/>
        </w:rPr>
        <w:t xml:space="preserve"> to </w:t>
      </w:r>
      <w:r w:rsidR="00BC0129" w:rsidRPr="005D5356">
        <w:rPr>
          <w:rFonts w:ascii="Times New Roman" w:hAnsi="Times New Roman"/>
        </w:rPr>
        <w:t>avoid imputations for the missing data</w:t>
      </w:r>
      <w:r w:rsidRPr="005D5356">
        <w:rPr>
          <w:rFonts w:ascii="Times New Roman" w:hAnsi="Times New Roman"/>
        </w:rPr>
        <w:t xml:space="preserve">. </w:t>
      </w:r>
      <w:r w:rsidR="009F3E64" w:rsidRPr="009F3E64">
        <w:rPr>
          <w:rFonts w:ascii="Arial" w:eastAsia="Times New Roman" w:hAnsi="Arial" w:cs="Arial"/>
          <w:color w:val="222222"/>
          <w:sz w:val="19"/>
          <w:szCs w:val="19"/>
          <w:shd w:val="clear" w:color="auto" w:fill="FFFFFF"/>
          <w:lang w:val="en-GB"/>
        </w:rPr>
        <w:t xml:space="preserve"> </w:t>
      </w:r>
      <w:r w:rsidR="009F3E64" w:rsidRPr="009F3E64">
        <w:rPr>
          <w:rFonts w:ascii="Times New Roman" w:hAnsi="Times New Roman"/>
          <w:lang w:val="en-GB"/>
        </w:rPr>
        <w:t xml:space="preserve">Comparison of prevalence estimates between complete case and imputed datasets </w:t>
      </w:r>
      <w:r w:rsidR="00F578DB">
        <w:rPr>
          <w:rFonts w:ascii="Times New Roman" w:hAnsi="Times New Roman"/>
          <w:lang w:val="en-GB"/>
        </w:rPr>
        <w:t>are</w:t>
      </w:r>
      <w:r w:rsidR="009F3E64" w:rsidRPr="009F3E64">
        <w:rPr>
          <w:rFonts w:ascii="Times New Roman" w:hAnsi="Times New Roman"/>
          <w:lang w:val="en-GB"/>
        </w:rPr>
        <w:t xml:space="preserve"> </w:t>
      </w:r>
      <w:r w:rsidR="009F3E64">
        <w:rPr>
          <w:rFonts w:ascii="Times New Roman" w:hAnsi="Times New Roman"/>
          <w:lang w:val="en-GB"/>
        </w:rPr>
        <w:t>described</w:t>
      </w:r>
      <w:r w:rsidR="009F3E64" w:rsidRPr="009F3E64">
        <w:rPr>
          <w:rFonts w:ascii="Times New Roman" w:hAnsi="Times New Roman"/>
          <w:lang w:val="en-GB"/>
        </w:rPr>
        <w:t>.</w:t>
      </w:r>
      <w:r w:rsidR="009F3E64">
        <w:rPr>
          <w:rFonts w:ascii="Times New Roman" w:hAnsi="Times New Roman"/>
          <w:lang w:val="en-GB"/>
        </w:rPr>
        <w:t xml:space="preserve"> </w:t>
      </w:r>
      <w:r w:rsidR="009555EF" w:rsidRPr="005D5356">
        <w:rPr>
          <w:rFonts w:ascii="Times New Roman" w:hAnsi="Times New Roman"/>
        </w:rPr>
        <w:t>The 30 individual country databases were then merged into a single data</w:t>
      </w:r>
      <w:r w:rsidR="006518B2" w:rsidRPr="005D5356">
        <w:rPr>
          <w:rFonts w:ascii="Times New Roman" w:hAnsi="Times New Roman"/>
        </w:rPr>
        <w:t>base for analysis.</w:t>
      </w:r>
    </w:p>
    <w:p w14:paraId="703D943E" w14:textId="77777777" w:rsidR="00D51EB6" w:rsidRPr="005D5356" w:rsidRDefault="00D51EB6" w:rsidP="00F07639">
      <w:pPr>
        <w:tabs>
          <w:tab w:val="left" w:pos="1985"/>
        </w:tabs>
        <w:spacing w:line="480" w:lineRule="auto"/>
        <w:rPr>
          <w:rFonts w:ascii="Times New Roman" w:hAnsi="Times New Roman"/>
        </w:rPr>
      </w:pPr>
    </w:p>
    <w:tbl>
      <w:tblPr>
        <w:tblStyle w:val="LightShading-Accent3"/>
        <w:tblW w:w="9180" w:type="dxa"/>
        <w:tblLook w:val="04A0" w:firstRow="1" w:lastRow="0" w:firstColumn="1" w:lastColumn="0" w:noHBand="0" w:noVBand="1"/>
      </w:tblPr>
      <w:tblGrid>
        <w:gridCol w:w="3510"/>
        <w:gridCol w:w="5670"/>
      </w:tblGrid>
      <w:tr w:rsidR="00D51EB6" w:rsidRPr="007049AF" w14:paraId="58001E12" w14:textId="77777777" w:rsidTr="00692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bottom w:val="single" w:sz="4" w:space="0" w:color="000000"/>
            </w:tcBorders>
            <w:vAlign w:val="center"/>
          </w:tcPr>
          <w:p w14:paraId="423E44BF" w14:textId="77777777" w:rsidR="00D51EB6" w:rsidRPr="00692E2F" w:rsidRDefault="00D51EB6" w:rsidP="00692E2F">
            <w:pPr>
              <w:tabs>
                <w:tab w:val="left" w:pos="1985"/>
              </w:tabs>
              <w:spacing w:before="120" w:line="480" w:lineRule="auto"/>
              <w:rPr>
                <w:rFonts w:ascii="Times New Roman" w:hAnsi="Times New Roman"/>
                <w:color w:val="000000" w:themeColor="text1"/>
              </w:rPr>
            </w:pPr>
            <w:r w:rsidRPr="00692E2F">
              <w:rPr>
                <w:rFonts w:ascii="Times New Roman" w:hAnsi="Times New Roman"/>
                <w:color w:val="000000" w:themeColor="text1"/>
              </w:rPr>
              <w:t>Variables</w:t>
            </w:r>
          </w:p>
        </w:tc>
        <w:tc>
          <w:tcPr>
            <w:tcW w:w="0" w:type="dxa"/>
            <w:tcBorders>
              <w:top w:val="single" w:sz="4" w:space="0" w:color="000000"/>
              <w:bottom w:val="single" w:sz="4" w:space="0" w:color="000000"/>
            </w:tcBorders>
          </w:tcPr>
          <w:p w14:paraId="69E02BE0" w14:textId="77777777" w:rsidR="00D51EB6" w:rsidRPr="00692E2F" w:rsidRDefault="00D51EB6" w:rsidP="00692E2F">
            <w:pPr>
              <w:keepNext/>
              <w:keepLines/>
              <w:tabs>
                <w:tab w:val="left" w:pos="1985"/>
              </w:tabs>
              <w:spacing w:before="120" w:line="480" w:lineRule="auto"/>
              <w:outlineLvl w:val="7"/>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Definition</w:t>
            </w:r>
          </w:p>
        </w:tc>
      </w:tr>
      <w:tr w:rsidR="00D51EB6" w:rsidRPr="007049AF" w14:paraId="7F7C6C67" w14:textId="77777777" w:rsidTr="00692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bottom w:val="single" w:sz="4" w:space="0" w:color="000000"/>
            </w:tcBorders>
            <w:vAlign w:val="center"/>
          </w:tcPr>
          <w:p w14:paraId="178E6F62" w14:textId="77777777" w:rsidR="00D51EB6" w:rsidRPr="00692E2F" w:rsidRDefault="00D51EB6">
            <w:pPr>
              <w:keepNext/>
              <w:keepLines/>
              <w:tabs>
                <w:tab w:val="left" w:pos="1985"/>
              </w:tabs>
              <w:spacing w:before="200" w:line="480" w:lineRule="auto"/>
              <w:outlineLvl w:val="7"/>
              <w:rPr>
                <w:rFonts w:ascii="Times New Roman" w:hAnsi="Times New Roman"/>
                <w:color w:val="000000" w:themeColor="text1"/>
              </w:rPr>
            </w:pPr>
            <w:r w:rsidRPr="00692E2F">
              <w:rPr>
                <w:rFonts w:ascii="Times New Roman" w:hAnsi="Times New Roman"/>
                <w:color w:val="000000" w:themeColor="text1"/>
              </w:rPr>
              <w:t>Household Questionnaire</w:t>
            </w:r>
          </w:p>
        </w:tc>
        <w:tc>
          <w:tcPr>
            <w:tcW w:w="0" w:type="dxa"/>
            <w:tcBorders>
              <w:top w:val="single" w:sz="4" w:space="0" w:color="000000"/>
              <w:bottom w:val="single" w:sz="4" w:space="0" w:color="000000"/>
            </w:tcBorders>
            <w:vAlign w:val="center"/>
          </w:tcPr>
          <w:p w14:paraId="4E53CA15" w14:textId="77777777" w:rsidR="00D51EB6" w:rsidRPr="00692E2F" w:rsidRDefault="00D51EB6">
            <w:pPr>
              <w:tabs>
                <w:tab w:val="left" w:pos="1985"/>
              </w:tabs>
              <w:spacing w:line="480"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rPr>
            </w:pPr>
          </w:p>
        </w:tc>
      </w:tr>
      <w:tr w:rsidR="00D51EB6" w:rsidRPr="007049AF" w14:paraId="32D1FD8B" w14:textId="77777777" w:rsidTr="00692E2F">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cBorders>
          </w:tcPr>
          <w:p w14:paraId="37231021" w14:textId="575343C5"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Number of household members</w:t>
            </w:r>
          </w:p>
        </w:tc>
        <w:tc>
          <w:tcPr>
            <w:tcW w:w="0" w:type="dxa"/>
            <w:tcBorders>
              <w:top w:val="single" w:sz="4" w:space="0" w:color="000000"/>
            </w:tcBorders>
          </w:tcPr>
          <w:p w14:paraId="572EA08C" w14:textId="77777777" w:rsidR="00D51EB6" w:rsidRPr="00692E2F" w:rsidRDefault="00D51EB6">
            <w:pPr>
              <w:keepNext/>
              <w:keepLines/>
              <w:tabs>
                <w:tab w:val="left" w:pos="1985"/>
              </w:tabs>
              <w:spacing w:before="200" w:line="480" w:lineRule="auto"/>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Discrete count of total individuals living in household.</w:t>
            </w:r>
          </w:p>
        </w:tc>
      </w:tr>
      <w:tr w:rsidR="00D51EB6" w:rsidRPr="007049AF" w14:paraId="5D345F60" w14:textId="77777777" w:rsidTr="00D51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357A384" w14:textId="6BC28F2C"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Total adults measured</w:t>
            </w:r>
          </w:p>
        </w:tc>
        <w:tc>
          <w:tcPr>
            <w:tcW w:w="5670" w:type="dxa"/>
          </w:tcPr>
          <w:p w14:paraId="7428D305" w14:textId="77777777" w:rsidR="00D51EB6" w:rsidRPr="00692E2F" w:rsidRDefault="00D51EB6">
            <w:pPr>
              <w:keepNext/>
              <w:keepLines/>
              <w:tabs>
                <w:tab w:val="left" w:pos="1985"/>
              </w:tabs>
              <w:spacing w:before="200" w:line="480" w:lineRule="auto"/>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Discrete count of total adults living in household</w:t>
            </w:r>
          </w:p>
        </w:tc>
      </w:tr>
      <w:tr w:rsidR="00D51EB6" w:rsidRPr="007049AF" w14:paraId="07E5ED59" w14:textId="77777777" w:rsidTr="00D51EB6">
        <w:tc>
          <w:tcPr>
            <w:cnfStyle w:val="001000000000" w:firstRow="0" w:lastRow="0" w:firstColumn="1" w:lastColumn="0" w:oddVBand="0" w:evenVBand="0" w:oddHBand="0" w:evenHBand="0" w:firstRowFirstColumn="0" w:firstRowLastColumn="0" w:lastRowFirstColumn="0" w:lastRowLastColumn="0"/>
            <w:tcW w:w="3510" w:type="dxa"/>
          </w:tcPr>
          <w:p w14:paraId="3D3BC9C1"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Type of place of residence</w:t>
            </w:r>
          </w:p>
          <w:p w14:paraId="39B7CFD3" w14:textId="77777777" w:rsidR="00D51EB6" w:rsidRPr="00692E2F" w:rsidRDefault="00D51EB6" w:rsidP="00692E2F">
            <w:pPr>
              <w:spacing w:line="480" w:lineRule="auto"/>
              <w:rPr>
                <w:rFonts w:ascii="Times New Roman" w:hAnsi="Times New Roman"/>
                <w:b w:val="0"/>
                <w:bCs w:val="0"/>
                <w:color w:val="000000" w:themeColor="text1"/>
              </w:rPr>
            </w:pPr>
          </w:p>
        </w:tc>
        <w:tc>
          <w:tcPr>
            <w:tcW w:w="5670" w:type="dxa"/>
          </w:tcPr>
          <w:p w14:paraId="5BAC9BE8" w14:textId="77777777" w:rsidR="00D51EB6" w:rsidRPr="00692E2F" w:rsidRDefault="00D51EB6">
            <w:pPr>
              <w:keepNext/>
              <w:keepLines/>
              <w:tabs>
                <w:tab w:val="left" w:pos="1985"/>
              </w:tabs>
              <w:spacing w:before="200" w:line="480" w:lineRule="auto"/>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 xml:space="preserve">Type of place of residence where the household resides as either urban or rural. </w:t>
            </w:r>
          </w:p>
        </w:tc>
      </w:tr>
      <w:tr w:rsidR="00D51EB6" w:rsidRPr="007049AF" w14:paraId="6AA0076C" w14:textId="77777777" w:rsidTr="00D51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ACF2F8C"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Wealth index</w:t>
            </w:r>
          </w:p>
          <w:p w14:paraId="195FDAE3" w14:textId="77777777" w:rsidR="00D51EB6" w:rsidRPr="00692E2F" w:rsidRDefault="00D51EB6" w:rsidP="00692E2F">
            <w:pPr>
              <w:spacing w:line="480" w:lineRule="auto"/>
              <w:rPr>
                <w:rFonts w:ascii="Times New Roman" w:hAnsi="Times New Roman"/>
                <w:b w:val="0"/>
                <w:bCs w:val="0"/>
                <w:color w:val="000000" w:themeColor="text1"/>
              </w:rPr>
            </w:pPr>
          </w:p>
        </w:tc>
        <w:tc>
          <w:tcPr>
            <w:tcW w:w="5670" w:type="dxa"/>
          </w:tcPr>
          <w:p w14:paraId="44B4E41D" w14:textId="484B7B95" w:rsidR="00D51EB6" w:rsidRPr="00692E2F" w:rsidRDefault="00D51EB6">
            <w:pPr>
              <w:keepNext/>
              <w:keepLines/>
              <w:tabs>
                <w:tab w:val="left" w:pos="1985"/>
              </w:tabs>
              <w:spacing w:before="200" w:line="480" w:lineRule="auto"/>
              <w:outlineLvl w:val="7"/>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 xml:space="preserve">The wealth index is a composite measure of a household's cumulative living standard. The wealth index is calculated </w:t>
            </w:r>
            <w:r w:rsidR="00E95A7A" w:rsidRPr="00692E2F">
              <w:rPr>
                <w:rFonts w:ascii="Times New Roman" w:hAnsi="Times New Roman"/>
                <w:color w:val="000000" w:themeColor="text1"/>
              </w:rPr>
              <w:t xml:space="preserve">by DHS </w:t>
            </w:r>
            <w:r w:rsidRPr="00692E2F">
              <w:rPr>
                <w:rFonts w:ascii="Times New Roman" w:hAnsi="Times New Roman"/>
                <w:color w:val="000000" w:themeColor="text1"/>
              </w:rPr>
              <w:t xml:space="preserve">using household’s ownership of selected assets, such as televisions and bicycles; materials used for housing construction; and </w:t>
            </w:r>
            <w:r w:rsidRPr="00692E2F">
              <w:rPr>
                <w:rFonts w:ascii="Times New Roman" w:hAnsi="Times New Roman"/>
                <w:color w:val="000000" w:themeColor="text1"/>
              </w:rPr>
              <w:lastRenderedPageBreak/>
              <w:t xml:space="preserve">types of water access and sanitation facilities.  Generated with a statistical procedure known as principal components analysis, the wealth index places individual households on a continuous scale of relative wealth. DHS separates all interviewed households into five wealth quintiles to compare the influence of wealth on various population, health and nutrition indicators (1 being the poorest group, 5 the richest). </w:t>
            </w:r>
          </w:p>
        </w:tc>
      </w:tr>
      <w:tr w:rsidR="00D51EB6" w:rsidRPr="007049AF" w14:paraId="6855EA3D" w14:textId="77777777" w:rsidTr="00D51EB6">
        <w:tc>
          <w:tcPr>
            <w:cnfStyle w:val="001000000000" w:firstRow="0" w:lastRow="0" w:firstColumn="1" w:lastColumn="0" w:oddVBand="0" w:evenVBand="0" w:oddHBand="0" w:evenHBand="0" w:firstRowFirstColumn="0" w:firstRowLastColumn="0" w:lastRowFirstColumn="0" w:lastRowLastColumn="0"/>
            <w:tcW w:w="3510" w:type="dxa"/>
          </w:tcPr>
          <w:p w14:paraId="5BA838B7" w14:textId="03AC7700"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lastRenderedPageBreak/>
              <w:t>Number of rooms used for sleeping</w:t>
            </w:r>
          </w:p>
        </w:tc>
        <w:tc>
          <w:tcPr>
            <w:tcW w:w="5670" w:type="dxa"/>
          </w:tcPr>
          <w:p w14:paraId="5F94BE50" w14:textId="77777777" w:rsidR="00D51EB6" w:rsidRPr="00692E2F" w:rsidRDefault="00D51EB6">
            <w:pPr>
              <w:keepNext/>
              <w:keepLines/>
              <w:tabs>
                <w:tab w:val="left" w:pos="1985"/>
              </w:tabs>
              <w:spacing w:before="200" w:line="480" w:lineRule="auto"/>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Discrete count of total number of rooms used for sleeping in the household.</w:t>
            </w:r>
          </w:p>
        </w:tc>
      </w:tr>
      <w:tr w:rsidR="00D51EB6" w:rsidRPr="007049AF" w14:paraId="2E8457F8" w14:textId="77777777" w:rsidTr="00D51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5A429C9" w14:textId="477E6453"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Land used for agriculture</w:t>
            </w:r>
          </w:p>
        </w:tc>
        <w:tc>
          <w:tcPr>
            <w:tcW w:w="5670" w:type="dxa"/>
          </w:tcPr>
          <w:p w14:paraId="25E3C835" w14:textId="77777777" w:rsidR="00D51EB6" w:rsidRPr="00692E2F" w:rsidRDefault="00D51EB6">
            <w:pPr>
              <w:keepNext/>
              <w:keepLines/>
              <w:tabs>
                <w:tab w:val="left" w:pos="1985"/>
              </w:tabs>
              <w:spacing w:before="200" w:line="480" w:lineRule="auto"/>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Own land usable for agriculture.</w:t>
            </w:r>
          </w:p>
        </w:tc>
      </w:tr>
      <w:tr w:rsidR="00D51EB6" w:rsidRPr="007049AF" w14:paraId="345461B7" w14:textId="77777777" w:rsidTr="00D51EB6">
        <w:tc>
          <w:tcPr>
            <w:cnfStyle w:val="001000000000" w:firstRow="0" w:lastRow="0" w:firstColumn="1" w:lastColumn="0" w:oddVBand="0" w:evenVBand="0" w:oddHBand="0" w:evenHBand="0" w:firstRowFirstColumn="0" w:firstRowLastColumn="0" w:lastRowFirstColumn="0" w:lastRowLastColumn="0"/>
            <w:tcW w:w="3510" w:type="dxa"/>
          </w:tcPr>
          <w:p w14:paraId="262FA035"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Place food cooked</w:t>
            </w:r>
          </w:p>
          <w:p w14:paraId="0C21E64D" w14:textId="77777777" w:rsidR="00D51EB6" w:rsidRPr="00692E2F" w:rsidRDefault="00D51EB6" w:rsidP="00692E2F">
            <w:pPr>
              <w:spacing w:line="480" w:lineRule="auto"/>
              <w:rPr>
                <w:rFonts w:ascii="Times New Roman" w:hAnsi="Times New Roman"/>
                <w:b w:val="0"/>
                <w:bCs w:val="0"/>
                <w:color w:val="000000" w:themeColor="text1"/>
              </w:rPr>
            </w:pPr>
          </w:p>
        </w:tc>
        <w:tc>
          <w:tcPr>
            <w:tcW w:w="5670" w:type="dxa"/>
          </w:tcPr>
          <w:p w14:paraId="0B8CD1AC" w14:textId="77777777" w:rsidR="00D51EB6" w:rsidRPr="00692E2F" w:rsidRDefault="00D51EB6" w:rsidP="00692E2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Food cooked in the house, in separate building, or outdoors.</w:t>
            </w:r>
          </w:p>
        </w:tc>
      </w:tr>
      <w:tr w:rsidR="00D51EB6" w:rsidRPr="007049AF" w14:paraId="686E73B4" w14:textId="77777777" w:rsidTr="00D51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4660DAD" w14:textId="2B5A2804"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Household has a separate room used as a kitchen</w:t>
            </w:r>
          </w:p>
        </w:tc>
        <w:tc>
          <w:tcPr>
            <w:tcW w:w="5670" w:type="dxa"/>
          </w:tcPr>
          <w:p w14:paraId="4A278036" w14:textId="77777777" w:rsidR="00D51EB6" w:rsidRPr="00692E2F" w:rsidRDefault="00D51EB6">
            <w:pPr>
              <w:keepNext/>
              <w:keepLines/>
              <w:tabs>
                <w:tab w:val="left" w:pos="1985"/>
              </w:tabs>
              <w:spacing w:before="200" w:line="480" w:lineRule="auto"/>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Whether household has a separate room that is used as a kitchen.</w:t>
            </w:r>
          </w:p>
        </w:tc>
      </w:tr>
      <w:tr w:rsidR="00D51EB6" w:rsidRPr="007049AF" w14:paraId="7A211F28" w14:textId="77777777" w:rsidTr="00D51EB6">
        <w:tc>
          <w:tcPr>
            <w:cnfStyle w:val="001000000000" w:firstRow="0" w:lastRow="0" w:firstColumn="1" w:lastColumn="0" w:oddVBand="0" w:evenVBand="0" w:oddHBand="0" w:evenHBand="0" w:firstRowFirstColumn="0" w:firstRowLastColumn="0" w:lastRowFirstColumn="0" w:lastRowLastColumn="0"/>
            <w:tcW w:w="3510" w:type="dxa"/>
          </w:tcPr>
          <w:p w14:paraId="39DA6B75" w14:textId="56ED2F65"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Food cooked on stove or open fire</w:t>
            </w:r>
          </w:p>
        </w:tc>
        <w:tc>
          <w:tcPr>
            <w:tcW w:w="5670" w:type="dxa"/>
          </w:tcPr>
          <w:p w14:paraId="0B59410C" w14:textId="77777777" w:rsidR="00D51EB6" w:rsidRPr="00692E2F" w:rsidRDefault="00D51EB6">
            <w:pPr>
              <w:keepNext/>
              <w:keepLines/>
              <w:tabs>
                <w:tab w:val="left" w:pos="1985"/>
              </w:tabs>
              <w:spacing w:before="200" w:line="480" w:lineRule="auto"/>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Food cooked on stove or open fire.</w:t>
            </w:r>
          </w:p>
        </w:tc>
      </w:tr>
      <w:tr w:rsidR="00D51EB6" w:rsidRPr="007049AF" w14:paraId="797771BC" w14:textId="77777777" w:rsidTr="00D51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84F0195" w14:textId="4EB45AB5"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Household has a chimney, hood or neither</w:t>
            </w:r>
          </w:p>
        </w:tc>
        <w:tc>
          <w:tcPr>
            <w:tcW w:w="5670" w:type="dxa"/>
          </w:tcPr>
          <w:p w14:paraId="49FC91F0" w14:textId="77777777" w:rsidR="00D51EB6" w:rsidRPr="00692E2F" w:rsidRDefault="00D51EB6" w:rsidP="00692E2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Presence of a chimney, hood or neither in household.</w:t>
            </w:r>
          </w:p>
        </w:tc>
      </w:tr>
      <w:tr w:rsidR="00D51EB6" w:rsidRPr="007049AF" w14:paraId="26DF884D" w14:textId="77777777" w:rsidTr="00D51EB6">
        <w:tc>
          <w:tcPr>
            <w:cnfStyle w:val="001000000000" w:firstRow="0" w:lastRow="0" w:firstColumn="1" w:lastColumn="0" w:oddVBand="0" w:evenVBand="0" w:oddHBand="0" w:evenHBand="0" w:firstRowFirstColumn="0" w:firstRowLastColumn="0" w:lastRowFirstColumn="0" w:lastRowLastColumn="0"/>
            <w:tcW w:w="3510" w:type="dxa"/>
          </w:tcPr>
          <w:p w14:paraId="7653396C"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Type of cooking fuel</w:t>
            </w:r>
          </w:p>
        </w:tc>
        <w:tc>
          <w:tcPr>
            <w:tcW w:w="5670" w:type="dxa"/>
          </w:tcPr>
          <w:p w14:paraId="71CED573" w14:textId="77777777" w:rsidR="00D51EB6" w:rsidRPr="00692E2F" w:rsidRDefault="00D51EB6">
            <w:pPr>
              <w:keepNext/>
              <w:keepLines/>
              <w:tabs>
                <w:tab w:val="left" w:pos="1985"/>
              </w:tabs>
              <w:spacing w:before="200" w:line="480" w:lineRule="auto"/>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Type of cooking fuel presented as unordered categorical data: electricity; LPG; natural gas; biogas; kerosene; coal, lignite.</w:t>
            </w:r>
          </w:p>
        </w:tc>
      </w:tr>
      <w:tr w:rsidR="00D51EB6" w:rsidRPr="007049AF" w14:paraId="5210566E" w14:textId="77777777" w:rsidTr="00692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0000"/>
            </w:tcBorders>
          </w:tcPr>
          <w:p w14:paraId="687CBE9F"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Household smoking</w:t>
            </w:r>
          </w:p>
        </w:tc>
        <w:tc>
          <w:tcPr>
            <w:tcW w:w="0" w:type="dxa"/>
            <w:tcBorders>
              <w:bottom w:val="single" w:sz="4" w:space="0" w:color="000000"/>
            </w:tcBorders>
          </w:tcPr>
          <w:p w14:paraId="14A9D300" w14:textId="01FA4DBA" w:rsidR="00D51EB6" w:rsidRPr="00692E2F" w:rsidRDefault="00D51EB6" w:rsidP="00692E2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Frequency household members smoke inside the house</w:t>
            </w:r>
            <w:r w:rsidR="006A1A2E" w:rsidRPr="00692E2F">
              <w:rPr>
                <w:rFonts w:ascii="Times New Roman" w:hAnsi="Times New Roman"/>
                <w:color w:val="000000" w:themeColor="text1"/>
              </w:rPr>
              <w:t xml:space="preserve">: </w:t>
            </w:r>
            <w:r w:rsidR="006A1A2E" w:rsidRPr="00692E2F">
              <w:rPr>
                <w:rFonts w:ascii="Times New Roman" w:hAnsi="Times New Roman"/>
                <w:color w:val="000000" w:themeColor="text1"/>
              </w:rPr>
              <w:lastRenderedPageBreak/>
              <w:t>daily; weekly; monthly; less than monthly;</w:t>
            </w:r>
            <w:r w:rsidR="00AF5026" w:rsidRPr="00692E2F">
              <w:rPr>
                <w:rFonts w:ascii="Times New Roman" w:hAnsi="Times New Roman"/>
                <w:color w:val="000000" w:themeColor="text1"/>
              </w:rPr>
              <w:t xml:space="preserve"> never</w:t>
            </w:r>
            <w:r w:rsidRPr="00692E2F">
              <w:rPr>
                <w:rFonts w:ascii="Times New Roman" w:hAnsi="Times New Roman"/>
                <w:color w:val="000000" w:themeColor="text1"/>
              </w:rPr>
              <w:t>.</w:t>
            </w:r>
          </w:p>
        </w:tc>
      </w:tr>
      <w:tr w:rsidR="00D51EB6" w:rsidRPr="007049AF" w14:paraId="4FA36508" w14:textId="77777777" w:rsidTr="00692E2F">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000000"/>
              <w:bottom w:val="single" w:sz="4" w:space="0" w:color="000000"/>
            </w:tcBorders>
          </w:tcPr>
          <w:p w14:paraId="4AEFCF25" w14:textId="77777777" w:rsidR="00D51EB6" w:rsidRPr="00692E2F" w:rsidRDefault="00D51EB6" w:rsidP="00692E2F">
            <w:pPr>
              <w:spacing w:line="480" w:lineRule="auto"/>
              <w:rPr>
                <w:rFonts w:ascii="Times New Roman" w:hAnsi="Times New Roman"/>
                <w:b w:val="0"/>
                <w:bCs w:val="0"/>
                <w:color w:val="000000" w:themeColor="text1"/>
              </w:rPr>
            </w:pPr>
          </w:p>
          <w:p w14:paraId="77A35290" w14:textId="07F7DD42" w:rsidR="00D51EB6" w:rsidRPr="00692E2F" w:rsidRDefault="00D51EB6" w:rsidP="00692E2F">
            <w:pPr>
              <w:spacing w:line="480" w:lineRule="auto"/>
              <w:rPr>
                <w:rFonts w:ascii="Times New Roman" w:hAnsi="Times New Roman"/>
                <w:color w:val="000000" w:themeColor="text1"/>
              </w:rPr>
            </w:pPr>
            <w:r w:rsidRPr="00692E2F">
              <w:rPr>
                <w:rFonts w:ascii="Times New Roman" w:hAnsi="Times New Roman"/>
                <w:color w:val="000000" w:themeColor="text1"/>
              </w:rPr>
              <w:t>Women’s Model Questionnaire</w:t>
            </w:r>
          </w:p>
        </w:tc>
      </w:tr>
      <w:tr w:rsidR="00D51EB6" w:rsidRPr="007049AF" w14:paraId="187D499A" w14:textId="77777777" w:rsidTr="00692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cBorders>
          </w:tcPr>
          <w:p w14:paraId="4A67D486"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Maternal age</w:t>
            </w:r>
          </w:p>
        </w:tc>
        <w:tc>
          <w:tcPr>
            <w:tcW w:w="0" w:type="dxa"/>
            <w:tcBorders>
              <w:top w:val="single" w:sz="4" w:space="0" w:color="000000"/>
            </w:tcBorders>
          </w:tcPr>
          <w:p w14:paraId="0C50F2BF" w14:textId="77777777" w:rsidR="00D51EB6" w:rsidRPr="00692E2F" w:rsidRDefault="00D51EB6">
            <w:pPr>
              <w:keepNext/>
              <w:keepLines/>
              <w:tabs>
                <w:tab w:val="left" w:pos="1985"/>
              </w:tabs>
              <w:spacing w:before="200" w:line="480" w:lineRule="auto"/>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Current age in completed years is calculated from the century month code of the date of birth of the respondent (MV011) and the century month code of the date of interview (MV008).</w:t>
            </w:r>
          </w:p>
        </w:tc>
      </w:tr>
      <w:tr w:rsidR="00D51EB6" w:rsidRPr="007049AF" w14:paraId="2AFEEF01" w14:textId="77777777" w:rsidTr="00D51EB6">
        <w:tc>
          <w:tcPr>
            <w:cnfStyle w:val="001000000000" w:firstRow="0" w:lastRow="0" w:firstColumn="1" w:lastColumn="0" w:oddVBand="0" w:evenVBand="0" w:oddHBand="0" w:evenHBand="0" w:firstRowFirstColumn="0" w:firstRowLastColumn="0" w:lastRowFirstColumn="0" w:lastRowLastColumn="0"/>
            <w:tcW w:w="3510" w:type="dxa"/>
          </w:tcPr>
          <w:p w14:paraId="197D65F9"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Pregnancy status</w:t>
            </w:r>
          </w:p>
        </w:tc>
        <w:tc>
          <w:tcPr>
            <w:tcW w:w="5670" w:type="dxa"/>
          </w:tcPr>
          <w:p w14:paraId="7ABDD0CE" w14:textId="6577BE34" w:rsidR="00D51EB6" w:rsidRPr="00692E2F" w:rsidRDefault="00D51EB6">
            <w:pPr>
              <w:keepNext/>
              <w:keepLines/>
              <w:tabs>
                <w:tab w:val="left" w:pos="1985"/>
              </w:tabs>
              <w:spacing w:before="200" w:line="480" w:lineRule="auto"/>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Whether the respondent is currently pregnant</w:t>
            </w:r>
            <w:r w:rsidR="00DC6E16" w:rsidRPr="00692E2F">
              <w:rPr>
                <w:rFonts w:ascii="Times New Roman" w:hAnsi="Times New Roman"/>
                <w:color w:val="000000" w:themeColor="text1"/>
              </w:rPr>
              <w:t>: yes</w:t>
            </w:r>
            <w:proofErr w:type="gramStart"/>
            <w:r w:rsidR="00DC6E16" w:rsidRPr="00692E2F">
              <w:rPr>
                <w:rFonts w:ascii="Times New Roman" w:hAnsi="Times New Roman"/>
                <w:color w:val="000000" w:themeColor="text1"/>
              </w:rPr>
              <w:t>;</w:t>
            </w:r>
            <w:proofErr w:type="gramEnd"/>
            <w:r w:rsidR="00DC6E16" w:rsidRPr="00692E2F">
              <w:rPr>
                <w:rFonts w:ascii="Times New Roman" w:hAnsi="Times New Roman"/>
                <w:color w:val="000000" w:themeColor="text1"/>
              </w:rPr>
              <w:t xml:space="preserve"> no</w:t>
            </w:r>
            <w:r w:rsidRPr="00692E2F">
              <w:rPr>
                <w:rFonts w:ascii="Times New Roman" w:hAnsi="Times New Roman"/>
                <w:color w:val="000000" w:themeColor="text1"/>
              </w:rPr>
              <w:t>.</w:t>
            </w:r>
          </w:p>
          <w:p w14:paraId="5F005663" w14:textId="77777777" w:rsidR="00D51EB6" w:rsidRPr="00692E2F" w:rsidRDefault="00D51EB6" w:rsidP="00692E2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r>
      <w:tr w:rsidR="00D51EB6" w:rsidRPr="007049AF" w14:paraId="26EFCBC9" w14:textId="77777777" w:rsidTr="00D51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123C771"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Marital status</w:t>
            </w:r>
          </w:p>
        </w:tc>
        <w:tc>
          <w:tcPr>
            <w:tcW w:w="5670" w:type="dxa"/>
          </w:tcPr>
          <w:p w14:paraId="24A6F7DE" w14:textId="77777777" w:rsidR="00D51EB6" w:rsidRPr="00692E2F" w:rsidRDefault="00D51EB6">
            <w:pPr>
              <w:keepNext/>
              <w:keepLines/>
              <w:tabs>
                <w:tab w:val="left" w:pos="1985"/>
              </w:tabs>
              <w:spacing w:before="200" w:line="480" w:lineRule="auto"/>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 xml:space="preserve">Current marital status of the respondent presented as unordered categorical data: never in union; married; living with partner; widowed; divorced; no longer living together/separated. </w:t>
            </w:r>
          </w:p>
          <w:p w14:paraId="347FD3DE" w14:textId="77777777" w:rsidR="00D51EB6" w:rsidRPr="00692E2F" w:rsidRDefault="00D51EB6" w:rsidP="00692E2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p>
        </w:tc>
      </w:tr>
      <w:tr w:rsidR="00D51EB6" w:rsidRPr="007049AF" w14:paraId="22371013" w14:textId="77777777" w:rsidTr="00D51EB6">
        <w:tc>
          <w:tcPr>
            <w:cnfStyle w:val="001000000000" w:firstRow="0" w:lastRow="0" w:firstColumn="1" w:lastColumn="0" w:oddVBand="0" w:evenVBand="0" w:oddHBand="0" w:evenHBand="0" w:firstRowFirstColumn="0" w:firstRowLastColumn="0" w:lastRowFirstColumn="0" w:lastRowLastColumn="0"/>
            <w:tcW w:w="3510" w:type="dxa"/>
          </w:tcPr>
          <w:p w14:paraId="58699338"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 xml:space="preserve">Maternal occupation </w:t>
            </w:r>
          </w:p>
        </w:tc>
        <w:tc>
          <w:tcPr>
            <w:tcW w:w="5670" w:type="dxa"/>
          </w:tcPr>
          <w:p w14:paraId="6541A3D5" w14:textId="77777777" w:rsidR="00D51EB6" w:rsidRPr="00692E2F" w:rsidRDefault="00D51EB6" w:rsidP="00692E2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Standardized respondent's occupation groups presented as unordered categorical data: not working; professional/technical/managerial; clerical; sales; agricultural employee; household and domestic; skilled manual; unskilled manual</w:t>
            </w:r>
            <w:proofErr w:type="gramStart"/>
            <w:r w:rsidRPr="00692E2F">
              <w:rPr>
                <w:rFonts w:ascii="Times New Roman" w:hAnsi="Times New Roman"/>
                <w:color w:val="000000" w:themeColor="text1"/>
              </w:rPr>
              <w:t>;</w:t>
            </w:r>
            <w:proofErr w:type="gramEnd"/>
            <w:r w:rsidRPr="00692E2F">
              <w:rPr>
                <w:rFonts w:ascii="Times New Roman" w:hAnsi="Times New Roman"/>
                <w:color w:val="000000" w:themeColor="text1"/>
              </w:rPr>
              <w:t xml:space="preserve"> don’t know. </w:t>
            </w:r>
          </w:p>
        </w:tc>
      </w:tr>
      <w:tr w:rsidR="00D51EB6" w:rsidRPr="007049AF" w14:paraId="6272EE6D" w14:textId="77777777" w:rsidTr="00D51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5707FBF"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Highest educational level</w:t>
            </w:r>
          </w:p>
        </w:tc>
        <w:tc>
          <w:tcPr>
            <w:tcW w:w="5670" w:type="dxa"/>
          </w:tcPr>
          <w:p w14:paraId="37E189DE" w14:textId="77777777" w:rsidR="00D51EB6" w:rsidRPr="00692E2F" w:rsidRDefault="00D51EB6" w:rsidP="00692E2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Highest education level attained. This is a standardized variable providing level of education in the following ordered categories: no education; primary; secondary</w:t>
            </w:r>
            <w:proofErr w:type="gramStart"/>
            <w:r w:rsidRPr="00692E2F">
              <w:rPr>
                <w:rFonts w:ascii="Times New Roman" w:hAnsi="Times New Roman"/>
                <w:color w:val="000000" w:themeColor="text1"/>
              </w:rPr>
              <w:t>;</w:t>
            </w:r>
            <w:proofErr w:type="gramEnd"/>
            <w:r w:rsidRPr="00692E2F">
              <w:rPr>
                <w:rFonts w:ascii="Times New Roman" w:hAnsi="Times New Roman"/>
                <w:color w:val="000000" w:themeColor="text1"/>
              </w:rPr>
              <w:t xml:space="preserve"> higher. </w:t>
            </w:r>
          </w:p>
        </w:tc>
      </w:tr>
      <w:tr w:rsidR="00D51EB6" w:rsidRPr="007049AF" w14:paraId="41B212B8" w14:textId="77777777" w:rsidTr="00D51EB6">
        <w:tc>
          <w:tcPr>
            <w:cnfStyle w:val="001000000000" w:firstRow="0" w:lastRow="0" w:firstColumn="1" w:lastColumn="0" w:oddVBand="0" w:evenVBand="0" w:oddHBand="0" w:evenHBand="0" w:firstRowFirstColumn="0" w:firstRowLastColumn="0" w:lastRowFirstColumn="0" w:lastRowLastColumn="0"/>
            <w:tcW w:w="3510" w:type="dxa"/>
          </w:tcPr>
          <w:p w14:paraId="6E31B133" w14:textId="77777777" w:rsidR="00D51EB6" w:rsidRPr="00692E2F" w:rsidRDefault="00D51EB6" w:rsidP="00692E2F">
            <w:pPr>
              <w:spacing w:line="480" w:lineRule="auto"/>
              <w:rPr>
                <w:rFonts w:ascii="Times New Roman" w:hAnsi="Times New Roman"/>
                <w:b w:val="0"/>
                <w:bCs w:val="0"/>
                <w:color w:val="000000" w:themeColor="text1"/>
              </w:rPr>
            </w:pPr>
            <w:r w:rsidRPr="00692E2F">
              <w:rPr>
                <w:rFonts w:ascii="Times New Roman" w:hAnsi="Times New Roman"/>
                <w:color w:val="000000" w:themeColor="text1"/>
              </w:rPr>
              <w:t>Maternal tobacco use</w:t>
            </w:r>
          </w:p>
        </w:tc>
        <w:tc>
          <w:tcPr>
            <w:tcW w:w="5670" w:type="dxa"/>
          </w:tcPr>
          <w:p w14:paraId="0367D70F" w14:textId="321C778E" w:rsidR="00D51EB6" w:rsidRPr="00692E2F" w:rsidRDefault="00913EA2" w:rsidP="0064188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692E2F">
              <w:rPr>
                <w:rFonts w:ascii="Times New Roman" w:hAnsi="Times New Roman"/>
                <w:color w:val="000000" w:themeColor="text1"/>
              </w:rPr>
              <w:t xml:space="preserve">Whether respondent currently classifies themselves as a </w:t>
            </w:r>
            <w:r w:rsidRPr="00692E2F">
              <w:rPr>
                <w:rFonts w:ascii="Times New Roman" w:hAnsi="Times New Roman"/>
                <w:color w:val="000000" w:themeColor="text1"/>
              </w:rPr>
              <w:lastRenderedPageBreak/>
              <w:t>smoker</w:t>
            </w:r>
            <w:r w:rsidR="00E27E03" w:rsidRPr="00692E2F">
              <w:rPr>
                <w:rFonts w:ascii="Times New Roman" w:hAnsi="Times New Roman"/>
                <w:color w:val="000000" w:themeColor="text1"/>
              </w:rPr>
              <w:t xml:space="preserve"> of tobac</w:t>
            </w:r>
            <w:r w:rsidR="00641887">
              <w:rPr>
                <w:rFonts w:ascii="Times New Roman" w:hAnsi="Times New Roman"/>
                <w:color w:val="000000" w:themeColor="text1"/>
              </w:rPr>
              <w:t>c</w:t>
            </w:r>
            <w:r w:rsidR="00E27E03" w:rsidRPr="00692E2F">
              <w:rPr>
                <w:rFonts w:ascii="Times New Roman" w:hAnsi="Times New Roman"/>
                <w:color w:val="000000" w:themeColor="text1"/>
              </w:rPr>
              <w:t>o</w:t>
            </w:r>
            <w:r w:rsidR="00DA4423" w:rsidRPr="00692E2F">
              <w:rPr>
                <w:rFonts w:ascii="Times New Roman" w:hAnsi="Times New Roman"/>
                <w:color w:val="000000" w:themeColor="text1"/>
              </w:rPr>
              <w:t>: yes; no</w:t>
            </w:r>
            <w:r w:rsidR="00D51EB6" w:rsidRPr="00692E2F">
              <w:rPr>
                <w:rFonts w:ascii="Times New Roman" w:hAnsi="Times New Roman"/>
                <w:color w:val="000000" w:themeColor="text1"/>
              </w:rPr>
              <w:t xml:space="preserve">. </w:t>
            </w:r>
          </w:p>
        </w:tc>
      </w:tr>
    </w:tbl>
    <w:p w14:paraId="6A7D3E78" w14:textId="725D4910" w:rsidR="006518B2" w:rsidRPr="005D5356" w:rsidRDefault="00542C96" w:rsidP="00F07639">
      <w:pPr>
        <w:tabs>
          <w:tab w:val="left" w:pos="1985"/>
        </w:tabs>
        <w:spacing w:line="480" w:lineRule="auto"/>
        <w:rPr>
          <w:rFonts w:ascii="Times New Roman" w:hAnsi="Times New Roman"/>
          <w:lang w:val="en-GB"/>
        </w:rPr>
      </w:pPr>
      <w:r w:rsidRPr="005D5356">
        <w:rPr>
          <w:rFonts w:ascii="Times New Roman" w:hAnsi="Times New Roman"/>
          <w:lang w:val="en-GB"/>
        </w:rPr>
        <w:lastRenderedPageBreak/>
        <w:t>Table 1</w:t>
      </w:r>
      <w:r w:rsidR="005B273C">
        <w:rPr>
          <w:rFonts w:ascii="Times New Roman" w:hAnsi="Times New Roman"/>
          <w:lang w:val="en-GB"/>
        </w:rPr>
        <w:t xml:space="preserve">. </w:t>
      </w:r>
      <w:r w:rsidRPr="005D5356">
        <w:rPr>
          <w:rFonts w:ascii="Times New Roman" w:hAnsi="Times New Roman"/>
          <w:lang w:val="en-GB"/>
        </w:rPr>
        <w:t xml:space="preserve">Variables </w:t>
      </w:r>
      <w:r w:rsidR="00F97510">
        <w:rPr>
          <w:rFonts w:ascii="Times New Roman" w:hAnsi="Times New Roman"/>
          <w:lang w:val="en-GB"/>
        </w:rPr>
        <w:t xml:space="preserve">included </w:t>
      </w:r>
      <w:r w:rsidRPr="005D5356">
        <w:rPr>
          <w:rFonts w:ascii="Times New Roman" w:hAnsi="Times New Roman"/>
          <w:lang w:val="en-GB"/>
        </w:rPr>
        <w:t xml:space="preserve">for analysis </w:t>
      </w:r>
      <w:r w:rsidR="00F97510">
        <w:rPr>
          <w:rFonts w:ascii="Times New Roman" w:hAnsi="Times New Roman"/>
          <w:lang w:val="en-GB"/>
        </w:rPr>
        <w:t xml:space="preserve">and their definition </w:t>
      </w:r>
      <w:r w:rsidR="00A26656" w:rsidRPr="005D5356">
        <w:rPr>
          <w:rFonts w:ascii="Times New Roman" w:hAnsi="Times New Roman"/>
          <w:lang w:val="en-GB"/>
        </w:rPr>
        <w:t xml:space="preserve">taken </w:t>
      </w:r>
      <w:r w:rsidRPr="005D5356">
        <w:rPr>
          <w:rFonts w:ascii="Times New Roman" w:hAnsi="Times New Roman"/>
          <w:lang w:val="en-GB"/>
        </w:rPr>
        <w:t xml:space="preserve">from the </w:t>
      </w:r>
      <w:r w:rsidR="0023249C" w:rsidRPr="005D5356">
        <w:rPr>
          <w:rFonts w:ascii="Times New Roman" w:hAnsi="Times New Roman"/>
          <w:lang w:val="en-GB"/>
        </w:rPr>
        <w:t xml:space="preserve">DHS </w:t>
      </w:r>
      <w:r w:rsidR="00EA1BAC">
        <w:rPr>
          <w:rFonts w:ascii="Times New Roman" w:hAnsi="Times New Roman"/>
          <w:lang w:val="en-GB"/>
        </w:rPr>
        <w:t xml:space="preserve">Household and </w:t>
      </w:r>
      <w:r w:rsidRPr="005D5356">
        <w:rPr>
          <w:rFonts w:ascii="Times New Roman" w:hAnsi="Times New Roman"/>
          <w:lang w:val="en-GB"/>
        </w:rPr>
        <w:t>Women</w:t>
      </w:r>
      <w:r w:rsidR="004642F9" w:rsidRPr="005D5356">
        <w:rPr>
          <w:rFonts w:ascii="Times New Roman" w:hAnsi="Times New Roman"/>
          <w:lang w:val="en-GB"/>
        </w:rPr>
        <w:t>’s</w:t>
      </w:r>
      <w:r w:rsidRPr="005D5356">
        <w:rPr>
          <w:rFonts w:ascii="Times New Roman" w:hAnsi="Times New Roman"/>
          <w:lang w:val="en-GB"/>
        </w:rPr>
        <w:t xml:space="preserve"> Model questionnaire</w:t>
      </w:r>
      <w:r w:rsidR="00EA1BAC">
        <w:rPr>
          <w:rFonts w:ascii="Times New Roman" w:hAnsi="Times New Roman"/>
          <w:lang w:val="en-GB"/>
        </w:rPr>
        <w:t>s</w:t>
      </w:r>
      <w:r w:rsidR="00EE22C3">
        <w:rPr>
          <w:rFonts w:ascii="Times New Roman" w:hAnsi="Times New Roman"/>
          <w:lang w:val="en-GB"/>
        </w:rPr>
        <w:t>.</w:t>
      </w:r>
    </w:p>
    <w:p w14:paraId="00842B2E" w14:textId="77777777" w:rsidR="005B273C" w:rsidRPr="005D5356" w:rsidRDefault="005B273C" w:rsidP="00F07639">
      <w:pPr>
        <w:tabs>
          <w:tab w:val="left" w:pos="1985"/>
        </w:tabs>
        <w:spacing w:line="480" w:lineRule="auto"/>
        <w:rPr>
          <w:rFonts w:ascii="Times New Roman" w:hAnsi="Times New Roman"/>
          <w:lang w:val="en-GB"/>
        </w:rPr>
      </w:pPr>
    </w:p>
    <w:p w14:paraId="1BD29EE0" w14:textId="1EED50F8" w:rsidR="000B698C" w:rsidRPr="00692E2F" w:rsidRDefault="000B698C" w:rsidP="00F07639">
      <w:pPr>
        <w:tabs>
          <w:tab w:val="left" w:pos="1985"/>
        </w:tabs>
        <w:spacing w:line="480" w:lineRule="auto"/>
        <w:rPr>
          <w:rFonts w:ascii="Times New Roman" w:hAnsi="Times New Roman"/>
          <w:i/>
        </w:rPr>
      </w:pPr>
      <w:r>
        <w:rPr>
          <w:rFonts w:ascii="Times New Roman" w:hAnsi="Times New Roman"/>
          <w:i/>
        </w:rPr>
        <w:t>Statistical analys</w:t>
      </w:r>
      <w:r w:rsidR="00B96790">
        <w:rPr>
          <w:rFonts w:ascii="Times New Roman" w:hAnsi="Times New Roman"/>
          <w:i/>
        </w:rPr>
        <w:t>es</w:t>
      </w:r>
    </w:p>
    <w:p w14:paraId="60B0E479" w14:textId="5013DD95" w:rsidR="00D60C79" w:rsidRPr="005D5356" w:rsidRDefault="00E94BA7" w:rsidP="00F07639">
      <w:pPr>
        <w:tabs>
          <w:tab w:val="left" w:pos="1985"/>
        </w:tabs>
        <w:spacing w:line="480" w:lineRule="auto"/>
        <w:rPr>
          <w:rFonts w:ascii="Times New Roman" w:hAnsi="Times New Roman"/>
        </w:rPr>
      </w:pPr>
      <w:r w:rsidRPr="005D5356">
        <w:rPr>
          <w:rFonts w:ascii="Times New Roman" w:hAnsi="Times New Roman"/>
        </w:rPr>
        <w:t>Analysis was</w:t>
      </w:r>
      <w:r w:rsidR="00D60C79" w:rsidRPr="005D5356">
        <w:rPr>
          <w:rFonts w:ascii="Times New Roman" w:hAnsi="Times New Roman"/>
        </w:rPr>
        <w:t xml:space="preserve"> conducted using </w:t>
      </w:r>
      <w:proofErr w:type="spellStart"/>
      <w:r w:rsidR="00D60C79" w:rsidRPr="005D5356">
        <w:rPr>
          <w:rFonts w:ascii="Times New Roman" w:hAnsi="Times New Roman"/>
        </w:rPr>
        <w:t>StataSE</w:t>
      </w:r>
      <w:proofErr w:type="spellEnd"/>
      <w:r w:rsidR="00D60C79" w:rsidRPr="005D5356">
        <w:rPr>
          <w:rFonts w:ascii="Times New Roman" w:hAnsi="Times New Roman"/>
        </w:rPr>
        <w:t xml:space="preserve"> 14 software. </w:t>
      </w:r>
      <w:r w:rsidR="00BE45F6" w:rsidRPr="005D5356">
        <w:rPr>
          <w:rFonts w:ascii="Times New Roman" w:hAnsi="Times New Roman"/>
          <w:lang w:val="en-GB"/>
        </w:rPr>
        <w:t>The samples for DHS surveys are designed to permit data analysis of regional subsets within the sample population and therefore require</w:t>
      </w:r>
      <w:r w:rsidR="001B77AF" w:rsidRPr="005D5356">
        <w:rPr>
          <w:rFonts w:ascii="Times New Roman" w:hAnsi="Times New Roman"/>
          <w:lang w:val="en-GB"/>
        </w:rPr>
        <w:t xml:space="preserve">d </w:t>
      </w:r>
      <w:r w:rsidR="00BE45F6" w:rsidRPr="005D5356">
        <w:rPr>
          <w:rFonts w:ascii="Times New Roman" w:hAnsi="Times New Roman"/>
          <w:lang w:val="en-GB"/>
        </w:rPr>
        <w:t>the use of sample weights during analysis to ensure samples are representative.</w:t>
      </w:r>
      <w:r w:rsidR="00AD6BC5" w:rsidRPr="005D5356">
        <w:rPr>
          <w:rFonts w:ascii="Times New Roman" w:hAnsi="Times New Roman"/>
        </w:rPr>
        <w:t xml:space="preserve"> </w:t>
      </w:r>
      <w:proofErr w:type="spellStart"/>
      <w:r w:rsidR="00486556">
        <w:rPr>
          <w:rFonts w:ascii="Times New Roman" w:hAnsi="Times New Roman"/>
        </w:rPr>
        <w:t>StataSE</w:t>
      </w:r>
      <w:proofErr w:type="spellEnd"/>
      <w:r w:rsidR="00486556">
        <w:rPr>
          <w:rFonts w:ascii="Times New Roman" w:hAnsi="Times New Roman"/>
        </w:rPr>
        <w:t xml:space="preserve"> SVY and SVYSET commands were used to</w:t>
      </w:r>
      <w:r w:rsidR="00486556" w:rsidRPr="005D5356">
        <w:rPr>
          <w:rFonts w:ascii="Times New Roman" w:hAnsi="Times New Roman"/>
        </w:rPr>
        <w:t xml:space="preserve"> </w:t>
      </w:r>
      <w:r w:rsidR="00AD6BC5" w:rsidRPr="005D5356">
        <w:rPr>
          <w:rFonts w:ascii="Times New Roman" w:hAnsi="Times New Roman"/>
        </w:rPr>
        <w:t>account for sampling weights, clustering, and stratification in the sampling design</w:t>
      </w:r>
      <w:r w:rsidR="00562475" w:rsidRPr="005D5356">
        <w:rPr>
          <w:rFonts w:ascii="Times New Roman" w:hAnsi="Times New Roman"/>
        </w:rPr>
        <w:t>.</w:t>
      </w:r>
      <w:r w:rsidR="00AD6BC5" w:rsidRPr="005D5356">
        <w:rPr>
          <w:rFonts w:ascii="Times New Roman" w:hAnsi="Times New Roman"/>
        </w:rPr>
        <w:t xml:space="preserve"> </w:t>
      </w:r>
      <w:r w:rsidR="00BE45F6" w:rsidRPr="005D5356">
        <w:rPr>
          <w:rFonts w:ascii="Times New Roman" w:hAnsi="Times New Roman"/>
          <w:lang w:val="en-GB"/>
        </w:rPr>
        <w:t xml:space="preserve"> </w:t>
      </w:r>
      <w:r w:rsidR="00D60C79" w:rsidRPr="005D5356">
        <w:rPr>
          <w:rFonts w:ascii="Times New Roman" w:hAnsi="Times New Roman"/>
        </w:rPr>
        <w:t xml:space="preserve">Continuous measures </w:t>
      </w:r>
      <w:r w:rsidR="0070721E" w:rsidRPr="005D5356">
        <w:rPr>
          <w:rFonts w:ascii="Times New Roman" w:hAnsi="Times New Roman"/>
        </w:rPr>
        <w:t xml:space="preserve">were </w:t>
      </w:r>
      <w:r w:rsidR="00D60C79" w:rsidRPr="005D5356">
        <w:rPr>
          <w:rFonts w:ascii="Times New Roman" w:hAnsi="Times New Roman"/>
        </w:rPr>
        <w:t xml:space="preserve">reported as means with 95% confidence intervals and categorical data </w:t>
      </w:r>
      <w:r w:rsidR="0070721E" w:rsidRPr="005D5356">
        <w:rPr>
          <w:rFonts w:ascii="Times New Roman" w:hAnsi="Times New Roman"/>
        </w:rPr>
        <w:t xml:space="preserve">were </w:t>
      </w:r>
      <w:r w:rsidR="00D60C79" w:rsidRPr="005D5356">
        <w:rPr>
          <w:rFonts w:ascii="Times New Roman" w:hAnsi="Times New Roman"/>
        </w:rPr>
        <w:t>reported as counts and percentages</w:t>
      </w:r>
      <w:r w:rsidR="00313F9F" w:rsidRPr="005D5356">
        <w:rPr>
          <w:rFonts w:ascii="Times New Roman" w:hAnsi="Times New Roman"/>
        </w:rPr>
        <w:t xml:space="preserve">. </w:t>
      </w:r>
      <w:r w:rsidR="00D60C79" w:rsidRPr="005D5356">
        <w:rPr>
          <w:rFonts w:ascii="Times New Roman" w:hAnsi="Times New Roman"/>
        </w:rPr>
        <w:t xml:space="preserve">Response rates </w:t>
      </w:r>
      <w:r w:rsidR="00B14F56" w:rsidRPr="005D5356">
        <w:rPr>
          <w:rFonts w:ascii="Times New Roman" w:hAnsi="Times New Roman"/>
        </w:rPr>
        <w:t>are</w:t>
      </w:r>
      <w:r w:rsidR="00D60C79" w:rsidRPr="005D5356">
        <w:rPr>
          <w:rFonts w:ascii="Times New Roman" w:hAnsi="Times New Roman"/>
        </w:rPr>
        <w:t xml:space="preserve"> </w:t>
      </w:r>
      <w:proofErr w:type="spellStart"/>
      <w:r w:rsidR="00D60C79" w:rsidRPr="005D5356">
        <w:rPr>
          <w:rFonts w:ascii="Times New Roman" w:hAnsi="Times New Roman"/>
        </w:rPr>
        <w:t>summarised</w:t>
      </w:r>
      <w:proofErr w:type="spellEnd"/>
      <w:r w:rsidR="00D60C79" w:rsidRPr="005D5356">
        <w:rPr>
          <w:rFonts w:ascii="Times New Roman" w:hAnsi="Times New Roman"/>
        </w:rPr>
        <w:t xml:space="preserve"> descriptively with the data.</w:t>
      </w:r>
      <w:r w:rsidR="00AD6F65" w:rsidRPr="005D5356">
        <w:rPr>
          <w:rFonts w:ascii="Times New Roman" w:hAnsi="Times New Roman"/>
        </w:rPr>
        <w:t xml:space="preserve"> </w:t>
      </w:r>
    </w:p>
    <w:p w14:paraId="7D39E838" w14:textId="77777777" w:rsidR="00AD6F65" w:rsidRPr="005D5356" w:rsidRDefault="00AD6F65" w:rsidP="00F07639">
      <w:pPr>
        <w:tabs>
          <w:tab w:val="left" w:pos="1985"/>
        </w:tabs>
        <w:spacing w:line="480" w:lineRule="auto"/>
        <w:rPr>
          <w:rFonts w:ascii="Times New Roman" w:hAnsi="Times New Roman"/>
        </w:rPr>
      </w:pPr>
    </w:p>
    <w:p w14:paraId="318EAC9F" w14:textId="388598D8" w:rsidR="00AD6F65" w:rsidRPr="005D5356" w:rsidRDefault="003F7780" w:rsidP="00F07639">
      <w:pPr>
        <w:tabs>
          <w:tab w:val="left" w:pos="1985"/>
        </w:tabs>
        <w:spacing w:line="480" w:lineRule="auto"/>
        <w:rPr>
          <w:rFonts w:ascii="Times New Roman" w:hAnsi="Times New Roman"/>
        </w:rPr>
      </w:pPr>
      <w:r w:rsidRPr="005D5356">
        <w:rPr>
          <w:rFonts w:ascii="Times New Roman" w:hAnsi="Times New Roman"/>
        </w:rPr>
        <w:t xml:space="preserve">We used a pairwise multinomial regression model to assess variation in the risk of </w:t>
      </w:r>
      <w:r w:rsidR="00AF0588">
        <w:rPr>
          <w:rFonts w:ascii="Times New Roman" w:hAnsi="Times New Roman"/>
        </w:rPr>
        <w:t xml:space="preserve">household </w:t>
      </w:r>
      <w:r w:rsidRPr="005D5356">
        <w:rPr>
          <w:rFonts w:ascii="Times New Roman" w:hAnsi="Times New Roman"/>
        </w:rPr>
        <w:t xml:space="preserve">SHS exposure among the </w:t>
      </w:r>
      <w:r w:rsidR="00AD6BC5" w:rsidRPr="005D5356">
        <w:rPr>
          <w:rFonts w:ascii="Times New Roman" w:hAnsi="Times New Roman"/>
        </w:rPr>
        <w:t>socio-</w:t>
      </w:r>
      <w:r w:rsidRPr="005D5356">
        <w:rPr>
          <w:rFonts w:ascii="Times New Roman" w:hAnsi="Times New Roman"/>
        </w:rPr>
        <w:t>demographic variables of interest. B</w:t>
      </w:r>
      <w:r w:rsidR="00AD6F65" w:rsidRPr="005D5356">
        <w:rPr>
          <w:rFonts w:ascii="Times New Roman" w:hAnsi="Times New Roman"/>
        </w:rPr>
        <w:t xml:space="preserve">ivariate coefficients were calculated for each explanatory variable of interest (urban </w:t>
      </w:r>
      <w:r w:rsidR="00EC35BC" w:rsidRPr="005D5356">
        <w:rPr>
          <w:rFonts w:ascii="Times New Roman" w:hAnsi="Times New Roman"/>
        </w:rPr>
        <w:t>vs.</w:t>
      </w:r>
      <w:r w:rsidR="00AD6F65" w:rsidRPr="005D5356">
        <w:rPr>
          <w:rFonts w:ascii="Times New Roman" w:hAnsi="Times New Roman"/>
        </w:rPr>
        <w:t xml:space="preserve"> rural dwelling, education level obtained, working </w:t>
      </w:r>
      <w:r w:rsidR="00EC35BC" w:rsidRPr="005D5356">
        <w:rPr>
          <w:rFonts w:ascii="Times New Roman" w:hAnsi="Times New Roman"/>
        </w:rPr>
        <w:t>vs.</w:t>
      </w:r>
      <w:r w:rsidR="00AD6F65" w:rsidRPr="005D5356">
        <w:rPr>
          <w:rFonts w:ascii="Times New Roman" w:hAnsi="Times New Roman"/>
        </w:rPr>
        <w:t xml:space="preserve"> not working, and wealth quintile) and the outcome variable </w:t>
      </w:r>
      <w:r w:rsidR="008E38A6" w:rsidRPr="005D5356">
        <w:rPr>
          <w:rFonts w:ascii="Times New Roman" w:hAnsi="Times New Roman"/>
        </w:rPr>
        <w:t>(</w:t>
      </w:r>
      <w:r w:rsidR="00AD6F65" w:rsidRPr="005D5356">
        <w:rPr>
          <w:rFonts w:ascii="Times New Roman" w:hAnsi="Times New Roman"/>
        </w:rPr>
        <w:t xml:space="preserve">frequency of exposure to </w:t>
      </w:r>
      <w:r w:rsidR="00AF0588">
        <w:rPr>
          <w:rFonts w:ascii="Times New Roman" w:hAnsi="Times New Roman"/>
        </w:rPr>
        <w:t xml:space="preserve">household </w:t>
      </w:r>
      <w:r w:rsidR="00AD6F65" w:rsidRPr="005D5356">
        <w:rPr>
          <w:rFonts w:ascii="Times New Roman" w:hAnsi="Times New Roman"/>
        </w:rPr>
        <w:t>SHS</w:t>
      </w:r>
      <w:r w:rsidR="008E38A6" w:rsidRPr="005D5356">
        <w:rPr>
          <w:rFonts w:ascii="Times New Roman" w:hAnsi="Times New Roman"/>
        </w:rPr>
        <w:t>)</w:t>
      </w:r>
      <w:r w:rsidRPr="005D5356">
        <w:rPr>
          <w:rFonts w:ascii="Times New Roman" w:hAnsi="Times New Roman"/>
        </w:rPr>
        <w:t>. We collapsed frequency of exposure outcome into three categories: daily, some (which included “weekly”</w:t>
      </w:r>
      <w:r w:rsidR="008E38A6" w:rsidRPr="005D5356">
        <w:rPr>
          <w:rFonts w:ascii="Times New Roman" w:hAnsi="Times New Roman"/>
        </w:rPr>
        <w:t>,</w:t>
      </w:r>
      <w:r w:rsidRPr="005D5356">
        <w:rPr>
          <w:rFonts w:ascii="Times New Roman" w:hAnsi="Times New Roman"/>
        </w:rPr>
        <w:t xml:space="preserve"> “monthly”</w:t>
      </w:r>
      <w:r w:rsidR="00C0027F" w:rsidRPr="005D5356">
        <w:rPr>
          <w:rFonts w:ascii="Times New Roman" w:hAnsi="Times New Roman"/>
        </w:rPr>
        <w:t>,</w:t>
      </w:r>
      <w:r w:rsidRPr="005D5356">
        <w:rPr>
          <w:rFonts w:ascii="Times New Roman" w:hAnsi="Times New Roman"/>
        </w:rPr>
        <w:t xml:space="preserve"> and “less than monthly”), and never. We included each of these variables in the full model, as </w:t>
      </w:r>
      <w:r w:rsidR="006D6759" w:rsidRPr="005D5356">
        <w:rPr>
          <w:rFonts w:ascii="Times New Roman" w:hAnsi="Times New Roman"/>
        </w:rPr>
        <w:t>none were collinear and all except urban dwelling were significant bivariate</w:t>
      </w:r>
      <w:r w:rsidR="00402D03">
        <w:rPr>
          <w:rFonts w:ascii="Times New Roman" w:hAnsi="Times New Roman"/>
        </w:rPr>
        <w:t xml:space="preserve"> association</w:t>
      </w:r>
      <w:r w:rsidR="006D6759" w:rsidRPr="005D5356">
        <w:rPr>
          <w:rFonts w:ascii="Times New Roman" w:hAnsi="Times New Roman"/>
        </w:rPr>
        <w:t xml:space="preserve">s. Urban dwelling was kept in the full </w:t>
      </w:r>
      <w:r w:rsidR="00EC35BC" w:rsidRPr="005D5356">
        <w:rPr>
          <w:rFonts w:ascii="Times New Roman" w:hAnsi="Times New Roman"/>
        </w:rPr>
        <w:t>model,</w:t>
      </w:r>
      <w:r w:rsidR="006D6759" w:rsidRPr="005D5356">
        <w:rPr>
          <w:rFonts w:ascii="Times New Roman" w:hAnsi="Times New Roman"/>
        </w:rPr>
        <w:t xml:space="preserve"> as it is an important cofactor with the other covariates. </w:t>
      </w:r>
    </w:p>
    <w:p w14:paraId="49812867" w14:textId="77777777" w:rsidR="006D6759" w:rsidRPr="005D5356" w:rsidRDefault="006D6759" w:rsidP="00F07639">
      <w:pPr>
        <w:tabs>
          <w:tab w:val="left" w:pos="1985"/>
        </w:tabs>
        <w:spacing w:line="480" w:lineRule="auto"/>
        <w:rPr>
          <w:rFonts w:ascii="Times New Roman" w:hAnsi="Times New Roman"/>
        </w:rPr>
      </w:pPr>
    </w:p>
    <w:p w14:paraId="7AF7CCAF" w14:textId="3E7C2F0D" w:rsidR="006D6759" w:rsidRPr="005D5356" w:rsidRDefault="006D6759" w:rsidP="00F07639">
      <w:pPr>
        <w:tabs>
          <w:tab w:val="left" w:pos="1985"/>
        </w:tabs>
        <w:spacing w:line="480" w:lineRule="auto"/>
        <w:rPr>
          <w:rFonts w:ascii="Times New Roman" w:hAnsi="Times New Roman"/>
        </w:rPr>
      </w:pPr>
      <w:r w:rsidRPr="005D5356">
        <w:rPr>
          <w:rFonts w:ascii="Times New Roman" w:hAnsi="Times New Roman"/>
        </w:rPr>
        <w:lastRenderedPageBreak/>
        <w:t xml:space="preserve">We then calculated predictive margins from the pairwise regression to obtain the probabilities of each level of </w:t>
      </w:r>
      <w:r w:rsidR="00AF0588">
        <w:rPr>
          <w:rFonts w:ascii="Times New Roman" w:hAnsi="Times New Roman"/>
        </w:rPr>
        <w:t xml:space="preserve">household </w:t>
      </w:r>
      <w:r w:rsidRPr="005D5356">
        <w:rPr>
          <w:rFonts w:ascii="Times New Roman" w:hAnsi="Times New Roman"/>
        </w:rPr>
        <w:t>SHS exposure (daily, some, never) for each value of each covariate</w:t>
      </w:r>
      <w:r w:rsidR="00D47CC2" w:rsidRPr="005D5356">
        <w:rPr>
          <w:rFonts w:ascii="Times New Roman" w:hAnsi="Times New Roman"/>
        </w:rPr>
        <w:t xml:space="preserve">, given all </w:t>
      </w:r>
      <w:r w:rsidRPr="005D5356">
        <w:rPr>
          <w:rFonts w:ascii="Times New Roman" w:hAnsi="Times New Roman"/>
        </w:rPr>
        <w:t xml:space="preserve">of the </w:t>
      </w:r>
      <w:r w:rsidR="00D47CC2" w:rsidRPr="005D5356">
        <w:rPr>
          <w:rFonts w:ascii="Times New Roman" w:hAnsi="Times New Roman"/>
        </w:rPr>
        <w:t>covariates included in the model</w:t>
      </w:r>
      <w:proofErr w:type="gramStart"/>
      <w:r w:rsidRPr="005D5356">
        <w:rPr>
          <w:rFonts w:ascii="Times New Roman" w:hAnsi="Times New Roman"/>
        </w:rPr>
        <w:t>.</w:t>
      </w:r>
      <w:r w:rsidR="00E70F4A" w:rsidRPr="005D5356">
        <w:rPr>
          <w:rFonts w:ascii="Times New Roman" w:hAnsi="Times New Roman"/>
        </w:rPr>
        <w:t>[</w:t>
      </w:r>
      <w:proofErr w:type="gramEnd"/>
      <w:r w:rsidR="00E70F4A" w:rsidRPr="005D5356">
        <w:rPr>
          <w:rFonts w:ascii="Times New Roman" w:hAnsi="Times New Roman"/>
        </w:rPr>
        <w:t>1</w:t>
      </w:r>
      <w:r w:rsidR="000735F9">
        <w:rPr>
          <w:rFonts w:ascii="Times New Roman" w:hAnsi="Times New Roman"/>
        </w:rPr>
        <w:t>9</w:t>
      </w:r>
      <w:r w:rsidR="00E70F4A" w:rsidRPr="005D5356">
        <w:rPr>
          <w:rFonts w:ascii="Times New Roman" w:hAnsi="Times New Roman"/>
        </w:rPr>
        <w:t>]</w:t>
      </w:r>
      <w:r w:rsidRPr="005D5356">
        <w:rPr>
          <w:rFonts w:ascii="Times New Roman" w:hAnsi="Times New Roman"/>
        </w:rPr>
        <w:t xml:space="preserve"> </w:t>
      </w:r>
    </w:p>
    <w:p w14:paraId="0F744A8A" w14:textId="77777777" w:rsidR="003F7780" w:rsidRPr="005D5356" w:rsidRDefault="003F7780" w:rsidP="00F07639">
      <w:pPr>
        <w:tabs>
          <w:tab w:val="left" w:pos="1985"/>
        </w:tabs>
        <w:spacing w:line="480" w:lineRule="auto"/>
        <w:rPr>
          <w:rFonts w:ascii="Times New Roman" w:hAnsi="Times New Roman"/>
          <w:color w:val="000000" w:themeColor="text1"/>
        </w:rPr>
      </w:pPr>
    </w:p>
    <w:p w14:paraId="7B5C586F" w14:textId="1BA4D34D" w:rsidR="00411DDA" w:rsidRPr="005D5356" w:rsidRDefault="00411DDA" w:rsidP="00F07639">
      <w:pPr>
        <w:tabs>
          <w:tab w:val="left" w:pos="1985"/>
        </w:tabs>
        <w:spacing w:line="480" w:lineRule="auto"/>
        <w:rPr>
          <w:rFonts w:ascii="Times New Roman" w:hAnsi="Times New Roman"/>
          <w:color w:val="000000" w:themeColor="text1"/>
        </w:rPr>
      </w:pPr>
      <w:r w:rsidRPr="005D5356">
        <w:rPr>
          <w:rFonts w:ascii="Times New Roman" w:hAnsi="Times New Roman"/>
          <w:color w:val="000000" w:themeColor="text1"/>
        </w:rPr>
        <w:t xml:space="preserve">We calculated the </w:t>
      </w:r>
      <w:r w:rsidR="00C9525E" w:rsidRPr="005D5356">
        <w:rPr>
          <w:rFonts w:ascii="Times New Roman" w:hAnsi="Times New Roman"/>
          <w:color w:val="000000" w:themeColor="text1"/>
        </w:rPr>
        <w:t>PAF</w:t>
      </w:r>
      <w:r w:rsidR="00944762" w:rsidRPr="005D5356">
        <w:rPr>
          <w:rFonts w:ascii="Times New Roman" w:hAnsi="Times New Roman"/>
          <w:color w:val="000000" w:themeColor="text1"/>
        </w:rPr>
        <w:t xml:space="preserve"> </w:t>
      </w:r>
      <w:r w:rsidRPr="005D5356">
        <w:rPr>
          <w:rFonts w:ascii="Times New Roman" w:hAnsi="Times New Roman"/>
          <w:color w:val="000000" w:themeColor="text1"/>
        </w:rPr>
        <w:t>of still</w:t>
      </w:r>
      <w:r w:rsidR="00EE6C82" w:rsidRPr="005D5356">
        <w:rPr>
          <w:rFonts w:ascii="Times New Roman" w:hAnsi="Times New Roman"/>
          <w:color w:val="000000" w:themeColor="text1"/>
        </w:rPr>
        <w:t>births</w:t>
      </w:r>
      <w:r w:rsidRPr="005D5356">
        <w:rPr>
          <w:rFonts w:ascii="Times New Roman" w:hAnsi="Times New Roman"/>
          <w:color w:val="000000" w:themeColor="text1"/>
        </w:rPr>
        <w:t xml:space="preserve"> due to active smoking and </w:t>
      </w:r>
      <w:r w:rsidR="00944762" w:rsidRPr="005D5356">
        <w:rPr>
          <w:rFonts w:ascii="Times New Roman" w:hAnsi="Times New Roman"/>
          <w:color w:val="000000" w:themeColor="text1"/>
        </w:rPr>
        <w:t xml:space="preserve">due to </w:t>
      </w:r>
      <w:r w:rsidR="008D3EDC" w:rsidRPr="005D5356">
        <w:rPr>
          <w:rFonts w:ascii="Times New Roman" w:hAnsi="Times New Roman"/>
          <w:color w:val="000000" w:themeColor="text1"/>
        </w:rPr>
        <w:t xml:space="preserve">daily </w:t>
      </w:r>
      <w:r w:rsidR="00AF0588">
        <w:rPr>
          <w:rFonts w:ascii="Times New Roman" w:hAnsi="Times New Roman"/>
          <w:color w:val="000000" w:themeColor="text1"/>
        </w:rPr>
        <w:t xml:space="preserve">household </w:t>
      </w:r>
      <w:r w:rsidRPr="005D5356">
        <w:rPr>
          <w:rFonts w:ascii="Times New Roman" w:hAnsi="Times New Roman"/>
          <w:color w:val="000000" w:themeColor="text1"/>
        </w:rPr>
        <w:t xml:space="preserve">SHS exposure </w:t>
      </w:r>
      <w:r w:rsidR="00BC5685" w:rsidRPr="005D5356">
        <w:rPr>
          <w:rFonts w:ascii="Times New Roman" w:hAnsi="Times New Roman"/>
          <w:color w:val="000000" w:themeColor="text1"/>
        </w:rPr>
        <w:t>for 30 LMICs.</w:t>
      </w:r>
      <w:r w:rsidRPr="005D5356">
        <w:rPr>
          <w:rFonts w:ascii="Times New Roman" w:hAnsi="Times New Roman"/>
          <w:color w:val="000000" w:themeColor="text1"/>
        </w:rPr>
        <w:t xml:space="preserve"> We used respective estimates of the </w:t>
      </w:r>
      <w:r w:rsidR="00963375">
        <w:rPr>
          <w:rFonts w:ascii="Times New Roman" w:hAnsi="Times New Roman"/>
          <w:color w:val="000000" w:themeColor="text1"/>
        </w:rPr>
        <w:t>odds ratio</w:t>
      </w:r>
      <w:r w:rsidRPr="005D5356">
        <w:rPr>
          <w:rFonts w:ascii="Times New Roman" w:hAnsi="Times New Roman"/>
          <w:color w:val="000000" w:themeColor="text1"/>
        </w:rPr>
        <w:t xml:space="preserve"> </w:t>
      </w:r>
      <w:r w:rsidR="00944762" w:rsidRPr="005D5356">
        <w:rPr>
          <w:rFonts w:ascii="Times New Roman" w:hAnsi="Times New Roman"/>
          <w:color w:val="000000" w:themeColor="text1"/>
        </w:rPr>
        <w:t>(</w:t>
      </w:r>
      <w:r w:rsidR="00963375">
        <w:rPr>
          <w:rFonts w:ascii="Times New Roman" w:hAnsi="Times New Roman"/>
          <w:color w:val="000000" w:themeColor="text1"/>
        </w:rPr>
        <w:t>O</w:t>
      </w:r>
      <w:r w:rsidR="00944762" w:rsidRPr="005D5356">
        <w:rPr>
          <w:rFonts w:ascii="Times New Roman" w:hAnsi="Times New Roman"/>
          <w:color w:val="000000" w:themeColor="text1"/>
        </w:rPr>
        <w:t xml:space="preserve">R) </w:t>
      </w:r>
      <w:r w:rsidRPr="005D5356">
        <w:rPr>
          <w:rFonts w:ascii="Times New Roman" w:hAnsi="Times New Roman"/>
          <w:color w:val="000000" w:themeColor="text1"/>
        </w:rPr>
        <w:t xml:space="preserve">of stillbirth due to active smoking </w:t>
      </w:r>
      <w:r w:rsidR="00944762" w:rsidRPr="005D5356">
        <w:rPr>
          <w:rFonts w:ascii="Times New Roman" w:hAnsi="Times New Roman"/>
          <w:color w:val="000000" w:themeColor="text1"/>
        </w:rPr>
        <w:t>(</w:t>
      </w:r>
      <w:r w:rsidR="00963375">
        <w:rPr>
          <w:rFonts w:ascii="Times New Roman" w:hAnsi="Times New Roman"/>
          <w:color w:val="000000" w:themeColor="text1"/>
        </w:rPr>
        <w:t>OR</w:t>
      </w:r>
      <w:r w:rsidR="00165CFE" w:rsidRPr="005D5356">
        <w:rPr>
          <w:rFonts w:ascii="Times New Roman" w:hAnsi="Times New Roman"/>
          <w:color w:val="000000" w:themeColor="text1"/>
        </w:rPr>
        <w:t>1·36</w:t>
      </w:r>
      <w:r w:rsidR="00944762" w:rsidRPr="005D5356">
        <w:rPr>
          <w:rFonts w:ascii="Times New Roman" w:hAnsi="Times New Roman"/>
          <w:color w:val="000000" w:themeColor="text1"/>
        </w:rPr>
        <w:t>)</w:t>
      </w:r>
      <w:r w:rsidR="00E70F4A" w:rsidRPr="005D5356">
        <w:rPr>
          <w:rFonts w:ascii="Times New Roman" w:hAnsi="Times New Roman"/>
          <w:color w:val="000000" w:themeColor="text1"/>
        </w:rPr>
        <w:t>[</w:t>
      </w:r>
      <w:r w:rsidR="000735F9">
        <w:rPr>
          <w:rFonts w:ascii="Times New Roman" w:hAnsi="Times New Roman"/>
          <w:color w:val="000000" w:themeColor="text1"/>
        </w:rPr>
        <w:t>20</w:t>
      </w:r>
      <w:r w:rsidR="00E70F4A" w:rsidRPr="005D5356">
        <w:rPr>
          <w:rFonts w:ascii="Times New Roman" w:hAnsi="Times New Roman"/>
          <w:color w:val="000000" w:themeColor="text1"/>
        </w:rPr>
        <w:t>]</w:t>
      </w:r>
      <w:r w:rsidR="00944762" w:rsidRPr="005D5356">
        <w:rPr>
          <w:rFonts w:ascii="Times New Roman" w:hAnsi="Times New Roman"/>
          <w:color w:val="000000" w:themeColor="text1"/>
        </w:rPr>
        <w:t xml:space="preserve"> </w:t>
      </w:r>
      <w:r w:rsidRPr="005D5356">
        <w:rPr>
          <w:rFonts w:ascii="Times New Roman" w:hAnsi="Times New Roman"/>
          <w:color w:val="000000" w:themeColor="text1"/>
        </w:rPr>
        <w:t>and SHS</w:t>
      </w:r>
      <w:r w:rsidR="00EE6C82" w:rsidRPr="005D5356">
        <w:rPr>
          <w:rFonts w:ascii="Times New Roman" w:hAnsi="Times New Roman"/>
          <w:color w:val="000000" w:themeColor="text1"/>
        </w:rPr>
        <w:t xml:space="preserve"> </w:t>
      </w:r>
      <w:r w:rsidR="00944762" w:rsidRPr="005D5356">
        <w:rPr>
          <w:rFonts w:ascii="Times New Roman" w:hAnsi="Times New Roman"/>
          <w:color w:val="000000" w:themeColor="text1"/>
        </w:rPr>
        <w:t>(</w:t>
      </w:r>
      <w:r w:rsidR="00822902">
        <w:rPr>
          <w:rFonts w:ascii="Times New Roman" w:hAnsi="Times New Roman"/>
          <w:color w:val="000000" w:themeColor="text1"/>
        </w:rPr>
        <w:t>O</w:t>
      </w:r>
      <w:r w:rsidR="00165CFE" w:rsidRPr="005D5356">
        <w:rPr>
          <w:rFonts w:ascii="Times New Roman" w:hAnsi="Times New Roman"/>
          <w:color w:val="000000" w:themeColor="text1"/>
        </w:rPr>
        <w:t>R 1·23</w:t>
      </w:r>
      <w:r w:rsidR="006B7B09" w:rsidRPr="005D5356">
        <w:rPr>
          <w:rFonts w:ascii="Times New Roman" w:hAnsi="Times New Roman"/>
          <w:color w:val="000000" w:themeColor="text1"/>
        </w:rPr>
        <w:fldChar w:fldCharType="begin"/>
      </w:r>
      <w:r w:rsidR="006B7B09" w:rsidRPr="005D5356">
        <w:rPr>
          <w:rFonts w:ascii="Times New Roman" w:hAnsi="Times New Roman"/>
          <w:color w:val="000000" w:themeColor="text1"/>
        </w:rPr>
        <w:instrText xml:space="preserve"> QUOTE </w:instrText>
      </w:r>
      <m:oMath>
        <m:r>
          <m:rPr>
            <m:sty m:val="p"/>
          </m:rPr>
          <w:rPr>
            <w:rFonts w:ascii="Cambria Math" w:hAnsi="Cambria Math" w:hint="eastAsia"/>
            <w:sz w:val="20"/>
            <w:szCs w:val="20"/>
            <w:highlight w:val="yellow"/>
          </w:rPr>
          <m:t>RR=1.23</m:t>
        </m:r>
      </m:oMath>
      <w:r w:rsidR="006B7B09" w:rsidRPr="005D5356">
        <w:rPr>
          <w:rFonts w:ascii="Times New Roman" w:hAnsi="Times New Roman"/>
          <w:color w:val="000000" w:themeColor="text1"/>
        </w:rPr>
        <w:instrText xml:space="preserve"> </w:instrText>
      </w:r>
      <w:r w:rsidR="006B7B09" w:rsidRPr="005D5356">
        <w:rPr>
          <w:rFonts w:ascii="Times New Roman" w:hAnsi="Times New Roman"/>
          <w:color w:val="000000" w:themeColor="text1"/>
        </w:rPr>
        <w:fldChar w:fldCharType="end"/>
      </w:r>
      <w:r w:rsidR="00944762" w:rsidRPr="005D5356">
        <w:rPr>
          <w:rFonts w:ascii="Times New Roman" w:hAnsi="Times New Roman"/>
          <w:color w:val="000000" w:themeColor="text1"/>
        </w:rPr>
        <w:t>)</w:t>
      </w:r>
      <w:r w:rsidR="00E70F4A" w:rsidRPr="005D5356">
        <w:rPr>
          <w:rFonts w:ascii="Times New Roman" w:hAnsi="Times New Roman"/>
          <w:color w:val="000000" w:themeColor="text1"/>
        </w:rPr>
        <w:t>[4]</w:t>
      </w:r>
      <w:r w:rsidR="00944762" w:rsidRPr="005D5356">
        <w:rPr>
          <w:rFonts w:ascii="Times New Roman" w:hAnsi="Times New Roman"/>
          <w:color w:val="000000" w:themeColor="text1"/>
        </w:rPr>
        <w:t xml:space="preserve"> from meta-analyses</w:t>
      </w:r>
      <w:r w:rsidR="00EE6C82" w:rsidRPr="005D5356">
        <w:rPr>
          <w:rFonts w:ascii="Times New Roman" w:hAnsi="Times New Roman"/>
          <w:color w:val="000000" w:themeColor="text1"/>
        </w:rPr>
        <w:t xml:space="preserve"> and the prevalence</w:t>
      </w:r>
      <w:r w:rsidRPr="005D5356">
        <w:rPr>
          <w:rFonts w:ascii="Times New Roman" w:hAnsi="Times New Roman"/>
          <w:color w:val="000000" w:themeColor="text1"/>
        </w:rPr>
        <w:t xml:space="preserve"> of each</w:t>
      </w:r>
      <w:r w:rsidR="00EE6C82" w:rsidRPr="005D5356">
        <w:rPr>
          <w:rFonts w:ascii="Times New Roman" w:hAnsi="Times New Roman"/>
          <w:color w:val="000000" w:themeColor="text1"/>
        </w:rPr>
        <w:t xml:space="preserve"> found in </w:t>
      </w:r>
      <w:r w:rsidRPr="005D5356">
        <w:rPr>
          <w:rFonts w:ascii="Times New Roman" w:hAnsi="Times New Roman"/>
          <w:color w:val="000000" w:themeColor="text1"/>
        </w:rPr>
        <w:t>this study, using the formula for PAF</w:t>
      </w:r>
      <w:proofErr w:type="gramStart"/>
      <w:r w:rsidRPr="005D5356">
        <w:rPr>
          <w:rFonts w:ascii="Times New Roman" w:hAnsi="Times New Roman"/>
          <w:color w:val="000000" w:themeColor="text1"/>
        </w:rPr>
        <w:t>:</w:t>
      </w:r>
      <w:r w:rsidR="00F91C26">
        <w:rPr>
          <w:rFonts w:ascii="Times New Roman" w:hAnsi="Times New Roman"/>
          <w:color w:val="000000" w:themeColor="text1"/>
        </w:rPr>
        <w:t>[</w:t>
      </w:r>
      <w:proofErr w:type="gramEnd"/>
      <w:r w:rsidR="00F91C26">
        <w:rPr>
          <w:rFonts w:ascii="Times New Roman" w:hAnsi="Times New Roman"/>
          <w:color w:val="000000" w:themeColor="text1"/>
        </w:rPr>
        <w:t>21]</w:t>
      </w:r>
    </w:p>
    <w:p w14:paraId="20B9A565" w14:textId="77777777" w:rsidR="00411DDA" w:rsidRPr="005D5356" w:rsidRDefault="00411DDA" w:rsidP="00F07639">
      <w:pPr>
        <w:tabs>
          <w:tab w:val="left" w:pos="1985"/>
        </w:tabs>
        <w:spacing w:line="480" w:lineRule="auto"/>
        <w:rPr>
          <w:rFonts w:ascii="Times New Roman" w:hAnsi="Times New Roman"/>
          <w:color w:val="000000" w:themeColor="text1"/>
        </w:rPr>
      </w:pPr>
    </w:p>
    <w:p w14:paraId="6D49096A" w14:textId="76BD913B" w:rsidR="00DF6EB2" w:rsidRPr="005D5356" w:rsidRDefault="002C4532" w:rsidP="00F07639">
      <w:pPr>
        <w:tabs>
          <w:tab w:val="left" w:pos="1985"/>
        </w:tabs>
        <w:spacing w:line="480" w:lineRule="auto"/>
        <w:rPr>
          <w:rFonts w:ascii="Cambria Math" w:hAnsi="Cambria Math"/>
          <w:color w:val="000000" w:themeColor="text1"/>
          <w:oMath/>
        </w:rPr>
      </w:pPr>
      <m:oMathPara>
        <m:oMath>
          <m:r>
            <w:rPr>
              <w:rFonts w:ascii="Cambria Math" w:hAnsi="Cambria Math"/>
              <w:color w:val="000000" w:themeColor="text1"/>
            </w:rPr>
            <m:t>PAF=</m:t>
          </m:r>
          <m:f>
            <m:fPr>
              <m:ctrlPr>
                <w:rPr>
                  <w:rFonts w:ascii="Cambria Math" w:hAnsi="Cambria Math"/>
                  <w:i/>
                  <w:color w:val="000000" w:themeColor="text1"/>
                </w:rPr>
              </m:ctrlPr>
            </m:fPr>
            <m:num>
              <m:r>
                <w:rPr>
                  <w:rFonts w:ascii="Cambria Math" w:hAnsi="Cambria Math"/>
                  <w:color w:val="000000" w:themeColor="text1"/>
                </w:rPr>
                <m:t>(Prevalence)*(Relative Risk-1)</m:t>
              </m:r>
            </m:num>
            <m:den>
              <m:r>
                <w:rPr>
                  <w:rFonts w:ascii="Cambria Math" w:hAnsi="Cambria Math"/>
                  <w:color w:val="000000" w:themeColor="text1"/>
                </w:rPr>
                <m:t>(Relative Risk)</m:t>
              </m:r>
            </m:den>
          </m:f>
        </m:oMath>
      </m:oMathPara>
    </w:p>
    <w:p w14:paraId="0281C47F" w14:textId="77777777" w:rsidR="00D60C79" w:rsidRPr="005D5356" w:rsidRDefault="00D60C79" w:rsidP="00F07639">
      <w:pPr>
        <w:spacing w:line="480" w:lineRule="auto"/>
        <w:rPr>
          <w:rFonts w:ascii="Times New Roman" w:hAnsi="Times New Roman"/>
        </w:rPr>
      </w:pPr>
    </w:p>
    <w:p w14:paraId="4BC48B0B" w14:textId="3C2D4038" w:rsidR="007E212F" w:rsidRPr="005D5356" w:rsidRDefault="007D7306" w:rsidP="00F07639">
      <w:pPr>
        <w:spacing w:line="480" w:lineRule="auto"/>
        <w:rPr>
          <w:rFonts w:ascii="Times New Roman" w:hAnsi="Times New Roman"/>
        </w:rPr>
      </w:pPr>
      <w:r>
        <w:rPr>
          <w:rFonts w:ascii="Times New Roman" w:hAnsi="Times New Roman"/>
        </w:rPr>
        <w:t>We used OR in place of relative risk</w:t>
      </w:r>
      <w:r w:rsidR="00554F3D">
        <w:rPr>
          <w:rFonts w:ascii="Times New Roman" w:hAnsi="Times New Roman"/>
        </w:rPr>
        <w:t xml:space="preserve">, </w:t>
      </w:r>
      <w:r w:rsidR="00D56346">
        <w:rPr>
          <w:rFonts w:ascii="Times New Roman" w:hAnsi="Times New Roman"/>
        </w:rPr>
        <w:t>as stillbirth is a low-frequency outcome</w:t>
      </w:r>
      <w:r w:rsidR="009113A7">
        <w:rPr>
          <w:rFonts w:ascii="Times New Roman" w:hAnsi="Times New Roman"/>
        </w:rPr>
        <w:t xml:space="preserve"> and </w:t>
      </w:r>
      <w:r w:rsidR="00101720">
        <w:rPr>
          <w:rFonts w:ascii="Times New Roman" w:hAnsi="Times New Roman"/>
        </w:rPr>
        <w:t>available meta-analyses present OR</w:t>
      </w:r>
      <w:r w:rsidR="00D56346">
        <w:rPr>
          <w:rFonts w:ascii="Times New Roman" w:hAnsi="Times New Roman"/>
        </w:rPr>
        <w:t xml:space="preserve">. </w:t>
      </w:r>
      <w:r w:rsidR="0095175C" w:rsidRPr="005D5356">
        <w:rPr>
          <w:rFonts w:ascii="Times New Roman" w:hAnsi="Times New Roman"/>
        </w:rPr>
        <w:t>Collected p</w:t>
      </w:r>
      <w:r w:rsidR="00C65E30" w:rsidRPr="005D5356">
        <w:rPr>
          <w:rFonts w:ascii="Times New Roman" w:hAnsi="Times New Roman"/>
        </w:rPr>
        <w:t>revalence data for active smoking</w:t>
      </w:r>
      <w:r w:rsidR="0095175C" w:rsidRPr="005D5356">
        <w:rPr>
          <w:rFonts w:ascii="Times New Roman" w:hAnsi="Times New Roman"/>
        </w:rPr>
        <w:t xml:space="preserve"> in pregnancy was used </w:t>
      </w:r>
      <w:r w:rsidR="00C65E30" w:rsidRPr="005D5356">
        <w:rPr>
          <w:rFonts w:ascii="Times New Roman" w:hAnsi="Times New Roman"/>
        </w:rPr>
        <w:t xml:space="preserve">to provide </w:t>
      </w:r>
      <w:r w:rsidR="009B004F" w:rsidRPr="005D5356">
        <w:rPr>
          <w:rFonts w:ascii="Times New Roman" w:hAnsi="Times New Roman"/>
        </w:rPr>
        <w:t xml:space="preserve">a comparison </w:t>
      </w:r>
      <w:r w:rsidR="0095175C" w:rsidRPr="005D5356">
        <w:rPr>
          <w:rFonts w:ascii="Times New Roman" w:hAnsi="Times New Roman"/>
        </w:rPr>
        <w:t xml:space="preserve">to </w:t>
      </w:r>
      <w:r w:rsidR="00AF0588">
        <w:rPr>
          <w:rFonts w:ascii="Times New Roman" w:hAnsi="Times New Roman"/>
        </w:rPr>
        <w:t xml:space="preserve">household </w:t>
      </w:r>
      <w:r w:rsidR="0095175C" w:rsidRPr="005D5356">
        <w:rPr>
          <w:rFonts w:ascii="Times New Roman" w:hAnsi="Times New Roman"/>
        </w:rPr>
        <w:t xml:space="preserve">SHS exposure. </w:t>
      </w:r>
    </w:p>
    <w:p w14:paraId="4E170B93" w14:textId="77777777" w:rsidR="007E212F" w:rsidRPr="005D5356" w:rsidRDefault="007E212F" w:rsidP="00F07639">
      <w:pPr>
        <w:spacing w:line="480" w:lineRule="auto"/>
        <w:rPr>
          <w:rFonts w:ascii="Times New Roman" w:hAnsi="Times New Roman"/>
        </w:rPr>
      </w:pPr>
    </w:p>
    <w:p w14:paraId="475BED4A" w14:textId="77777777" w:rsidR="00071526" w:rsidRPr="00E00ABD" w:rsidRDefault="00466805" w:rsidP="00F07639">
      <w:pPr>
        <w:spacing w:line="480" w:lineRule="auto"/>
        <w:rPr>
          <w:rFonts w:ascii="Times New Roman" w:hAnsi="Times New Roman"/>
          <w:b/>
          <w:bCs/>
          <w:caps/>
        </w:rPr>
      </w:pPr>
      <w:r w:rsidRPr="00E00ABD">
        <w:rPr>
          <w:rFonts w:ascii="Times New Roman" w:hAnsi="Times New Roman"/>
          <w:b/>
          <w:bCs/>
          <w:caps/>
        </w:rPr>
        <w:t>Results</w:t>
      </w:r>
    </w:p>
    <w:p w14:paraId="2CAB0FB8" w14:textId="77777777" w:rsidR="00466805" w:rsidRPr="005D5356" w:rsidRDefault="00466805" w:rsidP="00F07639">
      <w:pPr>
        <w:spacing w:line="480" w:lineRule="auto"/>
        <w:rPr>
          <w:rFonts w:ascii="Times New Roman" w:hAnsi="Times New Roman"/>
        </w:rPr>
      </w:pPr>
    </w:p>
    <w:p w14:paraId="3986DC89" w14:textId="1D0D70CF" w:rsidR="005A2487" w:rsidRPr="005D5356" w:rsidRDefault="00402D03" w:rsidP="00F07639">
      <w:pPr>
        <w:spacing w:line="480" w:lineRule="auto"/>
        <w:rPr>
          <w:rFonts w:ascii="Times New Roman" w:hAnsi="Times New Roman"/>
        </w:rPr>
      </w:pPr>
      <w:r>
        <w:rPr>
          <w:rFonts w:ascii="Times New Roman" w:hAnsi="Times New Roman"/>
        </w:rPr>
        <w:t>Thirty-six</w:t>
      </w:r>
      <w:r w:rsidR="0047115B">
        <w:rPr>
          <w:rFonts w:ascii="Times New Roman" w:hAnsi="Times New Roman"/>
        </w:rPr>
        <w:t xml:space="preserve"> countries in the DHS database completed the phase 6 of the questionnaire. </w:t>
      </w:r>
      <w:r w:rsidR="00D10B2B" w:rsidRPr="005D5356">
        <w:rPr>
          <w:rFonts w:ascii="Times New Roman" w:hAnsi="Times New Roman"/>
        </w:rPr>
        <w:t>30</w:t>
      </w:r>
      <w:r w:rsidR="00530443" w:rsidRPr="005D5356">
        <w:rPr>
          <w:rFonts w:ascii="Times New Roman" w:hAnsi="Times New Roman"/>
        </w:rPr>
        <w:t xml:space="preserve"> countries were included in our analysis</w:t>
      </w:r>
      <w:r w:rsidR="00DF4B0D" w:rsidRPr="005D5356">
        <w:rPr>
          <w:rFonts w:ascii="Times New Roman" w:hAnsi="Times New Roman"/>
        </w:rPr>
        <w:t>:</w:t>
      </w:r>
      <w:r w:rsidR="00796202" w:rsidRPr="005D5356">
        <w:rPr>
          <w:rFonts w:ascii="Times New Roman" w:hAnsi="Times New Roman"/>
        </w:rPr>
        <w:t xml:space="preserve"> 19 from sub-Saharan Africa</w:t>
      </w:r>
      <w:r w:rsidR="00487955">
        <w:rPr>
          <w:rFonts w:ascii="Times New Roman" w:hAnsi="Times New Roman"/>
        </w:rPr>
        <w:t xml:space="preserve"> (SSA)</w:t>
      </w:r>
      <w:r w:rsidR="00DF4B0D" w:rsidRPr="005D5356">
        <w:rPr>
          <w:rFonts w:ascii="Times New Roman" w:hAnsi="Times New Roman"/>
        </w:rPr>
        <w:t>;</w:t>
      </w:r>
      <w:r w:rsidR="00796202" w:rsidRPr="005D5356">
        <w:rPr>
          <w:rFonts w:ascii="Times New Roman" w:hAnsi="Times New Roman"/>
        </w:rPr>
        <w:t xml:space="preserve"> 3 each from Southeast Asia</w:t>
      </w:r>
      <w:r w:rsidR="00487955">
        <w:rPr>
          <w:rFonts w:ascii="Times New Roman" w:hAnsi="Times New Roman"/>
        </w:rPr>
        <w:t xml:space="preserve"> (SEA)</w:t>
      </w:r>
      <w:r w:rsidR="00796202" w:rsidRPr="005D5356">
        <w:rPr>
          <w:rFonts w:ascii="Times New Roman" w:hAnsi="Times New Roman"/>
        </w:rPr>
        <w:t>, Europe</w:t>
      </w:r>
      <w:r w:rsidR="00487955">
        <w:rPr>
          <w:rFonts w:ascii="Times New Roman" w:hAnsi="Times New Roman"/>
        </w:rPr>
        <w:t xml:space="preserve"> (EURO)</w:t>
      </w:r>
      <w:r w:rsidR="00796202" w:rsidRPr="005D5356">
        <w:rPr>
          <w:rFonts w:ascii="Times New Roman" w:hAnsi="Times New Roman"/>
        </w:rPr>
        <w:t>, and the Eastern Mediterranean</w:t>
      </w:r>
      <w:r w:rsidR="00487955">
        <w:rPr>
          <w:rFonts w:ascii="Times New Roman" w:hAnsi="Times New Roman"/>
        </w:rPr>
        <w:t xml:space="preserve"> (MENA)</w:t>
      </w:r>
      <w:r w:rsidR="00DF4B0D" w:rsidRPr="005D5356">
        <w:rPr>
          <w:rFonts w:ascii="Times New Roman" w:hAnsi="Times New Roman"/>
        </w:rPr>
        <w:t>;</w:t>
      </w:r>
      <w:r w:rsidR="00796202" w:rsidRPr="005D5356">
        <w:rPr>
          <w:rFonts w:ascii="Times New Roman" w:hAnsi="Times New Roman"/>
        </w:rPr>
        <w:t xml:space="preserve"> and 2 from Latin America/Caribbean</w:t>
      </w:r>
      <w:r w:rsidR="00487955">
        <w:rPr>
          <w:rFonts w:ascii="Times New Roman" w:hAnsi="Times New Roman"/>
        </w:rPr>
        <w:t xml:space="preserve"> (LAC)</w:t>
      </w:r>
      <w:proofErr w:type="gramStart"/>
      <w:r w:rsidR="00530443" w:rsidRPr="005D5356">
        <w:rPr>
          <w:rFonts w:ascii="Times New Roman" w:hAnsi="Times New Roman"/>
        </w:rPr>
        <w:t>.</w:t>
      </w:r>
      <w:r w:rsidR="00E70F4A" w:rsidRPr="005D5356">
        <w:rPr>
          <w:rFonts w:ascii="Times New Roman" w:hAnsi="Times New Roman"/>
        </w:rPr>
        <w:t>[</w:t>
      </w:r>
      <w:proofErr w:type="gramEnd"/>
      <w:r w:rsidR="00F91C26">
        <w:rPr>
          <w:rFonts w:ascii="Times New Roman" w:hAnsi="Times New Roman"/>
        </w:rPr>
        <w:t>22</w:t>
      </w:r>
      <w:r w:rsidR="00E70F4A" w:rsidRPr="005D5356">
        <w:rPr>
          <w:rFonts w:ascii="Times New Roman" w:hAnsi="Times New Roman"/>
        </w:rPr>
        <w:t>]</w:t>
      </w:r>
      <w:r w:rsidR="0047115B">
        <w:rPr>
          <w:rFonts w:ascii="Times New Roman" w:hAnsi="Times New Roman"/>
        </w:rPr>
        <w:t xml:space="preserve"> These countries had 100% response rate to </w:t>
      </w:r>
      <w:r w:rsidR="0047115B" w:rsidRPr="0047115B">
        <w:rPr>
          <w:rFonts w:ascii="Times New Roman" w:hAnsi="Times New Roman"/>
          <w:lang w:val="en-GB"/>
        </w:rPr>
        <w:t>question 101 of the DHS Household Standard questionnaire</w:t>
      </w:r>
      <w:r w:rsidR="0047115B">
        <w:rPr>
          <w:rFonts w:ascii="Times New Roman" w:hAnsi="Times New Roman"/>
          <w:lang w:val="en-GB"/>
        </w:rPr>
        <w:t xml:space="preserve">. </w:t>
      </w:r>
      <w:r w:rsidR="00F578DB">
        <w:rPr>
          <w:rFonts w:ascii="Times New Roman" w:hAnsi="Times New Roman"/>
          <w:lang w:val="en-GB"/>
        </w:rPr>
        <w:t>Six</w:t>
      </w:r>
      <w:r w:rsidR="00194AFE">
        <w:rPr>
          <w:rFonts w:ascii="Times New Roman" w:hAnsi="Times New Roman"/>
          <w:lang w:val="en-GB"/>
        </w:rPr>
        <w:t xml:space="preserve"> countries </w:t>
      </w:r>
      <w:r w:rsidR="00F578DB">
        <w:rPr>
          <w:rFonts w:ascii="Times New Roman" w:hAnsi="Times New Roman"/>
          <w:lang w:val="en-GB"/>
        </w:rPr>
        <w:t xml:space="preserve">(Cameroon, Dominican Republic, Malawi, Niger, Philippines and Senegal) </w:t>
      </w:r>
      <w:r w:rsidR="00213D92">
        <w:rPr>
          <w:rFonts w:ascii="Times New Roman" w:hAnsi="Times New Roman"/>
          <w:lang w:val="en-GB"/>
        </w:rPr>
        <w:t xml:space="preserve">did not </w:t>
      </w:r>
      <w:r w:rsidR="0056656E">
        <w:rPr>
          <w:rFonts w:ascii="Times New Roman" w:hAnsi="Times New Roman"/>
          <w:lang w:val="en-GB"/>
        </w:rPr>
        <w:t xml:space="preserve">include question 101 in their </w:t>
      </w:r>
      <w:r w:rsidR="0056656E" w:rsidRPr="005D5356">
        <w:rPr>
          <w:rFonts w:ascii="Times New Roman" w:hAnsi="Times New Roman"/>
          <w:lang w:val="en-GB"/>
        </w:rPr>
        <w:t>DHS Household Standard questionnaire</w:t>
      </w:r>
      <w:r w:rsidR="0056656E">
        <w:rPr>
          <w:rFonts w:ascii="Times New Roman" w:hAnsi="Times New Roman"/>
          <w:lang w:val="en-GB"/>
        </w:rPr>
        <w:t xml:space="preserve"> </w:t>
      </w:r>
      <w:r w:rsidR="0056656E">
        <w:rPr>
          <w:rFonts w:ascii="Times New Roman" w:hAnsi="Times New Roman"/>
          <w:lang w:val="en-GB"/>
        </w:rPr>
        <w:lastRenderedPageBreak/>
        <w:t xml:space="preserve">and therefore did not </w:t>
      </w:r>
      <w:r w:rsidR="00213D92">
        <w:rPr>
          <w:rFonts w:ascii="Times New Roman" w:hAnsi="Times New Roman"/>
          <w:lang w:val="en-GB"/>
        </w:rPr>
        <w:t xml:space="preserve">collect data for </w:t>
      </w:r>
      <w:r w:rsidR="0056656E">
        <w:rPr>
          <w:rFonts w:ascii="Times New Roman" w:hAnsi="Times New Roman"/>
          <w:lang w:val="en-GB"/>
        </w:rPr>
        <w:t>this question</w:t>
      </w:r>
      <w:r w:rsidR="00213D92" w:rsidRPr="005D5356">
        <w:rPr>
          <w:rFonts w:ascii="Times New Roman" w:hAnsi="Times New Roman"/>
          <w:lang w:val="en-GB"/>
        </w:rPr>
        <w:t xml:space="preserve"> </w:t>
      </w:r>
      <w:r w:rsidR="00213D92">
        <w:rPr>
          <w:rFonts w:ascii="Times New Roman" w:hAnsi="Times New Roman"/>
          <w:lang w:val="en-GB"/>
        </w:rPr>
        <w:t xml:space="preserve">(0% response rate) and </w:t>
      </w:r>
      <w:r w:rsidR="00194AFE">
        <w:rPr>
          <w:rFonts w:ascii="Times New Roman" w:hAnsi="Times New Roman"/>
          <w:lang w:val="en-GB"/>
        </w:rPr>
        <w:t xml:space="preserve">were excluded from </w:t>
      </w:r>
      <w:r w:rsidR="00F578DB">
        <w:rPr>
          <w:rFonts w:ascii="Times New Roman" w:hAnsi="Times New Roman"/>
          <w:lang w:val="en-GB"/>
        </w:rPr>
        <w:t xml:space="preserve">the </w:t>
      </w:r>
      <w:r w:rsidR="00194AFE">
        <w:rPr>
          <w:rFonts w:ascii="Times New Roman" w:hAnsi="Times New Roman"/>
          <w:lang w:val="en-GB"/>
        </w:rPr>
        <w:t>analysis</w:t>
      </w:r>
      <w:r w:rsidR="00F578DB">
        <w:rPr>
          <w:rFonts w:ascii="Times New Roman" w:hAnsi="Times New Roman"/>
          <w:lang w:val="en-GB"/>
        </w:rPr>
        <w:t>.</w:t>
      </w:r>
      <w:r w:rsidR="00EB48B7">
        <w:rPr>
          <w:rFonts w:ascii="Times New Roman" w:hAnsi="Times New Roman"/>
          <w:lang w:val="en-GB"/>
        </w:rPr>
        <w:t xml:space="preserve"> </w:t>
      </w:r>
      <w:r w:rsidR="009C622E">
        <w:rPr>
          <w:rFonts w:ascii="Times New Roman" w:hAnsi="Times New Roman"/>
          <w:lang w:val="en-GB"/>
        </w:rPr>
        <w:t>The demographics of pregnant women according to</w:t>
      </w:r>
      <w:r w:rsidR="008861B6">
        <w:rPr>
          <w:rFonts w:ascii="Times New Roman" w:hAnsi="Times New Roman"/>
          <w:lang w:val="en-GB"/>
        </w:rPr>
        <w:t xml:space="preserve"> smoking status</w:t>
      </w:r>
      <w:r w:rsidR="009C622E">
        <w:rPr>
          <w:rFonts w:ascii="Times New Roman" w:hAnsi="Times New Roman"/>
          <w:lang w:val="en-GB"/>
        </w:rPr>
        <w:t xml:space="preserve"> </w:t>
      </w:r>
      <w:r w:rsidR="008861B6">
        <w:rPr>
          <w:rFonts w:ascii="Times New Roman" w:hAnsi="Times New Roman"/>
          <w:lang w:val="en-GB"/>
        </w:rPr>
        <w:t xml:space="preserve">by </w:t>
      </w:r>
      <w:r w:rsidR="009C622E">
        <w:rPr>
          <w:rFonts w:ascii="Times New Roman" w:hAnsi="Times New Roman"/>
          <w:lang w:val="en-GB"/>
        </w:rPr>
        <w:t xml:space="preserve">country </w:t>
      </w:r>
      <w:r w:rsidR="008861B6">
        <w:rPr>
          <w:rFonts w:ascii="Times New Roman" w:hAnsi="Times New Roman"/>
          <w:lang w:val="en-GB"/>
        </w:rPr>
        <w:t xml:space="preserve">studied can be found </w:t>
      </w:r>
      <w:r w:rsidR="009C622E">
        <w:rPr>
          <w:rFonts w:ascii="Times New Roman" w:hAnsi="Times New Roman"/>
          <w:lang w:val="en-GB"/>
        </w:rPr>
        <w:t xml:space="preserve">in </w:t>
      </w:r>
      <w:r w:rsidR="005B5042">
        <w:rPr>
          <w:rFonts w:ascii="Times New Roman" w:hAnsi="Times New Roman"/>
        </w:rPr>
        <w:t>see Supplementary File 1</w:t>
      </w:r>
      <w:r w:rsidR="008861B6">
        <w:rPr>
          <w:rFonts w:ascii="Times New Roman" w:hAnsi="Times New Roman"/>
          <w:lang w:val="en-GB"/>
        </w:rPr>
        <w:t>.</w:t>
      </w:r>
      <w:r w:rsidR="00EB48B7">
        <w:rPr>
          <w:rFonts w:ascii="Times New Roman" w:hAnsi="Times New Roman"/>
          <w:lang w:val="en-GB"/>
        </w:rPr>
        <w:t xml:space="preserve"> </w:t>
      </w:r>
    </w:p>
    <w:p w14:paraId="05C753AE" w14:textId="77777777" w:rsidR="00574AA9" w:rsidRPr="005D5356" w:rsidRDefault="00574AA9" w:rsidP="00F07639">
      <w:pPr>
        <w:spacing w:line="480" w:lineRule="auto"/>
        <w:rPr>
          <w:rFonts w:ascii="Times New Roman" w:hAnsi="Times New Roman"/>
        </w:rPr>
      </w:pPr>
    </w:p>
    <w:p w14:paraId="59B6B568" w14:textId="43B7D975" w:rsidR="002658F8" w:rsidRPr="005D5356" w:rsidRDefault="002658F8" w:rsidP="00F07639">
      <w:pPr>
        <w:spacing w:line="480" w:lineRule="auto"/>
        <w:rPr>
          <w:rFonts w:ascii="Times New Roman" w:hAnsi="Times New Roman"/>
        </w:rPr>
      </w:pPr>
      <w:r w:rsidRPr="005D5356">
        <w:rPr>
          <w:rFonts w:ascii="Times New Roman" w:hAnsi="Times New Roman"/>
        </w:rPr>
        <w:t xml:space="preserve">Any exposure to </w:t>
      </w:r>
      <w:r w:rsidR="00AF0588">
        <w:rPr>
          <w:rFonts w:ascii="Times New Roman" w:hAnsi="Times New Roman"/>
        </w:rPr>
        <w:t xml:space="preserve">household </w:t>
      </w:r>
      <w:r w:rsidRPr="005D5356">
        <w:rPr>
          <w:rFonts w:ascii="Times New Roman" w:hAnsi="Times New Roman"/>
        </w:rPr>
        <w:t xml:space="preserve">SHS ranged from 7% </w:t>
      </w:r>
      <w:r w:rsidR="00A52479" w:rsidRPr="005D5356">
        <w:rPr>
          <w:rFonts w:ascii="Times New Roman" w:hAnsi="Times New Roman"/>
        </w:rPr>
        <w:t xml:space="preserve">[6%, 9%] </w:t>
      </w:r>
      <w:r w:rsidRPr="005D5356">
        <w:rPr>
          <w:rFonts w:ascii="Times New Roman" w:hAnsi="Times New Roman"/>
        </w:rPr>
        <w:t xml:space="preserve">of pregnant women (Nigeria) to 81% </w:t>
      </w:r>
      <w:r w:rsidR="00A52479" w:rsidRPr="005D5356">
        <w:rPr>
          <w:rFonts w:ascii="Times New Roman" w:hAnsi="Times New Roman"/>
        </w:rPr>
        <w:t xml:space="preserve">[72%, 88%] </w:t>
      </w:r>
      <w:r w:rsidRPr="005D5356">
        <w:rPr>
          <w:rFonts w:ascii="Times New Roman" w:hAnsi="Times New Roman"/>
        </w:rPr>
        <w:t>(Armenia) of pregnant women (</w:t>
      </w:r>
      <w:r w:rsidR="00A2691F" w:rsidRPr="005D5356">
        <w:rPr>
          <w:rFonts w:ascii="Times New Roman" w:hAnsi="Times New Roman"/>
        </w:rPr>
        <w:t xml:space="preserve">Figure </w:t>
      </w:r>
      <w:r w:rsidR="009555C1" w:rsidRPr="005D5356">
        <w:rPr>
          <w:rFonts w:ascii="Times New Roman" w:hAnsi="Times New Roman"/>
        </w:rPr>
        <w:t>1</w:t>
      </w:r>
      <w:r w:rsidRPr="005D5356">
        <w:rPr>
          <w:rFonts w:ascii="Times New Roman" w:hAnsi="Times New Roman"/>
        </w:rPr>
        <w:t xml:space="preserve">). In all 30 countries studied, daily was the most common </w:t>
      </w:r>
      <w:r w:rsidR="0005625D" w:rsidRPr="005D5356">
        <w:rPr>
          <w:rFonts w:ascii="Times New Roman" w:hAnsi="Times New Roman"/>
        </w:rPr>
        <w:t>f</w:t>
      </w:r>
      <w:r w:rsidR="00402D03">
        <w:rPr>
          <w:rFonts w:ascii="Times New Roman" w:hAnsi="Times New Roman"/>
        </w:rPr>
        <w:t>requency</w:t>
      </w:r>
      <w:r w:rsidR="0005625D" w:rsidRPr="005D5356">
        <w:rPr>
          <w:rFonts w:ascii="Times New Roman" w:hAnsi="Times New Roman"/>
        </w:rPr>
        <w:t xml:space="preserve"> </w:t>
      </w:r>
      <w:r w:rsidRPr="005D5356">
        <w:rPr>
          <w:rFonts w:ascii="Times New Roman" w:hAnsi="Times New Roman"/>
        </w:rPr>
        <w:t xml:space="preserve">of exposure reported, which ranged from 6% </w:t>
      </w:r>
      <w:r w:rsidR="00A52479" w:rsidRPr="005D5356">
        <w:rPr>
          <w:rFonts w:ascii="Times New Roman" w:hAnsi="Times New Roman"/>
        </w:rPr>
        <w:t xml:space="preserve">[5%, 7%] </w:t>
      </w:r>
      <w:r w:rsidRPr="005D5356">
        <w:rPr>
          <w:rFonts w:ascii="Times New Roman" w:hAnsi="Times New Roman"/>
        </w:rPr>
        <w:t xml:space="preserve">of pregnant women (Nigeria) to 73% </w:t>
      </w:r>
      <w:r w:rsidR="00A52479" w:rsidRPr="005D5356">
        <w:rPr>
          <w:rFonts w:ascii="Times New Roman" w:hAnsi="Times New Roman"/>
        </w:rPr>
        <w:t xml:space="preserve">[62%, 81%] </w:t>
      </w:r>
      <w:r w:rsidRPr="005D5356">
        <w:rPr>
          <w:rFonts w:ascii="Times New Roman" w:hAnsi="Times New Roman"/>
        </w:rPr>
        <w:t>(Armenia) (</w:t>
      </w:r>
      <w:r w:rsidR="00A2691F" w:rsidRPr="005D5356">
        <w:rPr>
          <w:rFonts w:ascii="Times New Roman" w:hAnsi="Times New Roman"/>
        </w:rPr>
        <w:t xml:space="preserve">Figure </w:t>
      </w:r>
      <w:r w:rsidR="009555C1" w:rsidRPr="005D5356">
        <w:rPr>
          <w:rFonts w:ascii="Times New Roman" w:hAnsi="Times New Roman"/>
        </w:rPr>
        <w:t>1</w:t>
      </w:r>
      <w:r w:rsidRPr="005D5356">
        <w:rPr>
          <w:rFonts w:ascii="Times New Roman" w:hAnsi="Times New Roman"/>
        </w:rPr>
        <w:t xml:space="preserve">). In </w:t>
      </w:r>
      <w:r w:rsidR="0005625D" w:rsidRPr="005D5356">
        <w:rPr>
          <w:rFonts w:ascii="Times New Roman" w:hAnsi="Times New Roman"/>
        </w:rPr>
        <w:t>five</w:t>
      </w:r>
      <w:r w:rsidRPr="005D5356">
        <w:rPr>
          <w:rFonts w:ascii="Times New Roman" w:hAnsi="Times New Roman"/>
        </w:rPr>
        <w:t xml:space="preserve"> countries, Jordan, Armenia, Bangladesh, Indonesia, and Nepal, </w:t>
      </w:r>
      <w:r w:rsidR="00A2691F" w:rsidRPr="005D5356">
        <w:rPr>
          <w:rFonts w:ascii="Times New Roman" w:hAnsi="Times New Roman"/>
        </w:rPr>
        <w:t xml:space="preserve">more than 50% of pregnant women were exposed at any frequency, and in 3 countries, </w:t>
      </w:r>
      <w:r w:rsidRPr="005D5356">
        <w:rPr>
          <w:rFonts w:ascii="Times New Roman" w:hAnsi="Times New Roman"/>
        </w:rPr>
        <w:t>Jordan, Armenia, and Indonesia, more than 50%</w:t>
      </w:r>
      <w:r w:rsidR="00A2691F" w:rsidRPr="005D5356">
        <w:rPr>
          <w:rFonts w:ascii="Times New Roman" w:hAnsi="Times New Roman"/>
        </w:rPr>
        <w:t xml:space="preserve"> of pregnant women reported daily SHS exposure</w:t>
      </w:r>
      <w:r w:rsidRPr="005D5356">
        <w:rPr>
          <w:rFonts w:ascii="Times New Roman" w:hAnsi="Times New Roman"/>
        </w:rPr>
        <w:t xml:space="preserve">. In all </w:t>
      </w:r>
      <w:r w:rsidR="00A2691F" w:rsidRPr="005D5356">
        <w:rPr>
          <w:rFonts w:ascii="Times New Roman" w:hAnsi="Times New Roman"/>
        </w:rPr>
        <w:t>countries studied</w:t>
      </w:r>
      <w:r w:rsidRPr="005D5356">
        <w:rPr>
          <w:rFonts w:ascii="Times New Roman" w:hAnsi="Times New Roman"/>
        </w:rPr>
        <w:t xml:space="preserve">, the prevalence of </w:t>
      </w:r>
      <w:r w:rsidR="00A2691F" w:rsidRPr="005D5356">
        <w:rPr>
          <w:rFonts w:ascii="Times New Roman" w:hAnsi="Times New Roman"/>
        </w:rPr>
        <w:t xml:space="preserve">SHS </w:t>
      </w:r>
      <w:r w:rsidRPr="005D5356">
        <w:rPr>
          <w:rFonts w:ascii="Times New Roman" w:hAnsi="Times New Roman"/>
        </w:rPr>
        <w:t xml:space="preserve">exposure </w:t>
      </w:r>
      <w:r w:rsidR="00A2691F" w:rsidRPr="005D5356">
        <w:rPr>
          <w:rFonts w:ascii="Times New Roman" w:hAnsi="Times New Roman"/>
        </w:rPr>
        <w:t>during</w:t>
      </w:r>
      <w:r w:rsidRPr="005D5356">
        <w:rPr>
          <w:rFonts w:ascii="Times New Roman" w:hAnsi="Times New Roman"/>
        </w:rPr>
        <w:t xml:space="preserve"> pregnancy is </w:t>
      </w:r>
      <w:r w:rsidR="00A2691F" w:rsidRPr="005D5356">
        <w:rPr>
          <w:rFonts w:ascii="Times New Roman" w:hAnsi="Times New Roman"/>
        </w:rPr>
        <w:t xml:space="preserve">substantially </w:t>
      </w:r>
      <w:r w:rsidRPr="005D5356">
        <w:rPr>
          <w:rFonts w:ascii="Times New Roman" w:hAnsi="Times New Roman"/>
        </w:rPr>
        <w:t xml:space="preserve">greater than the prevalence of active smoking in pregnancy. </w:t>
      </w:r>
      <w:r w:rsidR="00C52CD4">
        <w:rPr>
          <w:rFonts w:ascii="Times New Roman" w:hAnsi="Times New Roman"/>
        </w:rPr>
        <w:t>Cumulative regional estimates of</w:t>
      </w:r>
      <w:r w:rsidR="00215AC3" w:rsidRPr="005D5356">
        <w:rPr>
          <w:rFonts w:ascii="Times New Roman" w:hAnsi="Times New Roman"/>
        </w:rPr>
        <w:t xml:space="preserve"> daily SHS exposure </w:t>
      </w:r>
      <w:r w:rsidR="00C52CD4">
        <w:rPr>
          <w:rFonts w:ascii="Times New Roman" w:hAnsi="Times New Roman"/>
        </w:rPr>
        <w:t>were</w:t>
      </w:r>
      <w:r w:rsidR="00C52CD4" w:rsidRPr="005D5356">
        <w:rPr>
          <w:rFonts w:ascii="Times New Roman" w:hAnsi="Times New Roman"/>
        </w:rPr>
        <w:t xml:space="preserve"> </w:t>
      </w:r>
      <w:r w:rsidR="00C52CD4">
        <w:rPr>
          <w:rFonts w:ascii="Times New Roman" w:hAnsi="Times New Roman"/>
        </w:rPr>
        <w:t>highest</w:t>
      </w:r>
      <w:r w:rsidR="00215AC3" w:rsidRPr="005D5356">
        <w:rPr>
          <w:rFonts w:ascii="Times New Roman" w:hAnsi="Times New Roman"/>
        </w:rPr>
        <w:t xml:space="preserve"> in </w:t>
      </w:r>
      <w:r w:rsidR="00C52CD4">
        <w:rPr>
          <w:rFonts w:ascii="Times New Roman" w:hAnsi="Times New Roman"/>
        </w:rPr>
        <w:t xml:space="preserve">countries studied in </w:t>
      </w:r>
      <w:r w:rsidR="00C754B0" w:rsidRPr="005D5356">
        <w:rPr>
          <w:rFonts w:ascii="Times New Roman" w:hAnsi="Times New Roman"/>
        </w:rPr>
        <w:t xml:space="preserve">Southeast Asia [57% (55%, 60%) of pregnant women], and lowest in </w:t>
      </w:r>
      <w:r w:rsidR="00C52CD4">
        <w:rPr>
          <w:rFonts w:ascii="Times New Roman" w:hAnsi="Times New Roman"/>
        </w:rPr>
        <w:t xml:space="preserve">countries studied in </w:t>
      </w:r>
      <w:r w:rsidR="00C754B0" w:rsidRPr="005D5356">
        <w:rPr>
          <w:rFonts w:ascii="Times New Roman" w:hAnsi="Times New Roman"/>
        </w:rPr>
        <w:t>Latin America/Caribbean [10% (8%, 11%) of pregnant women] (T</w:t>
      </w:r>
      <w:r w:rsidR="003712FE" w:rsidRPr="005D5356">
        <w:rPr>
          <w:rFonts w:ascii="Times New Roman" w:hAnsi="Times New Roman"/>
        </w:rPr>
        <w:t xml:space="preserve">able </w:t>
      </w:r>
      <w:r w:rsidR="005B5042">
        <w:rPr>
          <w:rFonts w:ascii="Times New Roman" w:hAnsi="Times New Roman"/>
        </w:rPr>
        <w:t>2</w:t>
      </w:r>
      <w:r w:rsidR="00C754B0" w:rsidRPr="005D5356">
        <w:rPr>
          <w:rFonts w:ascii="Times New Roman" w:hAnsi="Times New Roman"/>
        </w:rPr>
        <w:t>).</w:t>
      </w:r>
    </w:p>
    <w:p w14:paraId="3F4AF64E" w14:textId="77777777" w:rsidR="003712FE" w:rsidRPr="005D5356" w:rsidRDefault="003712FE" w:rsidP="00F07639">
      <w:pPr>
        <w:spacing w:line="480" w:lineRule="auto"/>
        <w:rPr>
          <w:rStyle w:val="CommentReference"/>
          <w:rFonts w:ascii="Times New Roman" w:hAnsi="Times New Roman"/>
          <w:sz w:val="24"/>
          <w:szCs w:val="24"/>
        </w:rPr>
      </w:pPr>
    </w:p>
    <w:tbl>
      <w:tblPr>
        <w:tblStyle w:val="LightShading-Accent3"/>
        <w:tblW w:w="9039" w:type="dxa"/>
        <w:tblLayout w:type="fixed"/>
        <w:tblLook w:val="04A0" w:firstRow="1" w:lastRow="0" w:firstColumn="1" w:lastColumn="0" w:noHBand="0" w:noVBand="1"/>
      </w:tblPr>
      <w:tblGrid>
        <w:gridCol w:w="828"/>
        <w:gridCol w:w="1260"/>
        <w:gridCol w:w="1530"/>
        <w:gridCol w:w="1530"/>
        <w:gridCol w:w="1530"/>
        <w:gridCol w:w="2361"/>
      </w:tblGrid>
      <w:tr w:rsidR="008E30C9" w:rsidRPr="005D5356" w14:paraId="7AFF8221" w14:textId="77777777" w:rsidTr="00692E2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14:paraId="6D2BB75E" w14:textId="77777777" w:rsidR="00EA0462" w:rsidRPr="005D5356" w:rsidRDefault="00EA0462">
            <w:pPr>
              <w:spacing w:line="480" w:lineRule="auto"/>
              <w:jc w:val="center"/>
              <w:rPr>
                <w:rFonts w:ascii="Times New Roman" w:eastAsia="Times New Roman" w:hAnsi="Times New Roman"/>
                <w:b w:val="0"/>
                <w:bCs w:val="0"/>
                <w:color w:val="000000"/>
              </w:rPr>
            </w:pPr>
          </w:p>
        </w:tc>
        <w:tc>
          <w:tcPr>
            <w:tcW w:w="1260" w:type="dxa"/>
            <w:vAlign w:val="center"/>
          </w:tcPr>
          <w:p w14:paraId="685A28D9" w14:textId="5CC28E10" w:rsidR="00EA0462" w:rsidRPr="005D5356" w:rsidRDefault="00EA0462">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rPr>
            </w:pPr>
            <w:r>
              <w:rPr>
                <w:rFonts w:ascii="Times New Roman" w:eastAsia="Times New Roman" w:hAnsi="Times New Roman"/>
                <w:color w:val="000000"/>
              </w:rPr>
              <w:t>Pregnant women (n)</w:t>
            </w:r>
          </w:p>
        </w:tc>
        <w:tc>
          <w:tcPr>
            <w:tcW w:w="1530" w:type="dxa"/>
            <w:noWrap/>
            <w:vAlign w:val="center"/>
            <w:hideMark/>
          </w:tcPr>
          <w:p w14:paraId="41267853" w14:textId="74052EE7" w:rsidR="00EA0462" w:rsidRPr="005D5356" w:rsidRDefault="00EA0462" w:rsidP="00692E2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heme="majorBidi"/>
                <w:b w:val="0"/>
                <w:bCs w:val="0"/>
                <w:i/>
                <w:iCs/>
                <w:color w:val="000000"/>
              </w:rPr>
            </w:pPr>
            <w:r w:rsidRPr="005D5356">
              <w:rPr>
                <w:rFonts w:ascii="Times New Roman" w:eastAsia="Times New Roman" w:hAnsi="Times New Roman"/>
                <w:color w:val="000000"/>
              </w:rPr>
              <w:t>Active smoker</w:t>
            </w:r>
            <w:r w:rsidR="00005A99">
              <w:rPr>
                <w:rFonts w:ascii="Times New Roman" w:eastAsia="Times New Roman" w:hAnsi="Times New Roman"/>
                <w:color w:val="000000"/>
              </w:rPr>
              <w:t xml:space="preserve"> (95% CI)</w:t>
            </w:r>
          </w:p>
        </w:tc>
        <w:tc>
          <w:tcPr>
            <w:tcW w:w="1530" w:type="dxa"/>
            <w:noWrap/>
            <w:vAlign w:val="center"/>
            <w:hideMark/>
          </w:tcPr>
          <w:p w14:paraId="7BE2E6A2" w14:textId="05E55313" w:rsidR="00EA0462" w:rsidRPr="005D5356" w:rsidRDefault="00EA0462" w:rsidP="00692E2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heme="majorBidi"/>
                <w:b w:val="0"/>
                <w:bCs w:val="0"/>
                <w:i/>
                <w:iCs/>
                <w:color w:val="000000"/>
              </w:rPr>
            </w:pPr>
            <w:r w:rsidRPr="005D5356">
              <w:rPr>
                <w:rFonts w:ascii="Times New Roman" w:eastAsia="Times New Roman" w:hAnsi="Times New Roman"/>
                <w:color w:val="000000"/>
              </w:rPr>
              <w:t>Daily SHS</w:t>
            </w:r>
            <w:r w:rsidR="00005A99">
              <w:rPr>
                <w:rFonts w:ascii="Times New Roman" w:eastAsia="Times New Roman" w:hAnsi="Times New Roman"/>
                <w:color w:val="000000"/>
              </w:rPr>
              <w:t xml:space="preserve"> (95% CI)</w:t>
            </w:r>
          </w:p>
        </w:tc>
        <w:tc>
          <w:tcPr>
            <w:tcW w:w="1530" w:type="dxa"/>
            <w:noWrap/>
            <w:vAlign w:val="center"/>
            <w:hideMark/>
          </w:tcPr>
          <w:p w14:paraId="1C48919E" w14:textId="77777777" w:rsidR="00EA0462" w:rsidRDefault="00EA0462" w:rsidP="00692E2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heme="majorBidi"/>
                <w:b w:val="0"/>
                <w:bCs w:val="0"/>
                <w:i/>
                <w:iCs/>
                <w:color w:val="000000"/>
              </w:rPr>
            </w:pPr>
            <w:r w:rsidRPr="005D5356">
              <w:rPr>
                <w:rFonts w:ascii="Times New Roman" w:eastAsia="Times New Roman" w:hAnsi="Times New Roman"/>
                <w:color w:val="000000"/>
              </w:rPr>
              <w:t>Some SHS</w:t>
            </w:r>
          </w:p>
          <w:p w14:paraId="4AB6D6ED" w14:textId="27071F42" w:rsidR="00005A99" w:rsidRPr="005D5356" w:rsidRDefault="00005A9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rPr>
            </w:pPr>
            <w:r>
              <w:rPr>
                <w:rFonts w:ascii="Times New Roman" w:eastAsia="Times New Roman" w:hAnsi="Times New Roman"/>
                <w:color w:val="000000"/>
              </w:rPr>
              <w:t>(95% CI)</w:t>
            </w:r>
          </w:p>
        </w:tc>
        <w:tc>
          <w:tcPr>
            <w:tcW w:w="2361" w:type="dxa"/>
            <w:noWrap/>
            <w:vAlign w:val="center"/>
            <w:hideMark/>
          </w:tcPr>
          <w:p w14:paraId="5746FE0B" w14:textId="77777777" w:rsidR="00EA0462" w:rsidRDefault="00EA0462" w:rsidP="00692E2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heme="majorBidi"/>
                <w:b w:val="0"/>
                <w:bCs w:val="0"/>
                <w:i/>
                <w:iCs/>
                <w:color w:val="000000"/>
              </w:rPr>
            </w:pPr>
            <w:r w:rsidRPr="005D5356">
              <w:rPr>
                <w:rFonts w:ascii="Times New Roman" w:eastAsia="Times New Roman" w:hAnsi="Times New Roman"/>
                <w:color w:val="000000"/>
              </w:rPr>
              <w:t>Never exposed</w:t>
            </w:r>
          </w:p>
          <w:p w14:paraId="63602886" w14:textId="598CC862" w:rsidR="00005A99" w:rsidRPr="005D5356" w:rsidRDefault="00005A9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rPr>
            </w:pPr>
            <w:r>
              <w:rPr>
                <w:rFonts w:ascii="Times New Roman" w:eastAsia="Times New Roman" w:hAnsi="Times New Roman"/>
                <w:color w:val="000000"/>
              </w:rPr>
              <w:t>(95% CI)</w:t>
            </w:r>
          </w:p>
        </w:tc>
      </w:tr>
      <w:tr w:rsidR="00B36E00" w:rsidRPr="005D5356" w14:paraId="5A5BDA8B" w14:textId="77777777" w:rsidTr="00692E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14:paraId="373029F2" w14:textId="77777777" w:rsidR="00EA0462" w:rsidRPr="005D5356" w:rsidRDefault="00EA0462" w:rsidP="00692E2F">
            <w:pPr>
              <w:spacing w:line="480" w:lineRule="auto"/>
              <w:jc w:val="center"/>
              <w:rPr>
                <w:rFonts w:ascii="Times New Roman" w:eastAsia="Times New Roman" w:hAnsi="Times New Roman" w:cstheme="majorBidi"/>
                <w:b w:val="0"/>
                <w:bCs w:val="0"/>
                <w:i/>
                <w:iCs/>
                <w:color w:val="000000"/>
              </w:rPr>
            </w:pPr>
            <w:r w:rsidRPr="005D5356">
              <w:rPr>
                <w:rFonts w:ascii="Times New Roman" w:eastAsia="Times New Roman" w:hAnsi="Times New Roman"/>
                <w:b w:val="0"/>
                <w:color w:val="000000"/>
              </w:rPr>
              <w:t>EURO</w:t>
            </w:r>
          </w:p>
        </w:tc>
        <w:tc>
          <w:tcPr>
            <w:tcW w:w="1260" w:type="dxa"/>
            <w:vAlign w:val="center"/>
          </w:tcPr>
          <w:p w14:paraId="10BB5A0F" w14:textId="0992F39E" w:rsidR="00EA0462" w:rsidRPr="005D5356" w:rsidRDefault="0000739F"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1462</w:t>
            </w:r>
          </w:p>
        </w:tc>
        <w:tc>
          <w:tcPr>
            <w:tcW w:w="1530" w:type="dxa"/>
            <w:noWrap/>
            <w:hideMark/>
          </w:tcPr>
          <w:p w14:paraId="4DC5E96D" w14:textId="65DE0038"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0·39% (0·16%, 0·98%)</w:t>
            </w:r>
          </w:p>
        </w:tc>
        <w:tc>
          <w:tcPr>
            <w:tcW w:w="1530" w:type="dxa"/>
            <w:noWrap/>
            <w:hideMark/>
          </w:tcPr>
          <w:p w14:paraId="3C98E37F" w14:textId="31EC6434"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24·78% (21·57%, 28·3%)</w:t>
            </w:r>
          </w:p>
        </w:tc>
        <w:tc>
          <w:tcPr>
            <w:tcW w:w="1530" w:type="dxa"/>
            <w:noWrap/>
            <w:hideMark/>
          </w:tcPr>
          <w:p w14:paraId="505C645D" w14:textId="684D5CC6"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5·59% (4·38%, 7·11%)</w:t>
            </w:r>
          </w:p>
        </w:tc>
        <w:tc>
          <w:tcPr>
            <w:tcW w:w="2361" w:type="dxa"/>
            <w:noWrap/>
            <w:hideMark/>
          </w:tcPr>
          <w:p w14:paraId="03832CD7" w14:textId="67DC8E19"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69·24% (65·6%, 72·65%)</w:t>
            </w:r>
          </w:p>
        </w:tc>
      </w:tr>
      <w:tr w:rsidR="008E30C9" w:rsidRPr="005D5356" w14:paraId="0F441AED" w14:textId="77777777" w:rsidTr="00692E2F">
        <w:trPr>
          <w:trHeight w:val="28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14:paraId="10DBE74F" w14:textId="77777777" w:rsidR="00EA0462" w:rsidRPr="005D5356" w:rsidRDefault="00EA0462" w:rsidP="00692E2F">
            <w:pPr>
              <w:spacing w:line="480" w:lineRule="auto"/>
              <w:jc w:val="center"/>
              <w:rPr>
                <w:rFonts w:ascii="Times New Roman" w:eastAsia="Times New Roman" w:hAnsi="Times New Roman" w:cstheme="majorBidi"/>
                <w:b w:val="0"/>
                <w:bCs w:val="0"/>
                <w:i/>
                <w:iCs/>
                <w:color w:val="000000"/>
              </w:rPr>
            </w:pPr>
            <w:r w:rsidRPr="005D5356">
              <w:rPr>
                <w:rFonts w:ascii="Times New Roman" w:eastAsia="Times New Roman" w:hAnsi="Times New Roman"/>
                <w:b w:val="0"/>
                <w:color w:val="000000"/>
              </w:rPr>
              <w:t>LAC</w:t>
            </w:r>
          </w:p>
        </w:tc>
        <w:tc>
          <w:tcPr>
            <w:tcW w:w="1260" w:type="dxa"/>
            <w:vAlign w:val="center"/>
          </w:tcPr>
          <w:p w14:paraId="4423F21A" w14:textId="6598A40D" w:rsidR="00EA0462" w:rsidRPr="005D5356" w:rsidRDefault="0000739F"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2148</w:t>
            </w:r>
          </w:p>
        </w:tc>
        <w:tc>
          <w:tcPr>
            <w:tcW w:w="1530" w:type="dxa"/>
            <w:noWrap/>
            <w:hideMark/>
          </w:tcPr>
          <w:p w14:paraId="5F4568E3" w14:textId="7E7AB2A2"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 xml:space="preserve">0·84% </w:t>
            </w:r>
            <w:r w:rsidRPr="005D5356">
              <w:rPr>
                <w:rFonts w:ascii="Times New Roman" w:eastAsia="Times New Roman" w:hAnsi="Times New Roman"/>
                <w:color w:val="000000"/>
              </w:rPr>
              <w:lastRenderedPageBreak/>
              <w:t>(0·46%, 1·54%)</w:t>
            </w:r>
          </w:p>
        </w:tc>
        <w:tc>
          <w:tcPr>
            <w:tcW w:w="1530" w:type="dxa"/>
            <w:noWrap/>
            <w:hideMark/>
          </w:tcPr>
          <w:p w14:paraId="04D5A63C" w14:textId="21417507"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lastRenderedPageBreak/>
              <w:t xml:space="preserve">9·64% </w:t>
            </w:r>
            <w:r w:rsidRPr="005D5356">
              <w:rPr>
                <w:rFonts w:ascii="Times New Roman" w:eastAsia="Times New Roman" w:hAnsi="Times New Roman"/>
                <w:color w:val="000000"/>
              </w:rPr>
              <w:lastRenderedPageBreak/>
              <w:t>(8·14%, 11·37%)</w:t>
            </w:r>
          </w:p>
        </w:tc>
        <w:tc>
          <w:tcPr>
            <w:tcW w:w="1530" w:type="dxa"/>
            <w:noWrap/>
            <w:hideMark/>
          </w:tcPr>
          <w:p w14:paraId="1356F024" w14:textId="38322EF1"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lastRenderedPageBreak/>
              <w:t xml:space="preserve">4·67% </w:t>
            </w:r>
            <w:r w:rsidRPr="005D5356">
              <w:rPr>
                <w:rFonts w:ascii="Times New Roman" w:eastAsia="Times New Roman" w:hAnsi="Times New Roman"/>
                <w:color w:val="000000"/>
              </w:rPr>
              <w:lastRenderedPageBreak/>
              <w:t>(3·76%, 5·79%)</w:t>
            </w:r>
          </w:p>
        </w:tc>
        <w:tc>
          <w:tcPr>
            <w:tcW w:w="2361" w:type="dxa"/>
            <w:noWrap/>
            <w:hideMark/>
          </w:tcPr>
          <w:p w14:paraId="09474C3B" w14:textId="17560DBB"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lastRenderedPageBreak/>
              <w:t xml:space="preserve">84·85% (82·92%, </w:t>
            </w:r>
            <w:r w:rsidRPr="005D5356">
              <w:rPr>
                <w:rFonts w:ascii="Times New Roman" w:eastAsia="Times New Roman" w:hAnsi="Times New Roman"/>
                <w:color w:val="000000"/>
              </w:rPr>
              <w:lastRenderedPageBreak/>
              <w:t>86·6%)</w:t>
            </w:r>
          </w:p>
        </w:tc>
      </w:tr>
      <w:tr w:rsidR="00B36E00" w:rsidRPr="005D5356" w14:paraId="7F2D0C48" w14:textId="77777777" w:rsidTr="00692E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14:paraId="42C99F02" w14:textId="77777777" w:rsidR="00EA0462" w:rsidRPr="005D5356" w:rsidRDefault="00EA0462" w:rsidP="00692E2F">
            <w:pPr>
              <w:spacing w:line="480" w:lineRule="auto"/>
              <w:jc w:val="center"/>
              <w:rPr>
                <w:rFonts w:ascii="Times New Roman" w:eastAsia="Times New Roman" w:hAnsi="Times New Roman" w:cstheme="majorBidi"/>
                <w:b w:val="0"/>
                <w:bCs w:val="0"/>
                <w:i/>
                <w:iCs/>
                <w:color w:val="000000"/>
              </w:rPr>
            </w:pPr>
            <w:r w:rsidRPr="005D5356">
              <w:rPr>
                <w:rFonts w:ascii="Times New Roman" w:eastAsia="Times New Roman" w:hAnsi="Times New Roman"/>
                <w:b w:val="0"/>
                <w:color w:val="000000"/>
              </w:rPr>
              <w:lastRenderedPageBreak/>
              <w:t>MENA</w:t>
            </w:r>
          </w:p>
        </w:tc>
        <w:tc>
          <w:tcPr>
            <w:tcW w:w="1260" w:type="dxa"/>
            <w:vAlign w:val="center"/>
          </w:tcPr>
          <w:p w14:paraId="0652D136" w14:textId="2BDA74A5" w:rsidR="00EA0462" w:rsidRPr="005D5356" w:rsidRDefault="0000739F"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5421</w:t>
            </w:r>
          </w:p>
        </w:tc>
        <w:tc>
          <w:tcPr>
            <w:tcW w:w="1530" w:type="dxa"/>
            <w:noWrap/>
            <w:hideMark/>
          </w:tcPr>
          <w:p w14:paraId="4BE5F04F" w14:textId="320BB606"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2·21% (1·63%, 3·01%)</w:t>
            </w:r>
          </w:p>
        </w:tc>
        <w:tc>
          <w:tcPr>
            <w:tcW w:w="1530" w:type="dxa"/>
            <w:noWrap/>
            <w:hideMark/>
          </w:tcPr>
          <w:p w14:paraId="4F40E5B5" w14:textId="0936C505"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47·08% (45·17%, 49</w:t>
            </w:r>
            <w:r w:rsidR="00402D03">
              <w:rPr>
                <w:rFonts w:ascii="Times New Roman" w:eastAsia="Times New Roman" w:hAnsi="Times New Roman"/>
                <w:color w:val="000000"/>
              </w:rPr>
              <w:t>.00</w:t>
            </w:r>
            <w:r w:rsidRPr="005D5356">
              <w:rPr>
                <w:rFonts w:ascii="Times New Roman" w:eastAsia="Times New Roman" w:hAnsi="Times New Roman"/>
                <w:color w:val="000000"/>
              </w:rPr>
              <w:t>%)</w:t>
            </w:r>
          </w:p>
        </w:tc>
        <w:tc>
          <w:tcPr>
            <w:tcW w:w="1530" w:type="dxa"/>
            <w:noWrap/>
            <w:hideMark/>
          </w:tcPr>
          <w:p w14:paraId="07B936E3" w14:textId="760F1B29"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2·71% (2·09%, 3·5</w:t>
            </w:r>
            <w:r w:rsidR="00402D03">
              <w:rPr>
                <w:rFonts w:ascii="Times New Roman" w:eastAsia="Times New Roman" w:hAnsi="Times New Roman"/>
                <w:color w:val="000000"/>
              </w:rPr>
              <w:t>0</w:t>
            </w:r>
            <w:r w:rsidRPr="005D5356">
              <w:rPr>
                <w:rFonts w:ascii="Times New Roman" w:eastAsia="Times New Roman" w:hAnsi="Times New Roman"/>
                <w:color w:val="000000"/>
              </w:rPr>
              <w:t>%)</w:t>
            </w:r>
          </w:p>
        </w:tc>
        <w:tc>
          <w:tcPr>
            <w:tcW w:w="2361" w:type="dxa"/>
            <w:noWrap/>
            <w:hideMark/>
          </w:tcPr>
          <w:p w14:paraId="677B45AE" w14:textId="7EA8FCC9"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48% (46·03%, 49·97%)</w:t>
            </w:r>
          </w:p>
        </w:tc>
      </w:tr>
      <w:tr w:rsidR="008E30C9" w:rsidRPr="005D5356" w14:paraId="5B1C14E1" w14:textId="77777777" w:rsidTr="00692E2F">
        <w:trPr>
          <w:trHeight w:val="28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14:paraId="7E3D31D2" w14:textId="77777777" w:rsidR="00EA0462" w:rsidRPr="005D5356" w:rsidRDefault="00EA0462" w:rsidP="00692E2F">
            <w:pPr>
              <w:spacing w:line="480" w:lineRule="auto"/>
              <w:jc w:val="center"/>
              <w:rPr>
                <w:rFonts w:ascii="Times New Roman" w:eastAsia="Times New Roman" w:hAnsi="Times New Roman" w:cstheme="majorBidi"/>
                <w:b w:val="0"/>
                <w:bCs w:val="0"/>
                <w:color w:val="000000"/>
              </w:rPr>
            </w:pPr>
            <w:r w:rsidRPr="005D5356">
              <w:rPr>
                <w:rFonts w:ascii="Times New Roman" w:eastAsia="Times New Roman" w:hAnsi="Times New Roman"/>
                <w:b w:val="0"/>
                <w:color w:val="000000"/>
              </w:rPr>
              <w:t>SEA</w:t>
            </w:r>
          </w:p>
        </w:tc>
        <w:tc>
          <w:tcPr>
            <w:tcW w:w="1260" w:type="dxa"/>
            <w:vAlign w:val="center"/>
          </w:tcPr>
          <w:p w14:paraId="1080D480" w14:textId="76B9A352" w:rsidR="00EA0462" w:rsidRPr="005D5356" w:rsidRDefault="0000739F"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3188</w:t>
            </w:r>
          </w:p>
        </w:tc>
        <w:tc>
          <w:tcPr>
            <w:tcW w:w="1530" w:type="dxa"/>
            <w:noWrap/>
            <w:hideMark/>
          </w:tcPr>
          <w:p w14:paraId="0CAD354F" w14:textId="3230AD9B"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1·33% (0·96%, 1·84%)</w:t>
            </w:r>
          </w:p>
        </w:tc>
        <w:tc>
          <w:tcPr>
            <w:tcW w:w="1530" w:type="dxa"/>
            <w:noWrap/>
            <w:hideMark/>
          </w:tcPr>
          <w:p w14:paraId="6BE2E074" w14:textId="7DE21822"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57·23% (54·87%, 59·55%)</w:t>
            </w:r>
          </w:p>
        </w:tc>
        <w:tc>
          <w:tcPr>
            <w:tcW w:w="1530" w:type="dxa"/>
            <w:noWrap/>
            <w:hideMark/>
          </w:tcPr>
          <w:p w14:paraId="79C9AA4A" w14:textId="54987BE3"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11·36% (9·92%, 12·98%)</w:t>
            </w:r>
          </w:p>
        </w:tc>
        <w:tc>
          <w:tcPr>
            <w:tcW w:w="2361" w:type="dxa"/>
            <w:noWrap/>
            <w:hideMark/>
          </w:tcPr>
          <w:p w14:paraId="4896C54E" w14:textId="7F81ECC6"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30·08% (27·94%, 32·32%)</w:t>
            </w:r>
          </w:p>
        </w:tc>
      </w:tr>
      <w:tr w:rsidR="00B36E00" w:rsidRPr="005D5356" w14:paraId="7F384086" w14:textId="77777777" w:rsidTr="00692E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14:paraId="5F59E9E2" w14:textId="77777777" w:rsidR="00EA0462" w:rsidRPr="005D5356" w:rsidRDefault="00EA0462" w:rsidP="00692E2F">
            <w:pPr>
              <w:spacing w:line="480" w:lineRule="auto"/>
              <w:jc w:val="center"/>
              <w:rPr>
                <w:rFonts w:ascii="Times New Roman" w:eastAsia="Times New Roman" w:hAnsi="Times New Roman" w:cstheme="majorBidi"/>
                <w:b w:val="0"/>
                <w:bCs w:val="0"/>
                <w:i/>
                <w:iCs/>
                <w:color w:val="000000"/>
              </w:rPr>
            </w:pPr>
            <w:r w:rsidRPr="005D5356">
              <w:rPr>
                <w:rFonts w:ascii="Times New Roman" w:eastAsia="Times New Roman" w:hAnsi="Times New Roman"/>
                <w:b w:val="0"/>
                <w:color w:val="000000"/>
              </w:rPr>
              <w:t>SSA</w:t>
            </w:r>
          </w:p>
        </w:tc>
        <w:tc>
          <w:tcPr>
            <w:tcW w:w="1260" w:type="dxa"/>
            <w:vAlign w:val="center"/>
          </w:tcPr>
          <w:p w14:paraId="6EFFB7AE" w14:textId="4ABB88A2" w:rsidR="00EA0462" w:rsidRPr="005D5356" w:rsidRDefault="0000739F"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25208</w:t>
            </w:r>
          </w:p>
        </w:tc>
        <w:tc>
          <w:tcPr>
            <w:tcW w:w="1530" w:type="dxa"/>
            <w:noWrap/>
            <w:hideMark/>
          </w:tcPr>
          <w:p w14:paraId="176E5D65" w14:textId="3964E707"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0·53% (0·42%, 0·66%)</w:t>
            </w:r>
          </w:p>
        </w:tc>
        <w:tc>
          <w:tcPr>
            <w:tcW w:w="1530" w:type="dxa"/>
            <w:noWrap/>
            <w:hideMark/>
          </w:tcPr>
          <w:p w14:paraId="00019A73" w14:textId="2B985592"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17·97% (17·27%, 18·69%)</w:t>
            </w:r>
          </w:p>
        </w:tc>
        <w:tc>
          <w:tcPr>
            <w:tcW w:w="1530" w:type="dxa"/>
            <w:noWrap/>
            <w:hideMark/>
          </w:tcPr>
          <w:p w14:paraId="588EEE70" w14:textId="1E9406B8"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4·01% (3·67%, 4·39%)</w:t>
            </w:r>
          </w:p>
        </w:tc>
        <w:tc>
          <w:tcPr>
            <w:tcW w:w="2361" w:type="dxa"/>
            <w:noWrap/>
            <w:hideMark/>
          </w:tcPr>
          <w:p w14:paraId="7E5E3586" w14:textId="1AF1B32F" w:rsidR="00EA0462" w:rsidRPr="005D5356" w:rsidRDefault="00EA0462" w:rsidP="00692E2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77·49% (76·69%, 78·27%)</w:t>
            </w:r>
          </w:p>
        </w:tc>
      </w:tr>
      <w:tr w:rsidR="008E30C9" w:rsidRPr="005D5356" w14:paraId="25D87C7B" w14:textId="77777777" w:rsidTr="00692E2F">
        <w:trPr>
          <w:trHeight w:val="28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14:paraId="2C1055C8" w14:textId="77777777" w:rsidR="00EA0462" w:rsidRPr="005D5356" w:rsidRDefault="00EA0462" w:rsidP="00692E2F">
            <w:pPr>
              <w:spacing w:line="480" w:lineRule="auto"/>
              <w:jc w:val="center"/>
              <w:rPr>
                <w:rFonts w:ascii="Times New Roman" w:eastAsia="Times New Roman" w:hAnsi="Times New Roman" w:cstheme="majorBidi"/>
                <w:b w:val="0"/>
                <w:bCs w:val="0"/>
                <w:i/>
                <w:iCs/>
                <w:color w:val="000000"/>
              </w:rPr>
            </w:pPr>
            <w:r w:rsidRPr="005D5356">
              <w:rPr>
                <w:rFonts w:ascii="Times New Roman" w:eastAsia="Times New Roman" w:hAnsi="Times New Roman"/>
                <w:b w:val="0"/>
                <w:color w:val="000000"/>
              </w:rPr>
              <w:t>Total</w:t>
            </w:r>
          </w:p>
        </w:tc>
        <w:tc>
          <w:tcPr>
            <w:tcW w:w="1260" w:type="dxa"/>
            <w:vAlign w:val="center"/>
          </w:tcPr>
          <w:p w14:paraId="3C0B6C66" w14:textId="177594D5" w:rsidR="00EA0462" w:rsidRPr="005D5356" w:rsidRDefault="0000739F"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37427</w:t>
            </w:r>
          </w:p>
        </w:tc>
        <w:tc>
          <w:tcPr>
            <w:tcW w:w="1530" w:type="dxa"/>
            <w:noWrap/>
            <w:hideMark/>
          </w:tcPr>
          <w:p w14:paraId="09B7B24D" w14:textId="664A391F"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0·8</w:t>
            </w:r>
            <w:r w:rsidR="00402D03">
              <w:rPr>
                <w:rFonts w:ascii="Times New Roman" w:eastAsia="Times New Roman" w:hAnsi="Times New Roman"/>
                <w:color w:val="000000"/>
              </w:rPr>
              <w:t>0</w:t>
            </w:r>
            <w:r w:rsidRPr="005D5356">
              <w:rPr>
                <w:rFonts w:ascii="Times New Roman" w:eastAsia="Times New Roman" w:hAnsi="Times New Roman"/>
                <w:color w:val="000000"/>
              </w:rPr>
              <w:t>% (0·69%, 0·94%)</w:t>
            </w:r>
          </w:p>
        </w:tc>
        <w:tc>
          <w:tcPr>
            <w:tcW w:w="1530" w:type="dxa"/>
            <w:noWrap/>
            <w:hideMark/>
          </w:tcPr>
          <w:p w14:paraId="673FE2E0" w14:textId="1C88E72A"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24·65% (23·97%, 25·33%)</w:t>
            </w:r>
          </w:p>
        </w:tc>
        <w:tc>
          <w:tcPr>
            <w:tcW w:w="1530" w:type="dxa"/>
            <w:noWrap/>
            <w:hideMark/>
          </w:tcPr>
          <w:p w14:paraId="18EFA057" w14:textId="21991083"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4·61% (4·31%, 4·93%)</w:t>
            </w:r>
          </w:p>
        </w:tc>
        <w:tc>
          <w:tcPr>
            <w:tcW w:w="2361" w:type="dxa"/>
            <w:noWrap/>
            <w:hideMark/>
          </w:tcPr>
          <w:p w14:paraId="3BE6F1D6" w14:textId="11D1B5E3" w:rsidR="00EA0462" w:rsidRPr="005D5356" w:rsidRDefault="00EA0462" w:rsidP="00692E2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ajorBidi"/>
                <w:b/>
                <w:bCs/>
                <w:i/>
                <w:iCs/>
                <w:color w:val="000000"/>
              </w:rPr>
            </w:pPr>
            <w:r w:rsidRPr="005D5356">
              <w:rPr>
                <w:rFonts w:ascii="Times New Roman" w:eastAsia="Times New Roman" w:hAnsi="Times New Roman"/>
                <w:color w:val="000000"/>
              </w:rPr>
              <w:t>69·94% (69·19%, 70·68%)</w:t>
            </w:r>
          </w:p>
        </w:tc>
      </w:tr>
    </w:tbl>
    <w:p w14:paraId="6F2309A1" w14:textId="460A1375" w:rsidR="0010707B" w:rsidRPr="00692E2F" w:rsidRDefault="003712FE" w:rsidP="00F07639">
      <w:pPr>
        <w:spacing w:before="120" w:line="480" w:lineRule="auto"/>
        <w:rPr>
          <w:rStyle w:val="CommentReference"/>
          <w:rFonts w:ascii="Times New Roman" w:hAnsi="Times New Roman"/>
          <w:sz w:val="24"/>
          <w:szCs w:val="24"/>
          <w:vertAlign w:val="superscript"/>
        </w:rPr>
      </w:pPr>
      <w:r w:rsidRPr="005D5356">
        <w:rPr>
          <w:rStyle w:val="CommentReference"/>
          <w:rFonts w:ascii="Times New Roman" w:hAnsi="Times New Roman"/>
          <w:sz w:val="24"/>
          <w:szCs w:val="24"/>
        </w:rPr>
        <w:t xml:space="preserve">Table </w:t>
      </w:r>
      <w:r w:rsidR="005B5042">
        <w:rPr>
          <w:rStyle w:val="CommentReference"/>
          <w:rFonts w:ascii="Times New Roman" w:hAnsi="Times New Roman"/>
          <w:sz w:val="24"/>
          <w:szCs w:val="24"/>
        </w:rPr>
        <w:t>2</w:t>
      </w:r>
      <w:r w:rsidRPr="005D5356">
        <w:rPr>
          <w:rStyle w:val="CommentReference"/>
          <w:rFonts w:ascii="Times New Roman" w:hAnsi="Times New Roman"/>
          <w:sz w:val="24"/>
          <w:szCs w:val="24"/>
        </w:rPr>
        <w:t xml:space="preserve">: Regional </w:t>
      </w:r>
      <w:r w:rsidR="00AF0588">
        <w:rPr>
          <w:rStyle w:val="CommentReference"/>
          <w:rFonts w:ascii="Times New Roman" w:hAnsi="Times New Roman"/>
          <w:sz w:val="24"/>
          <w:szCs w:val="24"/>
        </w:rPr>
        <w:t>household SHS</w:t>
      </w:r>
      <w:r w:rsidR="00AF0588" w:rsidRPr="005D5356">
        <w:rPr>
          <w:rStyle w:val="CommentReference"/>
          <w:rFonts w:ascii="Times New Roman" w:hAnsi="Times New Roman"/>
          <w:sz w:val="24"/>
          <w:szCs w:val="24"/>
        </w:rPr>
        <w:t xml:space="preserve"> </w:t>
      </w:r>
      <w:r w:rsidRPr="005D5356">
        <w:rPr>
          <w:rStyle w:val="CommentReference"/>
          <w:rFonts w:ascii="Times New Roman" w:hAnsi="Times New Roman"/>
          <w:sz w:val="24"/>
          <w:szCs w:val="24"/>
        </w:rPr>
        <w:t>exposure prevalence</w:t>
      </w:r>
      <w:r w:rsidR="0010707B">
        <w:rPr>
          <w:rStyle w:val="CommentReference"/>
          <w:rFonts w:ascii="Times New Roman" w:hAnsi="Times New Roman"/>
          <w:sz w:val="24"/>
          <w:szCs w:val="24"/>
        </w:rPr>
        <w:t>.</w:t>
      </w:r>
      <w:r w:rsidR="000A6E38">
        <w:rPr>
          <w:rStyle w:val="CommentReference"/>
          <w:rFonts w:ascii="Times New Roman" w:hAnsi="Times New Roman"/>
          <w:sz w:val="24"/>
          <w:szCs w:val="24"/>
          <w:vertAlign w:val="superscript"/>
        </w:rPr>
        <w:t>1</w:t>
      </w:r>
    </w:p>
    <w:p w14:paraId="568F136F" w14:textId="72A1853F" w:rsidR="00194DF2" w:rsidRPr="00692E2F" w:rsidRDefault="0010707B" w:rsidP="00F07639">
      <w:pPr>
        <w:spacing w:before="120" w:line="480" w:lineRule="auto"/>
        <w:rPr>
          <w:rStyle w:val="CommentReference"/>
          <w:rFonts w:ascii="Times New Roman" w:hAnsi="Times New Roman"/>
          <w:sz w:val="28"/>
          <w:szCs w:val="24"/>
        </w:rPr>
      </w:pPr>
      <w:r>
        <w:rPr>
          <w:rStyle w:val="CommentReference"/>
          <w:rFonts w:ascii="Times New Roman" w:hAnsi="Times New Roman"/>
          <w:sz w:val="24"/>
          <w:szCs w:val="24"/>
        </w:rPr>
        <w:t xml:space="preserve"> </w:t>
      </w:r>
      <w:proofErr w:type="gramStart"/>
      <w:r w:rsidR="000A6E38">
        <w:rPr>
          <w:rStyle w:val="CommentReference"/>
          <w:rFonts w:ascii="Times New Roman" w:hAnsi="Times New Roman"/>
          <w:sz w:val="24"/>
          <w:szCs w:val="24"/>
          <w:vertAlign w:val="superscript"/>
        </w:rPr>
        <w:t>1</w:t>
      </w:r>
      <w:r w:rsidR="000A6E38">
        <w:rPr>
          <w:rStyle w:val="CommentReference"/>
          <w:rFonts w:ascii="Times New Roman" w:hAnsi="Times New Roman"/>
          <w:sz w:val="24"/>
          <w:szCs w:val="24"/>
        </w:rPr>
        <w:t>Europe (EURO), Latin America</w:t>
      </w:r>
      <w:r w:rsidR="006243B5">
        <w:rPr>
          <w:rStyle w:val="CommentReference"/>
          <w:rFonts w:ascii="Times New Roman" w:hAnsi="Times New Roman"/>
          <w:sz w:val="24"/>
          <w:szCs w:val="24"/>
        </w:rPr>
        <w:t xml:space="preserve"> and </w:t>
      </w:r>
      <w:r w:rsidR="000A6E38">
        <w:rPr>
          <w:rStyle w:val="CommentReference"/>
          <w:rFonts w:ascii="Times New Roman" w:hAnsi="Times New Roman"/>
          <w:sz w:val="24"/>
          <w:szCs w:val="24"/>
        </w:rPr>
        <w:t xml:space="preserve">Caribbean (LAC), </w:t>
      </w:r>
      <w:r w:rsidR="006243B5">
        <w:rPr>
          <w:rStyle w:val="CommentReference"/>
          <w:rFonts w:ascii="Times New Roman" w:hAnsi="Times New Roman"/>
          <w:sz w:val="24"/>
          <w:szCs w:val="24"/>
        </w:rPr>
        <w:t>Middle East and North Africa (</w:t>
      </w:r>
      <w:r w:rsidR="000A6E38">
        <w:rPr>
          <w:rStyle w:val="CommentReference"/>
          <w:rFonts w:ascii="Times New Roman" w:hAnsi="Times New Roman"/>
          <w:sz w:val="24"/>
          <w:szCs w:val="24"/>
        </w:rPr>
        <w:t>MENA</w:t>
      </w:r>
      <w:r w:rsidR="006243B5">
        <w:rPr>
          <w:rStyle w:val="CommentReference"/>
          <w:rFonts w:ascii="Times New Roman" w:hAnsi="Times New Roman"/>
          <w:sz w:val="24"/>
          <w:szCs w:val="24"/>
        </w:rPr>
        <w:t>)</w:t>
      </w:r>
      <w:r w:rsidR="000A6E38">
        <w:rPr>
          <w:rStyle w:val="CommentReference"/>
          <w:rFonts w:ascii="Times New Roman" w:hAnsi="Times New Roman"/>
          <w:sz w:val="24"/>
          <w:szCs w:val="24"/>
        </w:rPr>
        <w:t>, South East Asia (SEA), Sub-Saharan Africa (SSA).</w:t>
      </w:r>
      <w:proofErr w:type="gramEnd"/>
      <w:r w:rsidR="000A6E38">
        <w:rPr>
          <w:rStyle w:val="CommentReference"/>
          <w:rFonts w:ascii="Times New Roman" w:hAnsi="Times New Roman"/>
          <w:sz w:val="24"/>
          <w:szCs w:val="24"/>
        </w:rPr>
        <w:t xml:space="preserve"> </w:t>
      </w:r>
    </w:p>
    <w:p w14:paraId="49E97931" w14:textId="77777777" w:rsidR="00194DF2" w:rsidRPr="005D5356" w:rsidRDefault="00194DF2" w:rsidP="00F07639">
      <w:pPr>
        <w:spacing w:line="480" w:lineRule="auto"/>
        <w:rPr>
          <w:rFonts w:ascii="Times New Roman" w:hAnsi="Times New Roman"/>
        </w:rPr>
      </w:pPr>
    </w:p>
    <w:p w14:paraId="5B482980" w14:textId="464D8A39" w:rsidR="00586858" w:rsidRPr="005D5356" w:rsidRDefault="009A4899" w:rsidP="00F07639">
      <w:pPr>
        <w:spacing w:line="480" w:lineRule="auto"/>
        <w:rPr>
          <w:rFonts w:ascii="Times New Roman" w:hAnsi="Times New Roman"/>
        </w:rPr>
      </w:pPr>
      <w:r w:rsidRPr="005D5356">
        <w:rPr>
          <w:rFonts w:ascii="Times New Roman" w:hAnsi="Times New Roman"/>
        </w:rPr>
        <w:t>The mean age of SHS-exposed pregnant women ranged from 22</w:t>
      </w:r>
      <w:r w:rsidR="00612DFB" w:rsidRPr="005D5356">
        <w:rPr>
          <w:rFonts w:ascii="Times New Roman" w:hAnsi="Times New Roman"/>
        </w:rPr>
        <w:t>·</w:t>
      </w:r>
      <w:r w:rsidRPr="005D5356">
        <w:rPr>
          <w:rFonts w:ascii="Times New Roman" w:hAnsi="Times New Roman"/>
        </w:rPr>
        <w:t>5 (Nepal) to 27</w:t>
      </w:r>
      <w:r w:rsidR="00612DFB" w:rsidRPr="005D5356">
        <w:rPr>
          <w:rFonts w:ascii="Times New Roman" w:hAnsi="Times New Roman"/>
        </w:rPr>
        <w:t>·</w:t>
      </w:r>
      <w:r w:rsidRPr="005D5356">
        <w:rPr>
          <w:rFonts w:ascii="Times New Roman" w:hAnsi="Times New Roman"/>
        </w:rPr>
        <w:t>9 (</w:t>
      </w:r>
      <w:r w:rsidR="00A52479" w:rsidRPr="005D5356">
        <w:rPr>
          <w:rFonts w:ascii="Times New Roman" w:hAnsi="Times New Roman"/>
        </w:rPr>
        <w:t>Ethiopia</w:t>
      </w:r>
      <w:r w:rsidRPr="005D5356">
        <w:rPr>
          <w:rFonts w:ascii="Times New Roman" w:hAnsi="Times New Roman"/>
        </w:rPr>
        <w:t>), while the mean age of active smoking pregnant women ranged from 23</w:t>
      </w:r>
      <w:r w:rsidR="00612DFB" w:rsidRPr="005D5356">
        <w:rPr>
          <w:rFonts w:ascii="Times New Roman" w:hAnsi="Times New Roman"/>
        </w:rPr>
        <w:t>·</w:t>
      </w:r>
      <w:r w:rsidRPr="005D5356">
        <w:rPr>
          <w:rFonts w:ascii="Times New Roman" w:hAnsi="Times New Roman"/>
        </w:rPr>
        <w:t>7 (Libe</w:t>
      </w:r>
      <w:r w:rsidR="005F1D4B" w:rsidRPr="005D5356">
        <w:rPr>
          <w:rFonts w:ascii="Times New Roman" w:hAnsi="Times New Roman"/>
        </w:rPr>
        <w:t>ria) to 35 (Tajikistan)</w:t>
      </w:r>
      <w:r w:rsidR="00E3210F">
        <w:rPr>
          <w:rFonts w:ascii="Times New Roman" w:hAnsi="Times New Roman"/>
        </w:rPr>
        <w:t xml:space="preserve"> </w:t>
      </w:r>
      <w:r w:rsidR="00C83919">
        <w:rPr>
          <w:rFonts w:ascii="Times New Roman" w:hAnsi="Times New Roman"/>
        </w:rPr>
        <w:t>(</w:t>
      </w:r>
      <w:r w:rsidR="005B5042">
        <w:rPr>
          <w:rFonts w:ascii="Times New Roman" w:hAnsi="Times New Roman"/>
        </w:rPr>
        <w:t>see Supplementary F</w:t>
      </w:r>
      <w:r w:rsidR="00C83919">
        <w:rPr>
          <w:rFonts w:ascii="Times New Roman" w:hAnsi="Times New Roman"/>
        </w:rPr>
        <w:t>i</w:t>
      </w:r>
      <w:r w:rsidR="006D739D">
        <w:rPr>
          <w:rFonts w:ascii="Times New Roman" w:hAnsi="Times New Roman"/>
        </w:rPr>
        <w:t>le</w:t>
      </w:r>
      <w:r w:rsidR="005B5042">
        <w:rPr>
          <w:rFonts w:ascii="Times New Roman" w:hAnsi="Times New Roman"/>
        </w:rPr>
        <w:t xml:space="preserve"> 1</w:t>
      </w:r>
      <w:r w:rsidRPr="005D5356">
        <w:rPr>
          <w:rFonts w:ascii="Times New Roman" w:hAnsi="Times New Roman"/>
        </w:rPr>
        <w:t>)</w:t>
      </w:r>
      <w:r w:rsidR="00612DFB" w:rsidRPr="005D5356">
        <w:rPr>
          <w:rFonts w:ascii="Times New Roman" w:hAnsi="Times New Roman"/>
        </w:rPr>
        <w:t>.</w:t>
      </w:r>
      <w:r w:rsidRPr="005D5356">
        <w:rPr>
          <w:rFonts w:ascii="Times New Roman" w:hAnsi="Times New Roman"/>
        </w:rPr>
        <w:t xml:space="preserve"> The </w:t>
      </w:r>
      <w:r w:rsidR="00586858" w:rsidRPr="005D5356">
        <w:rPr>
          <w:rFonts w:ascii="Times New Roman" w:hAnsi="Times New Roman"/>
        </w:rPr>
        <w:t>percentage</w:t>
      </w:r>
      <w:r w:rsidRPr="005D5356">
        <w:rPr>
          <w:rFonts w:ascii="Times New Roman" w:hAnsi="Times New Roman"/>
        </w:rPr>
        <w:t xml:space="preserve"> of SHS-exposed pregnant women with no education ranged from </w:t>
      </w:r>
      <w:r w:rsidR="00586858" w:rsidRPr="005D5356">
        <w:rPr>
          <w:rFonts w:ascii="Times New Roman" w:hAnsi="Times New Roman"/>
        </w:rPr>
        <w:t xml:space="preserve">0% (Armenia, Kyrgyz Republic, and Tajikistan) to 85% </w:t>
      </w:r>
      <w:r w:rsidR="00A52479" w:rsidRPr="005D5356">
        <w:rPr>
          <w:rFonts w:ascii="Times New Roman" w:hAnsi="Times New Roman"/>
        </w:rPr>
        <w:t xml:space="preserve">[79%, 90%] </w:t>
      </w:r>
      <w:r w:rsidR="00586858" w:rsidRPr="005D5356">
        <w:rPr>
          <w:rFonts w:ascii="Times New Roman" w:hAnsi="Times New Roman"/>
        </w:rPr>
        <w:t>(Benin) (</w:t>
      </w:r>
      <w:r w:rsidR="005B5042">
        <w:rPr>
          <w:rFonts w:ascii="Times New Roman" w:hAnsi="Times New Roman"/>
        </w:rPr>
        <w:t>see Supplementary File 1</w:t>
      </w:r>
      <w:r w:rsidR="00586858" w:rsidRPr="005D5356">
        <w:rPr>
          <w:rFonts w:ascii="Times New Roman" w:hAnsi="Times New Roman"/>
        </w:rPr>
        <w:t xml:space="preserve">). </w:t>
      </w:r>
      <w:r w:rsidR="00B60F39" w:rsidRPr="005D5356">
        <w:rPr>
          <w:rFonts w:ascii="Times New Roman" w:hAnsi="Times New Roman"/>
        </w:rPr>
        <w:t xml:space="preserve">The </w:t>
      </w:r>
      <w:r w:rsidR="00B114CB" w:rsidRPr="005D5356">
        <w:rPr>
          <w:rFonts w:ascii="Times New Roman" w:hAnsi="Times New Roman"/>
        </w:rPr>
        <w:t>percentage of pregnant women with no education</w:t>
      </w:r>
      <w:r w:rsidR="00B60F39" w:rsidRPr="005D5356">
        <w:rPr>
          <w:rFonts w:ascii="Times New Roman" w:hAnsi="Times New Roman"/>
        </w:rPr>
        <w:t xml:space="preserve"> increased</w:t>
      </w:r>
      <w:r w:rsidR="00B114CB" w:rsidRPr="005D5356">
        <w:rPr>
          <w:rFonts w:ascii="Times New Roman" w:hAnsi="Times New Roman"/>
        </w:rPr>
        <w:t xml:space="preserve"> from </w:t>
      </w:r>
      <w:r w:rsidR="00B60F39" w:rsidRPr="005D5356">
        <w:rPr>
          <w:rFonts w:ascii="Times New Roman" w:hAnsi="Times New Roman"/>
        </w:rPr>
        <w:t xml:space="preserve">non-smokers to </w:t>
      </w:r>
      <w:proofErr w:type="gramStart"/>
      <w:r w:rsidR="00B60F39" w:rsidRPr="005D5356">
        <w:rPr>
          <w:rFonts w:ascii="Times New Roman" w:hAnsi="Times New Roman"/>
        </w:rPr>
        <w:t>SHS-</w:t>
      </w:r>
      <w:r w:rsidR="00B114CB" w:rsidRPr="005D5356">
        <w:rPr>
          <w:rFonts w:ascii="Times New Roman" w:hAnsi="Times New Roman"/>
        </w:rPr>
        <w:t>exposed</w:t>
      </w:r>
      <w:proofErr w:type="gramEnd"/>
      <w:r w:rsidR="00B114CB" w:rsidRPr="005D5356">
        <w:rPr>
          <w:rFonts w:ascii="Times New Roman" w:hAnsi="Times New Roman"/>
        </w:rPr>
        <w:t xml:space="preserve"> to active smokers </w:t>
      </w:r>
      <w:r w:rsidR="00B60F39" w:rsidRPr="005D5356">
        <w:rPr>
          <w:rFonts w:ascii="Times New Roman" w:hAnsi="Times New Roman"/>
        </w:rPr>
        <w:t>as a consistent trend</w:t>
      </w:r>
      <w:r w:rsidR="00B114CB" w:rsidRPr="005D5356">
        <w:rPr>
          <w:rFonts w:ascii="Times New Roman" w:hAnsi="Times New Roman"/>
        </w:rPr>
        <w:t xml:space="preserve"> in </w:t>
      </w:r>
      <w:r w:rsidR="00F467D7" w:rsidRPr="005D5356">
        <w:rPr>
          <w:rFonts w:ascii="Times New Roman" w:hAnsi="Times New Roman"/>
        </w:rPr>
        <w:t>25</w:t>
      </w:r>
      <w:r w:rsidR="00B114CB" w:rsidRPr="005D5356">
        <w:rPr>
          <w:rFonts w:ascii="Times New Roman" w:hAnsi="Times New Roman"/>
        </w:rPr>
        <w:t xml:space="preserve"> of </w:t>
      </w:r>
      <w:r w:rsidR="00F467D7" w:rsidRPr="005D5356">
        <w:rPr>
          <w:rFonts w:ascii="Times New Roman" w:hAnsi="Times New Roman"/>
        </w:rPr>
        <w:t>30</w:t>
      </w:r>
      <w:r w:rsidR="00B114CB" w:rsidRPr="005D5356">
        <w:rPr>
          <w:rFonts w:ascii="Times New Roman" w:hAnsi="Times New Roman"/>
        </w:rPr>
        <w:t xml:space="preserve"> countries (except</w:t>
      </w:r>
      <w:r w:rsidR="00B60F39" w:rsidRPr="005D5356">
        <w:rPr>
          <w:rFonts w:ascii="Times New Roman" w:hAnsi="Times New Roman"/>
        </w:rPr>
        <w:t>ing</w:t>
      </w:r>
      <w:r w:rsidR="00B114CB" w:rsidRPr="005D5356">
        <w:rPr>
          <w:rFonts w:ascii="Times New Roman" w:hAnsi="Times New Roman"/>
        </w:rPr>
        <w:t xml:space="preserve"> </w:t>
      </w:r>
      <w:r w:rsidR="00B114CB" w:rsidRPr="005D5356">
        <w:rPr>
          <w:rFonts w:ascii="Times New Roman" w:hAnsi="Times New Roman"/>
        </w:rPr>
        <w:lastRenderedPageBreak/>
        <w:t xml:space="preserve">Gabon, Guinea, Mali, Nigeria, and Togo). The percentage of </w:t>
      </w:r>
      <w:r w:rsidR="00586858" w:rsidRPr="005D5356">
        <w:rPr>
          <w:rFonts w:ascii="Times New Roman" w:hAnsi="Times New Roman"/>
        </w:rPr>
        <w:t xml:space="preserve">pregnant women with no employment ranged from 10% </w:t>
      </w:r>
      <w:r w:rsidR="00FB4874" w:rsidRPr="005D5356">
        <w:rPr>
          <w:rFonts w:ascii="Times New Roman" w:hAnsi="Times New Roman"/>
        </w:rPr>
        <w:t xml:space="preserve">[6%, 17%] </w:t>
      </w:r>
      <w:r w:rsidR="00586858" w:rsidRPr="005D5356">
        <w:rPr>
          <w:rFonts w:ascii="Times New Roman" w:hAnsi="Times New Roman"/>
        </w:rPr>
        <w:t xml:space="preserve">in Burundi to 92% </w:t>
      </w:r>
      <w:r w:rsidR="00FB4874" w:rsidRPr="005D5356">
        <w:rPr>
          <w:rFonts w:ascii="Times New Roman" w:hAnsi="Times New Roman"/>
        </w:rPr>
        <w:t xml:space="preserve">[90%, 94%] </w:t>
      </w:r>
      <w:r w:rsidR="00586858" w:rsidRPr="005D5356">
        <w:rPr>
          <w:rFonts w:ascii="Times New Roman" w:hAnsi="Times New Roman"/>
        </w:rPr>
        <w:t>in Egypt</w:t>
      </w:r>
      <w:r w:rsidR="00B114CB" w:rsidRPr="005D5356">
        <w:rPr>
          <w:rFonts w:ascii="Times New Roman" w:hAnsi="Times New Roman"/>
        </w:rPr>
        <w:t>, with no consistent trend between smoking and working status across the countries</w:t>
      </w:r>
      <w:r w:rsidR="00586858" w:rsidRPr="005D5356">
        <w:rPr>
          <w:rFonts w:ascii="Times New Roman" w:hAnsi="Times New Roman"/>
        </w:rPr>
        <w:t xml:space="preserve">. The percentage of pregnant women in the lowest wealth quintile exposed </w:t>
      </w:r>
      <w:r w:rsidR="00C42650" w:rsidRPr="005D5356">
        <w:rPr>
          <w:rFonts w:ascii="Times New Roman" w:hAnsi="Times New Roman"/>
        </w:rPr>
        <w:t xml:space="preserve">to SHS </w:t>
      </w:r>
      <w:r w:rsidR="00586858" w:rsidRPr="005D5356">
        <w:rPr>
          <w:rFonts w:ascii="Times New Roman" w:hAnsi="Times New Roman"/>
        </w:rPr>
        <w:t xml:space="preserve">ranged from to 13% </w:t>
      </w:r>
      <w:r w:rsidR="00FB4874" w:rsidRPr="005D5356">
        <w:rPr>
          <w:rFonts w:ascii="Times New Roman" w:hAnsi="Times New Roman"/>
        </w:rPr>
        <w:t xml:space="preserve">[5%, 27%] </w:t>
      </w:r>
      <w:r w:rsidR="00586858" w:rsidRPr="005D5356">
        <w:rPr>
          <w:rFonts w:ascii="Times New Roman" w:hAnsi="Times New Roman"/>
        </w:rPr>
        <w:t xml:space="preserve">(Tajikistan) to 35% </w:t>
      </w:r>
      <w:r w:rsidR="00FB4874" w:rsidRPr="005D5356">
        <w:rPr>
          <w:rFonts w:ascii="Times New Roman" w:hAnsi="Times New Roman"/>
        </w:rPr>
        <w:t xml:space="preserve">[29%, 42%] </w:t>
      </w:r>
      <w:r w:rsidR="00586858" w:rsidRPr="005D5356">
        <w:rPr>
          <w:rFonts w:ascii="Times New Roman" w:hAnsi="Times New Roman"/>
        </w:rPr>
        <w:t>(Mozambique)</w:t>
      </w:r>
      <w:r w:rsidR="00C42650" w:rsidRPr="005D5356">
        <w:rPr>
          <w:rFonts w:ascii="Times New Roman" w:hAnsi="Times New Roman"/>
        </w:rPr>
        <w:t xml:space="preserve">. The percentage of women in the lowest wealth quintile increased from non-smoking to </w:t>
      </w:r>
      <w:proofErr w:type="gramStart"/>
      <w:r w:rsidR="00C42650" w:rsidRPr="005D5356">
        <w:rPr>
          <w:rFonts w:ascii="Times New Roman" w:hAnsi="Times New Roman"/>
        </w:rPr>
        <w:t>SHS</w:t>
      </w:r>
      <w:r w:rsidR="00D00055" w:rsidRPr="005D5356">
        <w:rPr>
          <w:rFonts w:ascii="Times New Roman" w:hAnsi="Times New Roman"/>
        </w:rPr>
        <w:t>-</w:t>
      </w:r>
      <w:r w:rsidR="00C42650" w:rsidRPr="005D5356">
        <w:rPr>
          <w:rFonts w:ascii="Times New Roman" w:hAnsi="Times New Roman"/>
        </w:rPr>
        <w:t>exposed</w:t>
      </w:r>
      <w:proofErr w:type="gramEnd"/>
      <w:r w:rsidR="00C42650" w:rsidRPr="005D5356">
        <w:rPr>
          <w:rFonts w:ascii="Times New Roman" w:hAnsi="Times New Roman"/>
        </w:rPr>
        <w:t xml:space="preserve"> to active smoking in </w:t>
      </w:r>
      <w:r w:rsidR="0016564B" w:rsidRPr="005D5356">
        <w:rPr>
          <w:rFonts w:ascii="Times New Roman" w:hAnsi="Times New Roman"/>
        </w:rPr>
        <w:t>20</w:t>
      </w:r>
      <w:r w:rsidR="00C42650" w:rsidRPr="005D5356">
        <w:rPr>
          <w:rFonts w:ascii="Times New Roman" w:hAnsi="Times New Roman"/>
        </w:rPr>
        <w:t xml:space="preserve"> of </w:t>
      </w:r>
      <w:r w:rsidR="0016564B" w:rsidRPr="005D5356">
        <w:rPr>
          <w:rFonts w:ascii="Times New Roman" w:hAnsi="Times New Roman"/>
        </w:rPr>
        <w:t>30</w:t>
      </w:r>
      <w:r w:rsidR="00C42650" w:rsidRPr="005D5356">
        <w:rPr>
          <w:rFonts w:ascii="Times New Roman" w:hAnsi="Times New Roman"/>
        </w:rPr>
        <w:t xml:space="preserve"> countries. Lastly</w:t>
      </w:r>
      <w:r w:rsidR="00586858" w:rsidRPr="005D5356">
        <w:rPr>
          <w:rFonts w:ascii="Times New Roman" w:hAnsi="Times New Roman"/>
        </w:rPr>
        <w:t xml:space="preserve"> the percentage of SHS-exposed pregnant women in urban areas ranged from 6% </w:t>
      </w:r>
      <w:r w:rsidR="00FB4874" w:rsidRPr="005D5356">
        <w:rPr>
          <w:rFonts w:ascii="Times New Roman" w:hAnsi="Times New Roman"/>
        </w:rPr>
        <w:t xml:space="preserve">[4%, 10%] </w:t>
      </w:r>
      <w:r w:rsidR="00586858" w:rsidRPr="005D5356">
        <w:rPr>
          <w:rFonts w:ascii="Times New Roman" w:hAnsi="Times New Roman"/>
        </w:rPr>
        <w:t xml:space="preserve">(Burundi) to 82% </w:t>
      </w:r>
      <w:r w:rsidR="00FB4874" w:rsidRPr="005D5356">
        <w:rPr>
          <w:rFonts w:ascii="Times New Roman" w:hAnsi="Times New Roman"/>
        </w:rPr>
        <w:t xml:space="preserve">[78%, 85%] </w:t>
      </w:r>
      <w:r w:rsidR="00586858" w:rsidRPr="005D5356">
        <w:rPr>
          <w:rFonts w:ascii="Times New Roman" w:hAnsi="Times New Roman"/>
        </w:rPr>
        <w:t>(Jordan).</w:t>
      </w:r>
      <w:r w:rsidR="00B60F39" w:rsidRPr="005D5356">
        <w:rPr>
          <w:rFonts w:ascii="Times New Roman" w:hAnsi="Times New Roman"/>
        </w:rPr>
        <w:t xml:space="preserve"> In </w:t>
      </w:r>
      <w:r w:rsidR="0016564B" w:rsidRPr="005D5356">
        <w:rPr>
          <w:rFonts w:ascii="Times New Roman" w:hAnsi="Times New Roman"/>
        </w:rPr>
        <w:t>16</w:t>
      </w:r>
      <w:r w:rsidR="00B60F39" w:rsidRPr="005D5356">
        <w:rPr>
          <w:rFonts w:ascii="Times New Roman" w:hAnsi="Times New Roman"/>
        </w:rPr>
        <w:t xml:space="preserve"> of </w:t>
      </w:r>
      <w:r w:rsidR="0016564B" w:rsidRPr="005D5356">
        <w:rPr>
          <w:rFonts w:ascii="Times New Roman" w:hAnsi="Times New Roman"/>
        </w:rPr>
        <w:t>30</w:t>
      </w:r>
      <w:r w:rsidR="00B60F39" w:rsidRPr="005D5356">
        <w:rPr>
          <w:rFonts w:ascii="Times New Roman" w:hAnsi="Times New Roman"/>
        </w:rPr>
        <w:t xml:space="preserve"> countries, the percentage of pregnant women in urban areas decreased from non-smoking to </w:t>
      </w:r>
      <w:proofErr w:type="gramStart"/>
      <w:r w:rsidR="00B60F39" w:rsidRPr="005D5356">
        <w:rPr>
          <w:rFonts w:ascii="Times New Roman" w:hAnsi="Times New Roman"/>
        </w:rPr>
        <w:t>SHS-exposed</w:t>
      </w:r>
      <w:proofErr w:type="gramEnd"/>
      <w:r w:rsidR="00B60F39" w:rsidRPr="005D5356">
        <w:rPr>
          <w:rFonts w:ascii="Times New Roman" w:hAnsi="Times New Roman"/>
        </w:rPr>
        <w:t xml:space="preserve"> to active smoking. </w:t>
      </w:r>
    </w:p>
    <w:p w14:paraId="69EC5D51" w14:textId="77777777" w:rsidR="00586858" w:rsidRPr="005D5356" w:rsidRDefault="00586858" w:rsidP="00F07639">
      <w:pPr>
        <w:spacing w:line="480" w:lineRule="auto"/>
        <w:rPr>
          <w:rFonts w:ascii="Times New Roman" w:hAnsi="Times New Roman"/>
        </w:rPr>
      </w:pPr>
    </w:p>
    <w:p w14:paraId="2BC4D9BF" w14:textId="77777777" w:rsidR="00586858" w:rsidRPr="00E00ABD" w:rsidRDefault="004042A7" w:rsidP="00F07639">
      <w:pPr>
        <w:spacing w:line="480" w:lineRule="auto"/>
        <w:rPr>
          <w:rFonts w:ascii="Times New Roman" w:hAnsi="Times New Roman"/>
          <w:b/>
          <w:bCs/>
        </w:rPr>
      </w:pPr>
      <w:r w:rsidRPr="00E00ABD">
        <w:rPr>
          <w:rFonts w:ascii="Times New Roman" w:hAnsi="Times New Roman"/>
          <w:b/>
          <w:bCs/>
        </w:rPr>
        <w:t xml:space="preserve">Regression results </w:t>
      </w:r>
    </w:p>
    <w:p w14:paraId="39E24EC0" w14:textId="77777777" w:rsidR="00BE4013" w:rsidRPr="005D5356" w:rsidRDefault="00BE4013" w:rsidP="00F07639">
      <w:pPr>
        <w:spacing w:line="480" w:lineRule="auto"/>
        <w:rPr>
          <w:rFonts w:ascii="Times New Roman" w:hAnsi="Times New Roman"/>
        </w:rPr>
      </w:pPr>
    </w:p>
    <w:p w14:paraId="39F3F7D6" w14:textId="2CD8122D" w:rsidR="007123C9" w:rsidRPr="005D5356" w:rsidRDefault="0042262B" w:rsidP="00F07639">
      <w:pPr>
        <w:spacing w:line="480" w:lineRule="auto"/>
        <w:rPr>
          <w:rFonts w:ascii="Times New Roman" w:hAnsi="Times New Roman"/>
        </w:rPr>
      </w:pPr>
      <w:r w:rsidRPr="005D5356">
        <w:rPr>
          <w:rFonts w:ascii="Times New Roman" w:hAnsi="Times New Roman"/>
        </w:rPr>
        <w:t xml:space="preserve">Given the covariates in the model, </w:t>
      </w:r>
      <w:r w:rsidR="00792F4A" w:rsidRPr="005D5356">
        <w:rPr>
          <w:rFonts w:ascii="Times New Roman" w:hAnsi="Times New Roman"/>
        </w:rPr>
        <w:t>t</w:t>
      </w:r>
      <w:r w:rsidR="007123C9" w:rsidRPr="005D5356">
        <w:rPr>
          <w:rFonts w:ascii="Times New Roman" w:hAnsi="Times New Roman"/>
        </w:rPr>
        <w:t xml:space="preserve">he highest </w:t>
      </w:r>
      <w:r w:rsidRPr="005D5356">
        <w:rPr>
          <w:rFonts w:ascii="Times New Roman" w:hAnsi="Times New Roman"/>
        </w:rPr>
        <w:t xml:space="preserve">probabilities </w:t>
      </w:r>
      <w:r w:rsidR="007123C9" w:rsidRPr="005D5356">
        <w:rPr>
          <w:rFonts w:ascii="Times New Roman" w:hAnsi="Times New Roman"/>
        </w:rPr>
        <w:t xml:space="preserve">for daily </w:t>
      </w:r>
      <w:r w:rsidR="00D62051">
        <w:rPr>
          <w:rFonts w:ascii="Times New Roman" w:hAnsi="Times New Roman"/>
        </w:rPr>
        <w:t xml:space="preserve">household </w:t>
      </w:r>
      <w:r w:rsidR="007123C9" w:rsidRPr="005D5356">
        <w:rPr>
          <w:rFonts w:ascii="Times New Roman" w:hAnsi="Times New Roman"/>
        </w:rPr>
        <w:t xml:space="preserve">SHS exposure in pregnant women was </w:t>
      </w:r>
      <w:r w:rsidRPr="005D5356">
        <w:rPr>
          <w:rFonts w:ascii="Times New Roman" w:hAnsi="Times New Roman"/>
        </w:rPr>
        <w:t xml:space="preserve">for women in </w:t>
      </w:r>
      <w:r w:rsidR="00B868A9">
        <w:rPr>
          <w:rFonts w:ascii="Times New Roman" w:hAnsi="Times New Roman"/>
        </w:rPr>
        <w:t xml:space="preserve">the </w:t>
      </w:r>
      <w:r w:rsidR="00487955">
        <w:rPr>
          <w:rFonts w:ascii="Times New Roman" w:hAnsi="Times New Roman"/>
        </w:rPr>
        <w:t>SEA</w:t>
      </w:r>
      <w:r w:rsidR="00B868A9">
        <w:rPr>
          <w:rFonts w:ascii="Times New Roman" w:hAnsi="Times New Roman"/>
        </w:rPr>
        <w:t xml:space="preserve"> countries studied</w:t>
      </w:r>
      <w:r w:rsidR="00EE4411" w:rsidRPr="005D5356">
        <w:rPr>
          <w:rFonts w:ascii="Times New Roman" w:hAnsi="Times New Roman"/>
        </w:rPr>
        <w:t xml:space="preserve"> </w:t>
      </w:r>
      <w:r w:rsidR="007446A5" w:rsidRPr="005D5356">
        <w:rPr>
          <w:rFonts w:ascii="Times New Roman" w:hAnsi="Times New Roman"/>
        </w:rPr>
        <w:t>[</w:t>
      </w:r>
      <w:r w:rsidR="006124FF" w:rsidRPr="005D5356">
        <w:rPr>
          <w:rFonts w:ascii="Times New Roman" w:hAnsi="Times New Roman"/>
        </w:rPr>
        <w:t>0</w:t>
      </w:r>
      <w:r w:rsidR="00612DFB" w:rsidRPr="005D5356">
        <w:rPr>
          <w:rFonts w:ascii="Times New Roman" w:hAnsi="Times New Roman"/>
        </w:rPr>
        <w:t>·</w:t>
      </w:r>
      <w:r w:rsidR="006124FF" w:rsidRPr="005D5356">
        <w:rPr>
          <w:rFonts w:ascii="Times New Roman" w:hAnsi="Times New Roman"/>
        </w:rPr>
        <w:t>60</w:t>
      </w:r>
      <w:r w:rsidR="007446A5" w:rsidRPr="005D5356">
        <w:rPr>
          <w:rFonts w:ascii="Times New Roman" w:hAnsi="Times New Roman"/>
        </w:rPr>
        <w:t xml:space="preserve"> (0·58, 0·62)]</w:t>
      </w:r>
      <w:r w:rsidR="007123C9" w:rsidRPr="005D5356">
        <w:rPr>
          <w:rFonts w:ascii="Times New Roman" w:hAnsi="Times New Roman"/>
        </w:rPr>
        <w:t xml:space="preserve"> and in the </w:t>
      </w:r>
      <w:r w:rsidR="00487955">
        <w:rPr>
          <w:rFonts w:ascii="Times New Roman" w:hAnsi="Times New Roman"/>
        </w:rPr>
        <w:t>MENA</w:t>
      </w:r>
      <w:r w:rsidR="00EE4411" w:rsidRPr="005D5356">
        <w:rPr>
          <w:rFonts w:ascii="Times New Roman" w:hAnsi="Times New Roman"/>
        </w:rPr>
        <w:t xml:space="preserve"> </w:t>
      </w:r>
      <w:r w:rsidR="00B868A9">
        <w:rPr>
          <w:rFonts w:ascii="Times New Roman" w:hAnsi="Times New Roman"/>
        </w:rPr>
        <w:t xml:space="preserve">countries studied </w:t>
      </w:r>
      <w:r w:rsidR="007446A5" w:rsidRPr="005D5356">
        <w:rPr>
          <w:rFonts w:ascii="Times New Roman" w:hAnsi="Times New Roman"/>
        </w:rPr>
        <w:t>[</w:t>
      </w:r>
      <w:r w:rsidR="006124FF" w:rsidRPr="005D5356">
        <w:rPr>
          <w:rFonts w:ascii="Times New Roman" w:hAnsi="Times New Roman"/>
        </w:rPr>
        <w:t>0</w:t>
      </w:r>
      <w:r w:rsidR="00612DFB" w:rsidRPr="005D5356">
        <w:rPr>
          <w:rFonts w:ascii="Times New Roman" w:hAnsi="Times New Roman"/>
        </w:rPr>
        <w:t>·</w:t>
      </w:r>
      <w:r w:rsidR="006124FF" w:rsidRPr="005D5356">
        <w:rPr>
          <w:rFonts w:ascii="Times New Roman" w:hAnsi="Times New Roman"/>
        </w:rPr>
        <w:t>50</w:t>
      </w:r>
      <w:r w:rsidR="007446A5" w:rsidRPr="005D5356">
        <w:rPr>
          <w:rFonts w:ascii="Times New Roman" w:hAnsi="Times New Roman"/>
        </w:rPr>
        <w:t xml:space="preserve"> (0·48, 0·52)]</w:t>
      </w:r>
      <w:r w:rsidRPr="005D5356">
        <w:rPr>
          <w:rFonts w:ascii="Times New Roman" w:hAnsi="Times New Roman"/>
        </w:rPr>
        <w:t>,</w:t>
      </w:r>
      <w:r w:rsidR="007123C9" w:rsidRPr="005D5356">
        <w:rPr>
          <w:rFonts w:ascii="Times New Roman" w:hAnsi="Times New Roman"/>
        </w:rPr>
        <w:t xml:space="preserve"> and the lowest probability </w:t>
      </w:r>
      <w:r w:rsidRPr="005D5356">
        <w:rPr>
          <w:rFonts w:ascii="Times New Roman" w:hAnsi="Times New Roman"/>
        </w:rPr>
        <w:t xml:space="preserve">was for women </w:t>
      </w:r>
      <w:r w:rsidR="007123C9" w:rsidRPr="005D5356">
        <w:rPr>
          <w:rFonts w:ascii="Times New Roman" w:hAnsi="Times New Roman"/>
        </w:rPr>
        <w:t xml:space="preserve">in </w:t>
      </w:r>
      <w:r w:rsidR="00487955">
        <w:rPr>
          <w:rFonts w:ascii="Times New Roman" w:hAnsi="Times New Roman"/>
        </w:rPr>
        <w:t>LAC</w:t>
      </w:r>
      <w:r w:rsidR="005F1D4B" w:rsidRPr="005D5356">
        <w:rPr>
          <w:rFonts w:ascii="Times New Roman" w:hAnsi="Times New Roman"/>
        </w:rPr>
        <w:t xml:space="preserve"> </w:t>
      </w:r>
      <w:r w:rsidR="00B868A9">
        <w:rPr>
          <w:rFonts w:ascii="Times New Roman" w:hAnsi="Times New Roman"/>
        </w:rPr>
        <w:t xml:space="preserve">countries studied </w:t>
      </w:r>
      <w:r w:rsidR="005F1D4B" w:rsidRPr="005D5356">
        <w:rPr>
          <w:rFonts w:ascii="Times New Roman" w:hAnsi="Times New Roman"/>
        </w:rPr>
        <w:t>(</w:t>
      </w:r>
      <w:r w:rsidR="005B5042">
        <w:rPr>
          <w:rFonts w:ascii="Times New Roman" w:hAnsi="Times New Roman"/>
        </w:rPr>
        <w:t>Table 3</w:t>
      </w:r>
      <w:r w:rsidR="00B93617" w:rsidRPr="005D5356">
        <w:rPr>
          <w:rFonts w:ascii="Times New Roman" w:hAnsi="Times New Roman"/>
        </w:rPr>
        <w:t>)</w:t>
      </w:r>
      <w:r w:rsidRPr="005D5356">
        <w:rPr>
          <w:rFonts w:ascii="Times New Roman" w:hAnsi="Times New Roman"/>
        </w:rPr>
        <w:t xml:space="preserve">. </w:t>
      </w:r>
      <w:r w:rsidR="007123C9" w:rsidRPr="005D5356">
        <w:rPr>
          <w:rFonts w:ascii="Times New Roman" w:hAnsi="Times New Roman"/>
        </w:rPr>
        <w:t xml:space="preserve">The probability of daily </w:t>
      </w:r>
      <w:r w:rsidR="00D62051">
        <w:rPr>
          <w:rFonts w:ascii="Times New Roman" w:hAnsi="Times New Roman"/>
        </w:rPr>
        <w:t xml:space="preserve">household </w:t>
      </w:r>
      <w:r w:rsidR="007123C9" w:rsidRPr="005D5356">
        <w:rPr>
          <w:rFonts w:ascii="Times New Roman" w:hAnsi="Times New Roman"/>
        </w:rPr>
        <w:t>SHS exposure decreased w</w:t>
      </w:r>
      <w:r w:rsidR="00F15C04" w:rsidRPr="005D5356">
        <w:rPr>
          <w:rFonts w:ascii="Times New Roman" w:hAnsi="Times New Roman"/>
        </w:rPr>
        <w:t>ith increasing wealth, from 0</w:t>
      </w:r>
      <w:r w:rsidR="00612DFB" w:rsidRPr="005D5356">
        <w:rPr>
          <w:rFonts w:ascii="Times New Roman" w:hAnsi="Times New Roman"/>
        </w:rPr>
        <w:t>·</w:t>
      </w:r>
      <w:r w:rsidR="00F15C04" w:rsidRPr="005D5356">
        <w:rPr>
          <w:rFonts w:ascii="Times New Roman" w:hAnsi="Times New Roman"/>
        </w:rPr>
        <w:t>31</w:t>
      </w:r>
      <w:r w:rsidR="007123C9" w:rsidRPr="005D5356">
        <w:rPr>
          <w:rFonts w:ascii="Times New Roman" w:hAnsi="Times New Roman"/>
        </w:rPr>
        <w:t xml:space="preserve"> </w:t>
      </w:r>
      <w:r w:rsidR="007446A5" w:rsidRPr="005D5356">
        <w:rPr>
          <w:rFonts w:ascii="Times New Roman" w:hAnsi="Times New Roman"/>
        </w:rPr>
        <w:t xml:space="preserve">(0·30, 0·32) </w:t>
      </w:r>
      <w:r w:rsidR="007123C9" w:rsidRPr="005D5356">
        <w:rPr>
          <w:rFonts w:ascii="Times New Roman" w:hAnsi="Times New Roman"/>
        </w:rPr>
        <w:t>in the</w:t>
      </w:r>
      <w:r w:rsidR="00F15C04" w:rsidRPr="005D5356">
        <w:rPr>
          <w:rFonts w:ascii="Times New Roman" w:hAnsi="Times New Roman"/>
        </w:rPr>
        <w:t xml:space="preserve"> poorest wealth quintile to 0</w:t>
      </w:r>
      <w:r w:rsidR="00612DFB" w:rsidRPr="005D5356">
        <w:rPr>
          <w:rFonts w:ascii="Times New Roman" w:hAnsi="Times New Roman"/>
        </w:rPr>
        <w:t>·</w:t>
      </w:r>
      <w:r w:rsidR="00F15C04" w:rsidRPr="005D5356">
        <w:rPr>
          <w:rFonts w:ascii="Times New Roman" w:hAnsi="Times New Roman"/>
        </w:rPr>
        <w:t>17</w:t>
      </w:r>
      <w:r w:rsidR="007123C9" w:rsidRPr="005D5356">
        <w:rPr>
          <w:rFonts w:ascii="Times New Roman" w:hAnsi="Times New Roman"/>
        </w:rPr>
        <w:t xml:space="preserve"> </w:t>
      </w:r>
      <w:r w:rsidR="007446A5" w:rsidRPr="005D5356">
        <w:rPr>
          <w:rFonts w:ascii="Times New Roman" w:hAnsi="Times New Roman"/>
        </w:rPr>
        <w:t xml:space="preserve">(0·16, 0·19) </w:t>
      </w:r>
      <w:r w:rsidR="007123C9" w:rsidRPr="005D5356">
        <w:rPr>
          <w:rFonts w:ascii="Times New Roman" w:hAnsi="Times New Roman"/>
        </w:rPr>
        <w:t xml:space="preserve">in the </w:t>
      </w:r>
      <w:r w:rsidR="007446A5" w:rsidRPr="005D5356">
        <w:rPr>
          <w:rFonts w:ascii="Times New Roman" w:hAnsi="Times New Roman"/>
        </w:rPr>
        <w:t xml:space="preserve">wealthiest </w:t>
      </w:r>
      <w:r w:rsidR="007123C9" w:rsidRPr="005D5356">
        <w:rPr>
          <w:rFonts w:ascii="Times New Roman" w:hAnsi="Times New Roman"/>
        </w:rPr>
        <w:t xml:space="preserve">quintile. Within educational attainment, a primary school education was associated with the highest probability for daily </w:t>
      </w:r>
      <w:r w:rsidR="00D62051">
        <w:rPr>
          <w:rFonts w:ascii="Times New Roman" w:hAnsi="Times New Roman"/>
        </w:rPr>
        <w:t xml:space="preserve">household </w:t>
      </w:r>
      <w:r w:rsidR="007123C9" w:rsidRPr="005D5356">
        <w:rPr>
          <w:rFonts w:ascii="Times New Roman" w:hAnsi="Times New Roman"/>
        </w:rPr>
        <w:t>SHS exposure</w:t>
      </w:r>
      <w:r w:rsidR="00F15C04" w:rsidRPr="005D5356">
        <w:rPr>
          <w:rFonts w:ascii="Times New Roman" w:hAnsi="Times New Roman"/>
        </w:rPr>
        <w:t xml:space="preserve">, followed by no education </w:t>
      </w:r>
      <w:r w:rsidR="007446A5" w:rsidRPr="005D5356">
        <w:rPr>
          <w:rFonts w:ascii="Times New Roman" w:hAnsi="Times New Roman"/>
        </w:rPr>
        <w:t>[</w:t>
      </w:r>
      <w:r w:rsidR="00F15C04" w:rsidRPr="005D5356">
        <w:rPr>
          <w:rFonts w:ascii="Times New Roman" w:hAnsi="Times New Roman"/>
        </w:rPr>
        <w:t>0</w:t>
      </w:r>
      <w:r w:rsidR="00612DFB" w:rsidRPr="005D5356">
        <w:rPr>
          <w:rFonts w:ascii="Times New Roman" w:hAnsi="Times New Roman"/>
        </w:rPr>
        <w:t>·</w:t>
      </w:r>
      <w:r w:rsidR="00F15C04" w:rsidRPr="005D5356">
        <w:rPr>
          <w:rFonts w:ascii="Times New Roman" w:hAnsi="Times New Roman"/>
        </w:rPr>
        <w:t>26</w:t>
      </w:r>
      <w:r w:rsidR="007446A5" w:rsidRPr="005D5356">
        <w:rPr>
          <w:rFonts w:ascii="Times New Roman" w:hAnsi="Times New Roman"/>
        </w:rPr>
        <w:t>, (</w:t>
      </w:r>
      <w:r w:rsidR="008F1CBA" w:rsidRPr="005D5356">
        <w:rPr>
          <w:rFonts w:ascii="Times New Roman" w:hAnsi="Times New Roman"/>
        </w:rPr>
        <w:t>0·25, 0·27)]</w:t>
      </w:r>
      <w:r w:rsidR="007123C9" w:rsidRPr="005D5356">
        <w:rPr>
          <w:rFonts w:ascii="Times New Roman" w:hAnsi="Times New Roman"/>
        </w:rPr>
        <w:t xml:space="preserve">, and then secondary and </w:t>
      </w:r>
      <w:r w:rsidRPr="005D5356">
        <w:rPr>
          <w:rFonts w:ascii="Times New Roman" w:hAnsi="Times New Roman"/>
        </w:rPr>
        <w:t>higher</w:t>
      </w:r>
      <w:r w:rsidR="007123C9" w:rsidRPr="005D5356">
        <w:rPr>
          <w:rFonts w:ascii="Times New Roman" w:hAnsi="Times New Roman"/>
        </w:rPr>
        <w:t>.</w:t>
      </w:r>
      <w:r w:rsidR="005F1D4B" w:rsidRPr="005D5356">
        <w:rPr>
          <w:rFonts w:ascii="Times New Roman" w:hAnsi="Times New Roman"/>
        </w:rPr>
        <w:t xml:space="preserve"> </w:t>
      </w:r>
      <w:r w:rsidR="007123C9" w:rsidRPr="005D5356">
        <w:rPr>
          <w:rFonts w:ascii="Times New Roman" w:hAnsi="Times New Roman"/>
        </w:rPr>
        <w:t>A higher probability for daily exposure was observed for pregnant women in households in urban area</w:t>
      </w:r>
      <w:r w:rsidR="00E9102A" w:rsidRPr="005D5356">
        <w:rPr>
          <w:rFonts w:ascii="Times New Roman" w:hAnsi="Times New Roman"/>
        </w:rPr>
        <w:t xml:space="preserve">s </w:t>
      </w:r>
      <w:r w:rsidR="008F1CBA" w:rsidRPr="005D5356">
        <w:rPr>
          <w:rFonts w:ascii="Times New Roman" w:hAnsi="Times New Roman"/>
        </w:rPr>
        <w:t>[</w:t>
      </w:r>
      <w:r w:rsidR="00E9102A" w:rsidRPr="005D5356">
        <w:rPr>
          <w:rFonts w:ascii="Times New Roman" w:hAnsi="Times New Roman"/>
        </w:rPr>
        <w:t>0</w:t>
      </w:r>
      <w:r w:rsidR="00612DFB" w:rsidRPr="005D5356">
        <w:rPr>
          <w:rFonts w:ascii="Times New Roman" w:hAnsi="Times New Roman"/>
        </w:rPr>
        <w:t>·</w:t>
      </w:r>
      <w:r w:rsidR="00E9102A" w:rsidRPr="005D5356">
        <w:rPr>
          <w:rFonts w:ascii="Times New Roman" w:hAnsi="Times New Roman"/>
        </w:rPr>
        <w:t>28</w:t>
      </w:r>
      <w:r w:rsidR="008F1CBA" w:rsidRPr="005D5356">
        <w:rPr>
          <w:rFonts w:ascii="Times New Roman" w:hAnsi="Times New Roman"/>
        </w:rPr>
        <w:t xml:space="preserve"> (0·27, 0·29</w:t>
      </w:r>
      <w:r w:rsidR="007123C9" w:rsidRPr="005D5356">
        <w:rPr>
          <w:rFonts w:ascii="Times New Roman" w:hAnsi="Times New Roman"/>
        </w:rPr>
        <w:t>)</w:t>
      </w:r>
      <w:r w:rsidR="008F1CBA" w:rsidRPr="005D5356">
        <w:rPr>
          <w:rFonts w:ascii="Times New Roman" w:hAnsi="Times New Roman"/>
        </w:rPr>
        <w:t>]</w:t>
      </w:r>
      <w:r w:rsidR="007123C9" w:rsidRPr="005D5356">
        <w:rPr>
          <w:rFonts w:ascii="Times New Roman" w:hAnsi="Times New Roman"/>
        </w:rPr>
        <w:t xml:space="preserve"> than for</w:t>
      </w:r>
      <w:r w:rsidR="00E9102A" w:rsidRPr="005D5356">
        <w:rPr>
          <w:rFonts w:ascii="Times New Roman" w:hAnsi="Times New Roman"/>
        </w:rPr>
        <w:t xml:space="preserve"> women in rural households </w:t>
      </w:r>
      <w:r w:rsidR="008F1CBA" w:rsidRPr="005D5356">
        <w:rPr>
          <w:rFonts w:ascii="Times New Roman" w:hAnsi="Times New Roman"/>
        </w:rPr>
        <w:t>[</w:t>
      </w:r>
      <w:r w:rsidR="00E9102A" w:rsidRPr="005D5356">
        <w:rPr>
          <w:rFonts w:ascii="Times New Roman" w:hAnsi="Times New Roman"/>
        </w:rPr>
        <w:t>0</w:t>
      </w:r>
      <w:r w:rsidR="00612DFB" w:rsidRPr="005D5356">
        <w:rPr>
          <w:rFonts w:ascii="Times New Roman" w:hAnsi="Times New Roman"/>
        </w:rPr>
        <w:t>·</w:t>
      </w:r>
      <w:r w:rsidR="00E9102A" w:rsidRPr="005D5356">
        <w:rPr>
          <w:rFonts w:ascii="Times New Roman" w:hAnsi="Times New Roman"/>
        </w:rPr>
        <w:t>23</w:t>
      </w:r>
      <w:r w:rsidR="008F1CBA" w:rsidRPr="005D5356">
        <w:rPr>
          <w:rFonts w:ascii="Times New Roman" w:hAnsi="Times New Roman"/>
        </w:rPr>
        <w:t xml:space="preserve"> (0·23, 0·24</w:t>
      </w:r>
      <w:r w:rsidR="007123C9" w:rsidRPr="005D5356">
        <w:rPr>
          <w:rFonts w:ascii="Times New Roman" w:hAnsi="Times New Roman"/>
        </w:rPr>
        <w:t>)</w:t>
      </w:r>
      <w:r w:rsidR="008F1CBA" w:rsidRPr="005D5356">
        <w:rPr>
          <w:rFonts w:ascii="Times New Roman" w:hAnsi="Times New Roman"/>
        </w:rPr>
        <w:t>]</w:t>
      </w:r>
      <w:r w:rsidR="007123C9" w:rsidRPr="005D5356">
        <w:rPr>
          <w:rFonts w:ascii="Times New Roman" w:hAnsi="Times New Roman"/>
        </w:rPr>
        <w:t>.</w:t>
      </w:r>
      <w:r w:rsidR="005F1D4B" w:rsidRPr="005D5356">
        <w:rPr>
          <w:rFonts w:ascii="Times New Roman" w:hAnsi="Times New Roman"/>
        </w:rPr>
        <w:t xml:space="preserve"> </w:t>
      </w:r>
      <w:r w:rsidR="007123C9" w:rsidRPr="005D5356">
        <w:rPr>
          <w:rFonts w:ascii="Times New Roman" w:hAnsi="Times New Roman"/>
        </w:rPr>
        <w:t xml:space="preserve">No difference </w:t>
      </w:r>
      <w:r w:rsidR="00EE4411" w:rsidRPr="005D5356">
        <w:rPr>
          <w:rFonts w:ascii="Times New Roman" w:hAnsi="Times New Roman"/>
        </w:rPr>
        <w:t xml:space="preserve">in </w:t>
      </w:r>
      <w:r w:rsidR="00EE4411" w:rsidRPr="005D5356">
        <w:rPr>
          <w:rFonts w:ascii="Times New Roman" w:hAnsi="Times New Roman"/>
        </w:rPr>
        <w:lastRenderedPageBreak/>
        <w:t>exposure</w:t>
      </w:r>
      <w:r w:rsidR="007123C9" w:rsidRPr="005D5356">
        <w:rPr>
          <w:rFonts w:ascii="Times New Roman" w:hAnsi="Times New Roman"/>
        </w:rPr>
        <w:t xml:space="preserve"> was observed between pregnant women who had an occupation and women who did not work</w:t>
      </w:r>
      <w:r w:rsidRPr="005D5356">
        <w:rPr>
          <w:rFonts w:ascii="Times New Roman" w:hAnsi="Times New Roman"/>
        </w:rPr>
        <w:t>, given all covariates</w:t>
      </w:r>
      <w:r w:rsidR="007123C9" w:rsidRPr="005D5356">
        <w:rPr>
          <w:rFonts w:ascii="Times New Roman" w:hAnsi="Times New Roman"/>
        </w:rPr>
        <w:t>.</w:t>
      </w:r>
    </w:p>
    <w:p w14:paraId="5F77AFA5" w14:textId="77777777" w:rsidR="00CC02ED" w:rsidRPr="005D5356" w:rsidRDefault="00CC02ED" w:rsidP="00F07639">
      <w:pPr>
        <w:spacing w:line="480" w:lineRule="auto"/>
        <w:rPr>
          <w:rFonts w:ascii="Times New Roman" w:hAnsi="Times New Roman"/>
        </w:rPr>
      </w:pPr>
    </w:p>
    <w:tbl>
      <w:tblPr>
        <w:tblW w:w="9322" w:type="dxa"/>
        <w:tblCellMar>
          <w:left w:w="0" w:type="dxa"/>
          <w:right w:w="0" w:type="dxa"/>
        </w:tblCellMar>
        <w:tblLook w:val="04A0" w:firstRow="1" w:lastRow="0" w:firstColumn="1" w:lastColumn="0" w:noHBand="0" w:noVBand="1"/>
      </w:tblPr>
      <w:tblGrid>
        <w:gridCol w:w="1668"/>
        <w:gridCol w:w="1530"/>
        <w:gridCol w:w="1531"/>
        <w:gridCol w:w="1531"/>
        <w:gridCol w:w="1531"/>
        <w:gridCol w:w="1531"/>
      </w:tblGrid>
      <w:tr w:rsidR="00A85F51" w:rsidRPr="005D5356" w14:paraId="5A5073E0" w14:textId="77777777" w:rsidTr="00692E2F">
        <w:trPr>
          <w:trHeight w:val="361"/>
        </w:trPr>
        <w:tc>
          <w:tcPr>
            <w:tcW w:w="1668" w:type="dxa"/>
            <w:tcBorders>
              <w:left w:val="nil"/>
              <w:bottom w:val="single" w:sz="4" w:space="0" w:color="auto"/>
              <w:right w:val="nil"/>
            </w:tcBorders>
            <w:shd w:val="clear" w:color="auto" w:fill="auto"/>
            <w:tcMar>
              <w:top w:w="15" w:type="dxa"/>
              <w:left w:w="108" w:type="dxa"/>
              <w:bottom w:w="0" w:type="dxa"/>
              <w:right w:w="108" w:type="dxa"/>
            </w:tcMar>
            <w:vAlign w:val="bottom"/>
          </w:tcPr>
          <w:p w14:paraId="475BA1AF" w14:textId="77777777" w:rsidR="00A85F51" w:rsidRPr="005D5356" w:rsidRDefault="00A85F51" w:rsidP="00F07639">
            <w:pPr>
              <w:spacing w:line="480" w:lineRule="auto"/>
              <w:ind w:left="-466" w:firstLine="466"/>
              <w:jc w:val="center"/>
              <w:rPr>
                <w:rFonts w:ascii="Times New Roman" w:hAnsi="Times New Roman"/>
              </w:rPr>
            </w:pPr>
          </w:p>
        </w:tc>
        <w:tc>
          <w:tcPr>
            <w:tcW w:w="1530" w:type="dxa"/>
            <w:tcBorders>
              <w:left w:val="nil"/>
              <w:bottom w:val="single" w:sz="4" w:space="0" w:color="auto"/>
              <w:right w:val="nil"/>
            </w:tcBorders>
            <w:shd w:val="clear" w:color="auto" w:fill="auto"/>
            <w:tcMar>
              <w:top w:w="15" w:type="dxa"/>
              <w:left w:w="108" w:type="dxa"/>
              <w:bottom w:w="0" w:type="dxa"/>
              <w:right w:w="108" w:type="dxa"/>
            </w:tcMar>
            <w:vAlign w:val="center"/>
          </w:tcPr>
          <w:p w14:paraId="2156821B" w14:textId="77777777" w:rsidR="00A85F51" w:rsidRPr="005D5356" w:rsidRDefault="00A85F51" w:rsidP="00BF6872">
            <w:pPr>
              <w:spacing w:line="480" w:lineRule="auto"/>
              <w:ind w:left="-466" w:firstLine="466"/>
              <w:jc w:val="right"/>
              <w:rPr>
                <w:rFonts w:ascii="Times New Roman" w:hAnsi="Times New Roman"/>
              </w:rPr>
            </w:pPr>
          </w:p>
        </w:tc>
        <w:tc>
          <w:tcPr>
            <w:tcW w:w="1531" w:type="dxa"/>
            <w:tcBorders>
              <w:left w:val="nil"/>
              <w:bottom w:val="single" w:sz="4" w:space="0" w:color="auto"/>
              <w:right w:val="nil"/>
            </w:tcBorders>
            <w:vAlign w:val="center"/>
          </w:tcPr>
          <w:p w14:paraId="0EC9FCE2" w14:textId="77777777" w:rsidR="00A85F51" w:rsidRDefault="00A85F51" w:rsidP="00BF6872">
            <w:pPr>
              <w:spacing w:line="480" w:lineRule="auto"/>
              <w:jc w:val="center"/>
              <w:rPr>
                <w:rFonts w:ascii="Times New Roman" w:hAnsi="Times New Roman"/>
                <w:b/>
                <w:bCs/>
              </w:rPr>
            </w:pPr>
          </w:p>
        </w:tc>
        <w:tc>
          <w:tcPr>
            <w:tcW w:w="4593" w:type="dxa"/>
            <w:gridSpan w:val="3"/>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bottom"/>
          </w:tcPr>
          <w:p w14:paraId="6C5A2BD5" w14:textId="46C2D357" w:rsidR="00A85F51" w:rsidRPr="005D5356" w:rsidRDefault="008D1AD6" w:rsidP="00692E2F">
            <w:pPr>
              <w:spacing w:before="120" w:line="480" w:lineRule="auto"/>
              <w:jc w:val="center"/>
              <w:rPr>
                <w:rFonts w:ascii="Times New Roman" w:hAnsi="Times New Roman"/>
                <w:b/>
                <w:bCs/>
              </w:rPr>
            </w:pPr>
            <w:r>
              <w:rPr>
                <w:rFonts w:ascii="Times New Roman" w:hAnsi="Times New Roman"/>
                <w:b/>
                <w:bCs/>
              </w:rPr>
              <w:t>Household SHS exposure</w:t>
            </w:r>
          </w:p>
        </w:tc>
      </w:tr>
      <w:tr w:rsidR="00A85F51" w:rsidRPr="005D5356" w14:paraId="2155351F" w14:textId="77777777" w:rsidTr="00692E2F">
        <w:trPr>
          <w:trHeight w:val="361"/>
        </w:trPr>
        <w:tc>
          <w:tcPr>
            <w:tcW w:w="1668" w:type="dxa"/>
            <w:tcBorders>
              <w:top w:val="single" w:sz="4" w:space="0" w:color="auto"/>
              <w:left w:val="nil"/>
              <w:bottom w:val="single" w:sz="8" w:space="0" w:color="A5A5A5"/>
              <w:right w:val="nil"/>
            </w:tcBorders>
            <w:shd w:val="clear" w:color="auto" w:fill="auto"/>
            <w:tcMar>
              <w:top w:w="15" w:type="dxa"/>
              <w:left w:w="108" w:type="dxa"/>
              <w:bottom w:w="0" w:type="dxa"/>
              <w:right w:w="108" w:type="dxa"/>
            </w:tcMar>
            <w:vAlign w:val="bottom"/>
            <w:hideMark/>
          </w:tcPr>
          <w:p w14:paraId="43FB267C" w14:textId="77777777" w:rsidR="00875453" w:rsidRPr="005D5356" w:rsidRDefault="00875453" w:rsidP="00F07639">
            <w:pPr>
              <w:spacing w:line="480" w:lineRule="auto"/>
              <w:ind w:left="-466" w:firstLine="466"/>
              <w:jc w:val="center"/>
              <w:rPr>
                <w:rFonts w:ascii="Times New Roman" w:hAnsi="Times New Roman"/>
              </w:rPr>
            </w:pPr>
          </w:p>
        </w:tc>
        <w:tc>
          <w:tcPr>
            <w:tcW w:w="1530" w:type="dxa"/>
            <w:tcBorders>
              <w:top w:val="single" w:sz="4" w:space="0" w:color="auto"/>
              <w:left w:val="nil"/>
              <w:bottom w:val="single" w:sz="8" w:space="0" w:color="A5A5A5"/>
              <w:right w:val="nil"/>
            </w:tcBorders>
            <w:shd w:val="clear" w:color="auto" w:fill="auto"/>
            <w:tcMar>
              <w:top w:w="15" w:type="dxa"/>
              <w:left w:w="108" w:type="dxa"/>
              <w:bottom w:w="0" w:type="dxa"/>
              <w:right w:w="108" w:type="dxa"/>
            </w:tcMar>
            <w:vAlign w:val="center"/>
            <w:hideMark/>
          </w:tcPr>
          <w:p w14:paraId="150049B4" w14:textId="77777777" w:rsidR="00875453" w:rsidRPr="005D5356" w:rsidRDefault="00875453" w:rsidP="00692E2F">
            <w:pPr>
              <w:spacing w:line="480" w:lineRule="auto"/>
              <w:ind w:left="-466" w:firstLine="466"/>
              <w:jc w:val="right"/>
              <w:rPr>
                <w:rFonts w:ascii="Times New Roman" w:hAnsi="Times New Roman"/>
              </w:rPr>
            </w:pPr>
          </w:p>
        </w:tc>
        <w:tc>
          <w:tcPr>
            <w:tcW w:w="1531" w:type="dxa"/>
            <w:tcBorders>
              <w:top w:val="single" w:sz="4" w:space="0" w:color="auto"/>
              <w:left w:val="nil"/>
              <w:bottom w:val="single" w:sz="8" w:space="0" w:color="A5A5A5"/>
              <w:right w:val="nil"/>
            </w:tcBorders>
            <w:vAlign w:val="center"/>
          </w:tcPr>
          <w:p w14:paraId="0CDDDA8E" w14:textId="0D6575CC" w:rsidR="00875453" w:rsidRPr="005D5356" w:rsidRDefault="00875453" w:rsidP="00692E2F">
            <w:pPr>
              <w:spacing w:line="480" w:lineRule="auto"/>
              <w:jc w:val="center"/>
              <w:rPr>
                <w:rFonts w:ascii="Times New Roman" w:hAnsi="Times New Roman"/>
                <w:b/>
                <w:bCs/>
              </w:rPr>
            </w:pPr>
            <w:r>
              <w:rPr>
                <w:rFonts w:ascii="Times New Roman" w:hAnsi="Times New Roman"/>
                <w:b/>
                <w:bCs/>
              </w:rPr>
              <w:t>Pregnant women (n)</w:t>
            </w:r>
          </w:p>
        </w:tc>
        <w:tc>
          <w:tcPr>
            <w:tcW w:w="1531" w:type="dxa"/>
            <w:tcBorders>
              <w:top w:val="single" w:sz="4" w:space="0" w:color="auto"/>
              <w:left w:val="nil"/>
              <w:bottom w:val="single" w:sz="8" w:space="0" w:color="A5A5A5"/>
              <w:right w:val="nil"/>
            </w:tcBorders>
            <w:shd w:val="clear" w:color="auto" w:fill="auto"/>
            <w:tcMar>
              <w:top w:w="15" w:type="dxa"/>
              <w:left w:w="108" w:type="dxa"/>
              <w:bottom w:w="0" w:type="dxa"/>
              <w:right w:w="108" w:type="dxa"/>
            </w:tcMar>
            <w:vAlign w:val="center"/>
            <w:hideMark/>
          </w:tcPr>
          <w:p w14:paraId="60AAC0A1" w14:textId="51BFA3F4" w:rsidR="00F15101" w:rsidRDefault="00875453" w:rsidP="00BF6872">
            <w:pPr>
              <w:spacing w:line="480" w:lineRule="auto"/>
              <w:jc w:val="center"/>
              <w:rPr>
                <w:rFonts w:ascii="Times New Roman" w:hAnsi="Times New Roman"/>
                <w:b/>
                <w:bCs/>
              </w:rPr>
            </w:pPr>
            <w:r w:rsidRPr="005D5356">
              <w:rPr>
                <w:rFonts w:ascii="Times New Roman" w:hAnsi="Times New Roman"/>
                <w:b/>
                <w:bCs/>
              </w:rPr>
              <w:t>Daily</w:t>
            </w:r>
            <w:r w:rsidR="00F15101">
              <w:rPr>
                <w:rFonts w:ascii="Times New Roman" w:hAnsi="Times New Roman"/>
                <w:b/>
                <w:bCs/>
              </w:rPr>
              <w:t xml:space="preserve"> </w:t>
            </w:r>
            <w:r w:rsidRPr="005D5356">
              <w:rPr>
                <w:rFonts w:ascii="Times New Roman" w:hAnsi="Times New Roman"/>
                <w:b/>
                <w:bCs/>
              </w:rPr>
              <w:t xml:space="preserve"> </w:t>
            </w:r>
          </w:p>
          <w:p w14:paraId="47182C06" w14:textId="11ACBC47" w:rsidR="00875453" w:rsidRPr="005D5356" w:rsidRDefault="00875453" w:rsidP="00BF6872">
            <w:pPr>
              <w:spacing w:line="480" w:lineRule="auto"/>
              <w:jc w:val="center"/>
              <w:rPr>
                <w:rFonts w:ascii="Times New Roman" w:hAnsi="Times New Roman"/>
              </w:rPr>
            </w:pPr>
            <w:r w:rsidRPr="005D5356">
              <w:rPr>
                <w:rFonts w:ascii="Times New Roman" w:hAnsi="Times New Roman"/>
                <w:b/>
                <w:bCs/>
              </w:rPr>
              <w:t>(95% CI)</w:t>
            </w:r>
          </w:p>
        </w:tc>
        <w:tc>
          <w:tcPr>
            <w:tcW w:w="1531" w:type="dxa"/>
            <w:tcBorders>
              <w:top w:val="single" w:sz="4" w:space="0" w:color="auto"/>
              <w:left w:val="nil"/>
              <w:bottom w:val="single" w:sz="8" w:space="0" w:color="A5A5A5"/>
              <w:right w:val="nil"/>
            </w:tcBorders>
            <w:shd w:val="clear" w:color="auto" w:fill="auto"/>
            <w:tcMar>
              <w:top w:w="15" w:type="dxa"/>
              <w:left w:w="108" w:type="dxa"/>
              <w:bottom w:w="0" w:type="dxa"/>
              <w:right w:w="108" w:type="dxa"/>
            </w:tcMar>
            <w:vAlign w:val="center"/>
            <w:hideMark/>
          </w:tcPr>
          <w:p w14:paraId="0E2618E0" w14:textId="77777777" w:rsidR="00F15101" w:rsidRDefault="00875453" w:rsidP="00692E2F">
            <w:pPr>
              <w:spacing w:line="480" w:lineRule="auto"/>
              <w:jc w:val="center"/>
              <w:rPr>
                <w:rFonts w:ascii="Times New Roman" w:eastAsiaTheme="majorEastAsia" w:hAnsi="Times New Roman" w:cstheme="majorBidi"/>
                <w:b/>
                <w:bCs/>
                <w:i/>
                <w:iCs/>
                <w:color w:val="4472C4" w:themeColor="accent1"/>
              </w:rPr>
            </w:pPr>
            <w:r w:rsidRPr="005D5356">
              <w:rPr>
                <w:rFonts w:ascii="Times New Roman" w:hAnsi="Times New Roman"/>
                <w:b/>
                <w:bCs/>
              </w:rPr>
              <w:t xml:space="preserve">Some </w:t>
            </w:r>
          </w:p>
          <w:p w14:paraId="055DAD69" w14:textId="6694F069" w:rsidR="00875453" w:rsidRPr="00692E2F" w:rsidRDefault="00875453" w:rsidP="00692E2F">
            <w:pPr>
              <w:spacing w:line="480" w:lineRule="auto"/>
              <w:jc w:val="center"/>
              <w:rPr>
                <w:rFonts w:ascii="Times New Roman" w:hAnsi="Times New Roman"/>
                <w:b/>
                <w:bCs/>
              </w:rPr>
            </w:pPr>
            <w:r w:rsidRPr="005D5356">
              <w:rPr>
                <w:rFonts w:ascii="Times New Roman" w:hAnsi="Times New Roman"/>
                <w:b/>
                <w:bCs/>
              </w:rPr>
              <w:t>(95% CI)</w:t>
            </w:r>
          </w:p>
        </w:tc>
        <w:tc>
          <w:tcPr>
            <w:tcW w:w="1531" w:type="dxa"/>
            <w:tcBorders>
              <w:top w:val="single" w:sz="4" w:space="0" w:color="auto"/>
              <w:left w:val="nil"/>
              <w:bottom w:val="single" w:sz="8" w:space="0" w:color="A5A5A5"/>
              <w:right w:val="nil"/>
            </w:tcBorders>
            <w:shd w:val="clear" w:color="auto" w:fill="auto"/>
            <w:tcMar>
              <w:top w:w="15" w:type="dxa"/>
              <w:left w:w="108" w:type="dxa"/>
              <w:bottom w:w="0" w:type="dxa"/>
              <w:right w:w="108" w:type="dxa"/>
            </w:tcMar>
            <w:vAlign w:val="center"/>
            <w:hideMark/>
          </w:tcPr>
          <w:p w14:paraId="7AD7DE55" w14:textId="77777777" w:rsidR="00F15101" w:rsidRDefault="00875453" w:rsidP="00BF6872">
            <w:pPr>
              <w:spacing w:line="480" w:lineRule="auto"/>
              <w:jc w:val="center"/>
              <w:rPr>
                <w:rFonts w:ascii="Times New Roman" w:hAnsi="Times New Roman"/>
                <w:b/>
                <w:bCs/>
              </w:rPr>
            </w:pPr>
            <w:r w:rsidRPr="005D5356">
              <w:rPr>
                <w:rFonts w:ascii="Times New Roman" w:hAnsi="Times New Roman"/>
                <w:b/>
                <w:bCs/>
              </w:rPr>
              <w:t xml:space="preserve">Never </w:t>
            </w:r>
          </w:p>
          <w:p w14:paraId="75D256B4" w14:textId="46795C30" w:rsidR="00875453" w:rsidRPr="005D5356" w:rsidRDefault="00875453" w:rsidP="00BF6872">
            <w:pPr>
              <w:spacing w:line="480" w:lineRule="auto"/>
              <w:jc w:val="center"/>
              <w:rPr>
                <w:rFonts w:ascii="Times New Roman" w:hAnsi="Times New Roman"/>
              </w:rPr>
            </w:pPr>
            <w:r w:rsidRPr="005D5356">
              <w:rPr>
                <w:rFonts w:ascii="Times New Roman" w:hAnsi="Times New Roman"/>
                <w:b/>
                <w:bCs/>
              </w:rPr>
              <w:t>(95% CI)</w:t>
            </w:r>
          </w:p>
        </w:tc>
      </w:tr>
      <w:tr w:rsidR="00875453" w:rsidRPr="005D5356" w14:paraId="50B58001" w14:textId="77777777" w:rsidTr="00692E2F">
        <w:trPr>
          <w:trHeight w:val="361"/>
        </w:trPr>
        <w:tc>
          <w:tcPr>
            <w:tcW w:w="1668" w:type="dxa"/>
            <w:vMerge w:val="restart"/>
            <w:tcBorders>
              <w:top w:val="nil"/>
              <w:left w:val="nil"/>
              <w:bottom w:val="single" w:sz="8" w:space="0" w:color="A6A6A6"/>
              <w:right w:val="nil"/>
            </w:tcBorders>
            <w:shd w:val="clear" w:color="auto" w:fill="auto"/>
            <w:tcMar>
              <w:top w:w="15" w:type="dxa"/>
              <w:left w:w="108" w:type="dxa"/>
              <w:bottom w:w="0" w:type="dxa"/>
              <w:right w:w="108" w:type="dxa"/>
            </w:tcMar>
            <w:vAlign w:val="center"/>
            <w:hideMark/>
          </w:tcPr>
          <w:p w14:paraId="67771B8C" w14:textId="77777777" w:rsidR="00875453" w:rsidRPr="005D5356" w:rsidRDefault="00875453" w:rsidP="00F07639">
            <w:pPr>
              <w:spacing w:line="480" w:lineRule="auto"/>
              <w:ind w:left="-466" w:firstLine="466"/>
              <w:rPr>
                <w:rFonts w:ascii="Times New Roman" w:hAnsi="Times New Roman"/>
              </w:rPr>
            </w:pPr>
            <w:r w:rsidRPr="005D5356">
              <w:rPr>
                <w:rFonts w:ascii="Times New Roman" w:hAnsi="Times New Roman"/>
                <w:b/>
                <w:bCs/>
              </w:rPr>
              <w:t>Employment</w:t>
            </w:r>
          </w:p>
        </w:tc>
        <w:tc>
          <w:tcPr>
            <w:tcW w:w="1530" w:type="dxa"/>
            <w:tcBorders>
              <w:top w:val="nil"/>
              <w:left w:val="nil"/>
              <w:bottom w:val="nil"/>
              <w:right w:val="nil"/>
            </w:tcBorders>
            <w:shd w:val="clear" w:color="auto" w:fill="auto"/>
            <w:tcMar>
              <w:top w:w="15" w:type="dxa"/>
              <w:left w:w="108" w:type="dxa"/>
              <w:bottom w:w="0" w:type="dxa"/>
              <w:right w:w="108" w:type="dxa"/>
            </w:tcMar>
            <w:vAlign w:val="center"/>
            <w:hideMark/>
          </w:tcPr>
          <w:p w14:paraId="5F68B6CE"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Working</w:t>
            </w:r>
          </w:p>
        </w:tc>
        <w:tc>
          <w:tcPr>
            <w:tcW w:w="1531" w:type="dxa"/>
            <w:tcBorders>
              <w:top w:val="nil"/>
              <w:left w:val="nil"/>
              <w:bottom w:val="nil"/>
              <w:right w:val="nil"/>
            </w:tcBorders>
            <w:vAlign w:val="center"/>
          </w:tcPr>
          <w:p w14:paraId="0F35692C" w14:textId="0A677AF1" w:rsidR="00875453" w:rsidRPr="005D5356" w:rsidRDefault="00931D2E">
            <w:pPr>
              <w:spacing w:line="480" w:lineRule="auto"/>
              <w:ind w:left="-466" w:firstLine="466"/>
              <w:jc w:val="center"/>
              <w:rPr>
                <w:rFonts w:ascii="Times New Roman" w:hAnsi="Times New Roman"/>
              </w:rPr>
            </w:pPr>
            <w:r>
              <w:rPr>
                <w:rFonts w:ascii="Times New Roman" w:hAnsi="Times New Roman"/>
              </w:rPr>
              <w:t>23,449</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4F39DAB8" w14:textId="361643D7"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0·25 (0·24, 0·25)</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7988B588" w14:textId="5A4F3A11"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(0·04, 0·05)</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0CA929CE" w14:textId="5EB8A6EB"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0·71 (0·70, 0·71)</w:t>
            </w:r>
          </w:p>
        </w:tc>
      </w:tr>
      <w:tr w:rsidR="00BF6872" w:rsidRPr="005D5356" w14:paraId="0073C0FB" w14:textId="77777777" w:rsidTr="00BF6872">
        <w:trPr>
          <w:trHeight w:val="361"/>
        </w:trPr>
        <w:tc>
          <w:tcPr>
            <w:tcW w:w="1668" w:type="dxa"/>
            <w:vMerge/>
            <w:tcBorders>
              <w:top w:val="nil"/>
              <w:left w:val="nil"/>
              <w:bottom w:val="single" w:sz="8" w:space="0" w:color="A6A6A6"/>
              <w:right w:val="nil"/>
            </w:tcBorders>
            <w:vAlign w:val="center"/>
            <w:hideMark/>
          </w:tcPr>
          <w:p w14:paraId="5DFC7ABB"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single" w:sz="8" w:space="0" w:color="A6A6A6"/>
              <w:right w:val="nil"/>
            </w:tcBorders>
            <w:shd w:val="clear" w:color="auto" w:fill="F0F0F0"/>
            <w:tcMar>
              <w:top w:w="15" w:type="dxa"/>
              <w:left w:w="108" w:type="dxa"/>
              <w:bottom w:w="0" w:type="dxa"/>
              <w:right w:w="108" w:type="dxa"/>
            </w:tcMar>
            <w:vAlign w:val="center"/>
            <w:hideMark/>
          </w:tcPr>
          <w:p w14:paraId="39FD4601"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Not working</w:t>
            </w:r>
          </w:p>
        </w:tc>
        <w:tc>
          <w:tcPr>
            <w:tcW w:w="1531" w:type="dxa"/>
            <w:tcBorders>
              <w:top w:val="nil"/>
              <w:left w:val="nil"/>
              <w:bottom w:val="single" w:sz="8" w:space="0" w:color="A6A6A6"/>
              <w:right w:val="nil"/>
            </w:tcBorders>
            <w:shd w:val="clear" w:color="auto" w:fill="F0F0F0"/>
            <w:vAlign w:val="center"/>
          </w:tcPr>
          <w:p w14:paraId="069FDA8F" w14:textId="55EE9F4E" w:rsidR="00875453" w:rsidRPr="005D5356" w:rsidRDefault="00931D2E">
            <w:pPr>
              <w:spacing w:line="480" w:lineRule="auto"/>
              <w:ind w:left="-466" w:firstLine="466"/>
              <w:jc w:val="center"/>
              <w:rPr>
                <w:rFonts w:ascii="Times New Roman" w:hAnsi="Times New Roman"/>
              </w:rPr>
            </w:pPr>
            <w:r>
              <w:rPr>
                <w:rFonts w:ascii="Times New Roman" w:hAnsi="Times New Roman"/>
              </w:rPr>
              <w:t>17,516</w:t>
            </w:r>
          </w:p>
        </w:tc>
        <w:tc>
          <w:tcPr>
            <w:tcW w:w="1531" w:type="dxa"/>
            <w:tcBorders>
              <w:top w:val="nil"/>
              <w:left w:val="nil"/>
              <w:bottom w:val="single" w:sz="8" w:space="0" w:color="A6A6A6"/>
              <w:right w:val="nil"/>
            </w:tcBorders>
            <w:shd w:val="clear" w:color="auto" w:fill="F0F0F0"/>
            <w:tcMar>
              <w:top w:w="15" w:type="dxa"/>
              <w:left w:w="15" w:type="dxa"/>
              <w:bottom w:w="0" w:type="dxa"/>
              <w:right w:w="15" w:type="dxa"/>
            </w:tcMar>
            <w:vAlign w:val="center"/>
            <w:hideMark/>
          </w:tcPr>
          <w:p w14:paraId="447367AF" w14:textId="0F107D34"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0·25 (0·24, 0·26)</w:t>
            </w:r>
          </w:p>
        </w:tc>
        <w:tc>
          <w:tcPr>
            <w:tcW w:w="1531" w:type="dxa"/>
            <w:tcBorders>
              <w:top w:val="nil"/>
              <w:left w:val="nil"/>
              <w:bottom w:val="single" w:sz="8" w:space="0" w:color="A6A6A6"/>
              <w:right w:val="nil"/>
            </w:tcBorders>
            <w:shd w:val="clear" w:color="auto" w:fill="F0F0F0"/>
            <w:tcMar>
              <w:top w:w="15" w:type="dxa"/>
              <w:left w:w="15" w:type="dxa"/>
              <w:bottom w:w="0" w:type="dxa"/>
              <w:right w:w="15" w:type="dxa"/>
            </w:tcMar>
            <w:vAlign w:val="center"/>
            <w:hideMark/>
          </w:tcPr>
          <w:p w14:paraId="1A5D7DD1" w14:textId="6AF2C5DD"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0·04 (0·04, 0·05)</w:t>
            </w:r>
          </w:p>
        </w:tc>
        <w:tc>
          <w:tcPr>
            <w:tcW w:w="1531" w:type="dxa"/>
            <w:tcBorders>
              <w:top w:val="nil"/>
              <w:left w:val="nil"/>
              <w:bottom w:val="single" w:sz="8" w:space="0" w:color="A6A6A6"/>
              <w:right w:val="nil"/>
            </w:tcBorders>
            <w:shd w:val="clear" w:color="auto" w:fill="F0F0F0"/>
            <w:tcMar>
              <w:top w:w="15" w:type="dxa"/>
              <w:left w:w="15" w:type="dxa"/>
              <w:bottom w:w="0" w:type="dxa"/>
              <w:right w:w="15" w:type="dxa"/>
            </w:tcMar>
            <w:vAlign w:val="center"/>
            <w:hideMark/>
          </w:tcPr>
          <w:p w14:paraId="0FB07B38" w14:textId="6CE86115"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0·71 (0·70, 0·71)</w:t>
            </w:r>
          </w:p>
        </w:tc>
      </w:tr>
      <w:tr w:rsidR="00875453" w:rsidRPr="005D5356" w14:paraId="6E1A54F1" w14:textId="77777777" w:rsidTr="00692E2F">
        <w:trPr>
          <w:trHeight w:val="361"/>
        </w:trPr>
        <w:tc>
          <w:tcPr>
            <w:tcW w:w="1668" w:type="dxa"/>
            <w:vMerge w:val="restart"/>
            <w:tcBorders>
              <w:top w:val="single" w:sz="8" w:space="0" w:color="A6A6A6"/>
              <w:left w:val="nil"/>
              <w:bottom w:val="single" w:sz="8" w:space="0" w:color="A6A6A6"/>
              <w:right w:val="nil"/>
            </w:tcBorders>
            <w:shd w:val="clear" w:color="auto" w:fill="auto"/>
            <w:tcMar>
              <w:top w:w="15" w:type="dxa"/>
              <w:left w:w="108" w:type="dxa"/>
              <w:bottom w:w="0" w:type="dxa"/>
              <w:right w:w="108" w:type="dxa"/>
            </w:tcMar>
            <w:vAlign w:val="center"/>
            <w:hideMark/>
          </w:tcPr>
          <w:p w14:paraId="73BF020C" w14:textId="49D8DAA4" w:rsidR="00875453" w:rsidRPr="005D5356" w:rsidRDefault="00875453" w:rsidP="00F14987">
            <w:pPr>
              <w:spacing w:line="480" w:lineRule="auto"/>
              <w:rPr>
                <w:rFonts w:ascii="Times New Roman" w:hAnsi="Times New Roman"/>
              </w:rPr>
            </w:pPr>
            <w:r w:rsidRPr="005D5356">
              <w:rPr>
                <w:rFonts w:ascii="Times New Roman" w:hAnsi="Times New Roman"/>
                <w:b/>
                <w:bCs/>
              </w:rPr>
              <w:t>Education</w:t>
            </w:r>
            <w:r>
              <w:rPr>
                <w:rFonts w:ascii="Times New Roman" w:hAnsi="Times New Roman"/>
                <w:b/>
                <w:bCs/>
              </w:rPr>
              <w:t>al</w:t>
            </w:r>
            <w:r w:rsidRPr="005D5356">
              <w:rPr>
                <w:rFonts w:ascii="Times New Roman" w:hAnsi="Times New Roman"/>
                <w:b/>
                <w:bCs/>
              </w:rPr>
              <w:t xml:space="preserve"> attainment</w:t>
            </w:r>
          </w:p>
        </w:tc>
        <w:tc>
          <w:tcPr>
            <w:tcW w:w="1530" w:type="dxa"/>
            <w:tcBorders>
              <w:top w:val="single" w:sz="8" w:space="0" w:color="A6A6A6"/>
              <w:left w:val="nil"/>
              <w:bottom w:val="nil"/>
              <w:right w:val="nil"/>
            </w:tcBorders>
            <w:shd w:val="clear" w:color="auto" w:fill="auto"/>
            <w:tcMar>
              <w:top w:w="15" w:type="dxa"/>
              <w:left w:w="108" w:type="dxa"/>
              <w:bottom w:w="0" w:type="dxa"/>
              <w:right w:w="108" w:type="dxa"/>
            </w:tcMar>
            <w:vAlign w:val="center"/>
            <w:hideMark/>
          </w:tcPr>
          <w:p w14:paraId="01BE6E4A"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No education</w:t>
            </w:r>
          </w:p>
        </w:tc>
        <w:tc>
          <w:tcPr>
            <w:tcW w:w="1531" w:type="dxa"/>
            <w:tcBorders>
              <w:top w:val="single" w:sz="8" w:space="0" w:color="A6A6A6"/>
              <w:left w:val="nil"/>
              <w:bottom w:val="nil"/>
              <w:right w:val="nil"/>
            </w:tcBorders>
            <w:vAlign w:val="center"/>
          </w:tcPr>
          <w:p w14:paraId="634AE060" w14:textId="328F0BBE" w:rsidR="00875453" w:rsidRPr="005D5356" w:rsidRDefault="002F48E8">
            <w:pPr>
              <w:spacing w:line="480" w:lineRule="auto"/>
              <w:ind w:left="-466" w:firstLine="466"/>
              <w:jc w:val="center"/>
              <w:rPr>
                <w:rFonts w:ascii="Times New Roman" w:hAnsi="Times New Roman"/>
              </w:rPr>
            </w:pPr>
            <w:r>
              <w:rPr>
                <w:rFonts w:ascii="Times New Roman" w:hAnsi="Times New Roman"/>
              </w:rPr>
              <w:t>14,490</w:t>
            </w:r>
          </w:p>
        </w:tc>
        <w:tc>
          <w:tcPr>
            <w:tcW w:w="1531" w:type="dxa"/>
            <w:tcBorders>
              <w:top w:val="single" w:sz="8" w:space="0" w:color="A6A6A6"/>
              <w:left w:val="nil"/>
              <w:bottom w:val="nil"/>
              <w:right w:val="nil"/>
            </w:tcBorders>
            <w:shd w:val="clear" w:color="auto" w:fill="auto"/>
            <w:tcMar>
              <w:top w:w="15" w:type="dxa"/>
              <w:left w:w="15" w:type="dxa"/>
              <w:bottom w:w="0" w:type="dxa"/>
              <w:right w:w="15" w:type="dxa"/>
            </w:tcMar>
            <w:vAlign w:val="center"/>
            <w:hideMark/>
          </w:tcPr>
          <w:p w14:paraId="0199C981" w14:textId="3D9048EF"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0·26 (0·25, 0·27)</w:t>
            </w:r>
          </w:p>
        </w:tc>
        <w:tc>
          <w:tcPr>
            <w:tcW w:w="1531" w:type="dxa"/>
            <w:tcBorders>
              <w:top w:val="single" w:sz="8" w:space="0" w:color="A6A6A6"/>
              <w:left w:val="nil"/>
              <w:bottom w:val="nil"/>
              <w:right w:val="nil"/>
            </w:tcBorders>
            <w:shd w:val="clear" w:color="auto" w:fill="auto"/>
            <w:tcMar>
              <w:top w:w="15" w:type="dxa"/>
              <w:left w:w="15" w:type="dxa"/>
              <w:bottom w:w="0" w:type="dxa"/>
              <w:right w:w="15" w:type="dxa"/>
            </w:tcMar>
            <w:vAlign w:val="center"/>
            <w:hideMark/>
          </w:tcPr>
          <w:p w14:paraId="03D40B53" w14:textId="3DC28339"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0·04 (0·03, 0·04)</w:t>
            </w:r>
          </w:p>
        </w:tc>
        <w:tc>
          <w:tcPr>
            <w:tcW w:w="1531" w:type="dxa"/>
            <w:tcBorders>
              <w:top w:val="single" w:sz="8" w:space="0" w:color="A6A6A6"/>
              <w:left w:val="nil"/>
              <w:bottom w:val="nil"/>
              <w:right w:val="nil"/>
            </w:tcBorders>
            <w:shd w:val="clear" w:color="auto" w:fill="auto"/>
            <w:tcMar>
              <w:top w:w="15" w:type="dxa"/>
              <w:left w:w="15" w:type="dxa"/>
              <w:bottom w:w="0" w:type="dxa"/>
              <w:right w:w="15" w:type="dxa"/>
            </w:tcMar>
            <w:vAlign w:val="center"/>
            <w:hideMark/>
          </w:tcPr>
          <w:p w14:paraId="78C30EC3" w14:textId="29E1490F"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0·71 (0·70, 0·71)</w:t>
            </w:r>
          </w:p>
        </w:tc>
      </w:tr>
      <w:tr w:rsidR="00BF6872" w:rsidRPr="005D5356" w14:paraId="5D8873EB" w14:textId="77777777" w:rsidTr="00BF6872">
        <w:trPr>
          <w:trHeight w:val="361"/>
        </w:trPr>
        <w:tc>
          <w:tcPr>
            <w:tcW w:w="1668" w:type="dxa"/>
            <w:vMerge/>
            <w:tcBorders>
              <w:top w:val="single" w:sz="8" w:space="0" w:color="A6A6A6"/>
              <w:left w:val="nil"/>
              <w:bottom w:val="single" w:sz="8" w:space="0" w:color="A6A6A6"/>
              <w:right w:val="nil"/>
            </w:tcBorders>
            <w:vAlign w:val="center"/>
            <w:hideMark/>
          </w:tcPr>
          <w:p w14:paraId="03398895"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nil"/>
              <w:right w:val="nil"/>
            </w:tcBorders>
            <w:shd w:val="clear" w:color="auto" w:fill="F0F0F0"/>
            <w:tcMar>
              <w:top w:w="15" w:type="dxa"/>
              <w:left w:w="108" w:type="dxa"/>
              <w:bottom w:w="0" w:type="dxa"/>
              <w:right w:w="108" w:type="dxa"/>
            </w:tcMar>
            <w:vAlign w:val="center"/>
            <w:hideMark/>
          </w:tcPr>
          <w:p w14:paraId="51396650"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Primary</w:t>
            </w:r>
          </w:p>
        </w:tc>
        <w:tc>
          <w:tcPr>
            <w:tcW w:w="1531" w:type="dxa"/>
            <w:tcBorders>
              <w:top w:val="nil"/>
              <w:left w:val="nil"/>
              <w:bottom w:val="nil"/>
              <w:right w:val="nil"/>
            </w:tcBorders>
            <w:shd w:val="clear" w:color="auto" w:fill="F0F0F0"/>
            <w:vAlign w:val="center"/>
          </w:tcPr>
          <w:p w14:paraId="5C472857" w14:textId="452DC8B0" w:rsidR="00875453" w:rsidRPr="005D5356" w:rsidRDefault="002F48E8">
            <w:pPr>
              <w:spacing w:line="480" w:lineRule="auto"/>
              <w:ind w:left="-466" w:firstLine="466"/>
              <w:jc w:val="center"/>
              <w:rPr>
                <w:rFonts w:ascii="Times New Roman" w:hAnsi="Times New Roman"/>
              </w:rPr>
            </w:pPr>
            <w:r>
              <w:rPr>
                <w:rFonts w:ascii="Times New Roman" w:hAnsi="Times New Roman"/>
              </w:rPr>
              <w:t>11,709</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2216EF05" w14:textId="4A8E9DC3"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0·27 (0·26, 0·28)</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64DC6922" w14:textId="6EEF3EB4"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(0·05, 0·06)</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76BA20C7" w14:textId="073B84FD"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0·68 (0·67, 0·69)</w:t>
            </w:r>
          </w:p>
        </w:tc>
      </w:tr>
      <w:tr w:rsidR="00875453" w:rsidRPr="005D5356" w14:paraId="0E7F2F66" w14:textId="77777777" w:rsidTr="00692E2F">
        <w:trPr>
          <w:trHeight w:val="361"/>
        </w:trPr>
        <w:tc>
          <w:tcPr>
            <w:tcW w:w="1668" w:type="dxa"/>
            <w:vMerge/>
            <w:tcBorders>
              <w:top w:val="single" w:sz="8" w:space="0" w:color="A6A6A6"/>
              <w:left w:val="nil"/>
              <w:bottom w:val="single" w:sz="8" w:space="0" w:color="A6A6A6"/>
              <w:right w:val="nil"/>
            </w:tcBorders>
            <w:vAlign w:val="center"/>
            <w:hideMark/>
          </w:tcPr>
          <w:p w14:paraId="56D3E180"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nil"/>
              <w:right w:val="nil"/>
            </w:tcBorders>
            <w:shd w:val="clear" w:color="auto" w:fill="auto"/>
            <w:tcMar>
              <w:top w:w="15" w:type="dxa"/>
              <w:left w:w="108" w:type="dxa"/>
              <w:bottom w:w="0" w:type="dxa"/>
              <w:right w:w="108" w:type="dxa"/>
            </w:tcMar>
            <w:vAlign w:val="center"/>
            <w:hideMark/>
          </w:tcPr>
          <w:p w14:paraId="197ED141"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Secondary</w:t>
            </w:r>
          </w:p>
        </w:tc>
        <w:tc>
          <w:tcPr>
            <w:tcW w:w="1531" w:type="dxa"/>
            <w:tcBorders>
              <w:top w:val="nil"/>
              <w:left w:val="nil"/>
              <w:bottom w:val="nil"/>
              <w:right w:val="nil"/>
            </w:tcBorders>
            <w:vAlign w:val="center"/>
          </w:tcPr>
          <w:p w14:paraId="2266A604" w14:textId="78CCE368" w:rsidR="00875453" w:rsidRPr="005D5356" w:rsidRDefault="002F48E8">
            <w:pPr>
              <w:spacing w:line="480" w:lineRule="auto"/>
              <w:ind w:left="-466" w:firstLine="466"/>
              <w:jc w:val="center"/>
              <w:rPr>
                <w:rFonts w:ascii="Times New Roman" w:hAnsi="Times New Roman"/>
              </w:rPr>
            </w:pPr>
            <w:r>
              <w:rPr>
                <w:rFonts w:ascii="Times New Roman" w:hAnsi="Times New Roman"/>
              </w:rPr>
              <w:t>12,016</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312E77B7" w14:textId="30E37E07"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0·24 (0·23, 0·25)</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5EB37DCC" w14:textId="44996300"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(0·04, 0·06)</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26EDDE8B" w14:textId="42BC839D"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0·71 (0·70, 0·72)</w:t>
            </w:r>
          </w:p>
        </w:tc>
      </w:tr>
      <w:tr w:rsidR="00BF6872" w:rsidRPr="005D5356" w14:paraId="4AC68263" w14:textId="77777777" w:rsidTr="00BF6872">
        <w:trPr>
          <w:trHeight w:val="361"/>
        </w:trPr>
        <w:tc>
          <w:tcPr>
            <w:tcW w:w="1668" w:type="dxa"/>
            <w:vMerge/>
            <w:tcBorders>
              <w:top w:val="single" w:sz="8" w:space="0" w:color="A6A6A6"/>
              <w:left w:val="nil"/>
              <w:bottom w:val="single" w:sz="8" w:space="0" w:color="A6A6A6"/>
              <w:right w:val="nil"/>
            </w:tcBorders>
            <w:vAlign w:val="center"/>
            <w:hideMark/>
          </w:tcPr>
          <w:p w14:paraId="404A18AC"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single" w:sz="8" w:space="0" w:color="A6A6A6"/>
              <w:right w:val="nil"/>
            </w:tcBorders>
            <w:shd w:val="clear" w:color="auto" w:fill="F0F0F0"/>
            <w:tcMar>
              <w:top w:w="15" w:type="dxa"/>
              <w:left w:w="108" w:type="dxa"/>
              <w:bottom w:w="0" w:type="dxa"/>
              <w:right w:w="108" w:type="dxa"/>
            </w:tcMar>
            <w:vAlign w:val="center"/>
            <w:hideMark/>
          </w:tcPr>
          <w:p w14:paraId="75A1564C"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Higher</w:t>
            </w:r>
          </w:p>
        </w:tc>
        <w:tc>
          <w:tcPr>
            <w:tcW w:w="1531" w:type="dxa"/>
            <w:tcBorders>
              <w:top w:val="nil"/>
              <w:left w:val="nil"/>
              <w:bottom w:val="single" w:sz="8" w:space="0" w:color="A6A6A6"/>
              <w:right w:val="nil"/>
            </w:tcBorders>
            <w:shd w:val="clear" w:color="auto" w:fill="F0F0F0"/>
            <w:vAlign w:val="center"/>
          </w:tcPr>
          <w:p w14:paraId="0F73171E" w14:textId="445FF50F" w:rsidR="00875453" w:rsidRPr="005D5356" w:rsidRDefault="002F48E8">
            <w:pPr>
              <w:spacing w:line="480" w:lineRule="auto"/>
              <w:ind w:left="-466" w:firstLine="466"/>
              <w:jc w:val="center"/>
              <w:rPr>
                <w:rFonts w:ascii="Times New Roman" w:hAnsi="Times New Roman"/>
              </w:rPr>
            </w:pPr>
            <w:r>
              <w:rPr>
                <w:rFonts w:ascii="Times New Roman" w:hAnsi="Times New Roman"/>
              </w:rPr>
              <w:t>2,7</w:t>
            </w:r>
            <w:r w:rsidR="008C4926">
              <w:rPr>
                <w:rFonts w:ascii="Times New Roman" w:hAnsi="Times New Roman"/>
              </w:rPr>
              <w:t>48</w:t>
            </w:r>
          </w:p>
        </w:tc>
        <w:tc>
          <w:tcPr>
            <w:tcW w:w="1531" w:type="dxa"/>
            <w:tcBorders>
              <w:top w:val="nil"/>
              <w:left w:val="nil"/>
              <w:bottom w:val="single" w:sz="8" w:space="0" w:color="A6A6A6"/>
              <w:right w:val="nil"/>
            </w:tcBorders>
            <w:shd w:val="clear" w:color="auto" w:fill="F0F0F0"/>
            <w:tcMar>
              <w:top w:w="15" w:type="dxa"/>
              <w:left w:w="15" w:type="dxa"/>
              <w:bottom w:w="0" w:type="dxa"/>
              <w:right w:w="15" w:type="dxa"/>
            </w:tcMar>
            <w:vAlign w:val="center"/>
            <w:hideMark/>
          </w:tcPr>
          <w:p w14:paraId="49789D51" w14:textId="56FBA844"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0·20 (0·18, 0·22)</w:t>
            </w:r>
          </w:p>
        </w:tc>
        <w:tc>
          <w:tcPr>
            <w:tcW w:w="1531" w:type="dxa"/>
            <w:tcBorders>
              <w:top w:val="nil"/>
              <w:left w:val="nil"/>
              <w:bottom w:val="single" w:sz="8" w:space="0" w:color="A6A6A6"/>
              <w:right w:val="nil"/>
            </w:tcBorders>
            <w:shd w:val="clear" w:color="auto" w:fill="F0F0F0"/>
            <w:tcMar>
              <w:top w:w="15" w:type="dxa"/>
              <w:left w:w="15" w:type="dxa"/>
              <w:bottom w:w="0" w:type="dxa"/>
              <w:right w:w="15" w:type="dxa"/>
            </w:tcMar>
            <w:vAlign w:val="center"/>
            <w:hideMark/>
          </w:tcPr>
          <w:p w14:paraId="33380212" w14:textId="3400A650"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(0·04, 0·06)</w:t>
            </w:r>
          </w:p>
        </w:tc>
        <w:tc>
          <w:tcPr>
            <w:tcW w:w="1531" w:type="dxa"/>
            <w:tcBorders>
              <w:top w:val="nil"/>
              <w:left w:val="nil"/>
              <w:bottom w:val="single" w:sz="8" w:space="0" w:color="A6A6A6"/>
              <w:right w:val="nil"/>
            </w:tcBorders>
            <w:shd w:val="clear" w:color="auto" w:fill="F0F0F0"/>
            <w:tcMar>
              <w:top w:w="15" w:type="dxa"/>
              <w:left w:w="15" w:type="dxa"/>
              <w:bottom w:w="0" w:type="dxa"/>
              <w:right w:w="15" w:type="dxa"/>
            </w:tcMar>
            <w:vAlign w:val="center"/>
            <w:hideMark/>
          </w:tcPr>
          <w:p w14:paraId="06B4379F" w14:textId="1DDDEF38"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0·75 (0·73, 0·77)</w:t>
            </w:r>
          </w:p>
        </w:tc>
      </w:tr>
      <w:tr w:rsidR="00875453" w:rsidRPr="005D5356" w14:paraId="7EE1D082" w14:textId="77777777" w:rsidTr="00692E2F">
        <w:trPr>
          <w:trHeight w:val="361"/>
        </w:trPr>
        <w:tc>
          <w:tcPr>
            <w:tcW w:w="1668" w:type="dxa"/>
            <w:vMerge w:val="restart"/>
            <w:tcBorders>
              <w:top w:val="single" w:sz="8" w:space="0" w:color="A6A6A6"/>
              <w:left w:val="nil"/>
              <w:bottom w:val="single" w:sz="8" w:space="0" w:color="A6A6A6"/>
              <w:right w:val="nil"/>
            </w:tcBorders>
            <w:shd w:val="clear" w:color="auto" w:fill="auto"/>
            <w:tcMar>
              <w:top w:w="15" w:type="dxa"/>
              <w:left w:w="108" w:type="dxa"/>
              <w:bottom w:w="0" w:type="dxa"/>
              <w:right w:w="108" w:type="dxa"/>
            </w:tcMar>
            <w:vAlign w:val="center"/>
            <w:hideMark/>
          </w:tcPr>
          <w:p w14:paraId="3C84EF93" w14:textId="77777777" w:rsidR="00875453" w:rsidRPr="005D5356" w:rsidRDefault="00875453" w:rsidP="00ED22D9">
            <w:pPr>
              <w:spacing w:line="480" w:lineRule="auto"/>
              <w:rPr>
                <w:rFonts w:ascii="Times New Roman" w:hAnsi="Times New Roman"/>
              </w:rPr>
            </w:pPr>
            <w:r w:rsidRPr="005D5356">
              <w:rPr>
                <w:rFonts w:ascii="Times New Roman" w:hAnsi="Times New Roman"/>
                <w:b/>
                <w:bCs/>
              </w:rPr>
              <w:t>Wealth quintile</w:t>
            </w:r>
          </w:p>
        </w:tc>
        <w:tc>
          <w:tcPr>
            <w:tcW w:w="1530" w:type="dxa"/>
            <w:tcBorders>
              <w:top w:val="single" w:sz="8" w:space="0" w:color="A6A6A6"/>
              <w:left w:val="nil"/>
              <w:bottom w:val="nil"/>
              <w:right w:val="nil"/>
            </w:tcBorders>
            <w:shd w:val="clear" w:color="auto" w:fill="auto"/>
            <w:tcMar>
              <w:top w:w="15" w:type="dxa"/>
              <w:left w:w="108" w:type="dxa"/>
              <w:bottom w:w="0" w:type="dxa"/>
              <w:right w:w="108" w:type="dxa"/>
            </w:tcMar>
            <w:vAlign w:val="center"/>
            <w:hideMark/>
          </w:tcPr>
          <w:p w14:paraId="52E7AB8D"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Poorest</w:t>
            </w:r>
          </w:p>
        </w:tc>
        <w:tc>
          <w:tcPr>
            <w:tcW w:w="1531" w:type="dxa"/>
            <w:tcBorders>
              <w:top w:val="single" w:sz="8" w:space="0" w:color="A6A6A6"/>
              <w:left w:val="nil"/>
              <w:bottom w:val="nil"/>
              <w:right w:val="nil"/>
            </w:tcBorders>
            <w:vAlign w:val="center"/>
          </w:tcPr>
          <w:p w14:paraId="3F5AF657" w14:textId="44CB323B" w:rsidR="00875453" w:rsidRPr="005D5356" w:rsidRDefault="00A7700D">
            <w:pPr>
              <w:spacing w:line="480" w:lineRule="auto"/>
              <w:ind w:left="-466" w:firstLine="466"/>
              <w:jc w:val="center"/>
              <w:rPr>
                <w:rFonts w:ascii="Times New Roman" w:hAnsi="Times New Roman"/>
              </w:rPr>
            </w:pPr>
            <w:r>
              <w:rPr>
                <w:rFonts w:ascii="Times New Roman" w:hAnsi="Times New Roman"/>
              </w:rPr>
              <w:t>9,825</w:t>
            </w:r>
          </w:p>
        </w:tc>
        <w:tc>
          <w:tcPr>
            <w:tcW w:w="1531" w:type="dxa"/>
            <w:tcBorders>
              <w:top w:val="single" w:sz="8" w:space="0" w:color="A6A6A6"/>
              <w:left w:val="nil"/>
              <w:bottom w:val="nil"/>
              <w:right w:val="nil"/>
            </w:tcBorders>
            <w:shd w:val="clear" w:color="auto" w:fill="auto"/>
            <w:tcMar>
              <w:top w:w="15" w:type="dxa"/>
              <w:left w:w="15" w:type="dxa"/>
              <w:bottom w:w="0" w:type="dxa"/>
              <w:right w:w="15" w:type="dxa"/>
            </w:tcMar>
            <w:vAlign w:val="center"/>
            <w:hideMark/>
          </w:tcPr>
          <w:p w14:paraId="1CAD0F33" w14:textId="4D4A8847"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0·31 (0·30, 0·32)</w:t>
            </w:r>
          </w:p>
        </w:tc>
        <w:tc>
          <w:tcPr>
            <w:tcW w:w="1531" w:type="dxa"/>
            <w:tcBorders>
              <w:top w:val="single" w:sz="8" w:space="0" w:color="A6A6A6"/>
              <w:left w:val="nil"/>
              <w:bottom w:val="nil"/>
              <w:right w:val="nil"/>
            </w:tcBorders>
            <w:shd w:val="clear" w:color="auto" w:fill="auto"/>
            <w:tcMar>
              <w:top w:w="15" w:type="dxa"/>
              <w:left w:w="15" w:type="dxa"/>
              <w:bottom w:w="0" w:type="dxa"/>
              <w:right w:w="15" w:type="dxa"/>
            </w:tcMar>
            <w:vAlign w:val="center"/>
            <w:hideMark/>
          </w:tcPr>
          <w:p w14:paraId="362CDC3D" w14:textId="0DF3BC6D"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(0·04, 0·05)</w:t>
            </w:r>
          </w:p>
        </w:tc>
        <w:tc>
          <w:tcPr>
            <w:tcW w:w="1531" w:type="dxa"/>
            <w:tcBorders>
              <w:top w:val="single" w:sz="8" w:space="0" w:color="A6A6A6"/>
              <w:left w:val="nil"/>
              <w:bottom w:val="nil"/>
              <w:right w:val="nil"/>
            </w:tcBorders>
            <w:shd w:val="clear" w:color="auto" w:fill="auto"/>
            <w:tcMar>
              <w:top w:w="15" w:type="dxa"/>
              <w:left w:w="15" w:type="dxa"/>
              <w:bottom w:w="0" w:type="dxa"/>
              <w:right w:w="15" w:type="dxa"/>
            </w:tcMar>
            <w:vAlign w:val="center"/>
            <w:hideMark/>
          </w:tcPr>
          <w:p w14:paraId="7209D94A" w14:textId="19FF8F97"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0·65 (0·64, 0·66)</w:t>
            </w:r>
          </w:p>
        </w:tc>
      </w:tr>
      <w:tr w:rsidR="00BF6872" w:rsidRPr="005D5356" w14:paraId="3055D7D5" w14:textId="77777777" w:rsidTr="00BF6872">
        <w:trPr>
          <w:trHeight w:val="361"/>
        </w:trPr>
        <w:tc>
          <w:tcPr>
            <w:tcW w:w="1668" w:type="dxa"/>
            <w:vMerge/>
            <w:tcBorders>
              <w:top w:val="single" w:sz="8" w:space="0" w:color="A6A6A6"/>
              <w:left w:val="nil"/>
              <w:bottom w:val="single" w:sz="8" w:space="0" w:color="A6A6A6"/>
              <w:right w:val="nil"/>
            </w:tcBorders>
            <w:vAlign w:val="center"/>
            <w:hideMark/>
          </w:tcPr>
          <w:p w14:paraId="38090955"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nil"/>
              <w:right w:val="nil"/>
            </w:tcBorders>
            <w:shd w:val="clear" w:color="auto" w:fill="F0F0F0"/>
            <w:tcMar>
              <w:top w:w="15" w:type="dxa"/>
              <w:left w:w="108" w:type="dxa"/>
              <w:bottom w:w="0" w:type="dxa"/>
              <w:right w:w="108" w:type="dxa"/>
            </w:tcMar>
            <w:vAlign w:val="center"/>
            <w:hideMark/>
          </w:tcPr>
          <w:p w14:paraId="4DB7D054"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Poorer</w:t>
            </w:r>
          </w:p>
        </w:tc>
        <w:tc>
          <w:tcPr>
            <w:tcW w:w="1531" w:type="dxa"/>
            <w:tcBorders>
              <w:top w:val="nil"/>
              <w:left w:val="nil"/>
              <w:bottom w:val="nil"/>
              <w:right w:val="nil"/>
            </w:tcBorders>
            <w:shd w:val="clear" w:color="auto" w:fill="F0F0F0"/>
            <w:vAlign w:val="center"/>
          </w:tcPr>
          <w:p w14:paraId="3CEFB0B0" w14:textId="5C79236C" w:rsidR="00875453" w:rsidRPr="005D5356" w:rsidRDefault="00A7700D">
            <w:pPr>
              <w:spacing w:line="480" w:lineRule="auto"/>
              <w:ind w:left="-466" w:firstLine="466"/>
              <w:jc w:val="center"/>
              <w:rPr>
                <w:rFonts w:ascii="Times New Roman" w:hAnsi="Times New Roman"/>
              </w:rPr>
            </w:pPr>
            <w:r>
              <w:rPr>
                <w:rFonts w:ascii="Times New Roman" w:hAnsi="Times New Roman"/>
              </w:rPr>
              <w:t>8,895</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1FC0072D" w14:textId="1FA94CB0"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0·26 (0·25, 0·27)</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24E008F7" w14:textId="0D382BAC"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(0·04, 0·05)</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41C4A760" w14:textId="35FDA53B"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0·69 (0·68, 0·70)</w:t>
            </w:r>
          </w:p>
        </w:tc>
      </w:tr>
      <w:tr w:rsidR="00875453" w:rsidRPr="005D5356" w14:paraId="795F385E" w14:textId="77777777" w:rsidTr="00692E2F">
        <w:trPr>
          <w:trHeight w:val="361"/>
        </w:trPr>
        <w:tc>
          <w:tcPr>
            <w:tcW w:w="1668" w:type="dxa"/>
            <w:vMerge/>
            <w:tcBorders>
              <w:top w:val="single" w:sz="8" w:space="0" w:color="A6A6A6"/>
              <w:left w:val="nil"/>
              <w:bottom w:val="single" w:sz="8" w:space="0" w:color="A6A6A6"/>
              <w:right w:val="nil"/>
            </w:tcBorders>
            <w:vAlign w:val="center"/>
            <w:hideMark/>
          </w:tcPr>
          <w:p w14:paraId="6845C491"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nil"/>
              <w:right w:val="nil"/>
            </w:tcBorders>
            <w:shd w:val="clear" w:color="auto" w:fill="auto"/>
            <w:tcMar>
              <w:top w:w="15" w:type="dxa"/>
              <w:left w:w="108" w:type="dxa"/>
              <w:bottom w:w="0" w:type="dxa"/>
              <w:right w:w="108" w:type="dxa"/>
            </w:tcMar>
            <w:vAlign w:val="center"/>
            <w:hideMark/>
          </w:tcPr>
          <w:p w14:paraId="5792E5BC"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Middle</w:t>
            </w:r>
          </w:p>
        </w:tc>
        <w:tc>
          <w:tcPr>
            <w:tcW w:w="1531" w:type="dxa"/>
            <w:tcBorders>
              <w:top w:val="nil"/>
              <w:left w:val="nil"/>
              <w:bottom w:val="nil"/>
              <w:right w:val="nil"/>
            </w:tcBorders>
            <w:vAlign w:val="center"/>
          </w:tcPr>
          <w:p w14:paraId="6749913D" w14:textId="36CEB8C1" w:rsidR="00875453" w:rsidRPr="005D5356" w:rsidRDefault="00A7700D">
            <w:pPr>
              <w:spacing w:line="480" w:lineRule="auto"/>
              <w:ind w:left="-466" w:firstLine="466"/>
              <w:jc w:val="center"/>
              <w:rPr>
                <w:rFonts w:ascii="Times New Roman" w:hAnsi="Times New Roman"/>
              </w:rPr>
            </w:pPr>
            <w:r>
              <w:rPr>
                <w:rFonts w:ascii="Times New Roman" w:hAnsi="Times New Roman"/>
              </w:rPr>
              <w:t>8,077</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39844F30" w14:textId="525A24FB"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0·26 (0·25, 0·27)</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23DEC1E0" w14:textId="186FB080"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(0·04, 0·05)</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33C07542" w14:textId="53EFEA55"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0·69 (0·68, 0·70)</w:t>
            </w:r>
          </w:p>
        </w:tc>
      </w:tr>
      <w:tr w:rsidR="00BF6872" w:rsidRPr="005D5356" w14:paraId="3EC66D5F" w14:textId="77777777" w:rsidTr="00BF6872">
        <w:trPr>
          <w:trHeight w:val="361"/>
        </w:trPr>
        <w:tc>
          <w:tcPr>
            <w:tcW w:w="1668" w:type="dxa"/>
            <w:vMerge/>
            <w:tcBorders>
              <w:top w:val="single" w:sz="8" w:space="0" w:color="A6A6A6"/>
              <w:left w:val="nil"/>
              <w:bottom w:val="single" w:sz="8" w:space="0" w:color="A6A6A6"/>
              <w:right w:val="nil"/>
            </w:tcBorders>
            <w:vAlign w:val="center"/>
            <w:hideMark/>
          </w:tcPr>
          <w:p w14:paraId="550274B8"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nil"/>
              <w:right w:val="nil"/>
            </w:tcBorders>
            <w:shd w:val="clear" w:color="auto" w:fill="F0F0F0"/>
            <w:tcMar>
              <w:top w:w="15" w:type="dxa"/>
              <w:left w:w="108" w:type="dxa"/>
              <w:bottom w:w="0" w:type="dxa"/>
              <w:right w:w="108" w:type="dxa"/>
            </w:tcMar>
            <w:vAlign w:val="center"/>
            <w:hideMark/>
          </w:tcPr>
          <w:p w14:paraId="5A449960"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Richer</w:t>
            </w:r>
          </w:p>
        </w:tc>
        <w:tc>
          <w:tcPr>
            <w:tcW w:w="1531" w:type="dxa"/>
            <w:tcBorders>
              <w:top w:val="nil"/>
              <w:left w:val="nil"/>
              <w:bottom w:val="nil"/>
              <w:right w:val="nil"/>
            </w:tcBorders>
            <w:shd w:val="clear" w:color="auto" w:fill="F0F0F0"/>
            <w:vAlign w:val="center"/>
          </w:tcPr>
          <w:p w14:paraId="52847782" w14:textId="47113156" w:rsidR="00875453" w:rsidRPr="005D5356" w:rsidRDefault="00A7700D">
            <w:pPr>
              <w:spacing w:line="480" w:lineRule="auto"/>
              <w:ind w:left="-466" w:firstLine="466"/>
              <w:jc w:val="center"/>
              <w:rPr>
                <w:rFonts w:ascii="Times New Roman" w:hAnsi="Times New Roman"/>
              </w:rPr>
            </w:pPr>
            <w:r>
              <w:rPr>
                <w:rFonts w:ascii="Times New Roman" w:hAnsi="Times New Roman"/>
              </w:rPr>
              <w:t>7,527</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14BCCC3F" w14:textId="0C55CC1F"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0·22 (0·21, 0·23)</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29F45498" w14:textId="341303D9"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(0·04, 0·05)</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1D5E1E8B" w14:textId="1EE79554"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0·73 (0·72, 0·74)</w:t>
            </w:r>
          </w:p>
        </w:tc>
      </w:tr>
      <w:tr w:rsidR="00875453" w:rsidRPr="005D5356" w14:paraId="3C451454" w14:textId="77777777" w:rsidTr="00692E2F">
        <w:trPr>
          <w:trHeight w:val="361"/>
        </w:trPr>
        <w:tc>
          <w:tcPr>
            <w:tcW w:w="1668" w:type="dxa"/>
            <w:vMerge/>
            <w:tcBorders>
              <w:top w:val="single" w:sz="8" w:space="0" w:color="A6A6A6"/>
              <w:left w:val="nil"/>
              <w:bottom w:val="single" w:sz="8" w:space="0" w:color="A6A6A6"/>
              <w:right w:val="nil"/>
            </w:tcBorders>
            <w:vAlign w:val="center"/>
            <w:hideMark/>
          </w:tcPr>
          <w:p w14:paraId="5D5EBC29"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single" w:sz="8" w:space="0" w:color="A6A6A6"/>
              <w:right w:val="nil"/>
            </w:tcBorders>
            <w:shd w:val="clear" w:color="auto" w:fill="auto"/>
            <w:tcMar>
              <w:top w:w="15" w:type="dxa"/>
              <w:left w:w="108" w:type="dxa"/>
              <w:bottom w:w="0" w:type="dxa"/>
              <w:right w:w="108" w:type="dxa"/>
            </w:tcMar>
            <w:vAlign w:val="center"/>
            <w:hideMark/>
          </w:tcPr>
          <w:p w14:paraId="16656B41"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Richest</w:t>
            </w:r>
          </w:p>
        </w:tc>
        <w:tc>
          <w:tcPr>
            <w:tcW w:w="1531" w:type="dxa"/>
            <w:tcBorders>
              <w:top w:val="nil"/>
              <w:left w:val="nil"/>
              <w:bottom w:val="single" w:sz="8" w:space="0" w:color="A6A6A6"/>
              <w:right w:val="nil"/>
            </w:tcBorders>
            <w:vAlign w:val="center"/>
          </w:tcPr>
          <w:p w14:paraId="24340C3A" w14:textId="7A327D74" w:rsidR="00875453" w:rsidRPr="005D5356" w:rsidRDefault="00A7700D">
            <w:pPr>
              <w:spacing w:line="480" w:lineRule="auto"/>
              <w:ind w:left="-466" w:firstLine="466"/>
              <w:jc w:val="center"/>
              <w:rPr>
                <w:rFonts w:ascii="Times New Roman" w:hAnsi="Times New Roman"/>
              </w:rPr>
            </w:pPr>
            <w:r>
              <w:rPr>
                <w:rFonts w:ascii="Times New Roman" w:hAnsi="Times New Roman"/>
              </w:rPr>
              <w:t>6,641</w:t>
            </w:r>
          </w:p>
        </w:tc>
        <w:tc>
          <w:tcPr>
            <w:tcW w:w="1531" w:type="dxa"/>
            <w:tcBorders>
              <w:top w:val="nil"/>
              <w:left w:val="nil"/>
              <w:bottom w:val="single" w:sz="8" w:space="0" w:color="A6A6A6"/>
              <w:right w:val="nil"/>
            </w:tcBorders>
            <w:shd w:val="clear" w:color="auto" w:fill="auto"/>
            <w:tcMar>
              <w:top w:w="15" w:type="dxa"/>
              <w:left w:w="15" w:type="dxa"/>
              <w:bottom w:w="0" w:type="dxa"/>
              <w:right w:w="15" w:type="dxa"/>
            </w:tcMar>
            <w:vAlign w:val="center"/>
            <w:hideMark/>
          </w:tcPr>
          <w:p w14:paraId="4BD067D7" w14:textId="3EE9A38C"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0·17 (0·16, 0·19)</w:t>
            </w:r>
          </w:p>
        </w:tc>
        <w:tc>
          <w:tcPr>
            <w:tcW w:w="1531" w:type="dxa"/>
            <w:tcBorders>
              <w:top w:val="nil"/>
              <w:left w:val="nil"/>
              <w:bottom w:val="single" w:sz="8" w:space="0" w:color="A6A6A6"/>
              <w:right w:val="nil"/>
            </w:tcBorders>
            <w:shd w:val="clear" w:color="auto" w:fill="auto"/>
            <w:tcMar>
              <w:top w:w="15" w:type="dxa"/>
              <w:left w:w="15" w:type="dxa"/>
              <w:bottom w:w="0" w:type="dxa"/>
              <w:right w:w="15" w:type="dxa"/>
            </w:tcMar>
            <w:vAlign w:val="center"/>
            <w:hideMark/>
          </w:tcPr>
          <w:p w14:paraId="152C8B09" w14:textId="6BC64304"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0·04 (0·04, 0·05)</w:t>
            </w:r>
          </w:p>
        </w:tc>
        <w:tc>
          <w:tcPr>
            <w:tcW w:w="1531" w:type="dxa"/>
            <w:tcBorders>
              <w:top w:val="nil"/>
              <w:left w:val="nil"/>
              <w:bottom w:val="single" w:sz="8" w:space="0" w:color="A6A6A6"/>
              <w:right w:val="nil"/>
            </w:tcBorders>
            <w:shd w:val="clear" w:color="auto" w:fill="auto"/>
            <w:tcMar>
              <w:top w:w="15" w:type="dxa"/>
              <w:left w:w="15" w:type="dxa"/>
              <w:bottom w:w="0" w:type="dxa"/>
              <w:right w:w="15" w:type="dxa"/>
            </w:tcMar>
            <w:vAlign w:val="center"/>
            <w:hideMark/>
          </w:tcPr>
          <w:p w14:paraId="68DE8945" w14:textId="4A13C31C"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0·78 (0·77, 0·80)</w:t>
            </w:r>
          </w:p>
        </w:tc>
      </w:tr>
      <w:tr w:rsidR="00BF6872" w:rsidRPr="005D5356" w14:paraId="47591E65" w14:textId="77777777" w:rsidTr="00BF6872">
        <w:trPr>
          <w:trHeight w:val="361"/>
        </w:trPr>
        <w:tc>
          <w:tcPr>
            <w:tcW w:w="1668" w:type="dxa"/>
            <w:vMerge w:val="restart"/>
            <w:tcBorders>
              <w:top w:val="single" w:sz="8" w:space="0" w:color="A6A6A6"/>
              <w:left w:val="nil"/>
              <w:bottom w:val="single" w:sz="8" w:space="0" w:color="A6A6A6"/>
              <w:right w:val="nil"/>
            </w:tcBorders>
            <w:shd w:val="clear" w:color="auto" w:fill="auto"/>
            <w:tcMar>
              <w:top w:w="15" w:type="dxa"/>
              <w:left w:w="108" w:type="dxa"/>
              <w:bottom w:w="0" w:type="dxa"/>
              <w:right w:w="108" w:type="dxa"/>
            </w:tcMar>
            <w:vAlign w:val="center"/>
            <w:hideMark/>
          </w:tcPr>
          <w:p w14:paraId="4129A272" w14:textId="77777777" w:rsidR="00875453" w:rsidRPr="005D5356" w:rsidRDefault="00875453" w:rsidP="00F07639">
            <w:pPr>
              <w:spacing w:line="480" w:lineRule="auto"/>
              <w:ind w:left="-466" w:firstLine="466"/>
              <w:rPr>
                <w:rFonts w:ascii="Times New Roman" w:hAnsi="Times New Roman"/>
              </w:rPr>
            </w:pPr>
            <w:r w:rsidRPr="005D5356">
              <w:rPr>
                <w:rFonts w:ascii="Times New Roman" w:hAnsi="Times New Roman"/>
                <w:b/>
                <w:bCs/>
              </w:rPr>
              <w:t>Location</w:t>
            </w:r>
          </w:p>
        </w:tc>
        <w:tc>
          <w:tcPr>
            <w:tcW w:w="1530" w:type="dxa"/>
            <w:tcBorders>
              <w:top w:val="single" w:sz="8" w:space="0" w:color="A6A6A6"/>
              <w:left w:val="nil"/>
              <w:bottom w:val="nil"/>
              <w:right w:val="nil"/>
            </w:tcBorders>
            <w:shd w:val="clear" w:color="auto" w:fill="F0F0F0"/>
            <w:tcMar>
              <w:top w:w="15" w:type="dxa"/>
              <w:left w:w="108" w:type="dxa"/>
              <w:bottom w:w="0" w:type="dxa"/>
              <w:right w:w="108" w:type="dxa"/>
            </w:tcMar>
            <w:vAlign w:val="center"/>
            <w:hideMark/>
          </w:tcPr>
          <w:p w14:paraId="7549D7A3"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Urban</w:t>
            </w:r>
          </w:p>
        </w:tc>
        <w:tc>
          <w:tcPr>
            <w:tcW w:w="1531" w:type="dxa"/>
            <w:tcBorders>
              <w:top w:val="single" w:sz="8" w:space="0" w:color="A6A6A6"/>
              <w:left w:val="nil"/>
              <w:bottom w:val="nil"/>
              <w:right w:val="nil"/>
            </w:tcBorders>
            <w:shd w:val="clear" w:color="auto" w:fill="F0F0F0"/>
            <w:vAlign w:val="center"/>
          </w:tcPr>
          <w:p w14:paraId="6CCEC8A6" w14:textId="451BAF1C" w:rsidR="00875453" w:rsidRPr="005D5356" w:rsidRDefault="00536D96">
            <w:pPr>
              <w:spacing w:line="480" w:lineRule="auto"/>
              <w:ind w:left="-466" w:firstLine="466"/>
              <w:jc w:val="center"/>
              <w:rPr>
                <w:rFonts w:ascii="Times New Roman" w:hAnsi="Times New Roman"/>
              </w:rPr>
            </w:pPr>
            <w:r>
              <w:rPr>
                <w:rFonts w:ascii="Times New Roman" w:hAnsi="Times New Roman"/>
              </w:rPr>
              <w:t>13,393</w:t>
            </w:r>
          </w:p>
        </w:tc>
        <w:tc>
          <w:tcPr>
            <w:tcW w:w="1531" w:type="dxa"/>
            <w:tcBorders>
              <w:top w:val="single" w:sz="8" w:space="0" w:color="A6A6A6"/>
              <w:left w:val="nil"/>
              <w:bottom w:val="nil"/>
              <w:right w:val="nil"/>
            </w:tcBorders>
            <w:shd w:val="clear" w:color="auto" w:fill="F0F0F0"/>
            <w:tcMar>
              <w:top w:w="15" w:type="dxa"/>
              <w:left w:w="15" w:type="dxa"/>
              <w:bottom w:w="0" w:type="dxa"/>
              <w:right w:w="15" w:type="dxa"/>
            </w:tcMar>
            <w:vAlign w:val="center"/>
            <w:hideMark/>
          </w:tcPr>
          <w:p w14:paraId="2CE27B75" w14:textId="7BC5C2CA"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0·28 (0·27, 0·29)</w:t>
            </w:r>
          </w:p>
        </w:tc>
        <w:tc>
          <w:tcPr>
            <w:tcW w:w="1531" w:type="dxa"/>
            <w:tcBorders>
              <w:top w:val="single" w:sz="8" w:space="0" w:color="A6A6A6"/>
              <w:left w:val="nil"/>
              <w:bottom w:val="nil"/>
              <w:right w:val="nil"/>
            </w:tcBorders>
            <w:shd w:val="clear" w:color="auto" w:fill="F0F0F0"/>
            <w:tcMar>
              <w:top w:w="15" w:type="dxa"/>
              <w:left w:w="15" w:type="dxa"/>
              <w:bottom w:w="0" w:type="dxa"/>
              <w:right w:w="15" w:type="dxa"/>
            </w:tcMar>
            <w:vAlign w:val="center"/>
            <w:hideMark/>
          </w:tcPr>
          <w:p w14:paraId="07A6F912" w14:textId="3AA71930"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0·04 (0·04, 0·05)</w:t>
            </w:r>
          </w:p>
        </w:tc>
        <w:tc>
          <w:tcPr>
            <w:tcW w:w="1531" w:type="dxa"/>
            <w:tcBorders>
              <w:top w:val="single" w:sz="8" w:space="0" w:color="A6A6A6"/>
              <w:left w:val="nil"/>
              <w:bottom w:val="nil"/>
              <w:right w:val="nil"/>
            </w:tcBorders>
            <w:shd w:val="clear" w:color="auto" w:fill="F0F0F0"/>
            <w:tcMar>
              <w:top w:w="15" w:type="dxa"/>
              <w:left w:w="15" w:type="dxa"/>
              <w:bottom w:w="0" w:type="dxa"/>
              <w:right w:w="15" w:type="dxa"/>
            </w:tcMar>
            <w:vAlign w:val="center"/>
            <w:hideMark/>
          </w:tcPr>
          <w:p w14:paraId="2BADD88B" w14:textId="6D3294A2"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0·68 (0·67, 0·69)</w:t>
            </w:r>
          </w:p>
        </w:tc>
      </w:tr>
      <w:tr w:rsidR="00875453" w:rsidRPr="005D5356" w14:paraId="0EC41646" w14:textId="77777777" w:rsidTr="00692E2F">
        <w:trPr>
          <w:trHeight w:val="361"/>
        </w:trPr>
        <w:tc>
          <w:tcPr>
            <w:tcW w:w="1668" w:type="dxa"/>
            <w:vMerge/>
            <w:tcBorders>
              <w:top w:val="single" w:sz="8" w:space="0" w:color="A6A6A6"/>
              <w:left w:val="nil"/>
              <w:bottom w:val="single" w:sz="8" w:space="0" w:color="A6A6A6"/>
              <w:right w:val="nil"/>
            </w:tcBorders>
            <w:vAlign w:val="center"/>
            <w:hideMark/>
          </w:tcPr>
          <w:p w14:paraId="40EFD09F"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single" w:sz="8" w:space="0" w:color="A6A6A6"/>
              <w:right w:val="nil"/>
            </w:tcBorders>
            <w:shd w:val="clear" w:color="auto" w:fill="auto"/>
            <w:tcMar>
              <w:top w:w="15" w:type="dxa"/>
              <w:left w:w="108" w:type="dxa"/>
              <w:bottom w:w="0" w:type="dxa"/>
              <w:right w:w="108" w:type="dxa"/>
            </w:tcMar>
            <w:vAlign w:val="center"/>
            <w:hideMark/>
          </w:tcPr>
          <w:p w14:paraId="4B234BFD"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Rural</w:t>
            </w:r>
          </w:p>
        </w:tc>
        <w:tc>
          <w:tcPr>
            <w:tcW w:w="1531" w:type="dxa"/>
            <w:tcBorders>
              <w:top w:val="nil"/>
              <w:left w:val="nil"/>
              <w:bottom w:val="single" w:sz="8" w:space="0" w:color="A6A6A6"/>
              <w:right w:val="nil"/>
            </w:tcBorders>
            <w:vAlign w:val="center"/>
          </w:tcPr>
          <w:p w14:paraId="65CCC47E" w14:textId="3CD9F8C4" w:rsidR="00875453" w:rsidRPr="005D5356" w:rsidRDefault="00536D96">
            <w:pPr>
              <w:spacing w:line="480" w:lineRule="auto"/>
              <w:ind w:left="-466" w:firstLine="466"/>
              <w:jc w:val="center"/>
              <w:rPr>
                <w:rFonts w:ascii="Times New Roman" w:hAnsi="Times New Roman"/>
              </w:rPr>
            </w:pPr>
            <w:r>
              <w:rPr>
                <w:rFonts w:ascii="Times New Roman" w:hAnsi="Times New Roman"/>
              </w:rPr>
              <w:t>27,572</w:t>
            </w:r>
          </w:p>
        </w:tc>
        <w:tc>
          <w:tcPr>
            <w:tcW w:w="1531" w:type="dxa"/>
            <w:tcBorders>
              <w:top w:val="nil"/>
              <w:left w:val="nil"/>
              <w:bottom w:val="single" w:sz="8" w:space="0" w:color="A6A6A6"/>
              <w:right w:val="nil"/>
            </w:tcBorders>
            <w:shd w:val="clear" w:color="auto" w:fill="auto"/>
            <w:tcMar>
              <w:top w:w="15" w:type="dxa"/>
              <w:left w:w="15" w:type="dxa"/>
              <w:bottom w:w="0" w:type="dxa"/>
              <w:right w:w="15" w:type="dxa"/>
            </w:tcMar>
            <w:vAlign w:val="center"/>
            <w:hideMark/>
          </w:tcPr>
          <w:p w14:paraId="2426F5CA" w14:textId="53F47F84"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0·23 (0·23, 0·24)</w:t>
            </w:r>
          </w:p>
        </w:tc>
        <w:tc>
          <w:tcPr>
            <w:tcW w:w="1531" w:type="dxa"/>
            <w:tcBorders>
              <w:top w:val="nil"/>
              <w:left w:val="nil"/>
              <w:bottom w:val="single" w:sz="8" w:space="0" w:color="A6A6A6"/>
              <w:right w:val="nil"/>
            </w:tcBorders>
            <w:shd w:val="clear" w:color="auto" w:fill="auto"/>
            <w:tcMar>
              <w:top w:w="15" w:type="dxa"/>
              <w:left w:w="15" w:type="dxa"/>
              <w:bottom w:w="0" w:type="dxa"/>
              <w:right w:w="15" w:type="dxa"/>
            </w:tcMar>
            <w:vAlign w:val="center"/>
            <w:hideMark/>
          </w:tcPr>
          <w:p w14:paraId="05B007CD" w14:textId="491F4A7F"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(0·05, 0·05)</w:t>
            </w:r>
          </w:p>
        </w:tc>
        <w:tc>
          <w:tcPr>
            <w:tcW w:w="1531" w:type="dxa"/>
            <w:tcBorders>
              <w:top w:val="nil"/>
              <w:left w:val="nil"/>
              <w:bottom w:val="single" w:sz="8" w:space="0" w:color="A6A6A6"/>
              <w:right w:val="nil"/>
            </w:tcBorders>
            <w:shd w:val="clear" w:color="auto" w:fill="auto"/>
            <w:tcMar>
              <w:top w:w="15" w:type="dxa"/>
              <w:left w:w="15" w:type="dxa"/>
              <w:bottom w:w="0" w:type="dxa"/>
              <w:right w:w="15" w:type="dxa"/>
            </w:tcMar>
            <w:vAlign w:val="center"/>
            <w:hideMark/>
          </w:tcPr>
          <w:p w14:paraId="4D27E68A" w14:textId="140B191A"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0·72 (0·71, 0·72)</w:t>
            </w:r>
          </w:p>
        </w:tc>
      </w:tr>
      <w:tr w:rsidR="00BF6872" w:rsidRPr="005D5356" w14:paraId="31837E2E" w14:textId="77777777" w:rsidTr="00BF6872">
        <w:trPr>
          <w:trHeight w:val="361"/>
        </w:trPr>
        <w:tc>
          <w:tcPr>
            <w:tcW w:w="1668" w:type="dxa"/>
            <w:vMerge w:val="restart"/>
            <w:tcBorders>
              <w:top w:val="single" w:sz="8" w:space="0" w:color="A6A6A6"/>
              <w:left w:val="nil"/>
              <w:bottom w:val="single" w:sz="8" w:space="0" w:color="A5A5A5"/>
              <w:right w:val="nil"/>
            </w:tcBorders>
            <w:shd w:val="clear" w:color="auto" w:fill="auto"/>
            <w:tcMar>
              <w:top w:w="15" w:type="dxa"/>
              <w:left w:w="108" w:type="dxa"/>
              <w:bottom w:w="0" w:type="dxa"/>
              <w:right w:w="108" w:type="dxa"/>
            </w:tcMar>
            <w:vAlign w:val="center"/>
            <w:hideMark/>
          </w:tcPr>
          <w:p w14:paraId="1397429D" w14:textId="77777777" w:rsidR="00875453" w:rsidRPr="005D5356" w:rsidRDefault="00875453" w:rsidP="00F07639">
            <w:pPr>
              <w:spacing w:line="480" w:lineRule="auto"/>
              <w:ind w:left="-466" w:firstLine="466"/>
              <w:rPr>
                <w:rFonts w:ascii="Times New Roman" w:hAnsi="Times New Roman"/>
              </w:rPr>
            </w:pPr>
            <w:r w:rsidRPr="005D5356">
              <w:rPr>
                <w:rFonts w:ascii="Times New Roman" w:hAnsi="Times New Roman"/>
                <w:b/>
                <w:bCs/>
              </w:rPr>
              <w:t>Region</w:t>
            </w:r>
          </w:p>
        </w:tc>
        <w:tc>
          <w:tcPr>
            <w:tcW w:w="1530" w:type="dxa"/>
            <w:tcBorders>
              <w:top w:val="single" w:sz="8" w:space="0" w:color="A6A6A6"/>
              <w:left w:val="nil"/>
              <w:bottom w:val="nil"/>
              <w:right w:val="nil"/>
            </w:tcBorders>
            <w:shd w:val="clear" w:color="auto" w:fill="F0F0F0"/>
            <w:tcMar>
              <w:top w:w="15" w:type="dxa"/>
              <w:left w:w="108" w:type="dxa"/>
              <w:bottom w:w="0" w:type="dxa"/>
              <w:right w:w="108" w:type="dxa"/>
            </w:tcMar>
            <w:vAlign w:val="center"/>
            <w:hideMark/>
          </w:tcPr>
          <w:p w14:paraId="2CE349F1"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SSA</w:t>
            </w:r>
          </w:p>
        </w:tc>
        <w:tc>
          <w:tcPr>
            <w:tcW w:w="1531" w:type="dxa"/>
            <w:tcBorders>
              <w:top w:val="single" w:sz="8" w:space="0" w:color="A6A6A6"/>
              <w:left w:val="nil"/>
              <w:bottom w:val="nil"/>
              <w:right w:val="nil"/>
            </w:tcBorders>
            <w:shd w:val="clear" w:color="auto" w:fill="F0F0F0"/>
            <w:vAlign w:val="center"/>
          </w:tcPr>
          <w:p w14:paraId="024047B4" w14:textId="7A419034" w:rsidR="00875453" w:rsidRPr="005D5356" w:rsidRDefault="00D77F7A">
            <w:pPr>
              <w:spacing w:line="480" w:lineRule="auto"/>
              <w:ind w:left="-466" w:firstLine="466"/>
              <w:jc w:val="center"/>
              <w:rPr>
                <w:rFonts w:ascii="Times New Roman" w:hAnsi="Times New Roman"/>
              </w:rPr>
            </w:pPr>
            <w:r>
              <w:rPr>
                <w:rFonts w:ascii="Times New Roman" w:hAnsi="Times New Roman"/>
              </w:rPr>
              <w:t>28,745</w:t>
            </w:r>
          </w:p>
        </w:tc>
        <w:tc>
          <w:tcPr>
            <w:tcW w:w="1531" w:type="dxa"/>
            <w:tcBorders>
              <w:top w:val="single" w:sz="8" w:space="0" w:color="A6A6A6"/>
              <w:left w:val="nil"/>
              <w:bottom w:val="nil"/>
              <w:right w:val="nil"/>
            </w:tcBorders>
            <w:shd w:val="clear" w:color="auto" w:fill="F0F0F0"/>
            <w:tcMar>
              <w:top w:w="15" w:type="dxa"/>
              <w:left w:w="15" w:type="dxa"/>
              <w:bottom w:w="0" w:type="dxa"/>
              <w:right w:w="15" w:type="dxa"/>
            </w:tcMar>
            <w:vAlign w:val="center"/>
            <w:hideMark/>
          </w:tcPr>
          <w:p w14:paraId="26987247" w14:textId="7B9AF1EF"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0·18 (0·17, 0·18)</w:t>
            </w:r>
          </w:p>
        </w:tc>
        <w:tc>
          <w:tcPr>
            <w:tcW w:w="1531" w:type="dxa"/>
            <w:tcBorders>
              <w:top w:val="single" w:sz="8" w:space="0" w:color="A6A6A6"/>
              <w:left w:val="nil"/>
              <w:bottom w:val="nil"/>
              <w:right w:val="nil"/>
            </w:tcBorders>
            <w:shd w:val="clear" w:color="auto" w:fill="F0F0F0"/>
            <w:tcMar>
              <w:top w:w="15" w:type="dxa"/>
              <w:left w:w="15" w:type="dxa"/>
              <w:bottom w:w="0" w:type="dxa"/>
              <w:right w:w="15" w:type="dxa"/>
            </w:tcMar>
            <w:vAlign w:val="center"/>
            <w:hideMark/>
          </w:tcPr>
          <w:p w14:paraId="4164CB76" w14:textId="30B030D6"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0·04 (0·04, 0·04)</w:t>
            </w:r>
          </w:p>
        </w:tc>
        <w:tc>
          <w:tcPr>
            <w:tcW w:w="1531" w:type="dxa"/>
            <w:tcBorders>
              <w:top w:val="single" w:sz="8" w:space="0" w:color="A6A6A6"/>
              <w:left w:val="nil"/>
              <w:bottom w:val="nil"/>
              <w:right w:val="nil"/>
            </w:tcBorders>
            <w:shd w:val="clear" w:color="auto" w:fill="F0F0F0"/>
            <w:tcMar>
              <w:top w:w="15" w:type="dxa"/>
              <w:left w:w="15" w:type="dxa"/>
              <w:bottom w:w="0" w:type="dxa"/>
              <w:right w:w="15" w:type="dxa"/>
            </w:tcMar>
            <w:vAlign w:val="center"/>
            <w:hideMark/>
          </w:tcPr>
          <w:p w14:paraId="52DE3426" w14:textId="498225B0"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0·78 (0·78, 0·79)</w:t>
            </w:r>
          </w:p>
        </w:tc>
      </w:tr>
      <w:tr w:rsidR="00875453" w:rsidRPr="005D5356" w14:paraId="0ED19D54" w14:textId="77777777" w:rsidTr="00692E2F">
        <w:trPr>
          <w:trHeight w:val="361"/>
        </w:trPr>
        <w:tc>
          <w:tcPr>
            <w:tcW w:w="1668" w:type="dxa"/>
            <w:vMerge/>
            <w:tcBorders>
              <w:top w:val="single" w:sz="8" w:space="0" w:color="A6A6A6"/>
              <w:left w:val="nil"/>
              <w:bottom w:val="single" w:sz="8" w:space="0" w:color="A5A5A5"/>
              <w:right w:val="nil"/>
            </w:tcBorders>
            <w:vAlign w:val="center"/>
            <w:hideMark/>
          </w:tcPr>
          <w:p w14:paraId="1C8C8587"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nil"/>
              <w:right w:val="nil"/>
            </w:tcBorders>
            <w:shd w:val="clear" w:color="auto" w:fill="auto"/>
            <w:tcMar>
              <w:top w:w="15" w:type="dxa"/>
              <w:left w:w="108" w:type="dxa"/>
              <w:bottom w:w="0" w:type="dxa"/>
              <w:right w:w="108" w:type="dxa"/>
            </w:tcMar>
            <w:vAlign w:val="center"/>
            <w:hideMark/>
          </w:tcPr>
          <w:p w14:paraId="55EB4536"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SEA</w:t>
            </w:r>
          </w:p>
        </w:tc>
        <w:tc>
          <w:tcPr>
            <w:tcW w:w="1531" w:type="dxa"/>
            <w:tcBorders>
              <w:top w:val="nil"/>
              <w:left w:val="nil"/>
              <w:bottom w:val="nil"/>
              <w:right w:val="nil"/>
            </w:tcBorders>
            <w:vAlign w:val="center"/>
          </w:tcPr>
          <w:p w14:paraId="0C0E27D4" w14:textId="3F467C9E" w:rsidR="00875453" w:rsidRPr="005D5356" w:rsidRDefault="00D77F7A">
            <w:pPr>
              <w:spacing w:line="480" w:lineRule="auto"/>
              <w:ind w:left="-466" w:firstLine="466"/>
              <w:jc w:val="center"/>
              <w:rPr>
                <w:rFonts w:ascii="Times New Roman" w:hAnsi="Times New Roman"/>
              </w:rPr>
            </w:pPr>
            <w:r>
              <w:rPr>
                <w:rFonts w:ascii="Times New Roman" w:hAnsi="Times New Roman"/>
              </w:rPr>
              <w:t>3,753</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3DCB1929" w14:textId="770B6AD3"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0·60 (0·58, 0·62)</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33910CFE" w14:textId="330C529E"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0·11 (0·09, 0·12)</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5EAC309B" w14:textId="099280A5"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0·30 (0·28, 0·32)</w:t>
            </w:r>
          </w:p>
        </w:tc>
      </w:tr>
      <w:tr w:rsidR="00BF6872" w:rsidRPr="005D5356" w14:paraId="54A203DA" w14:textId="77777777" w:rsidTr="00BF6872">
        <w:trPr>
          <w:trHeight w:val="361"/>
        </w:trPr>
        <w:tc>
          <w:tcPr>
            <w:tcW w:w="1668" w:type="dxa"/>
            <w:vMerge/>
            <w:tcBorders>
              <w:top w:val="single" w:sz="8" w:space="0" w:color="A6A6A6"/>
              <w:left w:val="nil"/>
              <w:bottom w:val="single" w:sz="8" w:space="0" w:color="A5A5A5"/>
              <w:right w:val="nil"/>
            </w:tcBorders>
            <w:vAlign w:val="center"/>
            <w:hideMark/>
          </w:tcPr>
          <w:p w14:paraId="1A8D4C07"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nil"/>
              <w:right w:val="nil"/>
            </w:tcBorders>
            <w:shd w:val="clear" w:color="auto" w:fill="F0F0F0"/>
            <w:tcMar>
              <w:top w:w="15" w:type="dxa"/>
              <w:left w:w="108" w:type="dxa"/>
              <w:bottom w:w="0" w:type="dxa"/>
              <w:right w:w="108" w:type="dxa"/>
            </w:tcMar>
            <w:vAlign w:val="center"/>
            <w:hideMark/>
          </w:tcPr>
          <w:p w14:paraId="39AA57F9"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MENA</w:t>
            </w:r>
          </w:p>
        </w:tc>
        <w:tc>
          <w:tcPr>
            <w:tcW w:w="1531" w:type="dxa"/>
            <w:tcBorders>
              <w:top w:val="nil"/>
              <w:left w:val="nil"/>
              <w:bottom w:val="nil"/>
              <w:right w:val="nil"/>
            </w:tcBorders>
            <w:shd w:val="clear" w:color="auto" w:fill="F0F0F0"/>
            <w:vAlign w:val="center"/>
          </w:tcPr>
          <w:p w14:paraId="189CD7D3" w14:textId="581F77B2" w:rsidR="00875453" w:rsidRPr="005D5356" w:rsidRDefault="00D77F7A">
            <w:pPr>
              <w:spacing w:line="480" w:lineRule="auto"/>
              <w:ind w:left="-466" w:firstLine="466"/>
              <w:jc w:val="center"/>
              <w:rPr>
                <w:rFonts w:ascii="Times New Roman" w:hAnsi="Times New Roman"/>
              </w:rPr>
            </w:pPr>
            <w:r>
              <w:rPr>
                <w:rFonts w:ascii="Times New Roman" w:hAnsi="Times New Roman"/>
              </w:rPr>
              <w:t>4,857</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56FDC479" w14:textId="161AAE49"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0·50 (0·48, 0·52)</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606727B4" w14:textId="25F06C52"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0·03 (0·02, 0·03)</w:t>
            </w:r>
          </w:p>
        </w:tc>
        <w:tc>
          <w:tcPr>
            <w:tcW w:w="1531" w:type="dxa"/>
            <w:tcBorders>
              <w:top w:val="nil"/>
              <w:left w:val="nil"/>
              <w:bottom w:val="nil"/>
              <w:right w:val="nil"/>
            </w:tcBorders>
            <w:shd w:val="clear" w:color="auto" w:fill="F0F0F0"/>
            <w:tcMar>
              <w:top w:w="15" w:type="dxa"/>
              <w:left w:w="15" w:type="dxa"/>
              <w:bottom w:w="0" w:type="dxa"/>
              <w:right w:w="15" w:type="dxa"/>
            </w:tcMar>
            <w:vAlign w:val="center"/>
            <w:hideMark/>
          </w:tcPr>
          <w:p w14:paraId="706B04BF" w14:textId="7330F704"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0·47 (0·45, 0·50)</w:t>
            </w:r>
          </w:p>
        </w:tc>
      </w:tr>
      <w:tr w:rsidR="00875453" w:rsidRPr="005D5356" w14:paraId="72654476" w14:textId="77777777" w:rsidTr="00692E2F">
        <w:trPr>
          <w:trHeight w:val="361"/>
        </w:trPr>
        <w:tc>
          <w:tcPr>
            <w:tcW w:w="1668" w:type="dxa"/>
            <w:vMerge/>
            <w:tcBorders>
              <w:top w:val="single" w:sz="8" w:space="0" w:color="A6A6A6"/>
              <w:left w:val="nil"/>
              <w:bottom w:val="single" w:sz="8" w:space="0" w:color="A5A5A5"/>
              <w:right w:val="nil"/>
            </w:tcBorders>
            <w:vAlign w:val="center"/>
            <w:hideMark/>
          </w:tcPr>
          <w:p w14:paraId="667AB4C2"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nil"/>
              <w:right w:val="nil"/>
            </w:tcBorders>
            <w:shd w:val="clear" w:color="auto" w:fill="auto"/>
            <w:tcMar>
              <w:top w:w="15" w:type="dxa"/>
              <w:left w:w="108" w:type="dxa"/>
              <w:bottom w:w="0" w:type="dxa"/>
              <w:right w:w="108" w:type="dxa"/>
            </w:tcMar>
            <w:vAlign w:val="center"/>
            <w:hideMark/>
          </w:tcPr>
          <w:p w14:paraId="0C756C44"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LAC</w:t>
            </w:r>
          </w:p>
        </w:tc>
        <w:tc>
          <w:tcPr>
            <w:tcW w:w="1531" w:type="dxa"/>
            <w:tcBorders>
              <w:top w:val="nil"/>
              <w:left w:val="nil"/>
              <w:bottom w:val="nil"/>
              <w:right w:val="nil"/>
            </w:tcBorders>
            <w:vAlign w:val="center"/>
          </w:tcPr>
          <w:p w14:paraId="1833FA43" w14:textId="2DA3CA51" w:rsidR="00875453" w:rsidRPr="005D5356" w:rsidRDefault="00D77F7A">
            <w:pPr>
              <w:spacing w:line="480" w:lineRule="auto"/>
              <w:ind w:left="-466" w:firstLine="466"/>
              <w:jc w:val="center"/>
              <w:rPr>
                <w:rFonts w:ascii="Times New Roman" w:hAnsi="Times New Roman"/>
              </w:rPr>
            </w:pPr>
            <w:r>
              <w:rPr>
                <w:rFonts w:ascii="Times New Roman" w:hAnsi="Times New Roman"/>
              </w:rPr>
              <w:t>2,148</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0FC734DD" w14:textId="5410810F"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0·09 (0·08, 0·11)</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6843B2B0" w14:textId="0B04F8A7"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0·04 (0·03, 0·05)</w:t>
            </w:r>
          </w:p>
        </w:tc>
        <w:tc>
          <w:tcPr>
            <w:tcW w:w="1531" w:type="dxa"/>
            <w:tcBorders>
              <w:top w:val="nil"/>
              <w:left w:val="nil"/>
              <w:bottom w:val="nil"/>
              <w:right w:val="nil"/>
            </w:tcBorders>
            <w:shd w:val="clear" w:color="auto" w:fill="auto"/>
            <w:tcMar>
              <w:top w:w="15" w:type="dxa"/>
              <w:left w:w="15" w:type="dxa"/>
              <w:bottom w:w="0" w:type="dxa"/>
              <w:right w:w="15" w:type="dxa"/>
            </w:tcMar>
            <w:vAlign w:val="center"/>
            <w:hideMark/>
          </w:tcPr>
          <w:p w14:paraId="082AF0D1" w14:textId="2EC7AAA5"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0·86 (0·84, 0·88)</w:t>
            </w:r>
          </w:p>
        </w:tc>
      </w:tr>
      <w:tr w:rsidR="00BF6872" w:rsidRPr="005D5356" w14:paraId="0F87A5B9" w14:textId="77777777" w:rsidTr="00BF6872">
        <w:trPr>
          <w:trHeight w:val="361"/>
        </w:trPr>
        <w:tc>
          <w:tcPr>
            <w:tcW w:w="1668" w:type="dxa"/>
            <w:vMerge/>
            <w:tcBorders>
              <w:top w:val="single" w:sz="8" w:space="0" w:color="A6A6A6"/>
              <w:left w:val="nil"/>
              <w:bottom w:val="single" w:sz="8" w:space="0" w:color="A5A5A5"/>
              <w:right w:val="nil"/>
            </w:tcBorders>
            <w:vAlign w:val="center"/>
            <w:hideMark/>
          </w:tcPr>
          <w:p w14:paraId="32004819" w14:textId="77777777" w:rsidR="00875453" w:rsidRPr="005D5356" w:rsidRDefault="00875453" w:rsidP="00F07639">
            <w:pPr>
              <w:spacing w:line="480" w:lineRule="auto"/>
              <w:ind w:left="-466" w:firstLine="466"/>
              <w:rPr>
                <w:rFonts w:ascii="Times New Roman" w:hAnsi="Times New Roman"/>
              </w:rPr>
            </w:pPr>
          </w:p>
        </w:tc>
        <w:tc>
          <w:tcPr>
            <w:tcW w:w="1530" w:type="dxa"/>
            <w:tcBorders>
              <w:top w:val="nil"/>
              <w:left w:val="nil"/>
              <w:bottom w:val="single" w:sz="8" w:space="0" w:color="A5A5A5"/>
              <w:right w:val="nil"/>
            </w:tcBorders>
            <w:shd w:val="clear" w:color="auto" w:fill="F0F0F0"/>
            <w:tcMar>
              <w:top w:w="15" w:type="dxa"/>
              <w:left w:w="108" w:type="dxa"/>
              <w:bottom w:w="0" w:type="dxa"/>
              <w:right w:w="108" w:type="dxa"/>
            </w:tcMar>
            <w:vAlign w:val="center"/>
            <w:hideMark/>
          </w:tcPr>
          <w:p w14:paraId="4FDAA9D8" w14:textId="77777777" w:rsidR="00875453" w:rsidRPr="005D5356" w:rsidRDefault="00875453" w:rsidP="00692E2F">
            <w:pPr>
              <w:spacing w:line="480" w:lineRule="auto"/>
              <w:ind w:left="-466" w:firstLine="466"/>
              <w:jc w:val="right"/>
              <w:rPr>
                <w:rFonts w:ascii="Times New Roman" w:eastAsiaTheme="majorEastAsia" w:hAnsi="Times New Roman" w:cstheme="majorBidi"/>
                <w:b/>
                <w:bCs/>
                <w:i/>
                <w:iCs/>
                <w:color w:val="4472C4" w:themeColor="accent1"/>
              </w:rPr>
            </w:pPr>
            <w:r w:rsidRPr="005D5356">
              <w:rPr>
                <w:rFonts w:ascii="Times New Roman" w:hAnsi="Times New Roman"/>
              </w:rPr>
              <w:t>EURO</w:t>
            </w:r>
          </w:p>
        </w:tc>
        <w:tc>
          <w:tcPr>
            <w:tcW w:w="1531" w:type="dxa"/>
            <w:tcBorders>
              <w:top w:val="nil"/>
              <w:left w:val="nil"/>
              <w:bottom w:val="single" w:sz="8" w:space="0" w:color="A5A5A5"/>
              <w:right w:val="nil"/>
            </w:tcBorders>
            <w:shd w:val="clear" w:color="auto" w:fill="F0F0F0"/>
            <w:vAlign w:val="center"/>
          </w:tcPr>
          <w:p w14:paraId="3B3F7B2E" w14:textId="64893EE0" w:rsidR="00875453" w:rsidRPr="005D5356" w:rsidRDefault="00D77F7A">
            <w:pPr>
              <w:spacing w:line="480" w:lineRule="auto"/>
              <w:ind w:left="-466" w:firstLine="466"/>
              <w:jc w:val="center"/>
              <w:rPr>
                <w:rFonts w:ascii="Times New Roman" w:hAnsi="Times New Roman"/>
              </w:rPr>
            </w:pPr>
            <w:r>
              <w:rPr>
                <w:rFonts w:ascii="Times New Roman" w:hAnsi="Times New Roman"/>
              </w:rPr>
              <w:t>1,462</w:t>
            </w:r>
          </w:p>
        </w:tc>
        <w:tc>
          <w:tcPr>
            <w:tcW w:w="1531" w:type="dxa"/>
            <w:tcBorders>
              <w:top w:val="nil"/>
              <w:left w:val="nil"/>
              <w:bottom w:val="single" w:sz="8" w:space="0" w:color="A5A5A5"/>
              <w:right w:val="nil"/>
            </w:tcBorders>
            <w:shd w:val="clear" w:color="auto" w:fill="F0F0F0"/>
            <w:tcMar>
              <w:top w:w="15" w:type="dxa"/>
              <w:left w:w="15" w:type="dxa"/>
              <w:bottom w:w="0" w:type="dxa"/>
              <w:right w:w="15" w:type="dxa"/>
            </w:tcMar>
            <w:vAlign w:val="center"/>
            <w:hideMark/>
          </w:tcPr>
          <w:p w14:paraId="12B2973E" w14:textId="1D149FB4"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0·28 (0·25, 0·31)</w:t>
            </w:r>
          </w:p>
        </w:tc>
        <w:tc>
          <w:tcPr>
            <w:tcW w:w="1531" w:type="dxa"/>
            <w:tcBorders>
              <w:top w:val="nil"/>
              <w:left w:val="nil"/>
              <w:bottom w:val="single" w:sz="8" w:space="0" w:color="A5A5A5"/>
              <w:right w:val="nil"/>
            </w:tcBorders>
            <w:shd w:val="clear" w:color="auto" w:fill="F0F0F0"/>
            <w:tcMar>
              <w:top w:w="15" w:type="dxa"/>
              <w:left w:w="15" w:type="dxa"/>
              <w:bottom w:w="0" w:type="dxa"/>
              <w:right w:w="15" w:type="dxa"/>
            </w:tcMar>
            <w:vAlign w:val="center"/>
            <w:hideMark/>
          </w:tcPr>
          <w:p w14:paraId="6860DBD8" w14:textId="47C0A5CB"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0·05 (0·04, 0·07)</w:t>
            </w:r>
          </w:p>
        </w:tc>
        <w:tc>
          <w:tcPr>
            <w:tcW w:w="1531" w:type="dxa"/>
            <w:tcBorders>
              <w:top w:val="nil"/>
              <w:left w:val="nil"/>
              <w:bottom w:val="single" w:sz="8" w:space="0" w:color="A5A5A5"/>
              <w:right w:val="nil"/>
            </w:tcBorders>
            <w:shd w:val="clear" w:color="auto" w:fill="F0F0F0"/>
            <w:tcMar>
              <w:top w:w="15" w:type="dxa"/>
              <w:left w:w="15" w:type="dxa"/>
              <w:bottom w:w="0" w:type="dxa"/>
              <w:right w:w="15" w:type="dxa"/>
            </w:tcMar>
            <w:vAlign w:val="center"/>
            <w:hideMark/>
          </w:tcPr>
          <w:p w14:paraId="66DEE1C1" w14:textId="3881503C" w:rsidR="00875453" w:rsidRPr="005D5356" w:rsidRDefault="00875453" w:rsidP="00F07639">
            <w:pPr>
              <w:spacing w:line="480" w:lineRule="auto"/>
              <w:ind w:left="-466" w:firstLine="466"/>
              <w:jc w:val="center"/>
              <w:rPr>
                <w:rFonts w:ascii="Times New Roman" w:hAnsi="Times New Roman"/>
              </w:rPr>
            </w:pPr>
            <w:r w:rsidRPr="005D5356">
              <w:rPr>
                <w:rFonts w:ascii="Times New Roman" w:hAnsi="Times New Roman"/>
              </w:rPr>
              <w:t>0·66 (0·63, 0·70)</w:t>
            </w:r>
          </w:p>
        </w:tc>
      </w:tr>
    </w:tbl>
    <w:p w14:paraId="61ED604E" w14:textId="012E4E93" w:rsidR="002E1C99" w:rsidRPr="005D5356" w:rsidRDefault="002E1C99" w:rsidP="00F07639">
      <w:pPr>
        <w:spacing w:line="480" w:lineRule="auto"/>
        <w:rPr>
          <w:rFonts w:ascii="Times New Roman" w:hAnsi="Times New Roman"/>
        </w:rPr>
      </w:pPr>
      <w:r w:rsidRPr="005D5356">
        <w:rPr>
          <w:rFonts w:ascii="Times New Roman" w:hAnsi="Times New Roman"/>
        </w:rPr>
        <w:t xml:space="preserve">Table </w:t>
      </w:r>
      <w:r w:rsidR="005B5042">
        <w:rPr>
          <w:rFonts w:ascii="Times New Roman" w:hAnsi="Times New Roman"/>
        </w:rPr>
        <w:t>3</w:t>
      </w:r>
      <w:r w:rsidRPr="005D5356">
        <w:rPr>
          <w:rFonts w:ascii="Times New Roman" w:hAnsi="Times New Roman"/>
        </w:rPr>
        <w:t xml:space="preserve">: </w:t>
      </w:r>
      <w:r w:rsidR="00E74933">
        <w:rPr>
          <w:rFonts w:ascii="Times New Roman" w:hAnsi="Times New Roman"/>
        </w:rPr>
        <w:t>P</w:t>
      </w:r>
      <w:r w:rsidR="00E74933" w:rsidRPr="005D5356">
        <w:rPr>
          <w:rFonts w:ascii="Times New Roman" w:hAnsi="Times New Roman"/>
        </w:rPr>
        <w:t>airwise multinomial logistic regression</w:t>
      </w:r>
      <w:r w:rsidR="00FA4A24">
        <w:rPr>
          <w:rFonts w:ascii="Times New Roman" w:hAnsi="Times New Roman"/>
        </w:rPr>
        <w:t xml:space="preserve"> according to employment, educational attainment, wealth quintile, location and region</w:t>
      </w:r>
      <w:r w:rsidR="00E74933" w:rsidRPr="005D5356">
        <w:rPr>
          <w:rFonts w:ascii="Times New Roman" w:hAnsi="Times New Roman"/>
        </w:rPr>
        <w:t xml:space="preserve"> </w:t>
      </w:r>
      <w:r w:rsidR="00E74933">
        <w:rPr>
          <w:rFonts w:ascii="Times New Roman" w:hAnsi="Times New Roman"/>
        </w:rPr>
        <w:t xml:space="preserve">with 95% confidence intervals. </w:t>
      </w:r>
    </w:p>
    <w:p w14:paraId="7CF1F0EF" w14:textId="77777777" w:rsidR="00E74933" w:rsidRPr="005D5356" w:rsidRDefault="00E74933" w:rsidP="00F07639">
      <w:pPr>
        <w:spacing w:line="480" w:lineRule="auto"/>
        <w:rPr>
          <w:rFonts w:ascii="Times New Roman" w:hAnsi="Times New Roman"/>
          <w:i/>
        </w:rPr>
      </w:pPr>
    </w:p>
    <w:p w14:paraId="0588CD0D" w14:textId="77777777" w:rsidR="005A2487" w:rsidRPr="00E00ABD" w:rsidRDefault="00BE4013" w:rsidP="00F07639">
      <w:pPr>
        <w:spacing w:line="480" w:lineRule="auto"/>
        <w:rPr>
          <w:rFonts w:ascii="Times New Roman" w:hAnsi="Times New Roman"/>
          <w:b/>
          <w:bCs/>
        </w:rPr>
      </w:pPr>
      <w:r w:rsidRPr="00E00ABD">
        <w:rPr>
          <w:rFonts w:ascii="Times New Roman" w:hAnsi="Times New Roman"/>
          <w:b/>
          <w:bCs/>
        </w:rPr>
        <w:t>Population Attributable Fraction</w:t>
      </w:r>
    </w:p>
    <w:p w14:paraId="6C2F0D10" w14:textId="77777777" w:rsidR="00B06014" w:rsidRPr="005D5356" w:rsidRDefault="00B06014" w:rsidP="00F07639">
      <w:pPr>
        <w:spacing w:line="480" w:lineRule="auto"/>
        <w:rPr>
          <w:rFonts w:ascii="Times New Roman" w:hAnsi="Times New Roman"/>
        </w:rPr>
      </w:pPr>
    </w:p>
    <w:p w14:paraId="6415187F" w14:textId="6A6DFB09" w:rsidR="00BE4013" w:rsidRPr="005D5356" w:rsidRDefault="006A506F" w:rsidP="00F07639">
      <w:pPr>
        <w:spacing w:line="480" w:lineRule="auto"/>
        <w:rPr>
          <w:rFonts w:ascii="Times New Roman" w:hAnsi="Times New Roman"/>
        </w:rPr>
      </w:pPr>
      <w:r w:rsidRPr="005D5356">
        <w:rPr>
          <w:rFonts w:ascii="Times New Roman" w:hAnsi="Times New Roman"/>
        </w:rPr>
        <w:lastRenderedPageBreak/>
        <w:t>The PAF of stillbirths ranged from 0</w:t>
      </w:r>
      <w:r w:rsidR="005D7B88" w:rsidRPr="005D5356">
        <w:rPr>
          <w:rFonts w:ascii="Times New Roman" w:hAnsi="Times New Roman"/>
        </w:rPr>
        <w:t>·</w:t>
      </w:r>
      <w:r w:rsidRPr="005D5356">
        <w:rPr>
          <w:rFonts w:ascii="Times New Roman" w:hAnsi="Times New Roman"/>
        </w:rPr>
        <w:t>01 in Nigeria to 0</w:t>
      </w:r>
      <w:r w:rsidR="005D7B88" w:rsidRPr="005D5356">
        <w:rPr>
          <w:rFonts w:ascii="Times New Roman" w:hAnsi="Times New Roman"/>
        </w:rPr>
        <w:t>·</w:t>
      </w:r>
      <w:r w:rsidRPr="005D5356">
        <w:rPr>
          <w:rFonts w:ascii="Times New Roman" w:hAnsi="Times New Roman"/>
        </w:rPr>
        <w:t xml:space="preserve">14 in Armenia (Table </w:t>
      </w:r>
      <w:r w:rsidR="005B5042">
        <w:rPr>
          <w:rFonts w:ascii="Times New Roman" w:hAnsi="Times New Roman"/>
        </w:rPr>
        <w:t>4</w:t>
      </w:r>
      <w:r w:rsidRPr="005D5356">
        <w:rPr>
          <w:rFonts w:ascii="Times New Roman" w:hAnsi="Times New Roman"/>
        </w:rPr>
        <w:t xml:space="preserve">). In each of the </w:t>
      </w:r>
      <w:r w:rsidR="001E54B7" w:rsidRPr="005D5356">
        <w:rPr>
          <w:rFonts w:ascii="Times New Roman" w:hAnsi="Times New Roman"/>
        </w:rPr>
        <w:t>30</w:t>
      </w:r>
      <w:r w:rsidRPr="005D5356">
        <w:rPr>
          <w:rFonts w:ascii="Times New Roman" w:hAnsi="Times New Roman"/>
        </w:rPr>
        <w:t xml:space="preserve"> countries, the PAF of stillbirths due to </w:t>
      </w:r>
      <w:r w:rsidR="00D62051">
        <w:rPr>
          <w:rFonts w:ascii="Times New Roman" w:hAnsi="Times New Roman"/>
        </w:rPr>
        <w:t xml:space="preserve">household </w:t>
      </w:r>
      <w:r w:rsidRPr="005D5356">
        <w:rPr>
          <w:rFonts w:ascii="Times New Roman" w:hAnsi="Times New Roman"/>
        </w:rPr>
        <w:t xml:space="preserve">SHS exposure was </w:t>
      </w:r>
      <w:r w:rsidR="00F354AC">
        <w:rPr>
          <w:rFonts w:ascii="Times New Roman" w:hAnsi="Times New Roman"/>
        </w:rPr>
        <w:t>comparable to the</w:t>
      </w:r>
      <w:r w:rsidRPr="005D5356">
        <w:rPr>
          <w:rFonts w:ascii="Times New Roman" w:hAnsi="Times New Roman"/>
        </w:rPr>
        <w:t xml:space="preserve"> PAF of stillbirths due to active smoking.</w:t>
      </w:r>
      <w:r w:rsidR="00F354AC">
        <w:rPr>
          <w:rFonts w:ascii="Times New Roman" w:hAnsi="Times New Roman"/>
        </w:rPr>
        <w:t xml:space="preserve"> This highlights that</w:t>
      </w:r>
      <w:r w:rsidR="00180FB4">
        <w:rPr>
          <w:rFonts w:ascii="Times New Roman" w:hAnsi="Times New Roman"/>
        </w:rPr>
        <w:t xml:space="preserve"> addressing</w:t>
      </w:r>
      <w:r w:rsidR="00F354AC">
        <w:rPr>
          <w:rFonts w:ascii="Times New Roman" w:hAnsi="Times New Roman"/>
        </w:rPr>
        <w:t xml:space="preserve"> </w:t>
      </w:r>
      <w:r w:rsidR="00180FB4">
        <w:rPr>
          <w:rFonts w:ascii="Times New Roman" w:hAnsi="Times New Roman"/>
        </w:rPr>
        <w:t xml:space="preserve">both active smoking and </w:t>
      </w:r>
      <w:r w:rsidR="00F354AC">
        <w:rPr>
          <w:rFonts w:ascii="Times New Roman" w:hAnsi="Times New Roman"/>
        </w:rPr>
        <w:t>household SHS exposure</w:t>
      </w:r>
      <w:r w:rsidR="00180FB4">
        <w:rPr>
          <w:rFonts w:ascii="Times New Roman" w:hAnsi="Times New Roman"/>
        </w:rPr>
        <w:t xml:space="preserve"> during pregnancy </w:t>
      </w:r>
      <w:r w:rsidR="001A18E5">
        <w:rPr>
          <w:rFonts w:ascii="Times New Roman" w:hAnsi="Times New Roman"/>
        </w:rPr>
        <w:t xml:space="preserve">should be of priority for health care professionals and policy makers. </w:t>
      </w:r>
      <w:r w:rsidR="00F354AC">
        <w:rPr>
          <w:rFonts w:ascii="Times New Roman" w:hAnsi="Times New Roman"/>
        </w:rPr>
        <w:t xml:space="preserve"> </w:t>
      </w:r>
    </w:p>
    <w:p w14:paraId="405DDE87" w14:textId="4DD039F9" w:rsidR="00B06014" w:rsidRPr="005D5356" w:rsidRDefault="00B06014" w:rsidP="00F07639">
      <w:pPr>
        <w:spacing w:line="480" w:lineRule="auto"/>
        <w:rPr>
          <w:rFonts w:ascii="Times New Roman" w:hAnsi="Times New Roman"/>
        </w:rPr>
      </w:pPr>
    </w:p>
    <w:tbl>
      <w:tblPr>
        <w:tblStyle w:val="LightShading-Accent3"/>
        <w:tblW w:w="8613" w:type="dxa"/>
        <w:tblLayout w:type="fixed"/>
        <w:tblLook w:val="04A0" w:firstRow="1" w:lastRow="0" w:firstColumn="1" w:lastColumn="0" w:noHBand="0" w:noVBand="1"/>
      </w:tblPr>
      <w:tblGrid>
        <w:gridCol w:w="1818"/>
        <w:gridCol w:w="2633"/>
        <w:gridCol w:w="4162"/>
      </w:tblGrid>
      <w:tr w:rsidR="00632B6F" w:rsidRPr="005D5356" w14:paraId="0593A407" w14:textId="410F86B4" w:rsidTr="00692E2F">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48E2BAB4" w14:textId="77777777" w:rsidR="00632B6F" w:rsidRPr="005D5356" w:rsidRDefault="00632B6F" w:rsidP="00F07639">
            <w:pPr>
              <w:spacing w:line="480" w:lineRule="auto"/>
              <w:ind w:left="-755" w:firstLine="755"/>
              <w:rPr>
                <w:rFonts w:ascii="Times New Roman" w:eastAsia="Times New Roman" w:hAnsi="Times New Roman"/>
                <w:color w:val="000000"/>
              </w:rPr>
            </w:pPr>
            <w:r w:rsidRPr="005D5356">
              <w:rPr>
                <w:rFonts w:ascii="Times New Roman" w:eastAsia="Times New Roman" w:hAnsi="Times New Roman"/>
                <w:color w:val="000000"/>
              </w:rPr>
              <w:t>Country</w:t>
            </w:r>
          </w:p>
        </w:tc>
        <w:tc>
          <w:tcPr>
            <w:tcW w:w="2633" w:type="dxa"/>
            <w:noWrap/>
            <w:vAlign w:val="center"/>
            <w:hideMark/>
          </w:tcPr>
          <w:p w14:paraId="584AC2EA" w14:textId="69223B5E" w:rsidR="00632B6F" w:rsidRPr="005D5356" w:rsidRDefault="00632B6F" w:rsidP="00707D2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5D5356">
              <w:rPr>
                <w:rFonts w:ascii="Times New Roman" w:eastAsia="Times New Roman" w:hAnsi="Times New Roman"/>
                <w:color w:val="000000"/>
              </w:rPr>
              <w:t>Rounded PAF</w:t>
            </w:r>
          </w:p>
          <w:p w14:paraId="3D215DD0" w14:textId="6E878C09" w:rsidR="00632B6F" w:rsidRPr="005D5356" w:rsidRDefault="00632B6F" w:rsidP="00707D2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5D5356">
              <w:rPr>
                <w:rFonts w:ascii="Times New Roman" w:eastAsia="Times New Roman" w:hAnsi="Times New Roman"/>
                <w:color w:val="000000"/>
              </w:rPr>
              <w:t xml:space="preserve">Daily </w:t>
            </w:r>
            <w:r>
              <w:rPr>
                <w:rFonts w:ascii="Times New Roman" w:eastAsia="Times New Roman" w:hAnsi="Times New Roman"/>
                <w:color w:val="000000"/>
              </w:rPr>
              <w:t xml:space="preserve">Household </w:t>
            </w:r>
            <w:r w:rsidRPr="005D5356">
              <w:rPr>
                <w:rFonts w:ascii="Times New Roman" w:eastAsia="Times New Roman" w:hAnsi="Times New Roman"/>
                <w:color w:val="000000"/>
              </w:rPr>
              <w:t>SHS Exposure</w:t>
            </w:r>
          </w:p>
        </w:tc>
        <w:tc>
          <w:tcPr>
            <w:tcW w:w="4162" w:type="dxa"/>
            <w:noWrap/>
            <w:vAlign w:val="center"/>
            <w:hideMark/>
          </w:tcPr>
          <w:p w14:paraId="500AECEC" w14:textId="4BD34B56" w:rsidR="00632B6F" w:rsidRPr="005D5356" w:rsidRDefault="00632B6F" w:rsidP="00F07639">
            <w:pPr>
              <w:spacing w:line="480" w:lineRule="auto"/>
              <w:ind w:left="-755" w:firstLine="75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5D5356">
              <w:rPr>
                <w:rFonts w:ascii="Times New Roman" w:eastAsia="Times New Roman" w:hAnsi="Times New Roman"/>
                <w:color w:val="000000"/>
              </w:rPr>
              <w:t>Rounded PAF</w:t>
            </w:r>
          </w:p>
          <w:p w14:paraId="4418C6E9" w14:textId="76664D8D" w:rsidR="00632B6F" w:rsidRPr="005D5356" w:rsidRDefault="00632B6F" w:rsidP="00F07639">
            <w:pPr>
              <w:spacing w:line="480" w:lineRule="auto"/>
              <w:ind w:left="-755" w:firstLine="75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5D5356">
              <w:rPr>
                <w:rFonts w:ascii="Times New Roman" w:eastAsia="Times New Roman" w:hAnsi="Times New Roman"/>
                <w:color w:val="000000"/>
              </w:rPr>
              <w:t>Active Smoking</w:t>
            </w:r>
          </w:p>
        </w:tc>
      </w:tr>
      <w:tr w:rsidR="00A81290" w:rsidRPr="005D5356" w14:paraId="48F68BB7" w14:textId="66E3B2BB"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0C0849AF"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Indonesia</w:t>
            </w:r>
          </w:p>
        </w:tc>
        <w:tc>
          <w:tcPr>
            <w:tcW w:w="2633" w:type="dxa"/>
            <w:noWrap/>
            <w:hideMark/>
          </w:tcPr>
          <w:p w14:paraId="34FF6756" w14:textId="71B0BDC7"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0.14 (0.06, 0.2)</w:t>
            </w:r>
          </w:p>
        </w:tc>
        <w:tc>
          <w:tcPr>
            <w:tcW w:w="4162" w:type="dxa"/>
            <w:noWrap/>
            <w:hideMark/>
          </w:tcPr>
          <w:p w14:paraId="452C20E3" w14:textId="246D6AB7"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0.002 (0.002, 0.002)</w:t>
            </w:r>
          </w:p>
        </w:tc>
      </w:tr>
      <w:tr w:rsidR="00A81290" w:rsidRPr="005D5356" w14:paraId="41996581" w14:textId="3F985133"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355AD0DC"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Armenia</w:t>
            </w:r>
          </w:p>
        </w:tc>
        <w:tc>
          <w:tcPr>
            <w:tcW w:w="2633" w:type="dxa"/>
            <w:noWrap/>
            <w:hideMark/>
          </w:tcPr>
          <w:p w14:paraId="780B588B" w14:textId="14A3A5DB"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0.13 (0.06, 0.19)</w:t>
            </w:r>
          </w:p>
        </w:tc>
        <w:tc>
          <w:tcPr>
            <w:tcW w:w="4162" w:type="dxa"/>
            <w:noWrap/>
            <w:hideMark/>
          </w:tcPr>
          <w:p w14:paraId="6650B76B" w14:textId="651E7EF3"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0.001 (0.001, 0.001)</w:t>
            </w:r>
          </w:p>
        </w:tc>
      </w:tr>
      <w:tr w:rsidR="00A81290" w:rsidRPr="005D5356" w14:paraId="365588A9" w14:textId="4D6049EC"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34D7D357"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Jordan</w:t>
            </w:r>
          </w:p>
        </w:tc>
        <w:tc>
          <w:tcPr>
            <w:tcW w:w="2633" w:type="dxa"/>
            <w:noWrap/>
            <w:hideMark/>
          </w:tcPr>
          <w:p w14:paraId="56D38366" w14:textId="5DF9198D"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0.11 (0.05, 0.16)</w:t>
            </w:r>
          </w:p>
        </w:tc>
        <w:tc>
          <w:tcPr>
            <w:tcW w:w="4162" w:type="dxa"/>
            <w:noWrap/>
            <w:hideMark/>
          </w:tcPr>
          <w:p w14:paraId="0B64D53F" w14:textId="385617EE"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0.012 (0.01, 0.014)</w:t>
            </w:r>
          </w:p>
        </w:tc>
      </w:tr>
      <w:tr w:rsidR="00A81290" w:rsidRPr="005D5356" w14:paraId="1A939EDD" w14:textId="7490BF91"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0A688CC5"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Bangladesh</w:t>
            </w:r>
          </w:p>
        </w:tc>
        <w:tc>
          <w:tcPr>
            <w:tcW w:w="2633" w:type="dxa"/>
            <w:noWrap/>
            <w:hideMark/>
          </w:tcPr>
          <w:p w14:paraId="67ED1F15" w14:textId="59E0D9E7"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0.09 (0.04, 0.13)</w:t>
            </w:r>
          </w:p>
        </w:tc>
        <w:tc>
          <w:tcPr>
            <w:tcW w:w="4162" w:type="dxa"/>
            <w:noWrap/>
            <w:hideMark/>
          </w:tcPr>
          <w:p w14:paraId="0ECE4757" w14:textId="27B81291"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A81290">
              <w:rPr>
                <w:rFonts w:ascii="Times New Roman" w:eastAsia="Times New Roman" w:hAnsi="Times New Roman"/>
                <w:color w:val="000000"/>
              </w:rPr>
              <w:t>Not available</w:t>
            </w:r>
          </w:p>
        </w:tc>
      </w:tr>
      <w:tr w:rsidR="00A81290" w:rsidRPr="005D5356" w14:paraId="12A69B05" w14:textId="011FB448"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2C4237FD"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Egypt</w:t>
            </w:r>
          </w:p>
        </w:tc>
        <w:tc>
          <w:tcPr>
            <w:tcW w:w="2633" w:type="dxa"/>
            <w:noWrap/>
            <w:hideMark/>
          </w:tcPr>
          <w:p w14:paraId="036AA521" w14:textId="221467F5"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0.09 (0.04, 0.13)</w:t>
            </w:r>
          </w:p>
        </w:tc>
        <w:tc>
          <w:tcPr>
            <w:tcW w:w="4162" w:type="dxa"/>
            <w:noWrap/>
            <w:hideMark/>
          </w:tcPr>
          <w:p w14:paraId="2D4D89A7" w14:textId="5BACFFCB"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A81290">
              <w:rPr>
                <w:rFonts w:ascii="Times New Roman" w:eastAsia="Times New Roman" w:hAnsi="Times New Roman"/>
                <w:color w:val="000000"/>
              </w:rPr>
              <w:t>Not available</w:t>
            </w:r>
          </w:p>
        </w:tc>
      </w:tr>
      <w:tr w:rsidR="00A81290" w:rsidRPr="005D5356" w14:paraId="6842F42B" w14:textId="03BC2446"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1C95D002"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Sierra Leone</w:t>
            </w:r>
          </w:p>
        </w:tc>
        <w:tc>
          <w:tcPr>
            <w:tcW w:w="2633" w:type="dxa"/>
            <w:noWrap/>
            <w:hideMark/>
          </w:tcPr>
          <w:p w14:paraId="3A599141" w14:textId="03E4F135"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0.08 (0.03, 0.12)</w:t>
            </w:r>
          </w:p>
        </w:tc>
        <w:tc>
          <w:tcPr>
            <w:tcW w:w="4162" w:type="dxa"/>
            <w:noWrap/>
            <w:hideMark/>
          </w:tcPr>
          <w:p w14:paraId="19262AC1" w14:textId="01063182"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0.006 (0.005, 0.007)</w:t>
            </w:r>
          </w:p>
        </w:tc>
      </w:tr>
      <w:tr w:rsidR="00A81290" w:rsidRPr="005D5356" w14:paraId="39E5BF5C" w14:textId="125948DD"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6B9E0F74"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Pakistan</w:t>
            </w:r>
          </w:p>
        </w:tc>
        <w:tc>
          <w:tcPr>
            <w:tcW w:w="2633" w:type="dxa"/>
            <w:noWrap/>
            <w:hideMark/>
          </w:tcPr>
          <w:p w14:paraId="29C3BC52" w14:textId="65A604FE"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0.07 (0.03, 0.11)</w:t>
            </w:r>
          </w:p>
        </w:tc>
        <w:tc>
          <w:tcPr>
            <w:tcW w:w="4162" w:type="dxa"/>
            <w:noWrap/>
            <w:hideMark/>
          </w:tcPr>
          <w:p w14:paraId="551C4DE9" w14:textId="2D1A6A07"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0.01 (0.008, 0.012)</w:t>
            </w:r>
          </w:p>
        </w:tc>
      </w:tr>
      <w:tr w:rsidR="00A81290" w:rsidRPr="005D5356" w14:paraId="0755ED3C" w14:textId="55E4F3AB"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3DEAEC7C"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Nepal</w:t>
            </w:r>
          </w:p>
        </w:tc>
        <w:tc>
          <w:tcPr>
            <w:tcW w:w="2633" w:type="dxa"/>
            <w:noWrap/>
            <w:hideMark/>
          </w:tcPr>
          <w:p w14:paraId="787F367F" w14:textId="6962671B"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0.06 (0.03, 0.09)</w:t>
            </w:r>
          </w:p>
        </w:tc>
        <w:tc>
          <w:tcPr>
            <w:tcW w:w="4162" w:type="dxa"/>
            <w:noWrap/>
            <w:hideMark/>
          </w:tcPr>
          <w:p w14:paraId="435AA417" w14:textId="7F1A6B78"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0.014 (0.012, 0.017)</w:t>
            </w:r>
          </w:p>
        </w:tc>
      </w:tr>
      <w:tr w:rsidR="00A81290" w:rsidRPr="005D5356" w14:paraId="7B36D7B8" w14:textId="7695A925"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067AD956" w14:textId="77777777" w:rsidR="00A81290" w:rsidRPr="005D5356" w:rsidRDefault="00A81290" w:rsidP="00A81290">
            <w:pPr>
              <w:spacing w:line="480" w:lineRule="auto"/>
              <w:rPr>
                <w:rFonts w:ascii="Times New Roman" w:eastAsia="Times New Roman" w:hAnsi="Times New Roman"/>
                <w:b w:val="0"/>
                <w:color w:val="000000"/>
              </w:rPr>
            </w:pPr>
            <w:r w:rsidRPr="005D5356">
              <w:rPr>
                <w:rFonts w:ascii="Times New Roman" w:eastAsia="Times New Roman" w:hAnsi="Times New Roman"/>
                <w:b w:val="0"/>
                <w:color w:val="000000"/>
              </w:rPr>
              <w:t>Kyrgyz Republic</w:t>
            </w:r>
          </w:p>
        </w:tc>
        <w:tc>
          <w:tcPr>
            <w:tcW w:w="2633" w:type="dxa"/>
            <w:noWrap/>
            <w:hideMark/>
          </w:tcPr>
          <w:p w14:paraId="31F0771C" w14:textId="3399D3AE"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0.06 (0.03, 0.09)</w:t>
            </w:r>
          </w:p>
        </w:tc>
        <w:tc>
          <w:tcPr>
            <w:tcW w:w="4162" w:type="dxa"/>
            <w:noWrap/>
            <w:hideMark/>
          </w:tcPr>
          <w:p w14:paraId="71162FDB" w14:textId="2F5A8212"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0.002 (0.002, 0.002)</w:t>
            </w:r>
          </w:p>
        </w:tc>
      </w:tr>
      <w:tr w:rsidR="00A81290" w:rsidRPr="005D5356" w14:paraId="004FF5CB" w14:textId="5EFEFBF7"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01FEB518"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Cote d'Ivoire</w:t>
            </w:r>
          </w:p>
        </w:tc>
        <w:tc>
          <w:tcPr>
            <w:tcW w:w="2633" w:type="dxa"/>
            <w:noWrap/>
            <w:hideMark/>
          </w:tcPr>
          <w:p w14:paraId="237607F4" w14:textId="3E3CA76F"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0.05 (0.02, 0.07)</w:t>
            </w:r>
          </w:p>
        </w:tc>
        <w:tc>
          <w:tcPr>
            <w:tcW w:w="4162" w:type="dxa"/>
            <w:noWrap/>
            <w:hideMark/>
          </w:tcPr>
          <w:p w14:paraId="021BD1E5" w14:textId="37F01E53"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0.001 (0.001, 0.002)</w:t>
            </w:r>
          </w:p>
        </w:tc>
      </w:tr>
      <w:tr w:rsidR="00A81290" w:rsidRPr="005D5356" w14:paraId="41842863" w14:textId="7E22A81D"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169517AF"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Guinea</w:t>
            </w:r>
          </w:p>
        </w:tc>
        <w:tc>
          <w:tcPr>
            <w:tcW w:w="2633" w:type="dxa"/>
            <w:noWrap/>
            <w:hideMark/>
          </w:tcPr>
          <w:p w14:paraId="70BA621E" w14:textId="11C81731"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0.05 (0.02, 0.07)</w:t>
            </w:r>
          </w:p>
        </w:tc>
        <w:tc>
          <w:tcPr>
            <w:tcW w:w="4162" w:type="dxa"/>
            <w:noWrap/>
            <w:hideMark/>
          </w:tcPr>
          <w:p w14:paraId="395308C4" w14:textId="16DDF4A7"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A81290">
              <w:rPr>
                <w:rFonts w:ascii="Times New Roman" w:eastAsia="Times New Roman" w:hAnsi="Times New Roman"/>
                <w:color w:val="000000"/>
              </w:rPr>
              <w:t>Not available</w:t>
            </w:r>
          </w:p>
        </w:tc>
      </w:tr>
      <w:tr w:rsidR="00A81290" w:rsidRPr="005D5356" w14:paraId="7EF127D6" w14:textId="77F564BC"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060E27FF"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Mozambique</w:t>
            </w:r>
          </w:p>
        </w:tc>
        <w:tc>
          <w:tcPr>
            <w:tcW w:w="2633" w:type="dxa"/>
            <w:noWrap/>
            <w:hideMark/>
          </w:tcPr>
          <w:p w14:paraId="682126CB" w14:textId="442E7FC1"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0.05 (0.02, 0.07)</w:t>
            </w:r>
          </w:p>
        </w:tc>
        <w:tc>
          <w:tcPr>
            <w:tcW w:w="4162" w:type="dxa"/>
            <w:noWrap/>
            <w:hideMark/>
          </w:tcPr>
          <w:p w14:paraId="5ADA2CAF" w14:textId="46E7D77E"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0.002 (0.002, 0.002)</w:t>
            </w:r>
          </w:p>
        </w:tc>
      </w:tr>
      <w:tr w:rsidR="00A81290" w:rsidRPr="005D5356" w14:paraId="4367CCAE" w14:textId="0C41DE7E"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04923D06"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Burkina Faso</w:t>
            </w:r>
          </w:p>
        </w:tc>
        <w:tc>
          <w:tcPr>
            <w:tcW w:w="2633" w:type="dxa"/>
            <w:noWrap/>
            <w:hideMark/>
          </w:tcPr>
          <w:p w14:paraId="793BC174" w14:textId="4742E872"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0.04 (0.02, 0.06)</w:t>
            </w:r>
          </w:p>
        </w:tc>
        <w:tc>
          <w:tcPr>
            <w:tcW w:w="4162" w:type="dxa"/>
            <w:noWrap/>
            <w:hideMark/>
          </w:tcPr>
          <w:p w14:paraId="04797AC7" w14:textId="6CDC37ED" w:rsidR="00A81290" w:rsidRPr="00A81290" w:rsidRDefault="009840FF"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Pr>
                <w:rFonts w:ascii="Times New Roman" w:hAnsi="Times New Roman"/>
              </w:rPr>
              <w:t>No data</w:t>
            </w:r>
          </w:p>
        </w:tc>
      </w:tr>
      <w:tr w:rsidR="00A81290" w:rsidRPr="005D5356" w14:paraId="6E0F454A" w14:textId="0BB1D0BD"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00240562"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Zimbabwe</w:t>
            </w:r>
          </w:p>
        </w:tc>
        <w:tc>
          <w:tcPr>
            <w:tcW w:w="2633" w:type="dxa"/>
            <w:noWrap/>
            <w:hideMark/>
          </w:tcPr>
          <w:p w14:paraId="00EF2FBC" w14:textId="575A691F"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0.04 (0.02, 0.06)</w:t>
            </w:r>
          </w:p>
        </w:tc>
        <w:tc>
          <w:tcPr>
            <w:tcW w:w="4162" w:type="dxa"/>
            <w:noWrap/>
            <w:hideMark/>
          </w:tcPr>
          <w:p w14:paraId="7306FC70" w14:textId="427FA500" w:rsidR="00A81290" w:rsidRPr="00A81290" w:rsidRDefault="009840FF"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hAnsi="Times New Roman"/>
              </w:rPr>
              <w:t>No data</w:t>
            </w:r>
          </w:p>
        </w:tc>
      </w:tr>
      <w:tr w:rsidR="00A81290" w:rsidRPr="005D5356" w14:paraId="64333FE9" w14:textId="3790514A"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5AE21CFF"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DRC</w:t>
            </w:r>
          </w:p>
        </w:tc>
        <w:tc>
          <w:tcPr>
            <w:tcW w:w="2633" w:type="dxa"/>
            <w:noWrap/>
            <w:hideMark/>
          </w:tcPr>
          <w:p w14:paraId="2F7F38E1" w14:textId="35E9C991"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0.04 (0.02, 0.06)</w:t>
            </w:r>
          </w:p>
        </w:tc>
        <w:tc>
          <w:tcPr>
            <w:tcW w:w="4162" w:type="dxa"/>
            <w:noWrap/>
            <w:hideMark/>
          </w:tcPr>
          <w:p w14:paraId="3EB5EC33" w14:textId="64E68DF9"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0.001 (0.001, 0.001)</w:t>
            </w:r>
          </w:p>
        </w:tc>
      </w:tr>
      <w:tr w:rsidR="00A81290" w:rsidRPr="005D5356" w14:paraId="3FE108BF" w14:textId="1A8BFFE9"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1D27B041"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lastRenderedPageBreak/>
              <w:t>Burundi</w:t>
            </w:r>
          </w:p>
        </w:tc>
        <w:tc>
          <w:tcPr>
            <w:tcW w:w="2633" w:type="dxa"/>
            <w:noWrap/>
            <w:hideMark/>
          </w:tcPr>
          <w:p w14:paraId="16A16297" w14:textId="7BE1828A"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0.04 (0.02, 0.06)</w:t>
            </w:r>
          </w:p>
        </w:tc>
        <w:tc>
          <w:tcPr>
            <w:tcW w:w="4162" w:type="dxa"/>
            <w:noWrap/>
            <w:hideMark/>
          </w:tcPr>
          <w:p w14:paraId="484FFE71" w14:textId="1559D65B"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0.001 (0, 0.001)</w:t>
            </w:r>
          </w:p>
        </w:tc>
      </w:tr>
      <w:tr w:rsidR="00A81290" w:rsidRPr="005D5356" w14:paraId="630A3694" w14:textId="00E0755C"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37195D1B"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Gabon</w:t>
            </w:r>
          </w:p>
        </w:tc>
        <w:tc>
          <w:tcPr>
            <w:tcW w:w="2633" w:type="dxa"/>
            <w:noWrap/>
            <w:hideMark/>
          </w:tcPr>
          <w:p w14:paraId="6315A6DA" w14:textId="32811C07"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0.04 (0.02, 0.05)</w:t>
            </w:r>
          </w:p>
        </w:tc>
        <w:tc>
          <w:tcPr>
            <w:tcW w:w="4162" w:type="dxa"/>
            <w:noWrap/>
            <w:hideMark/>
          </w:tcPr>
          <w:p w14:paraId="50AEF56D" w14:textId="1E1D1083"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0.006 (0.005, 0.007)</w:t>
            </w:r>
          </w:p>
        </w:tc>
      </w:tr>
      <w:tr w:rsidR="00A81290" w:rsidRPr="005D5356" w14:paraId="7AA7E664" w14:textId="14CD46FB"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19DCBFC2"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Mali</w:t>
            </w:r>
          </w:p>
        </w:tc>
        <w:tc>
          <w:tcPr>
            <w:tcW w:w="2633" w:type="dxa"/>
            <w:noWrap/>
            <w:hideMark/>
          </w:tcPr>
          <w:p w14:paraId="44B52FD9" w14:textId="5C0F2E81"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0.04 (0.02, 0.05)</w:t>
            </w:r>
          </w:p>
        </w:tc>
        <w:tc>
          <w:tcPr>
            <w:tcW w:w="4162" w:type="dxa"/>
            <w:noWrap/>
            <w:hideMark/>
          </w:tcPr>
          <w:p w14:paraId="75F95E69" w14:textId="4D77FE8D"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0.0002 (0.0002, 0.0003)</w:t>
            </w:r>
          </w:p>
        </w:tc>
      </w:tr>
      <w:tr w:rsidR="00A81290" w:rsidRPr="005D5356" w14:paraId="76961060" w14:textId="0FD0EEF3"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163E7B19" w14:textId="77777777" w:rsidR="00A81290" w:rsidRPr="005D5356" w:rsidRDefault="00A81290" w:rsidP="00A81290">
            <w:pPr>
              <w:spacing w:line="480" w:lineRule="auto"/>
              <w:rPr>
                <w:rFonts w:ascii="Times New Roman" w:eastAsia="Times New Roman" w:hAnsi="Times New Roman"/>
                <w:b w:val="0"/>
                <w:color w:val="000000"/>
              </w:rPr>
            </w:pPr>
            <w:r w:rsidRPr="005D5356">
              <w:rPr>
                <w:rFonts w:ascii="Times New Roman" w:eastAsia="Times New Roman" w:hAnsi="Times New Roman"/>
                <w:b w:val="0"/>
                <w:color w:val="000000"/>
              </w:rPr>
              <w:t>Congo (Brazzaville)</w:t>
            </w:r>
          </w:p>
        </w:tc>
        <w:tc>
          <w:tcPr>
            <w:tcW w:w="2633" w:type="dxa"/>
            <w:noWrap/>
            <w:hideMark/>
          </w:tcPr>
          <w:p w14:paraId="76052FCB" w14:textId="0F6D5273"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0.03 (0.02, 0.05)</w:t>
            </w:r>
          </w:p>
        </w:tc>
        <w:tc>
          <w:tcPr>
            <w:tcW w:w="4162" w:type="dxa"/>
            <w:noWrap/>
            <w:hideMark/>
          </w:tcPr>
          <w:p w14:paraId="4007640D" w14:textId="7000B67A"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0.001 (0.001, 0.002)</w:t>
            </w:r>
          </w:p>
        </w:tc>
      </w:tr>
      <w:tr w:rsidR="00A81290" w:rsidRPr="005D5356" w14:paraId="76D8D035" w14:textId="044696D2"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75FF21EA"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Namibia</w:t>
            </w:r>
          </w:p>
        </w:tc>
        <w:tc>
          <w:tcPr>
            <w:tcW w:w="2633" w:type="dxa"/>
            <w:noWrap/>
            <w:hideMark/>
          </w:tcPr>
          <w:p w14:paraId="57C515B4" w14:textId="66656911"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0.03 (0.01, 0.05)</w:t>
            </w:r>
          </w:p>
        </w:tc>
        <w:tc>
          <w:tcPr>
            <w:tcW w:w="4162" w:type="dxa"/>
            <w:noWrap/>
            <w:hideMark/>
          </w:tcPr>
          <w:p w14:paraId="3EDE726F" w14:textId="5B7CB007"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0.009 (0.007, 0.01)</w:t>
            </w:r>
          </w:p>
        </w:tc>
      </w:tr>
      <w:tr w:rsidR="00A81290" w:rsidRPr="005D5356" w14:paraId="0E75E7A3" w14:textId="6CFABC44"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76B870D2"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Togo</w:t>
            </w:r>
          </w:p>
        </w:tc>
        <w:tc>
          <w:tcPr>
            <w:tcW w:w="2633" w:type="dxa"/>
            <w:noWrap/>
            <w:hideMark/>
          </w:tcPr>
          <w:p w14:paraId="1CCD13F7" w14:textId="5979EA3D"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0.03 (0.01, 0.04)</w:t>
            </w:r>
          </w:p>
        </w:tc>
        <w:tc>
          <w:tcPr>
            <w:tcW w:w="4162" w:type="dxa"/>
            <w:noWrap/>
            <w:hideMark/>
          </w:tcPr>
          <w:p w14:paraId="02839EF6" w14:textId="351BFD01"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0.0002 (0.0001, 0.0002)</w:t>
            </w:r>
          </w:p>
        </w:tc>
      </w:tr>
      <w:tr w:rsidR="00A81290" w:rsidRPr="005D5356" w14:paraId="68D9F191" w14:textId="53C7B4A6"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5C440865"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Uganda</w:t>
            </w:r>
          </w:p>
        </w:tc>
        <w:tc>
          <w:tcPr>
            <w:tcW w:w="2633" w:type="dxa"/>
            <w:noWrap/>
            <w:hideMark/>
          </w:tcPr>
          <w:p w14:paraId="3902F3AB" w14:textId="0DC5D6D9"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0.03 (0.01, 0.04)</w:t>
            </w:r>
          </w:p>
        </w:tc>
        <w:tc>
          <w:tcPr>
            <w:tcW w:w="4162" w:type="dxa"/>
            <w:noWrap/>
            <w:hideMark/>
          </w:tcPr>
          <w:p w14:paraId="414AACF4" w14:textId="79D0013E"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0.001 (0.001, 0.001)</w:t>
            </w:r>
          </w:p>
        </w:tc>
      </w:tr>
      <w:tr w:rsidR="00A81290" w:rsidRPr="005D5356" w14:paraId="4FD178BA" w14:textId="18BF38D4"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0C153B38"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Haiti</w:t>
            </w:r>
          </w:p>
        </w:tc>
        <w:tc>
          <w:tcPr>
            <w:tcW w:w="2633" w:type="dxa"/>
            <w:noWrap/>
            <w:hideMark/>
          </w:tcPr>
          <w:p w14:paraId="258D8A45" w14:textId="3BCCB37D"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0.03 (0.01, 0.04)</w:t>
            </w:r>
          </w:p>
        </w:tc>
        <w:tc>
          <w:tcPr>
            <w:tcW w:w="4162" w:type="dxa"/>
            <w:noWrap/>
            <w:hideMark/>
          </w:tcPr>
          <w:p w14:paraId="41FE3203" w14:textId="370EA7F0"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0.003 (0.002, 0.003)</w:t>
            </w:r>
          </w:p>
        </w:tc>
      </w:tr>
      <w:tr w:rsidR="00A81290" w:rsidRPr="005D5356" w14:paraId="550459DC" w14:textId="75C62CA0"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32115708"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Rwanda</w:t>
            </w:r>
          </w:p>
        </w:tc>
        <w:tc>
          <w:tcPr>
            <w:tcW w:w="2633" w:type="dxa"/>
            <w:noWrap/>
            <w:hideMark/>
          </w:tcPr>
          <w:p w14:paraId="5E44911E" w14:textId="484D80BF"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0.03 (0.01, 0.04)</w:t>
            </w:r>
          </w:p>
        </w:tc>
        <w:tc>
          <w:tcPr>
            <w:tcW w:w="4162" w:type="dxa"/>
            <w:noWrap/>
            <w:hideMark/>
          </w:tcPr>
          <w:p w14:paraId="0780031E" w14:textId="60510211"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0.001 (0.001, 0.001)</w:t>
            </w:r>
          </w:p>
        </w:tc>
      </w:tr>
      <w:tr w:rsidR="00A81290" w:rsidRPr="005D5356" w14:paraId="5092EB40" w14:textId="0D855F9D"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22F81D19"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Ethiopia</w:t>
            </w:r>
          </w:p>
        </w:tc>
        <w:tc>
          <w:tcPr>
            <w:tcW w:w="2633" w:type="dxa"/>
            <w:noWrap/>
            <w:hideMark/>
          </w:tcPr>
          <w:p w14:paraId="23810932" w14:textId="1EC9287C"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0.03 (0.01, 0.04)</w:t>
            </w:r>
          </w:p>
        </w:tc>
        <w:tc>
          <w:tcPr>
            <w:tcW w:w="4162" w:type="dxa"/>
            <w:noWrap/>
            <w:hideMark/>
          </w:tcPr>
          <w:p w14:paraId="284A9716" w14:textId="2622DC83"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0.001 (0.001, 0.002)</w:t>
            </w:r>
          </w:p>
        </w:tc>
      </w:tr>
      <w:tr w:rsidR="00A81290" w:rsidRPr="005D5356" w14:paraId="15DB6553" w14:textId="4F0AAD63"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2F57E24C"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Honduras</w:t>
            </w:r>
          </w:p>
        </w:tc>
        <w:tc>
          <w:tcPr>
            <w:tcW w:w="2633" w:type="dxa"/>
            <w:noWrap/>
            <w:hideMark/>
          </w:tcPr>
          <w:p w14:paraId="5991549A" w14:textId="227261A9"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0.02 (0.01, 0.03)</w:t>
            </w:r>
          </w:p>
        </w:tc>
        <w:tc>
          <w:tcPr>
            <w:tcW w:w="4162" w:type="dxa"/>
            <w:noWrap/>
            <w:hideMark/>
          </w:tcPr>
          <w:p w14:paraId="37676D5D" w14:textId="19196298"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0.002 (0.002, 0.002)</w:t>
            </w:r>
          </w:p>
        </w:tc>
      </w:tr>
      <w:tr w:rsidR="00A81290" w:rsidRPr="005D5356" w14:paraId="4FBC7C9B" w14:textId="17F54E7B"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1CCAE125"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Liberia</w:t>
            </w:r>
          </w:p>
        </w:tc>
        <w:tc>
          <w:tcPr>
            <w:tcW w:w="2633" w:type="dxa"/>
            <w:noWrap/>
            <w:hideMark/>
          </w:tcPr>
          <w:p w14:paraId="2E2C0090" w14:textId="7DE81EA8"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0.02 (0.01, 0.02)</w:t>
            </w:r>
          </w:p>
        </w:tc>
        <w:tc>
          <w:tcPr>
            <w:tcW w:w="4162" w:type="dxa"/>
            <w:noWrap/>
            <w:hideMark/>
          </w:tcPr>
          <w:p w14:paraId="691E7006" w14:textId="4CED1123"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0.0003 (0.0003, 0.0004)</w:t>
            </w:r>
          </w:p>
        </w:tc>
      </w:tr>
      <w:tr w:rsidR="00A81290" w:rsidRPr="005D5356" w14:paraId="5EEB1BC5" w14:textId="310EA986"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0D052BC4"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Tajikistan</w:t>
            </w:r>
          </w:p>
        </w:tc>
        <w:tc>
          <w:tcPr>
            <w:tcW w:w="2633" w:type="dxa"/>
            <w:noWrap/>
            <w:hideMark/>
          </w:tcPr>
          <w:p w14:paraId="1A6CAF6F" w14:textId="3DB73A2A"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0.01 (0.01, 0.02)</w:t>
            </w:r>
          </w:p>
        </w:tc>
        <w:tc>
          <w:tcPr>
            <w:tcW w:w="4162" w:type="dxa"/>
            <w:noWrap/>
            <w:hideMark/>
          </w:tcPr>
          <w:p w14:paraId="5692F5C3" w14:textId="393F3DEB"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0.0003 (0.0002, 0.0003)</w:t>
            </w:r>
          </w:p>
        </w:tc>
      </w:tr>
      <w:tr w:rsidR="00A81290" w:rsidRPr="005D5356" w14:paraId="1BC81D7A" w14:textId="468AD44F" w:rsidTr="00692E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7C953DEA"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Benin</w:t>
            </w:r>
          </w:p>
        </w:tc>
        <w:tc>
          <w:tcPr>
            <w:tcW w:w="2633" w:type="dxa"/>
            <w:noWrap/>
            <w:hideMark/>
          </w:tcPr>
          <w:p w14:paraId="047522B0" w14:textId="4A371FFC"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0.01 (0.01, 0.02)</w:t>
            </w:r>
          </w:p>
        </w:tc>
        <w:tc>
          <w:tcPr>
            <w:tcW w:w="4162" w:type="dxa"/>
            <w:noWrap/>
            <w:hideMark/>
          </w:tcPr>
          <w:p w14:paraId="1CC063FA" w14:textId="3FD2E88E" w:rsidR="00A81290" w:rsidRPr="00A81290" w:rsidRDefault="00A81290" w:rsidP="00A81290">
            <w:pPr>
              <w:spacing w:line="480" w:lineRule="auto"/>
              <w:ind w:left="-755" w:firstLine="75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0.0004 (0.0003, 0.0005)</w:t>
            </w:r>
          </w:p>
        </w:tc>
      </w:tr>
      <w:tr w:rsidR="00A81290" w:rsidRPr="005D5356" w14:paraId="719229EC" w14:textId="2B0B8051" w:rsidTr="00692E2F">
        <w:trPr>
          <w:trHeight w:val="300"/>
        </w:trPr>
        <w:tc>
          <w:tcPr>
            <w:cnfStyle w:val="001000000000" w:firstRow="0" w:lastRow="0" w:firstColumn="1" w:lastColumn="0" w:oddVBand="0" w:evenVBand="0" w:oddHBand="0" w:evenHBand="0" w:firstRowFirstColumn="0" w:firstRowLastColumn="0" w:lastRowFirstColumn="0" w:lastRowLastColumn="0"/>
            <w:tcW w:w="1818" w:type="dxa"/>
            <w:noWrap/>
            <w:vAlign w:val="center"/>
            <w:hideMark/>
          </w:tcPr>
          <w:p w14:paraId="671F98E0" w14:textId="77777777" w:rsidR="00A81290" w:rsidRPr="005D5356" w:rsidRDefault="00A81290" w:rsidP="00A81290">
            <w:pPr>
              <w:spacing w:line="480" w:lineRule="auto"/>
              <w:ind w:left="-755" w:firstLine="755"/>
              <w:rPr>
                <w:rFonts w:ascii="Times New Roman" w:eastAsia="Times New Roman" w:hAnsi="Times New Roman"/>
                <w:b w:val="0"/>
                <w:color w:val="000000"/>
              </w:rPr>
            </w:pPr>
            <w:r w:rsidRPr="005D5356">
              <w:rPr>
                <w:rFonts w:ascii="Times New Roman" w:eastAsia="Times New Roman" w:hAnsi="Times New Roman"/>
                <w:b w:val="0"/>
                <w:color w:val="000000"/>
              </w:rPr>
              <w:t>Nigeria</w:t>
            </w:r>
          </w:p>
        </w:tc>
        <w:tc>
          <w:tcPr>
            <w:tcW w:w="2633" w:type="dxa"/>
            <w:noWrap/>
            <w:hideMark/>
          </w:tcPr>
          <w:p w14:paraId="4238B51F" w14:textId="1930598B"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0.01 (0, 0.02)</w:t>
            </w:r>
          </w:p>
        </w:tc>
        <w:tc>
          <w:tcPr>
            <w:tcW w:w="4162" w:type="dxa"/>
            <w:noWrap/>
            <w:hideMark/>
          </w:tcPr>
          <w:p w14:paraId="148947BF" w14:textId="6EE7E7AF" w:rsidR="00A81290" w:rsidRPr="00A81290" w:rsidRDefault="00A81290" w:rsidP="00A81290">
            <w:pPr>
              <w:spacing w:line="480" w:lineRule="auto"/>
              <w:ind w:left="-755" w:firstLine="75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692E2F">
              <w:rPr>
                <w:rFonts w:ascii="Times New Roman" w:hAnsi="Times New Roman"/>
              </w:rPr>
              <w:t>0.001 (0.001, 0.001)</w:t>
            </w:r>
          </w:p>
        </w:tc>
      </w:tr>
    </w:tbl>
    <w:p w14:paraId="1093712E" w14:textId="13B3AF7E" w:rsidR="00F97861" w:rsidRPr="005D5356" w:rsidRDefault="00EB38B0" w:rsidP="00F97861">
      <w:pPr>
        <w:spacing w:line="480" w:lineRule="auto"/>
        <w:rPr>
          <w:rFonts w:ascii="Times New Roman" w:hAnsi="Times New Roman"/>
        </w:rPr>
      </w:pPr>
      <w:r w:rsidRPr="005D5356">
        <w:rPr>
          <w:rFonts w:ascii="Times New Roman" w:hAnsi="Times New Roman"/>
        </w:rPr>
        <w:t xml:space="preserve">Table </w:t>
      </w:r>
      <w:r w:rsidR="005B5042">
        <w:rPr>
          <w:rFonts w:ascii="Times New Roman" w:hAnsi="Times New Roman"/>
        </w:rPr>
        <w:t>4</w:t>
      </w:r>
      <w:r w:rsidR="006109DA" w:rsidRPr="005D5356">
        <w:rPr>
          <w:rFonts w:ascii="Times New Roman" w:hAnsi="Times New Roman"/>
        </w:rPr>
        <w:t>: Population attributable f</w:t>
      </w:r>
      <w:r w:rsidR="00F92A4A" w:rsidRPr="005D5356">
        <w:rPr>
          <w:rFonts w:ascii="Times New Roman" w:hAnsi="Times New Roman"/>
        </w:rPr>
        <w:t>ractions for s</w:t>
      </w:r>
      <w:r w:rsidRPr="005D5356">
        <w:rPr>
          <w:rFonts w:ascii="Times New Roman" w:hAnsi="Times New Roman"/>
        </w:rPr>
        <w:t xml:space="preserve">tillbirth due to active smoked tobacco use and daily </w:t>
      </w:r>
      <w:r w:rsidR="00D62051">
        <w:rPr>
          <w:rFonts w:ascii="Times New Roman" w:hAnsi="Times New Roman"/>
        </w:rPr>
        <w:t xml:space="preserve">household </w:t>
      </w:r>
      <w:r w:rsidRPr="005D5356">
        <w:rPr>
          <w:rFonts w:ascii="Times New Roman" w:hAnsi="Times New Roman"/>
        </w:rPr>
        <w:t>SHS exposure</w:t>
      </w:r>
      <w:r w:rsidR="00293110">
        <w:rPr>
          <w:rFonts w:ascii="Times New Roman" w:hAnsi="Times New Roman"/>
        </w:rPr>
        <w:t>.</w:t>
      </w:r>
    </w:p>
    <w:p w14:paraId="54C5C0DD" w14:textId="404E22A2" w:rsidR="00EB38B0" w:rsidRPr="005D5356" w:rsidRDefault="00EB38B0" w:rsidP="00F07639">
      <w:pPr>
        <w:spacing w:line="480" w:lineRule="auto"/>
        <w:rPr>
          <w:rFonts w:ascii="Times New Roman" w:hAnsi="Times New Roman"/>
        </w:rPr>
      </w:pPr>
    </w:p>
    <w:p w14:paraId="56E40BDC" w14:textId="77777777" w:rsidR="005A2487" w:rsidRPr="005D5356" w:rsidRDefault="005A2487" w:rsidP="00F07639">
      <w:pPr>
        <w:spacing w:line="480" w:lineRule="auto"/>
        <w:rPr>
          <w:rFonts w:ascii="Times New Roman" w:hAnsi="Times New Roman"/>
        </w:rPr>
      </w:pPr>
    </w:p>
    <w:p w14:paraId="05A7DEDA" w14:textId="77777777" w:rsidR="00FC4C7B" w:rsidRPr="00E00ABD" w:rsidRDefault="00FC4C7B" w:rsidP="00F07639">
      <w:pPr>
        <w:spacing w:line="480" w:lineRule="auto"/>
        <w:rPr>
          <w:rFonts w:ascii="Times New Roman" w:hAnsi="Times New Roman"/>
          <w:b/>
          <w:bCs/>
          <w:caps/>
        </w:rPr>
      </w:pPr>
      <w:r w:rsidRPr="00E00ABD">
        <w:rPr>
          <w:rFonts w:ascii="Times New Roman" w:hAnsi="Times New Roman"/>
          <w:b/>
          <w:bCs/>
          <w:caps/>
        </w:rPr>
        <w:t>Discussion</w:t>
      </w:r>
    </w:p>
    <w:p w14:paraId="2E508D88" w14:textId="77777777" w:rsidR="00A613FB" w:rsidRPr="005D5356" w:rsidRDefault="00A613FB" w:rsidP="00F07639">
      <w:pPr>
        <w:spacing w:line="480" w:lineRule="auto"/>
        <w:rPr>
          <w:rFonts w:ascii="Times New Roman" w:hAnsi="Times New Roman"/>
          <w:i/>
        </w:rPr>
      </w:pPr>
    </w:p>
    <w:p w14:paraId="63525C44" w14:textId="2EF41359" w:rsidR="00A613FB" w:rsidRPr="005D5356" w:rsidRDefault="00A613FB" w:rsidP="00F07639">
      <w:pPr>
        <w:spacing w:line="480" w:lineRule="auto"/>
        <w:rPr>
          <w:rFonts w:ascii="Times New Roman" w:hAnsi="Times New Roman"/>
        </w:rPr>
      </w:pPr>
      <w:r w:rsidRPr="005D5356">
        <w:rPr>
          <w:rFonts w:ascii="Times New Roman" w:hAnsi="Times New Roman"/>
        </w:rPr>
        <w:t>In many LMICs, prenatal exposure to tobacco smoke appears more common than previously thought when</w:t>
      </w:r>
      <w:r w:rsidR="00D62051">
        <w:rPr>
          <w:rFonts w:ascii="Times New Roman" w:hAnsi="Times New Roman"/>
        </w:rPr>
        <w:t xml:space="preserve"> household</w:t>
      </w:r>
      <w:r w:rsidRPr="005D5356">
        <w:rPr>
          <w:rFonts w:ascii="Times New Roman" w:hAnsi="Times New Roman"/>
        </w:rPr>
        <w:t xml:space="preserve"> SHS</w:t>
      </w:r>
      <w:r w:rsidR="00683F69" w:rsidRPr="005D5356">
        <w:rPr>
          <w:rFonts w:ascii="Times New Roman" w:hAnsi="Times New Roman"/>
        </w:rPr>
        <w:t xml:space="preserve"> </w:t>
      </w:r>
      <w:r w:rsidR="00876AE7" w:rsidRPr="005D5356">
        <w:rPr>
          <w:rFonts w:ascii="Times New Roman" w:hAnsi="Times New Roman"/>
        </w:rPr>
        <w:t>exposure</w:t>
      </w:r>
      <w:r w:rsidRPr="005D5356">
        <w:rPr>
          <w:rFonts w:ascii="Times New Roman" w:hAnsi="Times New Roman"/>
        </w:rPr>
        <w:t xml:space="preserve"> is taken into account. In </w:t>
      </w:r>
      <w:r w:rsidR="002E1ABD" w:rsidRPr="005D5356">
        <w:rPr>
          <w:rFonts w:ascii="Times New Roman" w:hAnsi="Times New Roman"/>
        </w:rPr>
        <w:t>5</w:t>
      </w:r>
      <w:r w:rsidRPr="005D5356">
        <w:rPr>
          <w:rFonts w:ascii="Times New Roman" w:hAnsi="Times New Roman"/>
        </w:rPr>
        <w:t xml:space="preserve"> of </w:t>
      </w:r>
      <w:r w:rsidR="002E1ABD" w:rsidRPr="005D5356">
        <w:rPr>
          <w:rFonts w:ascii="Times New Roman" w:hAnsi="Times New Roman"/>
        </w:rPr>
        <w:t>30</w:t>
      </w:r>
      <w:r w:rsidRPr="005D5356">
        <w:rPr>
          <w:rFonts w:ascii="Times New Roman" w:hAnsi="Times New Roman"/>
        </w:rPr>
        <w:t xml:space="preserve"> countries (Armenia, Indonesia, Jordan, Bangladesh, and Nepal), more than 50% of </w:t>
      </w:r>
      <w:r w:rsidRPr="005D5356">
        <w:rPr>
          <w:rFonts w:ascii="Times New Roman" w:hAnsi="Times New Roman"/>
        </w:rPr>
        <w:lastRenderedPageBreak/>
        <w:t xml:space="preserve">pregnant women reported exposure to </w:t>
      </w:r>
      <w:r w:rsidR="00D62051">
        <w:rPr>
          <w:rFonts w:ascii="Times New Roman" w:hAnsi="Times New Roman"/>
        </w:rPr>
        <w:t xml:space="preserve">household </w:t>
      </w:r>
      <w:r w:rsidRPr="005D5356">
        <w:rPr>
          <w:rFonts w:ascii="Times New Roman" w:hAnsi="Times New Roman"/>
        </w:rPr>
        <w:t>SHS. Further</w:t>
      </w:r>
      <w:r w:rsidR="002E16A8" w:rsidRPr="005D5356">
        <w:rPr>
          <w:rFonts w:ascii="Times New Roman" w:hAnsi="Times New Roman"/>
        </w:rPr>
        <w:t>more</w:t>
      </w:r>
      <w:r w:rsidRPr="005D5356">
        <w:rPr>
          <w:rFonts w:ascii="Times New Roman" w:hAnsi="Times New Roman"/>
        </w:rPr>
        <w:t xml:space="preserve">, most exposure was reported at a daily frequency, rather than at lower frequency. Regional patterns of </w:t>
      </w:r>
      <w:r w:rsidR="00D62051">
        <w:rPr>
          <w:rFonts w:ascii="Times New Roman" w:hAnsi="Times New Roman"/>
        </w:rPr>
        <w:t xml:space="preserve">household </w:t>
      </w:r>
      <w:r w:rsidRPr="005D5356">
        <w:rPr>
          <w:rFonts w:ascii="Times New Roman" w:hAnsi="Times New Roman"/>
        </w:rPr>
        <w:t xml:space="preserve">SHS exposure were strong: </w:t>
      </w:r>
      <w:r w:rsidR="0086620E">
        <w:rPr>
          <w:rFonts w:ascii="Times New Roman" w:hAnsi="Times New Roman"/>
        </w:rPr>
        <w:t>EURO, MENA, and SEA</w:t>
      </w:r>
      <w:r w:rsidRPr="005D5356">
        <w:rPr>
          <w:rFonts w:ascii="Times New Roman" w:hAnsi="Times New Roman"/>
        </w:rPr>
        <w:t xml:space="preserve"> countries showed much higher prevalence of exposure than </w:t>
      </w:r>
      <w:r w:rsidR="0086620E">
        <w:rPr>
          <w:rFonts w:ascii="Times New Roman" w:hAnsi="Times New Roman"/>
        </w:rPr>
        <w:t>SSA</w:t>
      </w:r>
      <w:r w:rsidRPr="005D5356">
        <w:rPr>
          <w:rFonts w:ascii="Times New Roman" w:hAnsi="Times New Roman"/>
        </w:rPr>
        <w:t xml:space="preserve"> countries.</w:t>
      </w:r>
      <w:r w:rsidR="00FE238E" w:rsidRPr="005D5356">
        <w:rPr>
          <w:rFonts w:ascii="Times New Roman" w:hAnsi="Times New Roman"/>
        </w:rPr>
        <w:t xml:space="preserve"> </w:t>
      </w:r>
      <w:r w:rsidR="00901237" w:rsidRPr="005D5356">
        <w:rPr>
          <w:rFonts w:ascii="Times New Roman" w:hAnsi="Times New Roman"/>
        </w:rPr>
        <w:t>In 13 countries (Guinea, Burkina Faso, Nigeria, Burundi, Bangladesh, Pakistan, Tajik</w:t>
      </w:r>
      <w:r w:rsidR="00E13EB3" w:rsidRPr="005D5356">
        <w:rPr>
          <w:rFonts w:ascii="Times New Roman" w:hAnsi="Times New Roman"/>
        </w:rPr>
        <w:t>istan, Rwanda, Indonesia, Namibia, Jordan, Kyrgyz Republic, Egypt</w:t>
      </w:r>
      <w:r w:rsidR="00901237" w:rsidRPr="005D5356">
        <w:rPr>
          <w:rFonts w:ascii="Times New Roman" w:hAnsi="Times New Roman"/>
        </w:rPr>
        <w:t>)</w:t>
      </w:r>
      <w:r w:rsidR="00E13EB3" w:rsidRPr="005D5356">
        <w:rPr>
          <w:rFonts w:ascii="Times New Roman" w:hAnsi="Times New Roman"/>
        </w:rPr>
        <w:t xml:space="preserve"> </w:t>
      </w:r>
      <w:r w:rsidR="00D62051">
        <w:rPr>
          <w:rFonts w:ascii="Times New Roman" w:hAnsi="Times New Roman"/>
        </w:rPr>
        <w:t xml:space="preserve">household </w:t>
      </w:r>
      <w:r w:rsidR="00E13EB3" w:rsidRPr="005D5356">
        <w:rPr>
          <w:rFonts w:ascii="Times New Roman" w:hAnsi="Times New Roman"/>
        </w:rPr>
        <w:t xml:space="preserve">SHS exposure </w:t>
      </w:r>
      <w:r w:rsidR="00AE5FC6" w:rsidRPr="005D5356">
        <w:rPr>
          <w:rFonts w:ascii="Times New Roman" w:hAnsi="Times New Roman"/>
        </w:rPr>
        <w:t>wa</w:t>
      </w:r>
      <w:r w:rsidR="00E13EB3" w:rsidRPr="005D5356">
        <w:rPr>
          <w:rFonts w:ascii="Times New Roman" w:hAnsi="Times New Roman"/>
        </w:rPr>
        <w:t xml:space="preserve">s </w:t>
      </w:r>
      <w:r w:rsidR="00EB0426" w:rsidRPr="005D5356">
        <w:rPr>
          <w:rFonts w:ascii="Times New Roman" w:hAnsi="Times New Roman"/>
        </w:rPr>
        <w:t>greater</w:t>
      </w:r>
      <w:r w:rsidR="00E13EB3" w:rsidRPr="005D5356">
        <w:rPr>
          <w:rFonts w:ascii="Times New Roman" w:hAnsi="Times New Roman"/>
        </w:rPr>
        <w:t xml:space="preserve"> than 10 times more prevalent than active smoking</w:t>
      </w:r>
      <w:r w:rsidR="00C671AE" w:rsidRPr="005D5356">
        <w:rPr>
          <w:rFonts w:ascii="Times New Roman" w:hAnsi="Times New Roman"/>
        </w:rPr>
        <w:t xml:space="preserve">. In Egypt </w:t>
      </w:r>
      <w:r w:rsidR="00D62051">
        <w:rPr>
          <w:rFonts w:ascii="Times New Roman" w:hAnsi="Times New Roman"/>
        </w:rPr>
        <w:t xml:space="preserve">household </w:t>
      </w:r>
      <w:r w:rsidR="00C671AE" w:rsidRPr="005D5356">
        <w:rPr>
          <w:rFonts w:ascii="Times New Roman" w:hAnsi="Times New Roman"/>
        </w:rPr>
        <w:t xml:space="preserve">SHS exposure </w:t>
      </w:r>
      <w:r w:rsidR="00AE5FC6" w:rsidRPr="005D5356">
        <w:rPr>
          <w:rFonts w:ascii="Times New Roman" w:hAnsi="Times New Roman"/>
        </w:rPr>
        <w:t>wa</w:t>
      </w:r>
      <w:r w:rsidR="00C671AE" w:rsidRPr="005D5356">
        <w:rPr>
          <w:rFonts w:ascii="Times New Roman" w:hAnsi="Times New Roman"/>
        </w:rPr>
        <w:t xml:space="preserve">s 156 times more prevalent than active smoking. </w:t>
      </w:r>
      <w:r w:rsidR="00AE5FC6" w:rsidRPr="005D5356">
        <w:rPr>
          <w:rFonts w:ascii="Times New Roman" w:hAnsi="Times New Roman"/>
        </w:rPr>
        <w:t xml:space="preserve">In only 5 out of 30 countries (Congo Brazzaville, Gabon, Benin, Mali and Zimbabwe) </w:t>
      </w:r>
      <w:r w:rsidR="00D62051">
        <w:rPr>
          <w:rFonts w:ascii="Times New Roman" w:hAnsi="Times New Roman"/>
        </w:rPr>
        <w:t xml:space="preserve">household </w:t>
      </w:r>
      <w:r w:rsidR="00AE5FC6" w:rsidRPr="005D5356">
        <w:rPr>
          <w:rFonts w:ascii="Times New Roman" w:hAnsi="Times New Roman"/>
        </w:rPr>
        <w:t>SHS exposure was twice as common as active smoking.</w:t>
      </w:r>
    </w:p>
    <w:p w14:paraId="69AA8FF1" w14:textId="181FD527" w:rsidR="00A613FB" w:rsidRPr="005D5356" w:rsidRDefault="00E13EB3" w:rsidP="00F07639">
      <w:pPr>
        <w:spacing w:line="480" w:lineRule="auto"/>
        <w:rPr>
          <w:rFonts w:ascii="Times New Roman" w:hAnsi="Times New Roman"/>
        </w:rPr>
      </w:pPr>
      <w:r w:rsidRPr="005D5356">
        <w:rPr>
          <w:rFonts w:ascii="Times New Roman" w:hAnsi="Times New Roman"/>
        </w:rPr>
        <w:t xml:space="preserve"> </w:t>
      </w:r>
    </w:p>
    <w:p w14:paraId="4F60F853" w14:textId="13B3D6B4" w:rsidR="00A613FB" w:rsidRPr="005D5356" w:rsidRDefault="00A613FB" w:rsidP="00F07639">
      <w:pPr>
        <w:spacing w:line="480" w:lineRule="auto"/>
        <w:rPr>
          <w:rFonts w:ascii="Times New Roman" w:hAnsi="Times New Roman"/>
        </w:rPr>
      </w:pPr>
      <w:r w:rsidRPr="005D5356">
        <w:rPr>
          <w:rFonts w:ascii="Times New Roman" w:hAnsi="Times New Roman"/>
        </w:rPr>
        <w:t xml:space="preserve">The regression model brought out important attributes of </w:t>
      </w:r>
      <w:r w:rsidR="00D62051">
        <w:rPr>
          <w:rFonts w:ascii="Times New Roman" w:hAnsi="Times New Roman"/>
        </w:rPr>
        <w:t xml:space="preserve">household SHS </w:t>
      </w:r>
      <w:r w:rsidRPr="005D5356">
        <w:rPr>
          <w:rFonts w:ascii="Times New Roman" w:hAnsi="Times New Roman"/>
        </w:rPr>
        <w:t>exposure: we observed that pregnant women who worked in any capacity (manual, clerical, or other) did not have a different probability for exposure than women who did not work</w:t>
      </w:r>
      <w:r w:rsidR="00B51B45">
        <w:rPr>
          <w:rFonts w:ascii="Times New Roman" w:hAnsi="Times New Roman"/>
        </w:rPr>
        <w:t>. This suggests that employed women had similar circumstances at home as those who didn’t work with regards to household SHS exposure</w:t>
      </w:r>
      <w:r w:rsidR="0079552B">
        <w:rPr>
          <w:rFonts w:ascii="Times New Roman" w:hAnsi="Times New Roman"/>
        </w:rPr>
        <w:t xml:space="preserve">. </w:t>
      </w:r>
      <w:r w:rsidRPr="005D5356">
        <w:rPr>
          <w:rFonts w:ascii="Times New Roman" w:hAnsi="Times New Roman"/>
        </w:rPr>
        <w:t>We also found that the probability for</w:t>
      </w:r>
      <w:r w:rsidR="00D62051">
        <w:rPr>
          <w:rFonts w:ascii="Times New Roman" w:hAnsi="Times New Roman"/>
        </w:rPr>
        <w:t xml:space="preserve"> household S</w:t>
      </w:r>
      <w:r w:rsidRPr="005D5356">
        <w:rPr>
          <w:rFonts w:ascii="Times New Roman" w:hAnsi="Times New Roman"/>
        </w:rPr>
        <w:t xml:space="preserve">HS exposure varied by educational attainment, but non-linearly; pregnant women with up to a primary school education had the highest probability for exposure, even compared to pregnant women with no education. </w:t>
      </w:r>
      <w:r w:rsidR="00EE4411" w:rsidRPr="005D5356">
        <w:rPr>
          <w:rFonts w:ascii="Times New Roman" w:hAnsi="Times New Roman"/>
        </w:rPr>
        <w:t>P</w:t>
      </w:r>
      <w:r w:rsidRPr="005D5356">
        <w:rPr>
          <w:rFonts w:ascii="Times New Roman" w:hAnsi="Times New Roman"/>
        </w:rPr>
        <w:t xml:space="preserve">robability for </w:t>
      </w:r>
      <w:r w:rsidR="005716C5">
        <w:rPr>
          <w:rFonts w:ascii="Times New Roman" w:hAnsi="Times New Roman"/>
        </w:rPr>
        <w:t xml:space="preserve">household </w:t>
      </w:r>
      <w:r w:rsidRPr="005D5356">
        <w:rPr>
          <w:rFonts w:ascii="Times New Roman" w:hAnsi="Times New Roman"/>
        </w:rPr>
        <w:t xml:space="preserve">SHS exposure decreased with increasing wealth, with pregnant women in the lowest wealth quintile at nearly double the probability for SHS exposure than women in the highest wealth quintile. </w:t>
      </w:r>
      <w:r w:rsidR="00EE4411" w:rsidRPr="005D5356">
        <w:rPr>
          <w:rFonts w:ascii="Times New Roman" w:hAnsi="Times New Roman"/>
        </w:rPr>
        <w:t>This is consistent with findings that tobacco use and exposure is generally higher in lower income populations, even within LMICs</w:t>
      </w:r>
      <w:proofErr w:type="gramStart"/>
      <w:r w:rsidR="00EE4411" w:rsidRPr="005D5356">
        <w:rPr>
          <w:rFonts w:ascii="Times New Roman" w:hAnsi="Times New Roman"/>
        </w:rPr>
        <w:t>.</w:t>
      </w:r>
      <w:r w:rsidR="00E70F4A" w:rsidRPr="005D5356">
        <w:rPr>
          <w:rFonts w:ascii="Times New Roman" w:hAnsi="Times New Roman"/>
        </w:rPr>
        <w:t>[</w:t>
      </w:r>
      <w:proofErr w:type="gramEnd"/>
      <w:r w:rsidR="00F91C26">
        <w:rPr>
          <w:rFonts w:ascii="Times New Roman" w:hAnsi="Times New Roman"/>
        </w:rPr>
        <w:t>23</w:t>
      </w:r>
      <w:r w:rsidR="00E70F4A" w:rsidRPr="005D5356">
        <w:rPr>
          <w:rFonts w:ascii="Times New Roman" w:hAnsi="Times New Roman"/>
        </w:rPr>
        <w:t>]</w:t>
      </w:r>
      <w:r w:rsidR="00EE4411" w:rsidRPr="005D5356">
        <w:rPr>
          <w:rFonts w:ascii="Times New Roman" w:hAnsi="Times New Roman"/>
        </w:rPr>
        <w:t xml:space="preserve"> </w:t>
      </w:r>
      <w:r w:rsidRPr="005D5356">
        <w:rPr>
          <w:rFonts w:ascii="Times New Roman" w:hAnsi="Times New Roman"/>
        </w:rPr>
        <w:t xml:space="preserve">Lastly, </w:t>
      </w:r>
      <w:r w:rsidR="00C6307E">
        <w:rPr>
          <w:rFonts w:ascii="Times New Roman" w:hAnsi="Times New Roman"/>
        </w:rPr>
        <w:t xml:space="preserve">household </w:t>
      </w:r>
      <w:r w:rsidRPr="005D5356">
        <w:rPr>
          <w:rFonts w:ascii="Times New Roman" w:hAnsi="Times New Roman"/>
        </w:rPr>
        <w:t xml:space="preserve">SHS exposure varied by location, both by region and within countries. Pregnant women in urban areas had a higher probability </w:t>
      </w:r>
      <w:r w:rsidRPr="005D5356">
        <w:rPr>
          <w:rFonts w:ascii="Times New Roman" w:hAnsi="Times New Roman"/>
        </w:rPr>
        <w:lastRenderedPageBreak/>
        <w:t xml:space="preserve">for </w:t>
      </w:r>
      <w:r w:rsidR="00C6307E">
        <w:rPr>
          <w:rFonts w:ascii="Times New Roman" w:hAnsi="Times New Roman"/>
        </w:rPr>
        <w:t xml:space="preserve">household </w:t>
      </w:r>
      <w:r w:rsidRPr="005D5356">
        <w:rPr>
          <w:rFonts w:ascii="Times New Roman" w:hAnsi="Times New Roman"/>
        </w:rPr>
        <w:t xml:space="preserve">SHS exposure than pregnant women in rural areas, and pregnant women in </w:t>
      </w:r>
      <w:r w:rsidR="00B868A9">
        <w:rPr>
          <w:rFonts w:ascii="Times New Roman" w:hAnsi="Times New Roman"/>
        </w:rPr>
        <w:t xml:space="preserve">the </w:t>
      </w:r>
      <w:r w:rsidR="0086620E">
        <w:rPr>
          <w:rFonts w:ascii="Times New Roman" w:hAnsi="Times New Roman"/>
        </w:rPr>
        <w:t>SEA</w:t>
      </w:r>
      <w:r w:rsidR="00B868A9">
        <w:rPr>
          <w:rFonts w:ascii="Times New Roman" w:hAnsi="Times New Roman"/>
        </w:rPr>
        <w:t xml:space="preserve"> countries studied</w:t>
      </w:r>
      <w:r w:rsidRPr="005D5356">
        <w:rPr>
          <w:rFonts w:ascii="Times New Roman" w:hAnsi="Times New Roman"/>
        </w:rPr>
        <w:t xml:space="preserve"> had the highest probability of exposure, while pregnant women in </w:t>
      </w:r>
      <w:r w:rsidR="00B868A9">
        <w:rPr>
          <w:rFonts w:ascii="Times New Roman" w:hAnsi="Times New Roman"/>
        </w:rPr>
        <w:t xml:space="preserve">the </w:t>
      </w:r>
      <w:r w:rsidR="0086620E">
        <w:rPr>
          <w:rFonts w:ascii="Times New Roman" w:hAnsi="Times New Roman"/>
        </w:rPr>
        <w:t>SSA</w:t>
      </w:r>
      <w:r w:rsidR="00B868A9">
        <w:rPr>
          <w:rFonts w:ascii="Times New Roman" w:hAnsi="Times New Roman"/>
        </w:rPr>
        <w:t xml:space="preserve"> countries studied</w:t>
      </w:r>
      <w:r w:rsidRPr="005D5356">
        <w:rPr>
          <w:rFonts w:ascii="Times New Roman" w:hAnsi="Times New Roman"/>
        </w:rPr>
        <w:t xml:space="preserve"> had the lowest probability of being exposed.</w:t>
      </w:r>
    </w:p>
    <w:p w14:paraId="59BAACA7" w14:textId="77777777" w:rsidR="00D04CD1" w:rsidRPr="005D5356" w:rsidRDefault="00D04CD1" w:rsidP="00F07639">
      <w:pPr>
        <w:spacing w:line="480" w:lineRule="auto"/>
        <w:rPr>
          <w:rFonts w:ascii="Times New Roman" w:hAnsi="Times New Roman"/>
        </w:rPr>
      </w:pPr>
    </w:p>
    <w:p w14:paraId="6649E3A3" w14:textId="796EFCE8" w:rsidR="00CA4026" w:rsidRDefault="00AF19F5" w:rsidP="00F07639">
      <w:pPr>
        <w:spacing w:line="480" w:lineRule="auto"/>
        <w:rPr>
          <w:rFonts w:ascii="Times New Roman" w:hAnsi="Times New Roman"/>
        </w:rPr>
      </w:pPr>
      <w:r w:rsidRPr="005D5356">
        <w:rPr>
          <w:rFonts w:ascii="Times New Roman" w:hAnsi="Times New Roman"/>
        </w:rPr>
        <w:t xml:space="preserve">The </w:t>
      </w:r>
      <w:r w:rsidR="00C9525E" w:rsidRPr="005D5356">
        <w:rPr>
          <w:rFonts w:ascii="Times New Roman" w:hAnsi="Times New Roman"/>
        </w:rPr>
        <w:t>PAF</w:t>
      </w:r>
      <w:r w:rsidRPr="005D5356">
        <w:rPr>
          <w:rFonts w:ascii="Times New Roman" w:hAnsi="Times New Roman"/>
        </w:rPr>
        <w:t xml:space="preserve"> of stillbirths due to daily </w:t>
      </w:r>
      <w:r w:rsidR="00A736A2">
        <w:rPr>
          <w:rFonts w:ascii="Times New Roman" w:hAnsi="Times New Roman"/>
        </w:rPr>
        <w:t xml:space="preserve">household </w:t>
      </w:r>
      <w:r w:rsidRPr="005D5356">
        <w:rPr>
          <w:rFonts w:ascii="Times New Roman" w:hAnsi="Times New Roman"/>
        </w:rPr>
        <w:t xml:space="preserve">SHS exposure was </w:t>
      </w:r>
      <w:r w:rsidR="009C42CF">
        <w:rPr>
          <w:rFonts w:ascii="Times New Roman" w:hAnsi="Times New Roman"/>
        </w:rPr>
        <w:t>comparable to the</w:t>
      </w:r>
      <w:r w:rsidRPr="005D5356">
        <w:rPr>
          <w:rFonts w:ascii="Times New Roman" w:hAnsi="Times New Roman"/>
        </w:rPr>
        <w:t xml:space="preserve"> PAF for active smoking during pregnancy. The PAF for other birth complications likely resembles this trend, </w:t>
      </w:r>
      <w:r w:rsidR="00757980">
        <w:rPr>
          <w:rFonts w:ascii="Times New Roman" w:hAnsi="Times New Roman"/>
        </w:rPr>
        <w:t>highlighting</w:t>
      </w:r>
      <w:r w:rsidR="00757980" w:rsidRPr="005D5356">
        <w:rPr>
          <w:rFonts w:ascii="Times New Roman" w:hAnsi="Times New Roman"/>
        </w:rPr>
        <w:t xml:space="preserve"> </w:t>
      </w:r>
      <w:r w:rsidR="00757980">
        <w:rPr>
          <w:rFonts w:ascii="Times New Roman" w:hAnsi="Times New Roman"/>
        </w:rPr>
        <w:t xml:space="preserve">that addressing both active smoking and household SHS exposure during pregnancy </w:t>
      </w:r>
      <w:r w:rsidR="00CA4026">
        <w:rPr>
          <w:rFonts w:ascii="Times New Roman" w:hAnsi="Times New Roman"/>
        </w:rPr>
        <w:t xml:space="preserve">are important health priorities for </w:t>
      </w:r>
      <w:r w:rsidR="00757980">
        <w:rPr>
          <w:rFonts w:ascii="Times New Roman" w:hAnsi="Times New Roman"/>
        </w:rPr>
        <w:t xml:space="preserve">health care professionals and policy makers.  </w:t>
      </w:r>
    </w:p>
    <w:p w14:paraId="600E3544" w14:textId="77777777" w:rsidR="0070721E" w:rsidRDefault="0070721E" w:rsidP="00F07639">
      <w:pPr>
        <w:spacing w:line="480" w:lineRule="auto"/>
        <w:rPr>
          <w:rFonts w:ascii="Times New Roman" w:hAnsi="Times New Roman"/>
        </w:rPr>
      </w:pPr>
    </w:p>
    <w:p w14:paraId="39E57525" w14:textId="155B62D6" w:rsidR="00734D76" w:rsidRDefault="00211688" w:rsidP="006419A8">
      <w:pPr>
        <w:spacing w:line="480" w:lineRule="auto"/>
        <w:rPr>
          <w:rFonts w:ascii="Times New Roman" w:hAnsi="Times New Roman"/>
        </w:rPr>
      </w:pPr>
      <w:r w:rsidRPr="00211688">
        <w:rPr>
          <w:rFonts w:ascii="Times New Roman" w:hAnsi="Times New Roman"/>
          <w:lang w:val="en-GB"/>
        </w:rPr>
        <w:t xml:space="preserve">While mothers and children in LMICs are exposed to </w:t>
      </w:r>
      <w:r w:rsidR="00444431">
        <w:rPr>
          <w:rFonts w:ascii="Times New Roman" w:hAnsi="Times New Roman"/>
          <w:lang w:val="en-GB"/>
        </w:rPr>
        <w:t xml:space="preserve">household </w:t>
      </w:r>
      <w:r w:rsidRPr="00211688">
        <w:rPr>
          <w:rFonts w:ascii="Times New Roman" w:hAnsi="Times New Roman"/>
          <w:lang w:val="en-GB"/>
        </w:rPr>
        <w:t xml:space="preserve">SHS, </w:t>
      </w:r>
      <w:r w:rsidR="00F578DB">
        <w:rPr>
          <w:rFonts w:ascii="Times New Roman" w:hAnsi="Times New Roman"/>
          <w:lang w:val="en-GB"/>
        </w:rPr>
        <w:t>many</w:t>
      </w:r>
      <w:r w:rsidRPr="00211688">
        <w:rPr>
          <w:rFonts w:ascii="Times New Roman" w:hAnsi="Times New Roman"/>
          <w:lang w:val="en-GB"/>
        </w:rPr>
        <w:t xml:space="preserve"> are also regularly exposed to smoke from solid fuel use in the household from activities such as cooking or heating. Solid fuel contains a large number of harmful pollutants (including carbon monoxide, benzene and 1,3-butadiene) and is associated with adverse health and birth outcomes</w:t>
      </w:r>
      <w:proofErr w:type="gramStart"/>
      <w:r w:rsidRPr="00211688">
        <w:rPr>
          <w:rFonts w:ascii="Times New Roman" w:hAnsi="Times New Roman"/>
          <w:lang w:val="en-GB"/>
        </w:rPr>
        <w:t>.</w:t>
      </w:r>
      <w:r w:rsidR="00F91C26">
        <w:rPr>
          <w:rFonts w:ascii="Times New Roman" w:hAnsi="Times New Roman"/>
          <w:lang w:val="en-GB"/>
        </w:rPr>
        <w:t>[</w:t>
      </w:r>
      <w:proofErr w:type="gramEnd"/>
      <w:r w:rsidR="00F91C26">
        <w:rPr>
          <w:rFonts w:ascii="Times New Roman" w:hAnsi="Times New Roman"/>
          <w:lang w:val="en-GB"/>
        </w:rPr>
        <w:t>24, 25</w:t>
      </w:r>
      <w:r w:rsidR="00D97789">
        <w:rPr>
          <w:rFonts w:ascii="Times New Roman" w:hAnsi="Times New Roman"/>
          <w:lang w:val="en-GB"/>
        </w:rPr>
        <w:t>]</w:t>
      </w:r>
      <w:r>
        <w:rPr>
          <w:rFonts w:ascii="Times New Roman" w:hAnsi="Times New Roman"/>
          <w:lang w:val="en-GB"/>
        </w:rPr>
        <w:t xml:space="preserve"> </w:t>
      </w:r>
      <w:r w:rsidR="00734D76">
        <w:rPr>
          <w:rFonts w:ascii="Times New Roman" w:hAnsi="Times New Roman"/>
        </w:rPr>
        <w:t>The PAF for stillbirth due to exposure to biomass cooking fuel related household air pollution has been ca</w:t>
      </w:r>
      <w:r w:rsidR="009E3B3C">
        <w:rPr>
          <w:rFonts w:ascii="Times New Roman" w:hAnsi="Times New Roman"/>
        </w:rPr>
        <w:t>lculated between 0.05 and 0.18.</w:t>
      </w:r>
      <w:r w:rsidR="00734D76">
        <w:rPr>
          <w:rFonts w:ascii="Times New Roman" w:hAnsi="Times New Roman"/>
        </w:rPr>
        <w:t>[</w:t>
      </w:r>
      <w:r w:rsidR="00F91C26">
        <w:rPr>
          <w:rFonts w:ascii="Times New Roman" w:hAnsi="Times New Roman"/>
        </w:rPr>
        <w:t>24, 25</w:t>
      </w:r>
      <w:r w:rsidR="00734D76">
        <w:rPr>
          <w:rFonts w:ascii="Times New Roman" w:hAnsi="Times New Roman"/>
        </w:rPr>
        <w:t>] This is comparable to the burden posed by exposure to SHS</w:t>
      </w:r>
      <w:r w:rsidR="000A3E6A" w:rsidRPr="000A3E6A">
        <w:rPr>
          <w:rFonts w:ascii="Times New Roman" w:hAnsi="Times New Roman"/>
        </w:rPr>
        <w:t xml:space="preserve"> </w:t>
      </w:r>
      <w:r w:rsidR="000A3E6A">
        <w:rPr>
          <w:rFonts w:ascii="Times New Roman" w:hAnsi="Times New Roman"/>
        </w:rPr>
        <w:t>with t</w:t>
      </w:r>
      <w:r w:rsidR="000A3E6A" w:rsidRPr="005D5356">
        <w:rPr>
          <w:rFonts w:ascii="Times New Roman" w:hAnsi="Times New Roman"/>
        </w:rPr>
        <w:t xml:space="preserve">he PAF of stillbirths </w:t>
      </w:r>
      <w:r w:rsidR="000A3E6A">
        <w:rPr>
          <w:rFonts w:ascii="Times New Roman" w:hAnsi="Times New Roman"/>
        </w:rPr>
        <w:t>due to SHS exposure ranging</w:t>
      </w:r>
      <w:r w:rsidR="000A3E6A" w:rsidRPr="005D5356">
        <w:rPr>
          <w:rFonts w:ascii="Times New Roman" w:hAnsi="Times New Roman"/>
        </w:rPr>
        <w:t xml:space="preserve"> from 0·01 in Nigeria to 0·14 in Armenia</w:t>
      </w:r>
      <w:r w:rsidR="000A3E6A">
        <w:rPr>
          <w:rFonts w:ascii="Times New Roman" w:hAnsi="Times New Roman"/>
        </w:rPr>
        <w:t xml:space="preserve"> and Indonesia</w:t>
      </w:r>
      <w:r w:rsidR="000A3E6A" w:rsidRPr="005D5356">
        <w:rPr>
          <w:rFonts w:ascii="Times New Roman" w:hAnsi="Times New Roman"/>
        </w:rPr>
        <w:t>.</w:t>
      </w:r>
      <w:r w:rsidR="00EB0871">
        <w:rPr>
          <w:rFonts w:ascii="Times New Roman" w:hAnsi="Times New Roman"/>
        </w:rPr>
        <w:t xml:space="preserve"> </w:t>
      </w:r>
    </w:p>
    <w:p w14:paraId="600C0C15" w14:textId="77777777" w:rsidR="00D97789" w:rsidRPr="005D5356" w:rsidRDefault="00D97789" w:rsidP="006419A8">
      <w:pPr>
        <w:spacing w:line="480" w:lineRule="auto"/>
        <w:rPr>
          <w:rFonts w:ascii="Times New Roman" w:hAnsi="Times New Roman"/>
        </w:rPr>
      </w:pPr>
    </w:p>
    <w:p w14:paraId="1C1E60F9" w14:textId="2B4316D5" w:rsidR="00330FAD" w:rsidRPr="005D5356" w:rsidRDefault="00330FAD" w:rsidP="00F07639">
      <w:pPr>
        <w:spacing w:line="480" w:lineRule="auto"/>
        <w:rPr>
          <w:rFonts w:ascii="Times New Roman" w:hAnsi="Times New Roman"/>
        </w:rPr>
      </w:pPr>
      <w:r w:rsidRPr="005D5356">
        <w:rPr>
          <w:rFonts w:ascii="Times New Roman" w:hAnsi="Times New Roman"/>
        </w:rPr>
        <w:t>Previous multinational analyses using DHS data have found low prevalence of a</w:t>
      </w:r>
      <w:r w:rsidR="00E00343" w:rsidRPr="005D5356">
        <w:rPr>
          <w:rFonts w:ascii="Times New Roman" w:hAnsi="Times New Roman"/>
        </w:rPr>
        <w:t>ctive smoking by pregnant women</w:t>
      </w:r>
      <w:proofErr w:type="gramStart"/>
      <w:r w:rsidR="00E00343" w:rsidRPr="005D5356">
        <w:rPr>
          <w:rFonts w:ascii="Times New Roman" w:hAnsi="Times New Roman"/>
        </w:rPr>
        <w:t>.</w:t>
      </w:r>
      <w:r w:rsidR="00E70F4A" w:rsidRPr="005D5356">
        <w:rPr>
          <w:rFonts w:ascii="Times New Roman" w:hAnsi="Times New Roman"/>
        </w:rPr>
        <w:t>[</w:t>
      </w:r>
      <w:proofErr w:type="gramEnd"/>
      <w:r w:rsidR="004E4993">
        <w:rPr>
          <w:rFonts w:ascii="Times New Roman" w:hAnsi="Times New Roman"/>
        </w:rPr>
        <w:t>2</w:t>
      </w:r>
      <w:r w:rsidR="00F91C26">
        <w:rPr>
          <w:rFonts w:ascii="Times New Roman" w:hAnsi="Times New Roman"/>
        </w:rPr>
        <w:t>6</w:t>
      </w:r>
      <w:r w:rsidR="00E70F4A" w:rsidRPr="005D5356">
        <w:rPr>
          <w:rFonts w:ascii="Times New Roman" w:hAnsi="Times New Roman"/>
        </w:rPr>
        <w:t>]</w:t>
      </w:r>
      <w:r w:rsidR="000D2C95" w:rsidRPr="005D5356">
        <w:rPr>
          <w:rFonts w:ascii="Times New Roman" w:hAnsi="Times New Roman"/>
        </w:rPr>
        <w:t xml:space="preserve"> While </w:t>
      </w:r>
      <w:proofErr w:type="spellStart"/>
      <w:r w:rsidR="000D2C95" w:rsidRPr="005D5356">
        <w:rPr>
          <w:rFonts w:ascii="Times New Roman" w:hAnsi="Times New Roman"/>
        </w:rPr>
        <w:t>Caleyachetty</w:t>
      </w:r>
      <w:proofErr w:type="spellEnd"/>
      <w:r w:rsidR="000D2C95" w:rsidRPr="005D5356">
        <w:rPr>
          <w:rFonts w:ascii="Times New Roman" w:hAnsi="Times New Roman"/>
        </w:rPr>
        <w:t xml:space="preserve"> et al</w:t>
      </w:r>
      <w:r w:rsidR="002E1A3B" w:rsidRPr="005D5356">
        <w:rPr>
          <w:rFonts w:ascii="Times New Roman" w:hAnsi="Times New Roman"/>
        </w:rPr>
        <w:t>.</w:t>
      </w:r>
      <w:r w:rsidR="000D2C95" w:rsidRPr="005D5356">
        <w:rPr>
          <w:rFonts w:ascii="Times New Roman" w:hAnsi="Times New Roman"/>
        </w:rPr>
        <w:t xml:space="preserve"> similarly found highe</w:t>
      </w:r>
      <w:r w:rsidR="00513C34" w:rsidRPr="005D5356">
        <w:rPr>
          <w:rFonts w:ascii="Times New Roman" w:hAnsi="Times New Roman"/>
        </w:rPr>
        <w:t>st prevalence in Southeast Asia and lowest prevalence in sub-Saharan Africa, the study found low prevalence of active smoking</w:t>
      </w:r>
      <w:r w:rsidR="000D2C95" w:rsidRPr="005D5356">
        <w:rPr>
          <w:rFonts w:ascii="Times New Roman" w:hAnsi="Times New Roman"/>
        </w:rPr>
        <w:t xml:space="preserve"> in </w:t>
      </w:r>
      <w:r w:rsidR="00513C34" w:rsidRPr="005D5356">
        <w:rPr>
          <w:rFonts w:ascii="Times New Roman" w:hAnsi="Times New Roman"/>
        </w:rPr>
        <w:t xml:space="preserve">the same </w:t>
      </w:r>
      <w:r w:rsidR="000D2C95" w:rsidRPr="005D5356">
        <w:rPr>
          <w:rFonts w:ascii="Times New Roman" w:hAnsi="Times New Roman"/>
        </w:rPr>
        <w:t>Eastern European count</w:t>
      </w:r>
      <w:r w:rsidR="00513C34" w:rsidRPr="005D5356">
        <w:rPr>
          <w:rFonts w:ascii="Times New Roman" w:hAnsi="Times New Roman"/>
        </w:rPr>
        <w:t>r</w:t>
      </w:r>
      <w:r w:rsidR="000D2C95" w:rsidRPr="005D5356">
        <w:rPr>
          <w:rFonts w:ascii="Times New Roman" w:hAnsi="Times New Roman"/>
        </w:rPr>
        <w:t>ies</w:t>
      </w:r>
      <w:r w:rsidR="00513C34" w:rsidRPr="005D5356">
        <w:rPr>
          <w:rFonts w:ascii="Times New Roman" w:hAnsi="Times New Roman"/>
        </w:rPr>
        <w:t xml:space="preserve"> </w:t>
      </w:r>
      <w:r w:rsidR="00513C34" w:rsidRPr="005D5356">
        <w:rPr>
          <w:rFonts w:ascii="Times New Roman" w:hAnsi="Times New Roman"/>
        </w:rPr>
        <w:lastRenderedPageBreak/>
        <w:t xml:space="preserve">(Armenia, </w:t>
      </w:r>
      <w:proofErr w:type="spellStart"/>
      <w:r w:rsidR="00513C34" w:rsidRPr="005D5356">
        <w:rPr>
          <w:rFonts w:ascii="Times New Roman" w:hAnsi="Times New Roman"/>
        </w:rPr>
        <w:t>Krygz</w:t>
      </w:r>
      <w:proofErr w:type="spellEnd"/>
      <w:r w:rsidR="00513C34" w:rsidRPr="005D5356">
        <w:rPr>
          <w:rFonts w:ascii="Times New Roman" w:hAnsi="Times New Roman"/>
        </w:rPr>
        <w:t xml:space="preserve"> Republic and Tajikistan) while our study found high prevalence of daily </w:t>
      </w:r>
      <w:r w:rsidR="00D7359E">
        <w:rPr>
          <w:rFonts w:ascii="Times New Roman" w:hAnsi="Times New Roman"/>
        </w:rPr>
        <w:t xml:space="preserve">household </w:t>
      </w:r>
      <w:r w:rsidR="00513C34" w:rsidRPr="005D5356">
        <w:rPr>
          <w:rFonts w:ascii="Times New Roman" w:hAnsi="Times New Roman"/>
        </w:rPr>
        <w:t>SHS exposure among pregnant women in these countries.</w:t>
      </w:r>
      <w:r w:rsidR="000D2C95" w:rsidRPr="005D5356">
        <w:rPr>
          <w:rFonts w:ascii="Times New Roman" w:hAnsi="Times New Roman"/>
        </w:rPr>
        <w:t xml:space="preserve"> </w:t>
      </w:r>
      <w:r w:rsidR="00513C34" w:rsidRPr="005D5356">
        <w:rPr>
          <w:rFonts w:ascii="Times New Roman" w:hAnsi="Times New Roman"/>
        </w:rPr>
        <w:t xml:space="preserve">This suggests active and passive smoking patterns may follow similar trends in some regions, but may diverge in others, underscoring the importance of studying both active </w:t>
      </w:r>
      <w:r w:rsidR="00AE5FC6" w:rsidRPr="005D5356">
        <w:rPr>
          <w:rFonts w:ascii="Times New Roman" w:hAnsi="Times New Roman"/>
        </w:rPr>
        <w:t>and passive smoking</w:t>
      </w:r>
      <w:r w:rsidR="00513C34" w:rsidRPr="005D5356">
        <w:rPr>
          <w:rFonts w:ascii="Times New Roman" w:hAnsi="Times New Roman"/>
        </w:rPr>
        <w:t>.</w:t>
      </w:r>
    </w:p>
    <w:p w14:paraId="547B002E" w14:textId="77777777" w:rsidR="00513C34" w:rsidRPr="005D5356" w:rsidRDefault="00513C34" w:rsidP="00F07639">
      <w:pPr>
        <w:spacing w:line="480" w:lineRule="auto"/>
        <w:rPr>
          <w:rFonts w:ascii="Times New Roman" w:hAnsi="Times New Roman"/>
        </w:rPr>
      </w:pPr>
    </w:p>
    <w:p w14:paraId="0DC2C8BE" w14:textId="6DEB7804" w:rsidR="00513C34" w:rsidRPr="005D5356" w:rsidRDefault="00513C34" w:rsidP="00F07639">
      <w:pPr>
        <w:spacing w:line="480" w:lineRule="auto"/>
        <w:rPr>
          <w:rFonts w:ascii="Times New Roman" w:hAnsi="Times New Roman"/>
        </w:rPr>
      </w:pPr>
      <w:r w:rsidRPr="005D5356">
        <w:rPr>
          <w:rFonts w:ascii="Times New Roman" w:hAnsi="Times New Roman"/>
        </w:rPr>
        <w:t xml:space="preserve">While this is the first multinational study to assess </w:t>
      </w:r>
      <w:r w:rsidR="00D7359E">
        <w:rPr>
          <w:rFonts w:ascii="Times New Roman" w:hAnsi="Times New Roman"/>
        </w:rPr>
        <w:t xml:space="preserve">household </w:t>
      </w:r>
      <w:r w:rsidRPr="005D5356">
        <w:rPr>
          <w:rFonts w:ascii="Times New Roman" w:hAnsi="Times New Roman"/>
        </w:rPr>
        <w:t xml:space="preserve">SHS exposure in pregnant women, previous studies have assessed </w:t>
      </w:r>
      <w:r w:rsidR="00D7359E">
        <w:rPr>
          <w:rFonts w:ascii="Times New Roman" w:hAnsi="Times New Roman"/>
        </w:rPr>
        <w:t xml:space="preserve">household </w:t>
      </w:r>
      <w:r w:rsidRPr="005D5356">
        <w:rPr>
          <w:rFonts w:ascii="Times New Roman" w:hAnsi="Times New Roman"/>
        </w:rPr>
        <w:t xml:space="preserve">SHS exposure in single countries. </w:t>
      </w:r>
      <w:r w:rsidR="00C6144C" w:rsidRPr="005D5356">
        <w:rPr>
          <w:rFonts w:ascii="Times New Roman" w:hAnsi="Times New Roman"/>
        </w:rPr>
        <w:t>Fischer et al</w:t>
      </w:r>
      <w:r w:rsidRPr="005D5356">
        <w:rPr>
          <w:rFonts w:ascii="Times New Roman" w:hAnsi="Times New Roman"/>
        </w:rPr>
        <w:t xml:space="preserve"> found prevalence of </w:t>
      </w:r>
      <w:r w:rsidR="00C6144C" w:rsidRPr="005D5356">
        <w:rPr>
          <w:rFonts w:ascii="Times New Roman" w:hAnsi="Times New Roman"/>
        </w:rPr>
        <w:t xml:space="preserve">daily </w:t>
      </w:r>
      <w:r w:rsidR="00D7359E">
        <w:rPr>
          <w:rFonts w:ascii="Times New Roman" w:hAnsi="Times New Roman"/>
        </w:rPr>
        <w:t xml:space="preserve">household </w:t>
      </w:r>
      <w:r w:rsidRPr="005D5356">
        <w:rPr>
          <w:rFonts w:ascii="Times New Roman" w:hAnsi="Times New Roman"/>
        </w:rPr>
        <w:t>SHS exposure among pregnant women in Bangladesh to be 46</w:t>
      </w:r>
      <w:r w:rsidR="005D7B88" w:rsidRPr="005D5356">
        <w:rPr>
          <w:rFonts w:ascii="Times New Roman" w:hAnsi="Times New Roman"/>
        </w:rPr>
        <w:t>·</w:t>
      </w:r>
      <w:r w:rsidR="00C6144C" w:rsidRPr="005D5356">
        <w:rPr>
          <w:rFonts w:ascii="Times New Roman" w:hAnsi="Times New Roman"/>
        </w:rPr>
        <w:t>7% using the 2011 Bangladesh DHS</w:t>
      </w:r>
      <w:proofErr w:type="gramStart"/>
      <w:r w:rsidR="00C6144C" w:rsidRPr="005D5356">
        <w:rPr>
          <w:rFonts w:ascii="Times New Roman" w:hAnsi="Times New Roman"/>
        </w:rPr>
        <w:t>.</w:t>
      </w:r>
      <w:r w:rsidR="00E70F4A" w:rsidRPr="005D5356">
        <w:rPr>
          <w:rFonts w:ascii="Times New Roman" w:hAnsi="Times New Roman"/>
        </w:rPr>
        <w:t>[</w:t>
      </w:r>
      <w:proofErr w:type="gramEnd"/>
      <w:r w:rsidR="004E4993">
        <w:rPr>
          <w:rFonts w:ascii="Times New Roman" w:hAnsi="Times New Roman"/>
        </w:rPr>
        <w:t>2</w:t>
      </w:r>
      <w:r w:rsidR="00F91C26">
        <w:rPr>
          <w:rFonts w:ascii="Times New Roman" w:hAnsi="Times New Roman"/>
        </w:rPr>
        <w:t>7</w:t>
      </w:r>
      <w:r w:rsidR="00E70F4A" w:rsidRPr="005D5356">
        <w:rPr>
          <w:rFonts w:ascii="Times New Roman" w:hAnsi="Times New Roman"/>
        </w:rPr>
        <w:t>]</w:t>
      </w:r>
      <w:r w:rsidR="00C6144C" w:rsidRPr="005D5356">
        <w:rPr>
          <w:rFonts w:ascii="Times New Roman" w:hAnsi="Times New Roman"/>
        </w:rPr>
        <w:t xml:space="preserve"> Our finding of 4</w:t>
      </w:r>
      <w:r w:rsidR="009555FE">
        <w:rPr>
          <w:rFonts w:ascii="Times New Roman" w:hAnsi="Times New Roman"/>
        </w:rPr>
        <w:t>8.</w:t>
      </w:r>
      <w:r w:rsidR="00C6144C" w:rsidRPr="005D5356">
        <w:rPr>
          <w:rFonts w:ascii="Times New Roman" w:hAnsi="Times New Roman"/>
        </w:rPr>
        <w:t>9%</w:t>
      </w:r>
      <w:r w:rsidR="009555FE">
        <w:rPr>
          <w:rFonts w:ascii="Times New Roman" w:hAnsi="Times New Roman"/>
        </w:rPr>
        <w:t xml:space="preserve"> (</w:t>
      </w:r>
      <w:r w:rsidR="0009633D">
        <w:rPr>
          <w:rFonts w:ascii="Times New Roman" w:hAnsi="Times New Roman"/>
        </w:rPr>
        <w:t>45.26%, 52.55%)</w:t>
      </w:r>
      <w:r w:rsidR="00C6144C" w:rsidRPr="005D5356">
        <w:rPr>
          <w:rFonts w:ascii="Times New Roman" w:hAnsi="Times New Roman"/>
        </w:rPr>
        <w:t xml:space="preserve"> from the 2014 Bangladesh DHS suggests prevalence of </w:t>
      </w:r>
      <w:r w:rsidR="00D7359E">
        <w:rPr>
          <w:rFonts w:ascii="Times New Roman" w:hAnsi="Times New Roman"/>
        </w:rPr>
        <w:t xml:space="preserve">household </w:t>
      </w:r>
      <w:r w:rsidR="00C6144C" w:rsidRPr="005D5356">
        <w:rPr>
          <w:rFonts w:ascii="Times New Roman" w:hAnsi="Times New Roman"/>
        </w:rPr>
        <w:t xml:space="preserve">SHS exposure </w:t>
      </w:r>
      <w:r w:rsidR="00506527">
        <w:rPr>
          <w:rFonts w:ascii="Times New Roman" w:hAnsi="Times New Roman"/>
        </w:rPr>
        <w:t>has remained</w:t>
      </w:r>
      <w:r w:rsidR="009732E2">
        <w:rPr>
          <w:rFonts w:ascii="Times New Roman" w:hAnsi="Times New Roman"/>
        </w:rPr>
        <w:t xml:space="preserve"> </w:t>
      </w:r>
      <w:r w:rsidR="00FB2914">
        <w:rPr>
          <w:rFonts w:ascii="Times New Roman" w:hAnsi="Times New Roman"/>
        </w:rPr>
        <w:t>constant</w:t>
      </w:r>
      <w:r w:rsidR="00C6144C" w:rsidRPr="005D5356">
        <w:rPr>
          <w:rFonts w:ascii="Times New Roman" w:hAnsi="Times New Roman"/>
        </w:rPr>
        <w:t xml:space="preserve">. </w:t>
      </w:r>
      <w:r w:rsidR="000945E9" w:rsidRPr="005D5356">
        <w:rPr>
          <w:rFonts w:ascii="Times New Roman" w:hAnsi="Times New Roman"/>
        </w:rPr>
        <w:t xml:space="preserve">This is similarly reflected in previous studies </w:t>
      </w:r>
      <w:r w:rsidR="001833D6" w:rsidRPr="005D5356">
        <w:rPr>
          <w:rFonts w:ascii="Times New Roman" w:hAnsi="Times New Roman"/>
        </w:rPr>
        <w:t xml:space="preserve">conducted in Jordan that </w:t>
      </w:r>
      <w:r w:rsidR="000945E9" w:rsidRPr="005D5356">
        <w:rPr>
          <w:rFonts w:ascii="Times New Roman" w:hAnsi="Times New Roman"/>
        </w:rPr>
        <w:t xml:space="preserve">reported </w:t>
      </w:r>
      <w:r w:rsidR="00B36B57" w:rsidRPr="005D5356">
        <w:rPr>
          <w:rFonts w:ascii="Times New Roman" w:hAnsi="Times New Roman"/>
        </w:rPr>
        <w:t>50·4% of pregnant women are exposed to SHS in the home</w:t>
      </w:r>
      <w:proofErr w:type="gramStart"/>
      <w:r w:rsidR="00B36B57" w:rsidRPr="005D5356">
        <w:rPr>
          <w:rFonts w:ascii="Times New Roman" w:hAnsi="Times New Roman"/>
        </w:rPr>
        <w:t>,</w:t>
      </w:r>
      <w:r w:rsidR="00E70F4A" w:rsidRPr="005D5356">
        <w:rPr>
          <w:rFonts w:ascii="Times New Roman" w:hAnsi="Times New Roman"/>
        </w:rPr>
        <w:t>[</w:t>
      </w:r>
      <w:proofErr w:type="gramEnd"/>
      <w:r w:rsidR="004E4993">
        <w:rPr>
          <w:rFonts w:ascii="Times New Roman" w:hAnsi="Times New Roman"/>
        </w:rPr>
        <w:t>2</w:t>
      </w:r>
      <w:r w:rsidR="00F91C26">
        <w:rPr>
          <w:rFonts w:ascii="Times New Roman" w:hAnsi="Times New Roman"/>
        </w:rPr>
        <w:t>8</w:t>
      </w:r>
      <w:r w:rsidR="00E70F4A" w:rsidRPr="005D5356">
        <w:rPr>
          <w:rFonts w:ascii="Times New Roman" w:hAnsi="Times New Roman"/>
        </w:rPr>
        <w:t>]</w:t>
      </w:r>
      <w:r w:rsidR="00B36B57" w:rsidRPr="005D5356">
        <w:rPr>
          <w:rFonts w:ascii="Times New Roman" w:hAnsi="Times New Roman"/>
        </w:rPr>
        <w:t xml:space="preserve"> compared to </w:t>
      </w:r>
      <w:r w:rsidR="00CB09AB" w:rsidRPr="005D5356">
        <w:rPr>
          <w:rFonts w:ascii="Times New Roman" w:hAnsi="Times New Roman"/>
        </w:rPr>
        <w:t>the</w:t>
      </w:r>
      <w:r w:rsidR="00B36B57" w:rsidRPr="005D5356">
        <w:rPr>
          <w:rFonts w:ascii="Times New Roman" w:hAnsi="Times New Roman"/>
        </w:rPr>
        <w:t xml:space="preserve"> higher prevalence of 63·4</w:t>
      </w:r>
      <w:r w:rsidR="00CB09AB" w:rsidRPr="005D5356">
        <w:rPr>
          <w:rFonts w:ascii="Times New Roman" w:hAnsi="Times New Roman"/>
        </w:rPr>
        <w:t xml:space="preserve">% reported in this study. </w:t>
      </w:r>
      <w:r w:rsidR="00C6144C" w:rsidRPr="005D5356">
        <w:rPr>
          <w:rFonts w:ascii="Times New Roman" w:hAnsi="Times New Roman"/>
        </w:rPr>
        <w:t>Fischer et al also found low educational attainment and low wealth to be associated with increased daily SHS exposure</w:t>
      </w:r>
      <w:proofErr w:type="gramStart"/>
      <w:r w:rsidR="00C6144C" w:rsidRPr="005D5356">
        <w:rPr>
          <w:rFonts w:ascii="Times New Roman" w:hAnsi="Times New Roman"/>
        </w:rPr>
        <w:t>.</w:t>
      </w:r>
      <w:r w:rsidR="00E70F4A" w:rsidRPr="005D5356">
        <w:rPr>
          <w:rFonts w:ascii="Times New Roman" w:hAnsi="Times New Roman"/>
        </w:rPr>
        <w:t>[</w:t>
      </w:r>
      <w:proofErr w:type="gramEnd"/>
      <w:r w:rsidR="004E4993">
        <w:rPr>
          <w:rFonts w:ascii="Times New Roman" w:hAnsi="Times New Roman"/>
        </w:rPr>
        <w:t>2</w:t>
      </w:r>
      <w:r w:rsidR="00F91C26">
        <w:rPr>
          <w:rFonts w:ascii="Times New Roman" w:hAnsi="Times New Roman"/>
        </w:rPr>
        <w:t>7</w:t>
      </w:r>
      <w:r w:rsidR="00E70F4A" w:rsidRPr="005D5356">
        <w:rPr>
          <w:rFonts w:ascii="Times New Roman" w:hAnsi="Times New Roman"/>
        </w:rPr>
        <w:t>]</w:t>
      </w:r>
      <w:r w:rsidR="00C6144C" w:rsidRPr="005D5356">
        <w:rPr>
          <w:rFonts w:ascii="Times New Roman" w:hAnsi="Times New Roman"/>
        </w:rPr>
        <w:t xml:space="preserve"> </w:t>
      </w:r>
    </w:p>
    <w:p w14:paraId="049BE74F" w14:textId="77777777" w:rsidR="00C6144C" w:rsidRPr="005D5356" w:rsidRDefault="00C6144C" w:rsidP="00F07639">
      <w:pPr>
        <w:spacing w:line="480" w:lineRule="auto"/>
        <w:rPr>
          <w:rFonts w:ascii="Times New Roman" w:hAnsi="Times New Roman"/>
        </w:rPr>
      </w:pPr>
    </w:p>
    <w:p w14:paraId="6C0583B5" w14:textId="4D7EC89A" w:rsidR="00121165" w:rsidRPr="005D5356" w:rsidRDefault="00A75E3C" w:rsidP="00F07639">
      <w:pPr>
        <w:spacing w:line="480" w:lineRule="auto"/>
        <w:rPr>
          <w:rFonts w:ascii="Times New Roman" w:hAnsi="Times New Roman"/>
        </w:rPr>
      </w:pPr>
      <w:r w:rsidRPr="005D5356">
        <w:rPr>
          <w:rFonts w:ascii="Times New Roman" w:hAnsi="Times New Roman"/>
        </w:rPr>
        <w:t>R</w:t>
      </w:r>
      <w:r w:rsidR="00C253AD" w:rsidRPr="005D5356">
        <w:rPr>
          <w:rFonts w:ascii="Times New Roman" w:hAnsi="Times New Roman"/>
        </w:rPr>
        <w:t xml:space="preserve">ates of exposure to </w:t>
      </w:r>
      <w:r w:rsidR="00D7359E">
        <w:rPr>
          <w:rFonts w:ascii="Times New Roman" w:hAnsi="Times New Roman"/>
        </w:rPr>
        <w:t xml:space="preserve">household </w:t>
      </w:r>
      <w:r w:rsidR="00C253AD" w:rsidRPr="005D5356">
        <w:rPr>
          <w:rFonts w:ascii="Times New Roman" w:hAnsi="Times New Roman"/>
        </w:rPr>
        <w:t xml:space="preserve">SHS in pregnancy </w:t>
      </w:r>
      <w:r w:rsidR="008065CD" w:rsidRPr="005D5356">
        <w:rPr>
          <w:rFonts w:ascii="Times New Roman" w:hAnsi="Times New Roman"/>
        </w:rPr>
        <w:t xml:space="preserve">compared to active smoking </w:t>
      </w:r>
      <w:r w:rsidR="00C253AD" w:rsidRPr="005D5356">
        <w:rPr>
          <w:rFonts w:ascii="Times New Roman" w:hAnsi="Times New Roman"/>
        </w:rPr>
        <w:t>are</w:t>
      </w:r>
      <w:r w:rsidR="0073279C" w:rsidRPr="005D5356">
        <w:rPr>
          <w:rFonts w:ascii="Times New Roman" w:hAnsi="Times New Roman"/>
        </w:rPr>
        <w:t xml:space="preserve"> consistently</w:t>
      </w:r>
      <w:r w:rsidR="00C253AD" w:rsidRPr="005D5356">
        <w:rPr>
          <w:rFonts w:ascii="Times New Roman" w:hAnsi="Times New Roman"/>
        </w:rPr>
        <w:t xml:space="preserve"> higher</w:t>
      </w:r>
      <w:r w:rsidR="00B336D5" w:rsidRPr="005D5356">
        <w:rPr>
          <w:rFonts w:ascii="Times New Roman" w:hAnsi="Times New Roman"/>
        </w:rPr>
        <w:t xml:space="preserve"> across all countries</w:t>
      </w:r>
      <w:r w:rsidR="00DD4FDE" w:rsidRPr="005D5356">
        <w:rPr>
          <w:rFonts w:ascii="Times New Roman" w:hAnsi="Times New Roman"/>
        </w:rPr>
        <w:t xml:space="preserve"> in our analysis. </w:t>
      </w:r>
      <w:r w:rsidR="003E0303" w:rsidRPr="005D5356">
        <w:rPr>
          <w:rFonts w:ascii="Times New Roman" w:hAnsi="Times New Roman"/>
        </w:rPr>
        <w:t xml:space="preserve">Smoking </w:t>
      </w:r>
      <w:r w:rsidR="00DD4FDE" w:rsidRPr="005D5356">
        <w:rPr>
          <w:rFonts w:ascii="Times New Roman" w:hAnsi="Times New Roman"/>
        </w:rPr>
        <w:t xml:space="preserve">has traditionally been viewed as </w:t>
      </w:r>
      <w:r w:rsidR="003E0303" w:rsidRPr="005D5356">
        <w:rPr>
          <w:rFonts w:ascii="Times New Roman" w:hAnsi="Times New Roman"/>
        </w:rPr>
        <w:t>culturally inappropriate for women in m</w:t>
      </w:r>
      <w:r w:rsidR="00DD4FDE" w:rsidRPr="005D5356">
        <w:rPr>
          <w:rFonts w:ascii="Times New Roman" w:hAnsi="Times New Roman"/>
        </w:rPr>
        <w:t>any</w:t>
      </w:r>
      <w:r w:rsidR="003E0303" w:rsidRPr="005D5356">
        <w:rPr>
          <w:rFonts w:ascii="Times New Roman" w:hAnsi="Times New Roman"/>
        </w:rPr>
        <w:t xml:space="preserve"> LMICs, which has </w:t>
      </w:r>
      <w:r w:rsidR="00CE67DE" w:rsidRPr="005D5356">
        <w:rPr>
          <w:rFonts w:ascii="Times New Roman" w:hAnsi="Times New Roman"/>
        </w:rPr>
        <w:t xml:space="preserve">been beneficial as a protector against smoking uptake. </w:t>
      </w:r>
      <w:r w:rsidR="00DD4FDE" w:rsidRPr="005D5356">
        <w:rPr>
          <w:rFonts w:ascii="Times New Roman" w:hAnsi="Times New Roman"/>
        </w:rPr>
        <w:t xml:space="preserve">However, male smoking prevalence remains high in many LMICs. </w:t>
      </w:r>
      <w:r w:rsidR="00C57899" w:rsidRPr="005D5356">
        <w:rPr>
          <w:rFonts w:ascii="Times New Roman" w:hAnsi="Times New Roman"/>
        </w:rPr>
        <w:t xml:space="preserve">It is highly likely that the higher rates of </w:t>
      </w:r>
      <w:r w:rsidR="001A1D12">
        <w:rPr>
          <w:rFonts w:ascii="Times New Roman" w:hAnsi="Times New Roman"/>
        </w:rPr>
        <w:t xml:space="preserve">household </w:t>
      </w:r>
      <w:r w:rsidR="00C57899" w:rsidRPr="005D5356">
        <w:rPr>
          <w:rFonts w:ascii="Times New Roman" w:hAnsi="Times New Roman"/>
        </w:rPr>
        <w:t xml:space="preserve">SHS exposure reflected in the analysis </w:t>
      </w:r>
      <w:r w:rsidR="00A6421D" w:rsidRPr="005D5356">
        <w:rPr>
          <w:rFonts w:ascii="Times New Roman" w:hAnsi="Times New Roman"/>
        </w:rPr>
        <w:t xml:space="preserve">are reflecting male smoking </w:t>
      </w:r>
      <w:proofErr w:type="spellStart"/>
      <w:r w:rsidR="00A6421D" w:rsidRPr="005D5356">
        <w:rPr>
          <w:rFonts w:ascii="Times New Roman" w:hAnsi="Times New Roman"/>
        </w:rPr>
        <w:t>behaviours</w:t>
      </w:r>
      <w:proofErr w:type="spellEnd"/>
      <w:r w:rsidR="00A839A3">
        <w:rPr>
          <w:rFonts w:ascii="Times New Roman" w:hAnsi="Times New Roman"/>
        </w:rPr>
        <w:t>, the rates for which</w:t>
      </w:r>
      <w:r w:rsidR="0036155E">
        <w:rPr>
          <w:rFonts w:ascii="Times New Roman" w:hAnsi="Times New Roman"/>
        </w:rPr>
        <w:t xml:space="preserve"> </w:t>
      </w:r>
      <w:r w:rsidR="00E70F4A" w:rsidRPr="005D5356">
        <w:rPr>
          <w:rFonts w:ascii="Times New Roman" w:hAnsi="Times New Roman"/>
        </w:rPr>
        <w:t>[</w:t>
      </w:r>
      <w:r w:rsidR="004E4993">
        <w:rPr>
          <w:rFonts w:ascii="Times New Roman" w:hAnsi="Times New Roman"/>
        </w:rPr>
        <w:t>2</w:t>
      </w:r>
      <w:r w:rsidR="00F91C26">
        <w:rPr>
          <w:rFonts w:ascii="Times New Roman" w:hAnsi="Times New Roman"/>
        </w:rPr>
        <w:t>9-34</w:t>
      </w:r>
      <w:r w:rsidR="00E70F4A" w:rsidRPr="005D5356">
        <w:rPr>
          <w:rFonts w:ascii="Times New Roman" w:hAnsi="Times New Roman"/>
        </w:rPr>
        <w:t>]</w:t>
      </w:r>
      <w:r w:rsidR="00D300EE" w:rsidRPr="005D5356">
        <w:rPr>
          <w:rFonts w:ascii="Times New Roman" w:hAnsi="Times New Roman"/>
        </w:rPr>
        <w:t xml:space="preserve"> </w:t>
      </w:r>
      <w:r w:rsidR="0036155E">
        <w:rPr>
          <w:rFonts w:ascii="Times New Roman" w:hAnsi="Times New Roman"/>
        </w:rPr>
        <w:t>are similar to our SHS exposure findings.</w:t>
      </w:r>
    </w:p>
    <w:p w14:paraId="2A9AB7EF" w14:textId="77777777" w:rsidR="00121165" w:rsidRPr="005D5356" w:rsidRDefault="00121165" w:rsidP="00F07639">
      <w:pPr>
        <w:spacing w:line="480" w:lineRule="auto"/>
        <w:rPr>
          <w:rFonts w:ascii="Times New Roman" w:hAnsi="Times New Roman"/>
        </w:rPr>
      </w:pPr>
    </w:p>
    <w:p w14:paraId="0C8F04FF" w14:textId="50776F2E" w:rsidR="003D4736" w:rsidRDefault="001A1D12" w:rsidP="00F07639">
      <w:pPr>
        <w:spacing w:line="480" w:lineRule="auto"/>
        <w:rPr>
          <w:rFonts w:ascii="Times New Roman" w:hAnsi="Times New Roman"/>
        </w:rPr>
      </w:pPr>
      <w:r>
        <w:rPr>
          <w:rFonts w:ascii="Times New Roman" w:hAnsi="Times New Roman"/>
        </w:rPr>
        <w:lastRenderedPageBreak/>
        <w:t xml:space="preserve">Household </w:t>
      </w:r>
      <w:r w:rsidR="00DD4FDE" w:rsidRPr="005D5356">
        <w:rPr>
          <w:rFonts w:ascii="Times New Roman" w:hAnsi="Times New Roman"/>
        </w:rPr>
        <w:t>SHS exposure during pregnancy poses a particular challenge for LMICs. A</w:t>
      </w:r>
      <w:r w:rsidR="00EA5636" w:rsidRPr="005D5356">
        <w:rPr>
          <w:rFonts w:ascii="Times New Roman" w:hAnsi="Times New Roman"/>
        </w:rPr>
        <w:t xml:space="preserve">wareness of the </w:t>
      </w:r>
      <w:r w:rsidR="002D3A40" w:rsidRPr="005D5356">
        <w:rPr>
          <w:rFonts w:ascii="Times New Roman" w:hAnsi="Times New Roman"/>
        </w:rPr>
        <w:t xml:space="preserve">harms associated with SHS, </w:t>
      </w:r>
      <w:r w:rsidR="003D4736" w:rsidRPr="005D5356">
        <w:rPr>
          <w:rFonts w:ascii="Times New Roman" w:hAnsi="Times New Roman"/>
        </w:rPr>
        <w:t>is often lower in LMICs</w:t>
      </w:r>
      <w:proofErr w:type="gramStart"/>
      <w:r w:rsidR="002907BC">
        <w:rPr>
          <w:rFonts w:ascii="Times New Roman" w:hAnsi="Times New Roman"/>
        </w:rPr>
        <w:t>.</w:t>
      </w:r>
      <w:r w:rsidR="00AB5490">
        <w:rPr>
          <w:rFonts w:ascii="Times New Roman" w:hAnsi="Times New Roman"/>
        </w:rPr>
        <w:t>[</w:t>
      </w:r>
      <w:proofErr w:type="gramEnd"/>
      <w:r w:rsidR="00EA2765">
        <w:rPr>
          <w:rFonts w:ascii="Times New Roman" w:hAnsi="Times New Roman"/>
        </w:rPr>
        <w:t>3</w:t>
      </w:r>
      <w:r w:rsidR="00F91C26">
        <w:rPr>
          <w:rFonts w:ascii="Times New Roman" w:hAnsi="Times New Roman"/>
        </w:rPr>
        <w:t>5</w:t>
      </w:r>
      <w:r w:rsidR="00EA2765">
        <w:rPr>
          <w:rFonts w:ascii="Times New Roman" w:hAnsi="Times New Roman"/>
        </w:rPr>
        <w:t>]</w:t>
      </w:r>
      <w:r w:rsidR="003D4736" w:rsidRPr="005D5356">
        <w:rPr>
          <w:rFonts w:ascii="Times New Roman" w:hAnsi="Times New Roman"/>
        </w:rPr>
        <w:t xml:space="preserve"> And in some LMICs, due to patriarchal family structures, women may not feel comfor</w:t>
      </w:r>
      <w:bookmarkStart w:id="0" w:name="_GoBack"/>
      <w:r w:rsidR="003D4736" w:rsidRPr="005D5356">
        <w:rPr>
          <w:rFonts w:ascii="Times New Roman" w:hAnsi="Times New Roman"/>
        </w:rPr>
        <w:t>table</w:t>
      </w:r>
      <w:bookmarkEnd w:id="0"/>
      <w:r w:rsidR="003D4736" w:rsidRPr="005D5356">
        <w:rPr>
          <w:rFonts w:ascii="Times New Roman" w:hAnsi="Times New Roman"/>
        </w:rPr>
        <w:t xml:space="preserve"> challenging male smoking behavior, even if they are aware of potential harm.</w:t>
      </w:r>
      <w:r w:rsidR="00E70F4A" w:rsidRPr="005D5356">
        <w:rPr>
          <w:rFonts w:ascii="Times New Roman" w:hAnsi="Times New Roman"/>
        </w:rPr>
        <w:t>[</w:t>
      </w:r>
      <w:r w:rsidR="00F91C26">
        <w:rPr>
          <w:rFonts w:ascii="Times New Roman" w:hAnsi="Times New Roman"/>
        </w:rPr>
        <w:t>35</w:t>
      </w:r>
      <w:r w:rsidR="00E70F4A" w:rsidRPr="005D5356">
        <w:rPr>
          <w:rFonts w:ascii="Times New Roman" w:hAnsi="Times New Roman"/>
        </w:rPr>
        <w:t>]</w:t>
      </w:r>
      <w:r w:rsidR="003D4736" w:rsidRPr="005D5356">
        <w:rPr>
          <w:rFonts w:ascii="Times New Roman" w:hAnsi="Times New Roman"/>
        </w:rPr>
        <w:t xml:space="preserve"> Furthermore, weak tobacco control policies or implementation result in fewer protections against </w:t>
      </w:r>
      <w:r w:rsidR="00B26002">
        <w:rPr>
          <w:rFonts w:ascii="Times New Roman" w:hAnsi="Times New Roman"/>
        </w:rPr>
        <w:t xml:space="preserve">household </w:t>
      </w:r>
      <w:r w:rsidR="003D4736" w:rsidRPr="005D5356">
        <w:rPr>
          <w:rFonts w:ascii="Times New Roman" w:hAnsi="Times New Roman"/>
        </w:rPr>
        <w:t xml:space="preserve">SHS exposure and persistence of pro-tobacco social norms. In such environments, with fewer controls on tobacco industry marketing, there is also potential for future increases in women tobacco users. </w:t>
      </w:r>
    </w:p>
    <w:p w14:paraId="1F2D0520" w14:textId="77777777" w:rsidR="000F2922" w:rsidRPr="005D5356" w:rsidRDefault="000F2922" w:rsidP="00F07639">
      <w:pPr>
        <w:spacing w:line="480" w:lineRule="auto"/>
        <w:rPr>
          <w:rFonts w:ascii="Times New Roman" w:hAnsi="Times New Roman"/>
        </w:rPr>
      </w:pPr>
    </w:p>
    <w:p w14:paraId="4F8B2F83" w14:textId="5632FFC3" w:rsidR="00A613FB" w:rsidRPr="00FD3C6D" w:rsidRDefault="00FD3C6D" w:rsidP="00F07639">
      <w:pPr>
        <w:spacing w:line="480" w:lineRule="auto"/>
        <w:rPr>
          <w:rFonts w:ascii="Times New Roman" w:hAnsi="Times New Roman"/>
          <w:b/>
        </w:rPr>
      </w:pPr>
      <w:r w:rsidRPr="00FD3C6D">
        <w:rPr>
          <w:rFonts w:ascii="Times New Roman" w:hAnsi="Times New Roman"/>
          <w:b/>
        </w:rPr>
        <w:t>Limitations</w:t>
      </w:r>
    </w:p>
    <w:p w14:paraId="1D2A4F0E" w14:textId="77777777" w:rsidR="000F2922" w:rsidRDefault="000F2922" w:rsidP="00F07639">
      <w:pPr>
        <w:spacing w:line="480" w:lineRule="auto"/>
        <w:rPr>
          <w:rFonts w:ascii="Times New Roman" w:hAnsi="Times New Roman"/>
        </w:rPr>
      </w:pPr>
    </w:p>
    <w:p w14:paraId="51F81427" w14:textId="13ED7BBB" w:rsidR="00015FD3" w:rsidRDefault="00CF1FBE" w:rsidP="00F07639">
      <w:pPr>
        <w:spacing w:line="480" w:lineRule="auto"/>
        <w:rPr>
          <w:rFonts w:ascii="Times New Roman" w:hAnsi="Times New Roman"/>
        </w:rPr>
      </w:pPr>
      <w:r w:rsidRPr="005D5356">
        <w:rPr>
          <w:rFonts w:ascii="Times New Roman" w:hAnsi="Times New Roman"/>
        </w:rPr>
        <w:t xml:space="preserve">While DHS data provide nationally representative estimates, the surveys are self-reported and subject to underestimation. Previous research has found pregnant women </w:t>
      </w:r>
      <w:r w:rsidR="00330FAD" w:rsidRPr="005D5356">
        <w:rPr>
          <w:rFonts w:ascii="Times New Roman" w:hAnsi="Times New Roman"/>
        </w:rPr>
        <w:t>may</w:t>
      </w:r>
      <w:r w:rsidRPr="005D5356">
        <w:rPr>
          <w:rFonts w:ascii="Times New Roman" w:hAnsi="Times New Roman"/>
        </w:rPr>
        <w:t xml:space="preserve"> underreport tobacco use</w:t>
      </w:r>
      <w:r w:rsidR="00330FAD" w:rsidRPr="005D5356">
        <w:rPr>
          <w:rFonts w:ascii="Times New Roman" w:hAnsi="Times New Roman"/>
        </w:rPr>
        <w:t>, especially women with limited educational attainment and women exposed to SHS. This w</w:t>
      </w:r>
      <w:r w:rsidRPr="005D5356">
        <w:rPr>
          <w:rFonts w:ascii="Times New Roman" w:hAnsi="Times New Roman"/>
        </w:rPr>
        <w:t xml:space="preserve">ould lead to a higher prevalence of active and passive smoking than found in this analysis. </w:t>
      </w:r>
    </w:p>
    <w:p w14:paraId="24934AA0" w14:textId="77777777" w:rsidR="00015FD3" w:rsidRDefault="00015FD3" w:rsidP="00F07639">
      <w:pPr>
        <w:spacing w:line="480" w:lineRule="auto"/>
        <w:rPr>
          <w:rFonts w:ascii="Times New Roman" w:hAnsi="Times New Roman"/>
        </w:rPr>
      </w:pPr>
    </w:p>
    <w:p w14:paraId="354CBDB3" w14:textId="43442FB2" w:rsidR="00015FD3" w:rsidRPr="00015FD3" w:rsidRDefault="00330FAD" w:rsidP="00015FD3">
      <w:pPr>
        <w:spacing w:line="480" w:lineRule="auto"/>
        <w:rPr>
          <w:rFonts w:ascii="Times New Roman" w:hAnsi="Times New Roman"/>
          <w:lang w:val="en-GB"/>
        </w:rPr>
      </w:pPr>
      <w:r w:rsidRPr="005D5356">
        <w:rPr>
          <w:rFonts w:ascii="Times New Roman" w:hAnsi="Times New Roman"/>
        </w:rPr>
        <w:t>The distribution of countries across regions is another limitation</w:t>
      </w:r>
      <w:r w:rsidR="00015FD3">
        <w:rPr>
          <w:rFonts w:ascii="Times New Roman" w:hAnsi="Times New Roman"/>
        </w:rPr>
        <w:t xml:space="preserve"> of this study</w:t>
      </w:r>
      <w:r w:rsidRPr="005D5356">
        <w:rPr>
          <w:rFonts w:ascii="Times New Roman" w:hAnsi="Times New Roman"/>
        </w:rPr>
        <w:t>, as e</w:t>
      </w:r>
      <w:r w:rsidR="00A613FB" w:rsidRPr="005D5356">
        <w:rPr>
          <w:rFonts w:ascii="Times New Roman" w:hAnsi="Times New Roman"/>
        </w:rPr>
        <w:t xml:space="preserve">ach region was not represented by an equal number of countries. </w:t>
      </w:r>
      <w:proofErr w:type="gramStart"/>
      <w:r w:rsidR="00A613FB" w:rsidRPr="005D5356">
        <w:rPr>
          <w:rFonts w:ascii="Times New Roman" w:hAnsi="Times New Roman"/>
        </w:rPr>
        <w:t>Except for sub-Saharan Africa (19 countries)</w:t>
      </w:r>
      <w:r w:rsidR="00EB638D" w:rsidRPr="005D5356">
        <w:rPr>
          <w:rFonts w:ascii="Times New Roman" w:hAnsi="Times New Roman"/>
        </w:rPr>
        <w:t>,</w:t>
      </w:r>
      <w:r w:rsidR="00A613FB" w:rsidRPr="005D5356">
        <w:rPr>
          <w:rFonts w:ascii="Times New Roman" w:hAnsi="Times New Roman"/>
        </w:rPr>
        <w:t xml:space="preserve"> all regions were represented by two or three countries, based on countries that are included in the DHS study and had completed phase 6 of the survey</w:t>
      </w:r>
      <w:proofErr w:type="gramEnd"/>
      <w:r w:rsidR="00A613FB" w:rsidRPr="005D5356">
        <w:rPr>
          <w:rFonts w:ascii="Times New Roman" w:hAnsi="Times New Roman"/>
        </w:rPr>
        <w:t>.</w:t>
      </w:r>
      <w:r w:rsidR="00015FD3">
        <w:rPr>
          <w:rFonts w:ascii="Times New Roman" w:hAnsi="Times New Roman"/>
        </w:rPr>
        <w:t xml:space="preserve"> Additionally </w:t>
      </w:r>
      <w:r w:rsidR="00015FD3">
        <w:rPr>
          <w:rFonts w:ascii="Times New Roman" w:hAnsi="Times New Roman"/>
          <w:lang w:val="en-GB"/>
        </w:rPr>
        <w:t>i</w:t>
      </w:r>
      <w:r w:rsidR="00015FD3" w:rsidRPr="00015FD3">
        <w:rPr>
          <w:rFonts w:ascii="Times New Roman" w:hAnsi="Times New Roman"/>
          <w:lang w:val="en-GB"/>
        </w:rPr>
        <w:t>n calculating the PAF, we were limited to relying on relative risk estimates from pooled meta-analyses</w:t>
      </w:r>
      <w:r w:rsidR="00293110">
        <w:rPr>
          <w:rFonts w:ascii="Times New Roman" w:hAnsi="Times New Roman"/>
          <w:lang w:val="en-GB"/>
        </w:rPr>
        <w:t xml:space="preserve"> that found </w:t>
      </w:r>
      <w:r w:rsidR="003D609A">
        <w:rPr>
          <w:rFonts w:ascii="Times New Roman" w:hAnsi="Times New Roman"/>
          <w:lang w:val="en-GB"/>
        </w:rPr>
        <w:t xml:space="preserve">only </w:t>
      </w:r>
      <w:r w:rsidR="00293110">
        <w:rPr>
          <w:rFonts w:ascii="Times New Roman" w:hAnsi="Times New Roman"/>
          <w:lang w:val="en-GB"/>
        </w:rPr>
        <w:t>four studies that met inclusion criteria</w:t>
      </w:r>
      <w:r w:rsidR="00015FD3" w:rsidRPr="00015FD3">
        <w:rPr>
          <w:rFonts w:ascii="Times New Roman" w:hAnsi="Times New Roman"/>
          <w:lang w:val="en-GB"/>
        </w:rPr>
        <w:t xml:space="preserve">. </w:t>
      </w:r>
      <w:r w:rsidR="000A6ACE">
        <w:rPr>
          <w:rFonts w:ascii="Times New Roman" w:hAnsi="Times New Roman"/>
          <w:lang w:val="en-GB"/>
        </w:rPr>
        <w:t>C</w:t>
      </w:r>
      <w:r w:rsidR="000A6ACE" w:rsidRPr="00015FD3">
        <w:rPr>
          <w:rFonts w:ascii="Times New Roman" w:hAnsi="Times New Roman"/>
          <w:lang w:val="en-GB"/>
        </w:rPr>
        <w:t xml:space="preserve">ountry-specific relative risks </w:t>
      </w:r>
      <w:r w:rsidR="000A6ACE">
        <w:rPr>
          <w:rFonts w:ascii="Times New Roman" w:hAnsi="Times New Roman"/>
          <w:lang w:val="en-GB"/>
        </w:rPr>
        <w:t xml:space="preserve">were not </w:t>
      </w:r>
      <w:r w:rsidR="000A6ACE" w:rsidRPr="00015FD3">
        <w:rPr>
          <w:rFonts w:ascii="Times New Roman" w:hAnsi="Times New Roman"/>
          <w:lang w:val="en-GB"/>
        </w:rPr>
        <w:t>available for most countries</w:t>
      </w:r>
      <w:r w:rsidR="000A6ACE" w:rsidRPr="001B33F1">
        <w:rPr>
          <w:rFonts w:ascii="Times New Roman" w:hAnsi="Times New Roman"/>
          <w:lang w:val="en-GB"/>
        </w:rPr>
        <w:t xml:space="preserve"> </w:t>
      </w:r>
      <w:r w:rsidR="000A6ACE">
        <w:rPr>
          <w:rFonts w:ascii="Times New Roman" w:hAnsi="Times New Roman"/>
          <w:lang w:val="en-GB"/>
        </w:rPr>
        <w:t>and highlight a need for future research</w:t>
      </w:r>
      <w:r w:rsidR="000A6ACE" w:rsidRPr="00015FD3">
        <w:rPr>
          <w:rFonts w:ascii="Times New Roman" w:hAnsi="Times New Roman"/>
          <w:lang w:val="en-GB"/>
        </w:rPr>
        <w:t>.</w:t>
      </w:r>
      <w:r w:rsidR="000A6ACE">
        <w:rPr>
          <w:rFonts w:ascii="Times New Roman" w:hAnsi="Times New Roman"/>
          <w:lang w:val="en-GB"/>
        </w:rPr>
        <w:t xml:space="preserve"> </w:t>
      </w:r>
      <w:r w:rsidR="0050392F">
        <w:rPr>
          <w:rFonts w:ascii="Times New Roman" w:hAnsi="Times New Roman"/>
          <w:lang w:val="en-GB"/>
        </w:rPr>
        <w:t>A</w:t>
      </w:r>
      <w:r w:rsidR="00C14E3A">
        <w:rPr>
          <w:rFonts w:ascii="Times New Roman" w:hAnsi="Times New Roman"/>
          <w:lang w:val="en-GB"/>
        </w:rPr>
        <w:t xml:space="preserve">nalyses were </w:t>
      </w:r>
      <w:r w:rsidR="0050392F">
        <w:rPr>
          <w:rFonts w:ascii="Times New Roman" w:hAnsi="Times New Roman"/>
          <w:lang w:val="en-GB"/>
        </w:rPr>
        <w:t xml:space="preserve">therefore </w:t>
      </w:r>
      <w:r w:rsidR="00C14E3A">
        <w:rPr>
          <w:rFonts w:ascii="Times New Roman" w:hAnsi="Times New Roman"/>
          <w:lang w:val="en-GB"/>
        </w:rPr>
        <w:t xml:space="preserve">made on best estimates </w:t>
      </w:r>
      <w:r w:rsidR="00C14E3A">
        <w:rPr>
          <w:rFonts w:ascii="Times New Roman" w:hAnsi="Times New Roman"/>
          <w:lang w:val="en-GB"/>
        </w:rPr>
        <w:lastRenderedPageBreak/>
        <w:t xml:space="preserve">available </w:t>
      </w:r>
      <w:r w:rsidR="00CA7F91">
        <w:rPr>
          <w:rFonts w:ascii="Times New Roman" w:hAnsi="Times New Roman"/>
          <w:lang w:val="en-GB"/>
        </w:rPr>
        <w:t>from the meta-analyses</w:t>
      </w:r>
      <w:r w:rsidR="009F0C75">
        <w:rPr>
          <w:rFonts w:ascii="Times New Roman" w:hAnsi="Times New Roman"/>
          <w:lang w:val="en-GB"/>
        </w:rPr>
        <w:t xml:space="preserve"> </w:t>
      </w:r>
      <w:r w:rsidR="00CA7F91">
        <w:rPr>
          <w:rFonts w:ascii="Times New Roman" w:hAnsi="Times New Roman"/>
          <w:lang w:val="en-GB"/>
        </w:rPr>
        <w:t xml:space="preserve">available </w:t>
      </w:r>
      <w:r w:rsidR="00C14E3A">
        <w:rPr>
          <w:rFonts w:ascii="Times New Roman" w:hAnsi="Times New Roman"/>
          <w:lang w:val="en-GB"/>
        </w:rPr>
        <w:t xml:space="preserve">in the current literature. </w:t>
      </w:r>
      <w:r w:rsidR="000A6ACE">
        <w:rPr>
          <w:rFonts w:ascii="Times New Roman" w:hAnsi="Times New Roman"/>
          <w:lang w:val="en-GB"/>
        </w:rPr>
        <w:t>However</w:t>
      </w:r>
      <w:r w:rsidR="0050392F">
        <w:rPr>
          <w:rFonts w:ascii="Times New Roman" w:hAnsi="Times New Roman"/>
          <w:lang w:val="en-GB"/>
        </w:rPr>
        <w:t xml:space="preserve">, </w:t>
      </w:r>
      <w:r w:rsidR="00140724">
        <w:rPr>
          <w:rFonts w:ascii="Times New Roman" w:hAnsi="Times New Roman"/>
          <w:lang w:val="en-GB"/>
        </w:rPr>
        <w:t xml:space="preserve">application of these relative risk estimates may have generated results that may not be </w:t>
      </w:r>
      <w:r w:rsidR="00C20CB3">
        <w:rPr>
          <w:rFonts w:ascii="Times New Roman" w:hAnsi="Times New Roman"/>
          <w:lang w:val="en-GB"/>
        </w:rPr>
        <w:t>representative</w:t>
      </w:r>
      <w:r w:rsidR="00140724">
        <w:rPr>
          <w:rFonts w:ascii="Times New Roman" w:hAnsi="Times New Roman"/>
          <w:lang w:val="en-GB"/>
        </w:rPr>
        <w:t xml:space="preserve"> of these countries. </w:t>
      </w:r>
    </w:p>
    <w:p w14:paraId="3B6CD080" w14:textId="77777777" w:rsidR="000F2922" w:rsidRDefault="000F2922" w:rsidP="00F07639">
      <w:pPr>
        <w:spacing w:line="480" w:lineRule="auto"/>
        <w:rPr>
          <w:rFonts w:ascii="Times New Roman" w:hAnsi="Times New Roman"/>
        </w:rPr>
      </w:pPr>
    </w:p>
    <w:p w14:paraId="594BF1DD" w14:textId="33A32D56" w:rsidR="0087565E" w:rsidRDefault="000F2922" w:rsidP="00101A77">
      <w:pPr>
        <w:spacing w:line="480" w:lineRule="auto"/>
        <w:rPr>
          <w:rFonts w:ascii="Times New Roman" w:hAnsi="Times New Roman"/>
        </w:rPr>
      </w:pPr>
      <w:r>
        <w:rPr>
          <w:rFonts w:ascii="Times New Roman" w:hAnsi="Times New Roman"/>
        </w:rPr>
        <w:t xml:space="preserve">Furthermore, </w:t>
      </w:r>
      <w:r w:rsidR="00A007D7">
        <w:rPr>
          <w:rFonts w:ascii="Times New Roman" w:hAnsi="Times New Roman"/>
        </w:rPr>
        <w:t>as this study relies on a secondary analysis of existing DHS data, there are some determinants of exposure that we have not been able to explore, as these were not explored in the existing DHS questionnaires. I</w:t>
      </w:r>
      <w:r>
        <w:rPr>
          <w:rFonts w:ascii="Times New Roman" w:hAnsi="Times New Roman"/>
        </w:rPr>
        <w:t xml:space="preserve">t </w:t>
      </w:r>
      <w:r w:rsidR="00A007D7">
        <w:rPr>
          <w:rFonts w:ascii="Times New Roman" w:hAnsi="Times New Roman"/>
        </w:rPr>
        <w:t>was</w:t>
      </w:r>
      <w:r>
        <w:rPr>
          <w:rFonts w:ascii="Times New Roman" w:hAnsi="Times New Roman"/>
        </w:rPr>
        <w:t xml:space="preserve"> not possible to </w:t>
      </w:r>
      <w:r w:rsidR="00A007D7">
        <w:rPr>
          <w:rFonts w:ascii="Times New Roman" w:hAnsi="Times New Roman"/>
        </w:rPr>
        <w:t>determine</w:t>
      </w:r>
      <w:r>
        <w:rPr>
          <w:rFonts w:ascii="Times New Roman" w:hAnsi="Times New Roman"/>
        </w:rPr>
        <w:t xml:space="preserve"> the timing of SHS exposure during pregnancy and therefore how exposure correlates with fetal development. It </w:t>
      </w:r>
      <w:r w:rsidR="00A007D7">
        <w:rPr>
          <w:rFonts w:ascii="Times New Roman" w:hAnsi="Times New Roman"/>
        </w:rPr>
        <w:t xml:space="preserve">was </w:t>
      </w:r>
      <w:r>
        <w:rPr>
          <w:rFonts w:ascii="Times New Roman" w:hAnsi="Times New Roman"/>
        </w:rPr>
        <w:t xml:space="preserve">also not possible to </w:t>
      </w:r>
      <w:r w:rsidR="00C85668">
        <w:rPr>
          <w:rFonts w:ascii="Times New Roman" w:hAnsi="Times New Roman"/>
        </w:rPr>
        <w:t xml:space="preserve">determine </w:t>
      </w:r>
      <w:r>
        <w:rPr>
          <w:rFonts w:ascii="Times New Roman" w:hAnsi="Times New Roman"/>
        </w:rPr>
        <w:t xml:space="preserve">the proximity of the </w:t>
      </w:r>
      <w:r w:rsidR="000E11C6">
        <w:rPr>
          <w:rFonts w:ascii="Times New Roman" w:hAnsi="Times New Roman"/>
        </w:rPr>
        <w:t xml:space="preserve">pregnant women </w:t>
      </w:r>
      <w:r>
        <w:rPr>
          <w:rFonts w:ascii="Times New Roman" w:hAnsi="Times New Roman"/>
        </w:rPr>
        <w:t>to the smoker</w:t>
      </w:r>
      <w:r w:rsidR="00C85668">
        <w:rPr>
          <w:rFonts w:ascii="Times New Roman" w:hAnsi="Times New Roman"/>
        </w:rPr>
        <w:t>,</w:t>
      </w:r>
      <w:r>
        <w:rPr>
          <w:rFonts w:ascii="Times New Roman" w:hAnsi="Times New Roman"/>
        </w:rPr>
        <w:t xml:space="preserve"> </w:t>
      </w:r>
      <w:r w:rsidR="00C85668">
        <w:rPr>
          <w:rFonts w:ascii="Times New Roman" w:hAnsi="Times New Roman"/>
        </w:rPr>
        <w:t xml:space="preserve">the volume of the room or the room’s ventilation system, which are all important modifiers of </w:t>
      </w:r>
      <w:r w:rsidR="00F578DB">
        <w:rPr>
          <w:rFonts w:ascii="Times New Roman" w:hAnsi="Times New Roman"/>
        </w:rPr>
        <w:t xml:space="preserve">the </w:t>
      </w:r>
      <w:r w:rsidR="00C85668">
        <w:rPr>
          <w:rFonts w:ascii="Times New Roman" w:hAnsi="Times New Roman"/>
        </w:rPr>
        <w:t>degree of exposure</w:t>
      </w:r>
      <w:proofErr w:type="gramStart"/>
      <w:r w:rsidR="00C85668">
        <w:rPr>
          <w:rFonts w:ascii="Times New Roman" w:hAnsi="Times New Roman"/>
        </w:rPr>
        <w:t>.</w:t>
      </w:r>
      <w:r w:rsidR="003D2B38">
        <w:rPr>
          <w:rFonts w:ascii="Times New Roman" w:hAnsi="Times New Roman"/>
        </w:rPr>
        <w:t>[</w:t>
      </w:r>
      <w:proofErr w:type="gramEnd"/>
      <w:r w:rsidR="003D2B38">
        <w:rPr>
          <w:rFonts w:ascii="Times New Roman" w:hAnsi="Times New Roman"/>
        </w:rPr>
        <w:t>3</w:t>
      </w:r>
      <w:r w:rsidR="00F91C26">
        <w:rPr>
          <w:rFonts w:ascii="Times New Roman" w:hAnsi="Times New Roman"/>
        </w:rPr>
        <w:t>6</w:t>
      </w:r>
      <w:r w:rsidR="003D2B38">
        <w:rPr>
          <w:rFonts w:ascii="Times New Roman" w:hAnsi="Times New Roman"/>
        </w:rPr>
        <w:t>]</w:t>
      </w:r>
      <w:r w:rsidR="00C85668">
        <w:rPr>
          <w:rFonts w:ascii="Times New Roman" w:hAnsi="Times New Roman"/>
        </w:rPr>
        <w:t xml:space="preserve"> </w:t>
      </w:r>
      <w:r w:rsidR="004A3D1B">
        <w:rPr>
          <w:rFonts w:ascii="Times New Roman" w:hAnsi="Times New Roman"/>
        </w:rPr>
        <w:t>In addition, r</w:t>
      </w:r>
      <w:r w:rsidR="0087565E">
        <w:rPr>
          <w:rFonts w:ascii="Times New Roman" w:hAnsi="Times New Roman"/>
        </w:rPr>
        <w:t xml:space="preserve">esidual nicotine can </w:t>
      </w:r>
      <w:r w:rsidR="00101A77" w:rsidRPr="005D5356">
        <w:rPr>
          <w:rFonts w:ascii="Times New Roman" w:hAnsi="Times New Roman"/>
        </w:rPr>
        <w:t xml:space="preserve">persist in </w:t>
      </w:r>
      <w:r w:rsidR="0087565E">
        <w:rPr>
          <w:rFonts w:ascii="Times New Roman" w:hAnsi="Times New Roman"/>
        </w:rPr>
        <w:t>the environment after visible smoke has cleared on interior surfaces, including furniture and clothes</w:t>
      </w:r>
      <w:r w:rsidR="00196795">
        <w:rPr>
          <w:rFonts w:ascii="Times New Roman" w:hAnsi="Times New Roman"/>
        </w:rPr>
        <w:t>.</w:t>
      </w:r>
      <w:r w:rsidR="003D2B38">
        <w:rPr>
          <w:rFonts w:ascii="Times New Roman" w:hAnsi="Times New Roman"/>
        </w:rPr>
        <w:t>[3</w:t>
      </w:r>
      <w:r w:rsidR="00F91C26">
        <w:rPr>
          <w:rFonts w:ascii="Times New Roman" w:hAnsi="Times New Roman"/>
        </w:rPr>
        <w:t>7</w:t>
      </w:r>
      <w:r w:rsidR="003D2B38">
        <w:rPr>
          <w:rFonts w:ascii="Times New Roman" w:hAnsi="Times New Roman"/>
        </w:rPr>
        <w:t>]</w:t>
      </w:r>
      <w:r w:rsidR="00196795">
        <w:rPr>
          <w:rFonts w:ascii="Times New Roman" w:hAnsi="Times New Roman"/>
        </w:rPr>
        <w:t xml:space="preserve"> </w:t>
      </w:r>
    </w:p>
    <w:p w14:paraId="12ECB82F" w14:textId="77777777" w:rsidR="0070721E" w:rsidRPr="00335C78" w:rsidRDefault="0070721E" w:rsidP="00F07639">
      <w:pPr>
        <w:spacing w:line="480" w:lineRule="auto"/>
        <w:rPr>
          <w:rFonts w:ascii="Times New Roman" w:hAnsi="Times New Roman"/>
        </w:rPr>
      </w:pPr>
    </w:p>
    <w:p w14:paraId="1E629282" w14:textId="77777777" w:rsidR="0070721E" w:rsidRPr="00E00ABD" w:rsidRDefault="0070721E" w:rsidP="00F07639">
      <w:pPr>
        <w:spacing w:line="480" w:lineRule="auto"/>
        <w:rPr>
          <w:rFonts w:ascii="Times New Roman" w:hAnsi="Times New Roman"/>
          <w:b/>
          <w:bCs/>
        </w:rPr>
      </w:pPr>
      <w:r w:rsidRPr="00E00ABD">
        <w:rPr>
          <w:rFonts w:ascii="Times New Roman" w:hAnsi="Times New Roman"/>
          <w:b/>
          <w:bCs/>
        </w:rPr>
        <w:t>Research, policy and practice implications</w:t>
      </w:r>
    </w:p>
    <w:p w14:paraId="469B37E1" w14:textId="77777777" w:rsidR="00CA63C9" w:rsidRPr="005D5356" w:rsidRDefault="00CA63C9" w:rsidP="00F07639">
      <w:pPr>
        <w:spacing w:line="480" w:lineRule="auto"/>
        <w:rPr>
          <w:rFonts w:ascii="Times New Roman" w:hAnsi="Times New Roman"/>
        </w:rPr>
      </w:pPr>
    </w:p>
    <w:p w14:paraId="4BBB847C" w14:textId="0E6FBC96" w:rsidR="00FC4C7B" w:rsidRPr="005D5356" w:rsidRDefault="00D26894" w:rsidP="00F07639">
      <w:pPr>
        <w:spacing w:line="480" w:lineRule="auto"/>
        <w:rPr>
          <w:rFonts w:ascii="Times New Roman" w:hAnsi="Times New Roman"/>
        </w:rPr>
      </w:pPr>
      <w:r w:rsidRPr="005D5356">
        <w:rPr>
          <w:rFonts w:ascii="Times New Roman" w:hAnsi="Times New Roman"/>
        </w:rPr>
        <w:t xml:space="preserve">The interplay of various cultural, economic and political factors </w:t>
      </w:r>
      <w:r w:rsidR="00EC35BC" w:rsidRPr="005D5356">
        <w:rPr>
          <w:rFonts w:ascii="Times New Roman" w:hAnsi="Times New Roman"/>
        </w:rPr>
        <w:t>creates</w:t>
      </w:r>
      <w:r w:rsidRPr="005D5356">
        <w:rPr>
          <w:rFonts w:ascii="Times New Roman" w:hAnsi="Times New Roman"/>
        </w:rPr>
        <w:t xml:space="preserve"> a challenging environment to address </w:t>
      </w:r>
      <w:r w:rsidR="006E78E9">
        <w:rPr>
          <w:rFonts w:ascii="Times New Roman" w:hAnsi="Times New Roman"/>
        </w:rPr>
        <w:t xml:space="preserve">household </w:t>
      </w:r>
      <w:r w:rsidR="00813F1A" w:rsidRPr="005D5356">
        <w:rPr>
          <w:rFonts w:ascii="Times New Roman" w:hAnsi="Times New Roman"/>
        </w:rPr>
        <w:t xml:space="preserve">SHS exposure. </w:t>
      </w:r>
      <w:r w:rsidR="003D4736" w:rsidRPr="005D5356">
        <w:rPr>
          <w:rFonts w:ascii="Times New Roman" w:hAnsi="Times New Roman"/>
        </w:rPr>
        <w:t>Strong, effectively implemented smoke</w:t>
      </w:r>
      <w:r w:rsidR="007D2846" w:rsidRPr="005D5356">
        <w:rPr>
          <w:rFonts w:ascii="Times New Roman" w:hAnsi="Times New Roman"/>
        </w:rPr>
        <w:t>-</w:t>
      </w:r>
      <w:r w:rsidR="003D4736" w:rsidRPr="005D5356">
        <w:rPr>
          <w:rFonts w:ascii="Times New Roman" w:hAnsi="Times New Roman"/>
        </w:rPr>
        <w:t xml:space="preserve">free policies have been shown to reduce </w:t>
      </w:r>
      <w:r w:rsidR="00EE3617">
        <w:rPr>
          <w:rFonts w:ascii="Times New Roman" w:hAnsi="Times New Roman"/>
        </w:rPr>
        <w:t xml:space="preserve">household </w:t>
      </w:r>
      <w:r w:rsidR="003D4736" w:rsidRPr="005D5356">
        <w:rPr>
          <w:rFonts w:ascii="Times New Roman" w:hAnsi="Times New Roman"/>
        </w:rPr>
        <w:t>SHS exposure in workplaces and public spaces</w:t>
      </w:r>
      <w:proofErr w:type="gramStart"/>
      <w:r w:rsidR="003D4736" w:rsidRPr="005D5356">
        <w:rPr>
          <w:rFonts w:ascii="Times New Roman" w:hAnsi="Times New Roman"/>
        </w:rPr>
        <w:t>.</w:t>
      </w:r>
      <w:r w:rsidR="005F3650">
        <w:rPr>
          <w:rFonts w:ascii="Times New Roman" w:hAnsi="Times New Roman"/>
        </w:rPr>
        <w:t>[</w:t>
      </w:r>
      <w:proofErr w:type="gramEnd"/>
      <w:r w:rsidR="005F3650">
        <w:rPr>
          <w:rFonts w:ascii="Times New Roman" w:hAnsi="Times New Roman"/>
        </w:rPr>
        <w:t>3</w:t>
      </w:r>
      <w:r w:rsidR="00F91C26">
        <w:rPr>
          <w:rFonts w:ascii="Times New Roman" w:hAnsi="Times New Roman"/>
        </w:rPr>
        <w:t>8</w:t>
      </w:r>
      <w:r w:rsidR="005F3650">
        <w:rPr>
          <w:rFonts w:ascii="Times New Roman" w:hAnsi="Times New Roman"/>
        </w:rPr>
        <w:t>,</w:t>
      </w:r>
      <w:r w:rsidR="003C1C95">
        <w:rPr>
          <w:rFonts w:ascii="Times New Roman" w:hAnsi="Times New Roman"/>
        </w:rPr>
        <w:t xml:space="preserve"> </w:t>
      </w:r>
      <w:r w:rsidR="005F3650">
        <w:rPr>
          <w:rFonts w:ascii="Times New Roman" w:hAnsi="Times New Roman"/>
        </w:rPr>
        <w:t>3</w:t>
      </w:r>
      <w:r w:rsidR="00F91C26">
        <w:rPr>
          <w:rFonts w:ascii="Times New Roman" w:hAnsi="Times New Roman"/>
        </w:rPr>
        <w:t>9</w:t>
      </w:r>
      <w:r w:rsidR="005F3650">
        <w:rPr>
          <w:rFonts w:ascii="Times New Roman" w:hAnsi="Times New Roman"/>
        </w:rPr>
        <w:t>]</w:t>
      </w:r>
      <w:r w:rsidR="003D4736" w:rsidRPr="005D5356">
        <w:rPr>
          <w:rFonts w:ascii="Times New Roman" w:hAnsi="Times New Roman"/>
        </w:rPr>
        <w:t xml:space="preserve"> </w:t>
      </w:r>
      <w:r w:rsidR="001F3864">
        <w:rPr>
          <w:rFonts w:ascii="Times New Roman" w:hAnsi="Times New Roman"/>
        </w:rPr>
        <w:t xml:space="preserve">We explored the relationship between household SHS exposure and the available data on smoke-free legislation and </w:t>
      </w:r>
      <w:r w:rsidR="001F3864" w:rsidRPr="001611ED">
        <w:rPr>
          <w:rFonts w:ascii="Times New Roman" w:hAnsi="Times New Roman"/>
        </w:rPr>
        <w:t>party or signature status to the Framework Convention on Tobacco Control</w:t>
      </w:r>
      <w:r w:rsidR="00904CD4">
        <w:rPr>
          <w:rFonts w:ascii="Times New Roman" w:hAnsi="Times New Roman"/>
        </w:rPr>
        <w:t xml:space="preserve"> (FCTC)</w:t>
      </w:r>
      <w:r w:rsidR="001F3864" w:rsidRPr="001611ED">
        <w:rPr>
          <w:rFonts w:ascii="Times New Roman" w:hAnsi="Times New Roman"/>
        </w:rPr>
        <w:t xml:space="preserve"> by country</w:t>
      </w:r>
      <w:r w:rsidR="0017367A">
        <w:rPr>
          <w:rFonts w:ascii="Times New Roman" w:hAnsi="Times New Roman"/>
        </w:rPr>
        <w:t xml:space="preserve"> (</w:t>
      </w:r>
      <w:r w:rsidR="005B5042">
        <w:rPr>
          <w:rFonts w:ascii="Times New Roman" w:hAnsi="Times New Roman"/>
        </w:rPr>
        <w:t>see Supplementary File 2</w:t>
      </w:r>
      <w:r w:rsidR="0017367A">
        <w:rPr>
          <w:rFonts w:ascii="Times New Roman" w:hAnsi="Times New Roman"/>
        </w:rPr>
        <w:t>)</w:t>
      </w:r>
      <w:r w:rsidR="001A397E">
        <w:rPr>
          <w:rFonts w:ascii="Times New Roman" w:hAnsi="Times New Roman"/>
        </w:rPr>
        <w:t>. Where data was available there did not appear to be any meaningful</w:t>
      </w:r>
      <w:r w:rsidR="00FC1A80">
        <w:rPr>
          <w:rFonts w:ascii="Times New Roman" w:hAnsi="Times New Roman"/>
        </w:rPr>
        <w:t xml:space="preserve"> and consistent</w:t>
      </w:r>
      <w:r w:rsidR="001A397E">
        <w:rPr>
          <w:rFonts w:ascii="Times New Roman" w:hAnsi="Times New Roman"/>
        </w:rPr>
        <w:t xml:space="preserve"> correlation between prevalence of household SHS exposure and either smoke-free legislation or </w:t>
      </w:r>
      <w:r w:rsidR="001A397E" w:rsidRPr="001611ED">
        <w:rPr>
          <w:rFonts w:ascii="Times New Roman" w:hAnsi="Times New Roman"/>
        </w:rPr>
        <w:t xml:space="preserve">party or signature status to the </w:t>
      </w:r>
      <w:r w:rsidR="00904CD4">
        <w:rPr>
          <w:rFonts w:ascii="Times New Roman" w:hAnsi="Times New Roman"/>
        </w:rPr>
        <w:t>FCTC</w:t>
      </w:r>
      <w:r w:rsidR="001A397E">
        <w:rPr>
          <w:rFonts w:ascii="Times New Roman" w:hAnsi="Times New Roman"/>
        </w:rPr>
        <w:t xml:space="preserve">. </w:t>
      </w:r>
      <w:r w:rsidR="00C07366">
        <w:rPr>
          <w:rFonts w:ascii="Times New Roman" w:hAnsi="Times New Roman"/>
        </w:rPr>
        <w:lastRenderedPageBreak/>
        <w:t xml:space="preserve">This might suggest </w:t>
      </w:r>
      <w:r w:rsidR="00316F7E">
        <w:rPr>
          <w:rFonts w:ascii="Times New Roman" w:hAnsi="Times New Roman"/>
        </w:rPr>
        <w:t xml:space="preserve">that legislation changes </w:t>
      </w:r>
      <w:r w:rsidR="00904CD4">
        <w:rPr>
          <w:rFonts w:ascii="Times New Roman" w:hAnsi="Times New Roman"/>
        </w:rPr>
        <w:t>are either not comprehensive or not effectively implemented to</w:t>
      </w:r>
      <w:r w:rsidR="00316F7E">
        <w:rPr>
          <w:rFonts w:ascii="Times New Roman" w:hAnsi="Times New Roman"/>
        </w:rPr>
        <w:t xml:space="preserve"> influen</w:t>
      </w:r>
      <w:r w:rsidR="00904CD4">
        <w:rPr>
          <w:rFonts w:ascii="Times New Roman" w:hAnsi="Times New Roman"/>
        </w:rPr>
        <w:t>ce</w:t>
      </w:r>
      <w:r w:rsidR="00316F7E">
        <w:rPr>
          <w:rFonts w:ascii="Times New Roman" w:hAnsi="Times New Roman"/>
        </w:rPr>
        <w:t xml:space="preserve"> societal norms and thereby </w:t>
      </w:r>
      <w:r w:rsidR="00904CD4">
        <w:rPr>
          <w:rFonts w:ascii="Times New Roman" w:hAnsi="Times New Roman"/>
        </w:rPr>
        <w:t>reducing SHS</w:t>
      </w:r>
      <w:r w:rsidR="00845DE3">
        <w:rPr>
          <w:rFonts w:ascii="Times New Roman" w:hAnsi="Times New Roman"/>
        </w:rPr>
        <w:t xml:space="preserve"> </w:t>
      </w:r>
      <w:r w:rsidR="00904CD4">
        <w:rPr>
          <w:rFonts w:ascii="Times New Roman" w:hAnsi="Times New Roman"/>
        </w:rPr>
        <w:t>exposure</w:t>
      </w:r>
      <w:r w:rsidR="00845DE3">
        <w:rPr>
          <w:rFonts w:ascii="Times New Roman" w:hAnsi="Times New Roman"/>
        </w:rPr>
        <w:t xml:space="preserve"> at home. However</w:t>
      </w:r>
      <w:r w:rsidR="00FB3676">
        <w:rPr>
          <w:rFonts w:ascii="Times New Roman" w:hAnsi="Times New Roman"/>
        </w:rPr>
        <w:t>,</w:t>
      </w:r>
      <w:r w:rsidR="00845DE3">
        <w:rPr>
          <w:rFonts w:ascii="Times New Roman" w:hAnsi="Times New Roman"/>
        </w:rPr>
        <w:t xml:space="preserve"> it is important to note the importance of t</w:t>
      </w:r>
      <w:r w:rsidR="0081765A" w:rsidRPr="005D5356">
        <w:rPr>
          <w:rFonts w:ascii="Times New Roman" w:hAnsi="Times New Roman"/>
        </w:rPr>
        <w:t xml:space="preserve">he inclusion of policies to promote smoke-free </w:t>
      </w:r>
      <w:r w:rsidR="00B6440D" w:rsidRPr="005D5356">
        <w:rPr>
          <w:rFonts w:ascii="Times New Roman" w:hAnsi="Times New Roman"/>
        </w:rPr>
        <w:t>environments in multi-unit housing and in vehicles</w:t>
      </w:r>
      <w:r w:rsidR="005D47E7">
        <w:rPr>
          <w:rFonts w:ascii="Times New Roman" w:hAnsi="Times New Roman"/>
        </w:rPr>
        <w:t>,</w:t>
      </w:r>
      <w:r w:rsidR="00B6440D" w:rsidRPr="005D5356">
        <w:rPr>
          <w:rFonts w:ascii="Times New Roman" w:hAnsi="Times New Roman"/>
        </w:rPr>
        <w:t xml:space="preserve"> </w:t>
      </w:r>
      <w:r w:rsidR="00673418">
        <w:rPr>
          <w:rFonts w:ascii="Times New Roman" w:hAnsi="Times New Roman"/>
        </w:rPr>
        <w:t>which may</w:t>
      </w:r>
      <w:r w:rsidR="00B6440D" w:rsidRPr="005D5356">
        <w:rPr>
          <w:rFonts w:ascii="Times New Roman" w:hAnsi="Times New Roman"/>
        </w:rPr>
        <w:t xml:space="preserve"> limit SHS exposure in certain populations</w:t>
      </w:r>
      <w:r w:rsidR="00673418">
        <w:rPr>
          <w:rFonts w:ascii="Times New Roman" w:hAnsi="Times New Roman"/>
        </w:rPr>
        <w:t xml:space="preserve"> outside of the household environment</w:t>
      </w:r>
      <w:r w:rsidR="00B6440D" w:rsidRPr="005D5356">
        <w:rPr>
          <w:rFonts w:ascii="Times New Roman" w:hAnsi="Times New Roman"/>
        </w:rPr>
        <w:t>.</w:t>
      </w:r>
      <w:r w:rsidR="00332630" w:rsidRPr="005D5356">
        <w:rPr>
          <w:rFonts w:ascii="Times New Roman" w:hAnsi="Times New Roman"/>
        </w:rPr>
        <w:t xml:space="preserve"> </w:t>
      </w:r>
      <w:r w:rsidR="003D4736" w:rsidRPr="005D5356">
        <w:rPr>
          <w:rFonts w:ascii="Times New Roman" w:hAnsi="Times New Roman"/>
        </w:rPr>
        <w:t xml:space="preserve">Ongoing monitoring of tobacco smoking and exposure during pregnancy is important, as well as tracking tobacco industry efforts to market cigarettes to women. </w:t>
      </w:r>
      <w:r w:rsidR="00AD50D4">
        <w:rPr>
          <w:rFonts w:ascii="Times New Roman" w:hAnsi="Times New Roman"/>
        </w:rPr>
        <w:t xml:space="preserve">However, this suggests that further efforts may be needed to explore the relationship between household SHS and smoke-free legislation and whether more can be done to reduce household SHS exposure through </w:t>
      </w:r>
      <w:r w:rsidR="00904CD4">
        <w:rPr>
          <w:rFonts w:ascii="Times New Roman" w:hAnsi="Times New Roman"/>
        </w:rPr>
        <w:t>effective implementation of smoke-free</w:t>
      </w:r>
      <w:r w:rsidR="00AD50D4">
        <w:rPr>
          <w:rFonts w:ascii="Times New Roman" w:hAnsi="Times New Roman"/>
        </w:rPr>
        <w:t xml:space="preserve"> legislation. </w:t>
      </w:r>
    </w:p>
    <w:p w14:paraId="73D66967" w14:textId="77777777" w:rsidR="00B6440D" w:rsidRPr="005D5356" w:rsidRDefault="00B6440D" w:rsidP="00F07639">
      <w:pPr>
        <w:spacing w:line="480" w:lineRule="auto"/>
        <w:rPr>
          <w:rFonts w:ascii="Times New Roman" w:hAnsi="Times New Roman"/>
        </w:rPr>
      </w:pPr>
    </w:p>
    <w:p w14:paraId="039684E4" w14:textId="1820ADF3" w:rsidR="00B6440D" w:rsidRPr="005D5356" w:rsidRDefault="004161E9" w:rsidP="00F07639">
      <w:pPr>
        <w:spacing w:line="480" w:lineRule="auto"/>
        <w:rPr>
          <w:rFonts w:ascii="Times New Roman" w:hAnsi="Times New Roman"/>
        </w:rPr>
      </w:pPr>
      <w:r w:rsidRPr="005D5356">
        <w:rPr>
          <w:rFonts w:ascii="Times New Roman" w:hAnsi="Times New Roman"/>
        </w:rPr>
        <w:t>Existing international guidelines for the prevention and management of tobacco use and SHS exposure during pregnancy provide recommendations for screening and intervention</w:t>
      </w:r>
      <w:proofErr w:type="gramStart"/>
      <w:r w:rsidRPr="005D5356">
        <w:rPr>
          <w:rFonts w:ascii="Times New Roman" w:hAnsi="Times New Roman"/>
        </w:rPr>
        <w:t>.</w:t>
      </w:r>
      <w:r w:rsidR="00E70F4A" w:rsidRPr="005D5356">
        <w:rPr>
          <w:rFonts w:ascii="Times New Roman" w:hAnsi="Times New Roman"/>
        </w:rPr>
        <w:t>[</w:t>
      </w:r>
      <w:proofErr w:type="gramEnd"/>
      <w:r w:rsidR="00F91C26">
        <w:rPr>
          <w:rFonts w:ascii="Times New Roman" w:hAnsi="Times New Roman"/>
        </w:rPr>
        <w:t>40</w:t>
      </w:r>
      <w:r w:rsidR="00E70F4A" w:rsidRPr="005D5356">
        <w:rPr>
          <w:rFonts w:ascii="Times New Roman" w:hAnsi="Times New Roman"/>
        </w:rPr>
        <w:t>]</w:t>
      </w:r>
      <w:r w:rsidRPr="005D5356">
        <w:rPr>
          <w:rFonts w:ascii="Times New Roman" w:hAnsi="Times New Roman"/>
        </w:rPr>
        <w:t xml:space="preserve"> </w:t>
      </w:r>
      <w:r w:rsidR="00B6440D" w:rsidRPr="005D5356">
        <w:rPr>
          <w:rFonts w:ascii="Times New Roman" w:hAnsi="Times New Roman"/>
        </w:rPr>
        <w:t xml:space="preserve">Healthcare professionals working with pregnant women in antenatal settings should be aware of these issues and should be proactive in raising issues </w:t>
      </w:r>
      <w:r w:rsidR="00B95021" w:rsidRPr="005D5356">
        <w:rPr>
          <w:rFonts w:ascii="Times New Roman" w:hAnsi="Times New Roman"/>
        </w:rPr>
        <w:t>where s</w:t>
      </w:r>
      <w:r w:rsidR="00B6440D" w:rsidRPr="005D5356">
        <w:rPr>
          <w:rFonts w:ascii="Times New Roman" w:hAnsi="Times New Roman"/>
        </w:rPr>
        <w:t>upport</w:t>
      </w:r>
      <w:r w:rsidR="00B95021" w:rsidRPr="005D5356">
        <w:rPr>
          <w:rFonts w:ascii="Times New Roman" w:hAnsi="Times New Roman"/>
        </w:rPr>
        <w:t xml:space="preserve"> can be provided</w:t>
      </w:r>
      <w:r w:rsidR="00B6440D" w:rsidRPr="005D5356">
        <w:rPr>
          <w:rFonts w:ascii="Times New Roman" w:hAnsi="Times New Roman"/>
        </w:rPr>
        <w:t xml:space="preserve"> in relation to </w:t>
      </w:r>
      <w:r w:rsidR="00EE3617">
        <w:rPr>
          <w:rFonts w:ascii="Times New Roman" w:hAnsi="Times New Roman"/>
        </w:rPr>
        <w:t xml:space="preserve">household </w:t>
      </w:r>
      <w:r w:rsidR="00B6440D" w:rsidRPr="005D5356">
        <w:rPr>
          <w:rFonts w:ascii="Times New Roman" w:hAnsi="Times New Roman"/>
        </w:rPr>
        <w:t xml:space="preserve">SHS exposure during pregnancy. </w:t>
      </w:r>
      <w:r w:rsidR="00B95021" w:rsidRPr="005D5356">
        <w:rPr>
          <w:rFonts w:ascii="Times New Roman" w:hAnsi="Times New Roman"/>
        </w:rPr>
        <w:t xml:space="preserve">Further research is </w:t>
      </w:r>
      <w:r w:rsidRPr="005D5356">
        <w:rPr>
          <w:rFonts w:ascii="Times New Roman" w:hAnsi="Times New Roman"/>
        </w:rPr>
        <w:t>needed</w:t>
      </w:r>
      <w:r w:rsidR="00B95021" w:rsidRPr="005D5356">
        <w:rPr>
          <w:rFonts w:ascii="Times New Roman" w:hAnsi="Times New Roman"/>
        </w:rPr>
        <w:t xml:space="preserve"> to </w:t>
      </w:r>
      <w:r w:rsidRPr="005D5356">
        <w:rPr>
          <w:rFonts w:ascii="Times New Roman" w:hAnsi="Times New Roman"/>
        </w:rPr>
        <w:t xml:space="preserve">develop and evaluate novel </w:t>
      </w:r>
      <w:r w:rsidR="00B95021" w:rsidRPr="005D5356">
        <w:rPr>
          <w:rFonts w:ascii="Times New Roman" w:hAnsi="Times New Roman"/>
        </w:rPr>
        <w:t>interventions to reduce household SHS exposure and its related adverse health outcomes for pregnant women</w:t>
      </w:r>
      <w:proofErr w:type="gramStart"/>
      <w:r w:rsidR="00B95021" w:rsidRPr="005D5356">
        <w:rPr>
          <w:rFonts w:ascii="Times New Roman" w:hAnsi="Times New Roman"/>
        </w:rPr>
        <w:t>.</w:t>
      </w:r>
      <w:r w:rsidR="00E70F4A" w:rsidRPr="005D5356">
        <w:rPr>
          <w:rFonts w:ascii="Times New Roman" w:hAnsi="Times New Roman"/>
        </w:rPr>
        <w:t>[</w:t>
      </w:r>
      <w:proofErr w:type="gramEnd"/>
      <w:r w:rsidR="00F91C26">
        <w:rPr>
          <w:rFonts w:ascii="Times New Roman" w:hAnsi="Times New Roman"/>
        </w:rPr>
        <w:t>41</w:t>
      </w:r>
      <w:r w:rsidR="00E70F4A" w:rsidRPr="005D5356">
        <w:rPr>
          <w:rFonts w:ascii="Times New Roman" w:hAnsi="Times New Roman"/>
        </w:rPr>
        <w:t>]</w:t>
      </w:r>
      <w:r w:rsidR="00B95021" w:rsidRPr="005D5356">
        <w:rPr>
          <w:rFonts w:ascii="Times New Roman" w:hAnsi="Times New Roman"/>
        </w:rPr>
        <w:t xml:space="preserve"> </w:t>
      </w:r>
    </w:p>
    <w:p w14:paraId="4074C4AB" w14:textId="77777777" w:rsidR="00D26894" w:rsidRPr="005D5356" w:rsidRDefault="00D26894" w:rsidP="00F07639">
      <w:pPr>
        <w:spacing w:line="480" w:lineRule="auto"/>
        <w:rPr>
          <w:rFonts w:ascii="Times New Roman" w:hAnsi="Times New Roman"/>
        </w:rPr>
      </w:pPr>
    </w:p>
    <w:p w14:paraId="38F3FA04" w14:textId="5F4894BF" w:rsidR="00A75700" w:rsidRPr="000A12BE" w:rsidRDefault="00D65518" w:rsidP="00F07639">
      <w:pPr>
        <w:spacing w:line="480" w:lineRule="auto"/>
        <w:rPr>
          <w:rFonts w:ascii="Times New Roman" w:hAnsi="Times New Roman"/>
          <w:b/>
          <w:bCs/>
          <w:caps/>
        </w:rPr>
      </w:pPr>
      <w:r w:rsidRPr="000A12BE">
        <w:rPr>
          <w:rFonts w:ascii="Times New Roman" w:hAnsi="Times New Roman"/>
          <w:b/>
          <w:bCs/>
          <w:caps/>
        </w:rPr>
        <w:t>Author c</w:t>
      </w:r>
      <w:r w:rsidR="007329A5" w:rsidRPr="000A12BE">
        <w:rPr>
          <w:rFonts w:ascii="Times New Roman" w:hAnsi="Times New Roman"/>
          <w:b/>
          <w:bCs/>
          <w:caps/>
        </w:rPr>
        <w:t>ontributions</w:t>
      </w:r>
    </w:p>
    <w:p w14:paraId="6C53D9B5" w14:textId="77777777" w:rsidR="001651C6" w:rsidRPr="007329A5" w:rsidRDefault="001651C6" w:rsidP="00F07639">
      <w:pPr>
        <w:spacing w:line="480" w:lineRule="auto"/>
        <w:rPr>
          <w:rFonts w:ascii="Times New Roman" w:hAnsi="Times New Roman"/>
          <w:b/>
        </w:rPr>
      </w:pPr>
    </w:p>
    <w:p w14:paraId="718047D1" w14:textId="77777777" w:rsidR="001267DF" w:rsidRDefault="001267DF" w:rsidP="00F07639">
      <w:pPr>
        <w:spacing w:line="480" w:lineRule="auto"/>
        <w:rPr>
          <w:rFonts w:ascii="Times New Roman" w:hAnsi="Times New Roman"/>
        </w:rPr>
      </w:pPr>
      <w:r w:rsidRPr="005D5356">
        <w:rPr>
          <w:rFonts w:ascii="Times New Roman" w:hAnsi="Times New Roman"/>
        </w:rPr>
        <w:t xml:space="preserve">SR and KS </w:t>
      </w:r>
      <w:proofErr w:type="spellStart"/>
      <w:r w:rsidRPr="005D5356">
        <w:rPr>
          <w:rFonts w:ascii="Times New Roman" w:hAnsi="Times New Roman"/>
        </w:rPr>
        <w:t>conceptualised</w:t>
      </w:r>
      <w:proofErr w:type="spellEnd"/>
      <w:r w:rsidRPr="005D5356">
        <w:rPr>
          <w:rFonts w:ascii="Times New Roman" w:hAnsi="Times New Roman"/>
        </w:rPr>
        <w:t xml:space="preserve"> the study. SR developed the analytical strategy, contributed to the statistical analysis, interpretation of the results, and co-wrote the </w:t>
      </w:r>
      <w:r w:rsidRPr="005D5356">
        <w:rPr>
          <w:rFonts w:ascii="Times New Roman" w:hAnsi="Times New Roman"/>
        </w:rPr>
        <w:lastRenderedPageBreak/>
        <w:t xml:space="preserve">first draft of the report. CM contributed to obtaining data, statistical analysis, interpretation of the results, and co-wrote the first draft of the report. KS and MP contributed to the analytical strategy, interpretation of results, and revision of the report. </w:t>
      </w:r>
    </w:p>
    <w:p w14:paraId="759AEE26" w14:textId="77777777" w:rsidR="001651C6" w:rsidRPr="005D5356" w:rsidRDefault="001651C6" w:rsidP="00F07639">
      <w:pPr>
        <w:spacing w:line="480" w:lineRule="auto"/>
        <w:rPr>
          <w:rFonts w:ascii="Times New Roman" w:hAnsi="Times New Roman"/>
        </w:rPr>
      </w:pPr>
    </w:p>
    <w:p w14:paraId="61501449" w14:textId="606725A0" w:rsidR="001267DF" w:rsidRPr="000A12BE" w:rsidRDefault="007329A5" w:rsidP="00F07639">
      <w:pPr>
        <w:spacing w:line="480" w:lineRule="auto"/>
        <w:rPr>
          <w:rFonts w:ascii="Times New Roman" w:hAnsi="Times New Roman"/>
          <w:b/>
          <w:bCs/>
          <w:caps/>
        </w:rPr>
      </w:pPr>
      <w:r w:rsidRPr="000A12BE">
        <w:rPr>
          <w:rFonts w:ascii="Times New Roman" w:hAnsi="Times New Roman"/>
          <w:b/>
          <w:bCs/>
          <w:caps/>
        </w:rPr>
        <w:t>Funding</w:t>
      </w:r>
    </w:p>
    <w:p w14:paraId="7DC792B3" w14:textId="77777777" w:rsidR="001651C6" w:rsidRPr="007329A5" w:rsidRDefault="001651C6" w:rsidP="00F07639">
      <w:pPr>
        <w:spacing w:line="480" w:lineRule="auto"/>
        <w:rPr>
          <w:rFonts w:ascii="Times New Roman" w:hAnsi="Times New Roman"/>
          <w:b/>
        </w:rPr>
      </w:pPr>
    </w:p>
    <w:p w14:paraId="701B475C" w14:textId="77777777" w:rsidR="007329A5" w:rsidRDefault="00421A5A" w:rsidP="00F07639">
      <w:pPr>
        <w:spacing w:line="480" w:lineRule="auto"/>
        <w:rPr>
          <w:rFonts w:ascii="Times New Roman" w:hAnsi="Times New Roman"/>
        </w:rPr>
      </w:pPr>
      <w:r w:rsidRPr="005D5356">
        <w:rPr>
          <w:rFonts w:ascii="Times New Roman" w:hAnsi="Times New Roman"/>
        </w:rPr>
        <w:t>This study was partially funded by the UK Medical Research Council.</w:t>
      </w:r>
      <w:r w:rsidR="001267DF" w:rsidRPr="005D5356">
        <w:rPr>
          <w:rFonts w:ascii="Times New Roman" w:hAnsi="Times New Roman"/>
        </w:rPr>
        <w:t xml:space="preserve"> </w:t>
      </w:r>
    </w:p>
    <w:p w14:paraId="53AF0E61" w14:textId="77777777" w:rsidR="001651C6" w:rsidRDefault="001651C6" w:rsidP="00F07639">
      <w:pPr>
        <w:spacing w:line="480" w:lineRule="auto"/>
        <w:rPr>
          <w:rFonts w:ascii="Times New Roman" w:hAnsi="Times New Roman"/>
        </w:rPr>
      </w:pPr>
    </w:p>
    <w:p w14:paraId="0D3E4A76" w14:textId="29BB52A8" w:rsidR="007329A5" w:rsidRPr="000A12BE" w:rsidRDefault="007329A5" w:rsidP="00F07639">
      <w:pPr>
        <w:spacing w:line="480" w:lineRule="auto"/>
        <w:rPr>
          <w:rFonts w:ascii="Times New Roman" w:hAnsi="Times New Roman"/>
          <w:b/>
          <w:bCs/>
          <w:caps/>
        </w:rPr>
      </w:pPr>
      <w:r w:rsidRPr="000A12BE">
        <w:rPr>
          <w:rFonts w:ascii="Times New Roman" w:hAnsi="Times New Roman"/>
          <w:b/>
          <w:bCs/>
          <w:caps/>
        </w:rPr>
        <w:t>Competing interests</w:t>
      </w:r>
    </w:p>
    <w:p w14:paraId="67D3D82F" w14:textId="77777777" w:rsidR="001651C6" w:rsidRPr="007329A5" w:rsidRDefault="001651C6" w:rsidP="00F07639">
      <w:pPr>
        <w:spacing w:line="480" w:lineRule="auto"/>
        <w:rPr>
          <w:rFonts w:ascii="Times New Roman" w:hAnsi="Times New Roman"/>
          <w:b/>
        </w:rPr>
      </w:pPr>
    </w:p>
    <w:p w14:paraId="48381F22" w14:textId="4D34D2A6" w:rsidR="006617C3" w:rsidRPr="005D5356" w:rsidRDefault="00D65518" w:rsidP="00F07639">
      <w:pPr>
        <w:spacing w:line="480" w:lineRule="auto"/>
        <w:rPr>
          <w:rFonts w:ascii="Times New Roman" w:hAnsi="Times New Roman"/>
        </w:rPr>
      </w:pPr>
      <w:r>
        <w:rPr>
          <w:rFonts w:ascii="Times New Roman" w:hAnsi="Times New Roman"/>
        </w:rPr>
        <w:t>None declared.</w:t>
      </w:r>
    </w:p>
    <w:p w14:paraId="45195E69" w14:textId="77777777" w:rsidR="001651C6" w:rsidRDefault="001651C6" w:rsidP="00F07639">
      <w:pPr>
        <w:spacing w:line="480" w:lineRule="auto"/>
        <w:rPr>
          <w:rFonts w:ascii="Times New Roman" w:hAnsi="Times New Roman"/>
          <w:b/>
        </w:rPr>
      </w:pPr>
    </w:p>
    <w:p w14:paraId="2D91CB0A" w14:textId="603E6A93" w:rsidR="001267DF" w:rsidRPr="000A12BE" w:rsidRDefault="00D65518" w:rsidP="00F07639">
      <w:pPr>
        <w:spacing w:line="480" w:lineRule="auto"/>
        <w:rPr>
          <w:rFonts w:ascii="Times New Roman" w:hAnsi="Times New Roman"/>
          <w:b/>
          <w:bCs/>
          <w:caps/>
        </w:rPr>
      </w:pPr>
      <w:r w:rsidRPr="000A12BE">
        <w:rPr>
          <w:rFonts w:ascii="Times New Roman" w:hAnsi="Times New Roman"/>
          <w:b/>
          <w:bCs/>
          <w:caps/>
        </w:rPr>
        <w:t>Data sharing</w:t>
      </w:r>
    </w:p>
    <w:p w14:paraId="7947CC17" w14:textId="77777777" w:rsidR="001651C6" w:rsidRDefault="001651C6" w:rsidP="00F07639">
      <w:pPr>
        <w:spacing w:line="480" w:lineRule="auto"/>
        <w:rPr>
          <w:rFonts w:ascii="Times New Roman" w:hAnsi="Times New Roman"/>
          <w:lang w:val="en-GB"/>
        </w:rPr>
      </w:pPr>
    </w:p>
    <w:p w14:paraId="10B2FDA0" w14:textId="2D533E61" w:rsidR="00B02AC9" w:rsidRDefault="00B02AC9" w:rsidP="00F07639">
      <w:pPr>
        <w:spacing w:line="480" w:lineRule="auto"/>
        <w:rPr>
          <w:rFonts w:ascii="Times New Roman" w:hAnsi="Times New Roman"/>
          <w:lang w:val="en-GB"/>
        </w:rPr>
      </w:pPr>
      <w:r w:rsidRPr="005D5356">
        <w:rPr>
          <w:rFonts w:ascii="Times New Roman" w:hAnsi="Times New Roman"/>
          <w:lang w:val="en-GB"/>
        </w:rPr>
        <w:t>Approval has been granted for the use of this data</w:t>
      </w:r>
      <w:r>
        <w:rPr>
          <w:rFonts w:ascii="Times New Roman" w:hAnsi="Times New Roman"/>
          <w:lang w:val="en-GB"/>
        </w:rPr>
        <w:t xml:space="preserve"> from Demographic Health Surveys</w:t>
      </w:r>
      <w:r w:rsidRPr="005D5356">
        <w:rPr>
          <w:rFonts w:ascii="Times New Roman" w:hAnsi="Times New Roman"/>
          <w:lang w:val="en-GB"/>
        </w:rPr>
        <w:t xml:space="preserve"> for the purposes of this study.</w:t>
      </w:r>
      <w:r w:rsidR="00FB5167">
        <w:rPr>
          <w:rFonts w:ascii="Times New Roman" w:hAnsi="Times New Roman"/>
          <w:lang w:val="en-GB"/>
        </w:rPr>
        <w:t xml:space="preserve"> </w:t>
      </w:r>
      <w:r w:rsidR="00D75ABC">
        <w:rPr>
          <w:rFonts w:ascii="Times New Roman" w:hAnsi="Times New Roman"/>
          <w:lang w:val="en-GB"/>
        </w:rPr>
        <w:t xml:space="preserve">Additional unpublished data from this study is available upon request from Demographic Health Surveys. </w:t>
      </w:r>
    </w:p>
    <w:p w14:paraId="526D886A" w14:textId="77777777" w:rsidR="001651C6" w:rsidRPr="000A12BE" w:rsidRDefault="001651C6" w:rsidP="00F07639">
      <w:pPr>
        <w:spacing w:line="480" w:lineRule="auto"/>
        <w:rPr>
          <w:rFonts w:ascii="Times New Roman" w:hAnsi="Times New Roman"/>
          <w:bCs/>
          <w:caps/>
          <w:lang w:val="en-GB"/>
        </w:rPr>
      </w:pPr>
    </w:p>
    <w:p w14:paraId="3DB8A5D0" w14:textId="5A17E7DE" w:rsidR="00B02AC9" w:rsidRPr="000A12BE" w:rsidRDefault="009D4659" w:rsidP="00F07639">
      <w:pPr>
        <w:spacing w:line="480" w:lineRule="auto"/>
        <w:rPr>
          <w:rFonts w:ascii="Times New Roman" w:hAnsi="Times New Roman"/>
          <w:b/>
          <w:bCs/>
          <w:caps/>
          <w:lang w:val="en-GB"/>
        </w:rPr>
      </w:pPr>
      <w:r w:rsidRPr="000A12BE">
        <w:rPr>
          <w:rFonts w:ascii="Times New Roman" w:hAnsi="Times New Roman"/>
          <w:b/>
          <w:bCs/>
          <w:caps/>
          <w:lang w:val="en-GB"/>
        </w:rPr>
        <w:t xml:space="preserve">Consent and confidentiality </w:t>
      </w:r>
    </w:p>
    <w:p w14:paraId="4F17204D" w14:textId="77777777" w:rsidR="001651C6" w:rsidRDefault="001651C6" w:rsidP="00F07639">
      <w:pPr>
        <w:spacing w:line="480" w:lineRule="auto"/>
        <w:rPr>
          <w:rFonts w:ascii="Times New Roman" w:hAnsi="Times New Roman"/>
          <w:lang w:val="en-GB"/>
        </w:rPr>
      </w:pPr>
    </w:p>
    <w:p w14:paraId="73F4D960" w14:textId="7864DF78" w:rsidR="00D65518" w:rsidRPr="005D5356" w:rsidRDefault="000D021D" w:rsidP="00F07639">
      <w:pPr>
        <w:spacing w:line="480" w:lineRule="auto"/>
        <w:rPr>
          <w:rFonts w:ascii="Times New Roman" w:hAnsi="Times New Roman"/>
          <w:lang w:val="en-GB"/>
        </w:rPr>
      </w:pPr>
      <w:r w:rsidRPr="005D5356">
        <w:rPr>
          <w:rFonts w:ascii="Times New Roman" w:hAnsi="Times New Roman"/>
          <w:lang w:val="en-GB"/>
        </w:rPr>
        <w:t xml:space="preserve">Data collected by the Demographic Health Surveys is </w:t>
      </w:r>
      <w:proofErr w:type="spellStart"/>
      <w:r w:rsidRPr="005D5356">
        <w:rPr>
          <w:rFonts w:ascii="Times New Roman" w:hAnsi="Times New Roman"/>
          <w:lang w:val="en-GB"/>
        </w:rPr>
        <w:t>anonymised</w:t>
      </w:r>
      <w:proofErr w:type="spellEnd"/>
      <w:r w:rsidRPr="005D5356">
        <w:rPr>
          <w:rFonts w:ascii="Times New Roman" w:hAnsi="Times New Roman"/>
          <w:lang w:val="en-GB"/>
        </w:rPr>
        <w:t xml:space="preserve"> at point of collection and interviews are only conducted if the participant provides informed consent. </w:t>
      </w:r>
      <w:r w:rsidR="00C509C2">
        <w:rPr>
          <w:rFonts w:ascii="Times New Roman" w:hAnsi="Times New Roman"/>
          <w:lang w:val="en-GB"/>
        </w:rPr>
        <w:t xml:space="preserve">This study did not apply for ethics review given its utilization of secondary anonymous data. </w:t>
      </w:r>
    </w:p>
    <w:p w14:paraId="72E405BD" w14:textId="3ACC3C75" w:rsidR="00A46D2E" w:rsidRPr="005D5356" w:rsidRDefault="00A46D2E" w:rsidP="00F07639">
      <w:pPr>
        <w:spacing w:line="480" w:lineRule="auto"/>
        <w:rPr>
          <w:rFonts w:ascii="Times New Roman" w:hAnsi="Times New Roman"/>
        </w:rPr>
      </w:pPr>
    </w:p>
    <w:p w14:paraId="30BD061E" w14:textId="77777777" w:rsidR="00A75700" w:rsidRPr="007329A5" w:rsidRDefault="00A46D2E" w:rsidP="00F07639">
      <w:pPr>
        <w:spacing w:line="480" w:lineRule="auto"/>
        <w:rPr>
          <w:rFonts w:ascii="Times New Roman" w:hAnsi="Times New Roman"/>
          <w:b/>
          <w:bCs/>
          <w:caps/>
        </w:rPr>
      </w:pPr>
      <w:r w:rsidRPr="007329A5">
        <w:rPr>
          <w:rFonts w:ascii="Times New Roman" w:hAnsi="Times New Roman"/>
          <w:b/>
          <w:bCs/>
          <w:caps/>
        </w:rPr>
        <w:t>References</w:t>
      </w:r>
    </w:p>
    <w:p w14:paraId="5EA07A73" w14:textId="77777777" w:rsidR="00A46D2E" w:rsidRPr="005D5356" w:rsidRDefault="00A46D2E" w:rsidP="00F07639">
      <w:pPr>
        <w:tabs>
          <w:tab w:val="left" w:pos="1985"/>
        </w:tabs>
        <w:spacing w:line="480" w:lineRule="auto"/>
        <w:rPr>
          <w:rFonts w:ascii="Times New Roman" w:hAnsi="Times New Roman"/>
        </w:rPr>
      </w:pPr>
    </w:p>
    <w:p w14:paraId="198D6A6E" w14:textId="65ECE187" w:rsidR="00AB0D7B" w:rsidRPr="005D5356" w:rsidRDefault="00A46D2E"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rPr>
        <w:fldChar w:fldCharType="begin" w:fldLock="1"/>
      </w:r>
      <w:r w:rsidRPr="005D5356">
        <w:rPr>
          <w:rFonts w:ascii="Times New Roman" w:hAnsi="Times New Roman"/>
        </w:rPr>
        <w:instrText xml:space="preserve">ADDIN Mendeley Bibliography CSL_BIBLIOGRAPHY </w:instrText>
      </w:r>
      <w:r w:rsidRPr="005D5356">
        <w:rPr>
          <w:rFonts w:ascii="Times New Roman" w:hAnsi="Times New Roman"/>
        </w:rPr>
        <w:fldChar w:fldCharType="separate"/>
      </w:r>
      <w:r w:rsidR="00AB0D7B" w:rsidRPr="005D5356">
        <w:rPr>
          <w:rFonts w:ascii="Times New Roman" w:hAnsi="Times New Roman"/>
          <w:noProof/>
        </w:rPr>
        <w:t>1</w:t>
      </w:r>
      <w:r w:rsidR="00AB0D7B" w:rsidRPr="005D5356">
        <w:rPr>
          <w:rFonts w:ascii="Times New Roman" w:hAnsi="Times New Roman"/>
          <w:noProof/>
        </w:rPr>
        <w:tab/>
        <w:t xml:space="preserve">Rogers JM. Tobacco and pregnancy: Overview of exposures and effects. </w:t>
      </w:r>
      <w:r w:rsidR="00AB0D7B" w:rsidRPr="005D5356">
        <w:rPr>
          <w:rFonts w:ascii="Times New Roman" w:hAnsi="Times New Roman"/>
          <w:i/>
          <w:iCs/>
          <w:noProof/>
        </w:rPr>
        <w:t>Birth Defects Res Part C Embryo Today Rev</w:t>
      </w:r>
      <w:r w:rsidR="000F465F" w:rsidRPr="005D5356">
        <w:rPr>
          <w:rFonts w:ascii="Times New Roman" w:hAnsi="Times New Roman"/>
          <w:noProof/>
        </w:rPr>
        <w:t xml:space="preserve"> 2008;</w:t>
      </w:r>
      <w:r w:rsidR="00AB0D7B" w:rsidRPr="005D5356">
        <w:rPr>
          <w:rFonts w:ascii="Times New Roman" w:hAnsi="Times New Roman"/>
          <w:bCs/>
          <w:noProof/>
        </w:rPr>
        <w:t>84</w:t>
      </w:r>
      <w:r w:rsidR="000F465F" w:rsidRPr="005D5356">
        <w:rPr>
          <w:rFonts w:ascii="Times New Roman" w:hAnsi="Times New Roman"/>
          <w:noProof/>
        </w:rPr>
        <w:t>:</w:t>
      </w:r>
      <w:r w:rsidR="00AB0D7B" w:rsidRPr="005D5356">
        <w:rPr>
          <w:rFonts w:ascii="Times New Roman" w:hAnsi="Times New Roman"/>
          <w:noProof/>
        </w:rPr>
        <w:t>1–15.</w:t>
      </w:r>
    </w:p>
    <w:p w14:paraId="6138B016" w14:textId="217B931F" w:rsidR="00AB0D7B" w:rsidRPr="005D5356" w:rsidRDefault="00AB0D7B"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2</w:t>
      </w:r>
      <w:r w:rsidRPr="005D5356">
        <w:rPr>
          <w:rFonts w:ascii="Times New Roman" w:hAnsi="Times New Roman"/>
          <w:noProof/>
        </w:rPr>
        <w:tab/>
        <w:t xml:space="preserve">Cnattingius S. The epidemiology of smoking during pregnancy: Smoking prevalence, maternal characteristics, and pregnancy outcomes. </w:t>
      </w:r>
      <w:r w:rsidRPr="005D5356">
        <w:rPr>
          <w:rFonts w:ascii="Times New Roman" w:hAnsi="Times New Roman"/>
          <w:i/>
          <w:iCs/>
          <w:noProof/>
        </w:rPr>
        <w:t>Nicotine Tob Res</w:t>
      </w:r>
      <w:r w:rsidR="000115BD" w:rsidRPr="005D5356">
        <w:rPr>
          <w:rFonts w:ascii="Times New Roman" w:hAnsi="Times New Roman"/>
          <w:noProof/>
        </w:rPr>
        <w:t xml:space="preserve"> 2004;</w:t>
      </w:r>
      <w:r w:rsidRPr="005D5356">
        <w:rPr>
          <w:rFonts w:ascii="Times New Roman" w:hAnsi="Times New Roman"/>
          <w:bCs/>
          <w:noProof/>
        </w:rPr>
        <w:t>6</w:t>
      </w:r>
      <w:r w:rsidR="000115BD" w:rsidRPr="005D5356">
        <w:rPr>
          <w:rFonts w:ascii="Times New Roman" w:hAnsi="Times New Roman"/>
          <w:noProof/>
        </w:rPr>
        <w:t>:</w:t>
      </w:r>
      <w:r w:rsidRPr="005D5356">
        <w:rPr>
          <w:rFonts w:ascii="Times New Roman" w:hAnsi="Times New Roman"/>
          <w:noProof/>
        </w:rPr>
        <w:t>125–40.</w:t>
      </w:r>
    </w:p>
    <w:p w14:paraId="56C829B0" w14:textId="018F0B04" w:rsidR="00AB0D7B" w:rsidRPr="005D5356" w:rsidRDefault="00AB0D7B"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3</w:t>
      </w:r>
      <w:r w:rsidRPr="005D5356">
        <w:rPr>
          <w:rFonts w:ascii="Times New Roman" w:hAnsi="Times New Roman"/>
          <w:noProof/>
        </w:rPr>
        <w:tab/>
        <w:t xml:space="preserve">Leonardi-Bee J, Smyth A, Britton J, </w:t>
      </w:r>
      <w:r w:rsidR="00605A88" w:rsidRPr="005D5356">
        <w:rPr>
          <w:rFonts w:ascii="Times New Roman" w:hAnsi="Times New Roman"/>
          <w:noProof/>
        </w:rPr>
        <w:t>et al</w:t>
      </w:r>
      <w:r w:rsidRPr="005D5356">
        <w:rPr>
          <w:rFonts w:ascii="Times New Roman" w:hAnsi="Times New Roman"/>
          <w:noProof/>
        </w:rPr>
        <w:t xml:space="preserve">. Environmental tobacco smoke and fetal health: systematic review and meta-analysis. </w:t>
      </w:r>
      <w:r w:rsidRPr="005D5356">
        <w:rPr>
          <w:rFonts w:ascii="Times New Roman" w:hAnsi="Times New Roman"/>
          <w:i/>
          <w:iCs/>
          <w:noProof/>
        </w:rPr>
        <w:t>Arch Dis Child Fetal Neonatal Ed</w:t>
      </w:r>
      <w:r w:rsidR="000115BD" w:rsidRPr="005D5356">
        <w:rPr>
          <w:rFonts w:ascii="Times New Roman" w:hAnsi="Times New Roman"/>
          <w:noProof/>
        </w:rPr>
        <w:t xml:space="preserve"> 2008;</w:t>
      </w:r>
      <w:r w:rsidRPr="005D5356">
        <w:rPr>
          <w:rFonts w:ascii="Times New Roman" w:hAnsi="Times New Roman"/>
          <w:bCs/>
          <w:noProof/>
        </w:rPr>
        <w:t>93</w:t>
      </w:r>
      <w:r w:rsidR="000115BD" w:rsidRPr="005D5356">
        <w:rPr>
          <w:rFonts w:ascii="Times New Roman" w:hAnsi="Times New Roman"/>
          <w:noProof/>
        </w:rPr>
        <w:t>:</w:t>
      </w:r>
      <w:r w:rsidRPr="005D5356">
        <w:rPr>
          <w:rFonts w:ascii="Times New Roman" w:hAnsi="Times New Roman"/>
          <w:noProof/>
        </w:rPr>
        <w:t>F351-61.</w:t>
      </w:r>
    </w:p>
    <w:p w14:paraId="57F41BC7" w14:textId="247C8589" w:rsidR="00AB0D7B" w:rsidRPr="005D5356" w:rsidRDefault="00AB0D7B"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4</w:t>
      </w:r>
      <w:r w:rsidRPr="005D5356">
        <w:rPr>
          <w:rFonts w:ascii="Times New Roman" w:hAnsi="Times New Roman"/>
          <w:noProof/>
        </w:rPr>
        <w:tab/>
        <w:t xml:space="preserve">Leonardi-Bee J, Britton J, Venn A. Secondhand Smoke and Adverse Fetal Outcomes in Nonsmoking Pregnant Women: A Meta-analysis. </w:t>
      </w:r>
      <w:r w:rsidRPr="005D5356">
        <w:rPr>
          <w:rFonts w:ascii="Times New Roman" w:hAnsi="Times New Roman"/>
          <w:i/>
          <w:iCs/>
          <w:noProof/>
        </w:rPr>
        <w:t>Pediatrics</w:t>
      </w:r>
      <w:r w:rsidR="000115BD" w:rsidRPr="005D5356">
        <w:rPr>
          <w:rFonts w:ascii="Times New Roman" w:hAnsi="Times New Roman"/>
          <w:noProof/>
        </w:rPr>
        <w:t xml:space="preserve"> 2011;</w:t>
      </w:r>
      <w:r w:rsidRPr="005D5356">
        <w:rPr>
          <w:rFonts w:ascii="Times New Roman" w:hAnsi="Times New Roman"/>
          <w:bCs/>
          <w:noProof/>
        </w:rPr>
        <w:t>127</w:t>
      </w:r>
      <w:r w:rsidR="000115BD" w:rsidRPr="005D5356">
        <w:rPr>
          <w:rFonts w:ascii="Times New Roman" w:hAnsi="Times New Roman"/>
          <w:noProof/>
        </w:rPr>
        <w:t>:</w:t>
      </w:r>
      <w:r w:rsidRPr="005D5356">
        <w:rPr>
          <w:rFonts w:ascii="Times New Roman" w:hAnsi="Times New Roman"/>
          <w:noProof/>
        </w:rPr>
        <w:t>734–41.</w:t>
      </w:r>
    </w:p>
    <w:p w14:paraId="4ADA8F23" w14:textId="7242D50E" w:rsidR="00AB0D7B" w:rsidRPr="005D5356" w:rsidRDefault="00AB0D7B"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5</w:t>
      </w:r>
      <w:r w:rsidRPr="005D5356">
        <w:rPr>
          <w:rFonts w:ascii="Times New Roman" w:hAnsi="Times New Roman"/>
          <w:noProof/>
        </w:rPr>
        <w:tab/>
        <w:t xml:space="preserve">Salmasi G, Grady R, Jones J, </w:t>
      </w:r>
      <w:r w:rsidR="00605A88" w:rsidRPr="005D5356">
        <w:rPr>
          <w:rFonts w:ascii="Times New Roman" w:hAnsi="Times New Roman"/>
          <w:noProof/>
        </w:rPr>
        <w:t>et al</w:t>
      </w:r>
      <w:r w:rsidRPr="005D5356">
        <w:rPr>
          <w:rFonts w:ascii="Times New Roman" w:hAnsi="Times New Roman"/>
          <w:noProof/>
        </w:rPr>
        <w:t xml:space="preserve">. Environmental tobacco smoke exposure and perinatal outcomes: a systematic review and meta-analyses. </w:t>
      </w:r>
      <w:r w:rsidRPr="005D5356">
        <w:rPr>
          <w:rFonts w:ascii="Times New Roman" w:hAnsi="Times New Roman"/>
          <w:i/>
          <w:iCs/>
          <w:noProof/>
        </w:rPr>
        <w:t>Acta Obstet Gynecol Scand</w:t>
      </w:r>
      <w:r w:rsidR="000115BD" w:rsidRPr="005D5356">
        <w:rPr>
          <w:rFonts w:ascii="Times New Roman" w:hAnsi="Times New Roman"/>
          <w:noProof/>
        </w:rPr>
        <w:t xml:space="preserve"> 2010;</w:t>
      </w:r>
      <w:r w:rsidRPr="005D5356">
        <w:rPr>
          <w:rFonts w:ascii="Times New Roman" w:hAnsi="Times New Roman"/>
          <w:bCs/>
          <w:noProof/>
        </w:rPr>
        <w:t>89</w:t>
      </w:r>
      <w:r w:rsidR="000115BD" w:rsidRPr="005D5356">
        <w:rPr>
          <w:rFonts w:ascii="Times New Roman" w:hAnsi="Times New Roman"/>
          <w:noProof/>
        </w:rPr>
        <w:t>:</w:t>
      </w:r>
      <w:r w:rsidRPr="005D5356">
        <w:rPr>
          <w:rFonts w:ascii="Times New Roman" w:hAnsi="Times New Roman"/>
          <w:noProof/>
        </w:rPr>
        <w:t>423–41.</w:t>
      </w:r>
    </w:p>
    <w:p w14:paraId="3DB2167E" w14:textId="76F13819" w:rsidR="00AB0D7B" w:rsidRPr="005D5356" w:rsidRDefault="00AB0D7B"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6</w:t>
      </w:r>
      <w:r w:rsidRPr="005D5356">
        <w:rPr>
          <w:rFonts w:ascii="Times New Roman" w:hAnsi="Times New Roman"/>
          <w:noProof/>
        </w:rPr>
        <w:tab/>
        <w:t xml:space="preserve">United Nations. Sustainable Development Goals. 2017. </w:t>
      </w:r>
      <w:r w:rsidR="00167B8C" w:rsidRPr="005D5356">
        <w:rPr>
          <w:rFonts w:ascii="Times New Roman" w:hAnsi="Times New Roman"/>
          <w:noProof/>
        </w:rPr>
        <w:t xml:space="preserve">Available from: </w:t>
      </w:r>
      <w:r w:rsidRPr="005D5356">
        <w:rPr>
          <w:rFonts w:ascii="Times New Roman" w:hAnsi="Times New Roman"/>
          <w:noProof/>
        </w:rPr>
        <w:t>https://sustainabledevelopmen</w:t>
      </w:r>
      <w:r w:rsidR="008B1954" w:rsidRPr="005D5356">
        <w:rPr>
          <w:rFonts w:ascii="Times New Roman" w:hAnsi="Times New Roman"/>
          <w:noProof/>
        </w:rPr>
        <w:t>t.un.org/sdgs (accessed Sept</w:t>
      </w:r>
      <w:r w:rsidRPr="005D5356">
        <w:rPr>
          <w:rFonts w:ascii="Times New Roman" w:hAnsi="Times New Roman"/>
          <w:noProof/>
        </w:rPr>
        <w:t xml:space="preserve"> 2017).</w:t>
      </w:r>
    </w:p>
    <w:p w14:paraId="7415C560" w14:textId="21A32D12" w:rsidR="00AB0D7B" w:rsidRPr="005D5356" w:rsidRDefault="00AB0D7B"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7</w:t>
      </w:r>
      <w:r w:rsidRPr="005D5356">
        <w:rPr>
          <w:rFonts w:ascii="Times New Roman" w:hAnsi="Times New Roman"/>
          <w:noProof/>
        </w:rPr>
        <w:tab/>
        <w:t xml:space="preserve">Caleyachetty R, Tait CA, Kengne AP, </w:t>
      </w:r>
      <w:r w:rsidR="00605A88" w:rsidRPr="005D5356">
        <w:rPr>
          <w:rFonts w:ascii="Times New Roman" w:hAnsi="Times New Roman"/>
          <w:noProof/>
        </w:rPr>
        <w:t>et al</w:t>
      </w:r>
      <w:r w:rsidRPr="005D5356">
        <w:rPr>
          <w:rFonts w:ascii="Times New Roman" w:hAnsi="Times New Roman"/>
          <w:noProof/>
        </w:rPr>
        <w:t xml:space="preserve">. Tobacco use in pregnant women: analysis of data from Demographic and Health Surveys from 54 low-income and middle-income countries. </w:t>
      </w:r>
      <w:r w:rsidRPr="005D5356">
        <w:rPr>
          <w:rFonts w:ascii="Times New Roman" w:hAnsi="Times New Roman"/>
          <w:i/>
          <w:iCs/>
          <w:noProof/>
        </w:rPr>
        <w:t>Lancet Glob Heal</w:t>
      </w:r>
      <w:r w:rsidR="000115BD" w:rsidRPr="005D5356">
        <w:rPr>
          <w:rFonts w:ascii="Times New Roman" w:hAnsi="Times New Roman"/>
          <w:noProof/>
        </w:rPr>
        <w:t xml:space="preserve"> 2014;</w:t>
      </w:r>
      <w:r w:rsidRPr="005D5356">
        <w:rPr>
          <w:rFonts w:ascii="Times New Roman" w:hAnsi="Times New Roman"/>
          <w:bCs/>
          <w:noProof/>
        </w:rPr>
        <w:t>2</w:t>
      </w:r>
      <w:r w:rsidR="000115BD" w:rsidRPr="005D5356">
        <w:rPr>
          <w:rFonts w:ascii="Times New Roman" w:hAnsi="Times New Roman"/>
          <w:noProof/>
        </w:rPr>
        <w:t>:</w:t>
      </w:r>
      <w:r w:rsidRPr="005D5356">
        <w:rPr>
          <w:rFonts w:ascii="Times New Roman" w:hAnsi="Times New Roman"/>
          <w:noProof/>
        </w:rPr>
        <w:t>e513-20.</w:t>
      </w:r>
    </w:p>
    <w:p w14:paraId="0241D968" w14:textId="3F8880B7" w:rsidR="00AB0D7B" w:rsidRDefault="00AB0D7B"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8</w:t>
      </w:r>
      <w:r w:rsidRPr="005D5356">
        <w:rPr>
          <w:rFonts w:ascii="Times New Roman" w:hAnsi="Times New Roman"/>
          <w:noProof/>
        </w:rPr>
        <w:tab/>
        <w:t xml:space="preserve">Bloch M, Althabe F, Onyamboko M, </w:t>
      </w:r>
      <w:r w:rsidRPr="005D5356">
        <w:rPr>
          <w:rFonts w:ascii="Times New Roman" w:hAnsi="Times New Roman"/>
          <w:iCs/>
          <w:noProof/>
        </w:rPr>
        <w:t>et al.</w:t>
      </w:r>
      <w:r w:rsidRPr="005D5356">
        <w:rPr>
          <w:rFonts w:ascii="Times New Roman" w:hAnsi="Times New Roman"/>
          <w:noProof/>
        </w:rPr>
        <w:t xml:space="preserve"> Tobacco use and secondhand smoke exposure during pregnancy: an investigative survey of women in 9 developing natio</w:t>
      </w:r>
      <w:r w:rsidR="000115BD" w:rsidRPr="005D5356">
        <w:rPr>
          <w:rFonts w:ascii="Times New Roman" w:hAnsi="Times New Roman"/>
          <w:noProof/>
        </w:rPr>
        <w:t xml:space="preserve">ns. </w:t>
      </w:r>
      <w:r w:rsidR="000D12B9">
        <w:rPr>
          <w:rFonts w:ascii="Times New Roman" w:hAnsi="Times New Roman"/>
          <w:i/>
          <w:noProof/>
        </w:rPr>
        <w:t>Am J</w:t>
      </w:r>
      <w:r w:rsidR="000115BD" w:rsidRPr="000D12B9">
        <w:rPr>
          <w:rFonts w:ascii="Times New Roman" w:hAnsi="Times New Roman"/>
          <w:i/>
          <w:noProof/>
        </w:rPr>
        <w:t xml:space="preserve"> Public Health</w:t>
      </w:r>
      <w:r w:rsidR="000115BD" w:rsidRPr="005D5356">
        <w:rPr>
          <w:rFonts w:ascii="Times New Roman" w:hAnsi="Times New Roman"/>
          <w:noProof/>
        </w:rPr>
        <w:t xml:space="preserve"> 2008;</w:t>
      </w:r>
      <w:r w:rsidRPr="005D5356">
        <w:rPr>
          <w:rFonts w:ascii="Times New Roman" w:hAnsi="Times New Roman"/>
          <w:bCs/>
          <w:noProof/>
        </w:rPr>
        <w:t>98</w:t>
      </w:r>
      <w:r w:rsidR="000115BD" w:rsidRPr="005D5356">
        <w:rPr>
          <w:rFonts w:ascii="Times New Roman" w:hAnsi="Times New Roman"/>
          <w:noProof/>
        </w:rPr>
        <w:t>:</w:t>
      </w:r>
      <w:r w:rsidRPr="005D5356">
        <w:rPr>
          <w:rFonts w:ascii="Times New Roman" w:hAnsi="Times New Roman"/>
          <w:noProof/>
        </w:rPr>
        <w:t>1833–40.</w:t>
      </w:r>
    </w:p>
    <w:p w14:paraId="2B8A50D3" w14:textId="0AD84409" w:rsidR="006A7465" w:rsidRDefault="006A7465" w:rsidP="00F07639">
      <w:pPr>
        <w:widowControl w:val="0"/>
        <w:autoSpaceDE w:val="0"/>
        <w:autoSpaceDN w:val="0"/>
        <w:adjustRightInd w:val="0"/>
        <w:spacing w:line="480" w:lineRule="auto"/>
        <w:ind w:left="640" w:hanging="640"/>
        <w:rPr>
          <w:rFonts w:ascii="Times New Roman" w:hAnsi="Times New Roman"/>
          <w:noProof/>
          <w:lang w:val="en-GB"/>
        </w:rPr>
      </w:pPr>
      <w:r>
        <w:rPr>
          <w:rFonts w:ascii="Times New Roman" w:hAnsi="Times New Roman"/>
          <w:noProof/>
        </w:rPr>
        <w:lastRenderedPageBreak/>
        <w:t>9</w:t>
      </w:r>
      <w:r w:rsidR="00C1039C">
        <w:rPr>
          <w:rFonts w:ascii="Times New Roman" w:hAnsi="Times New Roman"/>
          <w:noProof/>
        </w:rPr>
        <w:t xml:space="preserve"> </w:t>
      </w:r>
      <w:r w:rsidR="00C1039C">
        <w:rPr>
          <w:rFonts w:ascii="Times New Roman" w:hAnsi="Times New Roman"/>
          <w:noProof/>
        </w:rPr>
        <w:tab/>
      </w:r>
      <w:r w:rsidR="007F32A7">
        <w:rPr>
          <w:rFonts w:ascii="Times New Roman" w:hAnsi="Times New Roman"/>
          <w:noProof/>
        </w:rPr>
        <w:t xml:space="preserve">Oberg M, Woodward A, Jaakkola MS, et al. </w:t>
      </w:r>
      <w:r w:rsidR="007F32A7" w:rsidRPr="007F32A7">
        <w:rPr>
          <w:rFonts w:ascii="Times New Roman" w:hAnsi="Times New Roman"/>
          <w:noProof/>
          <w:lang w:val="en-GB"/>
        </w:rPr>
        <w:t>Global estimate of the burden of disease from second-hand smoke. World Health Organiza</w:t>
      </w:r>
      <w:r w:rsidR="007F32A7">
        <w:rPr>
          <w:rFonts w:ascii="Times New Roman" w:hAnsi="Times New Roman"/>
          <w:noProof/>
          <w:lang w:val="en-GB"/>
        </w:rPr>
        <w:t xml:space="preserve">tion 2010. Available from: </w:t>
      </w:r>
      <w:r w:rsidR="00DF7913" w:rsidRPr="00DF7913">
        <w:rPr>
          <w:rFonts w:ascii="Times New Roman" w:hAnsi="Times New Roman"/>
          <w:noProof/>
          <w:lang w:val="en-GB"/>
        </w:rPr>
        <w:t>http://apps.who.int/iris/bitstream/10665/44426/1/9789241564076_eng.pdf</w:t>
      </w:r>
      <w:r w:rsidR="00DF7913">
        <w:rPr>
          <w:rFonts w:ascii="Times New Roman" w:hAnsi="Times New Roman"/>
          <w:noProof/>
          <w:lang w:val="en-GB"/>
        </w:rPr>
        <w:t xml:space="preserve"> (accessed 12 Jan 2018).</w:t>
      </w:r>
    </w:p>
    <w:p w14:paraId="1C461712" w14:textId="360B1F3C" w:rsidR="00C1039C" w:rsidRDefault="006A7465" w:rsidP="00C65149">
      <w:pPr>
        <w:widowControl w:val="0"/>
        <w:autoSpaceDE w:val="0"/>
        <w:autoSpaceDN w:val="0"/>
        <w:adjustRightInd w:val="0"/>
        <w:spacing w:line="480" w:lineRule="auto"/>
        <w:ind w:left="640" w:hanging="640"/>
        <w:rPr>
          <w:rFonts w:ascii="Times New Roman" w:hAnsi="Times New Roman"/>
          <w:noProof/>
          <w:lang w:val="en-GB"/>
        </w:rPr>
      </w:pPr>
      <w:r>
        <w:rPr>
          <w:rFonts w:ascii="Times New Roman" w:hAnsi="Times New Roman"/>
          <w:noProof/>
          <w:lang w:val="en-GB"/>
        </w:rPr>
        <w:t xml:space="preserve">10 </w:t>
      </w:r>
      <w:r>
        <w:rPr>
          <w:rFonts w:ascii="Times New Roman" w:hAnsi="Times New Roman"/>
          <w:noProof/>
          <w:lang w:val="en-GB"/>
        </w:rPr>
        <w:tab/>
        <w:t xml:space="preserve">Centers for Disease Control and Prevention. </w:t>
      </w:r>
      <w:r w:rsidR="007F32A7" w:rsidRPr="007F32A7">
        <w:rPr>
          <w:rFonts w:ascii="Times New Roman" w:hAnsi="Times New Roman"/>
          <w:noProof/>
          <w:lang w:val="en-GB"/>
        </w:rPr>
        <w:t xml:space="preserve">Current Tobacco Use and Secondhand Smoke Exposure Among Women of Reproductive Age—14 Countries, 2008-2010. </w:t>
      </w:r>
      <w:r w:rsidRPr="00C65149">
        <w:rPr>
          <w:rFonts w:ascii="Times New Roman" w:hAnsi="Times New Roman"/>
          <w:i/>
          <w:noProof/>
          <w:lang w:val="en-GB"/>
        </w:rPr>
        <w:t>MMWR Morb Mortal Wkly Rep</w:t>
      </w:r>
      <w:r w:rsidRPr="006A7465">
        <w:rPr>
          <w:rFonts w:ascii="Times New Roman" w:hAnsi="Times New Roman"/>
          <w:noProof/>
          <w:lang w:val="en-GB"/>
        </w:rPr>
        <w:t> 2012 Nov 2;61(43):877-82.</w:t>
      </w:r>
    </w:p>
    <w:p w14:paraId="44617D7E" w14:textId="77777777" w:rsidR="002320C2" w:rsidRDefault="000D12B9" w:rsidP="002320C2">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lang w:val="en-GB"/>
        </w:rPr>
        <w:t>11</w:t>
      </w:r>
      <w:r>
        <w:rPr>
          <w:rFonts w:ascii="Times New Roman" w:hAnsi="Times New Roman"/>
          <w:noProof/>
          <w:lang w:val="en-GB"/>
        </w:rPr>
        <w:tab/>
      </w:r>
      <w:r w:rsidRPr="000D12B9">
        <w:rPr>
          <w:rFonts w:ascii="Times New Roman" w:hAnsi="Times New Roman"/>
          <w:noProof/>
        </w:rPr>
        <w:t xml:space="preserve">Hyssala L, Rautava P, Sillanpaa M, et al. Changes in the smoking and drinking habits of future fathers from the onset of their wives’ pregnancies. </w:t>
      </w:r>
      <w:r w:rsidRPr="000D12B9">
        <w:rPr>
          <w:rFonts w:ascii="Times New Roman" w:hAnsi="Times New Roman"/>
          <w:i/>
          <w:noProof/>
          <w:lang w:val="en-GB"/>
        </w:rPr>
        <w:t>J Adv Nurs</w:t>
      </w:r>
      <w:r w:rsidRPr="000D12B9">
        <w:rPr>
          <w:rFonts w:ascii="Times New Roman" w:hAnsi="Times New Roman"/>
          <w:noProof/>
          <w:lang w:val="en-GB"/>
        </w:rPr>
        <w:t xml:space="preserve"> </w:t>
      </w:r>
      <w:r w:rsidRPr="000D12B9">
        <w:rPr>
          <w:rFonts w:ascii="Times New Roman" w:hAnsi="Times New Roman"/>
          <w:noProof/>
        </w:rPr>
        <w:t>1992</w:t>
      </w:r>
      <w:r w:rsidR="00746317">
        <w:rPr>
          <w:rFonts w:ascii="Times New Roman" w:hAnsi="Times New Roman"/>
          <w:noProof/>
        </w:rPr>
        <w:t>;</w:t>
      </w:r>
      <w:r w:rsidRPr="000D12B9">
        <w:rPr>
          <w:rFonts w:ascii="Times New Roman" w:hAnsi="Times New Roman"/>
          <w:noProof/>
        </w:rPr>
        <w:t>17</w:t>
      </w:r>
      <w:r w:rsidR="00746317">
        <w:rPr>
          <w:rFonts w:ascii="Times New Roman" w:hAnsi="Times New Roman"/>
          <w:noProof/>
        </w:rPr>
        <w:t>(7):</w:t>
      </w:r>
      <w:r w:rsidRPr="000D12B9">
        <w:rPr>
          <w:rFonts w:ascii="Times New Roman" w:hAnsi="Times New Roman"/>
          <w:noProof/>
        </w:rPr>
        <w:t>849-854.</w:t>
      </w:r>
    </w:p>
    <w:p w14:paraId="3E890B0F" w14:textId="77777777" w:rsidR="00250513" w:rsidRDefault="002320C2" w:rsidP="00250513">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12</w:t>
      </w:r>
      <w:r>
        <w:rPr>
          <w:rFonts w:ascii="Times New Roman" w:hAnsi="Times New Roman"/>
          <w:noProof/>
        </w:rPr>
        <w:tab/>
      </w:r>
      <w:r w:rsidR="000D12B9" w:rsidRPr="000D12B9">
        <w:rPr>
          <w:rFonts w:ascii="Times New Roman" w:hAnsi="Times New Roman"/>
          <w:noProof/>
          <w:lang w:val="en-GB"/>
        </w:rPr>
        <w:t>Pollak KI, Mullen PD. An exploration of the effects of partner smoking, type of social support and stress on postpartum smoking in married women who stopped smoking during pregnancy. </w:t>
      </w:r>
      <w:r w:rsidR="000D12B9" w:rsidRPr="002320C2">
        <w:rPr>
          <w:rFonts w:ascii="Times New Roman" w:hAnsi="Times New Roman"/>
          <w:i/>
          <w:noProof/>
          <w:lang w:val="en-GB"/>
        </w:rPr>
        <w:t>Psychol Addict Behav</w:t>
      </w:r>
      <w:r>
        <w:rPr>
          <w:rFonts w:ascii="Times New Roman" w:hAnsi="Times New Roman"/>
          <w:i/>
          <w:noProof/>
          <w:lang w:val="en-GB"/>
        </w:rPr>
        <w:t xml:space="preserve"> </w:t>
      </w:r>
      <w:r w:rsidR="000D12B9" w:rsidRPr="000D12B9">
        <w:rPr>
          <w:rFonts w:ascii="Times New Roman" w:hAnsi="Times New Roman"/>
          <w:noProof/>
          <w:lang w:val="en-GB"/>
        </w:rPr>
        <w:t>1997;11:182–189.</w:t>
      </w:r>
    </w:p>
    <w:p w14:paraId="26F12A67" w14:textId="77777777" w:rsidR="00D54B9F" w:rsidRDefault="00250513" w:rsidP="00D54B9F">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13</w:t>
      </w:r>
      <w:r>
        <w:rPr>
          <w:rFonts w:ascii="Times New Roman" w:hAnsi="Times New Roman"/>
          <w:noProof/>
        </w:rPr>
        <w:tab/>
      </w:r>
      <w:r w:rsidR="000D12B9" w:rsidRPr="000D12B9">
        <w:rPr>
          <w:rFonts w:ascii="Times New Roman" w:hAnsi="Times New Roman"/>
          <w:noProof/>
          <w:lang w:val="en-GB"/>
        </w:rPr>
        <w:t xml:space="preserve">Everett KD, Gage J, Bullock J, et al. A pilot study of smoking and associated behaviors of low-income </w:t>
      </w:r>
      <w:r w:rsidR="001C7AF8">
        <w:rPr>
          <w:rFonts w:ascii="Times New Roman" w:hAnsi="Times New Roman"/>
          <w:noProof/>
          <w:lang w:val="en-GB"/>
        </w:rPr>
        <w:t>expectant fathers. </w:t>
      </w:r>
      <w:r w:rsidR="001C7AF8" w:rsidRPr="001C7AF8">
        <w:rPr>
          <w:rFonts w:ascii="Times New Roman" w:hAnsi="Times New Roman"/>
          <w:i/>
          <w:noProof/>
          <w:lang w:val="en-GB"/>
        </w:rPr>
        <w:t xml:space="preserve">Nicotine Tob </w:t>
      </w:r>
      <w:r w:rsidR="000D12B9" w:rsidRPr="001C7AF8">
        <w:rPr>
          <w:rFonts w:ascii="Times New Roman" w:hAnsi="Times New Roman"/>
          <w:i/>
          <w:noProof/>
          <w:lang w:val="en-GB"/>
        </w:rPr>
        <w:t>Research</w:t>
      </w:r>
      <w:r w:rsidR="000D12B9" w:rsidRPr="000D12B9">
        <w:rPr>
          <w:rFonts w:ascii="Times New Roman" w:hAnsi="Times New Roman"/>
          <w:noProof/>
          <w:lang w:val="en-GB"/>
        </w:rPr>
        <w:t> 2005;7:269–276.</w:t>
      </w:r>
    </w:p>
    <w:p w14:paraId="4BB61585" w14:textId="38D0E400" w:rsidR="000D12B9" w:rsidRPr="00D54B9F" w:rsidRDefault="002D38A9" w:rsidP="00D54B9F">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14</w:t>
      </w:r>
      <w:r>
        <w:rPr>
          <w:rFonts w:ascii="Times New Roman" w:hAnsi="Times New Roman"/>
          <w:noProof/>
        </w:rPr>
        <w:tab/>
      </w:r>
      <w:r w:rsidR="000D12B9" w:rsidRPr="000D12B9">
        <w:rPr>
          <w:rFonts w:ascii="Times New Roman" w:hAnsi="Times New Roman"/>
          <w:noProof/>
          <w:lang w:val="en-GB"/>
        </w:rPr>
        <w:t>Gage JD, Everett KD, Bullock L. A review of research literature addressing male partners and smoking during pregnancy.</w:t>
      </w:r>
      <w:r w:rsidR="000D12B9" w:rsidRPr="002D38A9">
        <w:rPr>
          <w:rFonts w:ascii="Times New Roman" w:hAnsi="Times New Roman"/>
          <w:i/>
          <w:noProof/>
          <w:lang w:val="en-GB"/>
        </w:rPr>
        <w:t> </w:t>
      </w:r>
      <w:r w:rsidR="000D12B9" w:rsidRPr="002D38A9">
        <w:rPr>
          <w:rFonts w:ascii="Times New Roman" w:hAnsi="Times New Roman"/>
          <w:i/>
          <w:noProof/>
        </w:rPr>
        <w:t>J Obstet Gynecol Neonatal Nurs</w:t>
      </w:r>
      <w:r w:rsidR="000D12B9" w:rsidRPr="000D12B9">
        <w:rPr>
          <w:rFonts w:ascii="Times New Roman" w:hAnsi="Times New Roman"/>
          <w:noProof/>
          <w:lang w:val="en-GB"/>
        </w:rPr>
        <w:t> 2007;36:574–580.</w:t>
      </w:r>
    </w:p>
    <w:p w14:paraId="333E230E" w14:textId="3E9D044F" w:rsidR="00AB0D7B" w:rsidRPr="005D5356" w:rsidRDefault="001F61DB"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15</w:t>
      </w:r>
      <w:r w:rsidR="00AB0D7B" w:rsidRPr="005D5356">
        <w:rPr>
          <w:rFonts w:ascii="Times New Roman" w:hAnsi="Times New Roman"/>
          <w:noProof/>
        </w:rPr>
        <w:tab/>
        <w:t xml:space="preserve">Oberg M, Jaakkola MS, Woodward A, </w:t>
      </w:r>
      <w:r w:rsidR="00AB0D7B" w:rsidRPr="005D5356">
        <w:rPr>
          <w:rFonts w:ascii="Times New Roman" w:hAnsi="Times New Roman"/>
          <w:iCs/>
          <w:noProof/>
        </w:rPr>
        <w:t>et al.</w:t>
      </w:r>
      <w:r w:rsidR="00AB0D7B" w:rsidRPr="005D5356">
        <w:rPr>
          <w:rFonts w:ascii="Times New Roman" w:hAnsi="Times New Roman"/>
          <w:noProof/>
        </w:rPr>
        <w:t xml:space="preserve"> Worldwide burden of disease from exposure to second-hand smoke: a retrospective analysis of data from 192 countries. </w:t>
      </w:r>
      <w:r w:rsidR="00AB0D7B" w:rsidRPr="005D5356">
        <w:rPr>
          <w:rFonts w:ascii="Times New Roman" w:hAnsi="Times New Roman"/>
          <w:i/>
          <w:iCs/>
          <w:noProof/>
        </w:rPr>
        <w:t>Lancet (London, England)</w:t>
      </w:r>
      <w:r w:rsidR="000115BD" w:rsidRPr="005D5356">
        <w:rPr>
          <w:rFonts w:ascii="Times New Roman" w:hAnsi="Times New Roman"/>
          <w:noProof/>
        </w:rPr>
        <w:t xml:space="preserve"> 2011;</w:t>
      </w:r>
      <w:r w:rsidR="00AB0D7B" w:rsidRPr="005D5356">
        <w:rPr>
          <w:rFonts w:ascii="Times New Roman" w:hAnsi="Times New Roman"/>
          <w:bCs/>
          <w:noProof/>
        </w:rPr>
        <w:t>377</w:t>
      </w:r>
      <w:r w:rsidR="000115BD" w:rsidRPr="005D5356">
        <w:rPr>
          <w:rFonts w:ascii="Times New Roman" w:hAnsi="Times New Roman"/>
          <w:noProof/>
        </w:rPr>
        <w:t>:</w:t>
      </w:r>
      <w:r w:rsidR="00AB0D7B" w:rsidRPr="005D5356">
        <w:rPr>
          <w:rFonts w:ascii="Times New Roman" w:hAnsi="Times New Roman"/>
          <w:noProof/>
        </w:rPr>
        <w:t>139–46.</w:t>
      </w:r>
    </w:p>
    <w:p w14:paraId="71D3935F" w14:textId="28BB1C73" w:rsidR="00AB0D7B" w:rsidRPr="005D5356" w:rsidRDefault="00167B8C"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1</w:t>
      </w:r>
      <w:r w:rsidR="001F61DB">
        <w:rPr>
          <w:rFonts w:ascii="Times New Roman" w:hAnsi="Times New Roman"/>
          <w:noProof/>
        </w:rPr>
        <w:t>6</w:t>
      </w:r>
      <w:r w:rsidRPr="005D5356">
        <w:rPr>
          <w:rFonts w:ascii="Times New Roman" w:hAnsi="Times New Roman"/>
          <w:noProof/>
        </w:rPr>
        <w:tab/>
        <w:t>The DHS Program.</w:t>
      </w:r>
      <w:r w:rsidR="00AB0D7B" w:rsidRPr="005D5356">
        <w:rPr>
          <w:rFonts w:ascii="Times New Roman" w:hAnsi="Times New Roman"/>
          <w:noProof/>
        </w:rPr>
        <w:t xml:space="preserve"> DHS-Questionnaires. </w:t>
      </w:r>
      <w:r w:rsidRPr="005D5356">
        <w:rPr>
          <w:rFonts w:ascii="Times New Roman" w:hAnsi="Times New Roman"/>
          <w:noProof/>
        </w:rPr>
        <w:t xml:space="preserve">Available from: </w:t>
      </w:r>
      <w:r w:rsidR="00AB0D7B" w:rsidRPr="005D5356">
        <w:rPr>
          <w:rFonts w:ascii="Times New Roman" w:hAnsi="Times New Roman"/>
          <w:noProof/>
        </w:rPr>
        <w:lastRenderedPageBreak/>
        <w:t>http://dhsprogram.com/What-We-Do/Survey-Types/DHS-Questi</w:t>
      </w:r>
      <w:r w:rsidRPr="005D5356">
        <w:rPr>
          <w:rFonts w:ascii="Times New Roman" w:hAnsi="Times New Roman"/>
          <w:noProof/>
        </w:rPr>
        <w:t xml:space="preserve">onnaires.cfm (accessed March </w:t>
      </w:r>
      <w:r w:rsidR="00AB0D7B" w:rsidRPr="005D5356">
        <w:rPr>
          <w:rFonts w:ascii="Times New Roman" w:hAnsi="Times New Roman"/>
          <w:noProof/>
        </w:rPr>
        <w:t>2016).</w:t>
      </w:r>
    </w:p>
    <w:p w14:paraId="5CC998B3" w14:textId="2D3F21C6" w:rsidR="00AB0D7B" w:rsidRPr="005D5356" w:rsidRDefault="004432D3"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1</w:t>
      </w:r>
      <w:r w:rsidR="001F61DB">
        <w:rPr>
          <w:rFonts w:ascii="Times New Roman" w:hAnsi="Times New Roman"/>
          <w:noProof/>
        </w:rPr>
        <w:t>7</w:t>
      </w:r>
      <w:r w:rsidRPr="005D5356">
        <w:rPr>
          <w:rFonts w:ascii="Times New Roman" w:hAnsi="Times New Roman"/>
          <w:noProof/>
        </w:rPr>
        <w:tab/>
        <w:t>The DHS Program.</w:t>
      </w:r>
      <w:r w:rsidR="00AB0D7B" w:rsidRPr="005D5356">
        <w:rPr>
          <w:rFonts w:ascii="Times New Roman" w:hAnsi="Times New Roman"/>
          <w:noProof/>
        </w:rPr>
        <w:t xml:space="preserve"> DHS Model Questionnaire – Phase 6 (2008-2013) (French, English). </w:t>
      </w:r>
      <w:r w:rsidRPr="005D5356">
        <w:rPr>
          <w:rFonts w:ascii="Times New Roman" w:hAnsi="Times New Roman"/>
          <w:noProof/>
        </w:rPr>
        <w:t xml:space="preserve">Available from: </w:t>
      </w:r>
      <w:r w:rsidR="00AB0D7B" w:rsidRPr="005D5356">
        <w:rPr>
          <w:rFonts w:ascii="Times New Roman" w:hAnsi="Times New Roman"/>
          <w:noProof/>
        </w:rPr>
        <w:t>http://dhsprogram.com/publications/publication-dhsq6-dhs-questionnaires-and</w:t>
      </w:r>
      <w:r w:rsidRPr="005D5356">
        <w:rPr>
          <w:rFonts w:ascii="Times New Roman" w:hAnsi="Times New Roman"/>
          <w:noProof/>
        </w:rPr>
        <w:t xml:space="preserve">-manuals.cfm (accessed March </w:t>
      </w:r>
      <w:r w:rsidR="00AB0D7B" w:rsidRPr="005D5356">
        <w:rPr>
          <w:rFonts w:ascii="Times New Roman" w:hAnsi="Times New Roman"/>
          <w:noProof/>
        </w:rPr>
        <w:t>2016).</w:t>
      </w:r>
    </w:p>
    <w:p w14:paraId="3CF3E82A" w14:textId="69FF7308" w:rsidR="00AB0D7B" w:rsidRPr="005D5356" w:rsidRDefault="004432D3"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1</w:t>
      </w:r>
      <w:r w:rsidR="001F61DB">
        <w:rPr>
          <w:rFonts w:ascii="Times New Roman" w:hAnsi="Times New Roman"/>
          <w:noProof/>
        </w:rPr>
        <w:t>8</w:t>
      </w:r>
      <w:r w:rsidRPr="005D5356">
        <w:rPr>
          <w:rFonts w:ascii="Times New Roman" w:hAnsi="Times New Roman"/>
          <w:noProof/>
        </w:rPr>
        <w:tab/>
        <w:t xml:space="preserve">The DHS Program. </w:t>
      </w:r>
      <w:r w:rsidR="00AB0D7B" w:rsidRPr="005D5356">
        <w:rPr>
          <w:rFonts w:ascii="Times New Roman" w:hAnsi="Times New Roman"/>
          <w:noProof/>
        </w:rPr>
        <w:t>Demographic and Health Survey</w:t>
      </w:r>
      <w:r w:rsidRPr="005D5356">
        <w:rPr>
          <w:rFonts w:ascii="Times New Roman" w:hAnsi="Times New Roman"/>
          <w:noProof/>
        </w:rPr>
        <w:t>s</w:t>
      </w:r>
      <w:r w:rsidR="00AB0D7B" w:rsidRPr="005D5356">
        <w:rPr>
          <w:rFonts w:ascii="Times New Roman" w:hAnsi="Times New Roman"/>
          <w:noProof/>
        </w:rPr>
        <w:t xml:space="preserve"> (DHS). </w:t>
      </w:r>
      <w:r w:rsidRPr="005D5356">
        <w:rPr>
          <w:rFonts w:ascii="Times New Roman" w:hAnsi="Times New Roman"/>
          <w:noProof/>
        </w:rPr>
        <w:t xml:space="preserve">Available from: </w:t>
      </w:r>
      <w:r w:rsidR="00AB0D7B" w:rsidRPr="005D5356">
        <w:rPr>
          <w:rFonts w:ascii="Times New Roman" w:hAnsi="Times New Roman"/>
          <w:noProof/>
        </w:rPr>
        <w:t>http://www.dhsprogram.com/What-We-Do/Survey</w:t>
      </w:r>
      <w:r w:rsidRPr="005D5356">
        <w:rPr>
          <w:rFonts w:ascii="Times New Roman" w:hAnsi="Times New Roman"/>
          <w:noProof/>
        </w:rPr>
        <w:t>-Types/DHS.cfm (accessed Jan</w:t>
      </w:r>
      <w:r w:rsidR="00AB0D7B" w:rsidRPr="005D5356">
        <w:rPr>
          <w:rFonts w:ascii="Times New Roman" w:hAnsi="Times New Roman"/>
          <w:noProof/>
        </w:rPr>
        <w:t xml:space="preserve"> 2016).</w:t>
      </w:r>
    </w:p>
    <w:p w14:paraId="741E64A1" w14:textId="07ECEC67" w:rsidR="00AB0D7B" w:rsidRPr="005D5356" w:rsidRDefault="00AB0D7B" w:rsidP="00F07639">
      <w:pPr>
        <w:widowControl w:val="0"/>
        <w:autoSpaceDE w:val="0"/>
        <w:autoSpaceDN w:val="0"/>
        <w:adjustRightInd w:val="0"/>
        <w:spacing w:line="480" w:lineRule="auto"/>
        <w:ind w:left="640" w:hanging="640"/>
        <w:rPr>
          <w:rFonts w:ascii="Times New Roman" w:hAnsi="Times New Roman"/>
          <w:noProof/>
        </w:rPr>
      </w:pPr>
      <w:r w:rsidRPr="005D5356">
        <w:rPr>
          <w:rFonts w:ascii="Times New Roman" w:hAnsi="Times New Roman"/>
          <w:noProof/>
        </w:rPr>
        <w:t>1</w:t>
      </w:r>
      <w:r w:rsidR="001F61DB">
        <w:rPr>
          <w:rFonts w:ascii="Times New Roman" w:hAnsi="Times New Roman"/>
          <w:noProof/>
        </w:rPr>
        <w:t>9</w:t>
      </w:r>
      <w:r w:rsidRPr="005D5356">
        <w:rPr>
          <w:rFonts w:ascii="Times New Roman" w:hAnsi="Times New Roman"/>
          <w:noProof/>
        </w:rPr>
        <w:tab/>
        <w:t xml:space="preserve">Graubard BI, Korn EL. Predictive margins with survey data. </w:t>
      </w:r>
      <w:r w:rsidRPr="005D5356">
        <w:rPr>
          <w:rFonts w:ascii="Times New Roman" w:hAnsi="Times New Roman"/>
          <w:i/>
          <w:iCs/>
          <w:noProof/>
        </w:rPr>
        <w:t>Biometrics</w:t>
      </w:r>
      <w:r w:rsidR="000115BD" w:rsidRPr="005D5356">
        <w:rPr>
          <w:rFonts w:ascii="Times New Roman" w:hAnsi="Times New Roman"/>
          <w:noProof/>
        </w:rPr>
        <w:t xml:space="preserve"> 1999;</w:t>
      </w:r>
      <w:r w:rsidRPr="005D5356">
        <w:rPr>
          <w:rFonts w:ascii="Times New Roman" w:hAnsi="Times New Roman"/>
          <w:bCs/>
          <w:noProof/>
        </w:rPr>
        <w:t>55</w:t>
      </w:r>
      <w:r w:rsidR="000115BD" w:rsidRPr="005D5356">
        <w:rPr>
          <w:rFonts w:ascii="Times New Roman" w:hAnsi="Times New Roman"/>
          <w:noProof/>
        </w:rPr>
        <w:t>:</w:t>
      </w:r>
      <w:r w:rsidRPr="005D5356">
        <w:rPr>
          <w:rFonts w:ascii="Times New Roman" w:hAnsi="Times New Roman"/>
          <w:noProof/>
        </w:rPr>
        <w:t>652–9.</w:t>
      </w:r>
    </w:p>
    <w:p w14:paraId="4D07585E" w14:textId="5619E6DE" w:rsidR="00AB0D7B" w:rsidRDefault="001F61DB"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20</w:t>
      </w:r>
      <w:r w:rsidR="00AB0D7B" w:rsidRPr="005D5356">
        <w:rPr>
          <w:rFonts w:ascii="Times New Roman" w:hAnsi="Times New Roman"/>
          <w:noProof/>
        </w:rPr>
        <w:tab/>
        <w:t xml:space="preserve">Flenady V, Koopmans L, Middleton P, </w:t>
      </w:r>
      <w:r w:rsidR="00AB0D7B" w:rsidRPr="005D5356">
        <w:rPr>
          <w:rFonts w:ascii="Times New Roman" w:hAnsi="Times New Roman"/>
          <w:iCs/>
          <w:noProof/>
        </w:rPr>
        <w:t>et al.</w:t>
      </w:r>
      <w:r w:rsidR="00AB0D7B" w:rsidRPr="005D5356">
        <w:rPr>
          <w:rFonts w:ascii="Times New Roman" w:hAnsi="Times New Roman"/>
          <w:noProof/>
        </w:rPr>
        <w:t xml:space="preserve"> Major risk factors for stillbirth in high-income countries: a systematic review and meta-analysis. </w:t>
      </w:r>
      <w:r w:rsidR="00AB0D7B" w:rsidRPr="005D5356">
        <w:rPr>
          <w:rFonts w:ascii="Times New Roman" w:hAnsi="Times New Roman"/>
          <w:i/>
          <w:iCs/>
          <w:noProof/>
        </w:rPr>
        <w:t>Lancet</w:t>
      </w:r>
      <w:r w:rsidR="000115BD" w:rsidRPr="005D5356">
        <w:rPr>
          <w:rFonts w:ascii="Times New Roman" w:hAnsi="Times New Roman"/>
          <w:noProof/>
        </w:rPr>
        <w:t xml:space="preserve"> 2011;</w:t>
      </w:r>
      <w:r w:rsidR="00AB0D7B" w:rsidRPr="005D5356">
        <w:rPr>
          <w:rFonts w:ascii="Times New Roman" w:hAnsi="Times New Roman"/>
          <w:bCs/>
          <w:noProof/>
        </w:rPr>
        <w:t>377</w:t>
      </w:r>
      <w:r w:rsidR="000115BD" w:rsidRPr="005D5356">
        <w:rPr>
          <w:rFonts w:ascii="Times New Roman" w:hAnsi="Times New Roman"/>
          <w:noProof/>
        </w:rPr>
        <w:t>:</w:t>
      </w:r>
      <w:r w:rsidR="00AB0D7B" w:rsidRPr="005D5356">
        <w:rPr>
          <w:rFonts w:ascii="Times New Roman" w:hAnsi="Times New Roman"/>
          <w:noProof/>
        </w:rPr>
        <w:t>1331–40.</w:t>
      </w:r>
    </w:p>
    <w:p w14:paraId="38BE02E4" w14:textId="2546F9BF" w:rsidR="00F91C26" w:rsidRPr="005D5356" w:rsidRDefault="00F91C26"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21</w:t>
      </w:r>
      <w:r>
        <w:rPr>
          <w:rFonts w:ascii="Times New Roman" w:hAnsi="Times New Roman"/>
          <w:noProof/>
        </w:rPr>
        <w:tab/>
      </w:r>
      <w:r w:rsidR="001C5D99">
        <w:rPr>
          <w:rFonts w:ascii="Times New Roman" w:hAnsi="Times New Roman"/>
          <w:noProof/>
        </w:rPr>
        <w:t xml:space="preserve">Flegal KM, Panagiotou OA, Graubard BI. Estimating population attributable fractions to quantify the health burden of obesity. </w:t>
      </w:r>
      <w:r w:rsidR="001C5D99" w:rsidRPr="002A2082">
        <w:rPr>
          <w:rFonts w:ascii="Times New Roman" w:hAnsi="Times New Roman"/>
          <w:i/>
          <w:noProof/>
        </w:rPr>
        <w:t>Ann Epidemiol</w:t>
      </w:r>
      <w:r w:rsidR="0065476B">
        <w:rPr>
          <w:rFonts w:ascii="Times New Roman" w:hAnsi="Times New Roman"/>
          <w:noProof/>
        </w:rPr>
        <w:t xml:space="preserve"> 2015;25(3):</w:t>
      </w:r>
      <w:r w:rsidR="001C5D99">
        <w:rPr>
          <w:rFonts w:ascii="Times New Roman" w:hAnsi="Times New Roman"/>
          <w:noProof/>
        </w:rPr>
        <w:t>201-207.</w:t>
      </w:r>
    </w:p>
    <w:p w14:paraId="2DD5ECEF" w14:textId="7E841EDC" w:rsidR="00AB0D7B" w:rsidRPr="005D5356"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22</w:t>
      </w:r>
      <w:r w:rsidR="003E6444" w:rsidRPr="005D5356">
        <w:rPr>
          <w:rFonts w:ascii="Times New Roman" w:hAnsi="Times New Roman"/>
          <w:noProof/>
        </w:rPr>
        <w:tab/>
        <w:t>WHO.</w:t>
      </w:r>
      <w:r w:rsidR="00AB0D7B" w:rsidRPr="005D5356">
        <w:rPr>
          <w:rFonts w:ascii="Times New Roman" w:hAnsi="Times New Roman"/>
          <w:noProof/>
        </w:rPr>
        <w:t xml:space="preserve"> WHO regional offices. WHO. 2017. </w:t>
      </w:r>
      <w:r w:rsidR="003E6444" w:rsidRPr="005D5356">
        <w:rPr>
          <w:rFonts w:ascii="Times New Roman" w:hAnsi="Times New Roman"/>
          <w:noProof/>
        </w:rPr>
        <w:t xml:space="preserve">Available from: </w:t>
      </w:r>
      <w:r w:rsidR="00AB0D7B" w:rsidRPr="005D5356">
        <w:rPr>
          <w:rFonts w:ascii="Times New Roman" w:hAnsi="Times New Roman"/>
          <w:noProof/>
        </w:rPr>
        <w:t>http://www.who.int/abo</w:t>
      </w:r>
      <w:r w:rsidR="003E6444" w:rsidRPr="005D5356">
        <w:rPr>
          <w:rFonts w:ascii="Times New Roman" w:hAnsi="Times New Roman"/>
          <w:noProof/>
        </w:rPr>
        <w:t>ut/regions/en/ (accessed Aug</w:t>
      </w:r>
      <w:r w:rsidR="00AB0D7B" w:rsidRPr="005D5356">
        <w:rPr>
          <w:rFonts w:ascii="Times New Roman" w:hAnsi="Times New Roman"/>
          <w:noProof/>
        </w:rPr>
        <w:t xml:space="preserve"> 2017).</w:t>
      </w:r>
    </w:p>
    <w:p w14:paraId="02EF5E0D" w14:textId="0E84CE3D" w:rsidR="00AB0D7B"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23</w:t>
      </w:r>
      <w:r w:rsidR="00AB0D7B" w:rsidRPr="005D5356">
        <w:rPr>
          <w:rFonts w:ascii="Times New Roman" w:hAnsi="Times New Roman"/>
          <w:noProof/>
        </w:rPr>
        <w:tab/>
        <w:t>World Health Organisation. Tobacco and poverty: a vicious circle. Geneva, 2004</w:t>
      </w:r>
      <w:r w:rsidR="00B02C1D" w:rsidRPr="005D5356">
        <w:rPr>
          <w:rFonts w:ascii="Times New Roman" w:hAnsi="Times New Roman"/>
          <w:noProof/>
        </w:rPr>
        <w:t>.</w:t>
      </w:r>
      <w:r w:rsidR="00AB0D7B" w:rsidRPr="005D5356">
        <w:rPr>
          <w:rFonts w:ascii="Times New Roman" w:hAnsi="Times New Roman"/>
          <w:noProof/>
        </w:rPr>
        <w:t xml:space="preserve"> </w:t>
      </w:r>
      <w:r w:rsidR="00B02C1D" w:rsidRPr="005D5356">
        <w:rPr>
          <w:rFonts w:ascii="Times New Roman" w:hAnsi="Times New Roman"/>
          <w:noProof/>
        </w:rPr>
        <w:t xml:space="preserve">Available from: </w:t>
      </w:r>
      <w:r w:rsidR="00AB0D7B" w:rsidRPr="005D5356">
        <w:rPr>
          <w:rFonts w:ascii="Times New Roman" w:hAnsi="Times New Roman"/>
          <w:noProof/>
        </w:rPr>
        <w:t>http://www.who.int/tobacco/communications/events/wntd/2004/en/wntd2004_brochure_en.pdf (accessed Aug 27, 2017).</w:t>
      </w:r>
    </w:p>
    <w:p w14:paraId="1AE9889F" w14:textId="5576AB15" w:rsidR="009E3B3C" w:rsidRPr="009E3B3C" w:rsidRDefault="005357DE" w:rsidP="009E3B3C">
      <w:pPr>
        <w:widowControl w:val="0"/>
        <w:autoSpaceDE w:val="0"/>
        <w:autoSpaceDN w:val="0"/>
        <w:adjustRightInd w:val="0"/>
        <w:spacing w:line="480" w:lineRule="auto"/>
        <w:ind w:left="640" w:hanging="640"/>
        <w:rPr>
          <w:rFonts w:ascii="Times New Roman" w:hAnsi="Times New Roman"/>
          <w:noProof/>
          <w:lang w:val="en-GB"/>
        </w:rPr>
      </w:pPr>
      <w:r>
        <w:rPr>
          <w:rFonts w:ascii="Times New Roman" w:hAnsi="Times New Roman"/>
          <w:noProof/>
        </w:rPr>
        <w:t>24</w:t>
      </w:r>
      <w:r w:rsidR="009E3B3C">
        <w:rPr>
          <w:rFonts w:ascii="Times New Roman" w:hAnsi="Times New Roman"/>
          <w:noProof/>
        </w:rPr>
        <w:t xml:space="preserve"> </w:t>
      </w:r>
      <w:r w:rsidR="009E3B3C">
        <w:rPr>
          <w:rFonts w:ascii="Times New Roman" w:hAnsi="Times New Roman"/>
          <w:noProof/>
        </w:rPr>
        <w:tab/>
      </w:r>
      <w:r w:rsidR="009E3B3C" w:rsidRPr="009E3B3C">
        <w:rPr>
          <w:rFonts w:ascii="Times New Roman" w:hAnsi="Times New Roman"/>
          <w:noProof/>
          <w:lang w:val="en-GB"/>
        </w:rPr>
        <w:t xml:space="preserve">Sehgal M, Rizwan SA, Krishnan A. Disease burden due to biomass cooking-fuel-related household air pollution among women in India. </w:t>
      </w:r>
      <w:r w:rsidR="009E3B3C" w:rsidRPr="009E3B3C">
        <w:rPr>
          <w:rFonts w:ascii="Times New Roman" w:hAnsi="Times New Roman"/>
          <w:i/>
          <w:noProof/>
          <w:lang w:val="en-GB"/>
        </w:rPr>
        <w:t>Glob Health Action</w:t>
      </w:r>
      <w:r w:rsidR="009E3B3C" w:rsidRPr="009E3B3C">
        <w:rPr>
          <w:rFonts w:ascii="Times New Roman" w:hAnsi="Times New Roman"/>
          <w:noProof/>
          <w:lang w:val="en-GB"/>
        </w:rPr>
        <w:t xml:space="preserve"> 2014; 7:10.3402/gha.v7.25326. doi:10.3402/gha.v7.25326.</w:t>
      </w:r>
    </w:p>
    <w:p w14:paraId="51BA14B0" w14:textId="1D3BFBDC" w:rsidR="009E3B3C" w:rsidRPr="005D5356" w:rsidRDefault="005357DE" w:rsidP="009E3B3C">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lang w:val="en-GB"/>
        </w:rPr>
        <w:lastRenderedPageBreak/>
        <w:t>25</w:t>
      </w:r>
      <w:r w:rsidR="009E3B3C">
        <w:rPr>
          <w:rFonts w:ascii="Times New Roman" w:hAnsi="Times New Roman"/>
          <w:noProof/>
          <w:lang w:val="en-GB"/>
        </w:rPr>
        <w:t xml:space="preserve"> </w:t>
      </w:r>
      <w:r w:rsidR="009E3B3C">
        <w:rPr>
          <w:rFonts w:ascii="Times New Roman" w:hAnsi="Times New Roman"/>
          <w:noProof/>
          <w:lang w:val="en-GB"/>
        </w:rPr>
        <w:tab/>
      </w:r>
      <w:r w:rsidR="009E3B3C" w:rsidRPr="009E3B3C">
        <w:rPr>
          <w:rFonts w:ascii="Times New Roman" w:hAnsi="Times New Roman"/>
          <w:noProof/>
          <w:lang w:val="en-GB"/>
        </w:rPr>
        <w:t xml:space="preserve">Lakshmi PVM, Virdi NK, Sharma A, Tripathy, et al. Household air pollution and stillbirths in India: analysis of the DLHS-II National Survey. </w:t>
      </w:r>
      <w:r w:rsidR="009E3B3C" w:rsidRPr="009E3B3C">
        <w:rPr>
          <w:rFonts w:ascii="Times New Roman" w:hAnsi="Times New Roman"/>
          <w:i/>
          <w:noProof/>
          <w:lang w:val="en-GB"/>
        </w:rPr>
        <w:t>Environ Res</w:t>
      </w:r>
      <w:r w:rsidR="009E3B3C" w:rsidRPr="009E3B3C">
        <w:rPr>
          <w:rFonts w:ascii="Times New Roman" w:hAnsi="Times New Roman"/>
          <w:noProof/>
          <w:lang w:val="en-GB"/>
        </w:rPr>
        <w:t xml:space="preserve"> 2013;121:17 22.</w:t>
      </w:r>
    </w:p>
    <w:p w14:paraId="33F7C84E" w14:textId="469E48A5" w:rsidR="00AB0D7B" w:rsidRPr="005D5356" w:rsidRDefault="001F61DB"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2</w:t>
      </w:r>
      <w:r w:rsidR="005357DE">
        <w:rPr>
          <w:rFonts w:ascii="Times New Roman" w:hAnsi="Times New Roman"/>
          <w:noProof/>
        </w:rPr>
        <w:t>6</w:t>
      </w:r>
      <w:r w:rsidR="00AB0D7B" w:rsidRPr="005D5356">
        <w:rPr>
          <w:rFonts w:ascii="Times New Roman" w:hAnsi="Times New Roman"/>
          <w:noProof/>
        </w:rPr>
        <w:tab/>
        <w:t xml:space="preserve">Caleyachetty R, Tait CA, Kengne AP, </w:t>
      </w:r>
      <w:r w:rsidR="00605A88" w:rsidRPr="005D5356">
        <w:rPr>
          <w:rFonts w:ascii="Times New Roman" w:hAnsi="Times New Roman"/>
          <w:noProof/>
        </w:rPr>
        <w:t>et al</w:t>
      </w:r>
      <w:r w:rsidR="00AB0D7B" w:rsidRPr="005D5356">
        <w:rPr>
          <w:rFonts w:ascii="Times New Roman" w:hAnsi="Times New Roman"/>
          <w:noProof/>
        </w:rPr>
        <w:t xml:space="preserve">. Tobacco use in pregnant women: analysis of data from Demographic and Health Surveys from 54 low-income and middle-income countries. </w:t>
      </w:r>
      <w:r w:rsidR="00AB0D7B" w:rsidRPr="005D5356">
        <w:rPr>
          <w:rFonts w:ascii="Times New Roman" w:hAnsi="Times New Roman"/>
          <w:i/>
          <w:iCs/>
          <w:noProof/>
        </w:rPr>
        <w:t>Lancet Glob Heal</w:t>
      </w:r>
      <w:r w:rsidR="000115BD" w:rsidRPr="005D5356">
        <w:rPr>
          <w:rFonts w:ascii="Times New Roman" w:hAnsi="Times New Roman"/>
          <w:noProof/>
        </w:rPr>
        <w:t xml:space="preserve"> 2014;</w:t>
      </w:r>
      <w:r w:rsidR="00AB0D7B" w:rsidRPr="005D5356">
        <w:rPr>
          <w:rFonts w:ascii="Times New Roman" w:hAnsi="Times New Roman"/>
          <w:bCs/>
          <w:noProof/>
        </w:rPr>
        <w:t>2</w:t>
      </w:r>
      <w:r w:rsidR="000115BD" w:rsidRPr="005D5356">
        <w:rPr>
          <w:rFonts w:ascii="Times New Roman" w:hAnsi="Times New Roman"/>
          <w:noProof/>
        </w:rPr>
        <w:t>:</w:t>
      </w:r>
      <w:r w:rsidR="00AB0D7B" w:rsidRPr="005D5356">
        <w:rPr>
          <w:rFonts w:ascii="Times New Roman" w:hAnsi="Times New Roman"/>
          <w:noProof/>
        </w:rPr>
        <w:t>e513–20.</w:t>
      </w:r>
    </w:p>
    <w:p w14:paraId="43CC18ED" w14:textId="112B982B" w:rsidR="00AB0D7B" w:rsidRPr="005D5356" w:rsidRDefault="001F61DB"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2</w:t>
      </w:r>
      <w:r w:rsidR="005357DE">
        <w:rPr>
          <w:rFonts w:ascii="Times New Roman" w:hAnsi="Times New Roman"/>
          <w:noProof/>
        </w:rPr>
        <w:t>7</w:t>
      </w:r>
      <w:r w:rsidR="00AB0D7B" w:rsidRPr="005D5356">
        <w:rPr>
          <w:rFonts w:ascii="Times New Roman" w:hAnsi="Times New Roman"/>
          <w:noProof/>
        </w:rPr>
        <w:tab/>
        <w:t xml:space="preserve">Fischer F, Minnwegen M, Kaneider U, </w:t>
      </w:r>
      <w:r w:rsidR="00605A88" w:rsidRPr="005D5356">
        <w:rPr>
          <w:rFonts w:ascii="Times New Roman" w:hAnsi="Times New Roman"/>
          <w:noProof/>
        </w:rPr>
        <w:t>et al</w:t>
      </w:r>
      <w:r w:rsidR="00AB0D7B" w:rsidRPr="005D5356">
        <w:rPr>
          <w:rFonts w:ascii="Times New Roman" w:hAnsi="Times New Roman"/>
          <w:noProof/>
        </w:rPr>
        <w:t xml:space="preserve">. Prevalence and determinants of secondhand smoke exposure among women in Bangladesh, 2011. </w:t>
      </w:r>
      <w:r w:rsidR="00AB0D7B" w:rsidRPr="005D5356">
        <w:rPr>
          <w:rFonts w:ascii="Times New Roman" w:hAnsi="Times New Roman"/>
          <w:i/>
          <w:iCs/>
          <w:noProof/>
        </w:rPr>
        <w:t>Nicotine Tob Res</w:t>
      </w:r>
      <w:r w:rsidR="000115BD" w:rsidRPr="005D5356">
        <w:rPr>
          <w:rFonts w:ascii="Times New Roman" w:hAnsi="Times New Roman"/>
          <w:noProof/>
        </w:rPr>
        <w:t xml:space="preserve"> 2015;</w:t>
      </w:r>
      <w:r w:rsidR="00AB0D7B" w:rsidRPr="005D5356">
        <w:rPr>
          <w:rFonts w:ascii="Times New Roman" w:hAnsi="Times New Roman"/>
          <w:bCs/>
          <w:noProof/>
        </w:rPr>
        <w:t>17</w:t>
      </w:r>
      <w:r w:rsidR="000115BD" w:rsidRPr="005D5356">
        <w:rPr>
          <w:rFonts w:ascii="Times New Roman" w:hAnsi="Times New Roman"/>
          <w:noProof/>
        </w:rPr>
        <w:t>:</w:t>
      </w:r>
      <w:r w:rsidR="00AB0D7B" w:rsidRPr="005D5356">
        <w:rPr>
          <w:rFonts w:ascii="Times New Roman" w:hAnsi="Times New Roman"/>
          <w:noProof/>
        </w:rPr>
        <w:t>58–65.</w:t>
      </w:r>
    </w:p>
    <w:p w14:paraId="07E51C9C" w14:textId="5B14F854" w:rsidR="00AB0D7B" w:rsidRPr="005D5356" w:rsidRDefault="001F61DB"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2</w:t>
      </w:r>
      <w:r w:rsidR="005357DE">
        <w:rPr>
          <w:rFonts w:ascii="Times New Roman" w:hAnsi="Times New Roman"/>
          <w:noProof/>
        </w:rPr>
        <w:t>8</w:t>
      </w:r>
      <w:r w:rsidR="00AB0D7B" w:rsidRPr="005D5356">
        <w:rPr>
          <w:rFonts w:ascii="Times New Roman" w:hAnsi="Times New Roman"/>
          <w:noProof/>
        </w:rPr>
        <w:tab/>
        <w:t xml:space="preserve">Azab M, Khabour OF, Alzoubi KH, </w:t>
      </w:r>
      <w:r w:rsidR="00AB0D7B" w:rsidRPr="005D5356">
        <w:rPr>
          <w:rFonts w:ascii="Times New Roman" w:hAnsi="Times New Roman"/>
          <w:iCs/>
          <w:noProof/>
        </w:rPr>
        <w:t>et al</w:t>
      </w:r>
      <w:r w:rsidR="00AB0D7B" w:rsidRPr="005D5356">
        <w:rPr>
          <w:rFonts w:ascii="Times New Roman" w:hAnsi="Times New Roman"/>
          <w:i/>
          <w:iCs/>
          <w:noProof/>
        </w:rPr>
        <w:t>.</w:t>
      </w:r>
      <w:r w:rsidR="00AB0D7B" w:rsidRPr="005D5356">
        <w:rPr>
          <w:rFonts w:ascii="Times New Roman" w:hAnsi="Times New Roman"/>
          <w:noProof/>
        </w:rPr>
        <w:t xml:space="preserve"> Exposure of pregnant women to waterpipe and cigarette smoke. </w:t>
      </w:r>
      <w:r w:rsidR="00AB0D7B" w:rsidRPr="005D5356">
        <w:rPr>
          <w:rFonts w:ascii="Times New Roman" w:hAnsi="Times New Roman"/>
          <w:i/>
          <w:iCs/>
          <w:noProof/>
        </w:rPr>
        <w:t>Nicotine Tob Res</w:t>
      </w:r>
      <w:r w:rsidR="000115BD" w:rsidRPr="005D5356">
        <w:rPr>
          <w:rFonts w:ascii="Times New Roman" w:hAnsi="Times New Roman"/>
          <w:noProof/>
        </w:rPr>
        <w:t xml:space="preserve"> 2013;</w:t>
      </w:r>
      <w:r w:rsidR="00AB0D7B" w:rsidRPr="005D5356">
        <w:rPr>
          <w:rFonts w:ascii="Times New Roman" w:hAnsi="Times New Roman"/>
          <w:bCs/>
          <w:noProof/>
        </w:rPr>
        <w:t>15</w:t>
      </w:r>
      <w:r w:rsidR="000115BD" w:rsidRPr="005D5356">
        <w:rPr>
          <w:rFonts w:ascii="Times New Roman" w:hAnsi="Times New Roman"/>
          <w:noProof/>
        </w:rPr>
        <w:t>:</w:t>
      </w:r>
      <w:r w:rsidR="00AB0D7B" w:rsidRPr="005D5356">
        <w:rPr>
          <w:rFonts w:ascii="Times New Roman" w:hAnsi="Times New Roman"/>
          <w:noProof/>
        </w:rPr>
        <w:t>231–7.</w:t>
      </w:r>
    </w:p>
    <w:p w14:paraId="7B873E59" w14:textId="452A0752" w:rsidR="00AB0D7B" w:rsidRDefault="001F61DB"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2</w:t>
      </w:r>
      <w:r w:rsidR="005357DE">
        <w:rPr>
          <w:rFonts w:ascii="Times New Roman" w:hAnsi="Times New Roman"/>
          <w:noProof/>
        </w:rPr>
        <w:t>9</w:t>
      </w:r>
      <w:r w:rsidR="00AB0D7B" w:rsidRPr="005D5356">
        <w:rPr>
          <w:rFonts w:ascii="Times New Roman" w:hAnsi="Times New Roman"/>
          <w:noProof/>
        </w:rPr>
        <w:tab/>
        <w:t>W</w:t>
      </w:r>
      <w:r w:rsidR="004B24F7">
        <w:rPr>
          <w:rFonts w:ascii="Times New Roman" w:hAnsi="Times New Roman"/>
          <w:noProof/>
        </w:rPr>
        <w:t xml:space="preserve">orld Health Organization. </w:t>
      </w:r>
      <w:r w:rsidR="00AB0D7B" w:rsidRPr="005D5356">
        <w:rPr>
          <w:rFonts w:ascii="Times New Roman" w:hAnsi="Times New Roman"/>
          <w:noProof/>
        </w:rPr>
        <w:t xml:space="preserve">Global Adult </w:t>
      </w:r>
      <w:r w:rsidR="00E97880">
        <w:rPr>
          <w:rFonts w:ascii="Times New Roman" w:hAnsi="Times New Roman"/>
          <w:noProof/>
        </w:rPr>
        <w:t>Tobacco Survey (GATS). WHO. 2015</w:t>
      </w:r>
      <w:r w:rsidR="00AB0D7B" w:rsidRPr="005D5356">
        <w:rPr>
          <w:rFonts w:ascii="Times New Roman" w:hAnsi="Times New Roman"/>
          <w:noProof/>
        </w:rPr>
        <w:t xml:space="preserve">. </w:t>
      </w:r>
      <w:r w:rsidR="00B02C1D" w:rsidRPr="005D5356">
        <w:rPr>
          <w:rFonts w:ascii="Times New Roman" w:hAnsi="Times New Roman"/>
          <w:noProof/>
        </w:rPr>
        <w:t xml:space="preserve">Available from: </w:t>
      </w:r>
      <w:r w:rsidR="00E97880" w:rsidRPr="00E97880">
        <w:rPr>
          <w:rFonts w:ascii="Times New Roman" w:hAnsi="Times New Roman"/>
          <w:noProof/>
        </w:rPr>
        <w:t>http://gatsatlas.org/#section_read</w:t>
      </w:r>
      <w:r w:rsidR="00B02C1D" w:rsidRPr="005D5356">
        <w:rPr>
          <w:rFonts w:ascii="Times New Roman" w:hAnsi="Times New Roman"/>
          <w:noProof/>
        </w:rPr>
        <w:t xml:space="preserve"> (accessed Aug</w:t>
      </w:r>
      <w:r w:rsidR="00AB0D7B" w:rsidRPr="005D5356">
        <w:rPr>
          <w:rFonts w:ascii="Times New Roman" w:hAnsi="Times New Roman"/>
          <w:noProof/>
        </w:rPr>
        <w:t xml:space="preserve"> 2017).</w:t>
      </w:r>
    </w:p>
    <w:p w14:paraId="40AF0E8B" w14:textId="3A78611F" w:rsidR="004B24F7"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30</w:t>
      </w:r>
      <w:r w:rsidR="004B24F7">
        <w:rPr>
          <w:rFonts w:ascii="Times New Roman" w:hAnsi="Times New Roman"/>
          <w:noProof/>
        </w:rPr>
        <w:tab/>
      </w:r>
      <w:r w:rsidR="004B24F7" w:rsidRPr="005D5356">
        <w:rPr>
          <w:rFonts w:ascii="Times New Roman" w:hAnsi="Times New Roman"/>
          <w:noProof/>
        </w:rPr>
        <w:t xml:space="preserve">World Health Organization. </w:t>
      </w:r>
      <w:r w:rsidR="004B24F7">
        <w:rPr>
          <w:rFonts w:ascii="Times New Roman" w:hAnsi="Times New Roman"/>
          <w:noProof/>
        </w:rPr>
        <w:t>Tobacco control country profiles. WHO. 2017</w:t>
      </w:r>
      <w:r w:rsidR="004B24F7" w:rsidRPr="005D5356">
        <w:rPr>
          <w:rFonts w:ascii="Times New Roman" w:hAnsi="Times New Roman"/>
          <w:noProof/>
        </w:rPr>
        <w:t xml:space="preserve">. </w:t>
      </w:r>
      <w:r w:rsidR="004B24F7">
        <w:rPr>
          <w:rFonts w:ascii="Times New Roman" w:hAnsi="Times New Roman"/>
          <w:noProof/>
        </w:rPr>
        <w:t xml:space="preserve">Available from: </w:t>
      </w:r>
      <w:r w:rsidR="004B24F7" w:rsidRPr="004B24F7">
        <w:rPr>
          <w:rFonts w:ascii="Times New Roman" w:hAnsi="Times New Roman"/>
          <w:noProof/>
        </w:rPr>
        <w:t>http://www.who.int/tobacco/surveillance/policy/country_profile/en/</w:t>
      </w:r>
      <w:r w:rsidR="004B24F7" w:rsidRPr="005D5356">
        <w:rPr>
          <w:rFonts w:ascii="Times New Roman" w:hAnsi="Times New Roman"/>
          <w:noProof/>
        </w:rPr>
        <w:t xml:space="preserve"> (accessed </w:t>
      </w:r>
      <w:r w:rsidR="004B24F7">
        <w:rPr>
          <w:rFonts w:ascii="Times New Roman" w:hAnsi="Times New Roman"/>
          <w:noProof/>
        </w:rPr>
        <w:t>January 2018</w:t>
      </w:r>
      <w:r w:rsidR="004B24F7" w:rsidRPr="005D5356">
        <w:rPr>
          <w:rFonts w:ascii="Times New Roman" w:hAnsi="Times New Roman"/>
          <w:noProof/>
        </w:rPr>
        <w:t>).</w:t>
      </w:r>
    </w:p>
    <w:p w14:paraId="39701B29" w14:textId="2ECED57C" w:rsidR="00190826"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31</w:t>
      </w:r>
      <w:r w:rsidR="00190826">
        <w:rPr>
          <w:rFonts w:ascii="Times New Roman" w:hAnsi="Times New Roman"/>
          <w:noProof/>
        </w:rPr>
        <w:tab/>
      </w:r>
      <w:r w:rsidR="00B17F9D" w:rsidRPr="005D5356">
        <w:rPr>
          <w:rFonts w:ascii="Times New Roman" w:hAnsi="Times New Roman"/>
          <w:noProof/>
        </w:rPr>
        <w:t xml:space="preserve">World Health Organization. </w:t>
      </w:r>
      <w:r w:rsidR="00B17F9D">
        <w:rPr>
          <w:rFonts w:ascii="Times New Roman" w:hAnsi="Times New Roman"/>
          <w:noProof/>
        </w:rPr>
        <w:t>Guinea to</w:t>
      </w:r>
      <w:r w:rsidR="00016EBA">
        <w:rPr>
          <w:rFonts w:ascii="Times New Roman" w:hAnsi="Times New Roman"/>
          <w:noProof/>
        </w:rPr>
        <w:t>bacco country profile. WHO. 2002</w:t>
      </w:r>
      <w:r w:rsidR="00B17F9D" w:rsidRPr="005D5356">
        <w:rPr>
          <w:rFonts w:ascii="Times New Roman" w:hAnsi="Times New Roman"/>
          <w:noProof/>
        </w:rPr>
        <w:t xml:space="preserve">. </w:t>
      </w:r>
      <w:r w:rsidR="00B17F9D">
        <w:rPr>
          <w:rFonts w:ascii="Times New Roman" w:hAnsi="Times New Roman"/>
          <w:noProof/>
        </w:rPr>
        <w:t xml:space="preserve">Available from: </w:t>
      </w:r>
      <w:r w:rsidR="00B17F9D" w:rsidRPr="00B17F9D">
        <w:rPr>
          <w:rFonts w:ascii="Times New Roman" w:hAnsi="Times New Roman"/>
          <w:noProof/>
        </w:rPr>
        <w:t>http://www.who.int/tobacco/media/en/Guinea.pdf</w:t>
      </w:r>
      <w:r w:rsidR="00B17F9D" w:rsidRPr="005D5356">
        <w:rPr>
          <w:rFonts w:ascii="Times New Roman" w:hAnsi="Times New Roman"/>
          <w:noProof/>
        </w:rPr>
        <w:t xml:space="preserve"> (accessed </w:t>
      </w:r>
      <w:r w:rsidR="00B17F9D">
        <w:rPr>
          <w:rFonts w:ascii="Times New Roman" w:hAnsi="Times New Roman"/>
          <w:noProof/>
        </w:rPr>
        <w:t>January 2018</w:t>
      </w:r>
      <w:r w:rsidR="00B17F9D" w:rsidRPr="005D5356">
        <w:rPr>
          <w:rFonts w:ascii="Times New Roman" w:hAnsi="Times New Roman"/>
          <w:noProof/>
        </w:rPr>
        <w:t>).</w:t>
      </w:r>
    </w:p>
    <w:p w14:paraId="7FB5BD38" w14:textId="7A38BB50" w:rsidR="00016EBA"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32</w:t>
      </w:r>
      <w:r w:rsidR="00016EBA">
        <w:rPr>
          <w:rFonts w:ascii="Times New Roman" w:hAnsi="Times New Roman"/>
          <w:noProof/>
        </w:rPr>
        <w:tab/>
      </w:r>
      <w:r w:rsidR="00016EBA" w:rsidRPr="005D5356">
        <w:rPr>
          <w:rFonts w:ascii="Times New Roman" w:hAnsi="Times New Roman"/>
          <w:noProof/>
        </w:rPr>
        <w:t xml:space="preserve">World Health Organization. </w:t>
      </w:r>
      <w:r w:rsidR="00BA6C10">
        <w:rPr>
          <w:rFonts w:ascii="Times New Roman" w:hAnsi="Times New Roman"/>
          <w:noProof/>
        </w:rPr>
        <w:t>Jordan</w:t>
      </w:r>
      <w:r w:rsidR="00016EBA">
        <w:rPr>
          <w:rFonts w:ascii="Times New Roman" w:hAnsi="Times New Roman"/>
          <w:noProof/>
        </w:rPr>
        <w:t xml:space="preserve"> tobacco country profile. WHO. </w:t>
      </w:r>
      <w:r w:rsidR="00BA6C10">
        <w:rPr>
          <w:rFonts w:ascii="Times New Roman" w:hAnsi="Times New Roman"/>
          <w:noProof/>
        </w:rPr>
        <w:t>1999</w:t>
      </w:r>
      <w:r w:rsidR="00016EBA" w:rsidRPr="005D5356">
        <w:rPr>
          <w:rFonts w:ascii="Times New Roman" w:hAnsi="Times New Roman"/>
          <w:noProof/>
        </w:rPr>
        <w:t xml:space="preserve">. </w:t>
      </w:r>
      <w:r w:rsidR="00016EBA">
        <w:rPr>
          <w:rFonts w:ascii="Times New Roman" w:hAnsi="Times New Roman"/>
          <w:noProof/>
        </w:rPr>
        <w:t xml:space="preserve">Available from: </w:t>
      </w:r>
      <w:r w:rsidR="00BA6C10" w:rsidRPr="00BA6C10">
        <w:rPr>
          <w:rFonts w:ascii="Times New Roman" w:hAnsi="Times New Roman"/>
          <w:noProof/>
        </w:rPr>
        <w:t>http://www.who.int/tobacco/media/en/Jordan.pdf</w:t>
      </w:r>
      <w:r w:rsidR="00016EBA" w:rsidRPr="005D5356">
        <w:rPr>
          <w:rFonts w:ascii="Times New Roman" w:hAnsi="Times New Roman"/>
          <w:noProof/>
        </w:rPr>
        <w:t xml:space="preserve"> (accessed </w:t>
      </w:r>
      <w:r w:rsidR="00016EBA">
        <w:rPr>
          <w:rFonts w:ascii="Times New Roman" w:hAnsi="Times New Roman"/>
          <w:noProof/>
        </w:rPr>
        <w:t>January 2018</w:t>
      </w:r>
      <w:r w:rsidR="00016EBA" w:rsidRPr="005D5356">
        <w:rPr>
          <w:rFonts w:ascii="Times New Roman" w:hAnsi="Times New Roman"/>
          <w:noProof/>
        </w:rPr>
        <w:t>).</w:t>
      </w:r>
    </w:p>
    <w:p w14:paraId="271EAA0E" w14:textId="046A1470" w:rsidR="001A7A46"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33</w:t>
      </w:r>
      <w:r w:rsidR="001A7A46">
        <w:rPr>
          <w:rFonts w:ascii="Times New Roman" w:hAnsi="Times New Roman"/>
          <w:noProof/>
        </w:rPr>
        <w:tab/>
      </w:r>
      <w:r w:rsidR="001A7A46" w:rsidRPr="005D5356">
        <w:rPr>
          <w:rFonts w:ascii="Times New Roman" w:hAnsi="Times New Roman"/>
          <w:noProof/>
        </w:rPr>
        <w:t xml:space="preserve">World Health Organization. </w:t>
      </w:r>
      <w:r w:rsidR="001A7A46">
        <w:rPr>
          <w:rFonts w:ascii="Times New Roman" w:hAnsi="Times New Roman"/>
          <w:noProof/>
        </w:rPr>
        <w:t>Tobacco control fact sheet: Tajikistan. WHO. 2016</w:t>
      </w:r>
      <w:r w:rsidR="001A7A46" w:rsidRPr="005D5356">
        <w:rPr>
          <w:rFonts w:ascii="Times New Roman" w:hAnsi="Times New Roman"/>
          <w:noProof/>
        </w:rPr>
        <w:t xml:space="preserve">. </w:t>
      </w:r>
      <w:r w:rsidR="003E51DB">
        <w:rPr>
          <w:rFonts w:ascii="Times New Roman" w:hAnsi="Times New Roman"/>
          <w:noProof/>
        </w:rPr>
        <w:t xml:space="preserve">Available from: </w:t>
      </w:r>
      <w:r w:rsidR="001A7A46" w:rsidRPr="001A7A46">
        <w:rPr>
          <w:rFonts w:ascii="Times New Roman" w:hAnsi="Times New Roman"/>
          <w:noProof/>
        </w:rPr>
        <w:lastRenderedPageBreak/>
        <w:t>http://www.euro.who.int/__data/assets/pdf_file/0007/337435/Tobacco-Control-Fact-Sheet-Tajikistan.pdf</w:t>
      </w:r>
      <w:r w:rsidR="001A7A46">
        <w:rPr>
          <w:rFonts w:ascii="Times New Roman" w:hAnsi="Times New Roman"/>
          <w:noProof/>
        </w:rPr>
        <w:t xml:space="preserve"> </w:t>
      </w:r>
      <w:r w:rsidR="001A7A46" w:rsidRPr="005D5356">
        <w:rPr>
          <w:rFonts w:ascii="Times New Roman" w:hAnsi="Times New Roman"/>
          <w:noProof/>
        </w:rPr>
        <w:t xml:space="preserve">(accessed </w:t>
      </w:r>
      <w:r w:rsidR="001A7A46">
        <w:rPr>
          <w:rFonts w:ascii="Times New Roman" w:hAnsi="Times New Roman"/>
          <w:noProof/>
        </w:rPr>
        <w:t>January 2018</w:t>
      </w:r>
      <w:r w:rsidR="001A7A46" w:rsidRPr="005D5356">
        <w:rPr>
          <w:rFonts w:ascii="Times New Roman" w:hAnsi="Times New Roman"/>
          <w:noProof/>
        </w:rPr>
        <w:t>).</w:t>
      </w:r>
    </w:p>
    <w:p w14:paraId="543A53B2" w14:textId="0BBD0039" w:rsidR="001A7A46" w:rsidRPr="005D5356"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34</w:t>
      </w:r>
      <w:r w:rsidR="001A7A46">
        <w:rPr>
          <w:rFonts w:ascii="Times New Roman" w:hAnsi="Times New Roman"/>
          <w:noProof/>
        </w:rPr>
        <w:tab/>
      </w:r>
      <w:r w:rsidR="003E51DB">
        <w:rPr>
          <w:rFonts w:ascii="Times New Roman" w:hAnsi="Times New Roman"/>
          <w:noProof/>
        </w:rPr>
        <w:t xml:space="preserve">Index Mundi. Mali - smoking prevalence. Index Mundi. 2018. Available from: </w:t>
      </w:r>
      <w:r w:rsidR="003E51DB" w:rsidRPr="003E51DB">
        <w:rPr>
          <w:rFonts w:ascii="Times New Roman" w:hAnsi="Times New Roman"/>
          <w:noProof/>
        </w:rPr>
        <w:t>https://www.indexmundi.com/facts/mali/smoking-prevalence</w:t>
      </w:r>
      <w:r w:rsidR="003E51DB">
        <w:rPr>
          <w:rFonts w:ascii="Times New Roman" w:hAnsi="Times New Roman"/>
          <w:noProof/>
        </w:rPr>
        <w:t xml:space="preserve"> </w:t>
      </w:r>
      <w:r w:rsidR="003E51DB" w:rsidRPr="005D5356">
        <w:rPr>
          <w:rFonts w:ascii="Times New Roman" w:hAnsi="Times New Roman"/>
          <w:noProof/>
        </w:rPr>
        <w:t xml:space="preserve">(accessed </w:t>
      </w:r>
      <w:r w:rsidR="003E51DB">
        <w:rPr>
          <w:rFonts w:ascii="Times New Roman" w:hAnsi="Times New Roman"/>
          <w:noProof/>
        </w:rPr>
        <w:t>January 2018</w:t>
      </w:r>
      <w:r w:rsidR="003E51DB" w:rsidRPr="005D5356">
        <w:rPr>
          <w:rFonts w:ascii="Times New Roman" w:hAnsi="Times New Roman"/>
          <w:noProof/>
        </w:rPr>
        <w:t>).</w:t>
      </w:r>
    </w:p>
    <w:p w14:paraId="0E6FC695" w14:textId="5A33596F" w:rsidR="00AB0D7B" w:rsidRPr="005D5356"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35</w:t>
      </w:r>
      <w:r w:rsidR="00AB0D7B" w:rsidRPr="005D5356">
        <w:rPr>
          <w:rFonts w:ascii="Times New Roman" w:hAnsi="Times New Roman"/>
          <w:noProof/>
        </w:rPr>
        <w:tab/>
        <w:t xml:space="preserve">Passey ME, Longman JM, Robinson J, </w:t>
      </w:r>
      <w:r w:rsidR="003C204D" w:rsidRPr="005D5356">
        <w:rPr>
          <w:rFonts w:ascii="Times New Roman" w:hAnsi="Times New Roman"/>
          <w:noProof/>
        </w:rPr>
        <w:t>et al</w:t>
      </w:r>
      <w:r w:rsidR="00AB0D7B" w:rsidRPr="005D5356">
        <w:rPr>
          <w:rFonts w:ascii="Times New Roman" w:hAnsi="Times New Roman"/>
          <w:noProof/>
        </w:rPr>
        <w:t xml:space="preserve">. Smoke-free homes: what are the barriers, motivators and enablers? A qualitative systematic review and thematic synthesis. </w:t>
      </w:r>
      <w:r w:rsidR="00AB0D7B" w:rsidRPr="005D5356">
        <w:rPr>
          <w:rFonts w:ascii="Times New Roman" w:hAnsi="Times New Roman"/>
          <w:i/>
          <w:iCs/>
          <w:noProof/>
        </w:rPr>
        <w:t>BMJ Open</w:t>
      </w:r>
      <w:r w:rsidR="000115BD" w:rsidRPr="005D5356">
        <w:rPr>
          <w:rFonts w:ascii="Times New Roman" w:hAnsi="Times New Roman"/>
          <w:noProof/>
        </w:rPr>
        <w:t xml:space="preserve"> 2016;</w:t>
      </w:r>
      <w:r w:rsidR="00AB0D7B" w:rsidRPr="005D5356">
        <w:rPr>
          <w:rFonts w:ascii="Times New Roman" w:hAnsi="Times New Roman"/>
          <w:bCs/>
          <w:noProof/>
        </w:rPr>
        <w:t>6</w:t>
      </w:r>
      <w:r w:rsidR="000115BD" w:rsidRPr="005D5356">
        <w:rPr>
          <w:rFonts w:ascii="Times New Roman" w:hAnsi="Times New Roman"/>
          <w:noProof/>
        </w:rPr>
        <w:t>:</w:t>
      </w:r>
      <w:r w:rsidR="00AB0D7B" w:rsidRPr="005D5356">
        <w:rPr>
          <w:rFonts w:ascii="Times New Roman" w:hAnsi="Times New Roman"/>
          <w:noProof/>
        </w:rPr>
        <w:t>e010260.</w:t>
      </w:r>
    </w:p>
    <w:p w14:paraId="7CDFF435" w14:textId="78B278DB" w:rsidR="008D0B73"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36</w:t>
      </w:r>
      <w:r w:rsidR="008D0B73">
        <w:rPr>
          <w:rFonts w:ascii="Times New Roman" w:hAnsi="Times New Roman"/>
          <w:noProof/>
        </w:rPr>
        <w:tab/>
      </w:r>
      <w:r w:rsidR="006709EE">
        <w:rPr>
          <w:rFonts w:ascii="Times New Roman" w:hAnsi="Times New Roman"/>
          <w:noProof/>
        </w:rPr>
        <w:t xml:space="preserve">Office on Smoking and Health. </w:t>
      </w:r>
      <w:r w:rsidR="008D0B73">
        <w:rPr>
          <w:rFonts w:ascii="Times New Roman" w:hAnsi="Times New Roman"/>
          <w:noProof/>
        </w:rPr>
        <w:t xml:space="preserve">The Health </w:t>
      </w:r>
      <w:r w:rsidR="008D0B73" w:rsidRPr="008D0B73">
        <w:rPr>
          <w:rFonts w:ascii="Times New Roman" w:hAnsi="Times New Roman"/>
          <w:noProof/>
        </w:rPr>
        <w:t>Consequences of Involuntary Exposure to Tobacco Smoke: A Report of the Surgeon General.</w:t>
      </w:r>
      <w:r w:rsidR="009332A1">
        <w:rPr>
          <w:rFonts w:ascii="Times New Roman" w:hAnsi="Times New Roman"/>
          <w:noProof/>
        </w:rPr>
        <w:t xml:space="preserve"> Centers for Dise</w:t>
      </w:r>
      <w:r w:rsidR="006709EE">
        <w:rPr>
          <w:rFonts w:ascii="Times New Roman" w:hAnsi="Times New Roman"/>
          <w:noProof/>
        </w:rPr>
        <w:t>ase Control and Prevention (US).</w:t>
      </w:r>
      <w:r w:rsidR="009332A1">
        <w:rPr>
          <w:rFonts w:ascii="Times New Roman" w:hAnsi="Times New Roman"/>
          <w:noProof/>
        </w:rPr>
        <w:t xml:space="preserve"> 2006</w:t>
      </w:r>
      <w:r w:rsidR="006709EE">
        <w:rPr>
          <w:rFonts w:ascii="Times New Roman" w:hAnsi="Times New Roman"/>
          <w:noProof/>
        </w:rPr>
        <w:t>.</w:t>
      </w:r>
      <w:r w:rsidR="00AB0D7B" w:rsidRPr="005D5356">
        <w:rPr>
          <w:rFonts w:ascii="Times New Roman" w:hAnsi="Times New Roman"/>
          <w:noProof/>
        </w:rPr>
        <w:tab/>
      </w:r>
    </w:p>
    <w:p w14:paraId="79F69837" w14:textId="55793C00" w:rsidR="008D0B73" w:rsidRDefault="008D0B73"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w:t>
      </w:r>
      <w:r w:rsidR="005357DE">
        <w:rPr>
          <w:rFonts w:ascii="Times New Roman" w:hAnsi="Times New Roman"/>
          <w:noProof/>
        </w:rPr>
        <w:t>7</w:t>
      </w:r>
      <w:r>
        <w:rPr>
          <w:rFonts w:ascii="Times New Roman" w:hAnsi="Times New Roman"/>
          <w:noProof/>
        </w:rPr>
        <w:tab/>
      </w:r>
      <w:r w:rsidRPr="008D0B73">
        <w:rPr>
          <w:rFonts w:ascii="Times New Roman" w:hAnsi="Times New Roman"/>
          <w:noProof/>
        </w:rPr>
        <w:t>Quintana</w:t>
      </w:r>
      <w:r w:rsidR="00EE5445">
        <w:rPr>
          <w:rFonts w:ascii="Times New Roman" w:hAnsi="Times New Roman"/>
          <w:noProof/>
        </w:rPr>
        <w:t xml:space="preserve"> PJ, </w:t>
      </w:r>
      <w:r w:rsidRPr="008D0B73">
        <w:rPr>
          <w:rFonts w:ascii="Times New Roman" w:hAnsi="Times New Roman"/>
          <w:noProof/>
        </w:rPr>
        <w:t>Matt</w:t>
      </w:r>
      <w:r w:rsidR="00EE5445">
        <w:rPr>
          <w:rFonts w:ascii="Times New Roman" w:hAnsi="Times New Roman"/>
          <w:noProof/>
        </w:rPr>
        <w:t xml:space="preserve"> GE, </w:t>
      </w:r>
      <w:r w:rsidRPr="008D0B73">
        <w:rPr>
          <w:rFonts w:ascii="Times New Roman" w:hAnsi="Times New Roman"/>
          <w:noProof/>
        </w:rPr>
        <w:t>Chatfield</w:t>
      </w:r>
      <w:r w:rsidR="00EE5445">
        <w:rPr>
          <w:rFonts w:ascii="Times New Roman" w:hAnsi="Times New Roman"/>
          <w:noProof/>
        </w:rPr>
        <w:t xml:space="preserve"> D</w:t>
      </w:r>
      <w:r w:rsidRPr="008D0B73">
        <w:rPr>
          <w:rFonts w:ascii="Times New Roman" w:hAnsi="Times New Roman"/>
          <w:noProof/>
        </w:rPr>
        <w:t xml:space="preserve">, </w:t>
      </w:r>
      <w:r w:rsidR="00EE5445">
        <w:rPr>
          <w:rFonts w:ascii="Times New Roman" w:hAnsi="Times New Roman"/>
          <w:noProof/>
        </w:rPr>
        <w:t xml:space="preserve">et al. </w:t>
      </w:r>
      <w:r w:rsidRPr="008D0B73">
        <w:rPr>
          <w:rFonts w:ascii="Times New Roman" w:hAnsi="Times New Roman"/>
          <w:noProof/>
        </w:rPr>
        <w:t>Wipe Sampling for Nicotine as a Marker of Thirdhand Tobacco Smoke Contamination on Surf</w:t>
      </w:r>
      <w:r w:rsidR="00950370">
        <w:rPr>
          <w:rFonts w:ascii="Times New Roman" w:hAnsi="Times New Roman"/>
          <w:noProof/>
        </w:rPr>
        <w:t xml:space="preserve">aces in Homes, Cars, and Hotels. </w:t>
      </w:r>
      <w:r w:rsidR="00950370" w:rsidRPr="0022699C">
        <w:rPr>
          <w:rFonts w:ascii="Times New Roman" w:hAnsi="Times New Roman"/>
          <w:i/>
          <w:noProof/>
        </w:rPr>
        <w:t>Nicotine Tob</w:t>
      </w:r>
      <w:r w:rsidRPr="0022699C">
        <w:rPr>
          <w:rFonts w:ascii="Times New Roman" w:hAnsi="Times New Roman"/>
          <w:i/>
          <w:noProof/>
        </w:rPr>
        <w:t xml:space="preserve"> Res</w:t>
      </w:r>
      <w:r w:rsidR="00950370">
        <w:rPr>
          <w:rFonts w:ascii="Times New Roman" w:hAnsi="Times New Roman"/>
          <w:noProof/>
        </w:rPr>
        <w:t xml:space="preserve"> 2013;15(9):1555-63.</w:t>
      </w:r>
      <w:r w:rsidRPr="008D0B73">
        <w:rPr>
          <w:rFonts w:ascii="Times New Roman" w:hAnsi="Times New Roman"/>
          <w:noProof/>
        </w:rPr>
        <w:t xml:space="preserve"> </w:t>
      </w:r>
    </w:p>
    <w:p w14:paraId="5DCFF80E" w14:textId="3B52DAB5" w:rsidR="003C1C95" w:rsidRDefault="003C1C95"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w:t>
      </w:r>
      <w:r w:rsidR="005357DE">
        <w:rPr>
          <w:rFonts w:ascii="Times New Roman" w:hAnsi="Times New Roman"/>
          <w:noProof/>
        </w:rPr>
        <w:t>8</w:t>
      </w:r>
      <w:r>
        <w:rPr>
          <w:rFonts w:ascii="Times New Roman" w:hAnsi="Times New Roman"/>
          <w:noProof/>
        </w:rPr>
        <w:tab/>
        <w:t xml:space="preserve">Kaleta D, Polanska K, Usidame B. </w:t>
      </w:r>
      <w:r w:rsidRPr="003C1C95">
        <w:rPr>
          <w:rFonts w:ascii="Times New Roman" w:hAnsi="Times New Roman"/>
          <w:noProof/>
        </w:rPr>
        <w:t>Smoke-Free Workplaces Are Associated with Protection from Second-Hand Smoke at Homes in Nigeria: Evidence for Population-Level Decisions</w:t>
      </w:r>
      <w:r>
        <w:rPr>
          <w:rFonts w:ascii="Times New Roman" w:hAnsi="Times New Roman"/>
          <w:noProof/>
        </w:rPr>
        <w:t xml:space="preserve">. </w:t>
      </w:r>
      <w:r w:rsidRPr="003C1C95">
        <w:rPr>
          <w:rFonts w:ascii="Times New Roman" w:hAnsi="Times New Roman"/>
          <w:i/>
          <w:noProof/>
        </w:rPr>
        <w:t>Biomed Res Int</w:t>
      </w:r>
      <w:r>
        <w:rPr>
          <w:rFonts w:ascii="Times New Roman" w:hAnsi="Times New Roman"/>
          <w:noProof/>
        </w:rPr>
        <w:t xml:space="preserve"> 2015; 2015.</w:t>
      </w:r>
    </w:p>
    <w:p w14:paraId="0E6C21DB" w14:textId="48DE2316" w:rsidR="003C1C95" w:rsidRDefault="003C1C95"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3</w:t>
      </w:r>
      <w:r w:rsidR="005357DE">
        <w:rPr>
          <w:rFonts w:ascii="Times New Roman" w:hAnsi="Times New Roman"/>
          <w:noProof/>
        </w:rPr>
        <w:t>9</w:t>
      </w:r>
      <w:r w:rsidR="00064FFD">
        <w:rPr>
          <w:rFonts w:ascii="Times New Roman" w:hAnsi="Times New Roman"/>
          <w:noProof/>
        </w:rPr>
        <w:tab/>
      </w:r>
      <w:r w:rsidR="00064FFD" w:rsidRPr="00064FFD">
        <w:rPr>
          <w:rFonts w:ascii="Times New Roman" w:hAnsi="Times New Roman"/>
          <w:noProof/>
        </w:rPr>
        <w:t>Pierce JP, White VM, Emery SL</w:t>
      </w:r>
      <w:r w:rsidR="00331A89">
        <w:rPr>
          <w:rFonts w:ascii="Times New Roman" w:hAnsi="Times New Roman"/>
          <w:noProof/>
        </w:rPr>
        <w:t>.</w:t>
      </w:r>
      <w:r w:rsidR="00064FFD" w:rsidRPr="00064FFD">
        <w:rPr>
          <w:rFonts w:ascii="Times New Roman" w:hAnsi="Times New Roman"/>
          <w:noProof/>
        </w:rPr>
        <w:t xml:space="preserve"> What public health strategies are needed to reduce smoking initiation? </w:t>
      </w:r>
      <w:r w:rsidR="00064FFD" w:rsidRPr="00331A89">
        <w:rPr>
          <w:rFonts w:ascii="Times New Roman" w:hAnsi="Times New Roman"/>
          <w:i/>
          <w:noProof/>
        </w:rPr>
        <w:t>Tob Control</w:t>
      </w:r>
      <w:r w:rsidR="00064FFD" w:rsidRPr="00064FFD">
        <w:rPr>
          <w:rFonts w:ascii="Times New Roman" w:hAnsi="Times New Roman"/>
          <w:noProof/>
        </w:rPr>
        <w:t xml:space="preserve"> 2012;21:258-264.</w:t>
      </w:r>
    </w:p>
    <w:p w14:paraId="71220B7B" w14:textId="6A56108B" w:rsidR="00AB0D7B" w:rsidRPr="005D5356"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40</w:t>
      </w:r>
      <w:r w:rsidR="00EF65E6">
        <w:rPr>
          <w:rFonts w:ascii="Times New Roman" w:hAnsi="Times New Roman"/>
          <w:noProof/>
        </w:rPr>
        <w:tab/>
      </w:r>
      <w:r w:rsidR="00520745" w:rsidRPr="005D5356">
        <w:rPr>
          <w:rFonts w:ascii="Times New Roman" w:hAnsi="Times New Roman"/>
          <w:noProof/>
        </w:rPr>
        <w:t xml:space="preserve">World Health Organization. </w:t>
      </w:r>
      <w:r w:rsidR="00AB0D7B" w:rsidRPr="005D5356">
        <w:rPr>
          <w:rFonts w:ascii="Times New Roman" w:hAnsi="Times New Roman"/>
          <w:noProof/>
        </w:rPr>
        <w:t>WHO recommendations for the prevention and management of tobacco use and second-han</w:t>
      </w:r>
      <w:r w:rsidR="000115BD" w:rsidRPr="005D5356">
        <w:rPr>
          <w:rFonts w:ascii="Times New Roman" w:hAnsi="Times New Roman"/>
          <w:noProof/>
        </w:rPr>
        <w:t>d smoke exposure in pregnancy.</w:t>
      </w:r>
      <w:r w:rsidR="00520745" w:rsidRPr="005D5356">
        <w:rPr>
          <w:rFonts w:ascii="Times New Roman" w:hAnsi="Times New Roman"/>
          <w:noProof/>
        </w:rPr>
        <w:t xml:space="preserve"> </w:t>
      </w:r>
      <w:r w:rsidR="009332A1">
        <w:rPr>
          <w:rFonts w:ascii="Times New Roman" w:hAnsi="Times New Roman"/>
          <w:noProof/>
        </w:rPr>
        <w:t xml:space="preserve">WHO. </w:t>
      </w:r>
      <w:r w:rsidR="00520745" w:rsidRPr="005D5356">
        <w:rPr>
          <w:rFonts w:ascii="Times New Roman" w:hAnsi="Times New Roman"/>
          <w:noProof/>
        </w:rPr>
        <w:t xml:space="preserve">2013. Available from: http://www.who.int/tobacco/publications/pregnancy/guidelinestobaccosmokeexposure/en/ (accessed Aug 2017). </w:t>
      </w:r>
    </w:p>
    <w:p w14:paraId="421F6738" w14:textId="20D50C90" w:rsidR="00AB0D7B" w:rsidRPr="005D5356" w:rsidRDefault="005357DE" w:rsidP="00F07639">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noProof/>
        </w:rPr>
        <w:t>41</w:t>
      </w:r>
      <w:r w:rsidR="00AB0D7B" w:rsidRPr="005D5356">
        <w:rPr>
          <w:rFonts w:ascii="Times New Roman" w:hAnsi="Times New Roman"/>
          <w:noProof/>
        </w:rPr>
        <w:tab/>
        <w:t xml:space="preserve">Tong VT, Dietz PM, Rolle I V, </w:t>
      </w:r>
      <w:r w:rsidR="003C204D" w:rsidRPr="005D5356">
        <w:rPr>
          <w:rFonts w:ascii="Times New Roman" w:hAnsi="Times New Roman"/>
          <w:noProof/>
        </w:rPr>
        <w:t>et al</w:t>
      </w:r>
      <w:r w:rsidR="00AB0D7B" w:rsidRPr="005D5356">
        <w:rPr>
          <w:rFonts w:ascii="Times New Roman" w:hAnsi="Times New Roman"/>
          <w:noProof/>
        </w:rPr>
        <w:t xml:space="preserve">. Clinical interventions to reduce </w:t>
      </w:r>
      <w:r w:rsidR="00AB0D7B" w:rsidRPr="005D5356">
        <w:rPr>
          <w:rFonts w:ascii="Times New Roman" w:hAnsi="Times New Roman"/>
          <w:noProof/>
        </w:rPr>
        <w:lastRenderedPageBreak/>
        <w:t xml:space="preserve">secondhand smoke exposure among pregnant women: a systematic review. </w:t>
      </w:r>
      <w:r w:rsidR="00AB0D7B" w:rsidRPr="005D5356">
        <w:rPr>
          <w:rFonts w:ascii="Times New Roman" w:hAnsi="Times New Roman"/>
          <w:i/>
          <w:iCs/>
          <w:noProof/>
        </w:rPr>
        <w:t>Tob Control</w:t>
      </w:r>
      <w:r w:rsidR="000115BD" w:rsidRPr="005D5356">
        <w:rPr>
          <w:rFonts w:ascii="Times New Roman" w:hAnsi="Times New Roman"/>
          <w:noProof/>
        </w:rPr>
        <w:t xml:space="preserve"> 2015;</w:t>
      </w:r>
      <w:r w:rsidR="00AB0D7B" w:rsidRPr="005D5356">
        <w:rPr>
          <w:rFonts w:ascii="Times New Roman" w:hAnsi="Times New Roman"/>
          <w:bCs/>
          <w:noProof/>
        </w:rPr>
        <w:t>24</w:t>
      </w:r>
      <w:r w:rsidR="000115BD" w:rsidRPr="005D5356">
        <w:rPr>
          <w:rFonts w:ascii="Times New Roman" w:hAnsi="Times New Roman"/>
          <w:noProof/>
        </w:rPr>
        <w:t>:</w:t>
      </w:r>
      <w:r w:rsidR="00AB0D7B" w:rsidRPr="005D5356">
        <w:rPr>
          <w:rFonts w:ascii="Times New Roman" w:hAnsi="Times New Roman"/>
          <w:noProof/>
        </w:rPr>
        <w:t>217–23.</w:t>
      </w:r>
    </w:p>
    <w:p w14:paraId="5773E831" w14:textId="65ECE187" w:rsidR="00C904F1" w:rsidRPr="005D5356" w:rsidRDefault="00A46D2E" w:rsidP="00F07639">
      <w:pPr>
        <w:widowControl w:val="0"/>
        <w:autoSpaceDE w:val="0"/>
        <w:autoSpaceDN w:val="0"/>
        <w:adjustRightInd w:val="0"/>
        <w:spacing w:line="480" w:lineRule="auto"/>
        <w:ind w:left="640" w:hanging="640"/>
        <w:rPr>
          <w:rFonts w:ascii="Times New Roman" w:hAnsi="Times New Roman"/>
        </w:rPr>
      </w:pPr>
      <w:r w:rsidRPr="005D5356">
        <w:rPr>
          <w:rFonts w:ascii="Times New Roman" w:hAnsi="Times New Roman"/>
        </w:rPr>
        <w:fldChar w:fldCharType="end"/>
      </w:r>
    </w:p>
    <w:sectPr w:rsidR="00C904F1" w:rsidRPr="005D5356" w:rsidSect="00FA576D">
      <w:footerReference w:type="even" r:id="rId10"/>
      <w:footerReference w:type="default" r:id="rId1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523D5" w14:textId="77777777" w:rsidR="00B7600E" w:rsidRDefault="00B7600E" w:rsidP="00814390">
      <w:r>
        <w:separator/>
      </w:r>
    </w:p>
  </w:endnote>
  <w:endnote w:type="continuationSeparator" w:id="0">
    <w:p w14:paraId="3CA57F2C" w14:textId="77777777" w:rsidR="00B7600E" w:rsidRDefault="00B7600E" w:rsidP="0081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00000000"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calaLancet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2651D" w14:textId="77777777" w:rsidR="00641887" w:rsidRDefault="00641887" w:rsidP="008F16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B8395" w14:textId="77777777" w:rsidR="00641887" w:rsidRDefault="00641887" w:rsidP="002A70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DF055" w14:textId="2122C24C" w:rsidR="00641887" w:rsidRPr="006E7DF6" w:rsidRDefault="00641887" w:rsidP="008F16B1">
    <w:pPr>
      <w:pStyle w:val="Footer"/>
      <w:framePr w:wrap="around" w:vAnchor="text" w:hAnchor="margin" w:xAlign="right" w:y="1"/>
      <w:rPr>
        <w:rStyle w:val="PageNumber"/>
        <w:rFonts w:ascii="Times New Roman" w:hAnsi="Times New Roman"/>
        <w:sz w:val="24"/>
        <w:szCs w:val="24"/>
      </w:rPr>
    </w:pPr>
    <w:r w:rsidRPr="006E7DF6">
      <w:rPr>
        <w:rStyle w:val="PageNumber"/>
        <w:rFonts w:ascii="Times New Roman" w:hAnsi="Times New Roman"/>
        <w:sz w:val="24"/>
        <w:szCs w:val="24"/>
      </w:rPr>
      <w:t xml:space="preserve">Page </w:t>
    </w:r>
    <w:r w:rsidRPr="006E7DF6">
      <w:rPr>
        <w:rStyle w:val="PageNumber"/>
        <w:rFonts w:ascii="Times New Roman" w:hAnsi="Times New Roman"/>
        <w:sz w:val="24"/>
        <w:szCs w:val="24"/>
      </w:rPr>
      <w:fldChar w:fldCharType="begin"/>
    </w:r>
    <w:r w:rsidRPr="006E7DF6">
      <w:rPr>
        <w:rStyle w:val="PageNumber"/>
        <w:rFonts w:ascii="Times New Roman" w:hAnsi="Times New Roman"/>
        <w:sz w:val="24"/>
        <w:szCs w:val="24"/>
      </w:rPr>
      <w:instrText xml:space="preserve">PAGE  </w:instrText>
    </w:r>
    <w:r w:rsidRPr="006E7DF6">
      <w:rPr>
        <w:rStyle w:val="PageNumber"/>
        <w:rFonts w:ascii="Times New Roman" w:hAnsi="Times New Roman"/>
        <w:sz w:val="24"/>
        <w:szCs w:val="24"/>
      </w:rPr>
      <w:fldChar w:fldCharType="separate"/>
    </w:r>
    <w:r w:rsidR="005B5042">
      <w:rPr>
        <w:rStyle w:val="PageNumber"/>
        <w:rFonts w:ascii="Times New Roman" w:hAnsi="Times New Roman"/>
        <w:noProof/>
        <w:sz w:val="24"/>
        <w:szCs w:val="24"/>
      </w:rPr>
      <w:t>26</w:t>
    </w:r>
    <w:r w:rsidRPr="006E7DF6">
      <w:rPr>
        <w:rStyle w:val="PageNumber"/>
        <w:rFonts w:ascii="Times New Roman" w:hAnsi="Times New Roman"/>
        <w:sz w:val="24"/>
        <w:szCs w:val="24"/>
      </w:rPr>
      <w:fldChar w:fldCharType="end"/>
    </w:r>
  </w:p>
  <w:p w14:paraId="15D6381A" w14:textId="77777777" w:rsidR="00641887" w:rsidRPr="006E7DF6" w:rsidRDefault="00641887" w:rsidP="002A7082">
    <w:pPr>
      <w:pStyle w:val="Footer"/>
      <w:ind w:right="360"/>
      <w:rPr>
        <w:rFonts w:ascii="Times New Roman" w:hAnsi="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764D5" w14:textId="77777777" w:rsidR="00B7600E" w:rsidRDefault="00B7600E" w:rsidP="00814390">
      <w:r>
        <w:separator/>
      </w:r>
    </w:p>
  </w:footnote>
  <w:footnote w:type="continuationSeparator" w:id="0">
    <w:p w14:paraId="2EC8048D" w14:textId="77777777" w:rsidR="00B7600E" w:rsidRDefault="00B7600E" w:rsidP="008143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2EE"/>
    <w:multiLevelType w:val="multilevel"/>
    <w:tmpl w:val="D574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220EC"/>
    <w:multiLevelType w:val="multilevel"/>
    <w:tmpl w:val="63FE5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61755D"/>
    <w:multiLevelType w:val="hybridMultilevel"/>
    <w:tmpl w:val="8CB8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54D69"/>
    <w:multiLevelType w:val="multilevel"/>
    <w:tmpl w:val="EEE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8D6D9E"/>
    <w:multiLevelType w:val="multilevel"/>
    <w:tmpl w:val="28A0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E60669"/>
    <w:multiLevelType w:val="hybridMultilevel"/>
    <w:tmpl w:val="2D9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C22BC"/>
    <w:multiLevelType w:val="multilevel"/>
    <w:tmpl w:val="7C86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043D34"/>
    <w:multiLevelType w:val="multilevel"/>
    <w:tmpl w:val="733C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0559AA"/>
    <w:multiLevelType w:val="multilevel"/>
    <w:tmpl w:val="162A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644E3F"/>
    <w:multiLevelType w:val="hybridMultilevel"/>
    <w:tmpl w:val="119857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93422F"/>
    <w:multiLevelType w:val="multilevel"/>
    <w:tmpl w:val="A102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1E6C70"/>
    <w:multiLevelType w:val="multilevel"/>
    <w:tmpl w:val="872E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515889"/>
    <w:multiLevelType w:val="multilevel"/>
    <w:tmpl w:val="6FD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9"/>
  </w:num>
  <w:num w:numId="4">
    <w:abstractNumId w:val="10"/>
  </w:num>
  <w:num w:numId="5">
    <w:abstractNumId w:val="0"/>
  </w:num>
  <w:num w:numId="6">
    <w:abstractNumId w:val="7"/>
  </w:num>
  <w:num w:numId="7">
    <w:abstractNumId w:val="11"/>
  </w:num>
  <w:num w:numId="8">
    <w:abstractNumId w:val="12"/>
  </w:num>
  <w:num w:numId="9">
    <w:abstractNumId w:val="6"/>
  </w:num>
  <w:num w:numId="10">
    <w:abstractNumId w:val="5"/>
  </w:num>
  <w:num w:numId="11">
    <w:abstractNumId w:val="1"/>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ral Gartner">
    <w15:presenceInfo w15:providerId="AD" w15:userId="S-1-5-21-620321403-24207062-1845911597-195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1"/>
  <w:activeWritingStyle w:appName="MSWord" w:lang="en-GB" w:vendorID="64" w:dllVersion="0"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AF"/>
    <w:rsid w:val="00005A99"/>
    <w:rsid w:val="0000739F"/>
    <w:rsid w:val="000076F6"/>
    <w:rsid w:val="000115BD"/>
    <w:rsid w:val="00012204"/>
    <w:rsid w:val="00014407"/>
    <w:rsid w:val="00015FD3"/>
    <w:rsid w:val="00016EBA"/>
    <w:rsid w:val="00017696"/>
    <w:rsid w:val="000176BE"/>
    <w:rsid w:val="0002054D"/>
    <w:rsid w:val="000253F6"/>
    <w:rsid w:val="0003357F"/>
    <w:rsid w:val="00034F0C"/>
    <w:rsid w:val="000360F8"/>
    <w:rsid w:val="0004039F"/>
    <w:rsid w:val="00042229"/>
    <w:rsid w:val="0004302E"/>
    <w:rsid w:val="00045411"/>
    <w:rsid w:val="00046997"/>
    <w:rsid w:val="00047DC4"/>
    <w:rsid w:val="00047FB1"/>
    <w:rsid w:val="00054CB4"/>
    <w:rsid w:val="0005625D"/>
    <w:rsid w:val="00060460"/>
    <w:rsid w:val="000607E2"/>
    <w:rsid w:val="00061AEB"/>
    <w:rsid w:val="00064FFD"/>
    <w:rsid w:val="0006567D"/>
    <w:rsid w:val="0006663C"/>
    <w:rsid w:val="00071526"/>
    <w:rsid w:val="000735F9"/>
    <w:rsid w:val="000741BE"/>
    <w:rsid w:val="000746D0"/>
    <w:rsid w:val="00074D8B"/>
    <w:rsid w:val="000763BF"/>
    <w:rsid w:val="00077C0A"/>
    <w:rsid w:val="0008336E"/>
    <w:rsid w:val="0008646F"/>
    <w:rsid w:val="000865DE"/>
    <w:rsid w:val="00087D43"/>
    <w:rsid w:val="00091F1C"/>
    <w:rsid w:val="000945E9"/>
    <w:rsid w:val="00094CDC"/>
    <w:rsid w:val="000952F3"/>
    <w:rsid w:val="00095A0F"/>
    <w:rsid w:val="00095A61"/>
    <w:rsid w:val="0009633D"/>
    <w:rsid w:val="000975C8"/>
    <w:rsid w:val="000A12BE"/>
    <w:rsid w:val="000A14E4"/>
    <w:rsid w:val="000A3E47"/>
    <w:rsid w:val="000A3E6A"/>
    <w:rsid w:val="000A5B5F"/>
    <w:rsid w:val="000A5D6A"/>
    <w:rsid w:val="000A6ACE"/>
    <w:rsid w:val="000A6E38"/>
    <w:rsid w:val="000B0D8B"/>
    <w:rsid w:val="000B698C"/>
    <w:rsid w:val="000C555A"/>
    <w:rsid w:val="000C6096"/>
    <w:rsid w:val="000C6407"/>
    <w:rsid w:val="000D021D"/>
    <w:rsid w:val="000D12B9"/>
    <w:rsid w:val="000D1A54"/>
    <w:rsid w:val="000D2710"/>
    <w:rsid w:val="000D2C95"/>
    <w:rsid w:val="000D4F62"/>
    <w:rsid w:val="000D52C4"/>
    <w:rsid w:val="000D6CA0"/>
    <w:rsid w:val="000D7280"/>
    <w:rsid w:val="000D7544"/>
    <w:rsid w:val="000E11C6"/>
    <w:rsid w:val="000E5748"/>
    <w:rsid w:val="000E680E"/>
    <w:rsid w:val="000F0714"/>
    <w:rsid w:val="000F2922"/>
    <w:rsid w:val="000F34C5"/>
    <w:rsid w:val="000F35A2"/>
    <w:rsid w:val="000F465F"/>
    <w:rsid w:val="00100E21"/>
    <w:rsid w:val="00101720"/>
    <w:rsid w:val="00101A77"/>
    <w:rsid w:val="00101F9D"/>
    <w:rsid w:val="0010707B"/>
    <w:rsid w:val="00121165"/>
    <w:rsid w:val="001267DF"/>
    <w:rsid w:val="00131C72"/>
    <w:rsid w:val="00132DE5"/>
    <w:rsid w:val="0013352E"/>
    <w:rsid w:val="00134202"/>
    <w:rsid w:val="001361DF"/>
    <w:rsid w:val="00140724"/>
    <w:rsid w:val="00143803"/>
    <w:rsid w:val="001539AA"/>
    <w:rsid w:val="0015747E"/>
    <w:rsid w:val="0015787B"/>
    <w:rsid w:val="00163EF7"/>
    <w:rsid w:val="001651C6"/>
    <w:rsid w:val="0016564B"/>
    <w:rsid w:val="00165BD2"/>
    <w:rsid w:val="00165CFE"/>
    <w:rsid w:val="00167202"/>
    <w:rsid w:val="00167B8C"/>
    <w:rsid w:val="001702FD"/>
    <w:rsid w:val="00170CFC"/>
    <w:rsid w:val="00172CD8"/>
    <w:rsid w:val="0017367A"/>
    <w:rsid w:val="001742A2"/>
    <w:rsid w:val="0017507E"/>
    <w:rsid w:val="00180FB4"/>
    <w:rsid w:val="001833D6"/>
    <w:rsid w:val="001859B6"/>
    <w:rsid w:val="00186C49"/>
    <w:rsid w:val="00187F46"/>
    <w:rsid w:val="00190826"/>
    <w:rsid w:val="00190B74"/>
    <w:rsid w:val="00191AE9"/>
    <w:rsid w:val="00194AFE"/>
    <w:rsid w:val="00194DF2"/>
    <w:rsid w:val="00196795"/>
    <w:rsid w:val="001A1538"/>
    <w:rsid w:val="001A18E5"/>
    <w:rsid w:val="001A1D12"/>
    <w:rsid w:val="001A397E"/>
    <w:rsid w:val="001A7A46"/>
    <w:rsid w:val="001B33F1"/>
    <w:rsid w:val="001B6B69"/>
    <w:rsid w:val="001B77AF"/>
    <w:rsid w:val="001B7FBB"/>
    <w:rsid w:val="001C1923"/>
    <w:rsid w:val="001C2377"/>
    <w:rsid w:val="001C3E18"/>
    <w:rsid w:val="001C49D1"/>
    <w:rsid w:val="001C5D99"/>
    <w:rsid w:val="001C724A"/>
    <w:rsid w:val="001C7AF8"/>
    <w:rsid w:val="001D273B"/>
    <w:rsid w:val="001D3270"/>
    <w:rsid w:val="001E0DD1"/>
    <w:rsid w:val="001E18D6"/>
    <w:rsid w:val="001E54B7"/>
    <w:rsid w:val="001E60D3"/>
    <w:rsid w:val="001E7321"/>
    <w:rsid w:val="001F345C"/>
    <w:rsid w:val="001F3795"/>
    <w:rsid w:val="001F3864"/>
    <w:rsid w:val="001F5B3B"/>
    <w:rsid w:val="001F61DB"/>
    <w:rsid w:val="001F621B"/>
    <w:rsid w:val="001F7078"/>
    <w:rsid w:val="002071CF"/>
    <w:rsid w:val="00211149"/>
    <w:rsid w:val="00211688"/>
    <w:rsid w:val="00212C79"/>
    <w:rsid w:val="00213D92"/>
    <w:rsid w:val="00213ECE"/>
    <w:rsid w:val="00215AC3"/>
    <w:rsid w:val="0021683B"/>
    <w:rsid w:val="00221092"/>
    <w:rsid w:val="0022233D"/>
    <w:rsid w:val="002261CA"/>
    <w:rsid w:val="0022699C"/>
    <w:rsid w:val="00227943"/>
    <w:rsid w:val="002320C2"/>
    <w:rsid w:val="0023249C"/>
    <w:rsid w:val="00233A09"/>
    <w:rsid w:val="002405EF"/>
    <w:rsid w:val="00242C31"/>
    <w:rsid w:val="00246FD8"/>
    <w:rsid w:val="00250513"/>
    <w:rsid w:val="00250780"/>
    <w:rsid w:val="002508EB"/>
    <w:rsid w:val="002508ED"/>
    <w:rsid w:val="00252844"/>
    <w:rsid w:val="002530FE"/>
    <w:rsid w:val="00262111"/>
    <w:rsid w:val="002654A9"/>
    <w:rsid w:val="002658F8"/>
    <w:rsid w:val="002661A4"/>
    <w:rsid w:val="002665DC"/>
    <w:rsid w:val="00266F48"/>
    <w:rsid w:val="0027172F"/>
    <w:rsid w:val="00274FBA"/>
    <w:rsid w:val="002760B0"/>
    <w:rsid w:val="00276284"/>
    <w:rsid w:val="00283876"/>
    <w:rsid w:val="00285E99"/>
    <w:rsid w:val="00286E6D"/>
    <w:rsid w:val="00287BE2"/>
    <w:rsid w:val="002907BC"/>
    <w:rsid w:val="00292FC6"/>
    <w:rsid w:val="00293110"/>
    <w:rsid w:val="002A2082"/>
    <w:rsid w:val="002A3192"/>
    <w:rsid w:val="002A5F46"/>
    <w:rsid w:val="002A7082"/>
    <w:rsid w:val="002A7DAA"/>
    <w:rsid w:val="002B13F9"/>
    <w:rsid w:val="002B5A20"/>
    <w:rsid w:val="002B7B7E"/>
    <w:rsid w:val="002C0907"/>
    <w:rsid w:val="002C4532"/>
    <w:rsid w:val="002C4F9E"/>
    <w:rsid w:val="002C5653"/>
    <w:rsid w:val="002C6E6D"/>
    <w:rsid w:val="002D1B10"/>
    <w:rsid w:val="002D38A9"/>
    <w:rsid w:val="002D399D"/>
    <w:rsid w:val="002D3A40"/>
    <w:rsid w:val="002E16A8"/>
    <w:rsid w:val="002E19EF"/>
    <w:rsid w:val="002E1A3B"/>
    <w:rsid w:val="002E1ABD"/>
    <w:rsid w:val="002E1C99"/>
    <w:rsid w:val="002E223E"/>
    <w:rsid w:val="002E411E"/>
    <w:rsid w:val="002E6804"/>
    <w:rsid w:val="002F0681"/>
    <w:rsid w:val="002F18FC"/>
    <w:rsid w:val="002F3D5A"/>
    <w:rsid w:val="002F48E8"/>
    <w:rsid w:val="0030029A"/>
    <w:rsid w:val="0030242B"/>
    <w:rsid w:val="003052B7"/>
    <w:rsid w:val="00307ADB"/>
    <w:rsid w:val="0031064F"/>
    <w:rsid w:val="0031324B"/>
    <w:rsid w:val="00313301"/>
    <w:rsid w:val="00313486"/>
    <w:rsid w:val="003139EA"/>
    <w:rsid w:val="00313F9F"/>
    <w:rsid w:val="00316F7E"/>
    <w:rsid w:val="0032204C"/>
    <w:rsid w:val="00322DEA"/>
    <w:rsid w:val="00330FAD"/>
    <w:rsid w:val="003314C7"/>
    <w:rsid w:val="003316E1"/>
    <w:rsid w:val="00331A89"/>
    <w:rsid w:val="00332630"/>
    <w:rsid w:val="0033586D"/>
    <w:rsid w:val="00335C78"/>
    <w:rsid w:val="00337C74"/>
    <w:rsid w:val="0034479E"/>
    <w:rsid w:val="0034547A"/>
    <w:rsid w:val="0035148C"/>
    <w:rsid w:val="00351ACF"/>
    <w:rsid w:val="00352CCC"/>
    <w:rsid w:val="00354CFE"/>
    <w:rsid w:val="00354E3A"/>
    <w:rsid w:val="00360626"/>
    <w:rsid w:val="00361225"/>
    <w:rsid w:val="0036155E"/>
    <w:rsid w:val="00362124"/>
    <w:rsid w:val="00363491"/>
    <w:rsid w:val="00367F14"/>
    <w:rsid w:val="003712FE"/>
    <w:rsid w:val="003717AC"/>
    <w:rsid w:val="003778B3"/>
    <w:rsid w:val="00382659"/>
    <w:rsid w:val="00383F9C"/>
    <w:rsid w:val="00385C18"/>
    <w:rsid w:val="00392AFD"/>
    <w:rsid w:val="00393F7A"/>
    <w:rsid w:val="00394E3E"/>
    <w:rsid w:val="00395CF6"/>
    <w:rsid w:val="00397A56"/>
    <w:rsid w:val="003A18C2"/>
    <w:rsid w:val="003A45BA"/>
    <w:rsid w:val="003A713B"/>
    <w:rsid w:val="003B25D3"/>
    <w:rsid w:val="003B487E"/>
    <w:rsid w:val="003B566E"/>
    <w:rsid w:val="003B7F8F"/>
    <w:rsid w:val="003C1477"/>
    <w:rsid w:val="003C1C95"/>
    <w:rsid w:val="003C204D"/>
    <w:rsid w:val="003C339A"/>
    <w:rsid w:val="003C4ED7"/>
    <w:rsid w:val="003D12A9"/>
    <w:rsid w:val="003D2B38"/>
    <w:rsid w:val="003D30D5"/>
    <w:rsid w:val="003D388A"/>
    <w:rsid w:val="003D3BE2"/>
    <w:rsid w:val="003D432E"/>
    <w:rsid w:val="003D4736"/>
    <w:rsid w:val="003D609A"/>
    <w:rsid w:val="003D7BC8"/>
    <w:rsid w:val="003E0303"/>
    <w:rsid w:val="003E0E25"/>
    <w:rsid w:val="003E3E6B"/>
    <w:rsid w:val="003E4731"/>
    <w:rsid w:val="003E51DB"/>
    <w:rsid w:val="003E58E8"/>
    <w:rsid w:val="003E6444"/>
    <w:rsid w:val="003E7CA5"/>
    <w:rsid w:val="003F01DB"/>
    <w:rsid w:val="003F0C3B"/>
    <w:rsid w:val="003F13A3"/>
    <w:rsid w:val="003F5C3B"/>
    <w:rsid w:val="003F7780"/>
    <w:rsid w:val="00402D03"/>
    <w:rsid w:val="00403DE0"/>
    <w:rsid w:val="004042A7"/>
    <w:rsid w:val="00407B2E"/>
    <w:rsid w:val="00411A5F"/>
    <w:rsid w:val="00411DDA"/>
    <w:rsid w:val="004135E2"/>
    <w:rsid w:val="00415FCD"/>
    <w:rsid w:val="004161E9"/>
    <w:rsid w:val="00417229"/>
    <w:rsid w:val="00421A5A"/>
    <w:rsid w:val="0042262B"/>
    <w:rsid w:val="00422FC9"/>
    <w:rsid w:val="00423B49"/>
    <w:rsid w:val="0042625F"/>
    <w:rsid w:val="00426EBA"/>
    <w:rsid w:val="00427C77"/>
    <w:rsid w:val="00430AFA"/>
    <w:rsid w:val="00430B04"/>
    <w:rsid w:val="00430CC0"/>
    <w:rsid w:val="00431AA7"/>
    <w:rsid w:val="00437753"/>
    <w:rsid w:val="00437CE4"/>
    <w:rsid w:val="00442C9D"/>
    <w:rsid w:val="004430EB"/>
    <w:rsid w:val="004432D3"/>
    <w:rsid w:val="00443815"/>
    <w:rsid w:val="00444431"/>
    <w:rsid w:val="004463BE"/>
    <w:rsid w:val="00461011"/>
    <w:rsid w:val="004623FA"/>
    <w:rsid w:val="00463DCF"/>
    <w:rsid w:val="00463E0B"/>
    <w:rsid w:val="004642F9"/>
    <w:rsid w:val="004662C7"/>
    <w:rsid w:val="00466805"/>
    <w:rsid w:val="00467544"/>
    <w:rsid w:val="0047115B"/>
    <w:rsid w:val="00472B8B"/>
    <w:rsid w:val="00472D71"/>
    <w:rsid w:val="004736D0"/>
    <w:rsid w:val="0048626B"/>
    <w:rsid w:val="00486556"/>
    <w:rsid w:val="00487955"/>
    <w:rsid w:val="00491621"/>
    <w:rsid w:val="00494D85"/>
    <w:rsid w:val="004A0116"/>
    <w:rsid w:val="004A3269"/>
    <w:rsid w:val="004A3D1B"/>
    <w:rsid w:val="004B24F7"/>
    <w:rsid w:val="004C0A98"/>
    <w:rsid w:val="004C1033"/>
    <w:rsid w:val="004C349A"/>
    <w:rsid w:val="004C3CDB"/>
    <w:rsid w:val="004C49B4"/>
    <w:rsid w:val="004C4A41"/>
    <w:rsid w:val="004C7D63"/>
    <w:rsid w:val="004C7FC4"/>
    <w:rsid w:val="004D1792"/>
    <w:rsid w:val="004D3055"/>
    <w:rsid w:val="004D4784"/>
    <w:rsid w:val="004D511A"/>
    <w:rsid w:val="004D56C0"/>
    <w:rsid w:val="004E1885"/>
    <w:rsid w:val="004E233D"/>
    <w:rsid w:val="004E3DB3"/>
    <w:rsid w:val="004E4993"/>
    <w:rsid w:val="004F368B"/>
    <w:rsid w:val="004F702F"/>
    <w:rsid w:val="004F77A8"/>
    <w:rsid w:val="00501D61"/>
    <w:rsid w:val="0050392F"/>
    <w:rsid w:val="00504F30"/>
    <w:rsid w:val="00506527"/>
    <w:rsid w:val="005118A4"/>
    <w:rsid w:val="00512D2A"/>
    <w:rsid w:val="00512DAD"/>
    <w:rsid w:val="00513C34"/>
    <w:rsid w:val="005165A9"/>
    <w:rsid w:val="00516F23"/>
    <w:rsid w:val="00520745"/>
    <w:rsid w:val="0052158E"/>
    <w:rsid w:val="005226E8"/>
    <w:rsid w:val="00525379"/>
    <w:rsid w:val="00526FE1"/>
    <w:rsid w:val="00527B14"/>
    <w:rsid w:val="00530443"/>
    <w:rsid w:val="0053475C"/>
    <w:rsid w:val="00534C85"/>
    <w:rsid w:val="005357DE"/>
    <w:rsid w:val="005357F9"/>
    <w:rsid w:val="0053600B"/>
    <w:rsid w:val="00536D96"/>
    <w:rsid w:val="005417B1"/>
    <w:rsid w:val="00542C96"/>
    <w:rsid w:val="00553297"/>
    <w:rsid w:val="00553D26"/>
    <w:rsid w:val="005541F0"/>
    <w:rsid w:val="00554F3D"/>
    <w:rsid w:val="005550C1"/>
    <w:rsid w:val="00562475"/>
    <w:rsid w:val="0056656E"/>
    <w:rsid w:val="00567BB6"/>
    <w:rsid w:val="005716C5"/>
    <w:rsid w:val="005719B4"/>
    <w:rsid w:val="00572723"/>
    <w:rsid w:val="0057340B"/>
    <w:rsid w:val="00574AA9"/>
    <w:rsid w:val="005755DF"/>
    <w:rsid w:val="00576785"/>
    <w:rsid w:val="0058440F"/>
    <w:rsid w:val="00586858"/>
    <w:rsid w:val="00586D20"/>
    <w:rsid w:val="00586DAC"/>
    <w:rsid w:val="00587EAA"/>
    <w:rsid w:val="0059489B"/>
    <w:rsid w:val="00595875"/>
    <w:rsid w:val="0059783E"/>
    <w:rsid w:val="005A02B6"/>
    <w:rsid w:val="005A189D"/>
    <w:rsid w:val="005A2487"/>
    <w:rsid w:val="005A7901"/>
    <w:rsid w:val="005B0C40"/>
    <w:rsid w:val="005B273C"/>
    <w:rsid w:val="005B289B"/>
    <w:rsid w:val="005B3525"/>
    <w:rsid w:val="005B37C8"/>
    <w:rsid w:val="005B5042"/>
    <w:rsid w:val="005B515A"/>
    <w:rsid w:val="005C109B"/>
    <w:rsid w:val="005C44C3"/>
    <w:rsid w:val="005C4509"/>
    <w:rsid w:val="005C4F8A"/>
    <w:rsid w:val="005C7732"/>
    <w:rsid w:val="005D14CE"/>
    <w:rsid w:val="005D260F"/>
    <w:rsid w:val="005D47E7"/>
    <w:rsid w:val="005D5356"/>
    <w:rsid w:val="005D5B53"/>
    <w:rsid w:val="005D7317"/>
    <w:rsid w:val="005D7B88"/>
    <w:rsid w:val="005E635A"/>
    <w:rsid w:val="005F1D4B"/>
    <w:rsid w:val="005F23FB"/>
    <w:rsid w:val="005F3650"/>
    <w:rsid w:val="005F397D"/>
    <w:rsid w:val="005F5318"/>
    <w:rsid w:val="005F6C00"/>
    <w:rsid w:val="006003B7"/>
    <w:rsid w:val="00601385"/>
    <w:rsid w:val="006023C7"/>
    <w:rsid w:val="00605172"/>
    <w:rsid w:val="006059C6"/>
    <w:rsid w:val="00605A88"/>
    <w:rsid w:val="006109DA"/>
    <w:rsid w:val="00610C6B"/>
    <w:rsid w:val="006124FD"/>
    <w:rsid w:val="006124FF"/>
    <w:rsid w:val="00612CE4"/>
    <w:rsid w:val="00612DFB"/>
    <w:rsid w:val="00620450"/>
    <w:rsid w:val="006243B5"/>
    <w:rsid w:val="00630505"/>
    <w:rsid w:val="00632B6F"/>
    <w:rsid w:val="0063480A"/>
    <w:rsid w:val="006348B5"/>
    <w:rsid w:val="00636897"/>
    <w:rsid w:val="006379D1"/>
    <w:rsid w:val="006402AC"/>
    <w:rsid w:val="00641887"/>
    <w:rsid w:val="006419A8"/>
    <w:rsid w:val="00643B69"/>
    <w:rsid w:val="006441F0"/>
    <w:rsid w:val="00644F90"/>
    <w:rsid w:val="00645C1D"/>
    <w:rsid w:val="00647B2C"/>
    <w:rsid w:val="006518B2"/>
    <w:rsid w:val="00652C33"/>
    <w:rsid w:val="0065476B"/>
    <w:rsid w:val="00656816"/>
    <w:rsid w:val="00657348"/>
    <w:rsid w:val="00657F46"/>
    <w:rsid w:val="0066088A"/>
    <w:rsid w:val="006617C3"/>
    <w:rsid w:val="00670338"/>
    <w:rsid w:val="006709EE"/>
    <w:rsid w:val="00672BDE"/>
    <w:rsid w:val="00672F51"/>
    <w:rsid w:val="00673418"/>
    <w:rsid w:val="006775CE"/>
    <w:rsid w:val="00677680"/>
    <w:rsid w:val="0068037B"/>
    <w:rsid w:val="00683F69"/>
    <w:rsid w:val="00685B88"/>
    <w:rsid w:val="00686366"/>
    <w:rsid w:val="00692A50"/>
    <w:rsid w:val="00692E2F"/>
    <w:rsid w:val="006959A6"/>
    <w:rsid w:val="006A0B5E"/>
    <w:rsid w:val="006A1A2E"/>
    <w:rsid w:val="006A359B"/>
    <w:rsid w:val="006A506F"/>
    <w:rsid w:val="006A5AA1"/>
    <w:rsid w:val="006A7465"/>
    <w:rsid w:val="006B7A3C"/>
    <w:rsid w:val="006B7B09"/>
    <w:rsid w:val="006C4018"/>
    <w:rsid w:val="006D0153"/>
    <w:rsid w:val="006D0AAD"/>
    <w:rsid w:val="006D3A67"/>
    <w:rsid w:val="006D6759"/>
    <w:rsid w:val="006D67EC"/>
    <w:rsid w:val="006D739D"/>
    <w:rsid w:val="006E2C2F"/>
    <w:rsid w:val="006E78E9"/>
    <w:rsid w:val="006E7DF6"/>
    <w:rsid w:val="006F43A5"/>
    <w:rsid w:val="006F734C"/>
    <w:rsid w:val="00701CFD"/>
    <w:rsid w:val="007049AF"/>
    <w:rsid w:val="0070721E"/>
    <w:rsid w:val="00707D28"/>
    <w:rsid w:val="00712255"/>
    <w:rsid w:val="007123C9"/>
    <w:rsid w:val="00716824"/>
    <w:rsid w:val="00721525"/>
    <w:rsid w:val="0072207C"/>
    <w:rsid w:val="00722750"/>
    <w:rsid w:val="00722BAB"/>
    <w:rsid w:val="00723C9A"/>
    <w:rsid w:val="007240ED"/>
    <w:rsid w:val="00727962"/>
    <w:rsid w:val="0073279C"/>
    <w:rsid w:val="007329A5"/>
    <w:rsid w:val="00734D76"/>
    <w:rsid w:val="00742180"/>
    <w:rsid w:val="007431F9"/>
    <w:rsid w:val="007446A5"/>
    <w:rsid w:val="00745BE6"/>
    <w:rsid w:val="00746317"/>
    <w:rsid w:val="00746A9C"/>
    <w:rsid w:val="0074718F"/>
    <w:rsid w:val="00747E54"/>
    <w:rsid w:val="00747F83"/>
    <w:rsid w:val="00750FCE"/>
    <w:rsid w:val="00754DC3"/>
    <w:rsid w:val="0075778C"/>
    <w:rsid w:val="00757980"/>
    <w:rsid w:val="00757A8D"/>
    <w:rsid w:val="007603F7"/>
    <w:rsid w:val="0076175C"/>
    <w:rsid w:val="00762C4E"/>
    <w:rsid w:val="00764DF0"/>
    <w:rsid w:val="007653AB"/>
    <w:rsid w:val="007668EF"/>
    <w:rsid w:val="00766B37"/>
    <w:rsid w:val="00767BD3"/>
    <w:rsid w:val="00781A21"/>
    <w:rsid w:val="007901BB"/>
    <w:rsid w:val="007901C4"/>
    <w:rsid w:val="00792F4A"/>
    <w:rsid w:val="0079355B"/>
    <w:rsid w:val="0079552B"/>
    <w:rsid w:val="00796202"/>
    <w:rsid w:val="007962EE"/>
    <w:rsid w:val="007A1516"/>
    <w:rsid w:val="007B0B2C"/>
    <w:rsid w:val="007B244D"/>
    <w:rsid w:val="007B2ABC"/>
    <w:rsid w:val="007B42E2"/>
    <w:rsid w:val="007B635E"/>
    <w:rsid w:val="007B65BB"/>
    <w:rsid w:val="007B7984"/>
    <w:rsid w:val="007C0175"/>
    <w:rsid w:val="007C1DC2"/>
    <w:rsid w:val="007C26A0"/>
    <w:rsid w:val="007C367B"/>
    <w:rsid w:val="007C4960"/>
    <w:rsid w:val="007C5C8C"/>
    <w:rsid w:val="007D0F15"/>
    <w:rsid w:val="007D2846"/>
    <w:rsid w:val="007D28F3"/>
    <w:rsid w:val="007D49DD"/>
    <w:rsid w:val="007D5301"/>
    <w:rsid w:val="007D7306"/>
    <w:rsid w:val="007E0BD8"/>
    <w:rsid w:val="007E212F"/>
    <w:rsid w:val="007E264C"/>
    <w:rsid w:val="007E3AB4"/>
    <w:rsid w:val="007E4568"/>
    <w:rsid w:val="007F32A7"/>
    <w:rsid w:val="007F3D38"/>
    <w:rsid w:val="007F66B0"/>
    <w:rsid w:val="00802FE2"/>
    <w:rsid w:val="0080490D"/>
    <w:rsid w:val="008065CD"/>
    <w:rsid w:val="00807CBB"/>
    <w:rsid w:val="0081022C"/>
    <w:rsid w:val="00813F1A"/>
    <w:rsid w:val="00814390"/>
    <w:rsid w:val="0081765A"/>
    <w:rsid w:val="00820118"/>
    <w:rsid w:val="00820CF9"/>
    <w:rsid w:val="00820FBE"/>
    <w:rsid w:val="00822902"/>
    <w:rsid w:val="00822EC4"/>
    <w:rsid w:val="008230C9"/>
    <w:rsid w:val="0083327A"/>
    <w:rsid w:val="00835E34"/>
    <w:rsid w:val="008361F0"/>
    <w:rsid w:val="00841382"/>
    <w:rsid w:val="00843743"/>
    <w:rsid w:val="0084440A"/>
    <w:rsid w:val="00845DE3"/>
    <w:rsid w:val="00847078"/>
    <w:rsid w:val="00851BA3"/>
    <w:rsid w:val="008524EB"/>
    <w:rsid w:val="008551B2"/>
    <w:rsid w:val="008556BD"/>
    <w:rsid w:val="008567FF"/>
    <w:rsid w:val="008623BA"/>
    <w:rsid w:val="00864C07"/>
    <w:rsid w:val="008655F1"/>
    <w:rsid w:val="00865B79"/>
    <w:rsid w:val="0086620E"/>
    <w:rsid w:val="00866BB0"/>
    <w:rsid w:val="00867F0E"/>
    <w:rsid w:val="0087097D"/>
    <w:rsid w:val="00871043"/>
    <w:rsid w:val="0087319E"/>
    <w:rsid w:val="00874EBD"/>
    <w:rsid w:val="00875453"/>
    <w:rsid w:val="0087565E"/>
    <w:rsid w:val="00875CE0"/>
    <w:rsid w:val="00876AE7"/>
    <w:rsid w:val="00884B65"/>
    <w:rsid w:val="008861B6"/>
    <w:rsid w:val="00887E80"/>
    <w:rsid w:val="00891E23"/>
    <w:rsid w:val="0089311B"/>
    <w:rsid w:val="00893A39"/>
    <w:rsid w:val="0089462E"/>
    <w:rsid w:val="00894D97"/>
    <w:rsid w:val="00895343"/>
    <w:rsid w:val="008A18F7"/>
    <w:rsid w:val="008A36BB"/>
    <w:rsid w:val="008A50A2"/>
    <w:rsid w:val="008B1471"/>
    <w:rsid w:val="008B1954"/>
    <w:rsid w:val="008B3A3B"/>
    <w:rsid w:val="008B4852"/>
    <w:rsid w:val="008B7564"/>
    <w:rsid w:val="008C0384"/>
    <w:rsid w:val="008C4926"/>
    <w:rsid w:val="008D0424"/>
    <w:rsid w:val="008D0B73"/>
    <w:rsid w:val="008D1AD6"/>
    <w:rsid w:val="008D3EDC"/>
    <w:rsid w:val="008D653A"/>
    <w:rsid w:val="008E0911"/>
    <w:rsid w:val="008E1C21"/>
    <w:rsid w:val="008E30C9"/>
    <w:rsid w:val="008E38A6"/>
    <w:rsid w:val="008E3FDA"/>
    <w:rsid w:val="008E518E"/>
    <w:rsid w:val="008E7861"/>
    <w:rsid w:val="008F0B31"/>
    <w:rsid w:val="008F16B1"/>
    <w:rsid w:val="008F1CBA"/>
    <w:rsid w:val="008F3F5C"/>
    <w:rsid w:val="008F43F5"/>
    <w:rsid w:val="009003A8"/>
    <w:rsid w:val="009008C4"/>
    <w:rsid w:val="00901237"/>
    <w:rsid w:val="00904CD4"/>
    <w:rsid w:val="00905892"/>
    <w:rsid w:val="00905AB1"/>
    <w:rsid w:val="0091018B"/>
    <w:rsid w:val="009103F2"/>
    <w:rsid w:val="009113A7"/>
    <w:rsid w:val="00911924"/>
    <w:rsid w:val="00913EA2"/>
    <w:rsid w:val="009148EA"/>
    <w:rsid w:val="00915C8F"/>
    <w:rsid w:val="00916957"/>
    <w:rsid w:val="00920119"/>
    <w:rsid w:val="009213BB"/>
    <w:rsid w:val="00924FF2"/>
    <w:rsid w:val="0092595A"/>
    <w:rsid w:val="00931817"/>
    <w:rsid w:val="00931D2E"/>
    <w:rsid w:val="009332A1"/>
    <w:rsid w:val="00934292"/>
    <w:rsid w:val="0093450A"/>
    <w:rsid w:val="00937023"/>
    <w:rsid w:val="00937EE8"/>
    <w:rsid w:val="00944762"/>
    <w:rsid w:val="009462F3"/>
    <w:rsid w:val="009465B9"/>
    <w:rsid w:val="00950370"/>
    <w:rsid w:val="0095175C"/>
    <w:rsid w:val="00953EF2"/>
    <w:rsid w:val="009554C3"/>
    <w:rsid w:val="009555C1"/>
    <w:rsid w:val="009555EF"/>
    <w:rsid w:val="009555FE"/>
    <w:rsid w:val="009565CB"/>
    <w:rsid w:val="00957026"/>
    <w:rsid w:val="00957A34"/>
    <w:rsid w:val="00957B17"/>
    <w:rsid w:val="00962BCF"/>
    <w:rsid w:val="00963375"/>
    <w:rsid w:val="00964421"/>
    <w:rsid w:val="00965CE1"/>
    <w:rsid w:val="00966023"/>
    <w:rsid w:val="009732E2"/>
    <w:rsid w:val="0097334E"/>
    <w:rsid w:val="00974D57"/>
    <w:rsid w:val="009755D2"/>
    <w:rsid w:val="009764FE"/>
    <w:rsid w:val="0098131E"/>
    <w:rsid w:val="009840FF"/>
    <w:rsid w:val="00984557"/>
    <w:rsid w:val="00990033"/>
    <w:rsid w:val="00990B6F"/>
    <w:rsid w:val="00997440"/>
    <w:rsid w:val="00997AD8"/>
    <w:rsid w:val="009A3661"/>
    <w:rsid w:val="009A414E"/>
    <w:rsid w:val="009A4899"/>
    <w:rsid w:val="009B004F"/>
    <w:rsid w:val="009B1D35"/>
    <w:rsid w:val="009B1F72"/>
    <w:rsid w:val="009B219E"/>
    <w:rsid w:val="009B3346"/>
    <w:rsid w:val="009B7814"/>
    <w:rsid w:val="009C27E6"/>
    <w:rsid w:val="009C42CF"/>
    <w:rsid w:val="009C48E0"/>
    <w:rsid w:val="009C53BC"/>
    <w:rsid w:val="009C622E"/>
    <w:rsid w:val="009C6420"/>
    <w:rsid w:val="009D3F29"/>
    <w:rsid w:val="009D4659"/>
    <w:rsid w:val="009D4BD0"/>
    <w:rsid w:val="009D53DF"/>
    <w:rsid w:val="009E3265"/>
    <w:rsid w:val="009E3B3C"/>
    <w:rsid w:val="009E4125"/>
    <w:rsid w:val="009E5150"/>
    <w:rsid w:val="009E708F"/>
    <w:rsid w:val="009F0C75"/>
    <w:rsid w:val="009F1EAB"/>
    <w:rsid w:val="009F3E64"/>
    <w:rsid w:val="009F529B"/>
    <w:rsid w:val="00A007D7"/>
    <w:rsid w:val="00A010E9"/>
    <w:rsid w:val="00A042BE"/>
    <w:rsid w:val="00A05E50"/>
    <w:rsid w:val="00A06324"/>
    <w:rsid w:val="00A10129"/>
    <w:rsid w:val="00A12FF2"/>
    <w:rsid w:val="00A134AF"/>
    <w:rsid w:val="00A1390C"/>
    <w:rsid w:val="00A1568A"/>
    <w:rsid w:val="00A20632"/>
    <w:rsid w:val="00A21F01"/>
    <w:rsid w:val="00A22CA7"/>
    <w:rsid w:val="00A2597F"/>
    <w:rsid w:val="00A26656"/>
    <w:rsid w:val="00A2691F"/>
    <w:rsid w:val="00A26BE6"/>
    <w:rsid w:val="00A27295"/>
    <w:rsid w:val="00A33A93"/>
    <w:rsid w:val="00A36754"/>
    <w:rsid w:val="00A45864"/>
    <w:rsid w:val="00A46D2E"/>
    <w:rsid w:val="00A47A36"/>
    <w:rsid w:val="00A505A6"/>
    <w:rsid w:val="00A515DD"/>
    <w:rsid w:val="00A51F17"/>
    <w:rsid w:val="00A52479"/>
    <w:rsid w:val="00A53151"/>
    <w:rsid w:val="00A53241"/>
    <w:rsid w:val="00A5450B"/>
    <w:rsid w:val="00A56F73"/>
    <w:rsid w:val="00A60C15"/>
    <w:rsid w:val="00A613FB"/>
    <w:rsid w:val="00A62472"/>
    <w:rsid w:val="00A6421D"/>
    <w:rsid w:val="00A64478"/>
    <w:rsid w:val="00A6487F"/>
    <w:rsid w:val="00A677DA"/>
    <w:rsid w:val="00A736A2"/>
    <w:rsid w:val="00A73A2A"/>
    <w:rsid w:val="00A75700"/>
    <w:rsid w:val="00A75E3C"/>
    <w:rsid w:val="00A76091"/>
    <w:rsid w:val="00A7700D"/>
    <w:rsid w:val="00A7711E"/>
    <w:rsid w:val="00A81290"/>
    <w:rsid w:val="00A839A3"/>
    <w:rsid w:val="00A83C06"/>
    <w:rsid w:val="00A85F51"/>
    <w:rsid w:val="00A874A4"/>
    <w:rsid w:val="00A918AF"/>
    <w:rsid w:val="00A93AD0"/>
    <w:rsid w:val="00A940B5"/>
    <w:rsid w:val="00A953CD"/>
    <w:rsid w:val="00A95A4A"/>
    <w:rsid w:val="00A97765"/>
    <w:rsid w:val="00AA29DD"/>
    <w:rsid w:val="00AA60DD"/>
    <w:rsid w:val="00AA6947"/>
    <w:rsid w:val="00AB0D7B"/>
    <w:rsid w:val="00AB3CF4"/>
    <w:rsid w:val="00AB5490"/>
    <w:rsid w:val="00AC0EF2"/>
    <w:rsid w:val="00AC1173"/>
    <w:rsid w:val="00AC2403"/>
    <w:rsid w:val="00AC3661"/>
    <w:rsid w:val="00AC4C6D"/>
    <w:rsid w:val="00AC4CA3"/>
    <w:rsid w:val="00AC712B"/>
    <w:rsid w:val="00AC7573"/>
    <w:rsid w:val="00AD032E"/>
    <w:rsid w:val="00AD233A"/>
    <w:rsid w:val="00AD50D4"/>
    <w:rsid w:val="00AD6BC5"/>
    <w:rsid w:val="00AD6F65"/>
    <w:rsid w:val="00AE0127"/>
    <w:rsid w:val="00AE0D2C"/>
    <w:rsid w:val="00AE19A9"/>
    <w:rsid w:val="00AE238D"/>
    <w:rsid w:val="00AE40B2"/>
    <w:rsid w:val="00AE5BC6"/>
    <w:rsid w:val="00AE5FC6"/>
    <w:rsid w:val="00AF0588"/>
    <w:rsid w:val="00AF089B"/>
    <w:rsid w:val="00AF0A89"/>
    <w:rsid w:val="00AF19F5"/>
    <w:rsid w:val="00AF5026"/>
    <w:rsid w:val="00AF5219"/>
    <w:rsid w:val="00AF5549"/>
    <w:rsid w:val="00AF5CDA"/>
    <w:rsid w:val="00AF7B5E"/>
    <w:rsid w:val="00B02612"/>
    <w:rsid w:val="00B02AC9"/>
    <w:rsid w:val="00B02C1D"/>
    <w:rsid w:val="00B056B3"/>
    <w:rsid w:val="00B06014"/>
    <w:rsid w:val="00B10A94"/>
    <w:rsid w:val="00B114CB"/>
    <w:rsid w:val="00B1183F"/>
    <w:rsid w:val="00B14F56"/>
    <w:rsid w:val="00B17F9D"/>
    <w:rsid w:val="00B21CBD"/>
    <w:rsid w:val="00B24127"/>
    <w:rsid w:val="00B26002"/>
    <w:rsid w:val="00B27702"/>
    <w:rsid w:val="00B300D7"/>
    <w:rsid w:val="00B336D5"/>
    <w:rsid w:val="00B360A1"/>
    <w:rsid w:val="00B36B57"/>
    <w:rsid w:val="00B36E00"/>
    <w:rsid w:val="00B37352"/>
    <w:rsid w:val="00B37BB1"/>
    <w:rsid w:val="00B4168B"/>
    <w:rsid w:val="00B43AE6"/>
    <w:rsid w:val="00B44A1D"/>
    <w:rsid w:val="00B45E12"/>
    <w:rsid w:val="00B506DE"/>
    <w:rsid w:val="00B51B45"/>
    <w:rsid w:val="00B52D81"/>
    <w:rsid w:val="00B557D4"/>
    <w:rsid w:val="00B603DE"/>
    <w:rsid w:val="00B60F39"/>
    <w:rsid w:val="00B627AA"/>
    <w:rsid w:val="00B6300D"/>
    <w:rsid w:val="00B6440D"/>
    <w:rsid w:val="00B65606"/>
    <w:rsid w:val="00B728A3"/>
    <w:rsid w:val="00B75464"/>
    <w:rsid w:val="00B7600E"/>
    <w:rsid w:val="00B85185"/>
    <w:rsid w:val="00B868A9"/>
    <w:rsid w:val="00B93617"/>
    <w:rsid w:val="00B95021"/>
    <w:rsid w:val="00B96790"/>
    <w:rsid w:val="00BA6C10"/>
    <w:rsid w:val="00BA771E"/>
    <w:rsid w:val="00BB285B"/>
    <w:rsid w:val="00BB3346"/>
    <w:rsid w:val="00BB3F5B"/>
    <w:rsid w:val="00BB694A"/>
    <w:rsid w:val="00BB7A93"/>
    <w:rsid w:val="00BC0129"/>
    <w:rsid w:val="00BC0204"/>
    <w:rsid w:val="00BC0B3F"/>
    <w:rsid w:val="00BC2D16"/>
    <w:rsid w:val="00BC451B"/>
    <w:rsid w:val="00BC4546"/>
    <w:rsid w:val="00BC5685"/>
    <w:rsid w:val="00BC6908"/>
    <w:rsid w:val="00BD42E3"/>
    <w:rsid w:val="00BD67F2"/>
    <w:rsid w:val="00BE03D5"/>
    <w:rsid w:val="00BE0D81"/>
    <w:rsid w:val="00BE4013"/>
    <w:rsid w:val="00BE45F6"/>
    <w:rsid w:val="00BE6722"/>
    <w:rsid w:val="00BE7C36"/>
    <w:rsid w:val="00BF2DE3"/>
    <w:rsid w:val="00BF44EF"/>
    <w:rsid w:val="00BF6872"/>
    <w:rsid w:val="00C0027F"/>
    <w:rsid w:val="00C0225B"/>
    <w:rsid w:val="00C044A6"/>
    <w:rsid w:val="00C049B7"/>
    <w:rsid w:val="00C04ADA"/>
    <w:rsid w:val="00C05AF7"/>
    <w:rsid w:val="00C07366"/>
    <w:rsid w:val="00C1039C"/>
    <w:rsid w:val="00C1057B"/>
    <w:rsid w:val="00C14E3A"/>
    <w:rsid w:val="00C15D98"/>
    <w:rsid w:val="00C17F03"/>
    <w:rsid w:val="00C20CB3"/>
    <w:rsid w:val="00C2273D"/>
    <w:rsid w:val="00C24412"/>
    <w:rsid w:val="00C253AD"/>
    <w:rsid w:val="00C27EF7"/>
    <w:rsid w:val="00C30803"/>
    <w:rsid w:val="00C34EBC"/>
    <w:rsid w:val="00C35A5D"/>
    <w:rsid w:val="00C37B8B"/>
    <w:rsid w:val="00C42650"/>
    <w:rsid w:val="00C44498"/>
    <w:rsid w:val="00C44B7F"/>
    <w:rsid w:val="00C46B28"/>
    <w:rsid w:val="00C50176"/>
    <w:rsid w:val="00C5037F"/>
    <w:rsid w:val="00C509C2"/>
    <w:rsid w:val="00C52CD4"/>
    <w:rsid w:val="00C56BDD"/>
    <w:rsid w:val="00C57899"/>
    <w:rsid w:val="00C6068D"/>
    <w:rsid w:val="00C6144C"/>
    <w:rsid w:val="00C6307E"/>
    <w:rsid w:val="00C64BF4"/>
    <w:rsid w:val="00C65149"/>
    <w:rsid w:val="00C65730"/>
    <w:rsid w:val="00C659E0"/>
    <w:rsid w:val="00C65E30"/>
    <w:rsid w:val="00C671AE"/>
    <w:rsid w:val="00C6766D"/>
    <w:rsid w:val="00C73E85"/>
    <w:rsid w:val="00C754B0"/>
    <w:rsid w:val="00C75ADC"/>
    <w:rsid w:val="00C80E92"/>
    <w:rsid w:val="00C81DF7"/>
    <w:rsid w:val="00C831A6"/>
    <w:rsid w:val="00C837C5"/>
    <w:rsid w:val="00C83919"/>
    <w:rsid w:val="00C8401B"/>
    <w:rsid w:val="00C85668"/>
    <w:rsid w:val="00C860FA"/>
    <w:rsid w:val="00C87FE2"/>
    <w:rsid w:val="00C904F1"/>
    <w:rsid w:val="00C9117D"/>
    <w:rsid w:val="00C92C25"/>
    <w:rsid w:val="00C94CA0"/>
    <w:rsid w:val="00C9525E"/>
    <w:rsid w:val="00CA012A"/>
    <w:rsid w:val="00CA0723"/>
    <w:rsid w:val="00CA0EDD"/>
    <w:rsid w:val="00CA3092"/>
    <w:rsid w:val="00CA4026"/>
    <w:rsid w:val="00CA63C9"/>
    <w:rsid w:val="00CA7F91"/>
    <w:rsid w:val="00CB09AB"/>
    <w:rsid w:val="00CB2E19"/>
    <w:rsid w:val="00CB4600"/>
    <w:rsid w:val="00CB5A16"/>
    <w:rsid w:val="00CC02ED"/>
    <w:rsid w:val="00CC1CDA"/>
    <w:rsid w:val="00CD38DE"/>
    <w:rsid w:val="00CD5F4B"/>
    <w:rsid w:val="00CE62F1"/>
    <w:rsid w:val="00CE67DE"/>
    <w:rsid w:val="00CE7CB9"/>
    <w:rsid w:val="00CF17E2"/>
    <w:rsid w:val="00CF1D2C"/>
    <w:rsid w:val="00CF1FBE"/>
    <w:rsid w:val="00CF2E2A"/>
    <w:rsid w:val="00CF45DF"/>
    <w:rsid w:val="00CF5058"/>
    <w:rsid w:val="00CF7654"/>
    <w:rsid w:val="00D00055"/>
    <w:rsid w:val="00D04CD1"/>
    <w:rsid w:val="00D04F3C"/>
    <w:rsid w:val="00D06DB2"/>
    <w:rsid w:val="00D077F0"/>
    <w:rsid w:val="00D10B2B"/>
    <w:rsid w:val="00D114E7"/>
    <w:rsid w:val="00D15205"/>
    <w:rsid w:val="00D22243"/>
    <w:rsid w:val="00D245DD"/>
    <w:rsid w:val="00D26894"/>
    <w:rsid w:val="00D27FCD"/>
    <w:rsid w:val="00D300EE"/>
    <w:rsid w:val="00D30F9C"/>
    <w:rsid w:val="00D34601"/>
    <w:rsid w:val="00D40DAE"/>
    <w:rsid w:val="00D40E7B"/>
    <w:rsid w:val="00D43F9D"/>
    <w:rsid w:val="00D46873"/>
    <w:rsid w:val="00D46A3C"/>
    <w:rsid w:val="00D47CC2"/>
    <w:rsid w:val="00D514C8"/>
    <w:rsid w:val="00D51EB6"/>
    <w:rsid w:val="00D5277D"/>
    <w:rsid w:val="00D54A22"/>
    <w:rsid w:val="00D54B9F"/>
    <w:rsid w:val="00D54C0C"/>
    <w:rsid w:val="00D55DCB"/>
    <w:rsid w:val="00D56346"/>
    <w:rsid w:val="00D57344"/>
    <w:rsid w:val="00D575A0"/>
    <w:rsid w:val="00D605EF"/>
    <w:rsid w:val="00D60C79"/>
    <w:rsid w:val="00D61867"/>
    <w:rsid w:val="00D62051"/>
    <w:rsid w:val="00D65518"/>
    <w:rsid w:val="00D66F4E"/>
    <w:rsid w:val="00D700FB"/>
    <w:rsid w:val="00D70571"/>
    <w:rsid w:val="00D7359E"/>
    <w:rsid w:val="00D75ABC"/>
    <w:rsid w:val="00D765A0"/>
    <w:rsid w:val="00D77F7A"/>
    <w:rsid w:val="00D81733"/>
    <w:rsid w:val="00D817B1"/>
    <w:rsid w:val="00D829E3"/>
    <w:rsid w:val="00D83513"/>
    <w:rsid w:val="00D842B2"/>
    <w:rsid w:val="00D84BB0"/>
    <w:rsid w:val="00D851DA"/>
    <w:rsid w:val="00D86CC4"/>
    <w:rsid w:val="00D92610"/>
    <w:rsid w:val="00D95E51"/>
    <w:rsid w:val="00D97789"/>
    <w:rsid w:val="00DA0531"/>
    <w:rsid w:val="00DA1E35"/>
    <w:rsid w:val="00DA367B"/>
    <w:rsid w:val="00DA4355"/>
    <w:rsid w:val="00DA4423"/>
    <w:rsid w:val="00DA70BE"/>
    <w:rsid w:val="00DA7E54"/>
    <w:rsid w:val="00DB060F"/>
    <w:rsid w:val="00DB0AEB"/>
    <w:rsid w:val="00DB4497"/>
    <w:rsid w:val="00DB5311"/>
    <w:rsid w:val="00DC289E"/>
    <w:rsid w:val="00DC3577"/>
    <w:rsid w:val="00DC6E16"/>
    <w:rsid w:val="00DC75F9"/>
    <w:rsid w:val="00DD098E"/>
    <w:rsid w:val="00DD20B8"/>
    <w:rsid w:val="00DD37DD"/>
    <w:rsid w:val="00DD4533"/>
    <w:rsid w:val="00DD4DB9"/>
    <w:rsid w:val="00DD4FDE"/>
    <w:rsid w:val="00DF03E4"/>
    <w:rsid w:val="00DF362D"/>
    <w:rsid w:val="00DF365B"/>
    <w:rsid w:val="00DF394B"/>
    <w:rsid w:val="00DF4B0D"/>
    <w:rsid w:val="00DF4DE2"/>
    <w:rsid w:val="00DF50E6"/>
    <w:rsid w:val="00DF5409"/>
    <w:rsid w:val="00DF6612"/>
    <w:rsid w:val="00DF6A69"/>
    <w:rsid w:val="00DF6EB2"/>
    <w:rsid w:val="00DF7913"/>
    <w:rsid w:val="00DF7E2F"/>
    <w:rsid w:val="00E00343"/>
    <w:rsid w:val="00E00ABD"/>
    <w:rsid w:val="00E03895"/>
    <w:rsid w:val="00E0520D"/>
    <w:rsid w:val="00E074A1"/>
    <w:rsid w:val="00E12151"/>
    <w:rsid w:val="00E13EB3"/>
    <w:rsid w:val="00E14E29"/>
    <w:rsid w:val="00E17541"/>
    <w:rsid w:val="00E211B3"/>
    <w:rsid w:val="00E26A36"/>
    <w:rsid w:val="00E27E03"/>
    <w:rsid w:val="00E3040F"/>
    <w:rsid w:val="00E313EF"/>
    <w:rsid w:val="00E3210F"/>
    <w:rsid w:val="00E32188"/>
    <w:rsid w:val="00E454C3"/>
    <w:rsid w:val="00E55825"/>
    <w:rsid w:val="00E60176"/>
    <w:rsid w:val="00E6297E"/>
    <w:rsid w:val="00E638D0"/>
    <w:rsid w:val="00E70847"/>
    <w:rsid w:val="00E70F4A"/>
    <w:rsid w:val="00E74933"/>
    <w:rsid w:val="00E7704D"/>
    <w:rsid w:val="00E80A77"/>
    <w:rsid w:val="00E81186"/>
    <w:rsid w:val="00E813AF"/>
    <w:rsid w:val="00E82A61"/>
    <w:rsid w:val="00E82DB6"/>
    <w:rsid w:val="00E8341A"/>
    <w:rsid w:val="00E84EDE"/>
    <w:rsid w:val="00E86878"/>
    <w:rsid w:val="00E9102A"/>
    <w:rsid w:val="00E93C20"/>
    <w:rsid w:val="00E94BA7"/>
    <w:rsid w:val="00E95A7A"/>
    <w:rsid w:val="00E96A27"/>
    <w:rsid w:val="00E97880"/>
    <w:rsid w:val="00EA0462"/>
    <w:rsid w:val="00EA13D6"/>
    <w:rsid w:val="00EA1BAC"/>
    <w:rsid w:val="00EA228E"/>
    <w:rsid w:val="00EA2765"/>
    <w:rsid w:val="00EA5617"/>
    <w:rsid w:val="00EA5636"/>
    <w:rsid w:val="00EB0426"/>
    <w:rsid w:val="00EB0871"/>
    <w:rsid w:val="00EB1BE7"/>
    <w:rsid w:val="00EB34D1"/>
    <w:rsid w:val="00EB38B0"/>
    <w:rsid w:val="00EB39BC"/>
    <w:rsid w:val="00EB48B7"/>
    <w:rsid w:val="00EB638D"/>
    <w:rsid w:val="00EB68A9"/>
    <w:rsid w:val="00EC0D59"/>
    <w:rsid w:val="00EC0F5B"/>
    <w:rsid w:val="00EC35BC"/>
    <w:rsid w:val="00EC3FBD"/>
    <w:rsid w:val="00ED22D9"/>
    <w:rsid w:val="00ED24BA"/>
    <w:rsid w:val="00EE1907"/>
    <w:rsid w:val="00EE1DEA"/>
    <w:rsid w:val="00EE22C3"/>
    <w:rsid w:val="00EE24F1"/>
    <w:rsid w:val="00EE3617"/>
    <w:rsid w:val="00EE4411"/>
    <w:rsid w:val="00EE5445"/>
    <w:rsid w:val="00EE6C82"/>
    <w:rsid w:val="00EE7D8B"/>
    <w:rsid w:val="00EF29C4"/>
    <w:rsid w:val="00EF34FE"/>
    <w:rsid w:val="00EF464D"/>
    <w:rsid w:val="00EF6210"/>
    <w:rsid w:val="00EF65E6"/>
    <w:rsid w:val="00F0484B"/>
    <w:rsid w:val="00F071C8"/>
    <w:rsid w:val="00F07639"/>
    <w:rsid w:val="00F0770A"/>
    <w:rsid w:val="00F14987"/>
    <w:rsid w:val="00F15101"/>
    <w:rsid w:val="00F15C04"/>
    <w:rsid w:val="00F16EE8"/>
    <w:rsid w:val="00F32AB9"/>
    <w:rsid w:val="00F34E81"/>
    <w:rsid w:val="00F353AE"/>
    <w:rsid w:val="00F354AC"/>
    <w:rsid w:val="00F359BE"/>
    <w:rsid w:val="00F37045"/>
    <w:rsid w:val="00F404D6"/>
    <w:rsid w:val="00F40E50"/>
    <w:rsid w:val="00F467D7"/>
    <w:rsid w:val="00F567C8"/>
    <w:rsid w:val="00F57638"/>
    <w:rsid w:val="00F578DB"/>
    <w:rsid w:val="00F60B54"/>
    <w:rsid w:val="00F63264"/>
    <w:rsid w:val="00F6340D"/>
    <w:rsid w:val="00F71652"/>
    <w:rsid w:val="00F71ADD"/>
    <w:rsid w:val="00F721E8"/>
    <w:rsid w:val="00F72D55"/>
    <w:rsid w:val="00F73196"/>
    <w:rsid w:val="00F73E9B"/>
    <w:rsid w:val="00F76D3E"/>
    <w:rsid w:val="00F77B3D"/>
    <w:rsid w:val="00F826AF"/>
    <w:rsid w:val="00F8475B"/>
    <w:rsid w:val="00F8512E"/>
    <w:rsid w:val="00F8599A"/>
    <w:rsid w:val="00F85E02"/>
    <w:rsid w:val="00F91567"/>
    <w:rsid w:val="00F91C26"/>
    <w:rsid w:val="00F92A4A"/>
    <w:rsid w:val="00F92EB0"/>
    <w:rsid w:val="00F944CC"/>
    <w:rsid w:val="00F94ECC"/>
    <w:rsid w:val="00F97510"/>
    <w:rsid w:val="00F97861"/>
    <w:rsid w:val="00FA289C"/>
    <w:rsid w:val="00FA3E4E"/>
    <w:rsid w:val="00FA4A24"/>
    <w:rsid w:val="00FA4C2A"/>
    <w:rsid w:val="00FA576D"/>
    <w:rsid w:val="00FA63DF"/>
    <w:rsid w:val="00FB0DFE"/>
    <w:rsid w:val="00FB2914"/>
    <w:rsid w:val="00FB3676"/>
    <w:rsid w:val="00FB452C"/>
    <w:rsid w:val="00FB4874"/>
    <w:rsid w:val="00FB5167"/>
    <w:rsid w:val="00FC1A80"/>
    <w:rsid w:val="00FC4C7B"/>
    <w:rsid w:val="00FD05AB"/>
    <w:rsid w:val="00FD1186"/>
    <w:rsid w:val="00FD238E"/>
    <w:rsid w:val="00FD3925"/>
    <w:rsid w:val="00FD3C6D"/>
    <w:rsid w:val="00FD3FC9"/>
    <w:rsid w:val="00FD430C"/>
    <w:rsid w:val="00FE0ACC"/>
    <w:rsid w:val="00FE0B8F"/>
    <w:rsid w:val="00FE238E"/>
    <w:rsid w:val="00FF08E2"/>
    <w:rsid w:val="00FF126C"/>
    <w:rsid w:val="00FF30F9"/>
    <w:rsid w:val="00FF43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06E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22FC9"/>
    <w:rPr>
      <w:sz w:val="24"/>
      <w:szCs w:val="24"/>
      <w:lang w:val="en-US" w:eastAsia="en-US"/>
    </w:rPr>
  </w:style>
  <w:style w:type="paragraph" w:styleId="Heading1">
    <w:name w:val="heading 1"/>
    <w:basedOn w:val="Normal"/>
    <w:link w:val="Heading1Char"/>
    <w:uiPriority w:val="9"/>
    <w:qFormat/>
    <w:rsid w:val="002F0681"/>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0681"/>
    <w:rPr>
      <w:rFonts w:ascii="Times" w:hAnsi="Times"/>
      <w:b/>
      <w:bCs/>
      <w:kern w:val="36"/>
      <w:sz w:val="48"/>
      <w:szCs w:val="48"/>
      <w:lang w:val="en-GB"/>
    </w:rPr>
  </w:style>
  <w:style w:type="paragraph" w:styleId="NormalWeb">
    <w:name w:val="Normal (Web)"/>
    <w:basedOn w:val="Normal"/>
    <w:uiPriority w:val="99"/>
    <w:semiHidden/>
    <w:unhideWhenUsed/>
    <w:rsid w:val="00A75700"/>
    <w:rPr>
      <w:rFonts w:ascii="Times New Roman" w:hAnsi="Times New Roman"/>
    </w:rPr>
  </w:style>
  <w:style w:type="paragraph" w:customStyle="1" w:styleId="ColorfulList-Accent11">
    <w:name w:val="Colorful List - Accent 11"/>
    <w:basedOn w:val="Normal"/>
    <w:uiPriority w:val="34"/>
    <w:qFormat/>
    <w:rsid w:val="008B3A3B"/>
    <w:pPr>
      <w:ind w:left="720"/>
      <w:contextualSpacing/>
    </w:pPr>
  </w:style>
  <w:style w:type="character" w:styleId="Hyperlink">
    <w:name w:val="Hyperlink"/>
    <w:uiPriority w:val="99"/>
    <w:unhideWhenUsed/>
    <w:rsid w:val="004463BE"/>
    <w:rPr>
      <w:color w:val="0000FF"/>
      <w:u w:val="single"/>
    </w:rPr>
  </w:style>
  <w:style w:type="paragraph" w:styleId="BalloonText">
    <w:name w:val="Balloon Text"/>
    <w:basedOn w:val="Normal"/>
    <w:link w:val="BalloonTextChar"/>
    <w:uiPriority w:val="99"/>
    <w:semiHidden/>
    <w:unhideWhenUsed/>
    <w:rsid w:val="00716824"/>
    <w:rPr>
      <w:rFonts w:ascii="Lucida Grande" w:hAnsi="Lucida Grande" w:cs="Lucida Grande"/>
      <w:sz w:val="18"/>
      <w:szCs w:val="18"/>
    </w:rPr>
  </w:style>
  <w:style w:type="character" w:customStyle="1" w:styleId="BalloonTextChar">
    <w:name w:val="Balloon Text Char"/>
    <w:link w:val="BalloonText"/>
    <w:uiPriority w:val="99"/>
    <w:semiHidden/>
    <w:rsid w:val="00716824"/>
    <w:rPr>
      <w:rFonts w:ascii="Lucida Grande" w:hAnsi="Lucida Grande" w:cs="Lucida Grande"/>
      <w:sz w:val="18"/>
      <w:szCs w:val="18"/>
    </w:rPr>
  </w:style>
  <w:style w:type="paragraph" w:customStyle="1" w:styleId="MediumGrid21">
    <w:name w:val="Medium Grid 21"/>
    <w:link w:val="MediumGrid2Char"/>
    <w:uiPriority w:val="1"/>
    <w:qFormat/>
    <w:rsid w:val="00071526"/>
    <w:rPr>
      <w:rFonts w:ascii="PMingLiU" w:hAnsi="PMingLiU"/>
      <w:sz w:val="22"/>
      <w:szCs w:val="22"/>
      <w:lang w:val="en-US" w:eastAsia="en-US"/>
    </w:rPr>
  </w:style>
  <w:style w:type="character" w:customStyle="1" w:styleId="MediumGrid2Char">
    <w:name w:val="Medium Grid 2 Char."/>
    <w:link w:val="MediumGrid21"/>
    <w:uiPriority w:val="1"/>
    <w:rsid w:val="00071526"/>
    <w:rPr>
      <w:rFonts w:ascii="PMingLiU" w:hAnsi="PMingLiU"/>
      <w:sz w:val="22"/>
      <w:szCs w:val="22"/>
    </w:rPr>
  </w:style>
  <w:style w:type="table" w:styleId="TableGrid">
    <w:name w:val="Table Grid"/>
    <w:basedOn w:val="TableNormal"/>
    <w:uiPriority w:val="39"/>
    <w:rsid w:val="000715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71526"/>
    <w:rPr>
      <w:sz w:val="16"/>
      <w:szCs w:val="16"/>
    </w:rPr>
  </w:style>
  <w:style w:type="paragraph" w:styleId="CommentText">
    <w:name w:val="annotation text"/>
    <w:basedOn w:val="Normal"/>
    <w:link w:val="CommentTextChar"/>
    <w:uiPriority w:val="99"/>
    <w:semiHidden/>
    <w:unhideWhenUsed/>
    <w:rsid w:val="00E17541"/>
  </w:style>
  <w:style w:type="character" w:customStyle="1" w:styleId="CommentTextChar">
    <w:name w:val="Comment Text Char"/>
    <w:basedOn w:val="DefaultParagraphFont"/>
    <w:link w:val="CommentText"/>
    <w:uiPriority w:val="99"/>
    <w:semiHidden/>
    <w:rsid w:val="00E17541"/>
  </w:style>
  <w:style w:type="paragraph" w:styleId="CommentSubject">
    <w:name w:val="annotation subject"/>
    <w:basedOn w:val="CommentText"/>
    <w:next w:val="CommentText"/>
    <w:link w:val="CommentSubjectChar"/>
    <w:uiPriority w:val="99"/>
    <w:semiHidden/>
    <w:unhideWhenUsed/>
    <w:rsid w:val="00E17541"/>
    <w:rPr>
      <w:b/>
      <w:bCs/>
      <w:sz w:val="20"/>
      <w:szCs w:val="20"/>
    </w:rPr>
  </w:style>
  <w:style w:type="character" w:customStyle="1" w:styleId="CommentSubjectChar">
    <w:name w:val="Comment Subject Char"/>
    <w:link w:val="CommentSubject"/>
    <w:uiPriority w:val="99"/>
    <w:semiHidden/>
    <w:rsid w:val="00E17541"/>
    <w:rPr>
      <w:b/>
      <w:bCs/>
      <w:sz w:val="20"/>
      <w:szCs w:val="20"/>
    </w:rPr>
  </w:style>
  <w:style w:type="paragraph" w:customStyle="1" w:styleId="ColorfulShading-Accent11">
    <w:name w:val="Colorful Shading - Accent 11"/>
    <w:hidden/>
    <w:uiPriority w:val="99"/>
    <w:semiHidden/>
    <w:rsid w:val="00D842B2"/>
    <w:rPr>
      <w:sz w:val="24"/>
      <w:szCs w:val="24"/>
      <w:lang w:val="en-US" w:eastAsia="en-US"/>
    </w:rPr>
  </w:style>
  <w:style w:type="character" w:customStyle="1" w:styleId="apple-converted-space">
    <w:name w:val="apple-converted-space"/>
    <w:basedOn w:val="DefaultParagraphFont"/>
    <w:rsid w:val="002F0681"/>
  </w:style>
  <w:style w:type="character" w:customStyle="1" w:styleId="hiddenreadable">
    <w:name w:val="hiddenreadable"/>
    <w:basedOn w:val="DefaultParagraphFont"/>
    <w:rsid w:val="002F0681"/>
  </w:style>
  <w:style w:type="character" w:customStyle="1" w:styleId="oalabel">
    <w:name w:val="oalabel"/>
    <w:basedOn w:val="DefaultParagraphFont"/>
    <w:rsid w:val="002F0681"/>
  </w:style>
  <w:style w:type="character" w:customStyle="1" w:styleId="altmetric-embed">
    <w:name w:val="altmetric-embed"/>
    <w:basedOn w:val="DefaultParagraphFont"/>
    <w:rsid w:val="002F0681"/>
  </w:style>
  <w:style w:type="character" w:customStyle="1" w:styleId="HeaderChar">
    <w:name w:val="Header Char"/>
    <w:link w:val="Header"/>
    <w:uiPriority w:val="99"/>
    <w:rsid w:val="00CC02ED"/>
    <w:rPr>
      <w:rFonts w:eastAsia="Cambria"/>
      <w:sz w:val="22"/>
      <w:szCs w:val="22"/>
    </w:rPr>
  </w:style>
  <w:style w:type="paragraph" w:styleId="Header">
    <w:name w:val="header"/>
    <w:basedOn w:val="Normal"/>
    <w:link w:val="HeaderChar"/>
    <w:uiPriority w:val="99"/>
    <w:unhideWhenUsed/>
    <w:rsid w:val="00CC02ED"/>
    <w:pPr>
      <w:tabs>
        <w:tab w:val="center" w:pos="4680"/>
        <w:tab w:val="right" w:pos="9360"/>
      </w:tabs>
    </w:pPr>
    <w:rPr>
      <w:rFonts w:eastAsia="Cambria"/>
      <w:sz w:val="22"/>
      <w:szCs w:val="22"/>
    </w:rPr>
  </w:style>
  <w:style w:type="character" w:customStyle="1" w:styleId="FooterChar">
    <w:name w:val="Footer Char"/>
    <w:link w:val="Footer"/>
    <w:uiPriority w:val="99"/>
    <w:rsid w:val="00CC02ED"/>
    <w:rPr>
      <w:rFonts w:eastAsia="Cambria"/>
      <w:sz w:val="22"/>
      <w:szCs w:val="22"/>
    </w:rPr>
  </w:style>
  <w:style w:type="paragraph" w:styleId="Footer">
    <w:name w:val="footer"/>
    <w:basedOn w:val="Normal"/>
    <w:link w:val="FooterChar"/>
    <w:uiPriority w:val="99"/>
    <w:unhideWhenUsed/>
    <w:rsid w:val="00CC02ED"/>
    <w:pPr>
      <w:tabs>
        <w:tab w:val="center" w:pos="4680"/>
        <w:tab w:val="right" w:pos="9360"/>
      </w:tabs>
    </w:pPr>
    <w:rPr>
      <w:rFonts w:eastAsia="Cambria"/>
      <w:sz w:val="22"/>
      <w:szCs w:val="22"/>
    </w:rPr>
  </w:style>
  <w:style w:type="character" w:customStyle="1" w:styleId="SubtitleChar">
    <w:name w:val="Subtitle Char"/>
    <w:link w:val="Subtitle"/>
    <w:uiPriority w:val="11"/>
    <w:rsid w:val="00CC02ED"/>
    <w:rPr>
      <w:rFonts w:ascii="Calibri" w:eastAsia="MS Gothic" w:hAnsi="Calibri" w:cs="Times New Roman"/>
      <w:i/>
      <w:iCs/>
      <w:color w:val="4F81BD"/>
      <w:spacing w:val="15"/>
    </w:rPr>
  </w:style>
  <w:style w:type="paragraph" w:styleId="Subtitle">
    <w:name w:val="Subtitle"/>
    <w:basedOn w:val="Normal"/>
    <w:next w:val="Normal"/>
    <w:link w:val="SubtitleChar"/>
    <w:uiPriority w:val="11"/>
    <w:qFormat/>
    <w:rsid w:val="00CC02ED"/>
    <w:rPr>
      <w:rFonts w:ascii="Calibri" w:eastAsia="MS Gothic" w:hAnsi="Calibri"/>
      <w:i/>
      <w:iCs/>
      <w:color w:val="4F81BD"/>
      <w:spacing w:val="15"/>
    </w:rPr>
  </w:style>
  <w:style w:type="character" w:styleId="FollowedHyperlink">
    <w:name w:val="FollowedHyperlink"/>
    <w:uiPriority w:val="99"/>
    <w:semiHidden/>
    <w:unhideWhenUsed/>
    <w:rsid w:val="00411DDA"/>
    <w:rPr>
      <w:color w:val="800080"/>
      <w:u w:val="single"/>
    </w:rPr>
  </w:style>
  <w:style w:type="paragraph" w:styleId="Revision">
    <w:name w:val="Revision"/>
    <w:hidden/>
    <w:uiPriority w:val="71"/>
    <w:unhideWhenUsed/>
    <w:rsid w:val="00ED24BA"/>
    <w:rPr>
      <w:sz w:val="24"/>
      <w:szCs w:val="24"/>
      <w:lang w:val="en-US" w:eastAsia="en-US"/>
    </w:rPr>
  </w:style>
  <w:style w:type="character" w:styleId="PageNumber">
    <w:name w:val="page number"/>
    <w:basedOn w:val="DefaultParagraphFont"/>
    <w:uiPriority w:val="99"/>
    <w:semiHidden/>
    <w:unhideWhenUsed/>
    <w:rsid w:val="002A7082"/>
  </w:style>
  <w:style w:type="table" w:styleId="LightShading-Accent3">
    <w:name w:val="Light Shading Accent 3"/>
    <w:basedOn w:val="TableNormal"/>
    <w:uiPriority w:val="65"/>
    <w:rsid w:val="00047FB1"/>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Grid3-Accent3">
    <w:name w:val="Medium Grid 3 Accent 3"/>
    <w:basedOn w:val="TableNormal"/>
    <w:uiPriority w:val="60"/>
    <w:rsid w:val="000A14E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customStyle="1" w:styleId="Default">
    <w:name w:val="Default"/>
    <w:rsid w:val="00911924"/>
    <w:pPr>
      <w:widowControl w:val="0"/>
      <w:autoSpaceDE w:val="0"/>
      <w:autoSpaceDN w:val="0"/>
      <w:adjustRightInd w:val="0"/>
    </w:pPr>
    <w:rPr>
      <w:rFonts w:ascii="ScalaLancetPro" w:hAnsi="ScalaLancetPro" w:cs="ScalaLancetPro"/>
      <w:color w:val="000000"/>
      <w:sz w:val="24"/>
      <w:szCs w:val="24"/>
      <w:lang w:val="en-US"/>
    </w:rPr>
  </w:style>
  <w:style w:type="character" w:styleId="Strong">
    <w:name w:val="Strong"/>
    <w:basedOn w:val="DefaultParagraphFont"/>
    <w:uiPriority w:val="22"/>
    <w:qFormat/>
    <w:rsid w:val="001267DF"/>
    <w:rPr>
      <w:b/>
      <w:bCs/>
    </w:rPr>
  </w:style>
  <w:style w:type="paragraph" w:styleId="ListParagraph">
    <w:name w:val="List Paragraph"/>
    <w:basedOn w:val="Normal"/>
    <w:uiPriority w:val="72"/>
    <w:qFormat/>
    <w:rsid w:val="000D7544"/>
    <w:pPr>
      <w:ind w:left="720"/>
      <w:contextualSpacing/>
    </w:pPr>
  </w:style>
  <w:style w:type="character" w:customStyle="1" w:styleId="element-citation">
    <w:name w:val="element-citation"/>
    <w:basedOn w:val="DefaultParagraphFont"/>
    <w:rsid w:val="003F0C3B"/>
  </w:style>
  <w:style w:type="character" w:customStyle="1" w:styleId="ref-journal">
    <w:name w:val="ref-journal"/>
    <w:basedOn w:val="DefaultParagraphFont"/>
    <w:rsid w:val="003F0C3B"/>
  </w:style>
  <w:style w:type="character" w:customStyle="1" w:styleId="ref-vol">
    <w:name w:val="ref-vol"/>
    <w:basedOn w:val="DefaultParagraphFont"/>
    <w:rsid w:val="003F0C3B"/>
  </w:style>
  <w:style w:type="character" w:styleId="Emphasis">
    <w:name w:val="Emphasis"/>
    <w:basedOn w:val="DefaultParagraphFont"/>
    <w:uiPriority w:val="20"/>
    <w:qFormat/>
    <w:rsid w:val="002508EB"/>
    <w:rPr>
      <w:i/>
      <w:iCs/>
    </w:rPr>
  </w:style>
  <w:style w:type="paragraph" w:styleId="FootnoteText">
    <w:name w:val="footnote text"/>
    <w:basedOn w:val="Normal"/>
    <w:link w:val="FootnoteTextChar"/>
    <w:uiPriority w:val="99"/>
    <w:semiHidden/>
    <w:unhideWhenUsed/>
    <w:rsid w:val="00572723"/>
    <w:rPr>
      <w:sz w:val="20"/>
      <w:szCs w:val="20"/>
    </w:rPr>
  </w:style>
  <w:style w:type="character" w:customStyle="1" w:styleId="FootnoteTextChar">
    <w:name w:val="Footnote Text Char"/>
    <w:basedOn w:val="DefaultParagraphFont"/>
    <w:link w:val="FootnoteText"/>
    <w:uiPriority w:val="99"/>
    <w:semiHidden/>
    <w:rsid w:val="00572723"/>
    <w:rPr>
      <w:lang w:val="en-US" w:eastAsia="en-US"/>
    </w:rPr>
  </w:style>
  <w:style w:type="character" w:styleId="FootnoteReference">
    <w:name w:val="footnote reference"/>
    <w:basedOn w:val="DefaultParagraphFont"/>
    <w:uiPriority w:val="99"/>
    <w:semiHidden/>
    <w:unhideWhenUsed/>
    <w:rsid w:val="0057272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22FC9"/>
    <w:rPr>
      <w:sz w:val="24"/>
      <w:szCs w:val="24"/>
      <w:lang w:val="en-US" w:eastAsia="en-US"/>
    </w:rPr>
  </w:style>
  <w:style w:type="paragraph" w:styleId="Heading1">
    <w:name w:val="heading 1"/>
    <w:basedOn w:val="Normal"/>
    <w:link w:val="Heading1Char"/>
    <w:uiPriority w:val="9"/>
    <w:qFormat/>
    <w:rsid w:val="002F0681"/>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0681"/>
    <w:rPr>
      <w:rFonts w:ascii="Times" w:hAnsi="Times"/>
      <w:b/>
      <w:bCs/>
      <w:kern w:val="36"/>
      <w:sz w:val="48"/>
      <w:szCs w:val="48"/>
      <w:lang w:val="en-GB"/>
    </w:rPr>
  </w:style>
  <w:style w:type="paragraph" w:styleId="NormalWeb">
    <w:name w:val="Normal (Web)"/>
    <w:basedOn w:val="Normal"/>
    <w:uiPriority w:val="99"/>
    <w:semiHidden/>
    <w:unhideWhenUsed/>
    <w:rsid w:val="00A75700"/>
    <w:rPr>
      <w:rFonts w:ascii="Times New Roman" w:hAnsi="Times New Roman"/>
    </w:rPr>
  </w:style>
  <w:style w:type="paragraph" w:customStyle="1" w:styleId="ColorfulList-Accent11">
    <w:name w:val="Colorful List - Accent 11"/>
    <w:basedOn w:val="Normal"/>
    <w:uiPriority w:val="34"/>
    <w:qFormat/>
    <w:rsid w:val="008B3A3B"/>
    <w:pPr>
      <w:ind w:left="720"/>
      <w:contextualSpacing/>
    </w:pPr>
  </w:style>
  <w:style w:type="character" w:styleId="Hyperlink">
    <w:name w:val="Hyperlink"/>
    <w:uiPriority w:val="99"/>
    <w:unhideWhenUsed/>
    <w:rsid w:val="004463BE"/>
    <w:rPr>
      <w:color w:val="0000FF"/>
      <w:u w:val="single"/>
    </w:rPr>
  </w:style>
  <w:style w:type="paragraph" w:styleId="BalloonText">
    <w:name w:val="Balloon Text"/>
    <w:basedOn w:val="Normal"/>
    <w:link w:val="BalloonTextChar"/>
    <w:uiPriority w:val="99"/>
    <w:semiHidden/>
    <w:unhideWhenUsed/>
    <w:rsid w:val="00716824"/>
    <w:rPr>
      <w:rFonts w:ascii="Lucida Grande" w:hAnsi="Lucida Grande" w:cs="Lucida Grande"/>
      <w:sz w:val="18"/>
      <w:szCs w:val="18"/>
    </w:rPr>
  </w:style>
  <w:style w:type="character" w:customStyle="1" w:styleId="BalloonTextChar">
    <w:name w:val="Balloon Text Char"/>
    <w:link w:val="BalloonText"/>
    <w:uiPriority w:val="99"/>
    <w:semiHidden/>
    <w:rsid w:val="00716824"/>
    <w:rPr>
      <w:rFonts w:ascii="Lucida Grande" w:hAnsi="Lucida Grande" w:cs="Lucida Grande"/>
      <w:sz w:val="18"/>
      <w:szCs w:val="18"/>
    </w:rPr>
  </w:style>
  <w:style w:type="paragraph" w:customStyle="1" w:styleId="MediumGrid21">
    <w:name w:val="Medium Grid 21"/>
    <w:link w:val="MediumGrid2Char"/>
    <w:uiPriority w:val="1"/>
    <w:qFormat/>
    <w:rsid w:val="00071526"/>
    <w:rPr>
      <w:rFonts w:ascii="PMingLiU" w:hAnsi="PMingLiU"/>
      <w:sz w:val="22"/>
      <w:szCs w:val="22"/>
      <w:lang w:val="en-US" w:eastAsia="en-US"/>
    </w:rPr>
  </w:style>
  <w:style w:type="character" w:customStyle="1" w:styleId="MediumGrid2Char">
    <w:name w:val="Medium Grid 2 Char."/>
    <w:link w:val="MediumGrid21"/>
    <w:uiPriority w:val="1"/>
    <w:rsid w:val="00071526"/>
    <w:rPr>
      <w:rFonts w:ascii="PMingLiU" w:hAnsi="PMingLiU"/>
      <w:sz w:val="22"/>
      <w:szCs w:val="22"/>
    </w:rPr>
  </w:style>
  <w:style w:type="table" w:styleId="TableGrid">
    <w:name w:val="Table Grid"/>
    <w:basedOn w:val="TableNormal"/>
    <w:uiPriority w:val="39"/>
    <w:rsid w:val="000715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71526"/>
    <w:rPr>
      <w:sz w:val="16"/>
      <w:szCs w:val="16"/>
    </w:rPr>
  </w:style>
  <w:style w:type="paragraph" w:styleId="CommentText">
    <w:name w:val="annotation text"/>
    <w:basedOn w:val="Normal"/>
    <w:link w:val="CommentTextChar"/>
    <w:uiPriority w:val="99"/>
    <w:semiHidden/>
    <w:unhideWhenUsed/>
    <w:rsid w:val="00E17541"/>
  </w:style>
  <w:style w:type="character" w:customStyle="1" w:styleId="CommentTextChar">
    <w:name w:val="Comment Text Char"/>
    <w:basedOn w:val="DefaultParagraphFont"/>
    <w:link w:val="CommentText"/>
    <w:uiPriority w:val="99"/>
    <w:semiHidden/>
    <w:rsid w:val="00E17541"/>
  </w:style>
  <w:style w:type="paragraph" w:styleId="CommentSubject">
    <w:name w:val="annotation subject"/>
    <w:basedOn w:val="CommentText"/>
    <w:next w:val="CommentText"/>
    <w:link w:val="CommentSubjectChar"/>
    <w:uiPriority w:val="99"/>
    <w:semiHidden/>
    <w:unhideWhenUsed/>
    <w:rsid w:val="00E17541"/>
    <w:rPr>
      <w:b/>
      <w:bCs/>
      <w:sz w:val="20"/>
      <w:szCs w:val="20"/>
    </w:rPr>
  </w:style>
  <w:style w:type="character" w:customStyle="1" w:styleId="CommentSubjectChar">
    <w:name w:val="Comment Subject Char"/>
    <w:link w:val="CommentSubject"/>
    <w:uiPriority w:val="99"/>
    <w:semiHidden/>
    <w:rsid w:val="00E17541"/>
    <w:rPr>
      <w:b/>
      <w:bCs/>
      <w:sz w:val="20"/>
      <w:szCs w:val="20"/>
    </w:rPr>
  </w:style>
  <w:style w:type="paragraph" w:customStyle="1" w:styleId="ColorfulShading-Accent11">
    <w:name w:val="Colorful Shading - Accent 11"/>
    <w:hidden/>
    <w:uiPriority w:val="99"/>
    <w:semiHidden/>
    <w:rsid w:val="00D842B2"/>
    <w:rPr>
      <w:sz w:val="24"/>
      <w:szCs w:val="24"/>
      <w:lang w:val="en-US" w:eastAsia="en-US"/>
    </w:rPr>
  </w:style>
  <w:style w:type="character" w:customStyle="1" w:styleId="apple-converted-space">
    <w:name w:val="apple-converted-space"/>
    <w:basedOn w:val="DefaultParagraphFont"/>
    <w:rsid w:val="002F0681"/>
  </w:style>
  <w:style w:type="character" w:customStyle="1" w:styleId="hiddenreadable">
    <w:name w:val="hiddenreadable"/>
    <w:basedOn w:val="DefaultParagraphFont"/>
    <w:rsid w:val="002F0681"/>
  </w:style>
  <w:style w:type="character" w:customStyle="1" w:styleId="oalabel">
    <w:name w:val="oalabel"/>
    <w:basedOn w:val="DefaultParagraphFont"/>
    <w:rsid w:val="002F0681"/>
  </w:style>
  <w:style w:type="character" w:customStyle="1" w:styleId="altmetric-embed">
    <w:name w:val="altmetric-embed"/>
    <w:basedOn w:val="DefaultParagraphFont"/>
    <w:rsid w:val="002F0681"/>
  </w:style>
  <w:style w:type="character" w:customStyle="1" w:styleId="HeaderChar">
    <w:name w:val="Header Char"/>
    <w:link w:val="Header"/>
    <w:uiPriority w:val="99"/>
    <w:rsid w:val="00CC02ED"/>
    <w:rPr>
      <w:rFonts w:eastAsia="Cambria"/>
      <w:sz w:val="22"/>
      <w:szCs w:val="22"/>
    </w:rPr>
  </w:style>
  <w:style w:type="paragraph" w:styleId="Header">
    <w:name w:val="header"/>
    <w:basedOn w:val="Normal"/>
    <w:link w:val="HeaderChar"/>
    <w:uiPriority w:val="99"/>
    <w:unhideWhenUsed/>
    <w:rsid w:val="00CC02ED"/>
    <w:pPr>
      <w:tabs>
        <w:tab w:val="center" w:pos="4680"/>
        <w:tab w:val="right" w:pos="9360"/>
      </w:tabs>
    </w:pPr>
    <w:rPr>
      <w:rFonts w:eastAsia="Cambria"/>
      <w:sz w:val="22"/>
      <w:szCs w:val="22"/>
    </w:rPr>
  </w:style>
  <w:style w:type="character" w:customStyle="1" w:styleId="FooterChar">
    <w:name w:val="Footer Char"/>
    <w:link w:val="Footer"/>
    <w:uiPriority w:val="99"/>
    <w:rsid w:val="00CC02ED"/>
    <w:rPr>
      <w:rFonts w:eastAsia="Cambria"/>
      <w:sz w:val="22"/>
      <w:szCs w:val="22"/>
    </w:rPr>
  </w:style>
  <w:style w:type="paragraph" w:styleId="Footer">
    <w:name w:val="footer"/>
    <w:basedOn w:val="Normal"/>
    <w:link w:val="FooterChar"/>
    <w:uiPriority w:val="99"/>
    <w:unhideWhenUsed/>
    <w:rsid w:val="00CC02ED"/>
    <w:pPr>
      <w:tabs>
        <w:tab w:val="center" w:pos="4680"/>
        <w:tab w:val="right" w:pos="9360"/>
      </w:tabs>
    </w:pPr>
    <w:rPr>
      <w:rFonts w:eastAsia="Cambria"/>
      <w:sz w:val="22"/>
      <w:szCs w:val="22"/>
    </w:rPr>
  </w:style>
  <w:style w:type="character" w:customStyle="1" w:styleId="SubtitleChar">
    <w:name w:val="Subtitle Char"/>
    <w:link w:val="Subtitle"/>
    <w:uiPriority w:val="11"/>
    <w:rsid w:val="00CC02ED"/>
    <w:rPr>
      <w:rFonts w:ascii="Calibri" w:eastAsia="MS Gothic" w:hAnsi="Calibri" w:cs="Times New Roman"/>
      <w:i/>
      <w:iCs/>
      <w:color w:val="4F81BD"/>
      <w:spacing w:val="15"/>
    </w:rPr>
  </w:style>
  <w:style w:type="paragraph" w:styleId="Subtitle">
    <w:name w:val="Subtitle"/>
    <w:basedOn w:val="Normal"/>
    <w:next w:val="Normal"/>
    <w:link w:val="SubtitleChar"/>
    <w:uiPriority w:val="11"/>
    <w:qFormat/>
    <w:rsid w:val="00CC02ED"/>
    <w:rPr>
      <w:rFonts w:ascii="Calibri" w:eastAsia="MS Gothic" w:hAnsi="Calibri"/>
      <w:i/>
      <w:iCs/>
      <w:color w:val="4F81BD"/>
      <w:spacing w:val="15"/>
    </w:rPr>
  </w:style>
  <w:style w:type="character" w:styleId="FollowedHyperlink">
    <w:name w:val="FollowedHyperlink"/>
    <w:uiPriority w:val="99"/>
    <w:semiHidden/>
    <w:unhideWhenUsed/>
    <w:rsid w:val="00411DDA"/>
    <w:rPr>
      <w:color w:val="800080"/>
      <w:u w:val="single"/>
    </w:rPr>
  </w:style>
  <w:style w:type="paragraph" w:styleId="Revision">
    <w:name w:val="Revision"/>
    <w:hidden/>
    <w:uiPriority w:val="71"/>
    <w:unhideWhenUsed/>
    <w:rsid w:val="00ED24BA"/>
    <w:rPr>
      <w:sz w:val="24"/>
      <w:szCs w:val="24"/>
      <w:lang w:val="en-US" w:eastAsia="en-US"/>
    </w:rPr>
  </w:style>
  <w:style w:type="character" w:styleId="PageNumber">
    <w:name w:val="page number"/>
    <w:basedOn w:val="DefaultParagraphFont"/>
    <w:uiPriority w:val="99"/>
    <w:semiHidden/>
    <w:unhideWhenUsed/>
    <w:rsid w:val="002A7082"/>
  </w:style>
  <w:style w:type="table" w:styleId="LightShading-Accent3">
    <w:name w:val="Light Shading Accent 3"/>
    <w:basedOn w:val="TableNormal"/>
    <w:uiPriority w:val="65"/>
    <w:rsid w:val="00047FB1"/>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Grid3-Accent3">
    <w:name w:val="Medium Grid 3 Accent 3"/>
    <w:basedOn w:val="TableNormal"/>
    <w:uiPriority w:val="60"/>
    <w:rsid w:val="000A14E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customStyle="1" w:styleId="Default">
    <w:name w:val="Default"/>
    <w:rsid w:val="00911924"/>
    <w:pPr>
      <w:widowControl w:val="0"/>
      <w:autoSpaceDE w:val="0"/>
      <w:autoSpaceDN w:val="0"/>
      <w:adjustRightInd w:val="0"/>
    </w:pPr>
    <w:rPr>
      <w:rFonts w:ascii="ScalaLancetPro" w:hAnsi="ScalaLancetPro" w:cs="ScalaLancetPro"/>
      <w:color w:val="000000"/>
      <w:sz w:val="24"/>
      <w:szCs w:val="24"/>
      <w:lang w:val="en-US"/>
    </w:rPr>
  </w:style>
  <w:style w:type="character" w:styleId="Strong">
    <w:name w:val="Strong"/>
    <w:basedOn w:val="DefaultParagraphFont"/>
    <w:uiPriority w:val="22"/>
    <w:qFormat/>
    <w:rsid w:val="001267DF"/>
    <w:rPr>
      <w:b/>
      <w:bCs/>
    </w:rPr>
  </w:style>
  <w:style w:type="paragraph" w:styleId="ListParagraph">
    <w:name w:val="List Paragraph"/>
    <w:basedOn w:val="Normal"/>
    <w:uiPriority w:val="72"/>
    <w:qFormat/>
    <w:rsid w:val="000D7544"/>
    <w:pPr>
      <w:ind w:left="720"/>
      <w:contextualSpacing/>
    </w:pPr>
  </w:style>
  <w:style w:type="character" w:customStyle="1" w:styleId="element-citation">
    <w:name w:val="element-citation"/>
    <w:basedOn w:val="DefaultParagraphFont"/>
    <w:rsid w:val="003F0C3B"/>
  </w:style>
  <w:style w:type="character" w:customStyle="1" w:styleId="ref-journal">
    <w:name w:val="ref-journal"/>
    <w:basedOn w:val="DefaultParagraphFont"/>
    <w:rsid w:val="003F0C3B"/>
  </w:style>
  <w:style w:type="character" w:customStyle="1" w:styleId="ref-vol">
    <w:name w:val="ref-vol"/>
    <w:basedOn w:val="DefaultParagraphFont"/>
    <w:rsid w:val="003F0C3B"/>
  </w:style>
  <w:style w:type="character" w:styleId="Emphasis">
    <w:name w:val="Emphasis"/>
    <w:basedOn w:val="DefaultParagraphFont"/>
    <w:uiPriority w:val="20"/>
    <w:qFormat/>
    <w:rsid w:val="002508EB"/>
    <w:rPr>
      <w:i/>
      <w:iCs/>
    </w:rPr>
  </w:style>
  <w:style w:type="paragraph" w:styleId="FootnoteText">
    <w:name w:val="footnote text"/>
    <w:basedOn w:val="Normal"/>
    <w:link w:val="FootnoteTextChar"/>
    <w:uiPriority w:val="99"/>
    <w:semiHidden/>
    <w:unhideWhenUsed/>
    <w:rsid w:val="00572723"/>
    <w:rPr>
      <w:sz w:val="20"/>
      <w:szCs w:val="20"/>
    </w:rPr>
  </w:style>
  <w:style w:type="character" w:customStyle="1" w:styleId="FootnoteTextChar">
    <w:name w:val="Footnote Text Char"/>
    <w:basedOn w:val="DefaultParagraphFont"/>
    <w:link w:val="FootnoteText"/>
    <w:uiPriority w:val="99"/>
    <w:semiHidden/>
    <w:rsid w:val="00572723"/>
    <w:rPr>
      <w:lang w:val="en-US" w:eastAsia="en-US"/>
    </w:rPr>
  </w:style>
  <w:style w:type="character" w:styleId="FootnoteReference">
    <w:name w:val="footnote reference"/>
    <w:basedOn w:val="DefaultParagraphFont"/>
    <w:uiPriority w:val="99"/>
    <w:semiHidden/>
    <w:unhideWhenUsed/>
    <w:rsid w:val="00572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23">
      <w:bodyDiv w:val="1"/>
      <w:marLeft w:val="0"/>
      <w:marRight w:val="0"/>
      <w:marTop w:val="0"/>
      <w:marBottom w:val="0"/>
      <w:divBdr>
        <w:top w:val="none" w:sz="0" w:space="0" w:color="auto"/>
        <w:left w:val="none" w:sz="0" w:space="0" w:color="auto"/>
        <w:bottom w:val="none" w:sz="0" w:space="0" w:color="auto"/>
        <w:right w:val="none" w:sz="0" w:space="0" w:color="auto"/>
      </w:divBdr>
    </w:div>
    <w:div w:id="73942949">
      <w:bodyDiv w:val="1"/>
      <w:marLeft w:val="0"/>
      <w:marRight w:val="0"/>
      <w:marTop w:val="0"/>
      <w:marBottom w:val="0"/>
      <w:divBdr>
        <w:top w:val="none" w:sz="0" w:space="0" w:color="auto"/>
        <w:left w:val="none" w:sz="0" w:space="0" w:color="auto"/>
        <w:bottom w:val="none" w:sz="0" w:space="0" w:color="auto"/>
        <w:right w:val="none" w:sz="0" w:space="0" w:color="auto"/>
      </w:divBdr>
    </w:div>
    <w:div w:id="102072143">
      <w:bodyDiv w:val="1"/>
      <w:marLeft w:val="0"/>
      <w:marRight w:val="0"/>
      <w:marTop w:val="0"/>
      <w:marBottom w:val="0"/>
      <w:divBdr>
        <w:top w:val="none" w:sz="0" w:space="0" w:color="auto"/>
        <w:left w:val="none" w:sz="0" w:space="0" w:color="auto"/>
        <w:bottom w:val="none" w:sz="0" w:space="0" w:color="auto"/>
        <w:right w:val="none" w:sz="0" w:space="0" w:color="auto"/>
      </w:divBdr>
    </w:div>
    <w:div w:id="114640063">
      <w:bodyDiv w:val="1"/>
      <w:marLeft w:val="0"/>
      <w:marRight w:val="0"/>
      <w:marTop w:val="0"/>
      <w:marBottom w:val="0"/>
      <w:divBdr>
        <w:top w:val="none" w:sz="0" w:space="0" w:color="auto"/>
        <w:left w:val="none" w:sz="0" w:space="0" w:color="auto"/>
        <w:bottom w:val="none" w:sz="0" w:space="0" w:color="auto"/>
        <w:right w:val="none" w:sz="0" w:space="0" w:color="auto"/>
      </w:divBdr>
    </w:div>
    <w:div w:id="153031763">
      <w:bodyDiv w:val="1"/>
      <w:marLeft w:val="0"/>
      <w:marRight w:val="0"/>
      <w:marTop w:val="0"/>
      <w:marBottom w:val="0"/>
      <w:divBdr>
        <w:top w:val="none" w:sz="0" w:space="0" w:color="auto"/>
        <w:left w:val="none" w:sz="0" w:space="0" w:color="auto"/>
        <w:bottom w:val="none" w:sz="0" w:space="0" w:color="auto"/>
        <w:right w:val="none" w:sz="0" w:space="0" w:color="auto"/>
      </w:divBdr>
    </w:div>
    <w:div w:id="189926611">
      <w:bodyDiv w:val="1"/>
      <w:marLeft w:val="0"/>
      <w:marRight w:val="0"/>
      <w:marTop w:val="0"/>
      <w:marBottom w:val="0"/>
      <w:divBdr>
        <w:top w:val="none" w:sz="0" w:space="0" w:color="auto"/>
        <w:left w:val="none" w:sz="0" w:space="0" w:color="auto"/>
        <w:bottom w:val="none" w:sz="0" w:space="0" w:color="auto"/>
        <w:right w:val="none" w:sz="0" w:space="0" w:color="auto"/>
      </w:divBdr>
      <w:divsChild>
        <w:div w:id="1227452978">
          <w:marLeft w:val="0"/>
          <w:marRight w:val="0"/>
          <w:marTop w:val="0"/>
          <w:marBottom w:val="0"/>
          <w:divBdr>
            <w:top w:val="none" w:sz="0" w:space="0" w:color="auto"/>
            <w:left w:val="none" w:sz="0" w:space="0" w:color="auto"/>
            <w:bottom w:val="none" w:sz="0" w:space="0" w:color="auto"/>
            <w:right w:val="none" w:sz="0" w:space="0" w:color="auto"/>
          </w:divBdr>
          <w:divsChild>
            <w:div w:id="1665165745">
              <w:marLeft w:val="0"/>
              <w:marRight w:val="0"/>
              <w:marTop w:val="0"/>
              <w:marBottom w:val="0"/>
              <w:divBdr>
                <w:top w:val="none" w:sz="0" w:space="0" w:color="auto"/>
                <w:left w:val="none" w:sz="0" w:space="0" w:color="auto"/>
                <w:bottom w:val="none" w:sz="0" w:space="0" w:color="auto"/>
                <w:right w:val="none" w:sz="0" w:space="0" w:color="auto"/>
              </w:divBdr>
              <w:divsChild>
                <w:div w:id="1921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810">
      <w:bodyDiv w:val="1"/>
      <w:marLeft w:val="0"/>
      <w:marRight w:val="0"/>
      <w:marTop w:val="0"/>
      <w:marBottom w:val="0"/>
      <w:divBdr>
        <w:top w:val="none" w:sz="0" w:space="0" w:color="auto"/>
        <w:left w:val="none" w:sz="0" w:space="0" w:color="auto"/>
        <w:bottom w:val="none" w:sz="0" w:space="0" w:color="auto"/>
        <w:right w:val="none" w:sz="0" w:space="0" w:color="auto"/>
      </w:divBdr>
    </w:div>
    <w:div w:id="235163781">
      <w:bodyDiv w:val="1"/>
      <w:marLeft w:val="0"/>
      <w:marRight w:val="0"/>
      <w:marTop w:val="0"/>
      <w:marBottom w:val="0"/>
      <w:divBdr>
        <w:top w:val="none" w:sz="0" w:space="0" w:color="auto"/>
        <w:left w:val="none" w:sz="0" w:space="0" w:color="auto"/>
        <w:bottom w:val="none" w:sz="0" w:space="0" w:color="auto"/>
        <w:right w:val="none" w:sz="0" w:space="0" w:color="auto"/>
      </w:divBdr>
    </w:div>
    <w:div w:id="267664621">
      <w:bodyDiv w:val="1"/>
      <w:marLeft w:val="0"/>
      <w:marRight w:val="0"/>
      <w:marTop w:val="0"/>
      <w:marBottom w:val="0"/>
      <w:divBdr>
        <w:top w:val="none" w:sz="0" w:space="0" w:color="auto"/>
        <w:left w:val="none" w:sz="0" w:space="0" w:color="auto"/>
        <w:bottom w:val="none" w:sz="0" w:space="0" w:color="auto"/>
        <w:right w:val="none" w:sz="0" w:space="0" w:color="auto"/>
      </w:divBdr>
    </w:div>
    <w:div w:id="279730277">
      <w:bodyDiv w:val="1"/>
      <w:marLeft w:val="0"/>
      <w:marRight w:val="0"/>
      <w:marTop w:val="0"/>
      <w:marBottom w:val="0"/>
      <w:divBdr>
        <w:top w:val="none" w:sz="0" w:space="0" w:color="auto"/>
        <w:left w:val="none" w:sz="0" w:space="0" w:color="auto"/>
        <w:bottom w:val="none" w:sz="0" w:space="0" w:color="auto"/>
        <w:right w:val="none" w:sz="0" w:space="0" w:color="auto"/>
      </w:divBdr>
    </w:div>
    <w:div w:id="313264784">
      <w:bodyDiv w:val="1"/>
      <w:marLeft w:val="0"/>
      <w:marRight w:val="0"/>
      <w:marTop w:val="0"/>
      <w:marBottom w:val="0"/>
      <w:divBdr>
        <w:top w:val="none" w:sz="0" w:space="0" w:color="auto"/>
        <w:left w:val="none" w:sz="0" w:space="0" w:color="auto"/>
        <w:bottom w:val="none" w:sz="0" w:space="0" w:color="auto"/>
        <w:right w:val="none" w:sz="0" w:space="0" w:color="auto"/>
      </w:divBdr>
    </w:div>
    <w:div w:id="322198694">
      <w:bodyDiv w:val="1"/>
      <w:marLeft w:val="0"/>
      <w:marRight w:val="0"/>
      <w:marTop w:val="0"/>
      <w:marBottom w:val="0"/>
      <w:divBdr>
        <w:top w:val="none" w:sz="0" w:space="0" w:color="auto"/>
        <w:left w:val="none" w:sz="0" w:space="0" w:color="auto"/>
        <w:bottom w:val="none" w:sz="0" w:space="0" w:color="auto"/>
        <w:right w:val="none" w:sz="0" w:space="0" w:color="auto"/>
      </w:divBdr>
    </w:div>
    <w:div w:id="388958363">
      <w:bodyDiv w:val="1"/>
      <w:marLeft w:val="0"/>
      <w:marRight w:val="0"/>
      <w:marTop w:val="0"/>
      <w:marBottom w:val="0"/>
      <w:divBdr>
        <w:top w:val="none" w:sz="0" w:space="0" w:color="auto"/>
        <w:left w:val="none" w:sz="0" w:space="0" w:color="auto"/>
        <w:bottom w:val="none" w:sz="0" w:space="0" w:color="auto"/>
        <w:right w:val="none" w:sz="0" w:space="0" w:color="auto"/>
      </w:divBdr>
    </w:div>
    <w:div w:id="401296594">
      <w:bodyDiv w:val="1"/>
      <w:marLeft w:val="0"/>
      <w:marRight w:val="0"/>
      <w:marTop w:val="0"/>
      <w:marBottom w:val="0"/>
      <w:divBdr>
        <w:top w:val="none" w:sz="0" w:space="0" w:color="auto"/>
        <w:left w:val="none" w:sz="0" w:space="0" w:color="auto"/>
        <w:bottom w:val="none" w:sz="0" w:space="0" w:color="auto"/>
        <w:right w:val="none" w:sz="0" w:space="0" w:color="auto"/>
      </w:divBdr>
    </w:div>
    <w:div w:id="455563064">
      <w:bodyDiv w:val="1"/>
      <w:marLeft w:val="0"/>
      <w:marRight w:val="0"/>
      <w:marTop w:val="0"/>
      <w:marBottom w:val="0"/>
      <w:divBdr>
        <w:top w:val="none" w:sz="0" w:space="0" w:color="auto"/>
        <w:left w:val="none" w:sz="0" w:space="0" w:color="auto"/>
        <w:bottom w:val="none" w:sz="0" w:space="0" w:color="auto"/>
        <w:right w:val="none" w:sz="0" w:space="0" w:color="auto"/>
      </w:divBdr>
    </w:div>
    <w:div w:id="525869541">
      <w:bodyDiv w:val="1"/>
      <w:marLeft w:val="0"/>
      <w:marRight w:val="0"/>
      <w:marTop w:val="0"/>
      <w:marBottom w:val="0"/>
      <w:divBdr>
        <w:top w:val="none" w:sz="0" w:space="0" w:color="auto"/>
        <w:left w:val="none" w:sz="0" w:space="0" w:color="auto"/>
        <w:bottom w:val="none" w:sz="0" w:space="0" w:color="auto"/>
        <w:right w:val="none" w:sz="0" w:space="0" w:color="auto"/>
      </w:divBdr>
    </w:div>
    <w:div w:id="566644470">
      <w:bodyDiv w:val="1"/>
      <w:marLeft w:val="0"/>
      <w:marRight w:val="0"/>
      <w:marTop w:val="0"/>
      <w:marBottom w:val="0"/>
      <w:divBdr>
        <w:top w:val="none" w:sz="0" w:space="0" w:color="auto"/>
        <w:left w:val="none" w:sz="0" w:space="0" w:color="auto"/>
        <w:bottom w:val="none" w:sz="0" w:space="0" w:color="auto"/>
        <w:right w:val="none" w:sz="0" w:space="0" w:color="auto"/>
      </w:divBdr>
    </w:div>
    <w:div w:id="567761730">
      <w:bodyDiv w:val="1"/>
      <w:marLeft w:val="0"/>
      <w:marRight w:val="0"/>
      <w:marTop w:val="0"/>
      <w:marBottom w:val="0"/>
      <w:divBdr>
        <w:top w:val="none" w:sz="0" w:space="0" w:color="auto"/>
        <w:left w:val="none" w:sz="0" w:space="0" w:color="auto"/>
        <w:bottom w:val="none" w:sz="0" w:space="0" w:color="auto"/>
        <w:right w:val="none" w:sz="0" w:space="0" w:color="auto"/>
      </w:divBdr>
      <w:divsChild>
        <w:div w:id="887759668">
          <w:marLeft w:val="0"/>
          <w:marRight w:val="0"/>
          <w:marTop w:val="0"/>
          <w:marBottom w:val="0"/>
          <w:divBdr>
            <w:top w:val="none" w:sz="0" w:space="0" w:color="auto"/>
            <w:left w:val="none" w:sz="0" w:space="0" w:color="auto"/>
            <w:bottom w:val="none" w:sz="0" w:space="0" w:color="auto"/>
            <w:right w:val="none" w:sz="0" w:space="0" w:color="auto"/>
          </w:divBdr>
          <w:divsChild>
            <w:div w:id="1689941188">
              <w:marLeft w:val="0"/>
              <w:marRight w:val="0"/>
              <w:marTop w:val="0"/>
              <w:marBottom w:val="0"/>
              <w:divBdr>
                <w:top w:val="none" w:sz="0" w:space="0" w:color="auto"/>
                <w:left w:val="none" w:sz="0" w:space="0" w:color="auto"/>
                <w:bottom w:val="none" w:sz="0" w:space="0" w:color="auto"/>
                <w:right w:val="none" w:sz="0" w:space="0" w:color="auto"/>
              </w:divBdr>
              <w:divsChild>
                <w:div w:id="1029794666">
                  <w:marLeft w:val="0"/>
                  <w:marRight w:val="0"/>
                  <w:marTop w:val="0"/>
                  <w:marBottom w:val="0"/>
                  <w:divBdr>
                    <w:top w:val="none" w:sz="0" w:space="0" w:color="auto"/>
                    <w:left w:val="none" w:sz="0" w:space="0" w:color="auto"/>
                    <w:bottom w:val="none" w:sz="0" w:space="0" w:color="auto"/>
                    <w:right w:val="none" w:sz="0" w:space="0" w:color="auto"/>
                  </w:divBdr>
                  <w:divsChild>
                    <w:div w:id="16858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5693">
      <w:bodyDiv w:val="1"/>
      <w:marLeft w:val="0"/>
      <w:marRight w:val="0"/>
      <w:marTop w:val="0"/>
      <w:marBottom w:val="0"/>
      <w:divBdr>
        <w:top w:val="none" w:sz="0" w:space="0" w:color="auto"/>
        <w:left w:val="none" w:sz="0" w:space="0" w:color="auto"/>
        <w:bottom w:val="none" w:sz="0" w:space="0" w:color="auto"/>
        <w:right w:val="none" w:sz="0" w:space="0" w:color="auto"/>
      </w:divBdr>
    </w:div>
    <w:div w:id="646790008">
      <w:bodyDiv w:val="1"/>
      <w:marLeft w:val="0"/>
      <w:marRight w:val="0"/>
      <w:marTop w:val="0"/>
      <w:marBottom w:val="0"/>
      <w:divBdr>
        <w:top w:val="none" w:sz="0" w:space="0" w:color="auto"/>
        <w:left w:val="none" w:sz="0" w:space="0" w:color="auto"/>
        <w:bottom w:val="none" w:sz="0" w:space="0" w:color="auto"/>
        <w:right w:val="none" w:sz="0" w:space="0" w:color="auto"/>
      </w:divBdr>
    </w:div>
    <w:div w:id="653871532">
      <w:bodyDiv w:val="1"/>
      <w:marLeft w:val="0"/>
      <w:marRight w:val="0"/>
      <w:marTop w:val="0"/>
      <w:marBottom w:val="0"/>
      <w:divBdr>
        <w:top w:val="none" w:sz="0" w:space="0" w:color="auto"/>
        <w:left w:val="none" w:sz="0" w:space="0" w:color="auto"/>
        <w:bottom w:val="none" w:sz="0" w:space="0" w:color="auto"/>
        <w:right w:val="none" w:sz="0" w:space="0" w:color="auto"/>
      </w:divBdr>
    </w:div>
    <w:div w:id="665594504">
      <w:bodyDiv w:val="1"/>
      <w:marLeft w:val="0"/>
      <w:marRight w:val="0"/>
      <w:marTop w:val="0"/>
      <w:marBottom w:val="0"/>
      <w:divBdr>
        <w:top w:val="none" w:sz="0" w:space="0" w:color="auto"/>
        <w:left w:val="none" w:sz="0" w:space="0" w:color="auto"/>
        <w:bottom w:val="none" w:sz="0" w:space="0" w:color="auto"/>
        <w:right w:val="none" w:sz="0" w:space="0" w:color="auto"/>
      </w:divBdr>
    </w:div>
    <w:div w:id="713042301">
      <w:bodyDiv w:val="1"/>
      <w:marLeft w:val="0"/>
      <w:marRight w:val="0"/>
      <w:marTop w:val="0"/>
      <w:marBottom w:val="0"/>
      <w:divBdr>
        <w:top w:val="none" w:sz="0" w:space="0" w:color="auto"/>
        <w:left w:val="none" w:sz="0" w:space="0" w:color="auto"/>
        <w:bottom w:val="none" w:sz="0" w:space="0" w:color="auto"/>
        <w:right w:val="none" w:sz="0" w:space="0" w:color="auto"/>
      </w:divBdr>
    </w:div>
    <w:div w:id="736128475">
      <w:bodyDiv w:val="1"/>
      <w:marLeft w:val="0"/>
      <w:marRight w:val="0"/>
      <w:marTop w:val="0"/>
      <w:marBottom w:val="0"/>
      <w:divBdr>
        <w:top w:val="none" w:sz="0" w:space="0" w:color="auto"/>
        <w:left w:val="none" w:sz="0" w:space="0" w:color="auto"/>
        <w:bottom w:val="none" w:sz="0" w:space="0" w:color="auto"/>
        <w:right w:val="none" w:sz="0" w:space="0" w:color="auto"/>
      </w:divBdr>
      <w:divsChild>
        <w:div w:id="1187525920">
          <w:marLeft w:val="0"/>
          <w:marRight w:val="0"/>
          <w:marTop w:val="0"/>
          <w:marBottom w:val="0"/>
          <w:divBdr>
            <w:top w:val="none" w:sz="0" w:space="0" w:color="auto"/>
            <w:left w:val="none" w:sz="0" w:space="0" w:color="auto"/>
            <w:bottom w:val="none" w:sz="0" w:space="0" w:color="auto"/>
            <w:right w:val="none" w:sz="0" w:space="0" w:color="auto"/>
          </w:divBdr>
          <w:divsChild>
            <w:div w:id="1341002481">
              <w:marLeft w:val="0"/>
              <w:marRight w:val="0"/>
              <w:marTop w:val="0"/>
              <w:marBottom w:val="0"/>
              <w:divBdr>
                <w:top w:val="none" w:sz="0" w:space="0" w:color="auto"/>
                <w:left w:val="none" w:sz="0" w:space="0" w:color="auto"/>
                <w:bottom w:val="none" w:sz="0" w:space="0" w:color="auto"/>
                <w:right w:val="none" w:sz="0" w:space="0" w:color="auto"/>
              </w:divBdr>
              <w:divsChild>
                <w:div w:id="1463697384">
                  <w:marLeft w:val="0"/>
                  <w:marRight w:val="0"/>
                  <w:marTop w:val="0"/>
                  <w:marBottom w:val="0"/>
                  <w:divBdr>
                    <w:top w:val="none" w:sz="0" w:space="0" w:color="auto"/>
                    <w:left w:val="none" w:sz="0" w:space="0" w:color="auto"/>
                    <w:bottom w:val="none" w:sz="0" w:space="0" w:color="auto"/>
                    <w:right w:val="none" w:sz="0" w:space="0" w:color="auto"/>
                  </w:divBdr>
                  <w:divsChild>
                    <w:div w:id="10721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2903">
      <w:bodyDiv w:val="1"/>
      <w:marLeft w:val="0"/>
      <w:marRight w:val="0"/>
      <w:marTop w:val="0"/>
      <w:marBottom w:val="0"/>
      <w:divBdr>
        <w:top w:val="none" w:sz="0" w:space="0" w:color="auto"/>
        <w:left w:val="none" w:sz="0" w:space="0" w:color="auto"/>
        <w:bottom w:val="none" w:sz="0" w:space="0" w:color="auto"/>
        <w:right w:val="none" w:sz="0" w:space="0" w:color="auto"/>
      </w:divBdr>
      <w:divsChild>
        <w:div w:id="1328290705">
          <w:marLeft w:val="0"/>
          <w:marRight w:val="0"/>
          <w:marTop w:val="0"/>
          <w:marBottom w:val="0"/>
          <w:divBdr>
            <w:top w:val="none" w:sz="0" w:space="0" w:color="auto"/>
            <w:left w:val="none" w:sz="0" w:space="0" w:color="auto"/>
            <w:bottom w:val="none" w:sz="0" w:space="0" w:color="auto"/>
            <w:right w:val="none" w:sz="0" w:space="0" w:color="auto"/>
          </w:divBdr>
          <w:divsChild>
            <w:div w:id="176966677">
              <w:marLeft w:val="0"/>
              <w:marRight w:val="0"/>
              <w:marTop w:val="0"/>
              <w:marBottom w:val="0"/>
              <w:divBdr>
                <w:top w:val="none" w:sz="0" w:space="0" w:color="auto"/>
                <w:left w:val="none" w:sz="0" w:space="0" w:color="auto"/>
                <w:bottom w:val="none" w:sz="0" w:space="0" w:color="auto"/>
                <w:right w:val="none" w:sz="0" w:space="0" w:color="auto"/>
              </w:divBdr>
              <w:divsChild>
                <w:div w:id="742139488">
                  <w:marLeft w:val="0"/>
                  <w:marRight w:val="0"/>
                  <w:marTop w:val="0"/>
                  <w:marBottom w:val="0"/>
                  <w:divBdr>
                    <w:top w:val="none" w:sz="0" w:space="0" w:color="auto"/>
                    <w:left w:val="none" w:sz="0" w:space="0" w:color="auto"/>
                    <w:bottom w:val="none" w:sz="0" w:space="0" w:color="auto"/>
                    <w:right w:val="none" w:sz="0" w:space="0" w:color="auto"/>
                  </w:divBdr>
                </w:div>
                <w:div w:id="1305039918">
                  <w:marLeft w:val="0"/>
                  <w:marRight w:val="0"/>
                  <w:marTop w:val="0"/>
                  <w:marBottom w:val="0"/>
                  <w:divBdr>
                    <w:top w:val="none" w:sz="0" w:space="0" w:color="auto"/>
                    <w:left w:val="none" w:sz="0" w:space="0" w:color="auto"/>
                    <w:bottom w:val="none" w:sz="0" w:space="0" w:color="auto"/>
                    <w:right w:val="none" w:sz="0" w:space="0" w:color="auto"/>
                  </w:divBdr>
                </w:div>
                <w:div w:id="4166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14110">
      <w:bodyDiv w:val="1"/>
      <w:marLeft w:val="0"/>
      <w:marRight w:val="0"/>
      <w:marTop w:val="0"/>
      <w:marBottom w:val="0"/>
      <w:divBdr>
        <w:top w:val="none" w:sz="0" w:space="0" w:color="auto"/>
        <w:left w:val="none" w:sz="0" w:space="0" w:color="auto"/>
        <w:bottom w:val="none" w:sz="0" w:space="0" w:color="auto"/>
        <w:right w:val="none" w:sz="0" w:space="0" w:color="auto"/>
      </w:divBdr>
    </w:div>
    <w:div w:id="885608278">
      <w:bodyDiv w:val="1"/>
      <w:marLeft w:val="0"/>
      <w:marRight w:val="0"/>
      <w:marTop w:val="0"/>
      <w:marBottom w:val="0"/>
      <w:divBdr>
        <w:top w:val="none" w:sz="0" w:space="0" w:color="auto"/>
        <w:left w:val="none" w:sz="0" w:space="0" w:color="auto"/>
        <w:bottom w:val="none" w:sz="0" w:space="0" w:color="auto"/>
        <w:right w:val="none" w:sz="0" w:space="0" w:color="auto"/>
      </w:divBdr>
    </w:div>
    <w:div w:id="888298382">
      <w:bodyDiv w:val="1"/>
      <w:marLeft w:val="0"/>
      <w:marRight w:val="0"/>
      <w:marTop w:val="0"/>
      <w:marBottom w:val="0"/>
      <w:divBdr>
        <w:top w:val="none" w:sz="0" w:space="0" w:color="auto"/>
        <w:left w:val="none" w:sz="0" w:space="0" w:color="auto"/>
        <w:bottom w:val="none" w:sz="0" w:space="0" w:color="auto"/>
        <w:right w:val="none" w:sz="0" w:space="0" w:color="auto"/>
      </w:divBdr>
    </w:div>
    <w:div w:id="896357293">
      <w:bodyDiv w:val="1"/>
      <w:marLeft w:val="0"/>
      <w:marRight w:val="0"/>
      <w:marTop w:val="0"/>
      <w:marBottom w:val="0"/>
      <w:divBdr>
        <w:top w:val="none" w:sz="0" w:space="0" w:color="auto"/>
        <w:left w:val="none" w:sz="0" w:space="0" w:color="auto"/>
        <w:bottom w:val="none" w:sz="0" w:space="0" w:color="auto"/>
        <w:right w:val="none" w:sz="0" w:space="0" w:color="auto"/>
      </w:divBdr>
    </w:div>
    <w:div w:id="933249985">
      <w:bodyDiv w:val="1"/>
      <w:marLeft w:val="0"/>
      <w:marRight w:val="0"/>
      <w:marTop w:val="0"/>
      <w:marBottom w:val="0"/>
      <w:divBdr>
        <w:top w:val="none" w:sz="0" w:space="0" w:color="auto"/>
        <w:left w:val="none" w:sz="0" w:space="0" w:color="auto"/>
        <w:bottom w:val="none" w:sz="0" w:space="0" w:color="auto"/>
        <w:right w:val="none" w:sz="0" w:space="0" w:color="auto"/>
      </w:divBdr>
    </w:div>
    <w:div w:id="1135872839">
      <w:bodyDiv w:val="1"/>
      <w:marLeft w:val="0"/>
      <w:marRight w:val="0"/>
      <w:marTop w:val="0"/>
      <w:marBottom w:val="0"/>
      <w:divBdr>
        <w:top w:val="none" w:sz="0" w:space="0" w:color="auto"/>
        <w:left w:val="none" w:sz="0" w:space="0" w:color="auto"/>
        <w:bottom w:val="none" w:sz="0" w:space="0" w:color="auto"/>
        <w:right w:val="none" w:sz="0" w:space="0" w:color="auto"/>
      </w:divBdr>
    </w:div>
    <w:div w:id="1162046496">
      <w:bodyDiv w:val="1"/>
      <w:marLeft w:val="0"/>
      <w:marRight w:val="0"/>
      <w:marTop w:val="0"/>
      <w:marBottom w:val="0"/>
      <w:divBdr>
        <w:top w:val="none" w:sz="0" w:space="0" w:color="auto"/>
        <w:left w:val="none" w:sz="0" w:space="0" w:color="auto"/>
        <w:bottom w:val="none" w:sz="0" w:space="0" w:color="auto"/>
        <w:right w:val="none" w:sz="0" w:space="0" w:color="auto"/>
      </w:divBdr>
      <w:divsChild>
        <w:div w:id="27220397">
          <w:marLeft w:val="0"/>
          <w:marRight w:val="0"/>
          <w:marTop w:val="0"/>
          <w:marBottom w:val="0"/>
          <w:divBdr>
            <w:top w:val="none" w:sz="0" w:space="0" w:color="auto"/>
            <w:left w:val="none" w:sz="0" w:space="0" w:color="auto"/>
            <w:bottom w:val="none" w:sz="0" w:space="0" w:color="auto"/>
            <w:right w:val="none" w:sz="0" w:space="0" w:color="auto"/>
          </w:divBdr>
        </w:div>
        <w:div w:id="333535116">
          <w:marLeft w:val="0"/>
          <w:marRight w:val="0"/>
          <w:marTop w:val="0"/>
          <w:marBottom w:val="0"/>
          <w:divBdr>
            <w:top w:val="none" w:sz="0" w:space="0" w:color="auto"/>
            <w:left w:val="none" w:sz="0" w:space="0" w:color="auto"/>
            <w:bottom w:val="none" w:sz="0" w:space="0" w:color="auto"/>
            <w:right w:val="none" w:sz="0" w:space="0" w:color="auto"/>
          </w:divBdr>
        </w:div>
        <w:div w:id="739403992">
          <w:marLeft w:val="0"/>
          <w:marRight w:val="0"/>
          <w:marTop w:val="0"/>
          <w:marBottom w:val="0"/>
          <w:divBdr>
            <w:top w:val="none" w:sz="0" w:space="0" w:color="auto"/>
            <w:left w:val="none" w:sz="0" w:space="0" w:color="auto"/>
            <w:bottom w:val="none" w:sz="0" w:space="0" w:color="auto"/>
            <w:right w:val="none" w:sz="0" w:space="0" w:color="auto"/>
          </w:divBdr>
        </w:div>
        <w:div w:id="895581796">
          <w:marLeft w:val="0"/>
          <w:marRight w:val="0"/>
          <w:marTop w:val="0"/>
          <w:marBottom w:val="0"/>
          <w:divBdr>
            <w:top w:val="none" w:sz="0" w:space="0" w:color="auto"/>
            <w:left w:val="none" w:sz="0" w:space="0" w:color="auto"/>
            <w:bottom w:val="none" w:sz="0" w:space="0" w:color="auto"/>
            <w:right w:val="none" w:sz="0" w:space="0" w:color="auto"/>
          </w:divBdr>
        </w:div>
        <w:div w:id="986974489">
          <w:marLeft w:val="0"/>
          <w:marRight w:val="0"/>
          <w:marTop w:val="0"/>
          <w:marBottom w:val="0"/>
          <w:divBdr>
            <w:top w:val="none" w:sz="0" w:space="0" w:color="auto"/>
            <w:left w:val="none" w:sz="0" w:space="0" w:color="auto"/>
            <w:bottom w:val="none" w:sz="0" w:space="0" w:color="auto"/>
            <w:right w:val="none" w:sz="0" w:space="0" w:color="auto"/>
          </w:divBdr>
        </w:div>
        <w:div w:id="1385907650">
          <w:marLeft w:val="0"/>
          <w:marRight w:val="0"/>
          <w:marTop w:val="180"/>
          <w:marBottom w:val="180"/>
          <w:divBdr>
            <w:top w:val="none" w:sz="0" w:space="0" w:color="auto"/>
            <w:left w:val="none" w:sz="0" w:space="0" w:color="auto"/>
            <w:bottom w:val="none" w:sz="0" w:space="0" w:color="auto"/>
            <w:right w:val="none" w:sz="0" w:space="0" w:color="auto"/>
          </w:divBdr>
        </w:div>
        <w:div w:id="1529490017">
          <w:marLeft w:val="0"/>
          <w:marRight w:val="0"/>
          <w:marTop w:val="0"/>
          <w:marBottom w:val="0"/>
          <w:divBdr>
            <w:top w:val="none" w:sz="0" w:space="0" w:color="auto"/>
            <w:left w:val="none" w:sz="0" w:space="0" w:color="auto"/>
            <w:bottom w:val="none" w:sz="0" w:space="0" w:color="auto"/>
            <w:right w:val="none" w:sz="0" w:space="0" w:color="auto"/>
          </w:divBdr>
        </w:div>
      </w:divsChild>
    </w:div>
    <w:div w:id="1176074049">
      <w:bodyDiv w:val="1"/>
      <w:marLeft w:val="0"/>
      <w:marRight w:val="0"/>
      <w:marTop w:val="0"/>
      <w:marBottom w:val="0"/>
      <w:divBdr>
        <w:top w:val="none" w:sz="0" w:space="0" w:color="auto"/>
        <w:left w:val="none" w:sz="0" w:space="0" w:color="auto"/>
        <w:bottom w:val="none" w:sz="0" w:space="0" w:color="auto"/>
        <w:right w:val="none" w:sz="0" w:space="0" w:color="auto"/>
      </w:divBdr>
    </w:div>
    <w:div w:id="1215504926">
      <w:bodyDiv w:val="1"/>
      <w:marLeft w:val="0"/>
      <w:marRight w:val="0"/>
      <w:marTop w:val="0"/>
      <w:marBottom w:val="0"/>
      <w:divBdr>
        <w:top w:val="none" w:sz="0" w:space="0" w:color="auto"/>
        <w:left w:val="none" w:sz="0" w:space="0" w:color="auto"/>
        <w:bottom w:val="none" w:sz="0" w:space="0" w:color="auto"/>
        <w:right w:val="none" w:sz="0" w:space="0" w:color="auto"/>
      </w:divBdr>
    </w:div>
    <w:div w:id="1235966026">
      <w:bodyDiv w:val="1"/>
      <w:marLeft w:val="0"/>
      <w:marRight w:val="0"/>
      <w:marTop w:val="0"/>
      <w:marBottom w:val="0"/>
      <w:divBdr>
        <w:top w:val="none" w:sz="0" w:space="0" w:color="auto"/>
        <w:left w:val="none" w:sz="0" w:space="0" w:color="auto"/>
        <w:bottom w:val="none" w:sz="0" w:space="0" w:color="auto"/>
        <w:right w:val="none" w:sz="0" w:space="0" w:color="auto"/>
      </w:divBdr>
      <w:divsChild>
        <w:div w:id="728186390">
          <w:marLeft w:val="0"/>
          <w:marRight w:val="0"/>
          <w:marTop w:val="0"/>
          <w:marBottom w:val="0"/>
          <w:divBdr>
            <w:top w:val="none" w:sz="0" w:space="0" w:color="auto"/>
            <w:left w:val="none" w:sz="0" w:space="0" w:color="auto"/>
            <w:bottom w:val="none" w:sz="0" w:space="0" w:color="auto"/>
            <w:right w:val="none" w:sz="0" w:space="0" w:color="auto"/>
          </w:divBdr>
        </w:div>
        <w:div w:id="1774086973">
          <w:marLeft w:val="0"/>
          <w:marRight w:val="0"/>
          <w:marTop w:val="0"/>
          <w:marBottom w:val="0"/>
          <w:divBdr>
            <w:top w:val="none" w:sz="0" w:space="0" w:color="auto"/>
            <w:left w:val="none" w:sz="0" w:space="0" w:color="auto"/>
            <w:bottom w:val="none" w:sz="0" w:space="0" w:color="auto"/>
            <w:right w:val="none" w:sz="0" w:space="0" w:color="auto"/>
          </w:divBdr>
        </w:div>
        <w:div w:id="2070110170">
          <w:marLeft w:val="0"/>
          <w:marRight w:val="0"/>
          <w:marTop w:val="0"/>
          <w:marBottom w:val="0"/>
          <w:divBdr>
            <w:top w:val="none" w:sz="0" w:space="0" w:color="auto"/>
            <w:left w:val="none" w:sz="0" w:space="0" w:color="auto"/>
            <w:bottom w:val="none" w:sz="0" w:space="0" w:color="auto"/>
            <w:right w:val="none" w:sz="0" w:space="0" w:color="auto"/>
          </w:divBdr>
        </w:div>
      </w:divsChild>
    </w:div>
    <w:div w:id="1256786283">
      <w:bodyDiv w:val="1"/>
      <w:marLeft w:val="0"/>
      <w:marRight w:val="0"/>
      <w:marTop w:val="0"/>
      <w:marBottom w:val="0"/>
      <w:divBdr>
        <w:top w:val="none" w:sz="0" w:space="0" w:color="auto"/>
        <w:left w:val="none" w:sz="0" w:space="0" w:color="auto"/>
        <w:bottom w:val="none" w:sz="0" w:space="0" w:color="auto"/>
        <w:right w:val="none" w:sz="0" w:space="0" w:color="auto"/>
      </w:divBdr>
    </w:div>
    <w:div w:id="1260409166">
      <w:bodyDiv w:val="1"/>
      <w:marLeft w:val="0"/>
      <w:marRight w:val="0"/>
      <w:marTop w:val="0"/>
      <w:marBottom w:val="0"/>
      <w:divBdr>
        <w:top w:val="none" w:sz="0" w:space="0" w:color="auto"/>
        <w:left w:val="none" w:sz="0" w:space="0" w:color="auto"/>
        <w:bottom w:val="none" w:sz="0" w:space="0" w:color="auto"/>
        <w:right w:val="none" w:sz="0" w:space="0" w:color="auto"/>
      </w:divBdr>
    </w:div>
    <w:div w:id="1266961278">
      <w:bodyDiv w:val="1"/>
      <w:marLeft w:val="0"/>
      <w:marRight w:val="0"/>
      <w:marTop w:val="0"/>
      <w:marBottom w:val="0"/>
      <w:divBdr>
        <w:top w:val="none" w:sz="0" w:space="0" w:color="auto"/>
        <w:left w:val="none" w:sz="0" w:space="0" w:color="auto"/>
        <w:bottom w:val="none" w:sz="0" w:space="0" w:color="auto"/>
        <w:right w:val="none" w:sz="0" w:space="0" w:color="auto"/>
      </w:divBdr>
    </w:div>
    <w:div w:id="1283225792">
      <w:bodyDiv w:val="1"/>
      <w:marLeft w:val="0"/>
      <w:marRight w:val="0"/>
      <w:marTop w:val="0"/>
      <w:marBottom w:val="0"/>
      <w:divBdr>
        <w:top w:val="none" w:sz="0" w:space="0" w:color="auto"/>
        <w:left w:val="none" w:sz="0" w:space="0" w:color="auto"/>
        <w:bottom w:val="none" w:sz="0" w:space="0" w:color="auto"/>
        <w:right w:val="none" w:sz="0" w:space="0" w:color="auto"/>
      </w:divBdr>
    </w:div>
    <w:div w:id="1317605520">
      <w:bodyDiv w:val="1"/>
      <w:marLeft w:val="0"/>
      <w:marRight w:val="0"/>
      <w:marTop w:val="0"/>
      <w:marBottom w:val="0"/>
      <w:divBdr>
        <w:top w:val="none" w:sz="0" w:space="0" w:color="auto"/>
        <w:left w:val="none" w:sz="0" w:space="0" w:color="auto"/>
        <w:bottom w:val="none" w:sz="0" w:space="0" w:color="auto"/>
        <w:right w:val="none" w:sz="0" w:space="0" w:color="auto"/>
      </w:divBdr>
    </w:div>
    <w:div w:id="1325430944">
      <w:bodyDiv w:val="1"/>
      <w:marLeft w:val="0"/>
      <w:marRight w:val="0"/>
      <w:marTop w:val="0"/>
      <w:marBottom w:val="0"/>
      <w:divBdr>
        <w:top w:val="none" w:sz="0" w:space="0" w:color="auto"/>
        <w:left w:val="none" w:sz="0" w:space="0" w:color="auto"/>
        <w:bottom w:val="none" w:sz="0" w:space="0" w:color="auto"/>
        <w:right w:val="none" w:sz="0" w:space="0" w:color="auto"/>
      </w:divBdr>
    </w:div>
    <w:div w:id="1348870839">
      <w:bodyDiv w:val="1"/>
      <w:marLeft w:val="0"/>
      <w:marRight w:val="0"/>
      <w:marTop w:val="0"/>
      <w:marBottom w:val="0"/>
      <w:divBdr>
        <w:top w:val="none" w:sz="0" w:space="0" w:color="auto"/>
        <w:left w:val="none" w:sz="0" w:space="0" w:color="auto"/>
        <w:bottom w:val="none" w:sz="0" w:space="0" w:color="auto"/>
        <w:right w:val="none" w:sz="0" w:space="0" w:color="auto"/>
      </w:divBdr>
    </w:div>
    <w:div w:id="1371566874">
      <w:bodyDiv w:val="1"/>
      <w:marLeft w:val="0"/>
      <w:marRight w:val="0"/>
      <w:marTop w:val="0"/>
      <w:marBottom w:val="0"/>
      <w:divBdr>
        <w:top w:val="none" w:sz="0" w:space="0" w:color="auto"/>
        <w:left w:val="none" w:sz="0" w:space="0" w:color="auto"/>
        <w:bottom w:val="none" w:sz="0" w:space="0" w:color="auto"/>
        <w:right w:val="none" w:sz="0" w:space="0" w:color="auto"/>
      </w:divBdr>
    </w:div>
    <w:div w:id="1447966437">
      <w:bodyDiv w:val="1"/>
      <w:marLeft w:val="0"/>
      <w:marRight w:val="0"/>
      <w:marTop w:val="0"/>
      <w:marBottom w:val="0"/>
      <w:divBdr>
        <w:top w:val="none" w:sz="0" w:space="0" w:color="auto"/>
        <w:left w:val="none" w:sz="0" w:space="0" w:color="auto"/>
        <w:bottom w:val="none" w:sz="0" w:space="0" w:color="auto"/>
        <w:right w:val="none" w:sz="0" w:space="0" w:color="auto"/>
      </w:divBdr>
    </w:div>
    <w:div w:id="1454405458">
      <w:bodyDiv w:val="1"/>
      <w:marLeft w:val="0"/>
      <w:marRight w:val="0"/>
      <w:marTop w:val="0"/>
      <w:marBottom w:val="0"/>
      <w:divBdr>
        <w:top w:val="none" w:sz="0" w:space="0" w:color="auto"/>
        <w:left w:val="none" w:sz="0" w:space="0" w:color="auto"/>
        <w:bottom w:val="none" w:sz="0" w:space="0" w:color="auto"/>
        <w:right w:val="none" w:sz="0" w:space="0" w:color="auto"/>
      </w:divBdr>
    </w:div>
    <w:div w:id="1484197478">
      <w:bodyDiv w:val="1"/>
      <w:marLeft w:val="0"/>
      <w:marRight w:val="0"/>
      <w:marTop w:val="0"/>
      <w:marBottom w:val="0"/>
      <w:divBdr>
        <w:top w:val="none" w:sz="0" w:space="0" w:color="auto"/>
        <w:left w:val="none" w:sz="0" w:space="0" w:color="auto"/>
        <w:bottom w:val="none" w:sz="0" w:space="0" w:color="auto"/>
        <w:right w:val="none" w:sz="0" w:space="0" w:color="auto"/>
      </w:divBdr>
    </w:div>
    <w:div w:id="1512180523">
      <w:bodyDiv w:val="1"/>
      <w:marLeft w:val="0"/>
      <w:marRight w:val="0"/>
      <w:marTop w:val="0"/>
      <w:marBottom w:val="0"/>
      <w:divBdr>
        <w:top w:val="none" w:sz="0" w:space="0" w:color="auto"/>
        <w:left w:val="none" w:sz="0" w:space="0" w:color="auto"/>
        <w:bottom w:val="none" w:sz="0" w:space="0" w:color="auto"/>
        <w:right w:val="none" w:sz="0" w:space="0" w:color="auto"/>
      </w:divBdr>
    </w:div>
    <w:div w:id="1556118022">
      <w:bodyDiv w:val="1"/>
      <w:marLeft w:val="0"/>
      <w:marRight w:val="0"/>
      <w:marTop w:val="0"/>
      <w:marBottom w:val="0"/>
      <w:divBdr>
        <w:top w:val="none" w:sz="0" w:space="0" w:color="auto"/>
        <w:left w:val="none" w:sz="0" w:space="0" w:color="auto"/>
        <w:bottom w:val="none" w:sz="0" w:space="0" w:color="auto"/>
        <w:right w:val="none" w:sz="0" w:space="0" w:color="auto"/>
      </w:divBdr>
    </w:div>
    <w:div w:id="1579166724">
      <w:bodyDiv w:val="1"/>
      <w:marLeft w:val="0"/>
      <w:marRight w:val="0"/>
      <w:marTop w:val="0"/>
      <w:marBottom w:val="0"/>
      <w:divBdr>
        <w:top w:val="none" w:sz="0" w:space="0" w:color="auto"/>
        <w:left w:val="none" w:sz="0" w:space="0" w:color="auto"/>
        <w:bottom w:val="none" w:sz="0" w:space="0" w:color="auto"/>
        <w:right w:val="none" w:sz="0" w:space="0" w:color="auto"/>
      </w:divBdr>
    </w:div>
    <w:div w:id="1598296376">
      <w:bodyDiv w:val="1"/>
      <w:marLeft w:val="0"/>
      <w:marRight w:val="0"/>
      <w:marTop w:val="0"/>
      <w:marBottom w:val="0"/>
      <w:divBdr>
        <w:top w:val="none" w:sz="0" w:space="0" w:color="auto"/>
        <w:left w:val="none" w:sz="0" w:space="0" w:color="auto"/>
        <w:bottom w:val="none" w:sz="0" w:space="0" w:color="auto"/>
        <w:right w:val="none" w:sz="0" w:space="0" w:color="auto"/>
      </w:divBdr>
    </w:div>
    <w:div w:id="1628854244">
      <w:bodyDiv w:val="1"/>
      <w:marLeft w:val="0"/>
      <w:marRight w:val="0"/>
      <w:marTop w:val="0"/>
      <w:marBottom w:val="0"/>
      <w:divBdr>
        <w:top w:val="none" w:sz="0" w:space="0" w:color="auto"/>
        <w:left w:val="none" w:sz="0" w:space="0" w:color="auto"/>
        <w:bottom w:val="none" w:sz="0" w:space="0" w:color="auto"/>
        <w:right w:val="none" w:sz="0" w:space="0" w:color="auto"/>
      </w:divBdr>
    </w:div>
    <w:div w:id="1658067781">
      <w:bodyDiv w:val="1"/>
      <w:marLeft w:val="0"/>
      <w:marRight w:val="0"/>
      <w:marTop w:val="0"/>
      <w:marBottom w:val="0"/>
      <w:divBdr>
        <w:top w:val="none" w:sz="0" w:space="0" w:color="auto"/>
        <w:left w:val="none" w:sz="0" w:space="0" w:color="auto"/>
        <w:bottom w:val="none" w:sz="0" w:space="0" w:color="auto"/>
        <w:right w:val="none" w:sz="0" w:space="0" w:color="auto"/>
      </w:divBdr>
    </w:div>
    <w:div w:id="1667442854">
      <w:bodyDiv w:val="1"/>
      <w:marLeft w:val="0"/>
      <w:marRight w:val="0"/>
      <w:marTop w:val="0"/>
      <w:marBottom w:val="0"/>
      <w:divBdr>
        <w:top w:val="none" w:sz="0" w:space="0" w:color="auto"/>
        <w:left w:val="none" w:sz="0" w:space="0" w:color="auto"/>
        <w:bottom w:val="none" w:sz="0" w:space="0" w:color="auto"/>
        <w:right w:val="none" w:sz="0" w:space="0" w:color="auto"/>
      </w:divBdr>
    </w:div>
    <w:div w:id="1713991570">
      <w:bodyDiv w:val="1"/>
      <w:marLeft w:val="0"/>
      <w:marRight w:val="0"/>
      <w:marTop w:val="0"/>
      <w:marBottom w:val="0"/>
      <w:divBdr>
        <w:top w:val="none" w:sz="0" w:space="0" w:color="auto"/>
        <w:left w:val="none" w:sz="0" w:space="0" w:color="auto"/>
        <w:bottom w:val="none" w:sz="0" w:space="0" w:color="auto"/>
        <w:right w:val="none" w:sz="0" w:space="0" w:color="auto"/>
      </w:divBdr>
    </w:div>
    <w:div w:id="1723941015">
      <w:bodyDiv w:val="1"/>
      <w:marLeft w:val="0"/>
      <w:marRight w:val="0"/>
      <w:marTop w:val="0"/>
      <w:marBottom w:val="0"/>
      <w:divBdr>
        <w:top w:val="none" w:sz="0" w:space="0" w:color="auto"/>
        <w:left w:val="none" w:sz="0" w:space="0" w:color="auto"/>
        <w:bottom w:val="none" w:sz="0" w:space="0" w:color="auto"/>
        <w:right w:val="none" w:sz="0" w:space="0" w:color="auto"/>
      </w:divBdr>
    </w:div>
    <w:div w:id="1725791694">
      <w:bodyDiv w:val="1"/>
      <w:marLeft w:val="0"/>
      <w:marRight w:val="0"/>
      <w:marTop w:val="0"/>
      <w:marBottom w:val="0"/>
      <w:divBdr>
        <w:top w:val="none" w:sz="0" w:space="0" w:color="auto"/>
        <w:left w:val="none" w:sz="0" w:space="0" w:color="auto"/>
        <w:bottom w:val="none" w:sz="0" w:space="0" w:color="auto"/>
        <w:right w:val="none" w:sz="0" w:space="0" w:color="auto"/>
      </w:divBdr>
      <w:divsChild>
        <w:div w:id="1120998928">
          <w:marLeft w:val="0"/>
          <w:marRight w:val="0"/>
          <w:marTop w:val="0"/>
          <w:marBottom w:val="0"/>
          <w:divBdr>
            <w:top w:val="none" w:sz="0" w:space="0" w:color="auto"/>
            <w:left w:val="none" w:sz="0" w:space="0" w:color="auto"/>
            <w:bottom w:val="none" w:sz="0" w:space="0" w:color="auto"/>
            <w:right w:val="none" w:sz="0" w:space="0" w:color="auto"/>
          </w:divBdr>
          <w:divsChild>
            <w:div w:id="2090734285">
              <w:marLeft w:val="0"/>
              <w:marRight w:val="0"/>
              <w:marTop w:val="0"/>
              <w:marBottom w:val="0"/>
              <w:divBdr>
                <w:top w:val="none" w:sz="0" w:space="0" w:color="auto"/>
                <w:left w:val="none" w:sz="0" w:space="0" w:color="auto"/>
                <w:bottom w:val="none" w:sz="0" w:space="0" w:color="auto"/>
                <w:right w:val="none" w:sz="0" w:space="0" w:color="auto"/>
              </w:divBdr>
              <w:divsChild>
                <w:div w:id="1715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7691">
      <w:bodyDiv w:val="1"/>
      <w:marLeft w:val="0"/>
      <w:marRight w:val="0"/>
      <w:marTop w:val="0"/>
      <w:marBottom w:val="0"/>
      <w:divBdr>
        <w:top w:val="none" w:sz="0" w:space="0" w:color="auto"/>
        <w:left w:val="none" w:sz="0" w:space="0" w:color="auto"/>
        <w:bottom w:val="none" w:sz="0" w:space="0" w:color="auto"/>
        <w:right w:val="none" w:sz="0" w:space="0" w:color="auto"/>
      </w:divBdr>
    </w:div>
    <w:div w:id="1815567228">
      <w:bodyDiv w:val="1"/>
      <w:marLeft w:val="0"/>
      <w:marRight w:val="0"/>
      <w:marTop w:val="0"/>
      <w:marBottom w:val="0"/>
      <w:divBdr>
        <w:top w:val="none" w:sz="0" w:space="0" w:color="auto"/>
        <w:left w:val="none" w:sz="0" w:space="0" w:color="auto"/>
        <w:bottom w:val="none" w:sz="0" w:space="0" w:color="auto"/>
        <w:right w:val="none" w:sz="0" w:space="0" w:color="auto"/>
      </w:divBdr>
      <w:divsChild>
        <w:div w:id="538783563">
          <w:marLeft w:val="0"/>
          <w:marRight w:val="0"/>
          <w:marTop w:val="0"/>
          <w:marBottom w:val="0"/>
          <w:divBdr>
            <w:top w:val="none" w:sz="0" w:space="0" w:color="auto"/>
            <w:left w:val="none" w:sz="0" w:space="0" w:color="auto"/>
            <w:bottom w:val="none" w:sz="0" w:space="0" w:color="auto"/>
            <w:right w:val="none" w:sz="0" w:space="0" w:color="auto"/>
          </w:divBdr>
          <w:divsChild>
            <w:div w:id="826752192">
              <w:marLeft w:val="0"/>
              <w:marRight w:val="0"/>
              <w:marTop w:val="0"/>
              <w:marBottom w:val="0"/>
              <w:divBdr>
                <w:top w:val="none" w:sz="0" w:space="0" w:color="auto"/>
                <w:left w:val="none" w:sz="0" w:space="0" w:color="auto"/>
                <w:bottom w:val="none" w:sz="0" w:space="0" w:color="auto"/>
                <w:right w:val="none" w:sz="0" w:space="0" w:color="auto"/>
              </w:divBdr>
              <w:divsChild>
                <w:div w:id="635991850">
                  <w:marLeft w:val="0"/>
                  <w:marRight w:val="0"/>
                  <w:marTop w:val="0"/>
                  <w:marBottom w:val="0"/>
                  <w:divBdr>
                    <w:top w:val="none" w:sz="0" w:space="0" w:color="auto"/>
                    <w:left w:val="none" w:sz="0" w:space="0" w:color="auto"/>
                    <w:bottom w:val="none" w:sz="0" w:space="0" w:color="auto"/>
                    <w:right w:val="none" w:sz="0" w:space="0" w:color="auto"/>
                  </w:divBdr>
                  <w:divsChild>
                    <w:div w:id="6242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3359">
      <w:bodyDiv w:val="1"/>
      <w:marLeft w:val="0"/>
      <w:marRight w:val="0"/>
      <w:marTop w:val="0"/>
      <w:marBottom w:val="0"/>
      <w:divBdr>
        <w:top w:val="none" w:sz="0" w:space="0" w:color="auto"/>
        <w:left w:val="none" w:sz="0" w:space="0" w:color="auto"/>
        <w:bottom w:val="none" w:sz="0" w:space="0" w:color="auto"/>
        <w:right w:val="none" w:sz="0" w:space="0" w:color="auto"/>
      </w:divBdr>
    </w:div>
    <w:div w:id="1838030169">
      <w:bodyDiv w:val="1"/>
      <w:marLeft w:val="0"/>
      <w:marRight w:val="0"/>
      <w:marTop w:val="0"/>
      <w:marBottom w:val="0"/>
      <w:divBdr>
        <w:top w:val="none" w:sz="0" w:space="0" w:color="auto"/>
        <w:left w:val="none" w:sz="0" w:space="0" w:color="auto"/>
        <w:bottom w:val="none" w:sz="0" w:space="0" w:color="auto"/>
        <w:right w:val="none" w:sz="0" w:space="0" w:color="auto"/>
      </w:divBdr>
    </w:div>
    <w:div w:id="1868372841">
      <w:bodyDiv w:val="1"/>
      <w:marLeft w:val="0"/>
      <w:marRight w:val="0"/>
      <w:marTop w:val="0"/>
      <w:marBottom w:val="0"/>
      <w:divBdr>
        <w:top w:val="none" w:sz="0" w:space="0" w:color="auto"/>
        <w:left w:val="none" w:sz="0" w:space="0" w:color="auto"/>
        <w:bottom w:val="none" w:sz="0" w:space="0" w:color="auto"/>
        <w:right w:val="none" w:sz="0" w:space="0" w:color="auto"/>
      </w:divBdr>
    </w:div>
    <w:div w:id="1914387903">
      <w:bodyDiv w:val="1"/>
      <w:marLeft w:val="0"/>
      <w:marRight w:val="0"/>
      <w:marTop w:val="0"/>
      <w:marBottom w:val="0"/>
      <w:divBdr>
        <w:top w:val="none" w:sz="0" w:space="0" w:color="auto"/>
        <w:left w:val="none" w:sz="0" w:space="0" w:color="auto"/>
        <w:bottom w:val="none" w:sz="0" w:space="0" w:color="auto"/>
        <w:right w:val="none" w:sz="0" w:space="0" w:color="auto"/>
      </w:divBdr>
      <w:divsChild>
        <w:div w:id="1939021038">
          <w:marLeft w:val="0"/>
          <w:marRight w:val="0"/>
          <w:marTop w:val="0"/>
          <w:marBottom w:val="319"/>
          <w:divBdr>
            <w:top w:val="none" w:sz="0" w:space="0" w:color="auto"/>
            <w:left w:val="none" w:sz="0" w:space="0" w:color="auto"/>
            <w:bottom w:val="none" w:sz="0" w:space="0" w:color="auto"/>
            <w:right w:val="none" w:sz="0" w:space="0" w:color="auto"/>
          </w:divBdr>
        </w:div>
      </w:divsChild>
    </w:div>
    <w:div w:id="1938247238">
      <w:bodyDiv w:val="1"/>
      <w:marLeft w:val="0"/>
      <w:marRight w:val="0"/>
      <w:marTop w:val="0"/>
      <w:marBottom w:val="0"/>
      <w:divBdr>
        <w:top w:val="none" w:sz="0" w:space="0" w:color="auto"/>
        <w:left w:val="none" w:sz="0" w:space="0" w:color="auto"/>
        <w:bottom w:val="none" w:sz="0" w:space="0" w:color="auto"/>
        <w:right w:val="none" w:sz="0" w:space="0" w:color="auto"/>
      </w:divBdr>
      <w:divsChild>
        <w:div w:id="580407134">
          <w:marLeft w:val="0"/>
          <w:marRight w:val="0"/>
          <w:marTop w:val="0"/>
          <w:marBottom w:val="0"/>
          <w:divBdr>
            <w:top w:val="none" w:sz="0" w:space="0" w:color="auto"/>
            <w:left w:val="none" w:sz="0" w:space="0" w:color="auto"/>
            <w:bottom w:val="none" w:sz="0" w:space="0" w:color="auto"/>
            <w:right w:val="none" w:sz="0" w:space="0" w:color="auto"/>
          </w:divBdr>
        </w:div>
        <w:div w:id="795373841">
          <w:marLeft w:val="0"/>
          <w:marRight w:val="0"/>
          <w:marTop w:val="0"/>
          <w:marBottom w:val="0"/>
          <w:divBdr>
            <w:top w:val="none" w:sz="0" w:space="0" w:color="auto"/>
            <w:left w:val="none" w:sz="0" w:space="0" w:color="auto"/>
            <w:bottom w:val="none" w:sz="0" w:space="0" w:color="auto"/>
            <w:right w:val="none" w:sz="0" w:space="0" w:color="auto"/>
          </w:divBdr>
        </w:div>
        <w:div w:id="900213637">
          <w:marLeft w:val="0"/>
          <w:marRight w:val="0"/>
          <w:marTop w:val="0"/>
          <w:marBottom w:val="0"/>
          <w:divBdr>
            <w:top w:val="none" w:sz="0" w:space="0" w:color="auto"/>
            <w:left w:val="none" w:sz="0" w:space="0" w:color="auto"/>
            <w:bottom w:val="none" w:sz="0" w:space="0" w:color="auto"/>
            <w:right w:val="none" w:sz="0" w:space="0" w:color="auto"/>
          </w:divBdr>
        </w:div>
      </w:divsChild>
    </w:div>
    <w:div w:id="1941376879">
      <w:bodyDiv w:val="1"/>
      <w:marLeft w:val="0"/>
      <w:marRight w:val="0"/>
      <w:marTop w:val="0"/>
      <w:marBottom w:val="0"/>
      <w:divBdr>
        <w:top w:val="none" w:sz="0" w:space="0" w:color="auto"/>
        <w:left w:val="none" w:sz="0" w:space="0" w:color="auto"/>
        <w:bottom w:val="none" w:sz="0" w:space="0" w:color="auto"/>
        <w:right w:val="none" w:sz="0" w:space="0" w:color="auto"/>
      </w:divBdr>
    </w:div>
    <w:div w:id="1976907036">
      <w:bodyDiv w:val="1"/>
      <w:marLeft w:val="0"/>
      <w:marRight w:val="0"/>
      <w:marTop w:val="0"/>
      <w:marBottom w:val="0"/>
      <w:divBdr>
        <w:top w:val="none" w:sz="0" w:space="0" w:color="auto"/>
        <w:left w:val="none" w:sz="0" w:space="0" w:color="auto"/>
        <w:bottom w:val="none" w:sz="0" w:space="0" w:color="auto"/>
        <w:right w:val="none" w:sz="0" w:space="0" w:color="auto"/>
      </w:divBdr>
    </w:div>
    <w:div w:id="1993606022">
      <w:bodyDiv w:val="1"/>
      <w:marLeft w:val="0"/>
      <w:marRight w:val="0"/>
      <w:marTop w:val="0"/>
      <w:marBottom w:val="0"/>
      <w:divBdr>
        <w:top w:val="none" w:sz="0" w:space="0" w:color="auto"/>
        <w:left w:val="none" w:sz="0" w:space="0" w:color="auto"/>
        <w:bottom w:val="none" w:sz="0" w:space="0" w:color="auto"/>
        <w:right w:val="none" w:sz="0" w:space="0" w:color="auto"/>
      </w:divBdr>
    </w:div>
    <w:div w:id="2005040463">
      <w:bodyDiv w:val="1"/>
      <w:marLeft w:val="0"/>
      <w:marRight w:val="0"/>
      <w:marTop w:val="0"/>
      <w:marBottom w:val="0"/>
      <w:divBdr>
        <w:top w:val="none" w:sz="0" w:space="0" w:color="auto"/>
        <w:left w:val="none" w:sz="0" w:space="0" w:color="auto"/>
        <w:bottom w:val="none" w:sz="0" w:space="0" w:color="auto"/>
        <w:right w:val="none" w:sz="0" w:space="0" w:color="auto"/>
      </w:divBdr>
    </w:div>
    <w:div w:id="2016154278">
      <w:bodyDiv w:val="1"/>
      <w:marLeft w:val="0"/>
      <w:marRight w:val="0"/>
      <w:marTop w:val="0"/>
      <w:marBottom w:val="0"/>
      <w:divBdr>
        <w:top w:val="none" w:sz="0" w:space="0" w:color="auto"/>
        <w:left w:val="none" w:sz="0" w:space="0" w:color="auto"/>
        <w:bottom w:val="none" w:sz="0" w:space="0" w:color="auto"/>
        <w:right w:val="none" w:sz="0" w:space="0" w:color="auto"/>
      </w:divBdr>
    </w:div>
    <w:div w:id="2028747664">
      <w:bodyDiv w:val="1"/>
      <w:marLeft w:val="0"/>
      <w:marRight w:val="0"/>
      <w:marTop w:val="0"/>
      <w:marBottom w:val="0"/>
      <w:divBdr>
        <w:top w:val="none" w:sz="0" w:space="0" w:color="auto"/>
        <w:left w:val="none" w:sz="0" w:space="0" w:color="auto"/>
        <w:bottom w:val="none" w:sz="0" w:space="0" w:color="auto"/>
        <w:right w:val="none" w:sz="0" w:space="0" w:color="auto"/>
      </w:divBdr>
    </w:div>
    <w:div w:id="2044397278">
      <w:bodyDiv w:val="1"/>
      <w:marLeft w:val="0"/>
      <w:marRight w:val="0"/>
      <w:marTop w:val="0"/>
      <w:marBottom w:val="0"/>
      <w:divBdr>
        <w:top w:val="none" w:sz="0" w:space="0" w:color="auto"/>
        <w:left w:val="none" w:sz="0" w:space="0" w:color="auto"/>
        <w:bottom w:val="none" w:sz="0" w:space="0" w:color="auto"/>
        <w:right w:val="none" w:sz="0" w:space="0" w:color="auto"/>
      </w:divBdr>
    </w:div>
    <w:div w:id="2048138565">
      <w:bodyDiv w:val="1"/>
      <w:marLeft w:val="0"/>
      <w:marRight w:val="0"/>
      <w:marTop w:val="0"/>
      <w:marBottom w:val="0"/>
      <w:divBdr>
        <w:top w:val="none" w:sz="0" w:space="0" w:color="auto"/>
        <w:left w:val="none" w:sz="0" w:space="0" w:color="auto"/>
        <w:bottom w:val="none" w:sz="0" w:space="0" w:color="auto"/>
        <w:right w:val="none" w:sz="0" w:space="0" w:color="auto"/>
      </w:divBdr>
    </w:div>
    <w:div w:id="2107920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ianreece@doctors.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42CE3-AC36-6A4F-ADE9-649ED37B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6582</Words>
  <Characters>37520</Characters>
  <Application>Microsoft Macintosh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44014</CharactersWithSpaces>
  <SharedDoc>false</SharedDoc>
  <HLinks>
    <vt:vector size="12" baseType="variant">
      <vt:variant>
        <vt:i4>6553723</vt:i4>
      </vt:variant>
      <vt:variant>
        <vt:i4>0</vt:i4>
      </vt:variant>
      <vt:variant>
        <vt:i4>0</vt:i4>
      </vt:variant>
      <vt:variant>
        <vt:i4>5</vt:i4>
      </vt:variant>
      <vt:variant>
        <vt:lpwstr>mailto:sianreece@doctors.org.uk</vt:lpwstr>
      </vt:variant>
      <vt:variant>
        <vt:lpwstr/>
      </vt:variant>
      <vt:variant>
        <vt:i4>3866644</vt:i4>
      </vt:variant>
      <vt:variant>
        <vt:i4>0</vt:i4>
      </vt:variant>
      <vt:variant>
        <vt:i4>0</vt:i4>
      </vt:variant>
      <vt:variant>
        <vt:i4>5</vt:i4>
      </vt:variant>
      <vt:variant>
        <vt:lpwstr>http://www.who.int/whr/2002/chapter2/en/index6.html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Reece-Loram</dc:creator>
  <cp:lastModifiedBy>Sian Reece-Loram</cp:lastModifiedBy>
  <cp:revision>2</cp:revision>
  <dcterms:created xsi:type="dcterms:W3CDTF">2018-07-03T09:56:00Z</dcterms:created>
  <dcterms:modified xsi:type="dcterms:W3CDTF">2018-07-03T09:56:00Z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ce64c1a8-ad14-380e-98ef-c2cdbcade57b</vt:lpwstr>
  </property>
  <property fmtid="{D5CDD505-2E9C-101B-9397-08002B2CF9AE}" pid="4" name="Mendeley Citation Style_1">
    <vt:lpwstr>http://www.zotero.org/styles/the-lancet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7th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http://www.zotero.org/styles/the-lancet</vt:lpwstr>
  </property>
  <property fmtid="{D5CDD505-2E9C-101B-9397-08002B2CF9AE}" pid="20" name="Mendeley Recent Style Name 7_1">
    <vt:lpwstr>The Lancet</vt:lpwstr>
  </property>
  <property fmtid="{D5CDD505-2E9C-101B-9397-08002B2CF9AE}" pid="21" name="Mendeley Recent Style Id 8_1">
    <vt:lpwstr>http://www.zotero.org/styles/harvard-university-of-leeds</vt:lpwstr>
  </property>
  <property fmtid="{D5CDD505-2E9C-101B-9397-08002B2CF9AE}" pid="22" name="Mendeley Recent Style Name 8_1">
    <vt:lpwstr>University of Leeds - Harvard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