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8253F8" w14:textId="77777777" w:rsidR="00C84E63" w:rsidRPr="0031181D" w:rsidRDefault="007F6E61">
      <w:pPr>
        <w:spacing w:line="480" w:lineRule="auto"/>
        <w:ind w:firstLine="720"/>
        <w:jc w:val="center"/>
        <w:rPr>
          <w:rFonts w:eastAsia="Songti TC Regular"/>
          <w:color w:val="000000" w:themeColor="text1"/>
        </w:rPr>
      </w:pPr>
      <w:bookmarkStart w:id="0" w:name="_GoBack"/>
      <w:bookmarkEnd w:id="0"/>
      <w:r w:rsidRPr="0031181D">
        <w:rPr>
          <w:rFonts w:eastAsia="Songti TC Regular"/>
          <w:b/>
          <w:color w:val="000000" w:themeColor="text1"/>
        </w:rPr>
        <w:t>Settlement, Landscape and Narrative: What Really Happened in History</w:t>
      </w:r>
    </w:p>
    <w:p w14:paraId="35DC2AC9" w14:textId="77777777" w:rsidR="00C84E63" w:rsidRPr="0031181D" w:rsidRDefault="007F6E61">
      <w:pPr>
        <w:spacing w:line="480" w:lineRule="auto"/>
        <w:ind w:firstLine="720"/>
        <w:jc w:val="center"/>
        <w:rPr>
          <w:rFonts w:eastAsia="Songti TC Regular"/>
          <w:b/>
          <w:color w:val="000000" w:themeColor="text1"/>
        </w:rPr>
      </w:pPr>
      <w:r w:rsidRPr="0031181D">
        <w:rPr>
          <w:rFonts w:eastAsia="Songti TC Regular"/>
          <w:b/>
          <w:color w:val="000000" w:themeColor="text1"/>
        </w:rPr>
        <w:t>Conrad Leyser, Naomi Standen, Stephanie Wynne-Jones</w:t>
      </w:r>
    </w:p>
    <w:p w14:paraId="5A6224C1" w14:textId="77777777" w:rsidR="00C84E63" w:rsidRPr="0031181D" w:rsidRDefault="00C84E63">
      <w:pPr>
        <w:spacing w:line="480" w:lineRule="auto"/>
        <w:ind w:firstLine="720"/>
        <w:rPr>
          <w:rFonts w:eastAsia="Songti TC Regular"/>
          <w:color w:val="000000" w:themeColor="text1"/>
        </w:rPr>
      </w:pPr>
    </w:p>
    <w:p w14:paraId="0228E1C0" w14:textId="77777777" w:rsidR="00C84E63" w:rsidRPr="0031181D" w:rsidRDefault="007F6E61">
      <w:pPr>
        <w:spacing w:line="480" w:lineRule="auto"/>
        <w:ind w:left="720" w:right="720"/>
        <w:rPr>
          <w:rFonts w:eastAsia="Songti TC Regular"/>
          <w:color w:val="000000" w:themeColor="text1"/>
        </w:rPr>
      </w:pPr>
      <w:r w:rsidRPr="0031181D">
        <w:rPr>
          <w:rFonts w:eastAsia="Songti TC Regular"/>
          <w:color w:val="000000" w:themeColor="text1"/>
        </w:rPr>
        <w:t xml:space="preserve">And the Lord set a mark upon Cain, lest any finding him should kill him. And Cain went out from the presence of the Lord, and dwelt in the land of Nod, on the east of Eden. And Cain knew his wife; and she conceived, and bare Enoch: and he builded a city, and called the name of the city, after the name of his son, Enoch. </w:t>
      </w:r>
    </w:p>
    <w:p w14:paraId="756929DC"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Genesis 4: 15-17</w:t>
      </w:r>
    </w:p>
    <w:p w14:paraId="5E77D615" w14:textId="77777777" w:rsidR="00C84E63" w:rsidRPr="0031181D" w:rsidRDefault="00C84E63">
      <w:pPr>
        <w:spacing w:line="480" w:lineRule="auto"/>
        <w:ind w:firstLine="720"/>
        <w:rPr>
          <w:rFonts w:eastAsia="Songti TC Regular"/>
          <w:color w:val="000000" w:themeColor="text1"/>
        </w:rPr>
      </w:pPr>
    </w:p>
    <w:p w14:paraId="365CC975"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Some seventy years ago, in his </w:t>
      </w:r>
      <w:r w:rsidRPr="0031181D">
        <w:rPr>
          <w:rFonts w:eastAsia="Songti TC Regular"/>
          <w:i/>
          <w:color w:val="000000" w:themeColor="text1"/>
        </w:rPr>
        <w:t>What Happened in History</w:t>
      </w:r>
      <w:r w:rsidRPr="0031181D">
        <w:rPr>
          <w:rFonts w:eastAsia="Songti TC Regular"/>
          <w:color w:val="000000" w:themeColor="text1"/>
        </w:rPr>
        <w:t>, the archaeologist Gordon Childe proposed a model for the development of complex societies originating in the Fertile Crescent</w:t>
      </w:r>
      <w:r w:rsidR="009915CC" w:rsidRPr="0031181D">
        <w:rPr>
          <w:rFonts w:eastAsia="Songti TC Regular"/>
          <w:color w:val="000000" w:themeColor="text1"/>
        </w:rPr>
        <w:t xml:space="preserve"> (Map 6)</w:t>
      </w:r>
      <w:r w:rsidRPr="0031181D">
        <w:rPr>
          <w:rFonts w:eastAsia="Songti TC Regular"/>
          <w:color w:val="000000" w:themeColor="text1"/>
        </w:rPr>
        <w:t>.</w:t>
      </w:r>
      <w:r w:rsidR="008F44DB" w:rsidRPr="0031181D">
        <w:rPr>
          <w:rStyle w:val="FootnoteReference"/>
          <w:rFonts w:eastAsia="Songti TC Regular"/>
          <w:color w:val="000000" w:themeColor="text1"/>
        </w:rPr>
        <w:footnoteReference w:id="1"/>
      </w:r>
      <w:r w:rsidRPr="0031181D">
        <w:rPr>
          <w:rFonts w:eastAsia="Songti TC Regular"/>
          <w:color w:val="000000" w:themeColor="text1"/>
        </w:rPr>
        <w:t xml:space="preserve"> Four millennia ago, in the Tigris-Euphrates delta, an area ‘no larger than Denmark’, temple priests began systematically to organize farmers to produce a surplus of food. The land was so fertile ‘it could be made a garden of Eden.’ Thus liberated from agricultural production, these priestly castes and their elite peers gathered to live in cities; the rest of the population (80-90%) remained at work on the land. We know all this thanks to the survival of the clay tablets on which the priests recorded the grain renders of the labouring </w:t>
      </w:r>
      <w:r w:rsidRPr="0031181D">
        <w:rPr>
          <w:rFonts w:eastAsia="Songti TC Regular"/>
          <w:color w:val="000000" w:themeColor="text1"/>
        </w:rPr>
        <w:lastRenderedPageBreak/>
        <w:t>peasantry. What Childe called ‘the urban revolution’ is thus co-terminous with the beginning of recorded history.</w:t>
      </w:r>
      <w:r w:rsidRPr="0031181D">
        <w:rPr>
          <w:rFonts w:eastAsia="Songti TC Regular"/>
          <w:color w:val="000000" w:themeColor="text1"/>
          <w:vertAlign w:val="superscript"/>
        </w:rPr>
        <w:footnoteReference w:id="2"/>
      </w:r>
      <w:r w:rsidRPr="0031181D">
        <w:rPr>
          <w:rFonts w:eastAsia="Songti TC Regular"/>
          <w:color w:val="000000" w:themeColor="text1"/>
        </w:rPr>
        <w:t xml:space="preserve"> </w:t>
      </w:r>
    </w:p>
    <w:p w14:paraId="20A9619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This origin story for the development of civilization is supported by narrative sources. In its opening chapters, the Book of Genesis, committed to writing in the sixth century BCE, tells a ‘just so’ story: how humans moved from a hunter-gatherer mode of subsistence — foraging at will in the garden of Eden — to one based on agriculture and the sweat of the brow. Abel is ‘a keeper of sheep’, Cain ‘a tiller of the ground’ (Gen. 4: 2). </w:t>
      </w:r>
      <w:r w:rsidRPr="0031181D">
        <w:rPr>
          <w:rFonts w:eastAsia="Songti TC Regular"/>
          <w:i/>
          <w:color w:val="000000" w:themeColor="text1"/>
        </w:rPr>
        <w:t>Mutatis mutandis</w:t>
      </w:r>
      <w:r w:rsidRPr="0031181D">
        <w:rPr>
          <w:rFonts w:eastAsia="Songti TC Regular"/>
          <w:color w:val="000000" w:themeColor="text1"/>
        </w:rPr>
        <w:t>, the same concerns are present in the still more ancient Mesopotamian narrative (whose earliest written traces date to c. 1800 BCE), the Epic of Gilgamesh. For Cain and Abel, read here Gilgamesh, king of Uruk, a city on the Euphrates, and the wild man Enkidu who grazes with cattle. They are not brothers, and their relationship is not a simple story of competition — but it ends the same way, with the death of the pastoralist. Pastoralists and hunter-gatherers are elided here as mobile, uncivilized peoples, opposed to the sedentary lifestyle epitomised by early agriculturalists. The future belongs to the city and the social order it represents.</w:t>
      </w:r>
      <w:r w:rsidRPr="0031181D">
        <w:rPr>
          <w:rFonts w:eastAsia="Songti TC Regular"/>
          <w:color w:val="000000" w:themeColor="text1"/>
          <w:vertAlign w:val="superscript"/>
        </w:rPr>
        <w:footnoteReference w:id="3"/>
      </w:r>
      <w:r w:rsidRPr="0031181D">
        <w:rPr>
          <w:rFonts w:eastAsia="Songti TC Regular"/>
          <w:color w:val="000000" w:themeColor="text1"/>
        </w:rPr>
        <w:t xml:space="preserve"> </w:t>
      </w:r>
    </w:p>
    <w:p w14:paraId="1D11169A" w14:textId="67328F95" w:rsidR="00C84E63" w:rsidRPr="0031181D" w:rsidRDefault="007F6E61" w:rsidP="009847BB">
      <w:pPr>
        <w:spacing w:line="480" w:lineRule="auto"/>
        <w:ind w:firstLine="720"/>
        <w:rPr>
          <w:rFonts w:eastAsia="Songti TC Regular"/>
          <w:color w:val="000000" w:themeColor="text1"/>
        </w:rPr>
      </w:pPr>
      <w:r w:rsidRPr="0031181D">
        <w:rPr>
          <w:rFonts w:eastAsia="Songti TC Regular"/>
          <w:color w:val="000000" w:themeColor="text1"/>
        </w:rPr>
        <w:t>This Mesopotamian model of the development of what Marshall Hodgson called, tautologically,</w:t>
      </w:r>
      <w:r w:rsidR="00A072C4" w:rsidRPr="0031181D">
        <w:rPr>
          <w:rFonts w:eastAsia="Songti TC Regular"/>
          <w:color w:val="000000" w:themeColor="text1"/>
        </w:rPr>
        <w:t xml:space="preserve"> </w:t>
      </w:r>
      <w:r w:rsidRPr="0031181D">
        <w:rPr>
          <w:rFonts w:eastAsia="Songti TC Regular"/>
          <w:color w:val="000000" w:themeColor="text1"/>
        </w:rPr>
        <w:t>‘citied civilization’ has been interpretatively ‘rolled out’ across Eurasia.</w:t>
      </w:r>
      <w:r w:rsidRPr="0031181D">
        <w:rPr>
          <w:rFonts w:eastAsia="Songti TC Regular"/>
          <w:color w:val="000000" w:themeColor="text1"/>
          <w:vertAlign w:val="superscript"/>
        </w:rPr>
        <w:footnoteReference w:id="4"/>
      </w:r>
      <w:r w:rsidRPr="0031181D">
        <w:rPr>
          <w:rFonts w:eastAsia="Songti TC Regular"/>
          <w:color w:val="000000" w:themeColor="text1"/>
        </w:rPr>
        <w:t xml:space="preserve"> </w:t>
      </w:r>
      <w:r w:rsidR="009847BB" w:rsidRPr="0031181D">
        <w:rPr>
          <w:rFonts w:eastAsia="Songti TC Regular"/>
          <w:color w:val="000000" w:themeColor="text1"/>
        </w:rPr>
        <w:t xml:space="preserve">It is ‘the standard narrative’ that </w:t>
      </w:r>
      <w:r w:rsidR="00DA4126" w:rsidRPr="0031181D">
        <w:rPr>
          <w:rFonts w:eastAsia="Songti TC Regular"/>
          <w:color w:val="000000" w:themeColor="text1"/>
        </w:rPr>
        <w:t xml:space="preserve">James Scott’s recent reimagining of </w:t>
      </w:r>
      <w:r w:rsidR="00005E52" w:rsidRPr="0031181D">
        <w:rPr>
          <w:rFonts w:eastAsia="Songti TC Regular"/>
          <w:color w:val="000000" w:themeColor="text1"/>
        </w:rPr>
        <w:t xml:space="preserve">Mesopotamian </w:t>
      </w:r>
      <w:r w:rsidR="00DA4126" w:rsidRPr="0031181D">
        <w:rPr>
          <w:rFonts w:eastAsia="Songti TC Regular"/>
          <w:color w:val="000000" w:themeColor="text1"/>
        </w:rPr>
        <w:t>state</w:t>
      </w:r>
      <w:r w:rsidR="00005E52" w:rsidRPr="0031181D">
        <w:rPr>
          <w:rFonts w:eastAsia="Songti TC Regular"/>
          <w:color w:val="000000" w:themeColor="text1"/>
        </w:rPr>
        <w:t xml:space="preserve"> formation</w:t>
      </w:r>
      <w:r w:rsidR="00DA4126" w:rsidRPr="0031181D">
        <w:rPr>
          <w:rFonts w:eastAsia="Songti TC Regular"/>
          <w:color w:val="000000" w:themeColor="text1"/>
        </w:rPr>
        <w:t xml:space="preserve"> attempts to disrupt.</w:t>
      </w:r>
      <w:r w:rsidR="00DA4126" w:rsidRPr="0031181D">
        <w:rPr>
          <w:rStyle w:val="FootnoteReference"/>
          <w:rFonts w:eastAsia="Songti TC Regular"/>
          <w:color w:val="000000" w:themeColor="text1"/>
        </w:rPr>
        <w:footnoteReference w:id="5"/>
      </w:r>
      <w:r w:rsidR="00DA4126" w:rsidRPr="0031181D">
        <w:rPr>
          <w:rFonts w:eastAsia="Songti TC Regular"/>
          <w:color w:val="000000" w:themeColor="text1"/>
        </w:rPr>
        <w:t xml:space="preserve"> </w:t>
      </w:r>
      <w:r w:rsidR="009847BB" w:rsidRPr="0031181D">
        <w:rPr>
          <w:rFonts w:eastAsia="Songti TC Regular"/>
          <w:color w:val="000000" w:themeColor="text1"/>
        </w:rPr>
        <w:t>Scott</w:t>
      </w:r>
      <w:r w:rsidR="003A7C16" w:rsidRPr="0031181D">
        <w:rPr>
          <w:rFonts w:eastAsia="Songti TC Regular"/>
          <w:color w:val="000000" w:themeColor="text1"/>
        </w:rPr>
        <w:t xml:space="preserve"> is not the first to</w:t>
      </w:r>
      <w:r w:rsidR="009268EA" w:rsidRPr="0031181D">
        <w:rPr>
          <w:rFonts w:eastAsia="Songti TC Regular"/>
          <w:color w:val="000000" w:themeColor="text1"/>
        </w:rPr>
        <w:t xml:space="preserve"> point to the long heritage of the civilizational narrative in western European thought. </w:t>
      </w:r>
      <w:r w:rsidRPr="0031181D">
        <w:rPr>
          <w:rFonts w:eastAsia="Songti TC Regular"/>
          <w:color w:val="000000" w:themeColor="text1"/>
        </w:rPr>
        <w:t>Drawing on a shared, biblical plotline, scholars have posited a transformative move to urban life in very different chronological periods and geographical areas: our concern here is with the medieval iteration.</w:t>
      </w:r>
      <w:r w:rsidRPr="0031181D">
        <w:rPr>
          <w:rFonts w:eastAsia="Songti TC Regular"/>
          <w:color w:val="000000" w:themeColor="text1"/>
          <w:vertAlign w:val="superscript"/>
        </w:rPr>
        <w:footnoteReference w:id="6"/>
      </w:r>
      <w:r w:rsidRPr="0031181D">
        <w:rPr>
          <w:rFonts w:eastAsia="Songti TC Regular"/>
          <w:color w:val="000000" w:themeColor="text1"/>
        </w:rPr>
        <w:t xml:space="preserve"> It has been argued powerfully that, at the end of the first millennium CE, we can see the playing out of Childe’s ‘urban revolution’ in three theatres: southern China, Mesopotamia, and north west Europe. The scenario here is that the collapse of ancient empires across Eurasia </w:t>
      </w:r>
      <w:r w:rsidR="0091168A" w:rsidRPr="0031181D">
        <w:rPr>
          <w:rFonts w:eastAsia="Songti TC Regular"/>
          <w:color w:val="000000" w:themeColor="text1"/>
        </w:rPr>
        <w:t xml:space="preserve">– </w:t>
      </w:r>
      <w:r w:rsidRPr="0031181D">
        <w:rPr>
          <w:rFonts w:eastAsia="Songti TC Regular"/>
          <w:color w:val="000000" w:themeColor="text1"/>
        </w:rPr>
        <w:t>beginning, perhaps, with the fall of the Han dynasty in the third century, and continuing with the fall of the wes</w:t>
      </w:r>
      <w:r w:rsidR="0091168A" w:rsidRPr="0031181D">
        <w:rPr>
          <w:rFonts w:eastAsia="Songti TC Regular"/>
          <w:color w:val="000000" w:themeColor="text1"/>
        </w:rPr>
        <w:t xml:space="preserve">tern Roman Empire in the fifth – </w:t>
      </w:r>
      <w:r w:rsidRPr="0031181D">
        <w:rPr>
          <w:rFonts w:eastAsia="Songti TC Regular"/>
          <w:color w:val="000000" w:themeColor="text1"/>
        </w:rPr>
        <w:t xml:space="preserve">inaugurated a half millennium of abatement in terms of agrarian production and exploitation. A period of intensification followed, with spectacular results: tenth-century Abbasid Baghdad was the size of nineteenth-century Paris; eighth-century Chang’an </w:t>
      </w:r>
      <w:r w:rsidRPr="0031181D">
        <w:rPr>
          <w:rFonts w:eastAsia="Songti TC Regular"/>
          <w:color w:val="000000" w:themeColor="text1"/>
        </w:rPr>
        <w:t>長安</w:t>
      </w:r>
      <w:r w:rsidRPr="0031181D">
        <w:rPr>
          <w:rFonts w:eastAsia="Songti TC Regular"/>
          <w:color w:val="000000" w:themeColor="text1"/>
        </w:rPr>
        <w:t xml:space="preserve"> and eleventh-century Kaifeng </w:t>
      </w:r>
      <w:r w:rsidRPr="0031181D">
        <w:rPr>
          <w:rFonts w:eastAsia="Songti TC Regular"/>
          <w:color w:val="000000" w:themeColor="text1"/>
        </w:rPr>
        <w:t>開封</w:t>
      </w:r>
      <w:r w:rsidRPr="0031181D">
        <w:rPr>
          <w:rFonts w:eastAsia="Songti TC Regular"/>
          <w:color w:val="000000" w:themeColor="text1"/>
        </w:rPr>
        <w:t xml:space="preserve"> both grew to twice this size, with populations of over a million each</w:t>
      </w:r>
      <w:r w:rsidR="000C76FF" w:rsidRPr="0031181D">
        <w:rPr>
          <w:rFonts w:eastAsia="Songti TC Regular"/>
          <w:color w:val="000000" w:themeColor="text1"/>
        </w:rPr>
        <w:t xml:space="preserve"> (Map 5)</w:t>
      </w:r>
      <w:r w:rsidRPr="0031181D">
        <w:rPr>
          <w:rFonts w:eastAsia="Songti TC Regular"/>
          <w:color w:val="000000" w:themeColor="text1"/>
        </w:rPr>
        <w:t>.</w:t>
      </w:r>
      <w:r w:rsidRPr="0031181D">
        <w:rPr>
          <w:rFonts w:eastAsia="Songti TC Regular"/>
          <w:color w:val="000000" w:themeColor="text1"/>
          <w:vertAlign w:val="superscript"/>
        </w:rPr>
        <w:footnoteReference w:id="7"/>
      </w:r>
      <w:r w:rsidRPr="0031181D">
        <w:rPr>
          <w:rFonts w:eastAsia="Songti TC Regular"/>
          <w:color w:val="000000" w:themeColor="text1"/>
        </w:rPr>
        <w:t xml:space="preserve"> Thus, even where Childe has ceased to be referenced directly,</w:t>
      </w:r>
      <w:r w:rsidRPr="0031181D">
        <w:rPr>
          <w:rFonts w:eastAsia="Songti TC Regular"/>
          <w:color w:val="000000" w:themeColor="text1"/>
          <w:vertAlign w:val="superscript"/>
        </w:rPr>
        <w:footnoteReference w:id="8"/>
      </w:r>
      <w:r w:rsidRPr="0031181D">
        <w:rPr>
          <w:rFonts w:eastAsia="Songti TC Regular"/>
          <w:color w:val="000000" w:themeColor="text1"/>
        </w:rPr>
        <w:t xml:space="preserve"> the teleological premise of his argument – with history as a journey towards complex, urban civilization – continues to influence the ways we reconstruct the global past. Whether used consciously or not, Childe’s model functions as an ideal type, enabling a comparative history of the city—but also constraining its terms, by establishing a particular notion of what a city is.</w:t>
      </w:r>
      <w:r w:rsidRPr="0031181D">
        <w:rPr>
          <w:rFonts w:eastAsia="Songti TC Regular"/>
          <w:color w:val="000000" w:themeColor="text1"/>
          <w:vertAlign w:val="superscript"/>
        </w:rPr>
        <w:footnoteReference w:id="9"/>
      </w:r>
      <w:r w:rsidRPr="0031181D">
        <w:rPr>
          <w:rFonts w:eastAsia="Songti TC Regular"/>
          <w:color w:val="000000" w:themeColor="text1"/>
        </w:rPr>
        <w:t xml:space="preserve"> </w:t>
      </w:r>
    </w:p>
    <w:p w14:paraId="339CCF6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There are, certainly, empirical grounds on which to accept Childe’s model. The forest clearances of medieval north western Europe (marked in Germany, for example, by the –rode suffix to place names) are witness to an exit from Eden, as tillers of the soil sought to put more land under cultivation.</w:t>
      </w:r>
      <w:r w:rsidRPr="0031181D">
        <w:rPr>
          <w:rFonts w:eastAsia="Songti TC Regular"/>
          <w:color w:val="000000" w:themeColor="text1"/>
          <w:vertAlign w:val="superscript"/>
        </w:rPr>
        <w:footnoteReference w:id="10"/>
      </w:r>
      <w:r w:rsidRPr="0031181D">
        <w:rPr>
          <w:rFonts w:eastAsia="Songti TC Regular"/>
          <w:color w:val="000000" w:themeColor="text1"/>
        </w:rPr>
        <w:t xml:space="preserve"> Although the pace of this agricultural intensification has been heavily debated, few would doubt that between, say, the ninth and the thirteenth centuries, ‘citied civilization’ sprung up across the Latin west. How did this happen? The priestly hierarchy are at the centre of the medieval ‘urban revolution’, which altered the face of the landscape as a whole. The ‘white mantle of churches’ seen by one contemporary observer to have covered the earth at the turn of the first millennium stand like Childe’s Mesopotamian temples, as a witness to a grand civilization, its monumental aspirations, and the human cost involved in pursuit of these.</w:t>
      </w:r>
      <w:r w:rsidRPr="0031181D">
        <w:rPr>
          <w:rFonts w:eastAsia="Songti TC Regular"/>
          <w:color w:val="000000" w:themeColor="text1"/>
          <w:vertAlign w:val="superscript"/>
        </w:rPr>
        <w:footnoteReference w:id="11"/>
      </w:r>
      <w:r w:rsidRPr="0031181D">
        <w:rPr>
          <w:rFonts w:eastAsia="Songti TC Regular"/>
          <w:color w:val="000000" w:themeColor="text1"/>
        </w:rPr>
        <w:t xml:space="preserve"> </w:t>
      </w:r>
    </w:p>
    <w:p w14:paraId="21CCE0B5" w14:textId="40927AB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That said, the congruence between the narrative and the documentary sources ought to give us pause. Before we accept that history happened the way the Bible says it did, we ought to ask why the story of the urban revolution is told as it is. Surely it reflects the concerns of elite city dwellers as they consider the ethical cost of the social order they have constructed — rather than an empirical account of how that order came into being.</w:t>
      </w:r>
      <w:r w:rsidR="00613B66" w:rsidRPr="0031181D">
        <w:rPr>
          <w:rFonts w:eastAsia="Songti TC Regular"/>
          <w:color w:val="000000" w:themeColor="text1"/>
        </w:rPr>
        <w:t xml:space="preserve"> We need, like Scott, to read ‘against the grain.’</w:t>
      </w:r>
      <w:r w:rsidR="00613B66" w:rsidRPr="0031181D">
        <w:rPr>
          <w:rStyle w:val="FootnoteReference"/>
          <w:rFonts w:eastAsia="Songti TC Regular"/>
          <w:color w:val="000000" w:themeColor="text1"/>
        </w:rPr>
        <w:footnoteReference w:id="12"/>
      </w:r>
      <w:r w:rsidR="00613B66" w:rsidRPr="0031181D">
        <w:rPr>
          <w:rFonts w:eastAsia="Songti TC Regular"/>
          <w:color w:val="000000" w:themeColor="text1"/>
        </w:rPr>
        <w:t xml:space="preserve"> </w:t>
      </w:r>
      <w:r w:rsidRPr="0031181D">
        <w:rPr>
          <w:rFonts w:eastAsia="Songti TC Regular"/>
          <w:color w:val="000000" w:themeColor="text1"/>
        </w:rPr>
        <w:t xml:space="preserve">We discuss below (Section III), the power of narrative to give retrospective shape to contemporary perceptions of the city. </w:t>
      </w:r>
    </w:p>
    <w:p w14:paraId="4BD54E21"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We start by expanding the geographical frame. The story of the Childean ‘urban revolution’ seems at first glance to work well enough for Eurasia. What of elsewhere? In this paper, we attempt to tell that story from different geographical standpoints, exploring alternative trajectories to urban society. We begin with Africa, which offers a new way of thinking about towns and permanence, and reflect back on the record of western Europe and East Asia respectively. We know the African past by a different route; our primary sources of evidence come from archaeology, not history, and the different perspective is partly created by this data source. Yet, this is not an attempt to privilege archaeology over history, or to suggest that it is any more objective: the material record is simply created by a different set of dynamics. Nor is this an attempt to ‘export’ an African model that might replace western narratives of origins. Rather, the African examples alert us to the possibilities of recognizing different forms and paths to urbanism, allowing an exploration of diversity within the Eurasian story also.</w:t>
      </w:r>
    </w:p>
    <w:p w14:paraId="512321AD" w14:textId="77777777" w:rsidR="00C84E63" w:rsidRPr="0031181D" w:rsidRDefault="00C84E63">
      <w:pPr>
        <w:spacing w:line="480" w:lineRule="auto"/>
        <w:ind w:firstLine="720"/>
        <w:rPr>
          <w:rFonts w:eastAsia="Songti TC Regular"/>
          <w:color w:val="000000" w:themeColor="text1"/>
        </w:rPr>
      </w:pPr>
    </w:p>
    <w:p w14:paraId="4BCFD3F2" w14:textId="77777777" w:rsidR="00C84E63" w:rsidRPr="0031181D" w:rsidRDefault="007F6E61">
      <w:pPr>
        <w:numPr>
          <w:ilvl w:val="0"/>
          <w:numId w:val="1"/>
        </w:numPr>
        <w:spacing w:line="480" w:lineRule="auto"/>
        <w:ind w:left="0" w:firstLine="720"/>
        <w:contextualSpacing/>
        <w:rPr>
          <w:rFonts w:eastAsia="Songti TC Regular"/>
          <w:b/>
          <w:color w:val="000000" w:themeColor="text1"/>
        </w:rPr>
      </w:pPr>
      <w:r w:rsidRPr="0031181D">
        <w:rPr>
          <w:rFonts w:eastAsia="Songti TC Regular"/>
          <w:b/>
          <w:color w:val="000000" w:themeColor="text1"/>
        </w:rPr>
        <w:t>The ‘Urban Revolution’ in Africa</w:t>
      </w:r>
    </w:p>
    <w:p w14:paraId="7F02CC8B"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archaeological record of the late first and early second millennium CE in Africa is replete with examples of developing urban centres evidenced through a move towards nucleated, complex settlements that served a broader hinterland.</w:t>
      </w:r>
      <w:r w:rsidRPr="0031181D">
        <w:rPr>
          <w:rFonts w:eastAsia="Songti TC Regular"/>
          <w:color w:val="000000" w:themeColor="text1"/>
          <w:vertAlign w:val="superscript"/>
        </w:rPr>
        <w:footnoteReference w:id="13"/>
      </w:r>
      <w:r w:rsidRPr="0031181D">
        <w:rPr>
          <w:rFonts w:eastAsia="Songti TC Regular"/>
          <w:color w:val="000000" w:themeColor="text1"/>
        </w:rPr>
        <w:t xml:space="preserve"> The shift is particularly striking in the second half of the first millennium, and is often linked to (or maybe recognized through) an acceleration in external trade, particularly with the Islamic world. These trading relationships also resulted in the creation of a historical record for parts of Africa: toponymies of trading partners recorded by Arab and North African travellers across the Sahara and down the Red Sea and Indian Ocean coasts</w:t>
      </w:r>
      <w:r w:rsidR="00EA2A0D" w:rsidRPr="0031181D">
        <w:rPr>
          <w:rFonts w:eastAsia="Songti TC Regular"/>
          <w:color w:val="000000" w:themeColor="text1"/>
        </w:rPr>
        <w:t xml:space="preserve"> (Map 7)</w:t>
      </w:r>
      <w:r w:rsidRPr="0031181D">
        <w:rPr>
          <w:rFonts w:eastAsia="Songti TC Regular"/>
          <w:color w:val="000000" w:themeColor="text1"/>
        </w:rPr>
        <w:t>.</w:t>
      </w:r>
      <w:r w:rsidRPr="0031181D">
        <w:rPr>
          <w:rFonts w:eastAsia="Songti TC Regular"/>
          <w:color w:val="000000" w:themeColor="text1"/>
          <w:vertAlign w:val="superscript"/>
        </w:rPr>
        <w:footnoteReference w:id="14"/>
      </w:r>
      <w:r w:rsidRPr="0031181D">
        <w:rPr>
          <w:rFonts w:eastAsia="Songti TC Regular"/>
          <w:color w:val="000000" w:themeColor="text1"/>
        </w:rPr>
        <w:t xml:space="preserve"> For a continent short of written histories these provide an invaluable insight into landscapes of power from about the ninth century onwards. Travellers and scholars of the medieval Islamic region described cities at the edges of their world, peopled by wealthy and powerful elites, some of whom were swiftly Islamized through this contact. African towns were understood by these writers as comparable — if not equal — to towns in their homelands of North Africa, the Levant, and the Persian Gulf. Yet, this recognition also entailed a misinterpretation, as the characteristics of African towns were glossed or misunderstood by outsiders whose frame of reference reflected their own experiences.</w:t>
      </w:r>
      <w:r w:rsidRPr="0031181D">
        <w:rPr>
          <w:rFonts w:eastAsia="Songti TC Regular"/>
          <w:color w:val="000000" w:themeColor="text1"/>
          <w:vertAlign w:val="superscript"/>
        </w:rPr>
        <w:footnoteReference w:id="15"/>
      </w:r>
      <w:r w:rsidRPr="0031181D">
        <w:rPr>
          <w:rFonts w:eastAsia="Songti TC Regular"/>
          <w:color w:val="000000" w:themeColor="text1"/>
        </w:rPr>
        <w:t xml:space="preserve"> Subsequent scholars have wasted a lot of effort searching for the ‘metropolises’ of the documents,</w:t>
      </w:r>
      <w:r w:rsidRPr="0031181D">
        <w:rPr>
          <w:rFonts w:eastAsia="Songti TC Regular"/>
          <w:color w:val="000000" w:themeColor="text1"/>
          <w:vertAlign w:val="superscript"/>
        </w:rPr>
        <w:footnoteReference w:id="16"/>
      </w:r>
      <w:r w:rsidRPr="0031181D">
        <w:rPr>
          <w:rFonts w:eastAsia="Songti TC Regular"/>
          <w:color w:val="000000" w:themeColor="text1"/>
        </w:rPr>
        <w:t xml:space="preserve"> or the particular cities discussed, only to conclude that they may have looked rather different from historical descriptions, or our expectations. </w:t>
      </w:r>
    </w:p>
    <w:p w14:paraId="296DE456" w14:textId="77777777" w:rsidR="00C84E63" w:rsidRPr="0031181D" w:rsidRDefault="00C84E63">
      <w:pPr>
        <w:spacing w:line="480" w:lineRule="auto"/>
        <w:rPr>
          <w:rFonts w:eastAsia="Songti TC Regular"/>
          <w:i/>
          <w:color w:val="000000" w:themeColor="text1"/>
        </w:rPr>
      </w:pPr>
    </w:p>
    <w:p w14:paraId="77DD8A2F" w14:textId="77777777" w:rsidR="00C84E63" w:rsidRPr="0031181D" w:rsidRDefault="007F6E61">
      <w:pPr>
        <w:spacing w:line="480" w:lineRule="auto"/>
        <w:rPr>
          <w:rFonts w:eastAsia="Songti TC Regular"/>
          <w:color w:val="000000" w:themeColor="text1"/>
        </w:rPr>
      </w:pPr>
      <w:r w:rsidRPr="0031181D">
        <w:rPr>
          <w:rFonts w:eastAsia="Songti TC Regular"/>
          <w:i/>
          <w:color w:val="000000" w:themeColor="text1"/>
        </w:rPr>
        <w:t>Permanence and Territory</w:t>
      </w:r>
    </w:p>
    <w:p w14:paraId="090B3034" w14:textId="77777777" w:rsidR="00C84E63" w:rsidRPr="0031181D" w:rsidRDefault="007F6E61" w:rsidP="00404B41">
      <w:pPr>
        <w:spacing w:line="480" w:lineRule="auto"/>
        <w:ind w:firstLine="720"/>
        <w:rPr>
          <w:rFonts w:eastAsia="Songti TC Regular"/>
          <w:color w:val="000000" w:themeColor="text1"/>
        </w:rPr>
      </w:pPr>
      <w:r w:rsidRPr="0031181D">
        <w:rPr>
          <w:rFonts w:eastAsia="Songti TC Regular"/>
          <w:color w:val="000000" w:themeColor="text1"/>
        </w:rPr>
        <w:t>The issue of permanence provides a key example. There is evidence from several parts of the continent for much greater settlement mobility than was seen in contemporary Europe or the Islamic Middle East. In the West African Sahel, historians and archaeologists searching for capital cities discussed in historical sources have often struggled to find candidates that fit all the attributes assigned to them in texts.</w:t>
      </w:r>
      <w:r w:rsidRPr="0031181D">
        <w:rPr>
          <w:rFonts w:eastAsia="Songti TC Regular"/>
          <w:color w:val="000000" w:themeColor="text1"/>
          <w:vertAlign w:val="superscript"/>
        </w:rPr>
        <w:footnoteReference w:id="17"/>
      </w:r>
      <w:r w:rsidRPr="0031181D">
        <w:rPr>
          <w:rFonts w:eastAsia="Songti TC Regular"/>
          <w:color w:val="000000" w:themeColor="text1"/>
        </w:rPr>
        <w:t xml:space="preserve"> One exception might be the site of Awdaghast (Tegdaoust), described by historians of the late ninth to twelfth centuries as the key southern terminus of Saharan caravan trade. Al-Yaqubi describes it in the ninth century as the residence of the king of the pastoralist Sanhaja,</w:t>
      </w:r>
      <w:r w:rsidRPr="0031181D">
        <w:rPr>
          <w:rFonts w:eastAsia="Songti TC Regular"/>
          <w:color w:val="000000" w:themeColor="text1"/>
          <w:vertAlign w:val="superscript"/>
        </w:rPr>
        <w:footnoteReference w:id="18"/>
      </w:r>
      <w:r w:rsidRPr="0031181D">
        <w:rPr>
          <w:rFonts w:eastAsia="Songti TC Regular"/>
          <w:color w:val="000000" w:themeColor="text1"/>
        </w:rPr>
        <w:t xml:space="preserve"> and by the tenth century Ibn Hawqal’s account describes the city as a central focus for a huge population of pastoralists, who when they gathered would form a group of ‘300,000 tents’.</w:t>
      </w:r>
      <w:r w:rsidRPr="0031181D">
        <w:rPr>
          <w:rFonts w:eastAsia="Songti TC Regular"/>
          <w:color w:val="000000" w:themeColor="text1"/>
          <w:vertAlign w:val="superscript"/>
        </w:rPr>
        <w:footnoteReference w:id="19"/>
      </w:r>
      <w:r w:rsidRPr="0031181D">
        <w:rPr>
          <w:rFonts w:eastAsia="Songti TC Regular"/>
          <w:color w:val="000000" w:themeColor="text1"/>
        </w:rPr>
        <w:t xml:space="preserve"> Excavations at Tegdaoust have revealed a period of ‘urban explosion’, with rich architectural and artefactual remains from the tenth to eleventh centuries, followed by a period of decline.</w:t>
      </w:r>
      <w:r w:rsidRPr="0031181D">
        <w:rPr>
          <w:rFonts w:eastAsia="Songti TC Regular"/>
          <w:color w:val="000000" w:themeColor="text1"/>
          <w:vertAlign w:val="superscript"/>
        </w:rPr>
        <w:footnoteReference w:id="20"/>
      </w:r>
      <w:r w:rsidRPr="0031181D">
        <w:rPr>
          <w:rFonts w:eastAsia="Songti TC Regular"/>
          <w:color w:val="000000" w:themeColor="text1"/>
        </w:rPr>
        <w:t xml:space="preserve"> This relative permanence within a mobile pastoralist population was linked to control of salt resources, which had a special importance in the West African Sahel. Elsewhere, Al-Bakri describes the capital of Ghana in the eleventh century as a sumptuous city with rich investment in monumental tombs, as well as luxurious material goods at the court of the king.</w:t>
      </w:r>
      <w:r w:rsidRPr="0031181D">
        <w:rPr>
          <w:rFonts w:eastAsia="Songti TC Regular"/>
          <w:color w:val="000000" w:themeColor="text1"/>
          <w:vertAlign w:val="superscript"/>
        </w:rPr>
        <w:footnoteReference w:id="21"/>
      </w:r>
      <w:r w:rsidRPr="0031181D">
        <w:rPr>
          <w:rFonts w:eastAsia="Songti TC Regular"/>
          <w:color w:val="000000" w:themeColor="text1"/>
        </w:rPr>
        <w:t xml:space="preserve"> Excavations at Koumbi Saleh, commonly held to be that capital city, have recovered surprisingly little evidence of this material investment</w:t>
      </w:r>
      <w:r w:rsidRPr="0031181D">
        <w:rPr>
          <w:rFonts w:eastAsia="Songti TC Regular"/>
          <w:color w:val="000000" w:themeColor="text1"/>
          <w:vertAlign w:val="superscript"/>
        </w:rPr>
        <w:footnoteReference w:id="22"/>
      </w:r>
      <w:r w:rsidRPr="0031181D">
        <w:rPr>
          <w:rFonts w:eastAsia="Songti TC Regular"/>
          <w:color w:val="000000" w:themeColor="text1"/>
        </w:rPr>
        <w:t xml:space="preserve"> along with sparse evidence of external trade.</w:t>
      </w:r>
      <w:r w:rsidRPr="0031181D">
        <w:rPr>
          <w:rFonts w:eastAsia="Songti TC Regular"/>
          <w:color w:val="000000" w:themeColor="text1"/>
          <w:vertAlign w:val="superscript"/>
        </w:rPr>
        <w:footnoteReference w:id="23"/>
      </w:r>
      <w:r w:rsidRPr="0031181D">
        <w:rPr>
          <w:rFonts w:eastAsia="Songti TC Regular"/>
          <w:color w:val="000000" w:themeColor="text1"/>
        </w:rPr>
        <w:t xml:space="preserve"> The explanation of this is probably that the Empire of Ghana had several capitals at different times, with towns shifting along with the court. This is implied by oral accounts, which are used in combination by scholars of the African past, identifying consistent references to people and events between inevitably partial sources; here the references to the capital of Ghana seem often to describe different places.</w:t>
      </w:r>
      <w:r w:rsidRPr="0031181D">
        <w:rPr>
          <w:rFonts w:eastAsia="Songti TC Regular"/>
          <w:color w:val="000000" w:themeColor="text1"/>
          <w:vertAlign w:val="superscript"/>
        </w:rPr>
        <w:footnoteReference w:id="24"/>
      </w:r>
      <w:r w:rsidRPr="0031181D">
        <w:rPr>
          <w:rFonts w:eastAsia="Songti TC Regular"/>
          <w:color w:val="000000" w:themeColor="text1"/>
        </w:rPr>
        <w:t xml:space="preserve"> The notion of shifting capitals is also supported by what is known of other settlements in the Sahel at this time, dominated by pastoralist groups for whom authority and permanence were not functionally linked.</w:t>
      </w:r>
      <w:r w:rsidRPr="0031181D">
        <w:rPr>
          <w:rFonts w:eastAsia="Songti TC Regular"/>
          <w:color w:val="000000" w:themeColor="text1"/>
          <w:vertAlign w:val="superscript"/>
        </w:rPr>
        <w:footnoteReference w:id="25"/>
      </w:r>
      <w:r w:rsidRPr="0031181D">
        <w:rPr>
          <w:rFonts w:eastAsia="Songti TC Regular"/>
          <w:color w:val="000000" w:themeColor="text1"/>
        </w:rPr>
        <w:t xml:space="preserve"> Likewise, David Conrad has convincingly argued from the oral traditions that the capital of the thirteenth–fifteenth century Empire of Mali was not a single place, but a series of sites that provided the base of operations for successive rulers.</w:t>
      </w:r>
      <w:r w:rsidRPr="0031181D">
        <w:rPr>
          <w:rFonts w:eastAsia="Songti TC Regular"/>
          <w:color w:val="000000" w:themeColor="text1"/>
          <w:vertAlign w:val="superscript"/>
        </w:rPr>
        <w:footnoteReference w:id="26"/>
      </w:r>
      <w:r w:rsidRPr="0031181D">
        <w:rPr>
          <w:rFonts w:eastAsia="Songti TC Regular"/>
          <w:color w:val="000000" w:themeColor="text1"/>
        </w:rPr>
        <w:t xml:space="preserve"> This was misunderstood by Arab writers who ‘had the bureaucratic notion that power belonged to a place rather than to a person or clan’ as well as by later historians and archaeologists who have sought the location of Mali’s capital.</w:t>
      </w:r>
      <w:r w:rsidRPr="0031181D">
        <w:rPr>
          <w:rFonts w:eastAsia="Songti TC Regular"/>
          <w:color w:val="000000" w:themeColor="text1"/>
          <w:vertAlign w:val="superscript"/>
        </w:rPr>
        <w:footnoteReference w:id="27"/>
      </w:r>
      <w:r w:rsidRPr="0031181D">
        <w:rPr>
          <w:rFonts w:eastAsia="Songti TC Regular"/>
          <w:color w:val="000000" w:themeColor="text1"/>
        </w:rPr>
        <w:t xml:space="preserve"> These towns, their shifting locations, and their relationship with a resource landscape, undermine the notion that urban life must be linked to agricultural dominance. Haour documents the importance of impermanent towns in the African past, recognizing a range of variation from the massive-walled but sparsely occupied enclosures on the Niger-Nigeria border, to the famous ‘mobile courts’ of fifteenth to seventeenth century Ethiopia.</w:t>
      </w:r>
      <w:r w:rsidRPr="0031181D">
        <w:rPr>
          <w:rFonts w:eastAsia="Songti TC Regular"/>
          <w:color w:val="000000" w:themeColor="text1"/>
          <w:vertAlign w:val="superscript"/>
        </w:rPr>
        <w:footnoteReference w:id="28"/>
      </w:r>
      <w:r w:rsidRPr="0031181D">
        <w:rPr>
          <w:rFonts w:eastAsia="Songti TC Regular"/>
          <w:color w:val="000000" w:themeColor="text1"/>
        </w:rPr>
        <w:t xml:space="preserve"> Continuity was provided by authority, not by location in the landscape. </w:t>
      </w:r>
    </w:p>
    <w:p w14:paraId="0D44E99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Greater settlement mobility has been linked to the scarcity of resources, as well as to the relatively low population density found in areas of Africa. Yet urban centres of long standing do exist, albeit based on a diverse range of relationships with those scarce resources. One of the more famous indigenous urban traditions is that found in the Zimbabwe plateau, most fully realised at Great Zimbabwe from the thirteenth to the fifteenth centuries. Yet, Great Zimbabwe is a particularly grand manifestation of a much longer tradition of central places, going back to the eleventh-century site of Mapungubwe in the Limpopo Valley.</w:t>
      </w:r>
      <w:r w:rsidRPr="0031181D">
        <w:rPr>
          <w:rFonts w:eastAsia="Songti TC Regular"/>
          <w:color w:val="000000" w:themeColor="text1"/>
          <w:vertAlign w:val="superscript"/>
        </w:rPr>
        <w:footnoteReference w:id="29"/>
      </w:r>
      <w:r w:rsidRPr="0031181D">
        <w:rPr>
          <w:rFonts w:eastAsia="Songti TC Regular"/>
          <w:color w:val="000000" w:themeColor="text1"/>
        </w:rPr>
        <w:t xml:space="preserve"> These sites can be seen as fixed points in a mobile landscape created by an economic emphasis on pastoralism. They themselves have considerable archaeological evidence for the penning of livestock or cattle, but this may have occurred at these sites only seasonally. Perhaps more than any other example, Zimbabwe tradition sites suggest a territorial state model, as each successive capital was the largest in a network of smaller, presumably subsidiary settlements suggesting a hierarchical settlement structure. The evidence for cattle keeping on a massive scale suggests that the elites responsible for the urban centres were also managers of a lineage-based system of control over herds and grazing land; wielding power over a shifting territory of seasonal pastoralism.</w:t>
      </w:r>
      <w:r w:rsidRPr="0031181D">
        <w:rPr>
          <w:rFonts w:eastAsia="Songti TC Regular"/>
          <w:color w:val="000000" w:themeColor="text1"/>
          <w:vertAlign w:val="superscript"/>
        </w:rPr>
        <w:footnoteReference w:id="30"/>
      </w:r>
      <w:r w:rsidRPr="0031181D">
        <w:rPr>
          <w:rFonts w:eastAsia="Songti TC Regular"/>
          <w:color w:val="000000" w:themeColor="text1"/>
        </w:rPr>
        <w:t xml:space="preserve"> Great Zimbabwe may have been built up over generations, perhaps by successive rulers creating their own space or centre of operations.</w:t>
      </w:r>
      <w:r w:rsidRPr="0031181D">
        <w:rPr>
          <w:rFonts w:eastAsia="Songti TC Regular"/>
          <w:color w:val="000000" w:themeColor="text1"/>
          <w:vertAlign w:val="superscript"/>
        </w:rPr>
        <w:footnoteReference w:id="31"/>
      </w:r>
      <w:r w:rsidRPr="0031181D">
        <w:rPr>
          <w:rFonts w:eastAsia="Songti TC Regular"/>
          <w:color w:val="000000" w:themeColor="text1"/>
        </w:rPr>
        <w:t xml:space="preserve"> Great Zimbabwe and the Zimbabwe tradition thus seem to represent fixed points in a mobile landscape, with urban life coming together perhaps only on a seasonal basis. </w:t>
      </w:r>
    </w:p>
    <w:p w14:paraId="27C16619"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Thus in African urban landscapes we can see variations in the ways that towns interacted with resource landscapes. There is no single path, and no clear link between the development of central places and dependence on or control over an agricultural hinterland. Rather, there is a focus on people, on the ability to bring people together for either economic or ritual purposes, and this provides a more dynamic notion of urban development, less tied to a fixed landscape. It is not that medieval Africa has no stable urban hierarchy, but that it is not tied to the landscape in the way implied by models derived from European narratives.</w:t>
      </w:r>
    </w:p>
    <w:p w14:paraId="4176A1AD" w14:textId="77777777" w:rsidR="00C84E63" w:rsidRPr="0031181D" w:rsidRDefault="00C84E63">
      <w:pPr>
        <w:spacing w:line="480" w:lineRule="auto"/>
        <w:rPr>
          <w:rFonts w:eastAsia="Songti TC Regular"/>
          <w:i/>
          <w:color w:val="000000" w:themeColor="text1"/>
        </w:rPr>
      </w:pPr>
    </w:p>
    <w:p w14:paraId="7F254675" w14:textId="77777777" w:rsidR="00C84E63" w:rsidRPr="0031181D" w:rsidRDefault="007F6E61">
      <w:pPr>
        <w:spacing w:line="480" w:lineRule="auto"/>
        <w:rPr>
          <w:rFonts w:eastAsia="Songti TC Regular"/>
          <w:color w:val="000000" w:themeColor="text1"/>
        </w:rPr>
      </w:pPr>
      <w:r w:rsidRPr="0031181D">
        <w:rPr>
          <w:rFonts w:eastAsia="Songti TC Regular"/>
          <w:i/>
          <w:color w:val="000000" w:themeColor="text1"/>
        </w:rPr>
        <w:t>Conglomeration and Composition</w:t>
      </w:r>
    </w:p>
    <w:p w14:paraId="540CE3D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classic example of alternative urbanism in African archaeology is Jenne-jeno, an ‘urban cluster’ in the Inland Niger Delta, occupied from around 200 BCE until around 1400 CE.</w:t>
      </w:r>
      <w:r w:rsidRPr="0031181D">
        <w:rPr>
          <w:rFonts w:eastAsia="Songti TC Regular"/>
          <w:color w:val="000000" w:themeColor="text1"/>
          <w:vertAlign w:val="superscript"/>
        </w:rPr>
        <w:footnoteReference w:id="32"/>
      </w:r>
      <w:r w:rsidRPr="0031181D">
        <w:rPr>
          <w:rFonts w:eastAsia="Songti TC Regular"/>
          <w:color w:val="000000" w:themeColor="text1"/>
        </w:rPr>
        <w:t xml:space="preserve"> This long period of occupation witnessed the growth of the site from a small settlement in a single location to a dense urban settlement of 33 hectares surrounded by a clay city wall between c. 600 and 800.</w:t>
      </w:r>
      <w:r w:rsidRPr="0031181D">
        <w:rPr>
          <w:rFonts w:eastAsia="Songti TC Regular"/>
          <w:color w:val="000000" w:themeColor="text1"/>
          <w:vertAlign w:val="superscript"/>
        </w:rPr>
        <w:footnoteReference w:id="33"/>
      </w:r>
      <w:r w:rsidRPr="0031181D">
        <w:rPr>
          <w:rFonts w:eastAsia="Songti TC Regular"/>
          <w:color w:val="000000" w:themeColor="text1"/>
        </w:rPr>
        <w:t xml:space="preserve"> An adjacent mound was occupied around 300 to create the site of Hambarketolo, extending the urban cluster to a total size of around 41 hectares. These central mounds were part, in turn, of a highly clustered pattern of settlement in the surrounding floodplain, with hinterland villages clustered along the river tributaries that provided transport to farther flung regions, and on the floodplain sediments that would have been vital for the cultivation of rice. </w:t>
      </w:r>
    </w:p>
    <w:p w14:paraId="0D8CF018"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excavators of Jenne-jeno have engaged explicitly with debates on urban origin and form in this region.</w:t>
      </w:r>
      <w:r w:rsidRPr="0031181D">
        <w:rPr>
          <w:rFonts w:eastAsia="Songti TC Regular"/>
          <w:color w:val="000000" w:themeColor="text1"/>
          <w:vertAlign w:val="superscript"/>
        </w:rPr>
        <w:footnoteReference w:id="34"/>
      </w:r>
      <w:r w:rsidRPr="0031181D">
        <w:rPr>
          <w:rFonts w:eastAsia="Songti TC Regular"/>
          <w:color w:val="000000" w:themeColor="text1"/>
        </w:rPr>
        <w:t xml:space="preserve"> Jenne-jeno lacks any form of citadel or monumental centre that might be linked to an urban elite,</w:t>
      </w:r>
      <w:r w:rsidRPr="0031181D">
        <w:rPr>
          <w:rFonts w:eastAsia="Songti TC Regular"/>
          <w:color w:val="000000" w:themeColor="text1"/>
          <w:vertAlign w:val="superscript"/>
        </w:rPr>
        <w:footnoteReference w:id="35"/>
      </w:r>
      <w:r w:rsidRPr="0031181D">
        <w:rPr>
          <w:rFonts w:eastAsia="Songti TC Regular"/>
          <w:color w:val="000000" w:themeColor="text1"/>
        </w:rPr>
        <w:t xml:space="preserve"> but contains ample evidence for social differentiation in the form of highly-specialised craft activities.</w:t>
      </w:r>
      <w:r w:rsidRPr="0031181D">
        <w:rPr>
          <w:rFonts w:eastAsia="Songti TC Regular"/>
          <w:color w:val="000000" w:themeColor="text1"/>
          <w:vertAlign w:val="superscript"/>
        </w:rPr>
        <w:footnoteReference w:id="36"/>
      </w:r>
      <w:r w:rsidRPr="0031181D">
        <w:rPr>
          <w:rFonts w:eastAsia="Songti TC Regular"/>
          <w:color w:val="000000" w:themeColor="text1"/>
        </w:rPr>
        <w:t xml:space="preserve"> Susan McIntosh has used the notion of heterarchy to explain this complexity without hierarchy, evoking a social structure in which distinct groups held authority over a particular realm of social life.</w:t>
      </w:r>
      <w:r w:rsidRPr="0031181D">
        <w:rPr>
          <w:rFonts w:eastAsia="Songti TC Regular"/>
          <w:color w:val="000000" w:themeColor="text1"/>
          <w:vertAlign w:val="superscript"/>
        </w:rPr>
        <w:footnoteReference w:id="37"/>
      </w:r>
      <w:r w:rsidRPr="0031181D">
        <w:rPr>
          <w:rFonts w:eastAsia="Songti TC Regular"/>
          <w:color w:val="000000" w:themeColor="text1"/>
        </w:rPr>
        <w:t xml:space="preserve"> Rod McIntosh has expanded this to the broader resource landscape.</w:t>
      </w:r>
      <w:r w:rsidRPr="0031181D">
        <w:rPr>
          <w:rFonts w:eastAsia="Songti TC Regular"/>
          <w:color w:val="000000" w:themeColor="text1"/>
          <w:vertAlign w:val="superscript"/>
        </w:rPr>
        <w:footnoteReference w:id="38"/>
      </w:r>
      <w:r w:rsidRPr="0031181D">
        <w:rPr>
          <w:rFonts w:eastAsia="Songti TC Regular"/>
          <w:color w:val="000000" w:themeColor="text1"/>
        </w:rPr>
        <w:t xml:space="preserve"> These offer a way of thinking differently about towns, divorced from a coercive elite, and apparently built on a form of composition. The notion of composition, or ‘wealth-in-people’, is discussed below; it describes a social strategy of the accumulation of skills and knowledge in a particular place, contained within a diverse population. Jenne-jeno was a hub in a varied landscape, apparently a central point where farmers, traders, and craft workers traded, prayed, and lived their daily lives. The functional divisions in evidence at the town suggest that the urban population was not homogenised, but maintained their separate identities, skills and knowledge, as essential parts of the urban mix. That mix lends itself well to a consideration of what composition might look like on the ground. This way of understanding urban society has ramifications for our understanding of later urban transitions in the Empires of Ghana, Mali and Songhai which followed. The view from Jenne-jeno also gives a perspective on the ‘double cities’ reported by Arab merchants at Gao and Koumbi Saleh.</w:t>
      </w:r>
      <w:r w:rsidRPr="0031181D">
        <w:rPr>
          <w:rFonts w:eastAsia="Songti TC Regular"/>
          <w:color w:val="000000" w:themeColor="text1"/>
          <w:vertAlign w:val="superscript"/>
        </w:rPr>
        <w:footnoteReference w:id="39"/>
      </w:r>
      <w:r w:rsidRPr="0031181D">
        <w:rPr>
          <w:rFonts w:eastAsia="Songti TC Regular"/>
          <w:color w:val="000000" w:themeColor="text1"/>
        </w:rPr>
        <w:t xml:space="preserve"> These are described as divided between the royal settlement and the merchants’ settlement, also understood as being a spatial divide between Muslims (merchants) and non-Muslim indigenous elites. Although two parts of the town of Gao exist (Gao Saney and Gao Ancien), archaeology has suggested that the differences between them were more functional, as with the spatial differentiation at Jenne-jeno. Excavations have suggested a polyglot community from the ninth century onward, with evidence for differentiation of craft products and producers across both sites. Nomads also periodically established camps around town, adding to the diversity and spatial differentiation.</w:t>
      </w:r>
      <w:r w:rsidRPr="0031181D">
        <w:rPr>
          <w:rFonts w:eastAsia="Songti TC Regular"/>
          <w:color w:val="000000" w:themeColor="text1"/>
          <w:vertAlign w:val="superscript"/>
        </w:rPr>
        <w:footnoteReference w:id="40"/>
      </w:r>
    </w:p>
    <w:p w14:paraId="72E38568" w14:textId="77777777" w:rsidR="00C84E63" w:rsidRPr="0031181D" w:rsidRDefault="00C84E63">
      <w:pPr>
        <w:spacing w:line="480" w:lineRule="auto"/>
        <w:ind w:firstLine="720"/>
        <w:rPr>
          <w:rFonts w:eastAsia="Songti TC Regular"/>
          <w:color w:val="000000" w:themeColor="text1"/>
        </w:rPr>
      </w:pPr>
    </w:p>
    <w:p w14:paraId="1D81EBEE" w14:textId="77777777" w:rsidR="00C84E63" w:rsidRPr="0031181D" w:rsidRDefault="007F6E61">
      <w:pPr>
        <w:numPr>
          <w:ilvl w:val="0"/>
          <w:numId w:val="1"/>
        </w:numPr>
        <w:spacing w:line="480" w:lineRule="auto"/>
        <w:ind w:left="0" w:firstLine="720"/>
        <w:contextualSpacing/>
        <w:rPr>
          <w:rFonts w:eastAsia="Songti TC Regular"/>
          <w:b/>
          <w:color w:val="000000" w:themeColor="text1"/>
        </w:rPr>
      </w:pPr>
      <w:r w:rsidRPr="0031181D">
        <w:rPr>
          <w:rFonts w:eastAsia="Songti TC Regular"/>
          <w:b/>
          <w:color w:val="000000" w:themeColor="text1"/>
        </w:rPr>
        <w:t>Out of Africa: ‘Pop-Up Cities’ in Eurasia</w:t>
      </w:r>
    </w:p>
    <w:p w14:paraId="1C44DAC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African urbanism poses hard questions for the comparative history of the city across Eurasia.</w:t>
      </w:r>
      <w:r w:rsidRPr="0031181D">
        <w:rPr>
          <w:rFonts w:eastAsia="Songti TC Regular"/>
          <w:color w:val="000000" w:themeColor="text1"/>
          <w:vertAlign w:val="superscript"/>
        </w:rPr>
        <w:footnoteReference w:id="41"/>
      </w:r>
      <w:r w:rsidRPr="0031181D">
        <w:rPr>
          <w:rFonts w:eastAsia="Songti TC Regular"/>
          <w:color w:val="000000" w:themeColor="text1"/>
        </w:rPr>
        <w:t xml:space="preserve"> As we have seen, the period of intensification in Africa coincides precisely with the ‘urban revolution’ in China, in the world of Islam, and in the Latin West — and yet the more fluid, networked, and impermanent cities we see mushrooming in Africa recall the trading emporia of an earlier period in medieval Europe (to which we now turn), an older form of urbanism, seen to be replaced by permanent settlements from the tenth century.</w:t>
      </w:r>
      <w:r w:rsidRPr="0031181D">
        <w:rPr>
          <w:rFonts w:eastAsia="Songti TC Regular"/>
          <w:color w:val="000000" w:themeColor="text1"/>
          <w:vertAlign w:val="superscript"/>
        </w:rPr>
        <w:footnoteReference w:id="42"/>
      </w:r>
      <w:r w:rsidRPr="0031181D">
        <w:rPr>
          <w:rFonts w:eastAsia="Songti TC Regular"/>
          <w:color w:val="000000" w:themeColor="text1"/>
        </w:rPr>
        <w:t xml:space="preserve"> In the subtropical sinitic southeast of the Eurasian continent, new ‘organic’ types of town were largely southern latecomers added to an older and originally northern tradition of ‘classic’ administrative centres. Is this a great divergence — or have we in fact misconstrued the European evidence and missed some of the East Asian evidence? Is ‘urbanization’ a one-way developmental process, as the Genesis narrative would insist, or do we see the fluid, but long-lasting configurations of Africa elsewhere too? </w:t>
      </w:r>
    </w:p>
    <w:p w14:paraId="18892164" w14:textId="77777777" w:rsidR="00C84E63" w:rsidRPr="0031181D" w:rsidRDefault="00C84E63">
      <w:pPr>
        <w:spacing w:line="480" w:lineRule="auto"/>
        <w:ind w:firstLine="720"/>
        <w:rPr>
          <w:rFonts w:eastAsia="Songti TC Regular"/>
          <w:i/>
          <w:color w:val="000000" w:themeColor="text1"/>
        </w:rPr>
      </w:pPr>
    </w:p>
    <w:p w14:paraId="5FD2B5CB" w14:textId="77777777" w:rsidR="00C84E63" w:rsidRPr="0031181D" w:rsidRDefault="007F6E61">
      <w:pPr>
        <w:spacing w:line="480" w:lineRule="auto"/>
        <w:ind w:firstLine="720"/>
        <w:rPr>
          <w:rFonts w:eastAsia="Songti TC Regular"/>
          <w:color w:val="000000" w:themeColor="text1"/>
        </w:rPr>
      </w:pPr>
      <w:r w:rsidRPr="0031181D">
        <w:rPr>
          <w:rFonts w:eastAsia="Songti TC Regular"/>
          <w:i/>
          <w:color w:val="000000" w:themeColor="text1"/>
        </w:rPr>
        <w:t>European Emporia</w:t>
      </w:r>
    </w:p>
    <w:p w14:paraId="31951CFD"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Where western Eurasia is concerned, these questions take us away from Milan or Barcelona of the eleventh century, to Ipswich and Hedeby some three centuries earlier</w:t>
      </w:r>
      <w:r w:rsidR="007A1882" w:rsidRPr="0031181D">
        <w:rPr>
          <w:rFonts w:eastAsia="Songti TC Regular"/>
          <w:color w:val="000000" w:themeColor="text1"/>
        </w:rPr>
        <w:t xml:space="preserve"> (Map 1)</w:t>
      </w:r>
      <w:r w:rsidRPr="0031181D">
        <w:rPr>
          <w:rFonts w:eastAsia="Songti TC Regular"/>
          <w:color w:val="000000" w:themeColor="text1"/>
        </w:rPr>
        <w:t>. This is the world of ‘Dark Age economics’ as described in particular by Richard Hodges, and more recently by Søren Sindbæk.</w:t>
      </w:r>
      <w:r w:rsidRPr="0031181D">
        <w:rPr>
          <w:rFonts w:eastAsia="Songti TC Regular"/>
          <w:color w:val="000000" w:themeColor="text1"/>
          <w:vertAlign w:val="superscript"/>
        </w:rPr>
        <w:footnoteReference w:id="43"/>
      </w:r>
      <w:r w:rsidRPr="0031181D">
        <w:rPr>
          <w:rFonts w:eastAsia="Songti TC Regular"/>
          <w:color w:val="000000" w:themeColor="text1"/>
        </w:rPr>
        <w:t xml:space="preserve"> In 1982, with calculated brio, Hodges looked to reconfigure the relationship between History and Archaeology, and to set the study of urbanism in post-Roman Europe on a new footing.</w:t>
      </w:r>
      <w:r w:rsidRPr="0031181D">
        <w:rPr>
          <w:rFonts w:eastAsia="Songti TC Regular"/>
          <w:color w:val="000000" w:themeColor="text1"/>
          <w:vertAlign w:val="superscript"/>
        </w:rPr>
        <w:footnoteReference w:id="44"/>
      </w:r>
      <w:r w:rsidRPr="0031181D">
        <w:rPr>
          <w:rFonts w:eastAsia="Songti TC Regular"/>
          <w:color w:val="000000" w:themeColor="text1"/>
        </w:rPr>
        <w:t xml:space="preserve"> Early medieval historians, fixated as they were on the literary and documentary evidence, could see only the story of the city as Henri Pirenne had told it: a Mediterranean urbanism surviving barbarian invasion in the fifth and sixth centuries, but collapsing in the face of the rise of Islam; and then a gap until the recrudescence of long-distance trade in the eleventh century, issuing in the urban centres of the northern Mediterranean (Venice, Genoa) and in the Low Countries (Bruges, Arras).</w:t>
      </w:r>
      <w:r w:rsidRPr="0031181D">
        <w:rPr>
          <w:rFonts w:eastAsia="Songti TC Regular"/>
          <w:color w:val="000000" w:themeColor="text1"/>
          <w:vertAlign w:val="superscript"/>
        </w:rPr>
        <w:footnoteReference w:id="45"/>
      </w:r>
      <w:r w:rsidRPr="0031181D">
        <w:rPr>
          <w:rFonts w:eastAsia="Songti TC Regular"/>
          <w:color w:val="000000" w:themeColor="text1"/>
        </w:rPr>
        <w:t xml:space="preserve"> Hodges posited an entirely different account, based in the archaeological record. The classical city, based on taxation and the administration of justice, did not survive the barbarian invasions unscathed; conversely, western Europe after the conquests of Islam was not in fact bereft of all urban living. Across the seventh century, a new type of settlement emerged, the ‘emporium’. This was a ‘non-place’: it did not register in the literary or documentary record, nor did it enjoy political or ecclesiastical importance. That said, its social and economic presence as witnessed in the archaeological record was palpably real. </w:t>
      </w:r>
    </w:p>
    <w:p w14:paraId="4085F37F"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Hodges drew a distinction between two types of emporium. Type A emporia were impermanent settlements, based on seasonal long distance exchange. The example explored by Hodges was Ipswich, for which the pottery evidence starts from the end of the sixth century, contemporary with the great cemetery at Sutton Hoo. Within a few generations, however, these settlements were replaced by Type B emporia, of which the key example is Hedeby in northern Germany. These were on different sites from the Type A emporia, were more permanent settlements, and they had a different economic basis. Instead of long-distance networks of exchange involving prestige goods, Type B emporia grew out of local exchanges between craftworkers. In a third phase, these emporia were connected back up into networks of long-distance exchange, under the awning of Carolingian power, which itself was nested within the world economic system of the Abbasid caliphate. </w:t>
      </w:r>
    </w:p>
    <w:p w14:paraId="6DDB23F4"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Søren Sindbæk has refined Hodges’ model and his typology.</w:t>
      </w:r>
      <w:r w:rsidRPr="0031181D">
        <w:rPr>
          <w:rFonts w:eastAsia="Songti TC Regular"/>
          <w:color w:val="000000" w:themeColor="text1"/>
          <w:vertAlign w:val="superscript"/>
        </w:rPr>
        <w:t xml:space="preserve"> </w:t>
      </w:r>
      <w:r w:rsidRPr="0031181D">
        <w:rPr>
          <w:rFonts w:eastAsia="Songti TC Regular"/>
          <w:color w:val="000000" w:themeColor="text1"/>
          <w:vertAlign w:val="superscript"/>
        </w:rPr>
        <w:footnoteReference w:id="46"/>
      </w:r>
      <w:r w:rsidRPr="0031181D">
        <w:rPr>
          <w:rFonts w:eastAsia="Songti TC Regular"/>
          <w:color w:val="000000" w:themeColor="text1"/>
        </w:rPr>
        <w:t xml:space="preserve"> He posits a network of ‘nodal points’ (taking a select list of seven: Ribe, Kaupang, Birka, Ahus, Truso, Gross Stroemkendorf, Hedeby). These were key, unfortified centres mediating long-distance traffic with more local craft markets. (that is, combining ‘Type A’ and ‘Type B’ emporia in Hodges’ terms). Sindbæk’s nodal points are not easily plotted in political terms: he indeed insists upon the dynamic quality of these nodes, functioning as they did within networks of exchange whose characteristics ‘cannot be reduced to any one of its properties’.</w:t>
      </w:r>
      <w:r w:rsidRPr="0031181D">
        <w:rPr>
          <w:rFonts w:eastAsia="Songti TC Regular"/>
          <w:color w:val="000000" w:themeColor="text1"/>
          <w:vertAlign w:val="superscript"/>
        </w:rPr>
        <w:t xml:space="preserve"> </w:t>
      </w:r>
    </w:p>
    <w:p w14:paraId="0AFF3929" w14:textId="77777777" w:rsidR="00C84E63" w:rsidRPr="0031181D" w:rsidRDefault="007F6E61">
      <w:pPr>
        <w:spacing w:line="480" w:lineRule="auto"/>
        <w:ind w:left="720"/>
        <w:rPr>
          <w:rFonts w:eastAsia="Songti TC Regular"/>
          <w:color w:val="000000" w:themeColor="text1"/>
        </w:rPr>
      </w:pPr>
      <w:r w:rsidRPr="0031181D">
        <w:rPr>
          <w:rFonts w:eastAsia="Songti TC Regular"/>
          <w:color w:val="000000" w:themeColor="text1"/>
        </w:rPr>
        <w:t>[The emporia] were those sites in the interstices of this small world where foreigners might engage in controlled exchange at periodic intervals. First, these were beach fairs or markets on saints’ days. Dozens, hundreds, perhaps thousands of people would camp together and transact business in valuables that could not be obtained locally. These places, sometimes the precursors of real towns or ports, […] were not towns so much as gatherings, the result of the economic underdevelopment of the post-classical world. Such places remained largely unknown to the writers of the age because they were temporary and without substantive history.</w:t>
      </w:r>
      <w:r w:rsidRPr="0031181D">
        <w:rPr>
          <w:rFonts w:eastAsia="Songti TC Regular"/>
          <w:color w:val="000000" w:themeColor="text1"/>
          <w:vertAlign w:val="superscript"/>
        </w:rPr>
        <w:footnoteReference w:id="47"/>
      </w:r>
      <w:r w:rsidRPr="0031181D">
        <w:rPr>
          <w:rFonts w:eastAsia="Songti TC Regular"/>
          <w:color w:val="000000" w:themeColor="text1"/>
        </w:rPr>
        <w:t xml:space="preserve"> </w:t>
      </w:r>
    </w:p>
    <w:p w14:paraId="7C40948F" w14:textId="77777777" w:rsidR="00C84E63" w:rsidRPr="0031181D" w:rsidRDefault="007F6E61">
      <w:pPr>
        <w:spacing w:line="480" w:lineRule="auto"/>
        <w:rPr>
          <w:rFonts w:eastAsia="Songti TC Regular"/>
          <w:color w:val="000000" w:themeColor="text1"/>
        </w:rPr>
      </w:pPr>
      <w:r w:rsidRPr="0031181D">
        <w:rPr>
          <w:rFonts w:eastAsia="Songti TC Regular"/>
          <w:color w:val="000000" w:themeColor="text1"/>
        </w:rPr>
        <w:t xml:space="preserve">In other words, here we have a European landscape of ‘pop-up’ urbanism very similar to that we have seen explained by Africanists. There is potential here for a breaking of the Childean mould, and a recasting of the city in Europe. </w:t>
      </w:r>
    </w:p>
    <w:p w14:paraId="54903AC4"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So far, however, this potential lies unexploited. For all their seeming boldness, the pioneers who brought us emporia have backed away here. The story ends tamely: emporia fade and give way to the ‘classic’ European city. ‘A phase of demise separates the unfortified emporia in the eighth and early ninth century from the more general urbanisation of north-western Europe’.</w:t>
      </w:r>
      <w:r w:rsidRPr="0031181D">
        <w:rPr>
          <w:rFonts w:eastAsia="Songti TC Regular"/>
          <w:color w:val="000000" w:themeColor="text1"/>
          <w:vertAlign w:val="superscript"/>
        </w:rPr>
        <w:footnoteReference w:id="48"/>
      </w:r>
      <w:r w:rsidRPr="0031181D">
        <w:rPr>
          <w:rFonts w:eastAsia="Songti TC Regular"/>
          <w:color w:val="000000" w:themeColor="text1"/>
        </w:rPr>
        <w:t xml:space="preserve"> Tenth-century towns are seen to have all the vertebrate features — fortifications, mints, royal and ecclesiastical presence — missing from the earlier, teeming, ‘protozoic’ era. Is this accurate, or a failure of interpretative nerve? We return to this question below. </w:t>
      </w:r>
    </w:p>
    <w:p w14:paraId="3C2B651E" w14:textId="77777777" w:rsidR="00C84E63" w:rsidRPr="0031181D" w:rsidRDefault="007F6E61">
      <w:pPr>
        <w:spacing w:line="480" w:lineRule="auto"/>
        <w:ind w:firstLine="720"/>
        <w:rPr>
          <w:rFonts w:eastAsia="Songti TC Regular"/>
          <w:i/>
          <w:color w:val="000000" w:themeColor="text1"/>
        </w:rPr>
      </w:pPr>
      <w:r w:rsidRPr="0031181D">
        <w:rPr>
          <w:rFonts w:eastAsia="Songti TC Regular"/>
          <w:i/>
          <w:color w:val="000000" w:themeColor="text1"/>
        </w:rPr>
        <w:t>Mushroom Towns of East Asia</w:t>
      </w:r>
    </w:p>
    <w:p w14:paraId="67D309A9"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In East Asia the emporia model runs up against a conventionally tight association between cities and the state, but does bear comparison in some subregions and periods. Roughly between the late eighth and thirteenth centuries, a large number of new towns emerged organically, mostly south of the Yellow River </w:t>
      </w:r>
      <w:r w:rsidRPr="0031181D">
        <w:rPr>
          <w:rFonts w:eastAsia="Songti TC Regular"/>
          <w:color w:val="000000" w:themeColor="text1"/>
        </w:rPr>
        <w:t>黃河</w:t>
      </w:r>
      <w:r w:rsidR="007A4037" w:rsidRPr="0031181D">
        <w:rPr>
          <w:rFonts w:eastAsia="Songti TC Regular"/>
          <w:color w:val="000000" w:themeColor="text1"/>
          <w:lang w:val="en-US"/>
        </w:rPr>
        <w:t xml:space="preserve"> (Map 5)</w:t>
      </w:r>
      <w:r w:rsidRPr="0031181D">
        <w:rPr>
          <w:rFonts w:eastAsia="Songti TC Regular"/>
          <w:color w:val="000000" w:themeColor="text1"/>
        </w:rPr>
        <w:t xml:space="preserve">. After the major rebellions of the mid-eighth century, the reach of the Tang </w:t>
      </w:r>
      <w:r w:rsidRPr="0031181D">
        <w:rPr>
          <w:rFonts w:eastAsia="Songti TC Regular"/>
          <w:color w:val="000000" w:themeColor="text1"/>
        </w:rPr>
        <w:t>唐</w:t>
      </w:r>
      <w:r w:rsidRPr="0031181D">
        <w:rPr>
          <w:rFonts w:eastAsia="Songti TC Regular"/>
          <w:color w:val="000000" w:themeColor="text1"/>
        </w:rPr>
        <w:t xml:space="preserve"> (618-907) court weakened while regional leaders acquired autonomous access to economic, fiscal and military resources.</w:t>
      </w:r>
      <w:r w:rsidRPr="0031181D">
        <w:rPr>
          <w:rFonts w:eastAsia="Songti TC Regular"/>
          <w:color w:val="000000" w:themeColor="text1"/>
          <w:vertAlign w:val="superscript"/>
        </w:rPr>
        <w:footnoteReference w:id="49"/>
      </w:r>
      <w:r w:rsidR="00497381" w:rsidRPr="0031181D">
        <w:rPr>
          <w:rFonts w:eastAsia="Songti TC Regular"/>
          <w:color w:val="000000" w:themeColor="text1"/>
        </w:rPr>
        <w:t xml:space="preserve"> Following from </w:t>
      </w:r>
      <w:r w:rsidR="0020592F" w:rsidRPr="0031181D">
        <w:rPr>
          <w:rFonts w:eastAsia="Songti TC Regular"/>
          <w:color w:val="000000" w:themeColor="text1"/>
        </w:rPr>
        <w:t>a</w:t>
      </w:r>
      <w:r w:rsidR="00497381" w:rsidRPr="0031181D">
        <w:rPr>
          <w:rFonts w:eastAsia="Songti TC Regular"/>
          <w:color w:val="000000" w:themeColor="text1"/>
        </w:rPr>
        <w:t xml:space="preserve"> </w:t>
      </w:r>
      <w:r w:rsidR="0020592F" w:rsidRPr="0031181D">
        <w:rPr>
          <w:rFonts w:eastAsia="Songti TC Regular"/>
          <w:color w:val="000000" w:themeColor="text1"/>
        </w:rPr>
        <w:t>key article by</w:t>
      </w:r>
      <w:r w:rsidR="00497381" w:rsidRPr="0031181D">
        <w:rPr>
          <w:rFonts w:eastAsia="Songti TC Regular"/>
          <w:color w:val="000000" w:themeColor="text1"/>
        </w:rPr>
        <w:t xml:space="preserve"> Denis Twitchett</w:t>
      </w:r>
      <w:r w:rsidR="00BA1E03" w:rsidRPr="0031181D">
        <w:rPr>
          <w:rFonts w:eastAsia="Songti TC Regular"/>
          <w:color w:val="000000" w:themeColor="text1"/>
        </w:rPr>
        <w:t xml:space="preserve"> in </w:t>
      </w:r>
      <w:r w:rsidR="0020592F" w:rsidRPr="0031181D">
        <w:rPr>
          <w:rFonts w:eastAsia="Songti TC Regular"/>
          <w:color w:val="000000" w:themeColor="text1"/>
        </w:rPr>
        <w:t>1966</w:t>
      </w:r>
      <w:r w:rsidR="00497381" w:rsidRPr="0031181D">
        <w:rPr>
          <w:rFonts w:eastAsia="Songti TC Regular"/>
          <w:color w:val="000000" w:themeColor="text1"/>
        </w:rPr>
        <w:t xml:space="preserve"> (himself drawing upon </w:t>
      </w:r>
      <w:r w:rsidR="003D5344" w:rsidRPr="0031181D">
        <w:rPr>
          <w:rFonts w:eastAsia="Songti TC Regular"/>
          <w:color w:val="000000" w:themeColor="text1"/>
        </w:rPr>
        <w:t>the</w:t>
      </w:r>
      <w:r w:rsidR="00497381" w:rsidRPr="0031181D">
        <w:rPr>
          <w:rFonts w:eastAsia="Songti TC Regular"/>
          <w:color w:val="000000" w:themeColor="text1"/>
        </w:rPr>
        <w:t xml:space="preserve"> Japanese scholarship), </w:t>
      </w:r>
      <w:r w:rsidR="003D5344" w:rsidRPr="0031181D">
        <w:rPr>
          <w:rFonts w:eastAsia="Songti TC Regular"/>
          <w:color w:val="000000" w:themeColor="text1"/>
        </w:rPr>
        <w:t xml:space="preserve">we </w:t>
      </w:r>
      <w:r w:rsidR="0020592F" w:rsidRPr="0031181D">
        <w:rPr>
          <w:rFonts w:eastAsia="Songti TC Regular"/>
          <w:color w:val="000000" w:themeColor="text1"/>
        </w:rPr>
        <w:t xml:space="preserve">have been </w:t>
      </w:r>
      <w:r w:rsidR="00841D5D" w:rsidRPr="0031181D">
        <w:rPr>
          <w:rFonts w:eastAsia="Songti TC Regular"/>
          <w:color w:val="000000" w:themeColor="text1"/>
        </w:rPr>
        <w:t>acquiring an ever growing</w:t>
      </w:r>
      <w:r w:rsidR="003D5344" w:rsidRPr="0031181D">
        <w:rPr>
          <w:rFonts w:eastAsia="Songti TC Regular"/>
          <w:color w:val="000000" w:themeColor="text1"/>
        </w:rPr>
        <w:t xml:space="preserve"> set of local studies showing how l</w:t>
      </w:r>
      <w:r w:rsidRPr="0031181D">
        <w:rPr>
          <w:rFonts w:eastAsia="Songti TC Regular"/>
          <w:color w:val="000000" w:themeColor="text1"/>
        </w:rPr>
        <w:t xml:space="preserve">arge-scale southward population movement contributed to accelerated economic development especially in the Yangzi </w:t>
      </w:r>
      <w:r w:rsidRPr="0031181D">
        <w:rPr>
          <w:rFonts w:eastAsia="Songti TC Regular"/>
          <w:color w:val="000000" w:themeColor="text1"/>
        </w:rPr>
        <w:t>長江</w:t>
      </w:r>
      <w:r w:rsidRPr="0031181D">
        <w:rPr>
          <w:rFonts w:eastAsia="Songti TC Regular"/>
          <w:color w:val="000000" w:themeColor="text1"/>
        </w:rPr>
        <w:t xml:space="preserve"> valley, which included the growth of many small and medium-sized market towns that were subordinated to but distinct from the formal administrative structure.</w:t>
      </w:r>
      <w:r w:rsidRPr="0031181D">
        <w:rPr>
          <w:rFonts w:eastAsia="Songti TC Regular"/>
          <w:color w:val="000000" w:themeColor="text1"/>
          <w:vertAlign w:val="superscript"/>
        </w:rPr>
        <w:footnoteReference w:id="50"/>
      </w:r>
      <w:r w:rsidRPr="0031181D">
        <w:rPr>
          <w:rFonts w:eastAsia="Songti TC Regular"/>
          <w:color w:val="000000" w:themeColor="text1"/>
        </w:rPr>
        <w:t xml:space="preserve"> </w:t>
      </w:r>
    </w:p>
    <w:p w14:paraId="2626897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These new towns often diverged in numerous ways from the cosmologically, ideologically and politically approved ideal. It was the state’s responsibility to provide (and control) markets, which it located within cities. The classic Chinese city was meant to be, and on the plains around the Yellow River sometimes was, a square with walls and evenly spaced gates, divided internally by a symmetrical, orthogonal street plan. Although the ideal shape might be modified to accommodate the realities of local landscapes, the classic city was above all </w:t>
      </w:r>
      <w:r w:rsidRPr="0031181D">
        <w:rPr>
          <w:rFonts w:eastAsia="Songti TC Regular"/>
          <w:i/>
          <w:color w:val="000000" w:themeColor="text1"/>
        </w:rPr>
        <w:t>planned</w:t>
      </w:r>
      <w:r w:rsidRPr="0031181D">
        <w:rPr>
          <w:rFonts w:eastAsia="Songti TC Regular"/>
          <w:color w:val="000000" w:themeColor="text1"/>
        </w:rPr>
        <w:t xml:space="preserve">, as an essential contribution to the ordering of the empire and the cosmos. Such cities were established as the seat of a court-appointed administrator with responsibility for population registration, tax collection, justice, general administration, policing, hosting military forces </w:t>
      </w:r>
      <w:r w:rsidR="00592F11" w:rsidRPr="0031181D">
        <w:rPr>
          <w:rFonts w:eastAsia="Songti TC Regular"/>
          <w:color w:val="000000" w:themeColor="text1"/>
        </w:rPr>
        <w:t>–</w:t>
      </w:r>
      <w:r w:rsidRPr="0031181D">
        <w:rPr>
          <w:rFonts w:eastAsia="Songti TC Regular"/>
          <w:color w:val="000000" w:themeColor="text1"/>
        </w:rPr>
        <w:t xml:space="preserve"> and the provision of markets. In administrative geographies, a local official’s urban base was rarely distinguished by name from</w:t>
      </w:r>
      <w:r w:rsidR="00EC272D" w:rsidRPr="0031181D">
        <w:rPr>
          <w:rFonts w:eastAsia="Songti TC Regular"/>
          <w:color w:val="000000" w:themeColor="text1"/>
        </w:rPr>
        <w:t xml:space="preserve"> the resource landscape represented by</w:t>
      </w:r>
      <w:r w:rsidRPr="0031181D">
        <w:rPr>
          <w:rFonts w:eastAsia="Songti TC Regular"/>
          <w:color w:val="000000" w:themeColor="text1"/>
        </w:rPr>
        <w:t xml:space="preserve"> its surrounding prefecture or county, so that the empire could be presented as quite literally a hierarchy of cities.</w:t>
      </w:r>
    </w:p>
    <w:p w14:paraId="2F745161"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Although we can sometimes see attempts to maintain the normative layout</w:t>
      </w:r>
      <w:r w:rsidR="00C43A77" w:rsidRPr="0031181D">
        <w:rPr>
          <w:rFonts w:eastAsia="Songti TC Regular"/>
          <w:color w:val="000000" w:themeColor="text1"/>
        </w:rPr>
        <w:t>,</w:t>
      </w:r>
      <w:r w:rsidRPr="0031181D">
        <w:rPr>
          <w:rFonts w:eastAsia="Songti TC Regular"/>
          <w:color w:val="000000" w:themeColor="text1"/>
        </w:rPr>
        <w:t xml:space="preserve"> the new towns in the south were much more often obliged to follow the significant irregularities of a landscape greatly broken up by river valleys, lakes, canals and hills</w:t>
      </w:r>
      <w:r w:rsidR="00002337" w:rsidRPr="0031181D">
        <w:rPr>
          <w:rFonts w:eastAsia="Songti TC Regular"/>
          <w:color w:val="000000" w:themeColor="text1"/>
        </w:rPr>
        <w:t>, and to accommodate growth</w:t>
      </w:r>
      <w:r w:rsidRPr="0031181D">
        <w:rPr>
          <w:rFonts w:eastAsia="Songti TC Regular"/>
          <w:color w:val="000000" w:themeColor="text1"/>
        </w:rPr>
        <w:t xml:space="preserve">. </w:t>
      </w:r>
      <w:r w:rsidR="00855992" w:rsidRPr="0031181D">
        <w:rPr>
          <w:rFonts w:eastAsia="Songti TC Regular"/>
          <w:color w:val="000000" w:themeColor="text1"/>
        </w:rPr>
        <w:t>Even in</w:t>
      </w:r>
      <w:r w:rsidR="00937557" w:rsidRPr="0031181D">
        <w:rPr>
          <w:rFonts w:eastAsia="Songti TC Regular"/>
          <w:color w:val="000000" w:themeColor="text1"/>
        </w:rPr>
        <w:t xml:space="preserve"> a case</w:t>
      </w:r>
      <w:r w:rsidR="00855992" w:rsidRPr="0031181D">
        <w:rPr>
          <w:rFonts w:eastAsia="Songti TC Regular"/>
          <w:color w:val="000000" w:themeColor="text1"/>
        </w:rPr>
        <w:t xml:space="preserve"> like Quanzhou</w:t>
      </w:r>
      <w:r w:rsidR="00C00DB9" w:rsidRPr="0031181D">
        <w:rPr>
          <w:rFonts w:eastAsia="Songti TC Regular"/>
          <w:color w:val="000000" w:themeColor="text1"/>
        </w:rPr>
        <w:t xml:space="preserve"> </w:t>
      </w:r>
      <w:r w:rsidR="00C00DB9" w:rsidRPr="0031181D">
        <w:rPr>
          <w:rFonts w:eastAsia="Songti TC Regular"/>
          <w:color w:val="000000" w:themeColor="text1"/>
        </w:rPr>
        <w:t>泉州</w:t>
      </w:r>
      <w:r w:rsidR="00855992" w:rsidRPr="0031181D">
        <w:rPr>
          <w:rFonts w:eastAsia="Songti TC Regular"/>
          <w:color w:val="000000" w:themeColor="text1"/>
        </w:rPr>
        <w:t>, where the</w:t>
      </w:r>
      <w:r w:rsidR="00937557" w:rsidRPr="0031181D">
        <w:rPr>
          <w:rFonts w:eastAsia="Songti TC Regular"/>
          <w:color w:val="000000" w:themeColor="text1"/>
        </w:rPr>
        <w:t xml:space="preserve"> </w:t>
      </w:r>
      <w:r w:rsidR="009335BB" w:rsidRPr="0031181D">
        <w:rPr>
          <w:rFonts w:eastAsia="Songti TC Regular"/>
          <w:color w:val="000000" w:themeColor="text1"/>
        </w:rPr>
        <w:t xml:space="preserve">first wall, in the eighth </w:t>
      </w:r>
      <w:r w:rsidR="00673839" w:rsidRPr="0031181D">
        <w:rPr>
          <w:rFonts w:eastAsia="Songti TC Regular"/>
          <w:color w:val="000000" w:themeColor="text1"/>
        </w:rPr>
        <w:t>century</w:t>
      </w:r>
      <w:r w:rsidR="009335BB" w:rsidRPr="0031181D">
        <w:rPr>
          <w:rFonts w:eastAsia="Songti TC Regular"/>
          <w:color w:val="000000" w:themeColor="text1"/>
        </w:rPr>
        <w:t xml:space="preserve">, </w:t>
      </w:r>
      <w:r w:rsidR="00855992" w:rsidRPr="0031181D">
        <w:rPr>
          <w:rFonts w:eastAsia="Songti TC Regular"/>
          <w:color w:val="000000" w:themeColor="text1"/>
        </w:rPr>
        <w:t>was square</w:t>
      </w:r>
      <w:r w:rsidR="006A7A9A" w:rsidRPr="0031181D">
        <w:rPr>
          <w:rFonts w:eastAsia="Songti TC Regular"/>
          <w:color w:val="000000" w:themeColor="text1"/>
        </w:rPr>
        <w:t xml:space="preserve">, the city </w:t>
      </w:r>
      <w:r w:rsidR="00BA5DBF" w:rsidRPr="0031181D">
        <w:rPr>
          <w:rFonts w:eastAsia="Songti TC Regular"/>
          <w:color w:val="000000" w:themeColor="text1"/>
        </w:rPr>
        <w:t>had</w:t>
      </w:r>
      <w:r w:rsidR="006A7A9A" w:rsidRPr="0031181D">
        <w:rPr>
          <w:rFonts w:eastAsia="Songti TC Regular"/>
          <w:color w:val="000000" w:themeColor="text1"/>
        </w:rPr>
        <w:t xml:space="preserve"> a</w:t>
      </w:r>
      <w:r w:rsidR="00C952A8" w:rsidRPr="0031181D">
        <w:rPr>
          <w:rFonts w:eastAsia="Songti TC Regular"/>
          <w:color w:val="000000" w:themeColor="text1"/>
        </w:rPr>
        <w:t>n</w:t>
      </w:r>
      <w:r w:rsidR="006A7A9A" w:rsidRPr="0031181D">
        <w:rPr>
          <w:rFonts w:eastAsia="Songti TC Regular"/>
          <w:color w:val="000000" w:themeColor="text1"/>
        </w:rPr>
        <w:t xml:space="preserve"> </w:t>
      </w:r>
      <w:r w:rsidR="00855992" w:rsidRPr="0031181D">
        <w:rPr>
          <w:rFonts w:eastAsia="Songti TC Regular"/>
          <w:color w:val="000000" w:themeColor="text1"/>
        </w:rPr>
        <w:t xml:space="preserve">irregular </w:t>
      </w:r>
      <w:r w:rsidR="00C952A8" w:rsidRPr="0031181D">
        <w:rPr>
          <w:rFonts w:eastAsia="Songti TC Regular"/>
          <w:color w:val="000000" w:themeColor="text1"/>
        </w:rPr>
        <w:t xml:space="preserve">(and longer) </w:t>
      </w:r>
      <w:r w:rsidR="006A7A9A" w:rsidRPr="0031181D">
        <w:rPr>
          <w:rFonts w:eastAsia="Songti TC Regular"/>
          <w:color w:val="000000" w:themeColor="text1"/>
        </w:rPr>
        <w:t xml:space="preserve">wall </w:t>
      </w:r>
      <w:r w:rsidR="00BA5DBF" w:rsidRPr="0031181D">
        <w:rPr>
          <w:rFonts w:eastAsia="Songti TC Regular"/>
          <w:color w:val="000000" w:themeColor="text1"/>
        </w:rPr>
        <w:t>by</w:t>
      </w:r>
      <w:r w:rsidR="006A7A9A" w:rsidRPr="0031181D">
        <w:rPr>
          <w:rFonts w:eastAsia="Songti TC Regular"/>
          <w:color w:val="000000" w:themeColor="text1"/>
        </w:rPr>
        <w:t xml:space="preserve"> the tenth century</w:t>
      </w:r>
      <w:r w:rsidR="00446459" w:rsidRPr="0031181D">
        <w:rPr>
          <w:rFonts w:eastAsia="Songti TC Regular"/>
          <w:color w:val="000000" w:themeColor="text1"/>
        </w:rPr>
        <w:t xml:space="preserve">, and </w:t>
      </w:r>
      <w:r w:rsidR="00C43A77" w:rsidRPr="0031181D">
        <w:rPr>
          <w:rFonts w:eastAsia="Songti TC Regular"/>
          <w:color w:val="000000" w:themeColor="text1"/>
        </w:rPr>
        <w:t xml:space="preserve">in 1230 </w:t>
      </w:r>
      <w:r w:rsidR="00446459" w:rsidRPr="0031181D">
        <w:rPr>
          <w:rFonts w:eastAsia="Songti TC Regular"/>
          <w:color w:val="000000" w:themeColor="text1"/>
        </w:rPr>
        <w:t>incorporated</w:t>
      </w:r>
      <w:r w:rsidR="006A7A9A" w:rsidRPr="0031181D">
        <w:rPr>
          <w:rFonts w:eastAsia="Songti TC Regular"/>
          <w:color w:val="000000" w:themeColor="text1"/>
        </w:rPr>
        <w:t xml:space="preserve"> an extramural ‘foreign merc</w:t>
      </w:r>
      <w:r w:rsidR="00EF2911" w:rsidRPr="0031181D">
        <w:rPr>
          <w:rFonts w:eastAsia="Songti TC Regular"/>
          <w:color w:val="000000" w:themeColor="text1"/>
        </w:rPr>
        <w:t>hant</w:t>
      </w:r>
      <w:r w:rsidR="006A7A9A" w:rsidRPr="0031181D">
        <w:rPr>
          <w:rFonts w:eastAsia="Songti TC Regular"/>
          <w:color w:val="000000" w:themeColor="text1"/>
        </w:rPr>
        <w:t xml:space="preserve"> ghetto’</w:t>
      </w:r>
      <w:r w:rsidR="00855992" w:rsidRPr="0031181D">
        <w:rPr>
          <w:rFonts w:eastAsia="Songti TC Regular"/>
          <w:color w:val="000000" w:themeColor="text1"/>
        </w:rPr>
        <w:t>.</w:t>
      </w:r>
      <w:r w:rsidR="00E43F57" w:rsidRPr="0031181D">
        <w:rPr>
          <w:rStyle w:val="FootnoteReference"/>
          <w:rFonts w:eastAsia="Songti TC Regular"/>
          <w:color w:val="000000" w:themeColor="text1"/>
        </w:rPr>
        <w:footnoteReference w:id="51"/>
      </w:r>
      <w:r w:rsidR="00855992" w:rsidRPr="0031181D">
        <w:rPr>
          <w:rFonts w:eastAsia="Songti TC Regular"/>
          <w:color w:val="000000" w:themeColor="text1"/>
        </w:rPr>
        <w:t xml:space="preserve"> </w:t>
      </w:r>
      <w:r w:rsidRPr="0031181D">
        <w:rPr>
          <w:rFonts w:eastAsia="Songti TC Regular"/>
          <w:color w:val="000000" w:themeColor="text1"/>
        </w:rPr>
        <w:t xml:space="preserve">The origins of these ‘mushroom’ towns and cities was more varied too, arising as they did in a fluid context of settler colonialism. As in an early case in seventh-century Zhangpu county </w:t>
      </w:r>
      <w:r w:rsidRPr="0031181D">
        <w:rPr>
          <w:rFonts w:eastAsia="Songti TC Regular"/>
          <w:color w:val="000000" w:themeColor="text1"/>
        </w:rPr>
        <w:t>漳浦縣</w:t>
      </w:r>
      <w:r w:rsidRPr="0031181D">
        <w:rPr>
          <w:rFonts w:eastAsia="Songti TC Regular"/>
          <w:color w:val="000000" w:themeColor="text1"/>
        </w:rPr>
        <w:t xml:space="preserve"> in the river valleys of Fujian </w:t>
      </w:r>
      <w:r w:rsidRPr="0031181D">
        <w:rPr>
          <w:rFonts w:eastAsia="Songti TC Regular"/>
          <w:color w:val="000000" w:themeColor="text1"/>
        </w:rPr>
        <w:t>福建</w:t>
      </w:r>
      <w:r w:rsidRPr="0031181D">
        <w:rPr>
          <w:rFonts w:eastAsia="Songti TC Regular"/>
          <w:color w:val="000000" w:themeColor="text1"/>
        </w:rPr>
        <w:t xml:space="preserve"> province, expansion by migrants tended to displace earlier inhabitants into yet uncleared forest as the incomers built padi fields and developed agricultural specialisms and often manufacturing.</w:t>
      </w:r>
      <w:r w:rsidRPr="0031181D">
        <w:rPr>
          <w:rFonts w:eastAsia="Songti TC Regular"/>
          <w:color w:val="000000" w:themeColor="text1"/>
          <w:vertAlign w:val="superscript"/>
        </w:rPr>
        <w:footnoteReference w:id="52"/>
      </w:r>
      <w:r w:rsidRPr="0031181D">
        <w:rPr>
          <w:rFonts w:eastAsia="Songti TC Regular"/>
          <w:color w:val="000000" w:themeColor="text1"/>
        </w:rPr>
        <w:t xml:space="preserve"> A good deal of settlement was driven by the great estates of local magnates or Buddhist monasteries, whose varied activities in agriculture, processing, manufacturing, moneylending and services required establishments such as granaries, mills, workshops, shop fronts and offices</w:t>
      </w:r>
      <w:r w:rsidR="0048211E" w:rsidRPr="0031181D">
        <w:rPr>
          <w:rFonts w:eastAsia="Songti TC Regular"/>
          <w:color w:val="000000" w:themeColor="text1"/>
        </w:rPr>
        <w:t xml:space="preserve"> in proximities</w:t>
      </w:r>
      <w:r w:rsidRPr="0031181D">
        <w:rPr>
          <w:rFonts w:eastAsia="Songti TC Regular"/>
          <w:color w:val="000000" w:themeColor="text1"/>
        </w:rPr>
        <w:t xml:space="preserve"> that could foster urbanisation.</w:t>
      </w:r>
      <w:r w:rsidR="00D16285" w:rsidRPr="0031181D">
        <w:rPr>
          <w:rStyle w:val="FootnoteReference"/>
          <w:rFonts w:eastAsia="Songti TC Regular"/>
          <w:color w:val="000000" w:themeColor="text1"/>
        </w:rPr>
        <w:footnoteReference w:id="53"/>
      </w:r>
      <w:r w:rsidRPr="0031181D">
        <w:rPr>
          <w:rFonts w:eastAsia="Songti TC Regular"/>
          <w:color w:val="000000" w:themeColor="text1"/>
        </w:rPr>
        <w:t xml:space="preserve"> In other places, markets and communication hubs could grow into ‘half-towns’, larger towns or cities, which might well lack walls, as at</w:t>
      </w:r>
      <w:r w:rsidR="00B96F73" w:rsidRPr="0031181D">
        <w:rPr>
          <w:rFonts w:eastAsia="Songti TC Regular"/>
          <w:color w:val="000000" w:themeColor="text1"/>
        </w:rPr>
        <w:t xml:space="preserve"> the town of</w:t>
      </w:r>
      <w:r w:rsidRPr="0031181D">
        <w:rPr>
          <w:rFonts w:eastAsia="Songti TC Regular"/>
          <w:color w:val="000000" w:themeColor="text1"/>
        </w:rPr>
        <w:t xml:space="preserve"> Ganshuizhen </w:t>
      </w:r>
      <w:r w:rsidRPr="0031181D">
        <w:rPr>
          <w:rFonts w:eastAsia="Songti TC Regular"/>
          <w:color w:val="000000" w:themeColor="text1"/>
        </w:rPr>
        <w:t>甘水鎮</w:t>
      </w:r>
      <w:r w:rsidRPr="0031181D">
        <w:rPr>
          <w:rFonts w:eastAsia="Songti TC Regular"/>
          <w:color w:val="000000" w:themeColor="text1"/>
        </w:rPr>
        <w:t xml:space="preserve"> (as w</w:t>
      </w:r>
      <w:r w:rsidR="004754B6" w:rsidRPr="0031181D">
        <w:rPr>
          <w:rFonts w:eastAsia="Songti TC Regular"/>
          <w:color w:val="000000" w:themeColor="text1"/>
        </w:rPr>
        <w:t>ell as at least six county seat</w:t>
      </w:r>
      <w:r w:rsidR="00E43CD4" w:rsidRPr="0031181D">
        <w:rPr>
          <w:rFonts w:eastAsia="Songti TC Regular"/>
          <w:color w:val="000000" w:themeColor="text1"/>
        </w:rPr>
        <w:t>s: cities</w:t>
      </w:r>
      <w:r w:rsidR="00A94CB1" w:rsidRPr="0031181D">
        <w:rPr>
          <w:rFonts w:eastAsia="Songti TC Regular"/>
          <w:color w:val="000000" w:themeColor="text1"/>
        </w:rPr>
        <w:t xml:space="preserve"> by definition</w:t>
      </w:r>
      <w:r w:rsidRPr="0031181D">
        <w:rPr>
          <w:rFonts w:eastAsia="Songti TC Regular"/>
          <w:color w:val="000000" w:themeColor="text1"/>
        </w:rPr>
        <w:t>) in the Yangzi delta.</w:t>
      </w:r>
      <w:r w:rsidRPr="0031181D">
        <w:rPr>
          <w:rFonts w:eastAsia="Songti TC Regular"/>
          <w:color w:val="000000" w:themeColor="text1"/>
          <w:vertAlign w:val="superscript"/>
        </w:rPr>
        <w:footnoteReference w:id="54"/>
      </w:r>
      <w:r w:rsidRPr="0031181D">
        <w:rPr>
          <w:rFonts w:eastAsia="Songti TC Regular"/>
          <w:color w:val="000000" w:themeColor="text1"/>
        </w:rPr>
        <w:t xml:space="preserve"> On a somewhat different trajectory, outposts of colonial civil or military authority sometimes attracted services and suppliers and became the walled core for expanding collections of suburbs, as at Yangzhou </w:t>
      </w:r>
      <w:r w:rsidRPr="0031181D">
        <w:rPr>
          <w:rFonts w:eastAsia="Songti TC Regular"/>
          <w:color w:val="000000" w:themeColor="text1"/>
        </w:rPr>
        <w:t>揚州</w:t>
      </w:r>
      <w:r w:rsidRPr="0031181D">
        <w:rPr>
          <w:rFonts w:eastAsia="Songti TC Regular"/>
          <w:color w:val="000000" w:themeColor="text1"/>
        </w:rPr>
        <w:t>.</w:t>
      </w:r>
      <w:r w:rsidRPr="0031181D">
        <w:rPr>
          <w:rFonts w:eastAsia="Songti TC Regular"/>
          <w:color w:val="000000" w:themeColor="text1"/>
          <w:vertAlign w:val="superscript"/>
        </w:rPr>
        <w:footnoteReference w:id="55"/>
      </w:r>
      <w:r w:rsidRPr="0031181D">
        <w:rPr>
          <w:rFonts w:eastAsia="Songti TC Regular"/>
          <w:color w:val="000000" w:themeColor="text1"/>
        </w:rPr>
        <w:t xml:space="preserve"> Like the ideal Chinese city, the organic towns provided a backbone for populations with social and occupational differentiation, and were permanently located in an agricultural hinterland, but now they might just as readily exploit as service the rural producers</w:t>
      </w:r>
      <w:r w:rsidRPr="0031181D">
        <w:rPr>
          <w:rFonts w:eastAsia="Songti TC Regular"/>
          <w:color w:val="000000" w:themeColor="text1"/>
          <w:vertAlign w:val="superscript"/>
        </w:rPr>
        <w:footnoteReference w:id="56"/>
      </w:r>
      <w:r w:rsidRPr="0031181D">
        <w:rPr>
          <w:rFonts w:eastAsia="Songti TC Regular"/>
          <w:color w:val="000000" w:themeColor="text1"/>
        </w:rPr>
        <w:t xml:space="preserve"> and </w:t>
      </w:r>
      <w:r w:rsidR="009F6AF0" w:rsidRPr="0031181D">
        <w:rPr>
          <w:rFonts w:eastAsia="Songti TC Regular"/>
          <w:color w:val="000000" w:themeColor="text1"/>
        </w:rPr>
        <w:t xml:space="preserve">we know from efforts to suppress </w:t>
      </w:r>
      <w:r w:rsidR="00D33649" w:rsidRPr="0031181D">
        <w:rPr>
          <w:rFonts w:eastAsia="Songti TC Regular"/>
          <w:color w:val="000000" w:themeColor="text1"/>
        </w:rPr>
        <w:t xml:space="preserve">some of </w:t>
      </w:r>
      <w:r w:rsidR="009F6AF0" w:rsidRPr="0031181D">
        <w:rPr>
          <w:rFonts w:eastAsia="Songti TC Regular"/>
          <w:color w:val="000000" w:themeColor="text1"/>
        </w:rPr>
        <w:t xml:space="preserve">them that </w:t>
      </w:r>
      <w:r w:rsidRPr="0031181D">
        <w:rPr>
          <w:rFonts w:eastAsia="Songti TC Regular"/>
          <w:color w:val="000000" w:themeColor="text1"/>
        </w:rPr>
        <w:t xml:space="preserve">many </w:t>
      </w:r>
      <w:r w:rsidR="00D33649" w:rsidRPr="0031181D">
        <w:rPr>
          <w:rFonts w:eastAsia="Songti TC Regular"/>
          <w:color w:val="000000" w:themeColor="text1"/>
        </w:rPr>
        <w:t>existed outside</w:t>
      </w:r>
      <w:r w:rsidRPr="0031181D">
        <w:rPr>
          <w:rFonts w:eastAsia="Songti TC Regular"/>
          <w:color w:val="000000" w:themeColor="text1"/>
        </w:rPr>
        <w:t xml:space="preserve"> state-defined hierarch</w:t>
      </w:r>
      <w:r w:rsidR="00DF4A7B" w:rsidRPr="0031181D">
        <w:rPr>
          <w:rFonts w:eastAsia="Songti TC Regular"/>
          <w:color w:val="000000" w:themeColor="text1"/>
        </w:rPr>
        <w:t>ies</w:t>
      </w:r>
      <w:r w:rsidRPr="0031181D">
        <w:rPr>
          <w:rFonts w:eastAsia="Songti TC Regular"/>
          <w:color w:val="000000" w:themeColor="text1"/>
        </w:rPr>
        <w:t>.</w:t>
      </w:r>
      <w:r w:rsidR="001F7C07" w:rsidRPr="0031181D">
        <w:rPr>
          <w:rStyle w:val="FootnoteReference"/>
          <w:rFonts w:eastAsia="Songti TC Regular"/>
          <w:color w:val="000000" w:themeColor="text1"/>
        </w:rPr>
        <w:footnoteReference w:id="57"/>
      </w:r>
    </w:p>
    <w:p w14:paraId="1C62C41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In not a few cases the new centres, regardless of their origins, became more economically important than the county or prefectural town where the local magistrate resided, but prosperity was not a reason by itself for transferring the loci of administrative authority, nor for increasing the number of administrative centres.</w:t>
      </w:r>
      <w:r w:rsidRPr="0031181D">
        <w:rPr>
          <w:rFonts w:eastAsia="Songti TC Regular"/>
          <w:color w:val="000000" w:themeColor="text1"/>
          <w:vertAlign w:val="superscript"/>
        </w:rPr>
        <w:footnoteReference w:id="58"/>
      </w:r>
      <w:r w:rsidRPr="0031181D">
        <w:rPr>
          <w:rFonts w:eastAsia="Songti TC Regular"/>
          <w:color w:val="000000" w:themeColor="text1"/>
        </w:rPr>
        <w:t xml:space="preserve"> During the eleventh and twelfth centuries there were repeated reorganisations of administrative geography driven by political arguments over revenue, defensibility, irredentism and local interests, but while prefectures and counties were frequently abolished in some places and created in others, the overall numbers of administrative districts could remain relatively static for centuries.</w:t>
      </w:r>
      <w:r w:rsidRPr="0031181D">
        <w:rPr>
          <w:rFonts w:eastAsia="Songti TC Regular"/>
          <w:color w:val="000000" w:themeColor="text1"/>
          <w:vertAlign w:val="superscript"/>
        </w:rPr>
        <w:footnoteReference w:id="59"/>
      </w:r>
    </w:p>
    <w:p w14:paraId="140975A2"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Perhaps ironically, the increasing legibility to central government of the elements of the centrally appointed administrative hierarchy seems to have been, at least partly, enabled by the increased revenues collected from the organic network of often unrecorded commercial towns, which were too numerous for many to be subsumed into governmental structures.</w:t>
      </w:r>
      <w:r w:rsidRPr="0031181D">
        <w:rPr>
          <w:rFonts w:eastAsia="Songti TC Regular"/>
          <w:color w:val="000000" w:themeColor="text1"/>
          <w:vertAlign w:val="superscript"/>
        </w:rPr>
        <w:footnoteReference w:id="60"/>
      </w:r>
      <w:r w:rsidRPr="0031181D">
        <w:rPr>
          <w:rFonts w:eastAsia="Songti TC Regular"/>
          <w:color w:val="000000" w:themeColor="text1"/>
        </w:rPr>
        <w:t xml:space="preserve"> These urban centres did have coercive functions to varying degrees, primarily </w:t>
      </w:r>
      <w:r w:rsidR="00383A49" w:rsidRPr="0031181D">
        <w:rPr>
          <w:rFonts w:eastAsia="Songti TC Regular"/>
          <w:color w:val="000000" w:themeColor="text1"/>
        </w:rPr>
        <w:t>–</w:t>
      </w:r>
      <w:r w:rsidRPr="0031181D">
        <w:rPr>
          <w:rFonts w:eastAsia="Songti TC Regular"/>
          <w:color w:val="000000" w:themeColor="text1"/>
        </w:rPr>
        <w:t xml:space="preserve"> for those with a guise as tax collection stations </w:t>
      </w:r>
      <w:r w:rsidR="00383A49" w:rsidRPr="0031181D">
        <w:rPr>
          <w:rFonts w:eastAsia="Songti TC Regular"/>
          <w:color w:val="000000" w:themeColor="text1"/>
        </w:rPr>
        <w:t>–</w:t>
      </w:r>
      <w:r w:rsidRPr="0031181D">
        <w:rPr>
          <w:rFonts w:eastAsia="Songti TC Regular"/>
          <w:color w:val="000000" w:themeColor="text1"/>
        </w:rPr>
        <w:t xml:space="preserve"> as sources of government revenue, or as nodes of communication and trade for colonists, or as bases for their military backers. But although things like new agricultural techniques were disseminated through government channels, many of the new urban centres in the south were not the local outposts of top-down authority imagined by a cosmological orthodoxy that would be familiar to Childe</w:t>
      </w:r>
      <w:r w:rsidR="00B14E52" w:rsidRPr="0031181D">
        <w:rPr>
          <w:rFonts w:eastAsia="Songti TC Regular"/>
          <w:color w:val="000000" w:themeColor="text1"/>
        </w:rPr>
        <w:t>, and which would have allowed them to become ‘classic’ towns</w:t>
      </w:r>
      <w:r w:rsidR="009968F5" w:rsidRPr="0031181D">
        <w:rPr>
          <w:rFonts w:eastAsia="Songti TC Regular"/>
          <w:color w:val="000000" w:themeColor="text1"/>
        </w:rPr>
        <w:t xml:space="preserve"> in the Chinese context</w:t>
      </w:r>
      <w:r w:rsidRPr="0031181D">
        <w:rPr>
          <w:rFonts w:eastAsia="Songti TC Regular"/>
          <w:color w:val="000000" w:themeColor="text1"/>
        </w:rPr>
        <w:t xml:space="preserve">. Instead the emerging </w:t>
      </w:r>
      <w:r w:rsidR="0073718C" w:rsidRPr="0031181D">
        <w:rPr>
          <w:rFonts w:eastAsia="Songti TC Regular"/>
          <w:color w:val="000000" w:themeColor="text1"/>
        </w:rPr>
        <w:t>urban sites</w:t>
      </w:r>
      <w:r w:rsidRPr="0031181D">
        <w:rPr>
          <w:rFonts w:eastAsia="Songti TC Regular"/>
          <w:color w:val="000000" w:themeColor="text1"/>
        </w:rPr>
        <w:t xml:space="preserve"> were much more the products of the bottom-up – or at least, middle-out – aspects of rapid economic expansion and diversification that outstripped government efforts at control, and often even management. </w:t>
      </w:r>
      <w:r w:rsidR="00FC3738" w:rsidRPr="0031181D">
        <w:rPr>
          <w:rFonts w:eastAsia="Songti TC Regular"/>
          <w:color w:val="000000" w:themeColor="text1"/>
        </w:rPr>
        <w:t>One result is that it</w:t>
      </w:r>
      <w:r w:rsidR="0015559E" w:rsidRPr="0031181D">
        <w:rPr>
          <w:rFonts w:eastAsia="Songti TC Regular"/>
          <w:color w:val="000000" w:themeColor="text1"/>
        </w:rPr>
        <w:t xml:space="preserve"> was no longer clear what a city was.</w:t>
      </w:r>
    </w:p>
    <w:p w14:paraId="49F28212"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Despite – or perhaps because </w:t>
      </w:r>
      <w:r w:rsidR="00AB2E62" w:rsidRPr="0031181D">
        <w:rPr>
          <w:rFonts w:eastAsia="Songti TC Regular"/>
          <w:color w:val="000000" w:themeColor="text1"/>
        </w:rPr>
        <w:t>–</w:t>
      </w:r>
      <w:r w:rsidRPr="0031181D">
        <w:rPr>
          <w:rFonts w:eastAsia="Songti TC Regular"/>
          <w:color w:val="000000" w:themeColor="text1"/>
        </w:rPr>
        <w:t xml:space="preserve"> of the disconnect from government authority, urban centres, without distinction between ‘classic’ or ‘organic’ origins, are commonly cast as sites of social developments featuring competition </w:t>
      </w:r>
      <w:r w:rsidR="005872F2" w:rsidRPr="0031181D">
        <w:rPr>
          <w:rFonts w:eastAsia="Songti TC Regular"/>
          <w:color w:val="000000" w:themeColor="text1"/>
        </w:rPr>
        <w:t>featuring</w:t>
      </w:r>
      <w:r w:rsidRPr="0031181D">
        <w:rPr>
          <w:rFonts w:eastAsia="Songti TC Regular"/>
          <w:color w:val="000000" w:themeColor="text1"/>
        </w:rPr>
        <w:t xml:space="preserve"> old elites, a new literati class and rising mercantile wealth.</w:t>
      </w:r>
      <w:r w:rsidR="00122528" w:rsidRPr="0031181D">
        <w:rPr>
          <w:rStyle w:val="FootnoteReference"/>
          <w:rFonts w:eastAsia="Songti TC Regular"/>
          <w:color w:val="000000" w:themeColor="text1"/>
        </w:rPr>
        <w:footnoteReference w:id="61"/>
      </w:r>
      <w:r w:rsidRPr="0031181D">
        <w:rPr>
          <w:rFonts w:eastAsia="Songti TC Regular"/>
          <w:color w:val="000000" w:themeColor="text1"/>
        </w:rPr>
        <w:t xml:space="preserve"> </w:t>
      </w:r>
      <w:r w:rsidR="00B3277E" w:rsidRPr="0031181D">
        <w:rPr>
          <w:rFonts w:eastAsia="Songti TC Regular"/>
          <w:color w:val="000000" w:themeColor="text1"/>
        </w:rPr>
        <w:t xml:space="preserve">Despite </w:t>
      </w:r>
      <w:r w:rsidR="008D4C98" w:rsidRPr="0031181D">
        <w:rPr>
          <w:rFonts w:eastAsia="Songti TC Regular"/>
          <w:color w:val="000000" w:themeColor="text1"/>
        </w:rPr>
        <w:t>this diversity, these we</w:t>
      </w:r>
      <w:r w:rsidR="00851000" w:rsidRPr="0031181D">
        <w:rPr>
          <w:rFonts w:eastAsia="Songti TC Regular"/>
          <w:color w:val="000000" w:themeColor="text1"/>
        </w:rPr>
        <w:t>re not</w:t>
      </w:r>
      <w:r w:rsidR="00B16F5E" w:rsidRPr="0031181D">
        <w:rPr>
          <w:rFonts w:eastAsia="Songti TC Regular"/>
          <w:color w:val="000000" w:themeColor="text1"/>
        </w:rPr>
        <w:t>, or not only,</w:t>
      </w:r>
      <w:r w:rsidR="00851000" w:rsidRPr="0031181D">
        <w:rPr>
          <w:rFonts w:eastAsia="Songti TC Regular"/>
          <w:color w:val="000000" w:themeColor="text1"/>
        </w:rPr>
        <w:t xml:space="preserve"> centres of</w:t>
      </w:r>
      <w:r w:rsidR="00B16F5E" w:rsidRPr="0031181D">
        <w:rPr>
          <w:rFonts w:eastAsia="Songti TC Regular"/>
          <w:color w:val="000000" w:themeColor="text1"/>
        </w:rPr>
        <w:t xml:space="preserve"> voluntaristic</w:t>
      </w:r>
      <w:r w:rsidR="00851000" w:rsidRPr="0031181D">
        <w:rPr>
          <w:rFonts w:eastAsia="Songti TC Regular"/>
          <w:color w:val="000000" w:themeColor="text1"/>
        </w:rPr>
        <w:t xml:space="preserve"> urban composition. </w:t>
      </w:r>
      <w:r w:rsidR="005B00B2" w:rsidRPr="0031181D">
        <w:rPr>
          <w:rFonts w:eastAsia="Songti TC Regular"/>
          <w:color w:val="000000" w:themeColor="text1"/>
        </w:rPr>
        <w:t>Rather</w:t>
      </w:r>
      <w:r w:rsidRPr="0031181D">
        <w:rPr>
          <w:rFonts w:eastAsia="Songti TC Regular"/>
          <w:color w:val="000000" w:themeColor="text1"/>
        </w:rPr>
        <w:t xml:space="preserve">, </w:t>
      </w:r>
      <w:r w:rsidR="008D4C98" w:rsidRPr="0031181D">
        <w:rPr>
          <w:rFonts w:eastAsia="Songti TC Regular"/>
          <w:color w:val="000000" w:themeColor="text1"/>
        </w:rPr>
        <w:t xml:space="preserve">both primary and secondary materials present these </w:t>
      </w:r>
      <w:r w:rsidRPr="0031181D">
        <w:rPr>
          <w:rFonts w:eastAsia="Songti TC Regular"/>
          <w:color w:val="000000" w:themeColor="text1"/>
        </w:rPr>
        <w:t>sites</w:t>
      </w:r>
      <w:r w:rsidR="00FE0DF4" w:rsidRPr="0031181D">
        <w:rPr>
          <w:rFonts w:eastAsia="Songti TC Regular"/>
          <w:color w:val="000000" w:themeColor="text1"/>
        </w:rPr>
        <w:t>, often implicitly,</w:t>
      </w:r>
      <w:r w:rsidRPr="0031181D">
        <w:rPr>
          <w:rFonts w:eastAsia="Songti TC Regular"/>
          <w:color w:val="000000" w:themeColor="text1"/>
        </w:rPr>
        <w:t xml:space="preserve"> as engines of a </w:t>
      </w:r>
      <w:r w:rsidRPr="0031181D">
        <w:rPr>
          <w:rFonts w:eastAsia="Songti TC Regular"/>
          <w:i/>
          <w:color w:val="000000" w:themeColor="text1"/>
        </w:rPr>
        <w:t>mission civilisatrice</w:t>
      </w:r>
      <w:r w:rsidRPr="0031181D">
        <w:rPr>
          <w:rFonts w:eastAsia="Songti TC Regular"/>
          <w:color w:val="000000" w:themeColor="text1"/>
        </w:rPr>
        <w:t>, securing the implantation of hard-won agricultural productivity upon ‘wasteland’ by providing markets and nodes of communication, and manufacturing sites feeding booming commercial demand both domestic and foreign.</w:t>
      </w:r>
      <w:r w:rsidRPr="0031181D">
        <w:rPr>
          <w:rFonts w:eastAsia="Songti TC Regular"/>
          <w:color w:val="000000" w:themeColor="text1"/>
          <w:vertAlign w:val="superscript"/>
        </w:rPr>
        <w:footnoteReference w:id="62"/>
      </w:r>
      <w:r w:rsidR="00E5425D" w:rsidRPr="0031181D">
        <w:rPr>
          <w:rFonts w:eastAsia="Songti TC Regular"/>
          <w:color w:val="000000" w:themeColor="text1"/>
        </w:rPr>
        <w:t xml:space="preserve"> </w:t>
      </w:r>
      <w:r w:rsidR="004D1FA3" w:rsidRPr="0031181D">
        <w:rPr>
          <w:rFonts w:eastAsia="Songti TC Regular"/>
          <w:color w:val="000000" w:themeColor="text1"/>
        </w:rPr>
        <w:t xml:space="preserve">What </w:t>
      </w:r>
      <w:r w:rsidR="00B3277E" w:rsidRPr="0031181D">
        <w:rPr>
          <w:rFonts w:eastAsia="Songti TC Regular"/>
          <w:color w:val="000000" w:themeColor="text1"/>
        </w:rPr>
        <w:t>this means is that o</w:t>
      </w:r>
      <w:r w:rsidRPr="0031181D">
        <w:rPr>
          <w:rFonts w:eastAsia="Songti TC Regular"/>
          <w:color w:val="000000" w:themeColor="text1"/>
        </w:rPr>
        <w:t xml:space="preserve">rganic </w:t>
      </w:r>
      <w:r w:rsidR="00A859D0" w:rsidRPr="0031181D">
        <w:rPr>
          <w:rFonts w:eastAsia="Songti TC Regular"/>
          <w:color w:val="000000" w:themeColor="text1"/>
        </w:rPr>
        <w:t xml:space="preserve">towns and </w:t>
      </w:r>
      <w:r w:rsidRPr="0031181D">
        <w:rPr>
          <w:rFonts w:eastAsia="Songti TC Regular"/>
          <w:color w:val="000000" w:themeColor="text1"/>
        </w:rPr>
        <w:t>cities as much as their state-planned counterparts contributed to processes of colonial displacement, violence and environmental destruction,</w:t>
      </w:r>
      <w:r w:rsidRPr="0031181D">
        <w:rPr>
          <w:rFonts w:eastAsia="Songti TC Regular"/>
          <w:color w:val="000000" w:themeColor="text1"/>
          <w:vertAlign w:val="superscript"/>
        </w:rPr>
        <w:footnoteReference w:id="63"/>
      </w:r>
      <w:r w:rsidRPr="0031181D">
        <w:rPr>
          <w:rFonts w:eastAsia="Songti TC Regular"/>
          <w:color w:val="000000" w:themeColor="text1"/>
        </w:rPr>
        <w:t xml:space="preserve"> </w:t>
      </w:r>
      <w:r w:rsidR="003419CD" w:rsidRPr="0031181D">
        <w:rPr>
          <w:rFonts w:eastAsia="Songti TC Regular"/>
          <w:color w:val="000000" w:themeColor="text1"/>
        </w:rPr>
        <w:t>which</w:t>
      </w:r>
      <w:r w:rsidRPr="0031181D">
        <w:rPr>
          <w:rFonts w:eastAsia="Songti TC Regular"/>
          <w:color w:val="000000" w:themeColor="text1"/>
        </w:rPr>
        <w:t xml:space="preserve"> is much less part of the story that Childe wanted to tell. </w:t>
      </w:r>
    </w:p>
    <w:p w14:paraId="7774CB8C"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 </w:t>
      </w:r>
    </w:p>
    <w:p w14:paraId="56B19FFC" w14:textId="77777777" w:rsidR="00C84E63" w:rsidRPr="0031181D" w:rsidRDefault="007F6E61">
      <w:pPr>
        <w:numPr>
          <w:ilvl w:val="0"/>
          <w:numId w:val="1"/>
        </w:numPr>
        <w:spacing w:line="480" w:lineRule="auto"/>
        <w:ind w:left="0" w:firstLine="720"/>
        <w:contextualSpacing/>
        <w:rPr>
          <w:rFonts w:eastAsia="Songti TC Regular"/>
          <w:b/>
          <w:color w:val="000000" w:themeColor="text1"/>
        </w:rPr>
      </w:pPr>
      <w:bookmarkStart w:id="2" w:name="_gjdgxs" w:colFirst="0" w:colLast="0"/>
      <w:bookmarkEnd w:id="2"/>
      <w:r w:rsidRPr="0031181D">
        <w:rPr>
          <w:rFonts w:eastAsia="Songti TC Regular"/>
          <w:b/>
          <w:color w:val="000000" w:themeColor="text1"/>
        </w:rPr>
        <w:t>Urban Narratives</w:t>
      </w:r>
    </w:p>
    <w:p w14:paraId="77537690" w14:textId="77777777" w:rsidR="00C84E63" w:rsidRPr="0031181D" w:rsidRDefault="007F6E61" w:rsidP="001A2FDA">
      <w:pPr>
        <w:spacing w:line="480" w:lineRule="auto"/>
        <w:ind w:firstLine="720"/>
        <w:rPr>
          <w:rFonts w:eastAsia="Songti TC Regular"/>
          <w:color w:val="000000" w:themeColor="text1"/>
        </w:rPr>
      </w:pPr>
      <w:r w:rsidRPr="0031181D">
        <w:rPr>
          <w:rFonts w:eastAsia="Songti TC Regular"/>
          <w:color w:val="000000" w:themeColor="text1"/>
        </w:rPr>
        <w:t>If we attempt to take seriously these multiple urban forms in Africa, Europe and Asia; if we try to understand them as effective alternatives to a monothetic urban narrative; how then are we to understand the transition from emporia to ‘classic’ towns?</w:t>
      </w:r>
      <w:r w:rsidR="00860195" w:rsidRPr="0031181D">
        <w:rPr>
          <w:rFonts w:eastAsia="Songti TC Regular"/>
          <w:color w:val="000000" w:themeColor="text1"/>
        </w:rPr>
        <w:t xml:space="preserve"> </w:t>
      </w:r>
      <w:r w:rsidRPr="0031181D">
        <w:rPr>
          <w:rFonts w:eastAsia="Songti TC Regular"/>
          <w:color w:val="000000" w:themeColor="text1"/>
        </w:rPr>
        <w:t>There are two possibilities. We may accept that there is change in the mode of production and/or exchange and look to explain it. This has been and remains a subject of intensive debate, to which we do not seek directly to contribute here.</w:t>
      </w:r>
      <w:r w:rsidRPr="0031181D">
        <w:rPr>
          <w:rFonts w:eastAsia="Songti TC Regular"/>
          <w:color w:val="000000" w:themeColor="text1"/>
          <w:vertAlign w:val="superscript"/>
        </w:rPr>
        <w:footnoteReference w:id="64"/>
      </w:r>
      <w:r w:rsidRPr="0031181D">
        <w:rPr>
          <w:rFonts w:eastAsia="Songti TC Regular"/>
          <w:color w:val="000000" w:themeColor="text1"/>
        </w:rPr>
        <w:t xml:space="preserve"> </w:t>
      </w:r>
    </w:p>
    <w:p w14:paraId="57F8615B" w14:textId="4FF0366F"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other, more disarming, possibility is that ‘urban development’ is an optical illusion — or, less extreme, is a function of narrative as much as of change on the ground. In the African context, continuity of authority and of urban tradition often far exceeded the longevity of individual settlements. In Chinese-language sources, standardised information on administrative hierarchies tidies up a variety that emerges most clearly from archaeology. What happens in Europe in the Carolingian and post-Carolingian period is not, or not only a social, but a literary revolution, in which emporia, the ‘non-places’ of the Dark Age world, or some of them, were made permanent through their incorporation in ‘substantive’ history. From study of the post-Roman West, we know that there is often a divergence between the constructs of literary record and the urban structures on the ground. The sixth-century bishops of Arles and of Tours, for example, give a misleadingly grand impression of the shrunken cities over which they presided.</w:t>
      </w:r>
      <w:r w:rsidRPr="0031181D">
        <w:rPr>
          <w:rFonts w:eastAsia="Songti TC Regular"/>
          <w:color w:val="000000" w:themeColor="text1"/>
          <w:vertAlign w:val="superscript"/>
        </w:rPr>
        <w:footnoteReference w:id="65"/>
      </w:r>
      <w:r w:rsidRPr="0031181D">
        <w:rPr>
          <w:rFonts w:eastAsia="Songti TC Regular"/>
          <w:color w:val="000000" w:themeColor="text1"/>
        </w:rPr>
        <w:t xml:space="preserve"> Narrative here looks at best like calculated nostalgia, at worst a form of wilful denial.</w:t>
      </w:r>
      <w:r w:rsidR="00861369" w:rsidRPr="0031181D">
        <w:rPr>
          <w:rFonts w:eastAsia="Songti TC Regular"/>
          <w:color w:val="000000" w:themeColor="text1"/>
        </w:rPr>
        <w:t xml:space="preserve"> Rewriting the past can be productive, however: w</w:t>
      </w:r>
      <w:r w:rsidR="00F71410" w:rsidRPr="0031181D">
        <w:rPr>
          <w:rFonts w:eastAsia="Songti TC Regular"/>
          <w:color w:val="000000" w:themeColor="text1"/>
        </w:rPr>
        <w:t>hat we explore</w:t>
      </w:r>
      <w:r w:rsidR="00861369" w:rsidRPr="0031181D">
        <w:rPr>
          <w:rFonts w:eastAsia="Songti TC Regular"/>
          <w:color w:val="000000" w:themeColor="text1"/>
        </w:rPr>
        <w:t xml:space="preserve"> </w:t>
      </w:r>
      <w:r w:rsidR="00F71410" w:rsidRPr="0031181D">
        <w:rPr>
          <w:rFonts w:eastAsia="Songti TC Regular"/>
          <w:color w:val="000000" w:themeColor="text1"/>
        </w:rPr>
        <w:t>in the rest of this chapter</w:t>
      </w:r>
      <w:r w:rsidR="00861369" w:rsidRPr="0031181D">
        <w:rPr>
          <w:rFonts w:eastAsia="Songti TC Regular"/>
          <w:color w:val="000000" w:themeColor="text1"/>
        </w:rPr>
        <w:t xml:space="preserve">, </w:t>
      </w:r>
      <w:r w:rsidR="00613B66" w:rsidRPr="0031181D">
        <w:rPr>
          <w:rFonts w:eastAsia="Songti TC Regular"/>
          <w:color w:val="000000" w:themeColor="text1"/>
        </w:rPr>
        <w:t xml:space="preserve">is the function </w:t>
      </w:r>
      <w:r w:rsidR="00861369" w:rsidRPr="0031181D">
        <w:rPr>
          <w:rFonts w:eastAsia="Songti TC Regular"/>
          <w:color w:val="000000" w:themeColor="text1"/>
        </w:rPr>
        <w:t>of urban narrative in Afroeurasia around the turn of the first millennium</w:t>
      </w:r>
      <w:r w:rsidR="00613B66" w:rsidRPr="0031181D">
        <w:rPr>
          <w:rFonts w:eastAsia="Songti TC Regular"/>
          <w:color w:val="000000" w:themeColor="text1"/>
        </w:rPr>
        <w:t>.</w:t>
      </w:r>
      <w:r w:rsidR="00861369" w:rsidRPr="0031181D">
        <w:rPr>
          <w:rFonts w:eastAsia="Songti TC Regular"/>
          <w:color w:val="000000" w:themeColor="text1"/>
        </w:rPr>
        <w:t xml:space="preserve"> </w:t>
      </w:r>
    </w:p>
    <w:p w14:paraId="6EBBC16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As we have seen, people across a broad spectrum of urban possibility have constructed their own understandings of town. Rather than trying to categorise urbanism — which inevitably excludes as much as it includes — perhaps it might be more productive to historicise it. The Mesopotamian stories of Cain and Gilgamesh as city founders can be counterpoised with the other ways that groups across the Afroeurasian landmass have established their own myths of urban origin. </w:t>
      </w:r>
    </w:p>
    <w:p w14:paraId="33F6F14C" w14:textId="77777777" w:rsidR="00C84E63" w:rsidRPr="0031181D" w:rsidRDefault="00C84E63">
      <w:pPr>
        <w:spacing w:line="480" w:lineRule="auto"/>
        <w:ind w:firstLine="720"/>
        <w:rPr>
          <w:rFonts w:eastAsia="Songti TC Regular"/>
          <w:color w:val="000000" w:themeColor="text1"/>
        </w:rPr>
      </w:pPr>
    </w:p>
    <w:p w14:paraId="2393ADAE" w14:textId="77777777" w:rsidR="00C84E63" w:rsidRPr="0031181D" w:rsidRDefault="007F6E61">
      <w:pPr>
        <w:spacing w:line="480" w:lineRule="auto"/>
        <w:ind w:firstLine="720"/>
        <w:rPr>
          <w:rFonts w:eastAsia="Songti TC Regular"/>
          <w:color w:val="000000" w:themeColor="text1"/>
        </w:rPr>
      </w:pPr>
      <w:r w:rsidRPr="0031181D">
        <w:rPr>
          <w:rFonts w:eastAsia="Songti TC Regular"/>
          <w:i/>
          <w:color w:val="000000" w:themeColor="text1"/>
        </w:rPr>
        <w:t>African Stories of Town</w:t>
      </w:r>
    </w:p>
    <w:p w14:paraId="737AA11C"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In Africa, a scarce historical record and a reliance on archaeology undoubtedly colours our contemporary understandings of past urban configurations. Yet, it is possible to explore urban biographies in several regions, partly from the material record itself. At the edges of the forest in Nigeria, for example, large and sumptuous towns are found from the ninth century onwards, famous for their artistic traditions of terracotta and brass manufacture. These are the legacy of massive technical skill among a group of specialist craftspeople, whose talents emerged initially at the town of Ife, and later spread to successor sites such as Old Oyo and later Benin. This craftsmanship is strongly associated with the Yoruba religion and with the traditions of kingship in this region, all of which are seen to have their origin at Ife: urbanism and the urban story began here and spread to other sites as part of a single narrative journey.</w:t>
      </w:r>
      <w:r w:rsidRPr="0031181D">
        <w:rPr>
          <w:rFonts w:eastAsia="Songti TC Regular"/>
          <w:color w:val="000000" w:themeColor="text1"/>
          <w:vertAlign w:val="superscript"/>
        </w:rPr>
        <w:footnoteReference w:id="66"/>
      </w:r>
      <w:r w:rsidRPr="0031181D">
        <w:rPr>
          <w:rFonts w:eastAsia="Songti TC Regular"/>
          <w:color w:val="000000" w:themeColor="text1"/>
        </w:rPr>
        <w:t xml:space="preserve"> Ife is recognised as the ancestor of the region’s urban tradition, as well as remaining a sacred site. It was occupied from at least the ninth century, with a ‘Classic’ period from the twelfth to the sixteenth centuries, and a later decline that mirrored the growth of centres elsewhere, notably at Benin. Ritual, art, and kingly power were all bound together, recreated in household shrines across the town.</w:t>
      </w:r>
      <w:r w:rsidRPr="0031181D">
        <w:rPr>
          <w:rFonts w:eastAsia="Songti TC Regular"/>
          <w:color w:val="000000" w:themeColor="text1"/>
          <w:vertAlign w:val="superscript"/>
        </w:rPr>
        <w:footnoteReference w:id="67"/>
      </w:r>
      <w:r w:rsidRPr="0031181D">
        <w:rPr>
          <w:rFonts w:eastAsia="Songti TC Regular"/>
          <w:color w:val="000000" w:themeColor="text1"/>
        </w:rPr>
        <w:t xml:space="preserve"> Institutions of divine kingship developed here, represented particularly clearly in the many examples of human sacrifice found in shrine and palace contexts,</w:t>
      </w:r>
      <w:r w:rsidRPr="0031181D">
        <w:rPr>
          <w:rFonts w:eastAsia="Songti TC Regular"/>
          <w:color w:val="000000" w:themeColor="text1"/>
          <w:vertAlign w:val="superscript"/>
        </w:rPr>
        <w:footnoteReference w:id="68"/>
      </w:r>
      <w:r w:rsidRPr="0031181D">
        <w:rPr>
          <w:rFonts w:eastAsia="Songti TC Regular"/>
          <w:color w:val="000000" w:themeColor="text1"/>
        </w:rPr>
        <w:t xml:space="preserve"> that later travelled to Old Oyo, Owo, and Benin.</w:t>
      </w:r>
      <w:r w:rsidRPr="0031181D">
        <w:rPr>
          <w:rFonts w:eastAsia="Songti TC Regular"/>
          <w:color w:val="000000" w:themeColor="text1"/>
          <w:vertAlign w:val="superscript"/>
        </w:rPr>
        <w:footnoteReference w:id="69"/>
      </w:r>
      <w:r w:rsidRPr="0031181D">
        <w:rPr>
          <w:rFonts w:eastAsia="Songti TC Regular"/>
          <w:color w:val="000000" w:themeColor="text1"/>
        </w:rPr>
        <w:t xml:space="preserve"> The spread of new settlement in the post-Classic period, has been analysed according to an internal frontier model, in which would-be leaders split from the central settlement and established their own on the margins of the cultural zone.</w:t>
      </w:r>
      <w:r w:rsidRPr="0031181D">
        <w:rPr>
          <w:rFonts w:eastAsia="Songti TC Regular"/>
          <w:color w:val="000000" w:themeColor="text1"/>
          <w:vertAlign w:val="superscript"/>
        </w:rPr>
        <w:footnoteReference w:id="70"/>
      </w:r>
      <w:r w:rsidRPr="0031181D">
        <w:rPr>
          <w:rFonts w:eastAsia="Songti TC Regular"/>
          <w:color w:val="000000" w:themeColor="text1"/>
        </w:rPr>
        <w:t xml:space="preserve"> This is made possible by the strong narratives of divine, ritual and kingly power linked to the urban tradition here. </w:t>
      </w:r>
    </w:p>
    <w:p w14:paraId="4283922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On the eastern African coast, a different urban story took hold, based on connection with the Indian Ocean world and with Islam. Numerous towns of this Swahili coast modelled themselves from the raw material of earlier trading settlements, drawing on the material world and creating urban settings replete with mosques, tombs, and palaces built in coral.</w:t>
      </w:r>
      <w:r w:rsidRPr="0031181D">
        <w:rPr>
          <w:rFonts w:eastAsia="Songti TC Regular"/>
          <w:color w:val="000000" w:themeColor="text1"/>
          <w:vertAlign w:val="superscript"/>
        </w:rPr>
        <w:footnoteReference w:id="71"/>
      </w:r>
      <w:r w:rsidRPr="0031181D">
        <w:rPr>
          <w:rFonts w:eastAsia="Songti TC Regular"/>
          <w:color w:val="000000" w:themeColor="text1"/>
        </w:rPr>
        <w:t xml:space="preserve"> These were often relatively small settlements, distinguished by their townscapes, but also by a common urban narrative. Along the coast, numerous versions exist of a story in which six brothers sailed from Shiraz and founded towns along the coast.</w:t>
      </w:r>
      <w:r w:rsidRPr="0031181D">
        <w:rPr>
          <w:rFonts w:eastAsia="Songti TC Regular"/>
          <w:color w:val="000000" w:themeColor="text1"/>
          <w:vertAlign w:val="superscript"/>
        </w:rPr>
        <w:footnoteReference w:id="72"/>
      </w:r>
      <w:r w:rsidRPr="0031181D">
        <w:rPr>
          <w:rFonts w:eastAsia="Songti TC Regular"/>
          <w:color w:val="000000" w:themeColor="text1"/>
        </w:rPr>
        <w:t xml:space="preserve"> This ‘Shirazi myth’, preserved in oral tradition and in written form from Portuguese times onward, offers a powerful origin story and source of authority for urban elites, reiterated through objects such as coins that circulated the names of rulers claiming exotic connections.</w:t>
      </w:r>
    </w:p>
    <w:p w14:paraId="4C8ABA0F"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Thus, part of the transition that can be seen in Africa in the period from the 10</w:t>
      </w:r>
      <w:r w:rsidRPr="0031181D">
        <w:rPr>
          <w:rFonts w:eastAsia="Songti TC Regular"/>
          <w:color w:val="000000" w:themeColor="text1"/>
          <w:vertAlign w:val="superscript"/>
        </w:rPr>
        <w:t>th</w:t>
      </w:r>
      <w:r w:rsidRPr="0031181D">
        <w:rPr>
          <w:rFonts w:eastAsia="Songti TC Regular"/>
          <w:color w:val="000000" w:themeColor="text1"/>
        </w:rPr>
        <w:t xml:space="preserve">  century onwards is the development of a set of  urban traditions that can be glimpsed in different ways in different places. In Nigeria, the development of the urban narrative began at Ife and formed the identity of ‘successor’ towns at places like Benin. On the Swahili coast, the urban narrative privileges external sources. What is interesting is that in both cases we see a different spatial relationship with a resource landscape, and the development of an urban story that transforms the way that landscape is viewed. It is this story, rather than a consistent development of settlement, that is the real defining feature of urbanism here.</w:t>
      </w:r>
    </w:p>
    <w:p w14:paraId="0110ADC4" w14:textId="77777777" w:rsidR="00C84E63" w:rsidRPr="0031181D" w:rsidRDefault="00C84E63">
      <w:pPr>
        <w:spacing w:line="480" w:lineRule="auto"/>
        <w:ind w:firstLine="720"/>
        <w:rPr>
          <w:rFonts w:eastAsia="Songti TC Regular"/>
          <w:i/>
          <w:color w:val="000000" w:themeColor="text1"/>
        </w:rPr>
      </w:pPr>
    </w:p>
    <w:p w14:paraId="77E6E349" w14:textId="77777777" w:rsidR="00C84E63" w:rsidRPr="0031181D" w:rsidRDefault="007F6E61">
      <w:pPr>
        <w:spacing w:line="480" w:lineRule="auto"/>
        <w:ind w:firstLine="720"/>
        <w:rPr>
          <w:rFonts w:eastAsia="Songti TC Regular"/>
          <w:color w:val="000000" w:themeColor="text1"/>
        </w:rPr>
      </w:pPr>
      <w:r w:rsidRPr="0031181D">
        <w:rPr>
          <w:rFonts w:eastAsia="Songti TC Regular"/>
          <w:i/>
          <w:color w:val="000000" w:themeColor="text1"/>
        </w:rPr>
        <w:t>Eastern Eurasian Narratives and Varieties of City</w:t>
      </w:r>
    </w:p>
    <w:p w14:paraId="6FAA525E"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Chinese-language sources, no less than the associated scholarly literature on urbanism, have been framed by the powerful idea of the ‘classic Chinese city’, which has been applied to recorded and archaeological sites from Central Asia to the Japanese archipelago and from Guangzhou to Mongolia. While there is now a broad consensus about the developmental trajectory of the organic southern market towns, as presented above, when we move to Northeast Eurasia,</w:t>
      </w:r>
      <w:r w:rsidRPr="0031181D">
        <w:rPr>
          <w:rFonts w:eastAsia="Songti TC Regular"/>
          <w:color w:val="000000" w:themeColor="text1"/>
          <w:vertAlign w:val="superscript"/>
        </w:rPr>
        <w:footnoteReference w:id="73"/>
      </w:r>
      <w:r w:rsidRPr="0031181D">
        <w:rPr>
          <w:rFonts w:eastAsia="Songti TC Regular"/>
          <w:color w:val="000000" w:themeColor="text1"/>
        </w:rPr>
        <w:t xml:space="preserve"> new archaeological work is increasingly suggesting that ‘steppe urbanism’ was also more diverse than the classic Chinese model can accommodate. There is a tension between the literary sources and the archaeological data. This can be read not in terms of ‘ideal and reality’, but to reflect a social and political tension on the ground. There were competing narratives about what a city was. </w:t>
      </w:r>
    </w:p>
    <w:p w14:paraId="7426C646"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The official history of the Liao </w:t>
      </w:r>
      <w:r w:rsidRPr="0031181D">
        <w:rPr>
          <w:rFonts w:eastAsia="Songti TC Regular"/>
          <w:color w:val="000000" w:themeColor="text1"/>
        </w:rPr>
        <w:t>遼</w:t>
      </w:r>
      <w:r w:rsidRPr="0031181D">
        <w:rPr>
          <w:rFonts w:eastAsia="Songti TC Regular"/>
          <w:color w:val="000000" w:themeColor="text1"/>
        </w:rPr>
        <w:t xml:space="preserve">dynasty (907-1125), the </w:t>
      </w:r>
      <w:r w:rsidRPr="0031181D">
        <w:rPr>
          <w:rFonts w:eastAsia="Songti TC Regular"/>
          <w:i/>
          <w:color w:val="000000" w:themeColor="text1"/>
        </w:rPr>
        <w:t>Liao shi</w:t>
      </w:r>
      <w:r w:rsidRPr="0031181D">
        <w:rPr>
          <w:rFonts w:eastAsia="Songti TC Regular"/>
          <w:color w:val="000000" w:themeColor="text1"/>
        </w:rPr>
        <w:t xml:space="preserve"> </w:t>
      </w:r>
      <w:r w:rsidRPr="0031181D">
        <w:rPr>
          <w:rFonts w:eastAsia="Songti TC Regular"/>
          <w:color w:val="000000" w:themeColor="text1"/>
        </w:rPr>
        <w:t>遼史</w:t>
      </w:r>
      <w:r w:rsidRPr="0031181D">
        <w:rPr>
          <w:rFonts w:eastAsia="Songti TC Regular"/>
          <w:color w:val="000000" w:themeColor="text1"/>
        </w:rPr>
        <w:t xml:space="preserve">, provides most of the written evidence for a steppe–based empire founded by a group known as the Kitan </w:t>
      </w:r>
      <w:r w:rsidRPr="0031181D">
        <w:rPr>
          <w:rFonts w:eastAsia="Songti TC Regular"/>
          <w:color w:val="000000" w:themeColor="text1"/>
        </w:rPr>
        <w:t>契丹</w:t>
      </w:r>
      <w:r w:rsidRPr="0031181D">
        <w:rPr>
          <w:rFonts w:eastAsia="Songti TC Regular"/>
          <w:color w:val="000000" w:themeColor="text1"/>
        </w:rPr>
        <w:t xml:space="preserve">. In the </w:t>
      </w:r>
      <w:r w:rsidRPr="0031181D">
        <w:rPr>
          <w:rFonts w:eastAsia="Songti TC Regular"/>
          <w:i/>
          <w:color w:val="000000" w:themeColor="text1"/>
        </w:rPr>
        <w:t>History</w:t>
      </w:r>
      <w:r w:rsidRPr="0031181D">
        <w:rPr>
          <w:rFonts w:eastAsia="Songti TC Regular"/>
          <w:color w:val="000000" w:themeColor="text1"/>
        </w:rPr>
        <w:t xml:space="preserve">’s ‘Treatise on Geography’ </w:t>
      </w:r>
      <w:r w:rsidRPr="0031181D">
        <w:rPr>
          <w:rFonts w:eastAsia="Songti TC Regular"/>
          <w:color w:val="000000" w:themeColor="text1"/>
        </w:rPr>
        <w:t>地理志</w:t>
      </w:r>
      <w:r w:rsidRPr="0031181D">
        <w:rPr>
          <w:rFonts w:eastAsia="Songti TC Regular"/>
          <w:color w:val="000000" w:themeColor="text1"/>
        </w:rPr>
        <w:t>, completed in 1344, the establishment of the fourth of five co-existing capitals is presented as the visionary act of a sinicising emperor:</w:t>
      </w:r>
    </w:p>
    <w:p w14:paraId="0E915B73" w14:textId="77777777" w:rsidR="00C84E63" w:rsidRPr="0031181D" w:rsidRDefault="00C84E63">
      <w:pPr>
        <w:spacing w:line="480" w:lineRule="auto"/>
        <w:ind w:firstLine="720"/>
        <w:rPr>
          <w:rFonts w:eastAsia="Songti TC Regular"/>
          <w:color w:val="000000" w:themeColor="text1"/>
        </w:rPr>
      </w:pPr>
    </w:p>
    <w:p w14:paraId="796E1388"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 xml:space="preserve">Once, when Shengzong </w:t>
      </w:r>
      <w:r w:rsidRPr="0031181D">
        <w:rPr>
          <w:rFonts w:eastAsia="Songti TC Regular"/>
          <w:color w:val="000000" w:themeColor="text1"/>
        </w:rPr>
        <w:t>聖宗</w:t>
      </w:r>
      <w:r w:rsidRPr="0031181D">
        <w:rPr>
          <w:rFonts w:eastAsia="Songti TC Regular"/>
          <w:color w:val="000000" w:themeColor="text1"/>
        </w:rPr>
        <w:t xml:space="preserve"> (982–1031) in passing Qijin mountain </w:t>
      </w:r>
      <w:r w:rsidRPr="0031181D">
        <w:rPr>
          <w:rFonts w:eastAsia="Songti TC Regular"/>
          <w:color w:val="000000" w:themeColor="text1"/>
        </w:rPr>
        <w:t>七金山</w:t>
      </w:r>
      <w:r w:rsidRPr="0031181D">
        <w:rPr>
          <w:rFonts w:eastAsia="Songti TC Regular"/>
          <w:color w:val="000000" w:themeColor="text1"/>
        </w:rPr>
        <w:t xml:space="preserve"> along the Tu river gazed</w:t>
      </w:r>
      <w:r w:rsidRPr="0031181D">
        <w:rPr>
          <w:rFonts w:eastAsia="Songti TC Regular"/>
          <w:color w:val="000000" w:themeColor="text1"/>
        </w:rPr>
        <w:t>土河</w:t>
      </w:r>
      <w:r w:rsidRPr="0031181D">
        <w:rPr>
          <w:rFonts w:eastAsia="Songti TC Regular"/>
          <w:color w:val="000000" w:themeColor="text1"/>
        </w:rPr>
        <w:t xml:space="preserve">off to the south, the clouds presented a vision of city suburbs and storied buildings. Consequently, the establishment of a capital was discussed. Fine artisans selected from Yan </w:t>
      </w:r>
      <w:r w:rsidRPr="0031181D">
        <w:rPr>
          <w:rFonts w:eastAsia="Songti TC Regular"/>
          <w:color w:val="000000" w:themeColor="text1"/>
        </w:rPr>
        <w:t>燕</w:t>
      </w:r>
      <w:r w:rsidRPr="0031181D">
        <w:rPr>
          <w:rFonts w:eastAsia="Songti TC Regular"/>
          <w:color w:val="000000" w:themeColor="text1"/>
        </w:rPr>
        <w:t xml:space="preserve"> and Ji </w:t>
      </w:r>
      <w:r w:rsidRPr="0031181D">
        <w:rPr>
          <w:rFonts w:eastAsia="Songti TC Regular"/>
          <w:color w:val="000000" w:themeColor="text1"/>
        </w:rPr>
        <w:t>薊</w:t>
      </w:r>
      <w:r w:rsidRPr="0031181D">
        <w:rPr>
          <w:rFonts w:eastAsia="Songti TC Regular"/>
          <w:color w:val="000000" w:themeColor="text1"/>
        </w:rPr>
        <w:t xml:space="preserve"> directed the work for two years. The suburbs, palaces, towers, treasuries and depots, market places, and galleries followed the arrangement of the divine capital </w:t>
      </w:r>
      <w:r w:rsidRPr="0031181D">
        <w:rPr>
          <w:rFonts w:eastAsia="Songti TC Regular"/>
          <w:color w:val="000000" w:themeColor="text1"/>
        </w:rPr>
        <w:t>神都</w:t>
      </w:r>
      <w:r w:rsidRPr="0031181D">
        <w:rPr>
          <w:rFonts w:eastAsia="Songti TC Regular"/>
          <w:color w:val="000000" w:themeColor="text1"/>
        </w:rPr>
        <w:t>.</w:t>
      </w:r>
    </w:p>
    <w:p w14:paraId="0EF0308F"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 xml:space="preserve">In the twenty-fourth year of Tonghe </w:t>
      </w:r>
      <w:r w:rsidRPr="0031181D">
        <w:rPr>
          <w:rFonts w:eastAsia="Songti TC Regular"/>
          <w:color w:val="000000" w:themeColor="text1"/>
        </w:rPr>
        <w:t>統和</w:t>
      </w:r>
      <w:r w:rsidRPr="0031181D">
        <w:rPr>
          <w:rFonts w:eastAsia="Songti TC Regular"/>
          <w:color w:val="000000" w:themeColor="text1"/>
        </w:rPr>
        <w:t xml:space="preserve"> (1006) the Five Tents Division </w:t>
      </w:r>
      <w:r w:rsidRPr="0031181D">
        <w:rPr>
          <w:rFonts w:eastAsia="Songti TC Regular"/>
          <w:color w:val="000000" w:themeColor="text1"/>
        </w:rPr>
        <w:t>五帳院</w:t>
      </w:r>
      <w:r w:rsidRPr="0031181D">
        <w:rPr>
          <w:rFonts w:eastAsia="Songti TC Regular"/>
          <w:color w:val="000000" w:themeColor="text1"/>
        </w:rPr>
        <w:t xml:space="preserve"> offered the land where of old the imperial tent of the kings of Xi </w:t>
      </w:r>
      <w:r w:rsidRPr="0031181D">
        <w:rPr>
          <w:rFonts w:eastAsia="Songti TC Regular"/>
          <w:color w:val="000000" w:themeColor="text1"/>
        </w:rPr>
        <w:t>奚</w:t>
      </w:r>
      <w:r w:rsidRPr="0031181D">
        <w:rPr>
          <w:rFonts w:eastAsia="Songti TC Regular"/>
          <w:color w:val="000000" w:themeColor="text1"/>
        </w:rPr>
        <w:t xml:space="preserve"> stood. In the twenty-fifth year (1007) it was walled and filled up with Chinese households. It was named the Central Capital </w:t>
      </w:r>
      <w:r w:rsidRPr="0031181D">
        <w:rPr>
          <w:rFonts w:eastAsia="Songti TC Regular"/>
          <w:color w:val="000000" w:themeColor="text1"/>
        </w:rPr>
        <w:t>中京</w:t>
      </w:r>
      <w:r w:rsidRPr="0031181D">
        <w:rPr>
          <w:rFonts w:eastAsia="Songti TC Regular"/>
          <w:color w:val="000000" w:themeColor="text1"/>
        </w:rPr>
        <w:t xml:space="preserve"> [Zhongjing], the administration being called Dading </w:t>
      </w:r>
      <w:r w:rsidRPr="0031181D">
        <w:rPr>
          <w:rFonts w:eastAsia="Songti TC Regular"/>
          <w:color w:val="000000" w:themeColor="text1"/>
        </w:rPr>
        <w:t>大定</w:t>
      </w:r>
      <w:r w:rsidRPr="0031181D">
        <w:rPr>
          <w:rFonts w:eastAsia="Songti TC Regular"/>
          <w:color w:val="000000" w:themeColor="text1"/>
        </w:rPr>
        <w:t xml:space="preserve">. In the Imperial City </w:t>
      </w:r>
      <w:r w:rsidRPr="0031181D">
        <w:rPr>
          <w:rFonts w:eastAsia="Songti TC Regular"/>
          <w:color w:val="000000" w:themeColor="text1"/>
        </w:rPr>
        <w:t>皇城</w:t>
      </w:r>
      <w:r w:rsidRPr="0031181D">
        <w:rPr>
          <w:rFonts w:eastAsia="Songti TC Regular"/>
          <w:color w:val="000000" w:themeColor="text1"/>
        </w:rPr>
        <w:t xml:space="preserve">was an [imperial] ancestral temple and a hall with the images of Jingzong </w:t>
      </w:r>
      <w:r w:rsidRPr="0031181D">
        <w:rPr>
          <w:rFonts w:eastAsia="Songti TC Regular"/>
          <w:color w:val="000000" w:themeColor="text1"/>
        </w:rPr>
        <w:t>景宗</w:t>
      </w:r>
      <w:r w:rsidRPr="0031181D">
        <w:rPr>
          <w:rFonts w:eastAsia="Songti TC Regular"/>
          <w:color w:val="000000" w:themeColor="text1"/>
        </w:rPr>
        <w:t xml:space="preserve"> and Empress Chengtian </w:t>
      </w:r>
      <w:r w:rsidRPr="0031181D">
        <w:rPr>
          <w:rFonts w:eastAsia="Songti TC Regular"/>
          <w:color w:val="000000" w:themeColor="text1"/>
        </w:rPr>
        <w:t>承天皇后</w:t>
      </w:r>
      <w:r w:rsidRPr="0031181D">
        <w:rPr>
          <w:rFonts w:eastAsia="Songti TC Regular"/>
          <w:color w:val="000000" w:themeColor="text1"/>
        </w:rPr>
        <w:t>.</w:t>
      </w:r>
    </w:p>
    <w:p w14:paraId="2F83A402" w14:textId="77777777" w:rsidR="00C84E63" w:rsidRPr="0031181D" w:rsidRDefault="007F6E61">
      <w:pPr>
        <w:spacing w:line="480" w:lineRule="auto"/>
        <w:ind w:left="720" w:right="720" w:firstLine="720"/>
        <w:rPr>
          <w:rFonts w:eastAsia="Songti TC Regular"/>
          <w:color w:val="000000" w:themeColor="text1"/>
          <w:lang w:eastAsia="zh-TW"/>
        </w:rPr>
      </w:pPr>
      <w:r w:rsidRPr="0031181D">
        <w:rPr>
          <w:rFonts w:eastAsia="Songti TC Regular"/>
          <w:color w:val="000000" w:themeColor="text1"/>
          <w:lang w:eastAsia="zh-TW"/>
        </w:rPr>
        <w:t>聖宗常過七金山土河之濱，南望雲氣，有郛郭樓闕之狀，因議建都。擇良工於燕、薊，董役二歲，郛郭、宮掖、樓閣、府庫、市肆、廊廡，擬神都之制。統和二十四年，五帳院進故奚王牙帳地。二十五年，城之，實以漢</w:t>
      </w:r>
      <w:bookmarkStart w:id="3" w:name="30j0zll" w:colFirst="0" w:colLast="0"/>
      <w:bookmarkEnd w:id="3"/>
      <w:r w:rsidRPr="0031181D">
        <w:rPr>
          <w:rFonts w:eastAsia="Songti TC Regular"/>
          <w:color w:val="000000" w:themeColor="text1"/>
          <w:lang w:eastAsia="zh-TW"/>
        </w:rPr>
        <w:t>戶，號曰中京，府曰大定。</w:t>
      </w:r>
      <w:r w:rsidRPr="0031181D">
        <w:rPr>
          <w:rFonts w:eastAsia="Songti TC Regular"/>
          <w:color w:val="000000" w:themeColor="text1"/>
          <w:vertAlign w:val="superscript"/>
        </w:rPr>
        <w:footnoteReference w:id="74"/>
      </w:r>
    </w:p>
    <w:p w14:paraId="6837B432" w14:textId="77777777" w:rsidR="00C84E63" w:rsidRPr="0031181D" w:rsidRDefault="00C84E63">
      <w:pPr>
        <w:spacing w:line="480" w:lineRule="auto"/>
        <w:ind w:left="720" w:right="720" w:firstLine="720"/>
        <w:rPr>
          <w:rFonts w:eastAsia="Songti TC Regular"/>
          <w:color w:val="000000" w:themeColor="text1"/>
          <w:lang w:eastAsia="zh-TW"/>
        </w:rPr>
      </w:pPr>
    </w:p>
    <w:p w14:paraId="3C08C95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Artisans from Yan and Ji (around present-day Beijing) are implicitly Chinese while the ‘divine capital’, its contents and its wall refer to the classic Chinese ideal city,</w:t>
      </w:r>
      <w:r w:rsidRPr="0031181D">
        <w:rPr>
          <w:rFonts w:eastAsia="Songti TC Regular"/>
          <w:color w:val="000000" w:themeColor="text1"/>
          <w:vertAlign w:val="superscript"/>
        </w:rPr>
        <w:footnoteReference w:id="75"/>
      </w:r>
      <w:r w:rsidRPr="0031181D">
        <w:rPr>
          <w:rFonts w:eastAsia="Songti TC Regular"/>
          <w:color w:val="000000" w:themeColor="text1"/>
        </w:rPr>
        <w:t xml:space="preserve"> and the ancestral temple implies the adoption of Confucian — so, Chinese — practices and ideology. The naming of the administration follows a model found in other sinitic dynastic histories, and it is populated with implicitly agricultural Chinese households.</w:t>
      </w:r>
    </w:p>
    <w:p w14:paraId="3820ED04"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This kind of story is rare in the geographical treatises. More typical is the list that precedes it, of the previous urban administrative centres and major events on the site. The enumeration begins with the mythical Yu </w:t>
      </w:r>
      <w:r w:rsidRPr="0031181D">
        <w:rPr>
          <w:rFonts w:eastAsia="Songti TC Regular"/>
          <w:color w:val="000000" w:themeColor="text1"/>
        </w:rPr>
        <w:t>虞</w:t>
      </w:r>
      <w:r w:rsidRPr="0031181D">
        <w:rPr>
          <w:rFonts w:eastAsia="Songti TC Regular"/>
          <w:color w:val="000000" w:themeColor="text1"/>
        </w:rPr>
        <w:t xml:space="preserve"> and Xia </w:t>
      </w:r>
      <w:r w:rsidRPr="0031181D">
        <w:rPr>
          <w:rFonts w:eastAsia="Songti TC Regular"/>
          <w:color w:val="000000" w:themeColor="text1"/>
        </w:rPr>
        <w:t>夏</w:t>
      </w:r>
      <w:r w:rsidRPr="0031181D">
        <w:rPr>
          <w:rFonts w:eastAsia="Songti TC Regular"/>
          <w:color w:val="000000" w:themeColor="text1"/>
        </w:rPr>
        <w:t xml:space="preserve">, when the town ‘was Yingzhou </w:t>
      </w:r>
      <w:r w:rsidRPr="0031181D">
        <w:rPr>
          <w:rFonts w:eastAsia="Songti TC Regular"/>
          <w:color w:val="000000" w:themeColor="text1"/>
        </w:rPr>
        <w:t>為營州</w:t>
      </w:r>
      <w:r w:rsidRPr="0031181D">
        <w:rPr>
          <w:rFonts w:eastAsia="Songti TC Regular"/>
          <w:color w:val="000000" w:themeColor="text1"/>
        </w:rPr>
        <w:t xml:space="preserve">’ and ‘belonged to Jizhou </w:t>
      </w:r>
      <w:r w:rsidRPr="0031181D">
        <w:rPr>
          <w:rFonts w:eastAsia="Songti TC Regular"/>
          <w:color w:val="000000" w:themeColor="text1"/>
        </w:rPr>
        <w:t>屬冀州</w:t>
      </w:r>
      <w:r w:rsidRPr="0031181D">
        <w:rPr>
          <w:rFonts w:eastAsia="Songti TC Regular"/>
          <w:color w:val="000000" w:themeColor="text1"/>
        </w:rPr>
        <w:t xml:space="preserve">’ respectively, then ‘under the Zhou </w:t>
      </w:r>
      <w:r w:rsidRPr="0031181D">
        <w:rPr>
          <w:rFonts w:eastAsia="Songti TC Regular"/>
          <w:color w:val="000000" w:themeColor="text1"/>
        </w:rPr>
        <w:t>周</w:t>
      </w:r>
      <w:r w:rsidRPr="0031181D">
        <w:rPr>
          <w:rFonts w:eastAsia="Songti TC Regular"/>
          <w:color w:val="000000" w:themeColor="text1"/>
        </w:rPr>
        <w:t xml:space="preserve"> (1045–256 BCE) was a branch of Youzhou </w:t>
      </w:r>
      <w:r w:rsidRPr="0031181D">
        <w:rPr>
          <w:rFonts w:eastAsia="Songti TC Regular"/>
          <w:color w:val="000000" w:themeColor="text1"/>
        </w:rPr>
        <w:t>幽州</w:t>
      </w:r>
      <w:r w:rsidRPr="0031181D">
        <w:rPr>
          <w:rFonts w:eastAsia="Songti TC Regular"/>
          <w:color w:val="000000" w:themeColor="text1"/>
        </w:rPr>
        <w:t xml:space="preserve">. When the Qin </w:t>
      </w:r>
      <w:r w:rsidRPr="0031181D">
        <w:rPr>
          <w:rFonts w:eastAsia="Songti TC Regular"/>
          <w:color w:val="000000" w:themeColor="text1"/>
        </w:rPr>
        <w:t>秦</w:t>
      </w:r>
      <w:r w:rsidRPr="0031181D">
        <w:rPr>
          <w:rFonts w:eastAsia="Songti TC Regular"/>
          <w:color w:val="000000" w:themeColor="text1"/>
        </w:rPr>
        <w:t xml:space="preserve"> (221–207 BCE) ruled the </w:t>
      </w:r>
      <w:r w:rsidRPr="0031181D">
        <w:rPr>
          <w:rFonts w:eastAsia="Songti TC Regular"/>
          <w:i/>
          <w:color w:val="000000" w:themeColor="text1"/>
        </w:rPr>
        <w:t>tianxia</w:t>
      </w:r>
      <w:r w:rsidRPr="0031181D">
        <w:rPr>
          <w:rFonts w:eastAsia="Songti TC Regular"/>
          <w:color w:val="000000" w:themeColor="text1"/>
        </w:rPr>
        <w:t xml:space="preserve"> </w:t>
      </w:r>
      <w:r w:rsidRPr="0031181D">
        <w:rPr>
          <w:rFonts w:eastAsia="Songti TC Regular"/>
          <w:color w:val="000000" w:themeColor="text1"/>
        </w:rPr>
        <w:t>天下</w:t>
      </w:r>
      <w:r w:rsidRPr="0031181D">
        <w:rPr>
          <w:rFonts w:eastAsia="Songti TC Regular"/>
          <w:color w:val="000000" w:themeColor="text1"/>
        </w:rPr>
        <w:t xml:space="preserve">, it was Liaoxi </w:t>
      </w:r>
      <w:r w:rsidRPr="0031181D">
        <w:rPr>
          <w:rFonts w:eastAsia="Songti TC Regular"/>
          <w:color w:val="000000" w:themeColor="text1"/>
        </w:rPr>
        <w:t>遼西</w:t>
      </w:r>
      <w:r w:rsidRPr="0031181D">
        <w:rPr>
          <w:rFonts w:eastAsia="Songti TC Regular"/>
          <w:color w:val="000000" w:themeColor="text1"/>
        </w:rPr>
        <w:t xml:space="preserve">. Under the Han </w:t>
      </w:r>
      <w:r w:rsidRPr="0031181D">
        <w:rPr>
          <w:rFonts w:eastAsia="Songti TC Regular"/>
          <w:color w:val="000000" w:themeColor="text1"/>
        </w:rPr>
        <w:t>漢</w:t>
      </w:r>
      <w:r w:rsidRPr="0031181D">
        <w:rPr>
          <w:rFonts w:eastAsia="Songti TC Regular"/>
          <w:color w:val="000000" w:themeColor="text1"/>
        </w:rPr>
        <w:t xml:space="preserve"> (202 BCE–220 CE) it was Xin’anpingxian </w:t>
      </w:r>
      <w:r w:rsidRPr="0031181D">
        <w:rPr>
          <w:rFonts w:eastAsia="Songti TC Regular"/>
          <w:color w:val="000000" w:themeColor="text1"/>
        </w:rPr>
        <w:t>新安平縣</w:t>
      </w:r>
      <w:r w:rsidRPr="0031181D">
        <w:rPr>
          <w:rFonts w:eastAsia="Songti TC Regular"/>
          <w:color w:val="000000" w:themeColor="text1"/>
        </w:rPr>
        <w:t>.’</w:t>
      </w:r>
      <w:r w:rsidRPr="0031181D">
        <w:rPr>
          <w:rFonts w:eastAsia="Songti TC Regular"/>
          <w:color w:val="000000" w:themeColor="text1"/>
          <w:vertAlign w:val="superscript"/>
        </w:rPr>
        <w:footnoteReference w:id="76"/>
      </w:r>
      <w:r w:rsidRPr="0031181D">
        <w:rPr>
          <w:rFonts w:eastAsia="Songti TC Regular"/>
          <w:color w:val="000000" w:themeColor="text1"/>
        </w:rPr>
        <w:t xml:space="preserve"> After events listed for the politically complex period following the Han, we learn that none other than the great second emperor of Tang (r. 626–649) camped there on campaign against Goguryeo </w:t>
      </w:r>
      <w:r w:rsidRPr="0031181D">
        <w:rPr>
          <w:rFonts w:eastAsia="Songti TC Regular"/>
          <w:color w:val="000000" w:themeColor="text1"/>
        </w:rPr>
        <w:t>高句麗</w:t>
      </w:r>
      <w:r w:rsidRPr="0031181D">
        <w:rPr>
          <w:rFonts w:eastAsia="Songti TC Regular"/>
          <w:color w:val="000000" w:themeColor="text1"/>
        </w:rPr>
        <w:t xml:space="preserve"> (37 BCE–668 CE) in the northern Korean peninsula. The text legitimises the Liao emperor Shengzong for a sinitic audience by having him establish a thoroughly orthodox capital city in what by the time the </w:t>
      </w:r>
      <w:r w:rsidRPr="0031181D">
        <w:rPr>
          <w:rFonts w:eastAsia="Songti TC Regular"/>
          <w:i/>
          <w:color w:val="000000" w:themeColor="text1"/>
        </w:rPr>
        <w:t>History</w:t>
      </w:r>
      <w:r w:rsidRPr="0031181D">
        <w:rPr>
          <w:rFonts w:eastAsia="Songti TC Regular"/>
          <w:color w:val="000000" w:themeColor="text1"/>
        </w:rPr>
        <w:t xml:space="preserve"> was finalised in the fourteenth century was seen as a Chinese mode, with an extensive genealogy of association with ancient, admired and sometimes mythical figures from the sinitic tradition. </w:t>
      </w:r>
    </w:p>
    <w:p w14:paraId="62318732"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Some of the </w:t>
      </w:r>
      <w:r w:rsidRPr="0031181D">
        <w:rPr>
          <w:rFonts w:eastAsia="Songti TC Regular"/>
          <w:i/>
          <w:color w:val="000000" w:themeColor="text1"/>
        </w:rPr>
        <w:t>History</w:t>
      </w:r>
      <w:r w:rsidRPr="0031181D">
        <w:rPr>
          <w:rFonts w:eastAsia="Songti TC Regular"/>
          <w:color w:val="000000" w:themeColor="text1"/>
        </w:rPr>
        <w:t>’s physical description is borne out by the remains of the Central Capital, the pounded-earth ramparts of which still stand in agricultural countryside in southeastern Inner Mongolia.</w:t>
      </w:r>
      <w:r w:rsidRPr="0031181D">
        <w:rPr>
          <w:rFonts w:eastAsia="Songti TC Regular"/>
          <w:color w:val="000000" w:themeColor="text1"/>
          <w:vertAlign w:val="superscript"/>
        </w:rPr>
        <w:footnoteReference w:id="77"/>
      </w:r>
      <w:r w:rsidRPr="0031181D">
        <w:rPr>
          <w:rFonts w:eastAsia="Songti TC Regular"/>
          <w:color w:val="000000" w:themeColor="text1"/>
        </w:rPr>
        <w:t xml:space="preserve"> Measured on Google Earth, the perimeter is nearly square and just over 8 km long, with internal walled enclosures generally identified as palaces by analogy with Central Plains capitals such as Chang’an and Luoyang </w:t>
      </w:r>
      <w:r w:rsidRPr="0031181D">
        <w:rPr>
          <w:rFonts w:eastAsia="Songti TC Regular"/>
          <w:color w:val="000000" w:themeColor="text1"/>
        </w:rPr>
        <w:t>洛陽</w:t>
      </w:r>
      <w:r w:rsidRPr="0031181D">
        <w:rPr>
          <w:rFonts w:eastAsia="Songti TC Regular"/>
          <w:color w:val="000000" w:themeColor="text1"/>
        </w:rPr>
        <w:t>.</w:t>
      </w:r>
      <w:r w:rsidRPr="0031181D">
        <w:rPr>
          <w:rFonts w:eastAsia="Songti TC Regular"/>
          <w:color w:val="000000" w:themeColor="text1"/>
          <w:vertAlign w:val="superscript"/>
        </w:rPr>
        <w:footnoteReference w:id="78"/>
      </w:r>
      <w:r w:rsidRPr="0031181D">
        <w:rPr>
          <w:rFonts w:eastAsia="Songti TC Regular"/>
          <w:color w:val="000000" w:themeColor="text1"/>
        </w:rPr>
        <w:t xml:space="preserve"> The surviving gates are symmetrically placed along their particular wall. Two Liao-period pagodas (‘towers’, </w:t>
      </w:r>
      <w:r w:rsidRPr="0031181D">
        <w:rPr>
          <w:rFonts w:eastAsia="Songti TC Regular"/>
          <w:i/>
          <w:color w:val="000000" w:themeColor="text1"/>
        </w:rPr>
        <w:t>ta</w:t>
      </w:r>
      <w:r w:rsidRPr="0031181D">
        <w:rPr>
          <w:rFonts w:eastAsia="Songti TC Regular"/>
          <w:color w:val="000000" w:themeColor="text1"/>
        </w:rPr>
        <w:t xml:space="preserve"> </w:t>
      </w:r>
      <w:r w:rsidRPr="0031181D">
        <w:rPr>
          <w:rFonts w:eastAsia="Songti TC Regular"/>
          <w:color w:val="000000" w:themeColor="text1"/>
        </w:rPr>
        <w:t>塔</w:t>
      </w:r>
      <w:r w:rsidRPr="0031181D">
        <w:rPr>
          <w:rFonts w:eastAsia="Songti TC Regular"/>
          <w:color w:val="000000" w:themeColor="text1"/>
        </w:rPr>
        <w:t xml:space="preserve">) survive, one within and one outside the walls. </w:t>
      </w:r>
    </w:p>
    <w:p w14:paraId="211C73B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What the text effaces but fresh archaeological investigation reveals is an eastern extension creating a rectangle with more than twice the perimeter of the visible square.</w:t>
      </w:r>
      <w:r w:rsidRPr="0031181D">
        <w:rPr>
          <w:rFonts w:eastAsia="Songti TC Regular"/>
          <w:color w:val="000000" w:themeColor="text1"/>
          <w:vertAlign w:val="superscript"/>
        </w:rPr>
        <w:footnoteReference w:id="79"/>
      </w:r>
      <w:r w:rsidRPr="0031181D">
        <w:rPr>
          <w:rFonts w:eastAsia="Songti TC Regular"/>
          <w:color w:val="000000" w:themeColor="text1"/>
        </w:rPr>
        <w:t xml:space="preserve"> Furthermore, within the walls were not only certain buildings neatly arrayed, but large open spaces with no trace of foundations, supporting fleeting notes of seasonal occupation of these areas, at Liao capitals and elsewhere, by ‘tent cities’ of sojourning courtiers, chiefs and their followers, and armies.</w:t>
      </w:r>
      <w:r w:rsidRPr="0031181D">
        <w:rPr>
          <w:rFonts w:eastAsia="Songti TC Regular"/>
          <w:color w:val="000000" w:themeColor="text1"/>
          <w:vertAlign w:val="superscript"/>
        </w:rPr>
        <w:footnoteReference w:id="80"/>
      </w:r>
      <w:r w:rsidRPr="0031181D">
        <w:rPr>
          <w:rFonts w:eastAsia="Songti TC Regular"/>
          <w:color w:val="000000" w:themeColor="text1"/>
        </w:rPr>
        <w:t xml:space="preserve"> If pounded-earth techniques and wall designs had perhaps been borrowed from the Central Plains, the intramural plan had not.</w:t>
      </w:r>
      <w:r w:rsidRPr="0031181D">
        <w:rPr>
          <w:rFonts w:eastAsia="Songti TC Regular"/>
          <w:color w:val="000000" w:themeColor="text1"/>
          <w:vertAlign w:val="superscript"/>
        </w:rPr>
        <w:footnoteReference w:id="81"/>
      </w:r>
      <w:r w:rsidRPr="0031181D">
        <w:rPr>
          <w:rFonts w:eastAsia="Songti TC Regular"/>
          <w:color w:val="000000" w:themeColor="text1"/>
        </w:rPr>
        <w:t xml:space="preserve"> These different forms also suggest different or additional functions as compared with the classic city, although as yet we have little evidence for what those other functions were.</w:t>
      </w:r>
      <w:r w:rsidRPr="0031181D">
        <w:rPr>
          <w:rFonts w:eastAsia="Songti TC Regular"/>
          <w:color w:val="000000" w:themeColor="text1"/>
          <w:vertAlign w:val="superscript"/>
        </w:rPr>
        <w:footnoteReference w:id="82"/>
      </w:r>
    </w:p>
    <w:p w14:paraId="5B8FF232"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Geographical treatises, then, including that in the </w:t>
      </w:r>
      <w:r w:rsidRPr="0031181D">
        <w:rPr>
          <w:rFonts w:eastAsia="Songti TC Regular"/>
          <w:i/>
          <w:color w:val="000000" w:themeColor="text1"/>
        </w:rPr>
        <w:t>Liao History</w:t>
      </w:r>
      <w:r w:rsidRPr="0031181D">
        <w:rPr>
          <w:rFonts w:eastAsia="Songti TC Regular"/>
          <w:color w:val="000000" w:themeColor="text1"/>
        </w:rPr>
        <w:t xml:space="preserve">, were primarily concerned with positioning each administrative unit within the official hierarchy. Yet the formal organisation of this administrative information also ensured the recording of units particular to the Liao, such as the </w:t>
      </w:r>
      <w:r w:rsidRPr="0031181D">
        <w:rPr>
          <w:rFonts w:eastAsia="Songti TC Regular"/>
          <w:i/>
          <w:color w:val="000000" w:themeColor="text1"/>
        </w:rPr>
        <w:t xml:space="preserve">ordo </w:t>
      </w:r>
      <w:r w:rsidRPr="0031181D">
        <w:rPr>
          <w:rFonts w:eastAsia="Songti TC Regular"/>
          <w:color w:val="000000" w:themeColor="text1"/>
          <w:szCs w:val="22"/>
        </w:rPr>
        <w:t>斡鲁朵</w:t>
      </w:r>
      <w:r w:rsidRPr="0031181D">
        <w:rPr>
          <w:rFonts w:eastAsia="Songti TC Regular"/>
          <w:color w:val="000000" w:themeColor="text1"/>
          <w:szCs w:val="22"/>
        </w:rPr>
        <w:t xml:space="preserve"> </w:t>
      </w:r>
      <w:r w:rsidRPr="0031181D">
        <w:rPr>
          <w:rFonts w:eastAsia="Songti TC Regular"/>
          <w:color w:val="000000" w:themeColor="text1"/>
        </w:rPr>
        <w:t xml:space="preserve">and the </w:t>
      </w:r>
      <w:r w:rsidRPr="0031181D">
        <w:rPr>
          <w:rFonts w:eastAsia="Songti TC Regular"/>
          <w:i/>
          <w:color w:val="000000" w:themeColor="text1"/>
        </w:rPr>
        <w:t>natpat</w:t>
      </w:r>
      <w:r w:rsidRPr="0031181D">
        <w:rPr>
          <w:rFonts w:eastAsia="Songti TC Regular"/>
          <w:color w:val="000000" w:themeColor="text1"/>
        </w:rPr>
        <w:t xml:space="preserve"> or </w:t>
      </w:r>
      <w:r w:rsidRPr="0031181D">
        <w:rPr>
          <w:rFonts w:eastAsia="Songti TC Regular"/>
          <w:i/>
          <w:color w:val="000000" w:themeColor="text1"/>
        </w:rPr>
        <w:t xml:space="preserve">nabo </w:t>
      </w:r>
      <w:r w:rsidRPr="0031181D">
        <w:rPr>
          <w:rFonts w:eastAsia="Songti TC Regular"/>
          <w:color w:val="000000" w:themeColor="text1"/>
          <w:szCs w:val="22"/>
        </w:rPr>
        <w:t>捺缽</w:t>
      </w:r>
      <w:r w:rsidRPr="0031181D">
        <w:rPr>
          <w:rFonts w:eastAsia="Songti TC Regular"/>
          <w:color w:val="000000" w:themeColor="text1"/>
        </w:rPr>
        <w:t xml:space="preserve">, of population movements and administrative complexity. The </w:t>
      </w:r>
      <w:r w:rsidRPr="0031181D">
        <w:rPr>
          <w:rFonts w:eastAsia="Songti TC Regular"/>
          <w:i/>
          <w:color w:val="000000" w:themeColor="text1"/>
        </w:rPr>
        <w:t>ordo</w:t>
      </w:r>
      <w:r w:rsidRPr="0031181D">
        <w:rPr>
          <w:rFonts w:eastAsia="Songti TC Regular"/>
          <w:color w:val="000000" w:themeColor="text1"/>
        </w:rPr>
        <w:t xml:space="preserve"> are referred to in Chinese as ‘palaces’, </w:t>
      </w:r>
      <w:r w:rsidRPr="0031181D">
        <w:rPr>
          <w:rFonts w:eastAsia="Songti TC Regular"/>
          <w:i/>
          <w:color w:val="000000" w:themeColor="text1"/>
        </w:rPr>
        <w:t>gong</w:t>
      </w:r>
      <w:r w:rsidRPr="0031181D">
        <w:rPr>
          <w:rFonts w:eastAsia="Songti TC Regular"/>
          <w:color w:val="000000" w:themeColor="text1"/>
        </w:rPr>
        <w:t xml:space="preserve"> </w:t>
      </w:r>
      <w:r w:rsidRPr="0031181D">
        <w:rPr>
          <w:rFonts w:eastAsia="Songti TC Regular"/>
          <w:color w:val="000000" w:themeColor="text1"/>
        </w:rPr>
        <w:t>宮</w:t>
      </w:r>
      <w:r w:rsidRPr="0031181D">
        <w:rPr>
          <w:rFonts w:eastAsia="Songti TC Regular"/>
          <w:color w:val="000000" w:themeColor="text1"/>
        </w:rPr>
        <w:t xml:space="preserve">, and they could be the recipients of political exiles, but this gives a misleading impression of necessary fixity. The </w:t>
      </w:r>
      <w:r w:rsidRPr="0031181D">
        <w:rPr>
          <w:rFonts w:eastAsia="Songti TC Regular"/>
          <w:i/>
          <w:color w:val="000000" w:themeColor="text1"/>
        </w:rPr>
        <w:t>Liao History</w:t>
      </w:r>
      <w:r w:rsidRPr="0031181D">
        <w:rPr>
          <w:rFonts w:eastAsia="Songti TC Regular"/>
          <w:color w:val="000000" w:themeColor="text1"/>
        </w:rPr>
        <w:t xml:space="preserve"> indicates that the </w:t>
      </w:r>
      <w:r w:rsidRPr="0031181D">
        <w:rPr>
          <w:rFonts w:eastAsia="Songti TC Regular"/>
          <w:i/>
          <w:color w:val="000000" w:themeColor="text1"/>
        </w:rPr>
        <w:t>ordo</w:t>
      </w:r>
      <w:r w:rsidRPr="0031181D">
        <w:rPr>
          <w:rFonts w:eastAsia="Songti TC Regular"/>
          <w:color w:val="000000" w:themeColor="text1"/>
        </w:rPr>
        <w:t xml:space="preserve"> had significant military functions and were controlled by senior members of the imperial family, including empresses. At the very least they had the mobility of armies.</w:t>
      </w:r>
      <w:r w:rsidRPr="0031181D">
        <w:rPr>
          <w:rFonts w:eastAsia="Songti TC Regular"/>
          <w:color w:val="000000" w:themeColor="text1"/>
          <w:vertAlign w:val="superscript"/>
        </w:rPr>
        <w:footnoteReference w:id="83"/>
      </w:r>
      <w:r w:rsidRPr="0031181D">
        <w:rPr>
          <w:rFonts w:eastAsia="Songti TC Regular"/>
          <w:color w:val="000000" w:themeColor="text1"/>
        </w:rPr>
        <w:t xml:space="preserve"> The </w:t>
      </w:r>
      <w:r w:rsidRPr="0031181D">
        <w:rPr>
          <w:rFonts w:eastAsia="Songti TC Regular"/>
          <w:i/>
          <w:color w:val="000000" w:themeColor="text1"/>
        </w:rPr>
        <w:t>nabo</w:t>
      </w:r>
      <w:r w:rsidRPr="0031181D">
        <w:rPr>
          <w:rFonts w:eastAsia="Songti TC Regular"/>
          <w:color w:val="000000" w:themeColor="text1"/>
        </w:rPr>
        <w:t xml:space="preserve"> have been explained as the seasonal campsites of the court and also the associated migration, and by extension its participants. The full nature of either </w:t>
      </w:r>
      <w:r w:rsidRPr="0031181D">
        <w:rPr>
          <w:rFonts w:eastAsia="Songti TC Regular"/>
          <w:i/>
          <w:color w:val="000000" w:themeColor="text1"/>
        </w:rPr>
        <w:t xml:space="preserve">ordo </w:t>
      </w:r>
      <w:r w:rsidRPr="0031181D">
        <w:rPr>
          <w:rFonts w:eastAsia="Songti TC Regular"/>
          <w:color w:val="000000" w:themeColor="text1"/>
        </w:rPr>
        <w:t xml:space="preserve">or </w:t>
      </w:r>
      <w:r w:rsidRPr="0031181D">
        <w:rPr>
          <w:rFonts w:eastAsia="Songti TC Regular"/>
          <w:i/>
          <w:color w:val="000000" w:themeColor="text1"/>
        </w:rPr>
        <w:t>nabo</w:t>
      </w:r>
      <w:r w:rsidRPr="0031181D">
        <w:rPr>
          <w:rFonts w:eastAsia="Songti TC Regular"/>
          <w:color w:val="000000" w:themeColor="text1"/>
        </w:rPr>
        <w:t xml:space="preserve"> is not entirely clear, either textually or archaeologically, but in both cases we see a significant concern with groups of people who can move, rather than solely with fixed places.</w:t>
      </w:r>
      <w:r w:rsidRPr="0031181D">
        <w:rPr>
          <w:rFonts w:eastAsia="Songti TC Regular"/>
          <w:color w:val="000000" w:themeColor="text1"/>
          <w:vertAlign w:val="superscript"/>
        </w:rPr>
        <w:footnoteReference w:id="84"/>
      </w:r>
      <w:r w:rsidRPr="0031181D">
        <w:rPr>
          <w:rFonts w:eastAsia="Songti TC Regular"/>
          <w:color w:val="000000" w:themeColor="text1"/>
        </w:rPr>
        <w:t xml:space="preserve"> </w:t>
      </w:r>
    </w:p>
    <w:p w14:paraId="3C4B434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The possible links between </w:t>
      </w:r>
      <w:r w:rsidRPr="0031181D">
        <w:rPr>
          <w:rFonts w:eastAsia="Songti TC Regular"/>
          <w:i/>
          <w:color w:val="000000" w:themeColor="text1"/>
        </w:rPr>
        <w:t>ordo</w:t>
      </w:r>
      <w:r w:rsidRPr="0031181D">
        <w:rPr>
          <w:rFonts w:eastAsia="Songti TC Regular"/>
          <w:color w:val="000000" w:themeColor="text1"/>
        </w:rPr>
        <w:t xml:space="preserve">s and </w:t>
      </w:r>
      <w:r w:rsidRPr="0031181D">
        <w:rPr>
          <w:rFonts w:eastAsia="Songti TC Regular"/>
          <w:i/>
          <w:color w:val="000000" w:themeColor="text1"/>
        </w:rPr>
        <w:t>nabo</w:t>
      </w:r>
      <w:r w:rsidRPr="0031181D">
        <w:rPr>
          <w:rFonts w:eastAsia="Songti TC Regular"/>
          <w:color w:val="000000" w:themeColor="text1"/>
        </w:rPr>
        <w:t xml:space="preserve"> have been investigated and arguments made for </w:t>
      </w:r>
      <w:r w:rsidRPr="0031181D">
        <w:rPr>
          <w:rFonts w:eastAsia="Songti TC Regular"/>
          <w:i/>
          <w:color w:val="000000" w:themeColor="text1"/>
        </w:rPr>
        <w:t>nabo</w:t>
      </w:r>
      <w:r w:rsidRPr="0031181D">
        <w:rPr>
          <w:rFonts w:eastAsia="Songti TC Regular"/>
          <w:color w:val="000000" w:themeColor="text1"/>
        </w:rPr>
        <w:t xml:space="preserve"> as sites for markets.</w:t>
      </w:r>
      <w:r w:rsidRPr="0031181D">
        <w:rPr>
          <w:rFonts w:eastAsia="Songti TC Regular"/>
          <w:color w:val="000000" w:themeColor="text1"/>
          <w:vertAlign w:val="superscript"/>
        </w:rPr>
        <w:footnoteReference w:id="85"/>
      </w:r>
      <w:r w:rsidRPr="0031181D">
        <w:rPr>
          <w:rFonts w:eastAsia="Songti TC Regular"/>
          <w:color w:val="000000" w:themeColor="text1"/>
        </w:rPr>
        <w:t xml:space="preserve"> Some </w:t>
      </w:r>
      <w:r w:rsidRPr="0031181D">
        <w:rPr>
          <w:rFonts w:eastAsia="Songti TC Regular"/>
          <w:i/>
          <w:color w:val="000000" w:themeColor="text1"/>
        </w:rPr>
        <w:t>ordo</w:t>
      </w:r>
      <w:r w:rsidRPr="0031181D">
        <w:rPr>
          <w:rFonts w:eastAsia="Songti TC Regular"/>
          <w:color w:val="000000" w:themeColor="text1"/>
        </w:rPr>
        <w:t xml:space="preserve">s were based at imperial tombsites and in those cases were probably associated with the walled urban forms also found there, but the details of both institutional and physical relationships are obscure. One collection of artificial mounds has been claimed as the first </w:t>
      </w:r>
      <w:r w:rsidRPr="0031181D">
        <w:rPr>
          <w:rFonts w:eastAsia="Songti TC Regular"/>
          <w:i/>
          <w:color w:val="000000" w:themeColor="text1"/>
        </w:rPr>
        <w:t>nabo</w:t>
      </w:r>
      <w:r w:rsidRPr="0031181D">
        <w:rPr>
          <w:rFonts w:eastAsia="Songti TC Regular"/>
          <w:color w:val="000000" w:themeColor="text1"/>
        </w:rPr>
        <w:t xml:space="preserve"> site to be identified, but that has been challenged.</w:t>
      </w:r>
      <w:r w:rsidRPr="0031181D">
        <w:rPr>
          <w:rFonts w:eastAsia="Songti TC Regular"/>
          <w:color w:val="000000" w:themeColor="text1"/>
          <w:vertAlign w:val="superscript"/>
        </w:rPr>
        <w:footnoteReference w:id="86"/>
      </w:r>
      <w:r w:rsidRPr="0031181D">
        <w:rPr>
          <w:rFonts w:eastAsia="Songti TC Regular"/>
          <w:color w:val="000000" w:themeColor="text1"/>
        </w:rPr>
        <w:t xml:space="preserve"> </w:t>
      </w:r>
    </w:p>
    <w:p w14:paraId="2E60CFD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Many Liao districts of all kinds, not least in the large circuit formally subordinated to the Central Capital, are recorded as being founded or later supplemented with large scale and long distance population transfers from other districts or conquered groups.</w:t>
      </w:r>
      <w:r w:rsidRPr="0031181D">
        <w:rPr>
          <w:rFonts w:eastAsia="Songti TC Regular"/>
          <w:color w:val="000000" w:themeColor="text1"/>
          <w:vertAlign w:val="superscript"/>
        </w:rPr>
        <w:footnoteReference w:id="87"/>
      </w:r>
      <w:r w:rsidRPr="0031181D">
        <w:rPr>
          <w:rFonts w:eastAsia="Songti TC Regular"/>
          <w:color w:val="000000" w:themeColor="text1"/>
        </w:rPr>
        <w:t xml:space="preserve"> In the eleventh century we may observe a pattern whereby </w:t>
      </w:r>
      <w:r w:rsidRPr="0031181D">
        <w:rPr>
          <w:rFonts w:eastAsia="Songti TC Regular"/>
          <w:i/>
          <w:color w:val="000000" w:themeColor="text1"/>
        </w:rPr>
        <w:t>ordo</w:t>
      </w:r>
      <w:r w:rsidRPr="0031181D">
        <w:rPr>
          <w:rFonts w:eastAsia="Songti TC Regular"/>
          <w:color w:val="000000" w:themeColor="text1"/>
        </w:rPr>
        <w:t xml:space="preserve"> units were increasingly incorporated into the standard administrative hierarchy of prefectures and counties. Qianzhou </w:t>
      </w:r>
      <w:r w:rsidRPr="0031181D">
        <w:rPr>
          <w:rFonts w:eastAsia="Songti TC Regular"/>
          <w:color w:val="000000" w:themeColor="text1"/>
        </w:rPr>
        <w:t>黔州</w:t>
      </w:r>
      <w:r w:rsidRPr="0031181D">
        <w:rPr>
          <w:rFonts w:eastAsia="Songti TC Regular"/>
          <w:color w:val="000000" w:themeColor="text1"/>
        </w:rPr>
        <w:t xml:space="preserve"> and Enzhou </w:t>
      </w:r>
      <w:r w:rsidRPr="0031181D">
        <w:rPr>
          <w:rFonts w:eastAsia="Songti TC Regular"/>
          <w:color w:val="000000" w:themeColor="text1"/>
        </w:rPr>
        <w:t>恩州</w:t>
      </w:r>
      <w:r w:rsidRPr="0031181D">
        <w:rPr>
          <w:rFonts w:eastAsia="Songti TC Regular"/>
          <w:color w:val="000000" w:themeColor="text1"/>
        </w:rPr>
        <w:t xml:space="preserve"> were both moved from control by the second emperor’s </w:t>
      </w:r>
      <w:r w:rsidRPr="0031181D">
        <w:rPr>
          <w:rFonts w:eastAsia="Songti TC Regular"/>
          <w:i/>
          <w:color w:val="000000" w:themeColor="text1"/>
        </w:rPr>
        <w:t>ordo</w:t>
      </w:r>
      <w:r w:rsidRPr="0031181D">
        <w:rPr>
          <w:rFonts w:eastAsia="Songti TC Regular"/>
          <w:color w:val="000000" w:themeColor="text1"/>
        </w:rPr>
        <w:t xml:space="preserve"> (which guarded his tomb) to that of the Central Capital; Yuzhou was also placed under the Central Capital instead of an imperial family member.</w:t>
      </w:r>
      <w:r w:rsidRPr="0031181D">
        <w:rPr>
          <w:rFonts w:eastAsia="Songti TC Regular"/>
          <w:color w:val="000000" w:themeColor="text1"/>
          <w:vertAlign w:val="superscript"/>
        </w:rPr>
        <w:footnoteReference w:id="88"/>
      </w:r>
      <w:r w:rsidRPr="0031181D">
        <w:rPr>
          <w:rFonts w:eastAsia="Songti TC Regular"/>
          <w:color w:val="000000" w:themeColor="text1"/>
        </w:rPr>
        <w:t xml:space="preserve"> These changes are usually read with approval as an indicator of increasing centralisation affecting the whole population, and thus a move towards the sinicisation that is also implied by the textual record of the city’s founding. </w:t>
      </w:r>
    </w:p>
    <w:p w14:paraId="531224CD"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But this is to collude in the source’s perspective. What we should be saying is that the official narrative is therefore less about the ideal city itself than a representation of an administrative geography that implies (ideal) cities and thus sinicisation, and which can efface an alternative geography based on groups rather than locations. This narrative of sinicisation gradually consumed elements that do not fit, like </w:t>
      </w:r>
      <w:r w:rsidRPr="0031181D">
        <w:rPr>
          <w:rFonts w:eastAsia="Songti TC Regular"/>
          <w:i/>
          <w:color w:val="000000" w:themeColor="text1"/>
        </w:rPr>
        <w:t>ordo</w:t>
      </w:r>
      <w:r w:rsidRPr="0031181D">
        <w:rPr>
          <w:rFonts w:eastAsia="Songti TC Regular"/>
          <w:color w:val="000000" w:themeColor="text1"/>
        </w:rPr>
        <w:t xml:space="preserve">s and </w:t>
      </w:r>
      <w:r w:rsidRPr="0031181D">
        <w:rPr>
          <w:rFonts w:eastAsia="Songti TC Regular"/>
          <w:i/>
          <w:color w:val="000000" w:themeColor="text1"/>
        </w:rPr>
        <w:t>nabo</w:t>
      </w:r>
      <w:r w:rsidRPr="0031181D">
        <w:rPr>
          <w:rFonts w:eastAsia="Songti TC Regular"/>
          <w:color w:val="000000" w:themeColor="text1"/>
        </w:rPr>
        <w:t>, and feels no need to offer adequate or even accurate explanations of what they were.</w:t>
      </w:r>
    </w:p>
    <w:p w14:paraId="7A1AA110" w14:textId="77777777" w:rsidR="00C84E63" w:rsidRPr="0031181D" w:rsidRDefault="00C84E63">
      <w:pPr>
        <w:spacing w:line="480" w:lineRule="auto"/>
        <w:ind w:firstLine="720"/>
        <w:rPr>
          <w:rFonts w:eastAsia="Songti TC Regular"/>
          <w:color w:val="000000" w:themeColor="text1"/>
        </w:rPr>
      </w:pPr>
    </w:p>
    <w:p w14:paraId="6AA1E5C9" w14:textId="77777777" w:rsidR="00C84E63" w:rsidRPr="0031181D" w:rsidRDefault="007F6E61">
      <w:pPr>
        <w:spacing w:line="480" w:lineRule="auto"/>
        <w:ind w:firstLine="720"/>
        <w:rPr>
          <w:rFonts w:eastAsia="Songti TC Regular"/>
          <w:color w:val="000000" w:themeColor="text1"/>
        </w:rPr>
      </w:pPr>
      <w:r w:rsidRPr="0031181D">
        <w:rPr>
          <w:rFonts w:eastAsia="Songti TC Regular"/>
          <w:i/>
          <w:color w:val="000000" w:themeColor="text1"/>
        </w:rPr>
        <w:t>Western Eurasian Narratives</w:t>
      </w:r>
    </w:p>
    <w:p w14:paraId="5FF93D5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In much of the imaginary of Latin Christendom, the city remained in the shadow of Cain.</w:t>
      </w:r>
      <w:r w:rsidRPr="0031181D">
        <w:rPr>
          <w:rFonts w:eastAsia="Songti TC Regular"/>
          <w:color w:val="000000" w:themeColor="text1"/>
          <w:vertAlign w:val="superscript"/>
        </w:rPr>
        <w:footnoteReference w:id="89"/>
      </w:r>
      <w:r w:rsidRPr="0031181D">
        <w:rPr>
          <w:rFonts w:eastAsia="Songti TC Regular"/>
          <w:color w:val="000000" w:themeColor="text1"/>
        </w:rPr>
        <w:t xml:space="preserve"> Writing of Laon in the early twelfth century, Guibert of Nogent, a Benedictine monk, had this story to tell.</w:t>
      </w:r>
      <w:r w:rsidRPr="0031181D">
        <w:rPr>
          <w:rFonts w:eastAsia="Songti TC Regular"/>
          <w:color w:val="000000" w:themeColor="text1"/>
          <w:vertAlign w:val="superscript"/>
        </w:rPr>
        <w:footnoteReference w:id="90"/>
      </w:r>
      <w:r w:rsidRPr="0031181D">
        <w:rPr>
          <w:rFonts w:eastAsia="Songti TC Regular"/>
          <w:color w:val="000000" w:themeColor="text1"/>
        </w:rPr>
        <w:t xml:space="preserve"> </w:t>
      </w:r>
    </w:p>
    <w:p w14:paraId="77B30CF7" w14:textId="77777777" w:rsidR="00C84E63" w:rsidRPr="0031181D" w:rsidRDefault="00C84E63">
      <w:pPr>
        <w:spacing w:line="480" w:lineRule="auto"/>
        <w:ind w:firstLine="720"/>
        <w:rPr>
          <w:rFonts w:eastAsia="Songti TC Regular"/>
          <w:color w:val="000000" w:themeColor="text1"/>
        </w:rPr>
      </w:pPr>
    </w:p>
    <w:p w14:paraId="2B05622F" w14:textId="77777777" w:rsidR="00C84E63" w:rsidRPr="0031181D" w:rsidRDefault="007F6E61">
      <w:pPr>
        <w:spacing w:line="480" w:lineRule="auto"/>
        <w:ind w:left="720" w:right="720"/>
        <w:rPr>
          <w:rFonts w:eastAsia="Songti TC Regular"/>
          <w:color w:val="000000" w:themeColor="text1"/>
        </w:rPr>
      </w:pPr>
      <w:r w:rsidRPr="0031181D">
        <w:rPr>
          <w:rFonts w:eastAsia="Songti TC Regular"/>
          <w:color w:val="000000" w:themeColor="text1"/>
        </w:rPr>
        <w:t xml:space="preserve">Every Saturday country people from various parts would come there to buy and sell. The citizens of Laon would carry around for sale in the marketplace vegetables, wheat, or other produce in bowls, platters, or other containers. They would offer these to the peasants who were anxious to buy them; and once a price had been fixed and the purchaser had agreed to buy, the seller would say, ‘Come over to my house and I’ll show you the full supply of the product I’m selling you’. </w:t>
      </w:r>
    </w:p>
    <w:p w14:paraId="089461B2" w14:textId="77777777" w:rsidR="00C84E63" w:rsidRPr="0031181D" w:rsidRDefault="00C84E63">
      <w:pPr>
        <w:spacing w:line="480" w:lineRule="auto"/>
        <w:rPr>
          <w:rFonts w:eastAsia="Songti TC Regular"/>
          <w:color w:val="000000" w:themeColor="text1"/>
        </w:rPr>
      </w:pPr>
    </w:p>
    <w:p w14:paraId="3F749B1E" w14:textId="77777777" w:rsidR="00C84E63" w:rsidRPr="0031181D" w:rsidRDefault="007F6E61">
      <w:pPr>
        <w:spacing w:line="480" w:lineRule="auto"/>
        <w:rPr>
          <w:rFonts w:eastAsia="Songti TC Regular"/>
          <w:color w:val="000000" w:themeColor="text1"/>
        </w:rPr>
      </w:pPr>
      <w:r w:rsidRPr="0031181D">
        <w:rPr>
          <w:rFonts w:eastAsia="Songti TC Regular"/>
          <w:color w:val="000000" w:themeColor="text1"/>
        </w:rPr>
        <w:t>City dwellers selling food to peasants: this is parodic, fantastical subversion of the actual workings of the urban market.</w:t>
      </w:r>
      <w:r w:rsidRPr="0031181D">
        <w:rPr>
          <w:rFonts w:eastAsia="Songti TC Regular"/>
          <w:color w:val="000000" w:themeColor="text1"/>
          <w:vertAlign w:val="superscript"/>
        </w:rPr>
        <w:footnoteReference w:id="91"/>
      </w:r>
      <w:r w:rsidRPr="0031181D">
        <w:rPr>
          <w:rFonts w:eastAsia="Songti TC Regular"/>
          <w:color w:val="000000" w:themeColor="text1"/>
        </w:rPr>
        <w:t xml:space="preserve"> Guibert’s point must be understood as a moral one. When the gullible peasant went along, the ‘honest’ seller would show him a vat, and encourage him to have a close look: </w:t>
      </w:r>
    </w:p>
    <w:p w14:paraId="776FA33D" w14:textId="77777777" w:rsidR="00C84E63" w:rsidRPr="0031181D" w:rsidRDefault="00C84E63">
      <w:pPr>
        <w:spacing w:line="480" w:lineRule="auto"/>
        <w:ind w:firstLine="720"/>
        <w:rPr>
          <w:rFonts w:eastAsia="Songti TC Regular"/>
          <w:color w:val="000000" w:themeColor="text1"/>
        </w:rPr>
      </w:pPr>
    </w:p>
    <w:p w14:paraId="10D65718"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The buyer would then hoist himself up and lean over the edge… Then the good vendor would come from behind, lift the unsuspecting peasant by the feet, dump him into the chest and keep him in the safe prison until he had paid a ransom.</w:t>
      </w:r>
    </w:p>
    <w:p w14:paraId="09D7F7FB" w14:textId="77777777" w:rsidR="00C84E63" w:rsidRPr="0031181D" w:rsidRDefault="00C84E63">
      <w:pPr>
        <w:spacing w:line="480" w:lineRule="auto"/>
        <w:ind w:left="720" w:right="720" w:firstLine="720"/>
        <w:rPr>
          <w:rFonts w:eastAsia="Songti TC Regular"/>
          <w:color w:val="000000" w:themeColor="text1"/>
        </w:rPr>
      </w:pPr>
    </w:p>
    <w:p w14:paraId="3D511DDE"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This was just one example, which ‘if it had occurred among barbarians or Scythians, people who have no laws, it would have been considered the highest form of profanation.’ The whole city, in fact, its leaders included, was a den of thieves and murderers. Churchmen might be no better. With an acuity born of his own frustrated ambition, Guibert bears witness to the false promise of the new world of opportunity.</w:t>
      </w:r>
      <w:r w:rsidRPr="0031181D">
        <w:rPr>
          <w:rFonts w:eastAsia="Songti TC Regular"/>
          <w:color w:val="000000" w:themeColor="text1"/>
          <w:vertAlign w:val="superscript"/>
        </w:rPr>
        <w:footnoteReference w:id="92"/>
      </w:r>
      <w:r w:rsidRPr="0031181D">
        <w:rPr>
          <w:rFonts w:eastAsia="Songti TC Regular"/>
          <w:color w:val="000000" w:themeColor="text1"/>
        </w:rPr>
        <w:t xml:space="preserve"> So much for ‘civilization’.</w:t>
      </w:r>
    </w:p>
    <w:p w14:paraId="6BF3A4A3"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This was not the only way to figure the city and its relation to the Scythians.</w:t>
      </w:r>
      <w:r w:rsidRPr="0031181D">
        <w:rPr>
          <w:rFonts w:eastAsia="Songti TC Regular"/>
          <w:color w:val="000000" w:themeColor="text1"/>
          <w:vertAlign w:val="superscript"/>
        </w:rPr>
        <w:footnoteReference w:id="93"/>
      </w:r>
      <w:r w:rsidRPr="0031181D">
        <w:rPr>
          <w:rFonts w:eastAsia="Songti TC Regular"/>
          <w:color w:val="000000" w:themeColor="text1"/>
        </w:rPr>
        <w:t xml:space="preserve"> Writing some hundred years before Guibert, Dudo, canon of St Quentin in Normandy, tells a story which starts in Scythia, but ends in the city of Rouen. Dudo is widely acknowledged as the founder of ‘the Norman myth’: he recounts how the marauding Northmen became ‘Normans’, a Christian people settling in the Carolingian world, aspiring to succeed the Franks.</w:t>
      </w:r>
      <w:r w:rsidRPr="0031181D">
        <w:rPr>
          <w:rFonts w:eastAsia="Songti TC Regular"/>
          <w:color w:val="000000" w:themeColor="text1"/>
          <w:vertAlign w:val="superscript"/>
        </w:rPr>
        <w:footnoteReference w:id="94"/>
      </w:r>
      <w:r w:rsidRPr="0031181D">
        <w:rPr>
          <w:rFonts w:eastAsia="Songti TC Regular"/>
          <w:color w:val="000000" w:themeColor="text1"/>
        </w:rPr>
        <w:t xml:space="preserve"> Dudo’s chronicle established the template for subsequent Norman historiography, both in England, in Sicily, and in the Holy Land. </w:t>
      </w:r>
    </w:p>
    <w:p w14:paraId="7CFFFCFE"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Dudo here features less as an ‘ethnic’ historian, and rather as a narrator of the steppe and the sown. The division between these remains, but it is permeable, and the ‘civilizing process’ as the Normans pass from one to the other is not conceived as a fall into exploitative social relations. Put another way, Dudo takes up ‘Type A and B emporia’ and gives them a history and a future. </w:t>
      </w:r>
    </w:p>
    <w:p w14:paraId="03999F2D"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Dudo’s is a global history, or at least of the parts of the world with which we are concerned in this essay. ‘Now the cosmographers who have surveyed the world’s whole mass’, he begins, taking his readers on a tour of ‘Asia, Europe, and Africa’. He moves in closer to describe the border between Europe and Asia. </w:t>
      </w:r>
    </w:p>
    <w:p w14:paraId="377C416A" w14:textId="77777777" w:rsidR="00C84E63" w:rsidRPr="0031181D" w:rsidRDefault="00C84E63">
      <w:pPr>
        <w:spacing w:line="480" w:lineRule="auto"/>
        <w:ind w:firstLine="720"/>
        <w:rPr>
          <w:rFonts w:eastAsia="Songti TC Regular"/>
          <w:color w:val="000000" w:themeColor="text1"/>
        </w:rPr>
      </w:pPr>
    </w:p>
    <w:p w14:paraId="34E63E99"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Spread out within the huge space between the Danube and the edge of the Scythian Sea, there dwell savage and barbarous peoples… For there lies the region of the great multitudes of Alania, the exceedingly fertile site of Dacia, and the farreaching reaches of Getia. Of which, Dacia stands in the middle, looking like a crown, or resembling a city fortified by enormous Alps.</w:t>
      </w:r>
      <w:r w:rsidRPr="0031181D">
        <w:rPr>
          <w:rFonts w:eastAsia="Songti TC Regular"/>
          <w:color w:val="000000" w:themeColor="text1"/>
          <w:vertAlign w:val="superscript"/>
        </w:rPr>
        <w:footnoteReference w:id="95"/>
      </w:r>
    </w:p>
    <w:p w14:paraId="7FFC4B2B" w14:textId="77777777" w:rsidR="00C84E63" w:rsidRPr="0031181D" w:rsidRDefault="00C84E63">
      <w:pPr>
        <w:spacing w:line="480" w:lineRule="auto"/>
        <w:ind w:left="720" w:right="720" w:firstLine="720"/>
        <w:rPr>
          <w:rFonts w:eastAsia="Songti TC Regular"/>
          <w:color w:val="000000" w:themeColor="text1"/>
        </w:rPr>
      </w:pPr>
    </w:p>
    <w:p w14:paraId="0CDCBDCA"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Dudo’s people, ‘the Daci,call themselves Danai or Danes, and boast that they are descended from Antenor; who when in former times the lands of Troy were laid waste, slipped away through the middle of those Greeks’.</w:t>
      </w:r>
      <w:r w:rsidRPr="0031181D">
        <w:rPr>
          <w:rFonts w:eastAsia="Songti TC Regular"/>
          <w:color w:val="000000" w:themeColor="text1"/>
          <w:vertAlign w:val="superscript"/>
        </w:rPr>
        <w:footnoteReference w:id="96"/>
      </w:r>
      <w:r w:rsidRPr="0031181D">
        <w:rPr>
          <w:rFonts w:eastAsia="Songti TC Regular"/>
          <w:color w:val="000000" w:themeColor="text1"/>
        </w:rPr>
        <w:t xml:space="preserve"> In other words, Dudo here at once evokes the barbarous nomadic origins of his people, and simultaneously anticipates their urban future. They come from a city — Troy — and even their redoubt looks like a city. </w:t>
      </w:r>
    </w:p>
    <w:p w14:paraId="0B69A9F4"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As Eleanor Searle showed a generation ago, Virgil’s Aeneid serves as a narrative template for Dudo, as he writes the Normans into the canon of Latin historiography.</w:t>
      </w:r>
      <w:r w:rsidRPr="0031181D">
        <w:rPr>
          <w:rFonts w:eastAsia="Songti TC Regular"/>
          <w:color w:val="000000" w:themeColor="text1"/>
          <w:vertAlign w:val="superscript"/>
        </w:rPr>
        <w:footnoteReference w:id="97"/>
      </w:r>
      <w:r w:rsidRPr="0031181D">
        <w:rPr>
          <w:rFonts w:eastAsia="Songti TC Regular"/>
          <w:color w:val="000000" w:themeColor="text1"/>
        </w:rPr>
        <w:t xml:space="preserve"> The part of Aeneas is taken by Rollo, who leads the Danes from Dacia, undergoes a series of trials and tribulations, and then finally comes to rest in Christian conversion, and in Francia. On his voyages, Rollo has a vision of himself on a mountain, cured from leprosy, and surrounded by a flock of birds of many different colours, nesting all around him. This is interpreted to mean his conversion to Christianity, and the men of many different provinces following. ‘By the nests, you may understand the walls of devasted cities are to be rebuilt.’</w:t>
      </w:r>
      <w:r w:rsidRPr="0031181D">
        <w:rPr>
          <w:rFonts w:eastAsia="Songti TC Regular"/>
          <w:color w:val="000000" w:themeColor="text1"/>
          <w:vertAlign w:val="superscript"/>
        </w:rPr>
        <w:footnoteReference w:id="98"/>
      </w:r>
      <w:r w:rsidRPr="0031181D">
        <w:rPr>
          <w:rFonts w:eastAsia="Songti TC Regular"/>
          <w:color w:val="000000" w:themeColor="text1"/>
        </w:rPr>
        <w:t xml:space="preserve"> </w:t>
      </w:r>
    </w:p>
    <w:p w14:paraId="6FA9B8A0"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And so it comes to pass. Rollo takes a lovingly described journey up the Seine to Jumièges. </w:t>
      </w:r>
    </w:p>
    <w:p w14:paraId="5D1CBACC" w14:textId="77777777" w:rsidR="00C84E63" w:rsidRPr="0031181D" w:rsidRDefault="00C84E63">
      <w:pPr>
        <w:spacing w:line="480" w:lineRule="auto"/>
        <w:ind w:firstLine="720"/>
        <w:rPr>
          <w:rFonts w:eastAsia="Songti TC Regular"/>
          <w:color w:val="000000" w:themeColor="text1"/>
        </w:rPr>
      </w:pPr>
    </w:p>
    <w:p w14:paraId="32371ADF"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 xml:space="preserve">And when the poor people and the needy merchants who lived at Rouen and the inhabitants of that region, heard that a mighty throng of Northmen was present at Jumièges, they all came as one to Franco, the bishop of Rouen, to discuss what to do. </w:t>
      </w:r>
    </w:p>
    <w:p w14:paraId="070EB308" w14:textId="77777777" w:rsidR="00C84E63" w:rsidRPr="0031181D" w:rsidRDefault="00C84E63">
      <w:pPr>
        <w:spacing w:line="480" w:lineRule="auto"/>
        <w:ind w:left="720" w:right="720" w:firstLine="720"/>
        <w:rPr>
          <w:rFonts w:eastAsia="Songti TC Regular"/>
          <w:color w:val="000000" w:themeColor="text1"/>
        </w:rPr>
      </w:pPr>
    </w:p>
    <w:p w14:paraId="59F70176"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Franco sent for Rollo, who came to Rouen guaranteeing the safety of the bishop and the citizens. </w:t>
      </w:r>
    </w:p>
    <w:p w14:paraId="73FFF79C" w14:textId="77777777" w:rsidR="00C84E63" w:rsidRPr="0031181D" w:rsidRDefault="00C84E63">
      <w:pPr>
        <w:spacing w:line="480" w:lineRule="auto"/>
        <w:ind w:firstLine="720"/>
        <w:rPr>
          <w:rFonts w:eastAsia="Songti TC Regular"/>
          <w:color w:val="000000" w:themeColor="text1"/>
        </w:rPr>
      </w:pPr>
    </w:p>
    <w:p w14:paraId="3DCB2384"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 xml:space="preserve">Landing from the fleet, and inspecting the city at a rapid pace, he saw its great buildings thrown down, and the stones of its temples torn out, churches ‘shaken from the foundations’, walls broken down everywhere and a small and weaponless garrison, and he began to be ‘lost in a gaze on one object, remembering the vision which he had seen across the sea. </w:t>
      </w:r>
    </w:p>
    <w:p w14:paraId="351E64EE" w14:textId="77777777" w:rsidR="00C84E63" w:rsidRPr="0031181D" w:rsidRDefault="00C84E63">
      <w:pPr>
        <w:spacing w:line="480" w:lineRule="auto"/>
        <w:ind w:left="720" w:right="720" w:firstLine="720"/>
        <w:rPr>
          <w:rFonts w:eastAsia="Songti TC Regular"/>
          <w:color w:val="000000" w:themeColor="text1"/>
        </w:rPr>
      </w:pPr>
    </w:p>
    <w:p w14:paraId="6A12E07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Rollo retires to his ships to take counsel with his men. They enjoin upon him: </w:t>
      </w:r>
    </w:p>
    <w:p w14:paraId="713A258C" w14:textId="77777777" w:rsidR="00C84E63" w:rsidRPr="0031181D" w:rsidRDefault="00C84E63">
      <w:pPr>
        <w:spacing w:line="480" w:lineRule="auto"/>
        <w:ind w:firstLine="720"/>
        <w:rPr>
          <w:rFonts w:eastAsia="Songti TC Regular"/>
          <w:color w:val="000000" w:themeColor="text1"/>
        </w:rPr>
      </w:pPr>
    </w:p>
    <w:p w14:paraId="5EBF5069" w14:textId="77777777" w:rsidR="00C84E63" w:rsidRPr="0031181D" w:rsidRDefault="007F6E61">
      <w:pPr>
        <w:spacing w:line="480" w:lineRule="auto"/>
        <w:ind w:left="720" w:right="720" w:firstLine="720"/>
        <w:rPr>
          <w:rFonts w:eastAsia="Songti TC Regular"/>
          <w:color w:val="000000" w:themeColor="text1"/>
        </w:rPr>
      </w:pPr>
      <w:r w:rsidRPr="0031181D">
        <w:rPr>
          <w:rFonts w:eastAsia="Songti TC Regular"/>
          <w:color w:val="000000" w:themeColor="text1"/>
        </w:rPr>
        <w:t>This land is fertile, abounding in all fruits, well shaded with trees, divided by rivers full of fish, and well stocked with various kinds of game; but it is devoid of warriors and knights. Let us subject it to our power, and claim it as our own. Let us win in battle the towns, villages, and cities of the peoples who live here, so that the bands of banished men behind us will be able to rest in peace.</w:t>
      </w:r>
      <w:r w:rsidRPr="0031181D">
        <w:rPr>
          <w:rFonts w:eastAsia="Songti TC Regular"/>
          <w:color w:val="000000" w:themeColor="text1"/>
          <w:vertAlign w:val="superscript"/>
        </w:rPr>
        <w:footnoteReference w:id="99"/>
      </w:r>
      <w:r w:rsidRPr="0031181D">
        <w:rPr>
          <w:rFonts w:eastAsia="Songti TC Regular"/>
          <w:color w:val="000000" w:themeColor="text1"/>
        </w:rPr>
        <w:t xml:space="preserve"> </w:t>
      </w:r>
    </w:p>
    <w:p w14:paraId="6C7CC35A" w14:textId="77777777" w:rsidR="00C84E63" w:rsidRPr="0031181D" w:rsidRDefault="00C84E63">
      <w:pPr>
        <w:spacing w:line="480" w:lineRule="auto"/>
        <w:ind w:left="720" w:right="720" w:firstLine="720"/>
        <w:rPr>
          <w:rFonts w:eastAsia="Songti TC Regular"/>
          <w:color w:val="000000" w:themeColor="text1"/>
        </w:rPr>
      </w:pPr>
    </w:p>
    <w:p w14:paraId="095F538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Dudo here has the Norsemen decide to turn their violence to the cause of citied civilization. </w:t>
      </w:r>
    </w:p>
    <w:p w14:paraId="29141106"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In reading Dudo, we may suspect his description of the extent of devastation (there has been in fact a huge debate about this).</w:t>
      </w:r>
      <w:r w:rsidRPr="0031181D">
        <w:rPr>
          <w:rFonts w:eastAsia="Songti TC Regular"/>
          <w:color w:val="000000" w:themeColor="text1"/>
          <w:vertAlign w:val="superscript"/>
        </w:rPr>
        <w:footnoteReference w:id="100"/>
      </w:r>
      <w:r w:rsidRPr="0031181D">
        <w:rPr>
          <w:rFonts w:eastAsia="Songti TC Regular"/>
          <w:color w:val="000000" w:themeColor="text1"/>
        </w:rPr>
        <w:t xml:space="preserve"> But another way to say Rouen is a ‘small and weaponless garrison’ is to say that it is a Type B emporium. Rouen, had of course, a Roman past, but its revival in the seventh century seems to have largely ignored the Roman topography, and to have started again. </w:t>
      </w:r>
      <w:r w:rsidRPr="0031181D">
        <w:rPr>
          <w:rFonts w:eastAsia="Songti TC Regular"/>
          <w:color w:val="000000" w:themeColor="text1"/>
          <w:vertAlign w:val="superscript"/>
        </w:rPr>
        <w:footnoteReference w:id="101"/>
      </w:r>
      <w:r w:rsidRPr="0031181D">
        <w:rPr>
          <w:rFonts w:eastAsia="Songti TC Regular"/>
          <w:color w:val="000000" w:themeColor="text1"/>
        </w:rPr>
        <w:t xml:space="preserve"> The point here, as we have seen elsewhere in this essay, is to resist the empirical allure of narrative. Dudo’s text completes a long drawn out process of urban regeneration--but like every story of conversion or transformation, it is a retrospective account, traducing what came before, in the name of the glory of the new order. </w:t>
      </w:r>
    </w:p>
    <w:p w14:paraId="01DDE8C0" w14:textId="77777777" w:rsidR="00C84E63" w:rsidRPr="0031181D" w:rsidRDefault="00C84E63">
      <w:pPr>
        <w:spacing w:line="480" w:lineRule="auto"/>
        <w:ind w:firstLine="720"/>
        <w:rPr>
          <w:rFonts w:eastAsia="Songti TC Regular"/>
          <w:color w:val="000000" w:themeColor="text1"/>
        </w:rPr>
      </w:pPr>
    </w:p>
    <w:p w14:paraId="3936D1DC" w14:textId="77777777" w:rsidR="00C84E63" w:rsidRPr="0031181D" w:rsidRDefault="007F6E61">
      <w:pPr>
        <w:spacing w:line="480" w:lineRule="auto"/>
        <w:ind w:firstLine="720"/>
        <w:rPr>
          <w:rFonts w:eastAsia="Songti TC Regular"/>
          <w:b/>
          <w:color w:val="000000" w:themeColor="text1"/>
        </w:rPr>
      </w:pPr>
      <w:r w:rsidRPr="0031181D">
        <w:rPr>
          <w:rFonts w:eastAsia="Songti TC Regular"/>
          <w:b/>
          <w:color w:val="000000" w:themeColor="text1"/>
        </w:rPr>
        <w:t xml:space="preserve"> IV.</w:t>
      </w:r>
      <w:r w:rsidRPr="0031181D">
        <w:rPr>
          <w:rFonts w:eastAsia="Songti TC Regular"/>
          <w:b/>
          <w:color w:val="000000" w:themeColor="text1"/>
        </w:rPr>
        <w:tab/>
        <w:t>Conclusion: Rewriting Global Cities</w:t>
      </w:r>
    </w:p>
    <w:p w14:paraId="071DC30A"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The history of citied civilization has been based on questionable assumptions. The Mesopotamian myths of urban origin are but one of many ways in which peoples across the Afro-Eurasian landmass have chosen to account for the development of cities — but they have loomed disproportionately large in the scholarship. Accounts like Gordon Childe’s </w:t>
      </w:r>
      <w:r w:rsidRPr="0031181D">
        <w:rPr>
          <w:rFonts w:eastAsia="Songti TC Regular"/>
          <w:i/>
          <w:color w:val="000000" w:themeColor="text1"/>
        </w:rPr>
        <w:t xml:space="preserve">What Happened in History </w:t>
      </w:r>
      <w:r w:rsidRPr="0031181D">
        <w:rPr>
          <w:rFonts w:eastAsia="Songti TC Regular"/>
          <w:color w:val="000000" w:themeColor="text1"/>
        </w:rPr>
        <w:t xml:space="preserve">repeat the tropes of the city found in ancient traditions, and so enforce a top-down typological orthodoxy. The Mesopotamian model conveniently relegates the aberrant mushroom towns of early medieval western Europe Dark Age obscurity. Different narratives enliven and explain urban settlement beyond Europe, from the Chinese administrative geography and linkage of urbanism and sinicisation, to the genealogies of divine kingship that legitimise the urban tradition in the west African forest. </w:t>
      </w:r>
    </w:p>
    <w:p w14:paraId="1BD00025"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 xml:space="preserve">What, then, can we take from this discussion, from the recognition of a diversity of urban form irreducible to a linear trajectory? We hope to show how comparison between regions can challenge us to ask new questions of old knowledge. A focus on what towns thought of themselves, together with a consideration of what towns </w:t>
      </w:r>
      <w:r w:rsidRPr="0031181D">
        <w:rPr>
          <w:rFonts w:eastAsia="Songti TC Regular"/>
          <w:i/>
          <w:color w:val="000000" w:themeColor="text1"/>
        </w:rPr>
        <w:t>do</w:t>
      </w:r>
      <w:r w:rsidRPr="0031181D">
        <w:rPr>
          <w:rFonts w:eastAsia="Songti TC Regular"/>
          <w:color w:val="000000" w:themeColor="text1"/>
        </w:rPr>
        <w:t xml:space="preserve">, allows us to draw comparisons between some extremely different datasets. </w:t>
      </w:r>
    </w:p>
    <w:p w14:paraId="15A2570C"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One rather obvious answer to this question might be that towns are places that bring people together. Again, the incorporation of African material might offer an interesting way to think about this. Rather than aggregating these disparate groups into a single urban identity, we should see that a diversity of individual knowledge, skills, and identities characterise the urban context. Writing specifically about equatorial Africa (and warning of the dangers of extrapolating elsewhere), Guyer and Belinga have captured this dynamic through the concept  of ‘wealth in people as wealth in knowledge’.</w:t>
      </w:r>
      <w:r w:rsidRPr="0031181D">
        <w:rPr>
          <w:rFonts w:eastAsia="Songti TC Regular"/>
          <w:color w:val="000000" w:themeColor="text1"/>
          <w:vertAlign w:val="superscript"/>
        </w:rPr>
        <w:footnoteReference w:id="102"/>
      </w:r>
      <w:r w:rsidRPr="0031181D">
        <w:rPr>
          <w:rFonts w:eastAsia="Songti TC Regular"/>
          <w:color w:val="000000" w:themeColor="text1"/>
        </w:rPr>
        <w:t xml:space="preserve"> Wealth-in-people has provided many Africanist historians with a means of exploring economic and political activity that emphasises accumulation of followers, dependents, clients.</w:t>
      </w:r>
      <w:r w:rsidRPr="0031181D">
        <w:rPr>
          <w:rFonts w:eastAsia="Songti TC Regular"/>
          <w:color w:val="000000" w:themeColor="text1"/>
          <w:vertAlign w:val="superscript"/>
        </w:rPr>
        <w:footnoteReference w:id="103"/>
      </w:r>
      <w:r w:rsidRPr="0031181D">
        <w:rPr>
          <w:rFonts w:eastAsia="Songti TC Regular"/>
          <w:color w:val="000000" w:themeColor="text1"/>
        </w:rPr>
        <w:t xml:space="preserve"> Yet, Guyer and Belinga have refined this to an emphasis on wealth-in-knowledge: the particular skills and knowledge that individuals and groups contribute to society. Rather than viewing this as a process of accumulation – whereby leaders or elite groups (or towns?) draw together the accumulated knowledge of their society– they develop the notion of composition. This more open, flexible vision of social structure suggests a key role for multiplicity and diversity in social life, seeing this diversity as an effective adaptation to risk, as well as a means of achieving social goals. </w:t>
      </w:r>
    </w:p>
    <w:p w14:paraId="0FF22567"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It is certainly tempting to view aspects of composition in the archaeological record of urban transitions in Africa, where it is possible to see towns as places where people brought together their composite skills and knowledge.</w:t>
      </w:r>
      <w:r w:rsidRPr="0031181D">
        <w:rPr>
          <w:rFonts w:eastAsia="Songti TC Regular"/>
          <w:color w:val="000000" w:themeColor="text1"/>
          <w:vertAlign w:val="superscript"/>
        </w:rPr>
        <w:footnoteReference w:id="104"/>
      </w:r>
      <w:r w:rsidRPr="0031181D">
        <w:rPr>
          <w:rFonts w:eastAsia="Songti TC Regular"/>
          <w:color w:val="000000" w:themeColor="text1"/>
        </w:rPr>
        <w:t xml:space="preserve"> At sites like Jenne-jeno, the diversity of skills and knowledge is literally written into the infrastructure of an urban cluster with differentiated craft groupings and neighbourhoods, but no definable administrative structure. Elsewhere, the notion of composition helps to account for some of the ways that towns existed as points in diverse networks of resource exploitation, none of which are reducible to an agricultural hinterland serving an urban elite, or to a need to provide for an increasingly non-productive urban population. Guyer and Belinga offer the possibility of recognising forms of urbanism which are more than simply imperfect or primitive versions of the true urbanism based on specific traits such as agricultural extraction, administrative structures, and a literate elite, which are less amenable to recognizing diversity of forms. </w:t>
      </w:r>
    </w:p>
    <w:p w14:paraId="5791A32E"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A similar approach looks increasingly likely to be fruitful in Northeast Eurasia, where work on the urbanism of ‘nomadic empires’ is still in its infant stages. Although almost everything remains to be done, discoveries so far may suggest the presence of recurrent elements that could be combined in different ways to generate, within a single polity, several forms of urbanised settlement, most of which were not written about then or now. In other words, ‘nomads’, widely considered as ‘barbarians’ with no use for urban forms, in fact used several types of cities for their own ends. Such cities were not merely imitations of Central Plains ‘Chinese’ models but used features from them creatively, alongside elements from an older steppe tradition, from the Korean peninsula, and perhaps from elsewhere.</w:t>
      </w:r>
      <w:r w:rsidRPr="0031181D">
        <w:rPr>
          <w:rFonts w:eastAsia="Songti TC Regular"/>
          <w:color w:val="000000" w:themeColor="text1"/>
          <w:vertAlign w:val="superscript"/>
        </w:rPr>
        <w:footnoteReference w:id="105"/>
      </w:r>
      <w:r w:rsidRPr="0031181D">
        <w:rPr>
          <w:rFonts w:eastAsia="Songti TC Regular"/>
          <w:color w:val="000000" w:themeColor="text1"/>
        </w:rPr>
        <w:t xml:space="preserve"> There was coercion here, at the very least for construction of the ubiquitous pounded earth walls, but also involving population transfers, military postings, individual banishment and (sometimes?) taxation. At the same time the </w:t>
      </w:r>
      <w:r w:rsidRPr="0031181D">
        <w:rPr>
          <w:rFonts w:eastAsia="Songti TC Regular"/>
          <w:i/>
          <w:color w:val="000000" w:themeColor="text1"/>
        </w:rPr>
        <w:t>nabo</w:t>
      </w:r>
      <w:r w:rsidRPr="0031181D">
        <w:rPr>
          <w:rFonts w:eastAsia="Songti TC Regular"/>
          <w:color w:val="000000" w:themeColor="text1"/>
        </w:rPr>
        <w:t xml:space="preserve">, and perhaps the </w:t>
      </w:r>
      <w:r w:rsidRPr="0031181D">
        <w:rPr>
          <w:rFonts w:eastAsia="Songti TC Regular"/>
          <w:i/>
          <w:color w:val="000000" w:themeColor="text1"/>
        </w:rPr>
        <w:t>ordo</w:t>
      </w:r>
      <w:r w:rsidRPr="0031181D">
        <w:rPr>
          <w:rFonts w:eastAsia="Songti TC Regular"/>
          <w:color w:val="000000" w:themeColor="text1"/>
        </w:rPr>
        <w:t xml:space="preserve"> or even certain capital sites, provided venues for more voluntaristic gatherings with important political (and possibly economic) functions. </w:t>
      </w:r>
      <w:r w:rsidR="00427438" w:rsidRPr="0031181D">
        <w:rPr>
          <w:rFonts w:eastAsia="Songti TC Regular"/>
          <w:color w:val="000000" w:themeColor="text1"/>
        </w:rPr>
        <w:t xml:space="preserve">Southern market towns also borrowed creatively from existing models though were largely </w:t>
      </w:r>
      <w:r w:rsidR="007101B8" w:rsidRPr="0031181D">
        <w:rPr>
          <w:rFonts w:eastAsia="Songti TC Regular"/>
          <w:color w:val="000000" w:themeColor="text1"/>
        </w:rPr>
        <w:t>unplanned</w:t>
      </w:r>
      <w:r w:rsidR="00412853" w:rsidRPr="0031181D">
        <w:rPr>
          <w:rFonts w:eastAsia="Songti TC Regular"/>
          <w:color w:val="000000" w:themeColor="text1"/>
        </w:rPr>
        <w:t>, and yet provided significant government revenues</w:t>
      </w:r>
      <w:r w:rsidR="007101B8" w:rsidRPr="0031181D">
        <w:rPr>
          <w:rFonts w:eastAsia="Songti TC Regular"/>
          <w:color w:val="000000" w:themeColor="text1"/>
        </w:rPr>
        <w:t>.</w:t>
      </w:r>
      <w:r w:rsidR="002A774B" w:rsidRPr="0031181D">
        <w:rPr>
          <w:rFonts w:eastAsia="Songti TC Regular"/>
          <w:color w:val="000000" w:themeColor="text1"/>
        </w:rPr>
        <w:t xml:space="preserve"> Their capacity to act as centres for composition sat alongside their </w:t>
      </w:r>
      <w:r w:rsidR="00387182" w:rsidRPr="0031181D">
        <w:rPr>
          <w:rFonts w:eastAsia="Songti TC Regular"/>
          <w:color w:val="000000" w:themeColor="text1"/>
        </w:rPr>
        <w:t>roles in</w:t>
      </w:r>
      <w:r w:rsidR="00E8724B" w:rsidRPr="0031181D">
        <w:rPr>
          <w:rFonts w:eastAsia="Songti TC Regular"/>
          <w:color w:val="000000" w:themeColor="text1"/>
        </w:rPr>
        <w:t xml:space="preserve"> </w:t>
      </w:r>
      <w:r w:rsidR="00387182" w:rsidRPr="0031181D">
        <w:rPr>
          <w:rFonts w:eastAsia="Songti TC Regular"/>
          <w:color w:val="000000" w:themeColor="text1"/>
        </w:rPr>
        <w:t>coloni</w:t>
      </w:r>
      <w:r w:rsidR="002D26C7" w:rsidRPr="0031181D">
        <w:rPr>
          <w:rFonts w:eastAsia="Songti TC Regular"/>
          <w:color w:val="000000" w:themeColor="text1"/>
        </w:rPr>
        <w:t>al displacement</w:t>
      </w:r>
      <w:r w:rsidR="006B6B1C" w:rsidRPr="0031181D">
        <w:rPr>
          <w:rFonts w:eastAsia="Songti TC Regular"/>
          <w:color w:val="000000" w:themeColor="text1"/>
        </w:rPr>
        <w:t>.</w:t>
      </w:r>
      <w:r w:rsidR="007101B8" w:rsidRPr="0031181D">
        <w:rPr>
          <w:rFonts w:eastAsia="Songti TC Regular"/>
          <w:color w:val="000000" w:themeColor="text1"/>
        </w:rPr>
        <w:t xml:space="preserve"> </w:t>
      </w:r>
      <w:r w:rsidRPr="0031181D">
        <w:rPr>
          <w:rFonts w:eastAsia="Songti TC Regular"/>
          <w:color w:val="000000" w:themeColor="text1"/>
        </w:rPr>
        <w:t>Given this variety and complexity, thinking about cities in terms of coercion or voluntarism may be missing the mark.</w:t>
      </w:r>
    </w:p>
    <w:p w14:paraId="092DEF7C" w14:textId="77777777" w:rsidR="00C84E63" w:rsidRPr="0031181D" w:rsidRDefault="007F6E61">
      <w:pPr>
        <w:spacing w:line="480" w:lineRule="auto"/>
        <w:ind w:firstLine="720"/>
        <w:rPr>
          <w:rFonts w:eastAsia="Songti TC Regular"/>
          <w:color w:val="000000" w:themeColor="text1"/>
        </w:rPr>
      </w:pPr>
      <w:r w:rsidRPr="0031181D">
        <w:rPr>
          <w:rFonts w:eastAsia="Songti TC Regular"/>
          <w:color w:val="000000" w:themeColor="text1"/>
        </w:rPr>
        <w:t>The stories of Cain and Gilgamesh have exerted a powerful and distorting magic. In their thrall, scholars of medieval Eurasian cities have mistaken narrative adventures in elite self-legitimation (or self-criticism) for social historical accounts of urban origins. From this Babylonian captivity, it is surely time to release ourselves. We need to revisit the great and storied cities--Paris and Rome, Constantinople and Cairo, Hangzhou and Beijing—to ask whether they were really what they have seemed to us. The deep impression of permanence and embeddedness in an agricultural hinterland may turn out to be misleading. ‘All that is solid melts into air.’</w:t>
      </w:r>
      <w:r w:rsidRPr="0031181D">
        <w:rPr>
          <w:rFonts w:eastAsia="Songti TC Regular"/>
          <w:color w:val="000000" w:themeColor="text1"/>
          <w:vertAlign w:val="superscript"/>
        </w:rPr>
        <w:footnoteReference w:id="106"/>
      </w:r>
      <w:r w:rsidRPr="0031181D">
        <w:rPr>
          <w:rFonts w:eastAsia="Songti TC Regular"/>
          <w:color w:val="000000" w:themeColor="text1"/>
        </w:rPr>
        <w:t xml:space="preserve"> Stories of urban permanence served a purpose—and this is what we should be studying, on a global scale. The message of the ancient Mesopotamian creation stories is that cities could will themselves into new forms of being. </w:t>
      </w:r>
    </w:p>
    <w:sectPr w:rsidR="00C84E63" w:rsidRPr="0031181D" w:rsidSect="00CA10B4">
      <w:footerReference w:type="even" r:id="rId8"/>
      <w:footerReference w:type="default" r:id="rId9"/>
      <w:pgSz w:w="11906" w:h="16838"/>
      <w:pgMar w:top="1417" w:right="1417" w:bottom="1417" w:left="1417" w:header="720" w:footer="720" w:gutter="0"/>
      <w:pgNumType w:start="38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7277" w14:textId="77777777" w:rsidR="000A4EFF" w:rsidRDefault="000A4EFF">
      <w:r>
        <w:separator/>
      </w:r>
    </w:p>
  </w:endnote>
  <w:endnote w:type="continuationSeparator" w:id="0">
    <w:p w14:paraId="6C848EDD" w14:textId="77777777" w:rsidR="000A4EFF" w:rsidRDefault="000A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Georgia">
    <w:panose1 w:val="02040502050405020303"/>
    <w:charset w:val="00"/>
    <w:family w:val="auto"/>
    <w:pitch w:val="variable"/>
    <w:sig w:usb0="00000287" w:usb1="00000000" w:usb2="00000000" w:usb3="00000000" w:csb0="0000009F" w:csb1="00000000"/>
  </w:font>
  <w:font w:name="Songti TC Regular">
    <w:altName w:val="Songti TC"/>
    <w:charset w:val="50"/>
    <w:family w:val="auto"/>
    <w:pitch w:val="variable"/>
    <w:sig w:usb0="00000287" w:usb1="080F0000" w:usb2="00000010" w:usb3="00000000" w:csb0="0014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7634" w14:textId="77777777" w:rsidR="00CA10B4" w:rsidRDefault="00CA10B4" w:rsidP="00FA14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D28B4" w14:textId="77777777" w:rsidR="00CA10B4" w:rsidRDefault="00CA10B4" w:rsidP="00CA10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A5D6" w14:textId="77777777" w:rsidR="00CA10B4" w:rsidRDefault="00CA10B4" w:rsidP="00FA14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EFF">
      <w:rPr>
        <w:rStyle w:val="PageNumber"/>
        <w:noProof/>
      </w:rPr>
      <w:t>381</w:t>
    </w:r>
    <w:r>
      <w:rPr>
        <w:rStyle w:val="PageNumber"/>
      </w:rPr>
      <w:fldChar w:fldCharType="end"/>
    </w:r>
  </w:p>
  <w:p w14:paraId="369E4004" w14:textId="6056898C" w:rsidR="00C84E63" w:rsidRDefault="00C84E63" w:rsidP="00CA10B4">
    <w:pPr>
      <w:tabs>
        <w:tab w:val="center" w:pos="4536"/>
        <w:tab w:val="right" w:pos="9072"/>
      </w:tabs>
      <w:spacing w:after="708"/>
      <w:ind w:right="360"/>
      <w:jc w:val="right"/>
      <w:rPr>
        <w:rFonts w:eastAsia="Times New Roman"/>
      </w:rPr>
    </w:pPr>
  </w:p>
  <w:p w14:paraId="700AAF2B" w14:textId="77777777" w:rsidR="00C84E63" w:rsidRDefault="00C84E63">
    <w:pPr>
      <w:tabs>
        <w:tab w:val="center" w:pos="4536"/>
        <w:tab w:val="right" w:pos="9072"/>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2140A" w14:textId="77777777" w:rsidR="000A4EFF" w:rsidRDefault="000A4EFF">
      <w:r>
        <w:separator/>
      </w:r>
    </w:p>
  </w:footnote>
  <w:footnote w:type="continuationSeparator" w:id="0">
    <w:p w14:paraId="4A4B93E8" w14:textId="77777777" w:rsidR="000A4EFF" w:rsidRDefault="000A4EFF">
      <w:r>
        <w:continuationSeparator/>
      </w:r>
    </w:p>
  </w:footnote>
  <w:footnote w:id="1">
    <w:p w14:paraId="77E3F8C8" w14:textId="77777777" w:rsidR="008F44DB" w:rsidRPr="0031181D" w:rsidRDefault="008F44DB" w:rsidP="0026013D">
      <w:pPr>
        <w:snapToGrid w:val="0"/>
        <w:spacing w:line="480" w:lineRule="auto"/>
        <w:rPr>
          <w:rFonts w:eastAsia="Songti TC Regular"/>
          <w:color w:val="000000" w:themeColor="text1"/>
        </w:rPr>
      </w:pPr>
      <w:r w:rsidRPr="0031181D">
        <w:rPr>
          <w:rStyle w:val="FootnoteReference"/>
          <w:rFonts w:eastAsia="Songti TC Regular"/>
          <w:color w:val="000000" w:themeColor="text1"/>
        </w:rPr>
        <w:footnoteRef/>
      </w:r>
      <w:r w:rsidRPr="0031181D">
        <w:rPr>
          <w:rFonts w:eastAsia="Songti TC Regular"/>
          <w:color w:val="000000" w:themeColor="text1"/>
        </w:rPr>
        <w:t xml:space="preserve"> Thanks to colleagues in the GMA network, and to audiences in Oxford and Manchester for their comments and questions; and to Lesley Abrams, </w:t>
      </w:r>
      <w:r w:rsidR="002225A6" w:rsidRPr="0031181D">
        <w:rPr>
          <w:rFonts w:eastAsia="Songti TC Regular"/>
          <w:color w:val="000000" w:themeColor="text1"/>
        </w:rPr>
        <w:t xml:space="preserve">Gwen Bennett, </w:t>
      </w:r>
      <w:r w:rsidRPr="0031181D">
        <w:rPr>
          <w:rFonts w:eastAsia="Songti TC Regular"/>
          <w:color w:val="000000" w:themeColor="text1"/>
        </w:rPr>
        <w:t>R. I. Moore, Andrew Wareham, and to our anonymous readers for help and wise counsel, ignored at peril.</w:t>
      </w:r>
    </w:p>
  </w:footnote>
  <w:footnote w:id="2">
    <w:p w14:paraId="7FCC0085"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V. Gordon Childe, </w:t>
      </w:r>
      <w:r w:rsidRPr="0031181D">
        <w:rPr>
          <w:rFonts w:eastAsia="Songti TC Regular"/>
          <w:i/>
          <w:color w:val="000000" w:themeColor="text1"/>
        </w:rPr>
        <w:t>What Happened in History</w:t>
      </w:r>
      <w:r w:rsidRPr="0031181D">
        <w:rPr>
          <w:rFonts w:eastAsia="Songti TC Regular"/>
          <w:color w:val="000000" w:themeColor="text1"/>
        </w:rPr>
        <w:t xml:space="preserve"> (Harmondsworth, 1942), Ch. 5, ‘The Urban Revolution’, with the quotations at 49. </w:t>
      </w:r>
    </w:p>
  </w:footnote>
  <w:footnote w:id="3">
    <w:p w14:paraId="503CF5DC" w14:textId="52B64043"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further D. Damrosch, </w:t>
      </w:r>
      <w:r w:rsidRPr="0031181D">
        <w:rPr>
          <w:rFonts w:eastAsia="Songti TC Regular"/>
          <w:i/>
          <w:color w:val="000000" w:themeColor="text1"/>
        </w:rPr>
        <w:t>The Narrative Covenant: Transformations of Genre in the Growth of Biblical Literature</w:t>
      </w:r>
      <w:r w:rsidRPr="0031181D">
        <w:rPr>
          <w:rFonts w:eastAsia="Songti TC Regular"/>
          <w:color w:val="000000" w:themeColor="text1"/>
        </w:rPr>
        <w:t xml:space="preserve"> (San Francisco, 1987); </w:t>
      </w:r>
      <w:r w:rsidR="00072F79" w:rsidRPr="0031181D">
        <w:rPr>
          <w:rFonts w:eastAsia="Songti TC Regular"/>
          <w:color w:val="000000" w:themeColor="text1"/>
        </w:rPr>
        <w:t xml:space="preserve">A. Porter, </w:t>
      </w:r>
      <w:r w:rsidR="00072F79" w:rsidRPr="0031181D">
        <w:rPr>
          <w:rFonts w:eastAsia="Songti TC Regular"/>
          <w:i/>
          <w:color w:val="000000" w:themeColor="text1"/>
        </w:rPr>
        <w:t>Mobile Pastoralism and the Formation of Near Eastern Civilization: Weaving Togeth</w:t>
      </w:r>
      <w:r w:rsidR="00072F79" w:rsidRPr="0031181D">
        <w:rPr>
          <w:rFonts w:eastAsia="Songti TC Regular"/>
          <w:color w:val="000000" w:themeColor="text1"/>
        </w:rPr>
        <w:t>e</w:t>
      </w:r>
      <w:r w:rsidR="00072F79" w:rsidRPr="0031181D">
        <w:rPr>
          <w:rFonts w:eastAsia="Songti TC Regular"/>
          <w:i/>
          <w:color w:val="000000" w:themeColor="text1"/>
        </w:rPr>
        <w:t>r Stories</w:t>
      </w:r>
      <w:r w:rsidR="00072F79" w:rsidRPr="0031181D">
        <w:rPr>
          <w:rFonts w:eastAsia="Songti TC Regular"/>
          <w:color w:val="000000" w:themeColor="text1"/>
        </w:rPr>
        <w:t xml:space="preserve"> (Cambridge, 2012); </w:t>
      </w:r>
      <w:r w:rsidRPr="0031181D">
        <w:rPr>
          <w:rFonts w:eastAsia="Songti TC Regular"/>
          <w:color w:val="000000" w:themeColor="text1"/>
        </w:rPr>
        <w:t xml:space="preserve">and cf. </w:t>
      </w:r>
      <w:r w:rsidR="002069C5" w:rsidRPr="0031181D">
        <w:rPr>
          <w:rFonts w:eastAsia="Songti TC Regular"/>
          <w:color w:val="000000" w:themeColor="text1"/>
        </w:rPr>
        <w:t xml:space="preserve">Standen </w:t>
      </w:r>
      <w:r w:rsidRPr="0031181D">
        <w:rPr>
          <w:rFonts w:eastAsia="Songti TC Regular"/>
          <w:color w:val="000000" w:themeColor="text1"/>
        </w:rPr>
        <w:t xml:space="preserve">and </w:t>
      </w:r>
      <w:r w:rsidR="002069C5" w:rsidRPr="0031181D">
        <w:rPr>
          <w:rFonts w:eastAsia="Songti TC Regular"/>
          <w:color w:val="000000" w:themeColor="text1"/>
        </w:rPr>
        <w:t>White i</w:t>
      </w:r>
      <w:r w:rsidRPr="0031181D">
        <w:rPr>
          <w:rFonts w:eastAsia="Songti TC Regular"/>
          <w:color w:val="000000" w:themeColor="text1"/>
        </w:rPr>
        <w:t>n this volume.</w:t>
      </w:r>
    </w:p>
  </w:footnote>
  <w:footnote w:id="4">
    <w:p w14:paraId="4DB0E964"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Marshall Hodgson, </w:t>
      </w:r>
      <w:r w:rsidRPr="0031181D">
        <w:rPr>
          <w:rFonts w:eastAsia="Songti TC Regular"/>
          <w:i/>
          <w:color w:val="000000" w:themeColor="text1"/>
        </w:rPr>
        <w:t>The Venture of Islam: Conscience and</w:t>
      </w:r>
      <w:r w:rsidRPr="0031181D">
        <w:rPr>
          <w:rFonts w:eastAsia="Songti TC Regular"/>
          <w:color w:val="000000" w:themeColor="text1"/>
        </w:rPr>
        <w:t xml:space="preserve"> </w:t>
      </w:r>
      <w:r w:rsidRPr="0031181D">
        <w:rPr>
          <w:rFonts w:eastAsia="Songti TC Regular"/>
          <w:i/>
          <w:color w:val="000000" w:themeColor="text1"/>
        </w:rPr>
        <w:t xml:space="preserve">History in a World Civilization </w:t>
      </w:r>
      <w:r w:rsidRPr="0031181D">
        <w:rPr>
          <w:rFonts w:eastAsia="Songti TC Regular"/>
          <w:color w:val="000000" w:themeColor="text1"/>
        </w:rPr>
        <w:t xml:space="preserve">(Chicago, 1974); and see now B. Cunliffe, </w:t>
      </w:r>
      <w:r w:rsidRPr="0031181D">
        <w:rPr>
          <w:rFonts w:eastAsia="Songti TC Regular"/>
          <w:i/>
          <w:color w:val="000000" w:themeColor="text1"/>
        </w:rPr>
        <w:t>By Steppe, Desert, and Ocean: The Birth of Eurasia</w:t>
      </w:r>
      <w:r w:rsidRPr="0031181D">
        <w:rPr>
          <w:rFonts w:eastAsia="Songti TC Regular"/>
          <w:color w:val="000000" w:themeColor="text1"/>
        </w:rPr>
        <w:t xml:space="preserve"> (Oxford, 2015). </w:t>
      </w:r>
    </w:p>
  </w:footnote>
  <w:footnote w:id="5">
    <w:p w14:paraId="06D1E9F7" w14:textId="7929FAFD" w:rsidR="009847BB" w:rsidRPr="0031181D" w:rsidRDefault="00DA4126" w:rsidP="00DA7564">
      <w:pPr>
        <w:pStyle w:val="FootnoteText"/>
        <w:spacing w:line="480" w:lineRule="auto"/>
        <w:rPr>
          <w:rFonts w:eastAsia="Songti TC Regular"/>
        </w:rPr>
      </w:pPr>
      <w:r w:rsidRPr="0031181D">
        <w:rPr>
          <w:rStyle w:val="FootnoteReference"/>
          <w:rFonts w:eastAsia="Songti TC Regular"/>
        </w:rPr>
        <w:footnoteRef/>
      </w:r>
      <w:r w:rsidRPr="0031181D">
        <w:rPr>
          <w:rFonts w:eastAsia="Songti TC Regular"/>
        </w:rPr>
        <w:t xml:space="preserve"> J. Scott, </w:t>
      </w:r>
      <w:r w:rsidRPr="0031181D">
        <w:rPr>
          <w:rFonts w:eastAsia="Songti TC Regular"/>
          <w:i/>
        </w:rPr>
        <w:t xml:space="preserve">Against the Grain: A Deep History of the Earliest States, </w:t>
      </w:r>
      <w:r w:rsidRPr="0031181D">
        <w:rPr>
          <w:rFonts w:eastAsia="Songti TC Regular"/>
        </w:rPr>
        <w:t xml:space="preserve">(New Haven, 2017), 7 and </w:t>
      </w:r>
      <w:r w:rsidRPr="0031181D">
        <w:rPr>
          <w:rFonts w:eastAsia="Songti TC Regular"/>
          <w:i/>
        </w:rPr>
        <w:t>passim</w:t>
      </w:r>
      <w:r w:rsidRPr="0031181D">
        <w:rPr>
          <w:rFonts w:eastAsia="Songti TC Regular"/>
        </w:rPr>
        <w:t>.</w:t>
      </w:r>
      <w:r w:rsidR="009847BB" w:rsidRPr="0031181D">
        <w:rPr>
          <w:rFonts w:eastAsia="Songti TC Regular"/>
        </w:rPr>
        <w:t xml:space="preserve"> In that his focus is </w:t>
      </w:r>
      <w:r w:rsidR="009847BB" w:rsidRPr="0031181D">
        <w:rPr>
          <w:rFonts w:eastAsia="Songti TC Regular"/>
          <w:color w:val="000000" w:themeColor="text1"/>
        </w:rPr>
        <w:t xml:space="preserve">on the processes of state formation, </w:t>
      </w:r>
      <w:r w:rsidR="009847BB" w:rsidRPr="0031181D">
        <w:rPr>
          <w:rFonts w:eastAsia="Songti TC Regular"/>
        </w:rPr>
        <w:t xml:space="preserve">Scott’s </w:t>
      </w:r>
      <w:r w:rsidR="009847BB" w:rsidRPr="0031181D">
        <w:rPr>
          <w:rFonts w:eastAsia="Songti TC Regular"/>
          <w:color w:val="000000" w:themeColor="text1"/>
        </w:rPr>
        <w:t>critique of Childe runs in parallel to ours here. He mentions but does not focus on the urban narrative: states required towns, but not all towns were states.</w:t>
      </w:r>
    </w:p>
  </w:footnote>
  <w:footnote w:id="6">
    <w:p w14:paraId="3E094EA5" w14:textId="77777777" w:rsidR="00C84E63" w:rsidRPr="0031181D" w:rsidRDefault="007F6E61" w:rsidP="00901447">
      <w:pPr>
        <w:snapToGrid w:val="0"/>
        <w:spacing w:line="480" w:lineRule="auto"/>
        <w:rPr>
          <w:rFonts w:eastAsia="Songti TC Regular"/>
          <w:color w:val="000000" w:themeColor="text1"/>
          <w:szCs w:val="20"/>
        </w:rPr>
      </w:pPr>
      <w:r w:rsidRPr="0031181D">
        <w:rPr>
          <w:rFonts w:eastAsia="Songti TC Regular"/>
          <w:color w:val="000000" w:themeColor="text1"/>
          <w:vertAlign w:val="superscript"/>
        </w:rPr>
        <w:footnoteRef/>
      </w:r>
      <w:r w:rsidRPr="0031181D">
        <w:rPr>
          <w:rFonts w:eastAsia="Songti TC Regular"/>
          <w:color w:val="000000" w:themeColor="text1"/>
          <w:szCs w:val="20"/>
        </w:rPr>
        <w:t xml:space="preserve"> </w:t>
      </w:r>
      <w:r w:rsidRPr="0031181D">
        <w:rPr>
          <w:rFonts w:eastAsia="Songti TC Regular"/>
          <w:color w:val="000000" w:themeColor="text1"/>
        </w:rPr>
        <w:t xml:space="preserve">D. Smail, ‘In the Grip of Sacred History’, </w:t>
      </w:r>
      <w:r w:rsidRPr="0031181D">
        <w:rPr>
          <w:rFonts w:eastAsia="Songti TC Regular"/>
          <w:i/>
          <w:color w:val="000000" w:themeColor="text1"/>
        </w:rPr>
        <w:t>American Historical Review</w:t>
      </w:r>
      <w:r w:rsidRPr="0031181D">
        <w:rPr>
          <w:rFonts w:eastAsia="Songti TC Regular"/>
          <w:color w:val="000000" w:themeColor="text1"/>
        </w:rPr>
        <w:t xml:space="preserve">, cx (2005), 1337–61. </w:t>
      </w:r>
    </w:p>
  </w:footnote>
  <w:footnote w:id="7">
    <w:p w14:paraId="061AE65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Heng Chye Kiang, </w:t>
      </w:r>
      <w:r w:rsidRPr="0031181D">
        <w:rPr>
          <w:rFonts w:eastAsia="Songti TC Regular"/>
          <w:i/>
          <w:color w:val="000000" w:themeColor="text1"/>
        </w:rPr>
        <w:t>Cities of Aristocrats and Bureaucrats: The Development of Medieval Chinese Cityscapes</w:t>
      </w:r>
      <w:r w:rsidRPr="0031181D">
        <w:rPr>
          <w:rFonts w:eastAsia="Songti TC Regular"/>
          <w:color w:val="000000" w:themeColor="text1"/>
        </w:rPr>
        <w:t xml:space="preserve"> (Honolulu, 1999), 7, 136–7.</w:t>
      </w:r>
    </w:p>
  </w:footnote>
  <w:footnote w:id="8">
    <w:p w14:paraId="5103354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Although Childe remains popular as a framework and straw man in archaeological explanation; see for example M. E. </w:t>
      </w:r>
      <w:r w:rsidRPr="0031181D">
        <w:rPr>
          <w:rFonts w:eastAsia="Songti TC Regular"/>
          <w:color w:val="000000" w:themeColor="text1"/>
          <w:highlight w:val="white"/>
        </w:rPr>
        <w:t>Smith</w:t>
      </w:r>
      <w:r w:rsidRPr="0031181D">
        <w:rPr>
          <w:rFonts w:eastAsia="Songti TC Regular"/>
          <w:i/>
          <w:color w:val="000000" w:themeColor="text1"/>
          <w:highlight w:val="white"/>
        </w:rPr>
        <w:t>, </w:t>
      </w:r>
      <w:r w:rsidRPr="0031181D">
        <w:rPr>
          <w:rFonts w:eastAsia="Songti TC Regular"/>
          <w:color w:val="000000" w:themeColor="text1"/>
          <w:highlight w:val="white"/>
        </w:rPr>
        <w:t>‘Empirical Urban Theory for Archaeologists’,</w:t>
      </w:r>
      <w:r w:rsidRPr="0031181D">
        <w:rPr>
          <w:rFonts w:eastAsia="Songti TC Regular"/>
          <w:i/>
          <w:color w:val="000000" w:themeColor="text1"/>
          <w:highlight w:val="white"/>
        </w:rPr>
        <w:t> Journal of Archaeological Method and Theory, </w:t>
      </w:r>
      <w:r w:rsidRPr="0031181D">
        <w:rPr>
          <w:rFonts w:eastAsia="Songti TC Regular"/>
          <w:color w:val="000000" w:themeColor="text1"/>
          <w:highlight w:val="white"/>
        </w:rPr>
        <w:t>xviii, 3 (2011), 167–92.</w:t>
      </w:r>
    </w:p>
  </w:footnote>
  <w:footnote w:id="9">
    <w:p w14:paraId="031FBBF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in particular, R. I. Moore, ‘The Eleventh Century in Eurasian History: A Comparative Approach to the Convergence and Divergence of Medieval Civilizations’, </w:t>
      </w:r>
      <w:r w:rsidRPr="0031181D">
        <w:rPr>
          <w:rFonts w:eastAsia="Songti TC Regular"/>
          <w:i/>
          <w:color w:val="000000" w:themeColor="text1"/>
        </w:rPr>
        <w:t>Journal of Medieval and Early Modern Studies</w:t>
      </w:r>
      <w:r w:rsidRPr="0031181D">
        <w:rPr>
          <w:rFonts w:eastAsia="Songti TC Regular"/>
          <w:color w:val="000000" w:themeColor="text1"/>
        </w:rPr>
        <w:t xml:space="preserve"> xxxiii (2003), 3–21; and ‘A Global Middle Ages?’ in J. Belich, </w:t>
      </w:r>
      <w:r w:rsidRPr="0031181D">
        <w:rPr>
          <w:rFonts w:eastAsia="Songti TC Regular"/>
          <w:i/>
          <w:color w:val="000000" w:themeColor="text1"/>
        </w:rPr>
        <w:t>et al.</w:t>
      </w:r>
      <w:r w:rsidRPr="0031181D">
        <w:rPr>
          <w:rFonts w:eastAsia="Songti TC Regular"/>
          <w:color w:val="000000" w:themeColor="text1"/>
        </w:rPr>
        <w:t xml:space="preserve"> (eds.), </w:t>
      </w:r>
      <w:r w:rsidRPr="0031181D">
        <w:rPr>
          <w:rFonts w:eastAsia="Songti TC Regular"/>
          <w:i/>
          <w:color w:val="000000" w:themeColor="text1"/>
        </w:rPr>
        <w:t>The Prospect of Global History</w:t>
      </w:r>
      <w:r w:rsidRPr="0031181D">
        <w:rPr>
          <w:rFonts w:eastAsia="Songti TC Regular"/>
          <w:color w:val="000000" w:themeColor="text1"/>
        </w:rPr>
        <w:t xml:space="preserve"> (Oxford, 2016), 80–92. </w:t>
      </w:r>
    </w:p>
  </w:footnote>
  <w:footnote w:id="10">
    <w:p w14:paraId="7379A32D" w14:textId="7A04565A"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G. Duby, </w:t>
      </w:r>
      <w:r w:rsidRPr="0031181D">
        <w:rPr>
          <w:rFonts w:eastAsia="Songti TC Regular"/>
          <w:i/>
          <w:color w:val="000000" w:themeColor="text1"/>
        </w:rPr>
        <w:t xml:space="preserve">Rural Economy and Country Life in the Medieval West </w:t>
      </w:r>
      <w:r w:rsidRPr="0031181D">
        <w:rPr>
          <w:rFonts w:eastAsia="Songti TC Regular"/>
          <w:color w:val="000000" w:themeColor="text1"/>
        </w:rPr>
        <w:t xml:space="preserve">(London, 1968) is a classic account; C. J. Wickham, ‘European Forests in the Early Middle Ages: landscape and land clearance’, in </w:t>
      </w:r>
      <w:r w:rsidR="00B15EDC" w:rsidRPr="0031181D">
        <w:rPr>
          <w:rFonts w:eastAsia="Songti TC Regular"/>
          <w:color w:val="000000" w:themeColor="text1"/>
        </w:rPr>
        <w:t>Wickham</w:t>
      </w:r>
      <w:r w:rsidRPr="0031181D">
        <w:rPr>
          <w:rFonts w:eastAsia="Songti TC Regular"/>
          <w:color w:val="000000" w:themeColor="text1"/>
        </w:rPr>
        <w:t xml:space="preserve">, </w:t>
      </w:r>
      <w:r w:rsidRPr="0031181D">
        <w:rPr>
          <w:rFonts w:eastAsia="Songti TC Regular"/>
          <w:i/>
          <w:color w:val="000000" w:themeColor="text1"/>
        </w:rPr>
        <w:t xml:space="preserve">Land and Power in Early Medieval Europe: Studies in Italian and European Social History, 400-1000 </w:t>
      </w:r>
      <w:r w:rsidRPr="0031181D">
        <w:rPr>
          <w:rFonts w:eastAsia="Songti TC Regular"/>
          <w:color w:val="000000" w:themeColor="text1"/>
        </w:rPr>
        <w:t xml:space="preserve">(London, 1994), 155-200 places less emphasis on land clearance. </w:t>
      </w:r>
    </w:p>
  </w:footnote>
  <w:footnote w:id="11">
    <w:p w14:paraId="1C75F003" w14:textId="66483B6B"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Ralph Glaber, </w:t>
      </w:r>
      <w:r w:rsidRPr="0031181D">
        <w:rPr>
          <w:rFonts w:eastAsia="Songti TC Regular"/>
          <w:i/>
          <w:color w:val="000000" w:themeColor="text1"/>
        </w:rPr>
        <w:t>Five Books of Histories</w:t>
      </w:r>
      <w:r w:rsidRPr="0031181D">
        <w:rPr>
          <w:rFonts w:eastAsia="Songti TC Regular"/>
          <w:color w:val="000000" w:themeColor="text1"/>
        </w:rPr>
        <w:t xml:space="preserve"> 3. 4, ed. and tr. J. France (Oxford, 1989), 114-16 for the white mantle; see further N. Hiscock </w:t>
      </w:r>
      <w:r w:rsidR="009E4223" w:rsidRPr="0031181D">
        <w:rPr>
          <w:rFonts w:eastAsia="Songti TC Regular"/>
          <w:color w:val="000000" w:themeColor="text1"/>
        </w:rPr>
        <w:t>(</w:t>
      </w:r>
      <w:r w:rsidRPr="0031181D">
        <w:rPr>
          <w:rFonts w:eastAsia="Songti TC Regular"/>
          <w:color w:val="000000" w:themeColor="text1"/>
        </w:rPr>
        <w:t>ed.</w:t>
      </w:r>
      <w:r w:rsidR="009E4223" w:rsidRPr="0031181D">
        <w:rPr>
          <w:rFonts w:eastAsia="Songti TC Regular"/>
          <w:color w:val="000000" w:themeColor="text1"/>
        </w:rPr>
        <w:t>)</w:t>
      </w:r>
      <w:r w:rsidRPr="0031181D">
        <w:rPr>
          <w:rFonts w:eastAsia="Songti TC Regular"/>
          <w:color w:val="000000" w:themeColor="text1"/>
        </w:rPr>
        <w:t xml:space="preserve">, </w:t>
      </w:r>
      <w:r w:rsidRPr="0031181D">
        <w:rPr>
          <w:rFonts w:eastAsia="Songti TC Regular"/>
          <w:i/>
          <w:color w:val="000000" w:themeColor="text1"/>
        </w:rPr>
        <w:t>The</w:t>
      </w:r>
      <w:r w:rsidR="00425D4A" w:rsidRPr="0031181D">
        <w:rPr>
          <w:rFonts w:eastAsia="Songti TC Regular"/>
          <w:i/>
          <w:color w:val="000000" w:themeColor="text1"/>
        </w:rPr>
        <w:t xml:space="preserve"> White Ma</w:t>
      </w:r>
      <w:r w:rsidRPr="0031181D">
        <w:rPr>
          <w:rFonts w:eastAsia="Songti TC Regular"/>
          <w:i/>
          <w:color w:val="000000" w:themeColor="text1"/>
        </w:rPr>
        <w:t xml:space="preserve">ntle of </w:t>
      </w:r>
      <w:r w:rsidR="00425D4A" w:rsidRPr="0031181D">
        <w:rPr>
          <w:rFonts w:eastAsia="Songti TC Regular"/>
          <w:i/>
          <w:color w:val="000000" w:themeColor="text1"/>
        </w:rPr>
        <w:t>Churches</w:t>
      </w:r>
      <w:r w:rsidRPr="0031181D">
        <w:rPr>
          <w:rFonts w:eastAsia="Songti TC Regular"/>
          <w:i/>
          <w:color w:val="000000" w:themeColor="text1"/>
        </w:rPr>
        <w:t xml:space="preserve">: </w:t>
      </w:r>
      <w:r w:rsidR="00425D4A" w:rsidRPr="0031181D">
        <w:rPr>
          <w:rFonts w:eastAsia="Songti TC Regular"/>
          <w:i/>
          <w:color w:val="000000" w:themeColor="text1"/>
        </w:rPr>
        <w:t>Architecture</w:t>
      </w:r>
      <w:r w:rsidRPr="0031181D">
        <w:rPr>
          <w:rFonts w:eastAsia="Songti TC Regular"/>
          <w:i/>
          <w:color w:val="000000" w:themeColor="text1"/>
        </w:rPr>
        <w:t xml:space="preserve">, </w:t>
      </w:r>
      <w:r w:rsidR="00425D4A" w:rsidRPr="0031181D">
        <w:rPr>
          <w:rFonts w:eastAsia="Songti TC Regular"/>
          <w:i/>
          <w:color w:val="000000" w:themeColor="text1"/>
        </w:rPr>
        <w:t>Liturgy</w:t>
      </w:r>
      <w:r w:rsidRPr="0031181D">
        <w:rPr>
          <w:rFonts w:eastAsia="Songti TC Regular"/>
          <w:i/>
          <w:color w:val="000000" w:themeColor="text1"/>
        </w:rPr>
        <w:t xml:space="preserve">, and </w:t>
      </w:r>
      <w:r w:rsidR="00425D4A" w:rsidRPr="0031181D">
        <w:rPr>
          <w:rFonts w:eastAsia="Songti TC Regular"/>
          <w:i/>
          <w:color w:val="000000" w:themeColor="text1"/>
        </w:rPr>
        <w:t xml:space="preserve">Art Around </w:t>
      </w:r>
      <w:r w:rsidRPr="0031181D">
        <w:rPr>
          <w:rFonts w:eastAsia="Songti TC Regular"/>
          <w:i/>
          <w:color w:val="000000" w:themeColor="text1"/>
        </w:rPr>
        <w:t xml:space="preserve">the </w:t>
      </w:r>
      <w:r w:rsidR="00425D4A" w:rsidRPr="0031181D">
        <w:rPr>
          <w:rFonts w:eastAsia="Songti TC Regular"/>
          <w:i/>
          <w:color w:val="000000" w:themeColor="text1"/>
        </w:rPr>
        <w:t>Millennium</w:t>
      </w:r>
      <w:r w:rsidR="00425D4A" w:rsidRPr="0031181D">
        <w:rPr>
          <w:rFonts w:eastAsia="Songti TC Regular"/>
          <w:color w:val="000000" w:themeColor="text1"/>
        </w:rPr>
        <w:t xml:space="preserve"> </w:t>
      </w:r>
      <w:r w:rsidRPr="0031181D">
        <w:rPr>
          <w:rFonts w:eastAsia="Songti TC Regular"/>
          <w:color w:val="000000" w:themeColor="text1"/>
        </w:rPr>
        <w:t xml:space="preserve">(Turnhout, 2003), and R. I. Moore, </w:t>
      </w:r>
      <w:r w:rsidRPr="0031181D">
        <w:rPr>
          <w:rFonts w:eastAsia="Songti TC Regular"/>
          <w:i/>
          <w:color w:val="000000" w:themeColor="text1"/>
        </w:rPr>
        <w:t>The First European Revolution</w:t>
      </w:r>
      <w:r w:rsidRPr="0031181D">
        <w:rPr>
          <w:rFonts w:eastAsia="Songti TC Regular"/>
          <w:color w:val="000000" w:themeColor="text1"/>
        </w:rPr>
        <w:t xml:space="preserve"> (Oxford, 2000). </w:t>
      </w:r>
    </w:p>
  </w:footnote>
  <w:footnote w:id="12">
    <w:p w14:paraId="1277467F" w14:textId="77777777" w:rsidR="00072F79" w:rsidRPr="0031181D" w:rsidRDefault="00613B66">
      <w:pPr>
        <w:pStyle w:val="FootnoteText"/>
        <w:rPr>
          <w:rFonts w:eastAsia="Songti TC Regular"/>
          <w:i/>
        </w:rPr>
      </w:pPr>
      <w:r w:rsidRPr="0031181D">
        <w:rPr>
          <w:rStyle w:val="FootnoteReference"/>
          <w:rFonts w:eastAsia="Songti TC Regular"/>
        </w:rPr>
        <w:footnoteRef/>
      </w:r>
      <w:r w:rsidRPr="0031181D">
        <w:rPr>
          <w:rFonts w:eastAsia="Songti TC Regular"/>
        </w:rPr>
        <w:t xml:space="preserve"> Scott, </w:t>
      </w:r>
      <w:r w:rsidRPr="0031181D">
        <w:rPr>
          <w:rFonts w:eastAsia="Songti TC Regular"/>
          <w:i/>
        </w:rPr>
        <w:t>Against the Grain</w:t>
      </w:r>
      <w:r w:rsidR="00072F79" w:rsidRPr="0031181D">
        <w:rPr>
          <w:rFonts w:eastAsia="Songti TC Regular"/>
        </w:rPr>
        <w:t xml:space="preserve">, in homage to R. Manning, </w:t>
      </w:r>
      <w:r w:rsidR="00072F79" w:rsidRPr="0031181D">
        <w:rPr>
          <w:rFonts w:eastAsia="Songti TC Regular"/>
          <w:i/>
        </w:rPr>
        <w:t xml:space="preserve">Against the Grain: How Agriculture </w:t>
      </w:r>
    </w:p>
    <w:p w14:paraId="77B7F00D" w14:textId="77777777" w:rsidR="00072F79" w:rsidRPr="0031181D" w:rsidRDefault="00072F79">
      <w:pPr>
        <w:pStyle w:val="FootnoteText"/>
        <w:rPr>
          <w:rFonts w:eastAsia="Songti TC Regular"/>
          <w:i/>
        </w:rPr>
      </w:pPr>
    </w:p>
    <w:p w14:paraId="09A7483E" w14:textId="6F81D45B" w:rsidR="00072F79" w:rsidRPr="0031181D" w:rsidRDefault="00072F79">
      <w:pPr>
        <w:pStyle w:val="FootnoteText"/>
        <w:rPr>
          <w:rFonts w:eastAsia="Songti TC Regular"/>
        </w:rPr>
      </w:pPr>
      <w:r w:rsidRPr="0031181D">
        <w:rPr>
          <w:rFonts w:eastAsia="Songti TC Regular"/>
          <w:i/>
        </w:rPr>
        <w:t xml:space="preserve">Has Hijacked Civilization </w:t>
      </w:r>
      <w:r w:rsidR="0055671D" w:rsidRPr="0031181D">
        <w:rPr>
          <w:rFonts w:eastAsia="Songti TC Regular"/>
        </w:rPr>
        <w:t>(New York, 2004).</w:t>
      </w:r>
    </w:p>
  </w:footnote>
  <w:footnote w:id="13">
    <w:p w14:paraId="5D064DF8"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overview, see G. Connah, </w:t>
      </w:r>
      <w:r w:rsidRPr="0031181D">
        <w:rPr>
          <w:rFonts w:eastAsia="Songti TC Regular"/>
          <w:i/>
          <w:color w:val="000000" w:themeColor="text1"/>
        </w:rPr>
        <w:t>African Civilizations: An Archaeological Perspective</w:t>
      </w:r>
      <w:r w:rsidRPr="0031181D">
        <w:rPr>
          <w:rFonts w:eastAsia="Songti TC Regular"/>
          <w:color w:val="000000" w:themeColor="text1"/>
        </w:rPr>
        <w:t xml:space="preserve"> (Cambridge, 2001).</w:t>
      </w:r>
    </w:p>
  </w:footnote>
  <w:footnote w:id="14">
    <w:p w14:paraId="55E9FCEF"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collections of these documents see N. Levtzion and J. F. P. Hopkins, </w:t>
      </w:r>
      <w:r w:rsidRPr="0031181D">
        <w:rPr>
          <w:rFonts w:eastAsia="Songti TC Regular"/>
          <w:i/>
          <w:color w:val="000000" w:themeColor="text1"/>
        </w:rPr>
        <w:t>Corpus of Early Arabic Sources for West African History</w:t>
      </w:r>
      <w:r w:rsidRPr="0031181D">
        <w:rPr>
          <w:rFonts w:eastAsia="Songti TC Regular"/>
          <w:color w:val="000000" w:themeColor="text1"/>
        </w:rPr>
        <w:t xml:space="preserve"> (Cambridge, 1981); G. S. P. Freeman-Grenville, </w:t>
      </w:r>
      <w:r w:rsidRPr="0031181D">
        <w:rPr>
          <w:rFonts w:eastAsia="Songti TC Regular"/>
          <w:i/>
          <w:color w:val="000000" w:themeColor="text1"/>
        </w:rPr>
        <w:t>The East African Coast: Select Documents from the First to the Earlier Nineteenth Centuries</w:t>
      </w:r>
      <w:r w:rsidRPr="0031181D">
        <w:rPr>
          <w:rFonts w:eastAsia="Songti TC Regular"/>
          <w:color w:val="000000" w:themeColor="text1"/>
        </w:rPr>
        <w:t xml:space="preserve"> (London, 1962)</w:t>
      </w:r>
      <w:r w:rsidRPr="0031181D">
        <w:rPr>
          <w:rFonts w:eastAsia="Songti TC Regular"/>
          <w:i/>
          <w:color w:val="000000" w:themeColor="text1"/>
        </w:rPr>
        <w:t>.</w:t>
      </w:r>
    </w:p>
  </w:footnote>
  <w:footnote w:id="15">
    <w:p w14:paraId="0C992E8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Tim Insoll, ‘The External Creation of the Western Sahel’s Past: The Use and Abuse of the Arabic Sources’, </w:t>
      </w:r>
      <w:r w:rsidRPr="0031181D">
        <w:rPr>
          <w:rFonts w:eastAsia="Songti TC Regular"/>
          <w:i/>
          <w:color w:val="000000" w:themeColor="text1"/>
        </w:rPr>
        <w:t>Archaeological Review from Cambridge</w:t>
      </w:r>
      <w:r w:rsidRPr="0031181D">
        <w:rPr>
          <w:rFonts w:eastAsia="Songti TC Regular"/>
          <w:color w:val="000000" w:themeColor="text1"/>
        </w:rPr>
        <w:t xml:space="preserve">, xiii (1994), 39–49; S. K. McIntosh and R. McIntosh, ‘From Siecles Obscurs to Revolutionary Centuries on the Middle Niger’, </w:t>
      </w:r>
      <w:r w:rsidRPr="0031181D">
        <w:rPr>
          <w:rFonts w:eastAsia="Songti TC Regular"/>
          <w:i/>
          <w:color w:val="000000" w:themeColor="text1"/>
        </w:rPr>
        <w:t>World Archaeology</w:t>
      </w:r>
      <w:r w:rsidRPr="0031181D">
        <w:rPr>
          <w:rFonts w:eastAsia="Songti TC Regular"/>
          <w:color w:val="000000" w:themeColor="text1"/>
        </w:rPr>
        <w:t>, xx (1988), 141–65.</w:t>
      </w:r>
    </w:p>
  </w:footnote>
  <w:footnote w:id="16">
    <w:p w14:paraId="6B99978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K. McIntosh and R .J. McIntosh, ‘The Early City in West Africa: Towards an Understanding’, </w:t>
      </w:r>
      <w:r w:rsidRPr="0031181D">
        <w:rPr>
          <w:rFonts w:eastAsia="Songti TC Regular"/>
          <w:i/>
          <w:color w:val="000000" w:themeColor="text1"/>
        </w:rPr>
        <w:t>African Archaeological Review</w:t>
      </w:r>
      <w:r w:rsidRPr="0031181D">
        <w:rPr>
          <w:rFonts w:eastAsia="Songti TC Regular"/>
          <w:color w:val="000000" w:themeColor="text1"/>
        </w:rPr>
        <w:t xml:space="preserve">, ii (1984), 73–98; B. Datoo, ‘Rhapta: The Location and Importance of East Africa’s First Port’, </w:t>
      </w:r>
      <w:r w:rsidRPr="0031181D">
        <w:rPr>
          <w:rFonts w:eastAsia="Songti TC Regular"/>
          <w:i/>
          <w:color w:val="000000" w:themeColor="text1"/>
        </w:rPr>
        <w:t>Azania</w:t>
      </w:r>
      <w:r w:rsidRPr="0031181D">
        <w:rPr>
          <w:rFonts w:eastAsia="Songti TC Regular"/>
          <w:color w:val="000000" w:themeColor="text1"/>
        </w:rPr>
        <w:t xml:space="preserve">, v (1970), 65–75; L. Kirwan, ‘Rhapta, Metropolis of Azania’, </w:t>
      </w:r>
      <w:r w:rsidRPr="0031181D">
        <w:rPr>
          <w:rFonts w:eastAsia="Songti TC Regular"/>
          <w:i/>
          <w:color w:val="000000" w:themeColor="text1"/>
        </w:rPr>
        <w:t>Azania</w:t>
      </w:r>
      <w:r w:rsidRPr="0031181D">
        <w:rPr>
          <w:rFonts w:eastAsia="Songti TC Regular"/>
          <w:color w:val="000000" w:themeColor="text1"/>
        </w:rPr>
        <w:t>, xxi</w:t>
      </w:r>
      <w:r w:rsidRPr="0031181D">
        <w:rPr>
          <w:rFonts w:eastAsia="Songti TC Regular"/>
          <w:i/>
          <w:color w:val="000000" w:themeColor="text1"/>
        </w:rPr>
        <w:t xml:space="preserve"> </w:t>
      </w:r>
      <w:r w:rsidRPr="0031181D">
        <w:rPr>
          <w:rFonts w:eastAsia="Songti TC Regular"/>
          <w:color w:val="000000" w:themeColor="text1"/>
        </w:rPr>
        <w:t xml:space="preserve">(1986), 99–104. </w:t>
      </w:r>
    </w:p>
  </w:footnote>
  <w:footnote w:id="17">
    <w:p w14:paraId="7E56E444" w14:textId="68549AD0"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example: Tim Insoll, </w:t>
      </w:r>
      <w:r w:rsidRPr="0031181D">
        <w:rPr>
          <w:rFonts w:eastAsia="Songti TC Regular"/>
          <w:i/>
          <w:color w:val="000000" w:themeColor="text1"/>
        </w:rPr>
        <w:t>Islam, Archaeology, and History: Gao Region (Mali) c. AD 900–1250</w:t>
      </w:r>
      <w:r w:rsidRPr="0031181D">
        <w:rPr>
          <w:rFonts w:eastAsia="Songti TC Regular"/>
          <w:color w:val="000000" w:themeColor="text1"/>
        </w:rPr>
        <w:t xml:space="preserve"> (Oxford, 1996); M. Posnansky, ‘Archaeology and the Origins of the Akan society in Ghana’, in G. de G. Sieveking, </w:t>
      </w:r>
      <w:r w:rsidRPr="0031181D">
        <w:rPr>
          <w:rFonts w:eastAsia="Songti TC Regular"/>
          <w:i/>
          <w:color w:val="000000" w:themeColor="text1"/>
        </w:rPr>
        <w:t>et al.</w:t>
      </w:r>
      <w:r w:rsidRPr="0031181D">
        <w:rPr>
          <w:rFonts w:eastAsia="Songti TC Regular"/>
          <w:color w:val="000000" w:themeColor="text1"/>
        </w:rPr>
        <w:t xml:space="preserve"> (eds.), </w:t>
      </w:r>
      <w:r w:rsidRPr="0031181D">
        <w:rPr>
          <w:rFonts w:eastAsia="Songti TC Regular"/>
          <w:i/>
          <w:color w:val="000000" w:themeColor="text1"/>
        </w:rPr>
        <w:t>Problems in Economic and Social Anthropology</w:t>
      </w:r>
      <w:r w:rsidRPr="0031181D">
        <w:rPr>
          <w:rFonts w:eastAsia="Songti TC Regular"/>
          <w:color w:val="000000" w:themeColor="text1"/>
        </w:rPr>
        <w:t xml:space="preserve"> (London, 1976), 49–59; H. Lhote, ‘Sur l'emplacement de la ville de Tadmekka: antique capitale des berberes soudanais’, </w:t>
      </w:r>
      <w:r w:rsidRPr="0031181D">
        <w:rPr>
          <w:rFonts w:eastAsia="Songti TC Regular"/>
          <w:i/>
          <w:color w:val="000000" w:themeColor="text1"/>
        </w:rPr>
        <w:t>Notes Africaines</w:t>
      </w:r>
      <w:r w:rsidR="009E4223" w:rsidRPr="0031181D">
        <w:rPr>
          <w:rFonts w:eastAsia="Songti TC Regular"/>
          <w:color w:val="000000" w:themeColor="text1"/>
        </w:rPr>
        <w:t>, li (1951), 65–9.</w:t>
      </w:r>
    </w:p>
  </w:footnote>
  <w:footnote w:id="18">
    <w:p w14:paraId="667FF6D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Levtzion and Hopkins, </w:t>
      </w:r>
      <w:r w:rsidRPr="0031181D">
        <w:rPr>
          <w:rFonts w:eastAsia="Songti TC Regular"/>
          <w:i/>
          <w:color w:val="000000" w:themeColor="text1"/>
        </w:rPr>
        <w:t xml:space="preserve">Corpus </w:t>
      </w:r>
      <w:r w:rsidRPr="0031181D">
        <w:rPr>
          <w:rFonts w:eastAsia="Songti TC Regular"/>
          <w:color w:val="000000" w:themeColor="text1"/>
        </w:rPr>
        <w:t>22.</w:t>
      </w:r>
    </w:p>
  </w:footnote>
  <w:footnote w:id="19">
    <w:p w14:paraId="562CA25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Levtzion and Hopkins, </w:t>
      </w:r>
      <w:r w:rsidRPr="0031181D">
        <w:rPr>
          <w:rFonts w:eastAsia="Songti TC Regular"/>
          <w:i/>
          <w:color w:val="000000" w:themeColor="text1"/>
        </w:rPr>
        <w:t>Corpus, 48.</w:t>
      </w:r>
    </w:p>
  </w:footnote>
  <w:footnote w:id="20">
    <w:p w14:paraId="095CCB76" w14:textId="77777777" w:rsidR="00C84E63" w:rsidRPr="0031181D" w:rsidRDefault="007F6E61" w:rsidP="00901447">
      <w:pPr>
        <w:snapToGrid w:val="0"/>
        <w:spacing w:line="480" w:lineRule="auto"/>
        <w:rPr>
          <w:rFonts w:eastAsia="Songti TC Regular"/>
          <w:color w:val="000000" w:themeColor="text1"/>
          <w:szCs w:val="20"/>
        </w:rPr>
      </w:pPr>
      <w:r w:rsidRPr="0031181D">
        <w:rPr>
          <w:rFonts w:eastAsia="Songti TC Regular"/>
          <w:color w:val="000000" w:themeColor="text1"/>
          <w:vertAlign w:val="superscript"/>
        </w:rPr>
        <w:footnoteRef/>
      </w:r>
      <w:r w:rsidRPr="0031181D">
        <w:rPr>
          <w:rFonts w:eastAsia="Songti TC Regular"/>
          <w:color w:val="000000" w:themeColor="text1"/>
          <w:szCs w:val="20"/>
        </w:rPr>
        <w:t xml:space="preserve"> </w:t>
      </w:r>
      <w:r w:rsidRPr="0031181D">
        <w:rPr>
          <w:rFonts w:eastAsia="Songti TC Regular"/>
          <w:color w:val="000000" w:themeColor="text1"/>
        </w:rPr>
        <w:t xml:space="preserve">J. Devisse, ‘Les fouilles de 1962 à 1965: stratigraphie et architecture’, </w:t>
      </w:r>
      <w:r w:rsidRPr="0031181D">
        <w:rPr>
          <w:rFonts w:eastAsia="Songti TC Regular"/>
          <w:i/>
          <w:color w:val="000000" w:themeColor="text1"/>
        </w:rPr>
        <w:t xml:space="preserve">Tegdaoust III. Recherches sur Aoudaghost. Campagnes 1960–1965 </w:t>
      </w:r>
      <w:r w:rsidRPr="0031181D">
        <w:rPr>
          <w:rFonts w:eastAsia="Songti TC Regular"/>
          <w:color w:val="000000" w:themeColor="text1"/>
        </w:rPr>
        <w:t>(Paris, 1983), 33–244.</w:t>
      </w:r>
    </w:p>
  </w:footnote>
  <w:footnote w:id="21">
    <w:p w14:paraId="47F617E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Levtzion and Hopkins, </w:t>
      </w:r>
      <w:r w:rsidRPr="0031181D">
        <w:rPr>
          <w:rFonts w:eastAsia="Songti TC Regular"/>
          <w:i/>
          <w:color w:val="000000" w:themeColor="text1"/>
        </w:rPr>
        <w:t xml:space="preserve">Corpus, </w:t>
      </w:r>
      <w:r w:rsidRPr="0031181D">
        <w:rPr>
          <w:rFonts w:eastAsia="Songti TC Regular"/>
          <w:color w:val="000000" w:themeColor="text1"/>
        </w:rPr>
        <w:t>80.</w:t>
      </w:r>
    </w:p>
  </w:footnote>
  <w:footnote w:id="22">
    <w:p w14:paraId="46FFCEF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Berthier, </w:t>
      </w:r>
      <w:r w:rsidRPr="0031181D">
        <w:rPr>
          <w:rFonts w:eastAsia="Songti TC Regular"/>
          <w:i/>
          <w:color w:val="000000" w:themeColor="text1"/>
        </w:rPr>
        <w:t xml:space="preserve">Recherches archéologiques sur la capitale de l’empire de Ghana: etude d’un secteur d’habitat a Koumbi Saleh, Mauritanie </w:t>
      </w:r>
      <w:r w:rsidRPr="0031181D">
        <w:rPr>
          <w:rFonts w:eastAsia="Songti TC Regular"/>
          <w:color w:val="000000" w:themeColor="text1"/>
        </w:rPr>
        <w:t>(Oxford, 1997).</w:t>
      </w:r>
    </w:p>
  </w:footnote>
  <w:footnote w:id="23">
    <w:p w14:paraId="5EB294BE"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P. Mitchell, </w:t>
      </w:r>
      <w:r w:rsidRPr="0031181D">
        <w:rPr>
          <w:rFonts w:eastAsia="Songti TC Regular"/>
          <w:i/>
          <w:color w:val="000000" w:themeColor="text1"/>
        </w:rPr>
        <w:t>African Connections: Archaeological Perspectives on Africa and the Wider World</w:t>
      </w:r>
      <w:r w:rsidRPr="0031181D">
        <w:rPr>
          <w:rFonts w:eastAsia="Songti TC Regular"/>
          <w:color w:val="000000" w:themeColor="text1"/>
        </w:rPr>
        <w:t xml:space="preserve"> (Walnut Creek, CA, 2002), 153.</w:t>
      </w:r>
    </w:p>
  </w:footnote>
  <w:footnote w:id="24">
    <w:p w14:paraId="040128C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 Conrad, ‘A Town Called Dakajalan: The Sunjata Tradition and the Question of Ancient Mali's Capital’,</w:t>
      </w:r>
      <w:r w:rsidRPr="0031181D">
        <w:rPr>
          <w:rFonts w:eastAsia="Songti TC Regular"/>
          <w:i/>
          <w:color w:val="000000" w:themeColor="text1"/>
        </w:rPr>
        <w:t xml:space="preserve"> Journal of African History</w:t>
      </w:r>
      <w:r w:rsidRPr="0031181D">
        <w:rPr>
          <w:rFonts w:eastAsia="Songti TC Regular"/>
          <w:color w:val="000000" w:themeColor="text1"/>
        </w:rPr>
        <w:t>, xxxv (1994), 362.</w:t>
      </w:r>
    </w:p>
  </w:footnote>
  <w:footnote w:id="25">
    <w:p w14:paraId="3B85EF0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E. A. McDougall, ‘The Sahara Reconsidered: Pastoralism, Politics and Salt from the Ninth Through the Twelfth Centuries', </w:t>
      </w:r>
      <w:r w:rsidRPr="0031181D">
        <w:rPr>
          <w:rFonts w:eastAsia="Songti TC Regular"/>
          <w:i/>
          <w:color w:val="000000" w:themeColor="text1"/>
        </w:rPr>
        <w:t>African Economic History</w:t>
      </w:r>
      <w:r w:rsidRPr="0031181D">
        <w:rPr>
          <w:rFonts w:eastAsia="Songti TC Regular"/>
          <w:color w:val="000000" w:themeColor="text1"/>
        </w:rPr>
        <w:t>, xii (1983), 272.</w:t>
      </w:r>
    </w:p>
  </w:footnote>
  <w:footnote w:id="26">
    <w:p w14:paraId="1C308544"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Conrad, </w:t>
      </w:r>
      <w:r w:rsidRPr="0031181D">
        <w:rPr>
          <w:rFonts w:eastAsia="Songti TC Regular"/>
          <w:i/>
          <w:color w:val="000000" w:themeColor="text1"/>
        </w:rPr>
        <w:t>Dakajalan</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362.</w:t>
      </w:r>
    </w:p>
  </w:footnote>
  <w:footnote w:id="27">
    <w:p w14:paraId="0C753662"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J. O. Hunwick, ‘The Mid-Fourteenth Century Capital of Mali’, </w:t>
      </w:r>
      <w:r w:rsidRPr="0031181D">
        <w:rPr>
          <w:rFonts w:eastAsia="Songti TC Regular"/>
          <w:i/>
          <w:color w:val="000000" w:themeColor="text1"/>
        </w:rPr>
        <w:t>Journal of African History</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xiv (1973), 195–206.</w:t>
      </w:r>
    </w:p>
  </w:footnote>
  <w:footnote w:id="28">
    <w:p w14:paraId="07B3F551" w14:textId="6493D0E0"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Anne Haour, ‘Power and Permanence in Precolonial Africa: A Case Study from the Central Sahel’, </w:t>
      </w:r>
      <w:r w:rsidRPr="0031181D">
        <w:rPr>
          <w:rFonts w:eastAsia="Songti TC Regular"/>
          <w:i/>
          <w:color w:val="000000" w:themeColor="text1"/>
        </w:rPr>
        <w:t>World Archaeology</w:t>
      </w:r>
      <w:r w:rsidRPr="0031181D">
        <w:rPr>
          <w:rFonts w:eastAsia="Songti TC Regular"/>
          <w:color w:val="000000" w:themeColor="text1"/>
        </w:rPr>
        <w:t xml:space="preserve">, </w:t>
      </w:r>
      <w:r w:rsidR="0038678B" w:rsidRPr="0031181D">
        <w:rPr>
          <w:rFonts w:eastAsia="Songti TC Regular"/>
          <w:color w:val="000000" w:themeColor="text1"/>
        </w:rPr>
        <w:t>xxxvii</w:t>
      </w:r>
      <w:r w:rsidRPr="0031181D">
        <w:rPr>
          <w:rFonts w:eastAsia="Songti TC Regular"/>
          <w:color w:val="000000" w:themeColor="text1"/>
        </w:rPr>
        <w:t xml:space="preserve"> (2005), 552–65; R. Horvath, ‘The Wandering Capitals of Ethiopia’, </w:t>
      </w:r>
      <w:r w:rsidRPr="0031181D">
        <w:rPr>
          <w:rFonts w:eastAsia="Songti TC Regular"/>
          <w:i/>
          <w:color w:val="000000" w:themeColor="text1"/>
        </w:rPr>
        <w:t>Journal of African History</w:t>
      </w:r>
      <w:r w:rsidR="005D2928"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x (1969), 205–19.</w:t>
      </w:r>
    </w:p>
  </w:footnote>
  <w:footnote w:id="29">
    <w:p w14:paraId="1DD6E23E" w14:textId="49A5486A"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I. Pikirayi, </w:t>
      </w:r>
      <w:r w:rsidRPr="0031181D">
        <w:rPr>
          <w:rFonts w:eastAsia="Songti TC Regular"/>
          <w:i/>
          <w:color w:val="000000" w:themeColor="text1"/>
        </w:rPr>
        <w:t>The Zimbabwe Culture: Origins and Decline of Southern Zambezian States</w:t>
      </w:r>
      <w:r w:rsidRPr="0031181D">
        <w:rPr>
          <w:rFonts w:eastAsia="Songti TC Regular"/>
          <w:color w:val="000000" w:themeColor="text1"/>
        </w:rPr>
        <w:t xml:space="preserve"> (Walnut Creek, CA, 2001); P. Sinclair, I. Pikirayi, G. Pwiti and R. Soper, ‘Urban Trajectories on the Zimbabwean Plateau’, in P. Sinclair, T. Shaw, B. Andah, and A. Okpoko (eds.), </w:t>
      </w:r>
      <w:r w:rsidRPr="0031181D">
        <w:rPr>
          <w:rFonts w:eastAsia="Songti TC Regular"/>
          <w:i/>
          <w:color w:val="000000" w:themeColor="text1"/>
        </w:rPr>
        <w:t xml:space="preserve">The Archaeology of Africa: Food, Metals, and Towns </w:t>
      </w:r>
      <w:r w:rsidRPr="0031181D">
        <w:rPr>
          <w:rFonts w:eastAsia="Songti TC Regular"/>
          <w:color w:val="000000" w:themeColor="text1"/>
        </w:rPr>
        <w:t xml:space="preserve">(London, 1993), 705–31; P. Sinclair, ‘Towards an Archaeology of the Future: the Urban Mind, Energy Regimes, and Long-Term Settlement Dynamics on the Zimbabwe Plateau’, in P. Sinclair, G. Nordquist, F. Herschend and C. Isendahl (eds.), </w:t>
      </w:r>
      <w:r w:rsidRPr="0031181D">
        <w:rPr>
          <w:rFonts w:eastAsia="Songti TC Regular"/>
          <w:i/>
          <w:color w:val="000000" w:themeColor="text1"/>
        </w:rPr>
        <w:t>The Urban Mind</w:t>
      </w:r>
      <w:r w:rsidRPr="0031181D">
        <w:rPr>
          <w:rFonts w:eastAsia="Songti TC Regular"/>
          <w:color w:val="000000" w:themeColor="text1"/>
        </w:rPr>
        <w:t xml:space="preserve"> (Uppsala, </w:t>
      </w:r>
      <w:r w:rsidR="009E4223" w:rsidRPr="0031181D">
        <w:rPr>
          <w:rFonts w:eastAsia="Songti TC Regular"/>
          <w:color w:val="000000" w:themeColor="text1"/>
        </w:rPr>
        <w:t>2010</w:t>
      </w:r>
      <w:r w:rsidRPr="0031181D">
        <w:rPr>
          <w:rFonts w:eastAsia="Songti TC Regular"/>
          <w:color w:val="000000" w:themeColor="text1"/>
        </w:rPr>
        <w:t>), 591–616.</w:t>
      </w:r>
    </w:p>
  </w:footnote>
  <w:footnote w:id="30">
    <w:p w14:paraId="57B238BE"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M. Hall, Archaeology and Modes of Production in Pre-Colonial Southern Africa, </w:t>
      </w:r>
      <w:r w:rsidRPr="0031181D">
        <w:rPr>
          <w:rFonts w:eastAsia="Songti TC Regular"/>
          <w:i/>
          <w:color w:val="000000" w:themeColor="text1"/>
        </w:rPr>
        <w:t>Journal of Southern African Studies</w:t>
      </w:r>
      <w:r w:rsidRPr="0031181D">
        <w:rPr>
          <w:rFonts w:eastAsia="Songti TC Regular"/>
          <w:color w:val="000000" w:themeColor="text1"/>
        </w:rPr>
        <w:t xml:space="preserve">, xiv (1987), 1–17; P. Sinclair, </w:t>
      </w:r>
      <w:r w:rsidRPr="0031181D">
        <w:rPr>
          <w:rFonts w:eastAsia="Songti TC Regular"/>
          <w:i/>
          <w:color w:val="000000" w:themeColor="text1"/>
        </w:rPr>
        <w:t>Space, Time and Social Formation: A Territorial Approach to the Archaeology and Anthropology of Zimbabwe and Mozambique c. 0–1700 AD</w:t>
      </w:r>
      <w:r w:rsidRPr="0031181D">
        <w:rPr>
          <w:rFonts w:eastAsia="Songti TC Regular"/>
          <w:color w:val="000000" w:themeColor="text1"/>
        </w:rPr>
        <w:t xml:space="preserve"> (Uppsala, 1982); Pikirayi, </w:t>
      </w:r>
      <w:r w:rsidRPr="0031181D">
        <w:rPr>
          <w:rFonts w:eastAsia="Songti TC Regular"/>
          <w:i/>
          <w:color w:val="000000" w:themeColor="text1"/>
        </w:rPr>
        <w:t>Zimbabwe Tradition.</w:t>
      </w:r>
    </w:p>
  </w:footnote>
  <w:footnote w:id="31">
    <w:p w14:paraId="6B37B12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Chirikure and I. Pikirayi, ‘Inside and Outside the Dry Stone Walls: Revisiting the Material Culture of Great Zimbabwe’, </w:t>
      </w:r>
      <w:r w:rsidRPr="0031181D">
        <w:rPr>
          <w:rFonts w:eastAsia="Songti TC Regular"/>
          <w:i/>
          <w:color w:val="000000" w:themeColor="text1"/>
        </w:rPr>
        <w:t>Antiquity</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lxxxi (2008), pp. 976–93.</w:t>
      </w:r>
    </w:p>
  </w:footnote>
  <w:footnote w:id="32">
    <w:p w14:paraId="52942718" w14:textId="3B088C16"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K. McIntosh (ed.), </w:t>
      </w:r>
      <w:r w:rsidRPr="0031181D">
        <w:rPr>
          <w:rFonts w:eastAsia="Songti TC Regular"/>
          <w:i/>
          <w:color w:val="000000" w:themeColor="text1"/>
        </w:rPr>
        <w:t>Excavations at Jenné-Jeno, Hambarketolo, and Kaniana (Inland Niger Delta, Mali), the 1981 Season</w:t>
      </w:r>
      <w:r w:rsidRPr="0031181D">
        <w:rPr>
          <w:rFonts w:eastAsia="Songti TC Regular"/>
          <w:color w:val="000000" w:themeColor="text1"/>
        </w:rPr>
        <w:t xml:space="preserve"> (</w:t>
      </w:r>
      <w:r w:rsidR="000362D7" w:rsidRPr="0031181D">
        <w:rPr>
          <w:rFonts w:eastAsia="Songti TC Regular"/>
        </w:rPr>
        <w:t>Berkeley</w:t>
      </w:r>
      <w:r w:rsidRPr="0031181D">
        <w:rPr>
          <w:rFonts w:eastAsia="Songti TC Regular"/>
          <w:color w:val="000000" w:themeColor="text1"/>
        </w:rPr>
        <w:t>, 1981).</w:t>
      </w:r>
    </w:p>
  </w:footnote>
  <w:footnote w:id="33">
    <w:p w14:paraId="18AC9C5D"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K. McIntosh and R. J. McIntosh, ‘The Early City in West Africa: Towards an Understanding’, </w:t>
      </w:r>
      <w:r w:rsidRPr="0031181D">
        <w:rPr>
          <w:rFonts w:eastAsia="Songti TC Regular"/>
          <w:i/>
          <w:color w:val="000000" w:themeColor="text1"/>
        </w:rPr>
        <w:t>African Archaeological Review</w:t>
      </w:r>
      <w:r w:rsidRPr="0031181D">
        <w:rPr>
          <w:rFonts w:eastAsia="Songti TC Regular"/>
          <w:color w:val="000000" w:themeColor="text1"/>
        </w:rPr>
        <w:t>, ii (1984), 89.</w:t>
      </w:r>
    </w:p>
  </w:footnote>
  <w:footnote w:id="34">
    <w:p w14:paraId="30F74AB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McIntosh and McIntosh, </w:t>
      </w:r>
      <w:r w:rsidRPr="0031181D">
        <w:rPr>
          <w:rFonts w:eastAsia="Songti TC Regular"/>
          <w:i/>
          <w:color w:val="000000" w:themeColor="text1"/>
        </w:rPr>
        <w:t>Early City.</w:t>
      </w:r>
    </w:p>
  </w:footnote>
  <w:footnote w:id="35">
    <w:p w14:paraId="19F936E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K. McIntosh and R. J. McIntosh, ‘Cities without Citadels: Understanding Urban Origins along the Middle Niger’,</w:t>
      </w:r>
      <w:r w:rsidRPr="0031181D">
        <w:rPr>
          <w:rFonts w:eastAsia="Songti TC Regular"/>
          <w:i/>
          <w:color w:val="000000" w:themeColor="text1"/>
        </w:rPr>
        <w:t xml:space="preserve"> </w:t>
      </w:r>
      <w:r w:rsidRPr="0031181D">
        <w:rPr>
          <w:rFonts w:eastAsia="Songti TC Regular"/>
          <w:color w:val="000000" w:themeColor="text1"/>
        </w:rPr>
        <w:t>in P. Sinclair, T. Shaw, B. Andah and A. Okpoko (eds.),</w:t>
      </w:r>
      <w:r w:rsidRPr="0031181D">
        <w:rPr>
          <w:rFonts w:eastAsia="Songti TC Regular"/>
          <w:i/>
          <w:color w:val="000000" w:themeColor="text1"/>
        </w:rPr>
        <w:t xml:space="preserve"> Archaeology of Africa: Food, Metals, and Towns </w:t>
      </w:r>
      <w:r w:rsidRPr="0031181D">
        <w:rPr>
          <w:rFonts w:eastAsia="Songti TC Regular"/>
          <w:color w:val="000000" w:themeColor="text1"/>
        </w:rPr>
        <w:t>(London, 1993), 622–41.</w:t>
      </w:r>
    </w:p>
  </w:footnote>
  <w:footnote w:id="36">
    <w:p w14:paraId="08BC042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A. LaViolette, </w:t>
      </w:r>
      <w:r w:rsidRPr="0031181D">
        <w:rPr>
          <w:rFonts w:eastAsia="Songti TC Regular"/>
          <w:i/>
          <w:color w:val="000000" w:themeColor="text1"/>
        </w:rPr>
        <w:t>Ethno-Archaeology in Jenne, Mali: Craft and Status among Smiths, Potters and Masons</w:t>
      </w:r>
      <w:r w:rsidRPr="0031181D">
        <w:rPr>
          <w:rFonts w:eastAsia="Songti TC Regular"/>
          <w:color w:val="000000" w:themeColor="text1"/>
        </w:rPr>
        <w:t xml:space="preserve"> (Oxford: 2000).</w:t>
      </w:r>
    </w:p>
  </w:footnote>
  <w:footnote w:id="37">
    <w:p w14:paraId="2FF8038B"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 K. McIntosh, ‘Pathways to Complexity: An African Perspective’, in </w:t>
      </w:r>
      <w:r w:rsidRPr="0031181D">
        <w:rPr>
          <w:rFonts w:eastAsia="Songti TC Regular"/>
          <w:i/>
          <w:color w:val="000000" w:themeColor="text1"/>
        </w:rPr>
        <w:t xml:space="preserve">Beyond Chiefdoms: Pathways to Complexity in Africa </w:t>
      </w:r>
      <w:r w:rsidRPr="0031181D">
        <w:rPr>
          <w:rFonts w:eastAsia="Songti TC Regular"/>
          <w:color w:val="000000" w:themeColor="text1"/>
        </w:rPr>
        <w:t>(Cambridge, 1999), 1–30.</w:t>
      </w:r>
    </w:p>
  </w:footnote>
  <w:footnote w:id="38">
    <w:p w14:paraId="58ACA7E3"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 J. McIntosh, </w:t>
      </w:r>
      <w:r w:rsidRPr="0031181D">
        <w:rPr>
          <w:rFonts w:eastAsia="Songti TC Regular"/>
          <w:i/>
          <w:color w:val="000000" w:themeColor="text1"/>
        </w:rPr>
        <w:t>Ancient Middle Niger: Urbanism and the Self-Organizing Landscape</w:t>
      </w:r>
      <w:r w:rsidRPr="0031181D">
        <w:rPr>
          <w:rFonts w:eastAsia="Songti TC Regular"/>
          <w:color w:val="000000" w:themeColor="text1"/>
        </w:rPr>
        <w:t xml:space="preserve"> (Cambridge, 2005).</w:t>
      </w:r>
    </w:p>
  </w:footnote>
  <w:footnote w:id="39">
    <w:p w14:paraId="72B198B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Levtzion and Hopkins, </w:t>
      </w:r>
      <w:r w:rsidRPr="0031181D">
        <w:rPr>
          <w:rFonts w:eastAsia="Songti TC Regular"/>
          <w:i/>
          <w:color w:val="000000" w:themeColor="text1"/>
        </w:rPr>
        <w:t>Corpus</w:t>
      </w:r>
      <w:r w:rsidRPr="0031181D">
        <w:rPr>
          <w:rFonts w:eastAsia="Songti TC Regular"/>
          <w:color w:val="000000" w:themeColor="text1"/>
        </w:rPr>
        <w:t>, 80, 87, 174.</w:t>
      </w:r>
    </w:p>
  </w:footnote>
  <w:footnote w:id="40">
    <w:p w14:paraId="223D6C5E"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Tim Insoll, ‘Iron Age Gao: An Archaeological Contribution’,</w:t>
      </w:r>
      <w:r w:rsidRPr="0031181D">
        <w:rPr>
          <w:rFonts w:eastAsia="Songti TC Regular"/>
          <w:i/>
          <w:color w:val="000000" w:themeColor="text1"/>
        </w:rPr>
        <w:t xml:space="preserve"> Journal of African History</w:t>
      </w:r>
      <w:r w:rsidRPr="0031181D">
        <w:rPr>
          <w:rFonts w:eastAsia="Songti TC Regular"/>
          <w:color w:val="000000" w:themeColor="text1"/>
        </w:rPr>
        <w:t xml:space="preserve">, xxxviii (1997), 1–30. </w:t>
      </w:r>
    </w:p>
  </w:footnote>
  <w:footnote w:id="41">
    <w:p w14:paraId="29732698" w14:textId="429D5CBB"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This is to follow a trail blazed in Anne Haour, </w:t>
      </w:r>
      <w:r w:rsidRPr="0031181D">
        <w:rPr>
          <w:rFonts w:eastAsia="Songti TC Regular"/>
          <w:i/>
          <w:color w:val="000000" w:themeColor="text1"/>
        </w:rPr>
        <w:t>Rulers, Warriors, Traders, Clerics. The Central Sahel and the North Sea, 800–1500</w:t>
      </w:r>
      <w:r w:rsidR="000159FD" w:rsidRPr="0031181D">
        <w:rPr>
          <w:rFonts w:eastAsia="Songti TC Regular"/>
          <w:color w:val="000000" w:themeColor="text1"/>
        </w:rPr>
        <w:t xml:space="preserve"> (London,</w:t>
      </w:r>
      <w:r w:rsidRPr="0031181D">
        <w:rPr>
          <w:rFonts w:eastAsia="Songti TC Regular"/>
          <w:color w:val="000000" w:themeColor="text1"/>
        </w:rPr>
        <w:t xml:space="preserve"> 2007). </w:t>
      </w:r>
    </w:p>
  </w:footnote>
  <w:footnote w:id="42">
    <w:p w14:paraId="419C63E5"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‘Mushroom cities’ is the coinage of Jan Dhondt (‘villes champignons’), see Jan Dhondt, ‘Les problèmes de Quentovic’, in </w:t>
      </w:r>
      <w:r w:rsidRPr="0031181D">
        <w:rPr>
          <w:rFonts w:eastAsia="Songti TC Regular"/>
          <w:i/>
          <w:color w:val="000000" w:themeColor="text1"/>
        </w:rPr>
        <w:t xml:space="preserve">Studi in Onore di Amintore Fanfane </w:t>
      </w:r>
      <w:r w:rsidRPr="0031181D">
        <w:rPr>
          <w:rFonts w:eastAsia="Songti TC Regular"/>
          <w:color w:val="000000" w:themeColor="text1"/>
        </w:rPr>
        <w:t xml:space="preserve">(Milan, 1962), 57–78. See further R. Hodges, </w:t>
      </w:r>
      <w:r w:rsidRPr="0031181D">
        <w:rPr>
          <w:rFonts w:eastAsia="Songti TC Regular"/>
          <w:i/>
          <w:color w:val="000000" w:themeColor="text1"/>
        </w:rPr>
        <w:t>Dark Age Economics: A New Audit</w:t>
      </w:r>
      <w:r w:rsidRPr="0031181D">
        <w:rPr>
          <w:rFonts w:eastAsia="Songti TC Regular"/>
          <w:color w:val="000000" w:themeColor="text1"/>
        </w:rPr>
        <w:t xml:space="preserve"> (London, 2012), Ch. 5, ‘Debating the History of ‘Mushroom Cities’, 91–115.</w:t>
      </w:r>
    </w:p>
  </w:footnote>
  <w:footnote w:id="43">
    <w:p w14:paraId="27B11764" w14:textId="205801E0" w:rsidR="00C84E63" w:rsidRPr="0031181D" w:rsidRDefault="007F6E61" w:rsidP="00901447">
      <w:pPr>
        <w:snapToGrid w:val="0"/>
        <w:spacing w:line="480" w:lineRule="auto"/>
        <w:rPr>
          <w:rFonts w:eastAsia="Songti TC Regular"/>
          <w:color w:val="000000" w:themeColor="text1"/>
          <w:vertAlign w:val="superscript"/>
        </w:rPr>
      </w:pPr>
      <w:r w:rsidRPr="0031181D">
        <w:rPr>
          <w:rFonts w:eastAsia="Songti TC Regular"/>
          <w:color w:val="000000" w:themeColor="text1"/>
          <w:vertAlign w:val="superscript"/>
        </w:rPr>
        <w:footnoteRef/>
      </w:r>
      <w:r w:rsidRPr="0031181D">
        <w:rPr>
          <w:rFonts w:eastAsia="Songti TC Regular"/>
          <w:color w:val="000000" w:themeColor="text1"/>
        </w:rPr>
        <w:t xml:space="preserve"> See further references below. See now D. Skre, ‘The Development of Urbanism in Scandinavia’, in S. Brink and N. Price </w:t>
      </w:r>
      <w:r w:rsidR="000159FD" w:rsidRPr="0031181D">
        <w:rPr>
          <w:rFonts w:eastAsia="Songti TC Regular"/>
          <w:color w:val="000000" w:themeColor="text1"/>
        </w:rPr>
        <w:t>(</w:t>
      </w:r>
      <w:r w:rsidRPr="0031181D">
        <w:rPr>
          <w:rFonts w:eastAsia="Songti TC Regular"/>
          <w:color w:val="000000" w:themeColor="text1"/>
        </w:rPr>
        <w:t>eds.</w:t>
      </w:r>
      <w:r w:rsidR="000159FD" w:rsidRPr="0031181D">
        <w:rPr>
          <w:rFonts w:eastAsia="Songti TC Regular"/>
          <w:color w:val="000000" w:themeColor="text1"/>
        </w:rPr>
        <w:t>)</w:t>
      </w:r>
      <w:r w:rsidRPr="0031181D">
        <w:rPr>
          <w:rFonts w:eastAsia="Songti TC Regular"/>
          <w:color w:val="000000" w:themeColor="text1"/>
        </w:rPr>
        <w:t>,</w:t>
      </w:r>
      <w:r w:rsidRPr="0031181D">
        <w:rPr>
          <w:rFonts w:eastAsia="Songti TC Regular"/>
          <w:i/>
          <w:color w:val="000000" w:themeColor="text1"/>
        </w:rPr>
        <w:t xml:space="preserve"> The Viking World</w:t>
      </w:r>
      <w:r w:rsidRPr="0031181D">
        <w:rPr>
          <w:rFonts w:eastAsia="Songti TC Regular"/>
          <w:color w:val="000000" w:themeColor="text1"/>
        </w:rPr>
        <w:t xml:space="preserve"> (2008), 83-93</w:t>
      </w:r>
      <w:r w:rsidRPr="0031181D">
        <w:rPr>
          <w:rFonts w:eastAsia="Songti TC Regular"/>
          <w:color w:val="000000" w:themeColor="text1"/>
          <w:szCs w:val="20"/>
        </w:rPr>
        <w:t xml:space="preserve">; </w:t>
      </w:r>
      <w:r w:rsidRPr="0031181D">
        <w:rPr>
          <w:rFonts w:eastAsia="Songti TC Regular"/>
          <w:color w:val="000000" w:themeColor="text1"/>
        </w:rPr>
        <w:t xml:space="preserve">and C. Loveluck, </w:t>
      </w:r>
      <w:r w:rsidRPr="0031181D">
        <w:rPr>
          <w:rFonts w:eastAsia="Songti TC Regular"/>
          <w:i/>
          <w:color w:val="000000" w:themeColor="text1"/>
        </w:rPr>
        <w:t xml:space="preserve">Northwest Europe in the </w:t>
      </w:r>
      <w:r w:rsidR="00DF210E" w:rsidRPr="0031181D">
        <w:rPr>
          <w:rFonts w:eastAsia="Songti TC Regular"/>
          <w:i/>
          <w:color w:val="000000" w:themeColor="text1"/>
        </w:rPr>
        <w:t xml:space="preserve">Early </w:t>
      </w:r>
      <w:r w:rsidRPr="0031181D">
        <w:rPr>
          <w:rFonts w:eastAsia="Songti TC Regular"/>
          <w:i/>
          <w:color w:val="000000" w:themeColor="text1"/>
        </w:rPr>
        <w:t xml:space="preserve">Middle Ages, c. AD 600-1150: </w:t>
      </w:r>
      <w:r w:rsidR="00DF210E" w:rsidRPr="0031181D">
        <w:rPr>
          <w:rFonts w:eastAsia="Songti TC Regular"/>
          <w:i/>
          <w:color w:val="000000" w:themeColor="text1"/>
        </w:rPr>
        <w:t>A Com</w:t>
      </w:r>
      <w:r w:rsidRPr="0031181D">
        <w:rPr>
          <w:rFonts w:eastAsia="Songti TC Regular"/>
          <w:i/>
          <w:color w:val="000000" w:themeColor="text1"/>
        </w:rPr>
        <w:t xml:space="preserve">parative </w:t>
      </w:r>
      <w:r w:rsidR="00DF210E" w:rsidRPr="0031181D">
        <w:rPr>
          <w:rFonts w:eastAsia="Songti TC Regular"/>
          <w:i/>
          <w:color w:val="000000" w:themeColor="text1"/>
        </w:rPr>
        <w:t>Archaeology</w:t>
      </w:r>
      <w:r w:rsidR="00DF210E" w:rsidRPr="0031181D">
        <w:rPr>
          <w:rFonts w:eastAsia="Songti TC Regular"/>
          <w:color w:val="000000" w:themeColor="text1"/>
        </w:rPr>
        <w:t xml:space="preserve"> </w:t>
      </w:r>
      <w:r w:rsidRPr="0031181D">
        <w:rPr>
          <w:rFonts w:eastAsia="Songti TC Regular"/>
          <w:color w:val="000000" w:themeColor="text1"/>
        </w:rPr>
        <w:t>(Cambridge, 2013).</w:t>
      </w:r>
    </w:p>
  </w:footnote>
  <w:footnote w:id="44">
    <w:p w14:paraId="4FDB30F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 Hodges, </w:t>
      </w:r>
      <w:r w:rsidRPr="0031181D">
        <w:rPr>
          <w:rFonts w:eastAsia="Songti TC Regular"/>
          <w:i/>
          <w:color w:val="000000" w:themeColor="text1"/>
        </w:rPr>
        <w:t>Dark Age Economics</w:t>
      </w:r>
      <w:r w:rsidRPr="0031181D">
        <w:rPr>
          <w:rFonts w:eastAsia="Songti TC Regular"/>
          <w:color w:val="000000" w:themeColor="text1"/>
        </w:rPr>
        <w:t xml:space="preserve">: </w:t>
      </w:r>
      <w:r w:rsidRPr="0031181D">
        <w:rPr>
          <w:rFonts w:eastAsia="Songti TC Regular"/>
          <w:i/>
          <w:color w:val="000000" w:themeColor="text1"/>
        </w:rPr>
        <w:t>The Origins of Towns and Trade</w:t>
      </w:r>
      <w:r w:rsidRPr="0031181D">
        <w:rPr>
          <w:rFonts w:eastAsia="Songti TC Regular"/>
          <w:color w:val="000000" w:themeColor="text1"/>
        </w:rPr>
        <w:t xml:space="preserve"> (London, 1982).</w:t>
      </w:r>
    </w:p>
  </w:footnote>
  <w:footnote w:id="45">
    <w:p w14:paraId="26F170AF"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Henri Pirenne, </w:t>
      </w:r>
      <w:r w:rsidRPr="0031181D">
        <w:rPr>
          <w:rFonts w:eastAsia="Songti TC Regular"/>
          <w:i/>
          <w:color w:val="000000" w:themeColor="text1"/>
        </w:rPr>
        <w:t>Medieval Cities: Their Origins and the Revival of Trade</w:t>
      </w:r>
      <w:r w:rsidRPr="0031181D">
        <w:rPr>
          <w:rFonts w:eastAsia="Songti TC Regular"/>
          <w:color w:val="000000" w:themeColor="text1"/>
        </w:rPr>
        <w:t xml:space="preserve"> (Princeton, 1922); and </w:t>
      </w:r>
      <w:r w:rsidRPr="0031181D">
        <w:rPr>
          <w:rFonts w:eastAsia="Songti TC Regular"/>
          <w:i/>
          <w:color w:val="000000" w:themeColor="text1"/>
        </w:rPr>
        <w:t>Mohammed and Charlemagne</w:t>
      </w:r>
      <w:r w:rsidRPr="0031181D">
        <w:rPr>
          <w:rFonts w:eastAsia="Songti TC Regular"/>
          <w:color w:val="000000" w:themeColor="text1"/>
        </w:rPr>
        <w:t xml:space="preserve"> (London, 1939). </w:t>
      </w:r>
    </w:p>
  </w:footnote>
  <w:footnote w:id="46">
    <w:p w14:paraId="177CA8F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Søren Sindbæk, ‘Networks and Nodal Points: The Emergence of Towns in Early Viking Age Scandinavia’, </w:t>
      </w:r>
      <w:r w:rsidRPr="0031181D">
        <w:rPr>
          <w:rFonts w:eastAsia="Songti TC Regular"/>
          <w:i/>
          <w:color w:val="000000" w:themeColor="text1"/>
        </w:rPr>
        <w:t>Antiquity</w:t>
      </w:r>
      <w:r w:rsidRPr="0031181D">
        <w:rPr>
          <w:rFonts w:eastAsia="Songti TC Regular"/>
          <w:color w:val="000000" w:themeColor="text1"/>
        </w:rPr>
        <w:t xml:space="preserve">, lxxxi (2007), 120–1. </w:t>
      </w:r>
    </w:p>
  </w:footnote>
  <w:footnote w:id="47">
    <w:p w14:paraId="246AD8D5"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 Hodges, </w:t>
      </w:r>
      <w:r w:rsidRPr="0031181D">
        <w:rPr>
          <w:rFonts w:eastAsia="Songti TC Regular"/>
          <w:i/>
          <w:color w:val="000000" w:themeColor="text1"/>
        </w:rPr>
        <w:t>Towns and Trade in the Age of Charlemagne</w:t>
      </w:r>
      <w:r w:rsidRPr="0031181D">
        <w:rPr>
          <w:rFonts w:eastAsia="Songti TC Regular"/>
          <w:color w:val="000000" w:themeColor="text1"/>
        </w:rPr>
        <w:t>, (London, 2000), 120.</w:t>
      </w:r>
    </w:p>
  </w:footnote>
  <w:footnote w:id="48">
    <w:p w14:paraId="320D39B3"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Sindbæk, ‘Networks and Nodal Points’, 128. </w:t>
      </w:r>
    </w:p>
  </w:footnote>
  <w:footnote w:id="49">
    <w:p w14:paraId="406B4518"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for instance, Charles A. Peterson, ‘The Autonomy of the Northeastern Provinces in the Period Following the An Lu-shan Rebellion (Ph.D. diss., University of Washington, 1966); Wang Gungwu, </w:t>
      </w:r>
      <w:r w:rsidRPr="0031181D">
        <w:rPr>
          <w:rFonts w:eastAsia="Songti TC Regular"/>
          <w:i/>
          <w:color w:val="000000" w:themeColor="text1"/>
        </w:rPr>
        <w:t>The Structure of Power in the Five Dynasties</w:t>
      </w:r>
      <w:bookmarkStart w:id="1" w:name="kix.bx9stcbc63lz" w:colFirst="0" w:colLast="0"/>
      <w:bookmarkEnd w:id="1"/>
      <w:r w:rsidRPr="0031181D">
        <w:rPr>
          <w:rFonts w:eastAsia="Songti TC Regular"/>
          <w:color w:val="000000" w:themeColor="text1"/>
        </w:rPr>
        <w:t xml:space="preserve"> (Kuala Lumpur, 1963); Denis Twitchett</w:t>
      </w:r>
      <w:r w:rsidRPr="0031181D">
        <w:rPr>
          <w:rFonts w:eastAsia="Songti TC Regular"/>
          <w:i/>
          <w:color w:val="000000" w:themeColor="text1"/>
        </w:rPr>
        <w:t xml:space="preserve"> </w:t>
      </w:r>
      <w:r w:rsidRPr="0031181D">
        <w:rPr>
          <w:rFonts w:eastAsia="Songti TC Regular"/>
          <w:color w:val="000000" w:themeColor="text1"/>
        </w:rPr>
        <w:t>(ed.),</w:t>
      </w:r>
      <w:r w:rsidRPr="0031181D">
        <w:rPr>
          <w:rFonts w:eastAsia="Songti TC Regular"/>
          <w:i/>
          <w:color w:val="000000" w:themeColor="text1"/>
        </w:rPr>
        <w:t xml:space="preserve"> Cambridge History of China. Vol. 3: Sui and T‘ang China 589–906</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pt. 1 (New York, 1979).</w:t>
      </w:r>
    </w:p>
  </w:footnote>
  <w:footnote w:id="50">
    <w:p w14:paraId="6E4684FB"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Denis Twitchett, ‘The T’ang Market System’, </w:t>
      </w:r>
      <w:r w:rsidRPr="0031181D">
        <w:rPr>
          <w:rFonts w:eastAsia="Songti TC Regular"/>
          <w:i/>
          <w:color w:val="000000" w:themeColor="text1"/>
        </w:rPr>
        <w:t>Asia Major</w:t>
      </w:r>
      <w:r w:rsidRPr="0031181D">
        <w:rPr>
          <w:rFonts w:eastAsia="Songti TC Regular"/>
          <w:color w:val="000000" w:themeColor="text1"/>
        </w:rPr>
        <w:t>, xii</w:t>
      </w:r>
      <w:r w:rsidR="00143763" w:rsidRPr="0031181D">
        <w:rPr>
          <w:rFonts w:eastAsia="Songti TC Regular"/>
          <w:color w:val="000000" w:themeColor="text1"/>
        </w:rPr>
        <w:t xml:space="preserve"> (1966)</w:t>
      </w:r>
      <w:r w:rsidRPr="0031181D">
        <w:rPr>
          <w:rFonts w:eastAsia="Songti TC Regular"/>
          <w:color w:val="000000" w:themeColor="text1"/>
        </w:rPr>
        <w:t xml:space="preserve">, 203–4, with references to the Japanese literature. Regional studies in English include Hugh Clark, </w:t>
      </w:r>
      <w:r w:rsidRPr="0031181D">
        <w:rPr>
          <w:rFonts w:eastAsia="Songti TC Regular"/>
          <w:i/>
          <w:color w:val="000000" w:themeColor="text1"/>
        </w:rPr>
        <w:t>Community, Trade and Networks: Southern Fujian Province from the Third to the Thirteenth Century</w:t>
      </w:r>
      <w:r w:rsidRPr="0031181D">
        <w:rPr>
          <w:rFonts w:eastAsia="Songti TC Regular"/>
          <w:color w:val="000000" w:themeColor="text1"/>
        </w:rPr>
        <w:t xml:space="preserve"> (Cambridge, 1991), esp. 137-40; and Richard von Glahn, </w:t>
      </w:r>
      <w:r w:rsidRPr="0031181D">
        <w:rPr>
          <w:rFonts w:eastAsia="Songti TC Regular"/>
          <w:i/>
          <w:color w:val="000000" w:themeColor="text1"/>
        </w:rPr>
        <w:t>The Country of Streams and Grottoes: Expansion, Settlement, and the Civilizing of the Sichuan Frontier in Song Times</w:t>
      </w:r>
      <w:r w:rsidRPr="0031181D">
        <w:rPr>
          <w:rFonts w:eastAsia="Songti TC Regular"/>
          <w:color w:val="000000" w:themeColor="text1"/>
        </w:rPr>
        <w:t xml:space="preserve"> (Cambridge, Mass., 1987), esp. 191-202. The stages of development and diversity of forms emerging from subsequent research are summarised by J</w:t>
      </w:r>
      <w:r w:rsidR="00327547" w:rsidRPr="0031181D">
        <w:rPr>
          <w:rFonts w:eastAsia="Songti TC Regular"/>
          <w:color w:val="000000" w:themeColor="text1"/>
        </w:rPr>
        <w:t>oseph</w:t>
      </w:r>
      <w:r w:rsidRPr="0031181D">
        <w:rPr>
          <w:rFonts w:eastAsia="Songti TC Regular"/>
          <w:color w:val="000000" w:themeColor="text1"/>
        </w:rPr>
        <w:t xml:space="preserve"> McDermott and Shiba Yoshinobu, ‘Economic Change in China, 960-1279’, in J</w:t>
      </w:r>
      <w:r w:rsidR="00994033" w:rsidRPr="0031181D">
        <w:rPr>
          <w:rFonts w:eastAsia="Songti TC Regular"/>
          <w:color w:val="000000" w:themeColor="text1"/>
        </w:rPr>
        <w:t>ohn</w:t>
      </w:r>
      <w:r w:rsidRPr="0031181D">
        <w:rPr>
          <w:rFonts w:eastAsia="Songti TC Regular"/>
          <w:color w:val="000000" w:themeColor="text1"/>
        </w:rPr>
        <w:t xml:space="preserve"> Chaffee and D</w:t>
      </w:r>
      <w:r w:rsidR="00994033" w:rsidRPr="0031181D">
        <w:rPr>
          <w:rFonts w:eastAsia="Songti TC Regular"/>
          <w:color w:val="000000" w:themeColor="text1"/>
        </w:rPr>
        <w:t>enis</w:t>
      </w:r>
      <w:r w:rsidRPr="0031181D">
        <w:rPr>
          <w:rFonts w:eastAsia="Songti TC Regular"/>
          <w:color w:val="000000" w:themeColor="text1"/>
        </w:rPr>
        <w:t xml:space="preserve"> Twitchett (eds.), </w:t>
      </w:r>
      <w:r w:rsidRPr="0031181D">
        <w:rPr>
          <w:rFonts w:eastAsia="Songti TC Regular"/>
          <w:i/>
          <w:color w:val="000000" w:themeColor="text1"/>
        </w:rPr>
        <w:t>Cambridge History of China, Vol. 5, Pt. 2: Sung China, 960-1279</w:t>
      </w:r>
      <w:r w:rsidRPr="0031181D">
        <w:rPr>
          <w:rFonts w:eastAsia="Songti TC Regular"/>
          <w:color w:val="000000" w:themeColor="text1"/>
        </w:rPr>
        <w:t xml:space="preserve"> (New York, 2015), 322-4, 333, 379-84, 406-7, 422-5.</w:t>
      </w:r>
    </w:p>
  </w:footnote>
  <w:footnote w:id="51">
    <w:p w14:paraId="2268742A" w14:textId="77777777" w:rsidR="00E43F57" w:rsidRPr="0031181D" w:rsidRDefault="00E43F57" w:rsidP="00901447">
      <w:pPr>
        <w:pStyle w:val="FootnoteText"/>
        <w:snapToGrid w:val="0"/>
        <w:spacing w:line="480" w:lineRule="auto"/>
        <w:rPr>
          <w:rFonts w:eastAsia="Songti TC Regular"/>
          <w:color w:val="000000" w:themeColor="text1"/>
        </w:rPr>
      </w:pPr>
      <w:r w:rsidRPr="0031181D">
        <w:rPr>
          <w:rStyle w:val="FootnoteReference"/>
          <w:rFonts w:eastAsia="Songti TC Regular"/>
          <w:color w:val="000000" w:themeColor="text1"/>
        </w:rPr>
        <w:footnoteRef/>
      </w:r>
      <w:r w:rsidRPr="0031181D">
        <w:rPr>
          <w:rFonts w:eastAsia="Songti TC Regular"/>
          <w:color w:val="000000" w:themeColor="text1"/>
        </w:rPr>
        <w:t xml:space="preserve"> Clark, </w:t>
      </w:r>
      <w:r w:rsidR="003575F6" w:rsidRPr="0031181D">
        <w:rPr>
          <w:rFonts w:eastAsia="Songti TC Regular"/>
          <w:i/>
          <w:color w:val="000000" w:themeColor="text1"/>
        </w:rPr>
        <w:t>Community, Trade and Networks</w:t>
      </w:r>
      <w:r w:rsidR="003575F6" w:rsidRPr="0031181D">
        <w:rPr>
          <w:rFonts w:eastAsia="Songti TC Regular"/>
          <w:color w:val="000000" w:themeColor="text1"/>
        </w:rPr>
        <w:t xml:space="preserve">, </w:t>
      </w:r>
      <w:r w:rsidRPr="0031181D">
        <w:rPr>
          <w:rFonts w:eastAsia="Songti TC Regular"/>
          <w:color w:val="000000" w:themeColor="text1"/>
        </w:rPr>
        <w:t>138.</w:t>
      </w:r>
    </w:p>
  </w:footnote>
  <w:footnote w:id="52">
    <w:p w14:paraId="1C3D472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t>
      </w:r>
      <w:r w:rsidR="00D44002" w:rsidRPr="0031181D">
        <w:rPr>
          <w:rFonts w:eastAsia="Songti TC Regular"/>
          <w:i/>
          <w:color w:val="000000" w:themeColor="text1"/>
        </w:rPr>
        <w:t>Ibid.</w:t>
      </w:r>
      <w:r w:rsidRPr="0031181D">
        <w:rPr>
          <w:rFonts w:eastAsia="Songti TC Regular"/>
          <w:color w:val="000000" w:themeColor="text1"/>
        </w:rPr>
        <w:t xml:space="preserve">, 12–17, esp. 16. </w:t>
      </w:r>
    </w:p>
  </w:footnote>
  <w:footnote w:id="53">
    <w:p w14:paraId="75DF591D" w14:textId="77777777" w:rsidR="00D16285" w:rsidRPr="0031181D" w:rsidRDefault="00D16285" w:rsidP="002E1907">
      <w:pPr>
        <w:snapToGrid w:val="0"/>
        <w:spacing w:line="480" w:lineRule="auto"/>
        <w:rPr>
          <w:rFonts w:eastAsia="Songti TC Regular"/>
          <w:color w:val="000000" w:themeColor="text1"/>
        </w:rPr>
      </w:pPr>
      <w:r w:rsidRPr="0031181D">
        <w:rPr>
          <w:rStyle w:val="FootnoteReference"/>
          <w:rFonts w:eastAsia="Songti TC Regular"/>
          <w:color w:val="000000" w:themeColor="text1"/>
        </w:rPr>
        <w:footnoteRef/>
      </w:r>
      <w:r w:rsidRPr="0031181D">
        <w:rPr>
          <w:rFonts w:eastAsia="Songti TC Regular"/>
          <w:color w:val="000000" w:themeColor="text1"/>
        </w:rPr>
        <w:t xml:space="preserve"> </w:t>
      </w:r>
      <w:r w:rsidR="00D76759" w:rsidRPr="0031181D">
        <w:rPr>
          <w:rFonts w:eastAsia="Songti TC Regular"/>
          <w:color w:val="000000" w:themeColor="text1"/>
          <w:lang w:val="en-US"/>
        </w:rPr>
        <w:t>S</w:t>
      </w:r>
      <w:r w:rsidR="00BF64E7" w:rsidRPr="0031181D">
        <w:rPr>
          <w:rFonts w:eastAsia="Songti TC Regular"/>
          <w:color w:val="000000" w:themeColor="text1"/>
          <w:lang w:val="en-US"/>
        </w:rPr>
        <w:t>ee</w:t>
      </w:r>
      <w:r w:rsidRPr="0031181D">
        <w:rPr>
          <w:rFonts w:eastAsia="Songti TC Regular"/>
          <w:color w:val="000000" w:themeColor="text1"/>
          <w:lang w:val="en-US"/>
        </w:rPr>
        <w:t xml:space="preserve"> Jacques Gernet, </w:t>
      </w:r>
      <w:r w:rsidR="00C65808" w:rsidRPr="0031181D">
        <w:rPr>
          <w:rFonts w:eastAsia="Songti TC Regular"/>
          <w:i/>
          <w:color w:val="000000" w:themeColor="text1"/>
          <w:lang w:val="en-US"/>
        </w:rPr>
        <w:t>Buddhism in Chinese Society: an Economic History</w:t>
      </w:r>
      <w:r w:rsidR="00451724" w:rsidRPr="0031181D">
        <w:rPr>
          <w:rFonts w:eastAsia="Songti TC Regular"/>
          <w:i/>
          <w:color w:val="000000" w:themeColor="text1"/>
          <w:szCs w:val="32"/>
          <w:shd w:val="clear" w:color="auto" w:fill="FFFFFF"/>
        </w:rPr>
        <w:t> from the Fifth to the Tenth Centuries</w:t>
      </w:r>
      <w:r w:rsidR="00D50924" w:rsidRPr="0031181D">
        <w:rPr>
          <w:rFonts w:eastAsia="Songti TC Regular"/>
          <w:color w:val="000000" w:themeColor="text1"/>
          <w:lang w:val="en-US"/>
        </w:rPr>
        <w:t xml:space="preserve">, trans. </w:t>
      </w:r>
      <w:r w:rsidR="00A82A46" w:rsidRPr="0031181D">
        <w:rPr>
          <w:rFonts w:eastAsia="Songti TC Regular"/>
          <w:bCs/>
          <w:color w:val="000000" w:themeColor="text1"/>
          <w:szCs w:val="17"/>
          <w:shd w:val="clear" w:color="auto" w:fill="F9F9F9"/>
        </w:rPr>
        <w:t>Franciscus Verellen</w:t>
      </w:r>
      <w:r w:rsidR="00D561E2" w:rsidRPr="0031181D">
        <w:rPr>
          <w:rFonts w:eastAsia="Songti TC Regular"/>
          <w:color w:val="000000" w:themeColor="text1"/>
        </w:rPr>
        <w:t xml:space="preserve"> </w:t>
      </w:r>
      <w:r w:rsidR="004F588E" w:rsidRPr="0031181D">
        <w:rPr>
          <w:rFonts w:eastAsia="Songti TC Regular"/>
          <w:color w:val="000000" w:themeColor="text1"/>
          <w:lang w:val="en-US"/>
        </w:rPr>
        <w:t>(</w:t>
      </w:r>
      <w:r w:rsidR="00A82A46" w:rsidRPr="0031181D">
        <w:rPr>
          <w:rFonts w:eastAsia="Songti TC Regular"/>
          <w:color w:val="000000" w:themeColor="text1"/>
          <w:lang w:val="en-US"/>
        </w:rPr>
        <w:t>New York, 1995</w:t>
      </w:r>
      <w:r w:rsidR="004F588E" w:rsidRPr="0031181D">
        <w:rPr>
          <w:rFonts w:eastAsia="Songti TC Regular"/>
          <w:color w:val="000000" w:themeColor="text1"/>
          <w:lang w:val="en-US"/>
        </w:rPr>
        <w:t>)</w:t>
      </w:r>
      <w:r w:rsidR="00A82A46" w:rsidRPr="0031181D">
        <w:rPr>
          <w:rFonts w:eastAsia="Songti TC Regular"/>
          <w:color w:val="000000" w:themeColor="text1"/>
          <w:lang w:val="en-US"/>
        </w:rPr>
        <w:t>, original published in 1956</w:t>
      </w:r>
      <w:r w:rsidR="004F588E" w:rsidRPr="0031181D">
        <w:rPr>
          <w:rFonts w:eastAsia="Songti TC Regular"/>
          <w:color w:val="000000" w:themeColor="text1"/>
          <w:lang w:val="en-US"/>
        </w:rPr>
        <w:t>.</w:t>
      </w:r>
    </w:p>
  </w:footnote>
  <w:footnote w:id="54">
    <w:p w14:paraId="146AA559" w14:textId="77777777" w:rsidR="00C84E63" w:rsidRPr="0031181D" w:rsidRDefault="007F6E61" w:rsidP="00901447">
      <w:pPr>
        <w:snapToGrid w:val="0"/>
        <w:spacing w:line="480" w:lineRule="auto"/>
        <w:rPr>
          <w:rFonts w:eastAsia="Songti TC Regular"/>
          <w:color w:val="000000" w:themeColor="text1"/>
          <w:szCs w:val="20"/>
        </w:rPr>
      </w:pPr>
      <w:r w:rsidRPr="0031181D">
        <w:rPr>
          <w:rFonts w:eastAsia="Songti TC Regular"/>
          <w:color w:val="000000" w:themeColor="text1"/>
          <w:vertAlign w:val="superscript"/>
        </w:rPr>
        <w:footnoteRef/>
      </w:r>
      <w:r w:rsidRPr="0031181D">
        <w:rPr>
          <w:rFonts w:eastAsia="Songti TC Regular"/>
          <w:color w:val="000000" w:themeColor="text1"/>
          <w:szCs w:val="20"/>
        </w:rPr>
        <w:t xml:space="preserve"> McDermott and Shiba, ‘Economic Change’, 425.</w:t>
      </w:r>
    </w:p>
  </w:footnote>
  <w:footnote w:id="55">
    <w:p w14:paraId="5A560BE4"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Heng, </w:t>
      </w:r>
      <w:r w:rsidRPr="0031181D">
        <w:rPr>
          <w:rFonts w:eastAsia="Songti TC Regular"/>
          <w:i/>
          <w:color w:val="000000" w:themeColor="text1"/>
        </w:rPr>
        <w:t>Cities of Aristocrats and Bureaucrats</w:t>
      </w:r>
      <w:r w:rsidRPr="0031181D">
        <w:rPr>
          <w:rFonts w:eastAsia="Songti TC Regular"/>
          <w:color w:val="000000" w:themeColor="text1"/>
        </w:rPr>
        <w:t>, 73–83.</w:t>
      </w:r>
    </w:p>
  </w:footnote>
  <w:footnote w:id="56">
    <w:p w14:paraId="32130B63" w14:textId="77777777" w:rsidR="00C84E63" w:rsidRPr="0031181D" w:rsidRDefault="007F6E61" w:rsidP="00901447">
      <w:pPr>
        <w:snapToGrid w:val="0"/>
        <w:spacing w:line="480" w:lineRule="auto"/>
        <w:rPr>
          <w:rFonts w:eastAsia="Songti TC Regular"/>
          <w:i/>
          <w:color w:val="000000" w:themeColor="text1"/>
          <w:szCs w:val="20"/>
        </w:rPr>
      </w:pPr>
      <w:r w:rsidRPr="0031181D">
        <w:rPr>
          <w:rFonts w:eastAsia="Songti TC Regular"/>
          <w:color w:val="000000" w:themeColor="text1"/>
          <w:vertAlign w:val="superscript"/>
        </w:rPr>
        <w:footnoteRef/>
      </w:r>
      <w:r w:rsidRPr="0031181D">
        <w:rPr>
          <w:rFonts w:eastAsia="Songti TC Regular"/>
          <w:color w:val="000000" w:themeColor="text1"/>
          <w:szCs w:val="20"/>
        </w:rPr>
        <w:t xml:space="preserve"> Von Glahn, </w:t>
      </w:r>
      <w:r w:rsidRPr="0031181D">
        <w:rPr>
          <w:rFonts w:eastAsia="Songti TC Regular"/>
          <w:i/>
          <w:color w:val="000000" w:themeColor="text1"/>
          <w:szCs w:val="20"/>
        </w:rPr>
        <w:t>Country of Streams and Grottoes</w:t>
      </w:r>
      <w:r w:rsidRPr="0031181D">
        <w:rPr>
          <w:rFonts w:eastAsia="Songti TC Regular"/>
          <w:color w:val="000000" w:themeColor="text1"/>
          <w:szCs w:val="20"/>
        </w:rPr>
        <w:t>, 201.</w:t>
      </w:r>
    </w:p>
  </w:footnote>
  <w:footnote w:id="57">
    <w:p w14:paraId="1FA89B7A" w14:textId="77777777" w:rsidR="001F7C07" w:rsidRPr="0031181D" w:rsidRDefault="001F7C07" w:rsidP="00901447">
      <w:pPr>
        <w:pStyle w:val="FootnoteText"/>
        <w:snapToGrid w:val="0"/>
        <w:spacing w:line="480" w:lineRule="auto"/>
        <w:rPr>
          <w:rFonts w:eastAsia="Songti TC Regular"/>
          <w:color w:val="000000" w:themeColor="text1"/>
        </w:rPr>
      </w:pPr>
      <w:r w:rsidRPr="0031181D">
        <w:rPr>
          <w:rStyle w:val="FootnoteReference"/>
          <w:rFonts w:eastAsia="Songti TC Regular"/>
          <w:color w:val="000000" w:themeColor="text1"/>
        </w:rPr>
        <w:footnoteRef/>
      </w:r>
      <w:r w:rsidRPr="0031181D">
        <w:rPr>
          <w:rFonts w:eastAsia="Songti TC Regular"/>
          <w:color w:val="000000" w:themeColor="text1"/>
        </w:rPr>
        <w:t xml:space="preserve"> McDermott and Shiba, </w:t>
      </w:r>
      <w:r w:rsidR="00A22CA4" w:rsidRPr="0031181D">
        <w:rPr>
          <w:rFonts w:eastAsia="Songti TC Regular"/>
          <w:color w:val="000000" w:themeColor="text1"/>
        </w:rPr>
        <w:t xml:space="preserve">‘Economic Change’, </w:t>
      </w:r>
      <w:r w:rsidRPr="0031181D">
        <w:rPr>
          <w:rFonts w:eastAsia="Songti TC Regular"/>
          <w:color w:val="000000" w:themeColor="text1"/>
        </w:rPr>
        <w:t>383-4.</w:t>
      </w:r>
    </w:p>
  </w:footnote>
  <w:footnote w:id="58">
    <w:p w14:paraId="226147E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00275A75" w:rsidRPr="0031181D">
        <w:rPr>
          <w:rFonts w:eastAsia="Songti TC Regular"/>
          <w:color w:val="000000" w:themeColor="text1"/>
        </w:rPr>
        <w:t xml:space="preserve"> </w:t>
      </w:r>
      <w:r w:rsidR="00A22CA4" w:rsidRPr="0031181D">
        <w:rPr>
          <w:rFonts w:eastAsia="Songti TC Regular"/>
          <w:color w:val="000000" w:themeColor="text1"/>
        </w:rPr>
        <w:t xml:space="preserve">Heng, </w:t>
      </w:r>
      <w:r w:rsidR="00A22CA4" w:rsidRPr="0031181D">
        <w:rPr>
          <w:rFonts w:eastAsia="Songti TC Regular"/>
          <w:i/>
          <w:color w:val="000000" w:themeColor="text1"/>
        </w:rPr>
        <w:t>Cities of Aristocrats and Bureaucrats</w:t>
      </w:r>
      <w:r w:rsidR="00A22CA4" w:rsidRPr="0031181D">
        <w:rPr>
          <w:rFonts w:eastAsia="Songti TC Regular"/>
          <w:color w:val="000000" w:themeColor="text1"/>
        </w:rPr>
        <w:t>,</w:t>
      </w:r>
      <w:r w:rsidRPr="0031181D">
        <w:rPr>
          <w:rFonts w:eastAsia="Songti TC Regular"/>
          <w:color w:val="000000" w:themeColor="text1"/>
        </w:rPr>
        <w:t xml:space="preserve"> 183–9 and n. 21, which observes that prefectures fell in number from 331 in the reign era 742–56, at the peak of the Tang dynasty, to 220 in the Song reign era 1078–85 — the period of the shortlived ‘New Policies’, which sought to raise government revenue by unleashing the population’s economic drive and taxing the resulting commerce.</w:t>
      </w:r>
    </w:p>
  </w:footnote>
  <w:footnote w:id="59">
    <w:p w14:paraId="090F2AD4"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Ruth Mostern notes that the Song had a higher density of counties than any other period of imperial history, but that the total number of prefectures and counties ‘remained almost constant’ while the population nearly tripled, </w:t>
      </w:r>
      <w:r w:rsidRPr="0031181D">
        <w:rPr>
          <w:rFonts w:eastAsia="Songti TC Regular"/>
          <w:i/>
          <w:color w:val="000000" w:themeColor="text1"/>
        </w:rPr>
        <w:t>‘Dividing the Realm in Order to Govern’: The Spatial Organization of the Song State (960–1276 CE)</w:t>
      </w:r>
      <w:r w:rsidRPr="0031181D">
        <w:rPr>
          <w:rFonts w:eastAsia="Songti TC Regular"/>
          <w:color w:val="000000" w:themeColor="text1"/>
        </w:rPr>
        <w:t xml:space="preserve"> (Cambridge, Mass., 2011), esp. 12. Cf. Heng, </w:t>
      </w:r>
      <w:r w:rsidRPr="0031181D">
        <w:rPr>
          <w:rFonts w:eastAsia="Songti TC Regular"/>
          <w:i/>
          <w:color w:val="000000" w:themeColor="text1"/>
        </w:rPr>
        <w:t>Cities of Aristocrats and Bureaucrats</w:t>
      </w:r>
      <w:r w:rsidRPr="0031181D">
        <w:rPr>
          <w:rFonts w:eastAsia="Songti TC Regular"/>
          <w:color w:val="000000" w:themeColor="text1"/>
        </w:rPr>
        <w:t>, 202–3, nn. 11, 21. Nobody has yet considered, so far as I know, how these ‘small-scale’ and sometimes short-term changes of function were (or were not) reflected in the city itself, whether in spatial arrangement, contents, population size and types, and so on.</w:t>
      </w:r>
    </w:p>
  </w:footnote>
  <w:footnote w:id="60">
    <w:p w14:paraId="25EAC15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Clark, </w:t>
      </w:r>
      <w:r w:rsidRPr="0031181D">
        <w:rPr>
          <w:rFonts w:eastAsia="Songti TC Regular"/>
          <w:i/>
          <w:color w:val="000000" w:themeColor="text1"/>
        </w:rPr>
        <w:t>Community, Trade and Networks</w:t>
      </w:r>
      <w:r w:rsidRPr="0031181D">
        <w:rPr>
          <w:rFonts w:eastAsia="Songti TC Regular"/>
          <w:color w:val="000000" w:themeColor="text1"/>
        </w:rPr>
        <w:t>, 110–19.</w:t>
      </w:r>
    </w:p>
  </w:footnote>
  <w:footnote w:id="61">
    <w:p w14:paraId="3A06D9AD" w14:textId="77777777" w:rsidR="00122528" w:rsidRPr="0031181D" w:rsidRDefault="00122528" w:rsidP="002E1907">
      <w:pPr>
        <w:shd w:val="clear" w:color="auto" w:fill="FFFFFF"/>
        <w:snapToGrid w:val="0"/>
        <w:spacing w:line="480" w:lineRule="auto"/>
        <w:textAlignment w:val="baseline"/>
        <w:rPr>
          <w:rFonts w:eastAsia="Songti TC Regular"/>
          <w:bCs/>
          <w:color w:val="000000" w:themeColor="text1"/>
          <w:szCs w:val="21"/>
          <w:bdr w:val="none" w:sz="0" w:space="0" w:color="auto" w:frame="1"/>
        </w:rPr>
      </w:pPr>
      <w:r w:rsidRPr="0031181D">
        <w:rPr>
          <w:rStyle w:val="FootnoteReference"/>
          <w:rFonts w:eastAsia="Songti TC Regular"/>
          <w:color w:val="000000" w:themeColor="text1"/>
        </w:rPr>
        <w:footnoteRef/>
      </w:r>
      <w:r w:rsidRPr="0031181D">
        <w:rPr>
          <w:rFonts w:eastAsia="Songti TC Regular"/>
          <w:color w:val="000000" w:themeColor="text1"/>
        </w:rPr>
        <w:t xml:space="preserve"> </w:t>
      </w:r>
      <w:r w:rsidRPr="0031181D">
        <w:rPr>
          <w:rFonts w:eastAsia="Songti TC Regular"/>
          <w:color w:val="000000" w:themeColor="text1"/>
          <w:lang w:val="en-US"/>
        </w:rPr>
        <w:t xml:space="preserve">For a dazzling survey including, but not confined to, urban centres, see Robert Hymes, </w:t>
      </w:r>
      <w:r w:rsidR="00201463" w:rsidRPr="0031181D">
        <w:rPr>
          <w:rFonts w:eastAsia="Songti TC Regular"/>
          <w:color w:val="000000" w:themeColor="text1"/>
          <w:lang w:val="en-US"/>
        </w:rPr>
        <w:t>‘</w:t>
      </w:r>
      <w:r w:rsidR="00713007" w:rsidRPr="0031181D">
        <w:rPr>
          <w:rFonts w:eastAsia="Songti TC Regular"/>
          <w:bCs/>
          <w:color w:val="000000" w:themeColor="text1"/>
          <w:szCs w:val="21"/>
          <w:bdr w:val="none" w:sz="0" w:space="0" w:color="auto" w:frame="1"/>
        </w:rPr>
        <w:t xml:space="preserve">Sung </w:t>
      </w:r>
      <w:r w:rsidR="006120D9" w:rsidRPr="0031181D">
        <w:rPr>
          <w:rFonts w:eastAsia="Songti TC Regular"/>
          <w:bCs/>
          <w:color w:val="000000" w:themeColor="text1"/>
          <w:szCs w:val="21"/>
          <w:bdr w:val="none" w:sz="0" w:space="0" w:color="auto" w:frame="1"/>
        </w:rPr>
        <w:t xml:space="preserve">Society </w:t>
      </w:r>
      <w:r w:rsidR="00713007" w:rsidRPr="0031181D">
        <w:rPr>
          <w:rFonts w:eastAsia="Songti TC Regular"/>
          <w:bCs/>
          <w:color w:val="000000" w:themeColor="text1"/>
          <w:szCs w:val="21"/>
          <w:bdr w:val="none" w:sz="0" w:space="0" w:color="auto" w:frame="1"/>
        </w:rPr>
        <w:t xml:space="preserve">and </w:t>
      </w:r>
      <w:r w:rsidR="006120D9" w:rsidRPr="0031181D">
        <w:rPr>
          <w:rFonts w:eastAsia="Songti TC Regular"/>
          <w:bCs/>
          <w:color w:val="000000" w:themeColor="text1"/>
          <w:szCs w:val="21"/>
          <w:bdr w:val="none" w:sz="0" w:space="0" w:color="auto" w:frame="1"/>
        </w:rPr>
        <w:t>Social Change</w:t>
      </w:r>
      <w:r w:rsidR="006120D9" w:rsidRPr="0031181D">
        <w:rPr>
          <w:rFonts w:eastAsia="Songti TC Regular"/>
          <w:color w:val="000000" w:themeColor="text1"/>
          <w:lang w:val="en-US"/>
        </w:rPr>
        <w:t>’</w:t>
      </w:r>
      <w:r w:rsidR="00713007" w:rsidRPr="0031181D">
        <w:rPr>
          <w:rFonts w:eastAsia="Songti TC Regular"/>
          <w:color w:val="000000" w:themeColor="text1"/>
          <w:lang w:val="en-US"/>
        </w:rPr>
        <w:t xml:space="preserve">, in </w:t>
      </w:r>
      <w:r w:rsidR="00713007" w:rsidRPr="0031181D">
        <w:rPr>
          <w:rFonts w:eastAsia="Songti TC Regular"/>
          <w:i/>
          <w:color w:val="000000" w:themeColor="text1"/>
          <w:lang w:val="en-US"/>
        </w:rPr>
        <w:t>Cambridge History of China, Vol. 5, Pt. 2</w:t>
      </w:r>
      <w:r w:rsidR="00713007" w:rsidRPr="0031181D">
        <w:rPr>
          <w:rFonts w:eastAsia="Songti TC Regular"/>
          <w:bCs/>
          <w:color w:val="000000" w:themeColor="text1"/>
          <w:szCs w:val="21"/>
          <w:bdr w:val="none" w:sz="0" w:space="0" w:color="auto" w:frame="1"/>
        </w:rPr>
        <w:t xml:space="preserve">, </w:t>
      </w:r>
      <w:r w:rsidR="00713007" w:rsidRPr="0031181D">
        <w:rPr>
          <w:rFonts w:eastAsia="Songti TC Regular"/>
          <w:color w:val="000000" w:themeColor="text1"/>
          <w:szCs w:val="18"/>
          <w:bdr w:val="none" w:sz="0" w:space="0" w:color="auto" w:frame="1"/>
        </w:rPr>
        <w:t>526-664.</w:t>
      </w:r>
    </w:p>
  </w:footnote>
  <w:footnote w:id="62">
    <w:p w14:paraId="33D9A3DB" w14:textId="77777777" w:rsidR="00C84E63" w:rsidRPr="0031181D" w:rsidRDefault="007F6E61" w:rsidP="00901447">
      <w:pPr>
        <w:snapToGrid w:val="0"/>
        <w:spacing w:line="480" w:lineRule="auto"/>
        <w:rPr>
          <w:rFonts w:eastAsia="Songti TC Regular"/>
          <w:color w:val="000000" w:themeColor="text1"/>
          <w:szCs w:val="20"/>
        </w:rPr>
      </w:pPr>
      <w:r w:rsidRPr="0031181D">
        <w:rPr>
          <w:rFonts w:eastAsia="Songti TC Regular"/>
          <w:color w:val="000000" w:themeColor="text1"/>
          <w:vertAlign w:val="superscript"/>
        </w:rPr>
        <w:footnoteRef/>
      </w:r>
      <w:r w:rsidRPr="0031181D">
        <w:rPr>
          <w:rFonts w:eastAsia="Songti TC Regular"/>
          <w:color w:val="000000" w:themeColor="text1"/>
          <w:szCs w:val="20"/>
        </w:rPr>
        <w:t xml:space="preserve"> E.g. Clark, </w:t>
      </w:r>
      <w:r w:rsidRPr="0031181D">
        <w:rPr>
          <w:rFonts w:eastAsia="Songti TC Regular"/>
          <w:i/>
          <w:color w:val="000000" w:themeColor="text1"/>
          <w:szCs w:val="20"/>
        </w:rPr>
        <w:t>Community, Trade, and Networks</w:t>
      </w:r>
      <w:r w:rsidRPr="0031181D">
        <w:rPr>
          <w:rFonts w:eastAsia="Songti TC Regular"/>
          <w:color w:val="000000" w:themeColor="text1"/>
          <w:szCs w:val="20"/>
        </w:rPr>
        <w:t>.</w:t>
      </w:r>
      <w:r w:rsidR="008B25A6" w:rsidRPr="0031181D">
        <w:rPr>
          <w:rFonts w:eastAsia="Songti TC Regular"/>
          <w:color w:val="000000" w:themeColor="text1"/>
          <w:szCs w:val="20"/>
        </w:rPr>
        <w:t xml:space="preserve"> </w:t>
      </w:r>
    </w:p>
  </w:footnote>
  <w:footnote w:id="63">
    <w:p w14:paraId="3F6FD283" w14:textId="77777777" w:rsidR="00C84E63" w:rsidRPr="0031181D" w:rsidRDefault="007F6E61" w:rsidP="007A1067">
      <w:pPr>
        <w:widowControl w:val="0"/>
        <w:autoSpaceDE w:val="0"/>
        <w:autoSpaceDN w:val="0"/>
        <w:adjustRightIn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i/>
          <w:color w:val="000000" w:themeColor="text1"/>
          <w:szCs w:val="20"/>
        </w:rPr>
        <w:t xml:space="preserve"> </w:t>
      </w:r>
      <w:r w:rsidRPr="0031181D">
        <w:rPr>
          <w:rFonts w:eastAsia="Songti TC Regular"/>
          <w:color w:val="000000" w:themeColor="text1"/>
          <w:szCs w:val="20"/>
        </w:rPr>
        <w:t xml:space="preserve">See, for example, Von Glahn, </w:t>
      </w:r>
      <w:r w:rsidRPr="0031181D">
        <w:rPr>
          <w:rFonts w:eastAsia="Songti TC Regular"/>
          <w:i/>
          <w:color w:val="000000" w:themeColor="text1"/>
          <w:szCs w:val="20"/>
        </w:rPr>
        <w:t>Country of Streams and Grottoes</w:t>
      </w:r>
      <w:r w:rsidRPr="0031181D">
        <w:rPr>
          <w:rFonts w:eastAsia="Songti TC Regular"/>
          <w:color w:val="000000" w:themeColor="text1"/>
          <w:szCs w:val="20"/>
        </w:rPr>
        <w:t>, esp. Ch. 4-5.</w:t>
      </w:r>
      <w:r w:rsidR="00DF218C" w:rsidRPr="0031181D">
        <w:rPr>
          <w:rFonts w:eastAsia="Songti TC Regular"/>
          <w:color w:val="000000" w:themeColor="text1"/>
          <w:szCs w:val="20"/>
        </w:rPr>
        <w:t xml:space="preserve"> Despite this, </w:t>
      </w:r>
      <w:r w:rsidR="00311505" w:rsidRPr="0031181D">
        <w:rPr>
          <w:rFonts w:eastAsia="Songti TC Regular"/>
          <w:color w:val="000000" w:themeColor="text1"/>
          <w:szCs w:val="20"/>
        </w:rPr>
        <w:t xml:space="preserve">neither </w:t>
      </w:r>
      <w:r w:rsidR="00DF218C" w:rsidRPr="0031181D">
        <w:rPr>
          <w:rFonts w:eastAsia="Songti TC Regular"/>
          <w:color w:val="000000" w:themeColor="text1"/>
          <w:szCs w:val="20"/>
        </w:rPr>
        <w:t>the Turnerian model of frontier expansion</w:t>
      </w:r>
      <w:r w:rsidR="002E1907" w:rsidRPr="0031181D">
        <w:rPr>
          <w:rFonts w:eastAsia="Songti TC Regular"/>
          <w:color w:val="000000" w:themeColor="text1"/>
          <w:szCs w:val="20"/>
        </w:rPr>
        <w:t xml:space="preserve"> (</w:t>
      </w:r>
      <w:r w:rsidR="003832F9" w:rsidRPr="0031181D">
        <w:rPr>
          <w:rFonts w:eastAsia="Songti TC Regular"/>
          <w:color w:val="000000" w:themeColor="text1"/>
          <w:szCs w:val="20"/>
        </w:rPr>
        <w:t xml:space="preserve">Frederick Jackson Turner, </w:t>
      </w:r>
      <w:r w:rsidR="00031C1F" w:rsidRPr="0031181D">
        <w:rPr>
          <w:rFonts w:eastAsia="Songti TC Regular"/>
          <w:color w:val="000000" w:themeColor="text1"/>
        </w:rPr>
        <w:t xml:space="preserve">‘The Significance of the Frontier in American History’, in Turner, </w:t>
      </w:r>
      <w:r w:rsidR="00031C1F" w:rsidRPr="0031181D">
        <w:rPr>
          <w:rFonts w:eastAsia="Songti TC Regular"/>
          <w:i/>
          <w:iCs/>
          <w:color w:val="000000" w:themeColor="text1"/>
        </w:rPr>
        <w:t>The Frontier in American History</w:t>
      </w:r>
      <w:r w:rsidR="00031C1F" w:rsidRPr="0031181D">
        <w:rPr>
          <w:rFonts w:eastAsia="Songti TC Regular"/>
          <w:iCs/>
          <w:color w:val="000000" w:themeColor="text1"/>
        </w:rPr>
        <w:t xml:space="preserve"> (</w:t>
      </w:r>
      <w:r w:rsidR="00031C1F" w:rsidRPr="0031181D">
        <w:rPr>
          <w:rFonts w:eastAsia="Songti TC Regular"/>
          <w:color w:val="000000" w:themeColor="text1"/>
        </w:rPr>
        <w:t>New York, 1920), 1–38</w:t>
      </w:r>
      <w:r w:rsidR="004C6210" w:rsidRPr="0031181D">
        <w:rPr>
          <w:rFonts w:eastAsia="Songti TC Regular"/>
          <w:color w:val="000000" w:themeColor="text1"/>
        </w:rPr>
        <w:t>)</w:t>
      </w:r>
      <w:r w:rsidR="00DF218C" w:rsidRPr="0031181D">
        <w:rPr>
          <w:rFonts w:eastAsia="Songti TC Regular"/>
          <w:color w:val="000000" w:themeColor="text1"/>
          <w:szCs w:val="20"/>
        </w:rPr>
        <w:t xml:space="preserve">, its critiques, </w:t>
      </w:r>
      <w:r w:rsidR="00311505" w:rsidRPr="0031181D">
        <w:rPr>
          <w:rFonts w:eastAsia="Songti TC Regular"/>
          <w:color w:val="000000" w:themeColor="text1"/>
          <w:szCs w:val="20"/>
        </w:rPr>
        <w:t>n</w:t>
      </w:r>
      <w:r w:rsidR="00DF218C" w:rsidRPr="0031181D">
        <w:rPr>
          <w:rFonts w:eastAsia="Songti TC Regular"/>
          <w:color w:val="000000" w:themeColor="text1"/>
          <w:szCs w:val="20"/>
        </w:rPr>
        <w:t>or postcolonial theory have featured much in this</w:t>
      </w:r>
      <w:r w:rsidR="00705893" w:rsidRPr="0031181D">
        <w:rPr>
          <w:rFonts w:eastAsia="Songti TC Regular"/>
          <w:color w:val="000000" w:themeColor="text1"/>
          <w:szCs w:val="20"/>
        </w:rPr>
        <w:t xml:space="preserve"> body of</w:t>
      </w:r>
      <w:r w:rsidR="00DF218C" w:rsidRPr="0031181D">
        <w:rPr>
          <w:rFonts w:eastAsia="Songti TC Regular"/>
          <w:color w:val="000000" w:themeColor="text1"/>
          <w:szCs w:val="20"/>
        </w:rPr>
        <w:t xml:space="preserve"> scholarship</w:t>
      </w:r>
      <w:r w:rsidR="00E90CDC" w:rsidRPr="0031181D">
        <w:rPr>
          <w:rFonts w:eastAsia="Songti TC Regular"/>
          <w:color w:val="000000" w:themeColor="text1"/>
          <w:szCs w:val="20"/>
        </w:rPr>
        <w:t>, which of course lacks sources from the perspective of the colonised.</w:t>
      </w:r>
    </w:p>
  </w:footnote>
  <w:footnote w:id="64">
    <w:p w14:paraId="3FEBD025"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further discussion, from a huge bibliography, see F. Theuws, ‘Exchange, Religion, Identity and Central Places in the Early Middle Ages’, </w:t>
      </w:r>
      <w:r w:rsidRPr="0031181D">
        <w:rPr>
          <w:rFonts w:eastAsia="Songti TC Regular"/>
          <w:i/>
          <w:color w:val="000000" w:themeColor="text1"/>
        </w:rPr>
        <w:t>Archaeological Dialogues</w:t>
      </w:r>
      <w:r w:rsidRPr="0031181D">
        <w:rPr>
          <w:rFonts w:eastAsia="Songti TC Regular"/>
          <w:color w:val="000000" w:themeColor="text1"/>
        </w:rPr>
        <w:t xml:space="preserve">, x (2004), 121–38; and J. Henning, ‘Early European Towns: The Way of the Economy in the Frankish Area between Dynamism and Deceleration 500–1000 AD’, in J. Henning (ed.), </w:t>
      </w:r>
      <w:r w:rsidRPr="0031181D">
        <w:rPr>
          <w:rFonts w:eastAsia="Songti TC Regular"/>
          <w:i/>
          <w:color w:val="000000" w:themeColor="text1"/>
        </w:rPr>
        <w:t>Post-Roman Towns, Trade and Settlement in Europe and Byzantium I, The Heirs of Rome in the West</w:t>
      </w:r>
      <w:r w:rsidRPr="0031181D">
        <w:rPr>
          <w:rFonts w:eastAsia="Songti TC Regular"/>
          <w:color w:val="000000" w:themeColor="text1"/>
        </w:rPr>
        <w:t xml:space="preserve"> (Berlin, 2007), 3–40. </w:t>
      </w:r>
    </w:p>
  </w:footnote>
  <w:footnote w:id="65">
    <w:p w14:paraId="549CEC23"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N. Christie and S. T. Loseby (eds.), </w:t>
      </w:r>
      <w:r w:rsidRPr="0031181D">
        <w:rPr>
          <w:rFonts w:eastAsia="Songti TC Regular"/>
          <w:i/>
          <w:color w:val="000000" w:themeColor="text1"/>
        </w:rPr>
        <w:t>Towns in Transition</w:t>
      </w:r>
      <w:r w:rsidRPr="0031181D">
        <w:rPr>
          <w:rFonts w:eastAsia="Songti TC Regular"/>
          <w:color w:val="000000" w:themeColor="text1"/>
        </w:rPr>
        <w:t xml:space="preserve"> (Aldershot, 1996), esp. the contribution of Loseby on Arles. </w:t>
      </w:r>
    </w:p>
  </w:footnote>
  <w:footnote w:id="66">
    <w:p w14:paraId="231BEC9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A. M. Obayemi, ‘The Yoruba and Edo-Speaking Peoples and Their Neighbours Before 1600’, in J. F. A. Ajayi and M. Crowther (eds.), </w:t>
      </w:r>
      <w:r w:rsidRPr="0031181D">
        <w:rPr>
          <w:rFonts w:eastAsia="Songti TC Regular"/>
          <w:i/>
          <w:color w:val="000000" w:themeColor="text1"/>
        </w:rPr>
        <w:t>History of West Africa</w:t>
      </w:r>
      <w:r w:rsidRPr="0031181D">
        <w:rPr>
          <w:rFonts w:eastAsia="Songti TC Regular"/>
          <w:color w:val="000000" w:themeColor="text1"/>
        </w:rPr>
        <w:t xml:space="preserve">, 3rd edn. (Oxford, 1985), 255–322; A. Ogundiran, ‘Filling a Gap in the Ife-Benin Interaction Field (Thirteenth–Sixteenth Centuries AD): Excavations in Iloyi Settlement, Ijesaland’, </w:t>
      </w:r>
      <w:r w:rsidRPr="0031181D">
        <w:rPr>
          <w:rFonts w:eastAsia="Songti TC Regular"/>
          <w:i/>
          <w:color w:val="000000" w:themeColor="text1"/>
        </w:rPr>
        <w:t>African Archaeological Review</w:t>
      </w:r>
      <w:r w:rsidRPr="0031181D">
        <w:rPr>
          <w:rFonts w:eastAsia="Songti TC Regular"/>
          <w:color w:val="000000" w:themeColor="text1"/>
        </w:rPr>
        <w:t>, xix (2002), 27–60.</w:t>
      </w:r>
    </w:p>
  </w:footnote>
  <w:footnote w:id="67">
    <w:p w14:paraId="0150D3C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P. S. Garlake, ‘Excavations at Obalara’s Land, Ife: an Interim Report’, </w:t>
      </w:r>
      <w:r w:rsidRPr="0031181D">
        <w:rPr>
          <w:rFonts w:eastAsia="Songti TC Regular"/>
          <w:i/>
          <w:color w:val="000000" w:themeColor="text1"/>
        </w:rPr>
        <w:t>West African Journal of Archaeology</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 xml:space="preserve">iv (1974), 111–148; P. S. Garlake, ‘Excavations on the Woye Asiri Family Land in Ife, Western Nigeria’, </w:t>
      </w:r>
      <w:r w:rsidRPr="0031181D">
        <w:rPr>
          <w:rFonts w:eastAsia="Songti TC Regular"/>
          <w:i/>
          <w:color w:val="000000" w:themeColor="text1"/>
        </w:rPr>
        <w:t>West African Journal of Archaeology</w:t>
      </w:r>
      <w:r w:rsidRPr="0031181D">
        <w:rPr>
          <w:rFonts w:eastAsia="Songti TC Regular"/>
          <w:color w:val="000000" w:themeColor="text1"/>
        </w:rPr>
        <w:t>, vii (1977), 57–95; F. Willett,</w:t>
      </w:r>
      <w:r w:rsidRPr="0031181D">
        <w:rPr>
          <w:rFonts w:eastAsia="Songti TC Regular"/>
          <w:i/>
          <w:color w:val="000000" w:themeColor="text1"/>
        </w:rPr>
        <w:t xml:space="preserve"> </w:t>
      </w:r>
      <w:r w:rsidRPr="0031181D">
        <w:rPr>
          <w:rFonts w:eastAsia="Songti TC Regular"/>
          <w:color w:val="000000" w:themeColor="text1"/>
        </w:rPr>
        <w:t xml:space="preserve">‘Ife and its Archaeology’, in J. D. Fage and R. A. Oliver (eds.), </w:t>
      </w:r>
      <w:r w:rsidRPr="0031181D">
        <w:rPr>
          <w:rFonts w:eastAsia="Songti TC Regular"/>
          <w:i/>
          <w:color w:val="000000" w:themeColor="text1"/>
        </w:rPr>
        <w:t>Papers in African Prehistory</w:t>
      </w:r>
      <w:r w:rsidRPr="0031181D">
        <w:rPr>
          <w:rFonts w:eastAsia="Songti TC Regular"/>
          <w:color w:val="000000" w:themeColor="text1"/>
        </w:rPr>
        <w:t xml:space="preserve"> (London, 1970), 303–26.</w:t>
      </w:r>
    </w:p>
  </w:footnote>
  <w:footnote w:id="68">
    <w:p w14:paraId="14D80D4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example, Garlake, </w:t>
      </w:r>
      <w:r w:rsidRPr="0031181D">
        <w:rPr>
          <w:rFonts w:eastAsia="Songti TC Regular"/>
          <w:i/>
          <w:color w:val="000000" w:themeColor="text1"/>
        </w:rPr>
        <w:t>Obalara’s Land</w:t>
      </w:r>
      <w:r w:rsidRPr="0031181D">
        <w:rPr>
          <w:rFonts w:eastAsia="Songti TC Regular"/>
          <w:color w:val="000000" w:themeColor="text1"/>
        </w:rPr>
        <w:t>.</w:t>
      </w:r>
    </w:p>
  </w:footnote>
  <w:footnote w:id="69">
    <w:p w14:paraId="3F81E37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G. Connah, </w:t>
      </w:r>
      <w:r w:rsidRPr="0031181D">
        <w:rPr>
          <w:rFonts w:eastAsia="Songti TC Regular"/>
          <w:i/>
          <w:color w:val="000000" w:themeColor="text1"/>
        </w:rPr>
        <w:t>The Archaeology of Benin: Excavations and Other Researches in and Around Benin, Nigeria</w:t>
      </w:r>
      <w:r w:rsidRPr="0031181D">
        <w:rPr>
          <w:rFonts w:eastAsia="Songti TC Regular"/>
          <w:color w:val="000000" w:themeColor="text1"/>
        </w:rPr>
        <w:t xml:space="preserve"> (Oxford, 1975).</w:t>
      </w:r>
    </w:p>
  </w:footnote>
  <w:footnote w:id="70">
    <w:p w14:paraId="75001193"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I. Kopytoff, ‘The Internal African Frontier: The Making of African Political Culture’, in I. Kopytoff (ed.), </w:t>
      </w:r>
      <w:r w:rsidRPr="0031181D">
        <w:rPr>
          <w:rFonts w:eastAsia="Songti TC Regular"/>
          <w:i/>
          <w:color w:val="000000" w:themeColor="text1"/>
        </w:rPr>
        <w:t>The Internal African Frontier</w:t>
      </w:r>
      <w:r w:rsidRPr="0031181D">
        <w:rPr>
          <w:rFonts w:eastAsia="Songti TC Regular"/>
          <w:color w:val="000000" w:themeColor="text1"/>
        </w:rPr>
        <w:t xml:space="preserve"> (Bloomington, 1987), 3–84.</w:t>
      </w:r>
    </w:p>
  </w:footnote>
  <w:footnote w:id="71">
    <w:p w14:paraId="1EAF258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Stephanie Wynne-Jones, </w:t>
      </w:r>
      <w:r w:rsidRPr="0031181D">
        <w:rPr>
          <w:rFonts w:eastAsia="Songti TC Regular"/>
          <w:i/>
          <w:color w:val="000000" w:themeColor="text1"/>
        </w:rPr>
        <w:t>A Material Culture: Consumption and Materiality on the Precolonial East African Coast</w:t>
      </w:r>
      <w:r w:rsidRPr="0031181D">
        <w:rPr>
          <w:rFonts w:eastAsia="Songti TC Regular"/>
          <w:color w:val="000000" w:themeColor="text1"/>
        </w:rPr>
        <w:t xml:space="preserve"> (Oxford, 2016).</w:t>
      </w:r>
    </w:p>
  </w:footnote>
  <w:footnote w:id="72">
    <w:p w14:paraId="40402A20" w14:textId="5D423CB8"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Randall Pouwels, ‘Oral Historiography and the Shirazi Myth’, </w:t>
      </w:r>
      <w:r w:rsidRPr="0031181D">
        <w:rPr>
          <w:rFonts w:eastAsia="Songti TC Regular"/>
          <w:i/>
          <w:color w:val="000000" w:themeColor="text1"/>
        </w:rPr>
        <w:t>History in Africa</w:t>
      </w:r>
      <w:r w:rsidR="00F36CE6" w:rsidRPr="0031181D">
        <w:rPr>
          <w:rFonts w:eastAsia="Songti TC Regular"/>
          <w:color w:val="000000" w:themeColor="text1"/>
        </w:rPr>
        <w:t>, xi</w:t>
      </w:r>
      <w:r w:rsidR="007F3F47" w:rsidRPr="0031181D">
        <w:rPr>
          <w:rFonts w:eastAsia="Songti TC Regular"/>
          <w:color w:val="000000" w:themeColor="text1"/>
        </w:rPr>
        <w:t xml:space="preserve"> (2014)</w:t>
      </w:r>
      <w:r w:rsidR="006D7FF0" w:rsidRPr="0031181D">
        <w:rPr>
          <w:rFonts w:eastAsia="Songti TC Regular"/>
          <w:color w:val="000000" w:themeColor="text1"/>
        </w:rPr>
        <w:t>, 237-</w:t>
      </w:r>
      <w:r w:rsidRPr="0031181D">
        <w:rPr>
          <w:rFonts w:eastAsia="Songti TC Regular"/>
          <w:color w:val="000000" w:themeColor="text1"/>
        </w:rPr>
        <w:t>67.</w:t>
      </w:r>
    </w:p>
  </w:footnote>
  <w:footnote w:id="73">
    <w:p w14:paraId="789CE54A"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A potentially contentious term, here it runs from the Yellow River basin and across Mongolia and Manchuria.</w:t>
      </w:r>
    </w:p>
  </w:footnote>
  <w:footnote w:id="74">
    <w:p w14:paraId="361535A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t>
      </w:r>
      <w:r w:rsidRPr="0031181D">
        <w:rPr>
          <w:rFonts w:eastAsia="Songti TC Regular"/>
          <w:i/>
          <w:color w:val="000000" w:themeColor="text1"/>
        </w:rPr>
        <w:t>Liao shi</w:t>
      </w:r>
      <w:r w:rsidRPr="0031181D">
        <w:rPr>
          <w:rFonts w:eastAsia="Songti TC Regular"/>
          <w:color w:val="000000" w:themeColor="text1"/>
        </w:rPr>
        <w:t xml:space="preserve"> </w:t>
      </w:r>
      <w:r w:rsidRPr="0031181D">
        <w:rPr>
          <w:rFonts w:eastAsia="Songti TC Regular"/>
          <w:color w:val="000000" w:themeColor="text1"/>
        </w:rPr>
        <w:t>遼史</w:t>
      </w:r>
      <w:r w:rsidRPr="0031181D">
        <w:rPr>
          <w:rFonts w:eastAsia="Songti TC Regular"/>
          <w:color w:val="000000" w:themeColor="text1"/>
        </w:rPr>
        <w:t xml:space="preserve"> [History of the Liao Dynasty] (Beijing, 2016), ch. 39, 545–6, trans. Karl Wittfogel and Feng Chia-sheng, </w:t>
      </w:r>
      <w:r w:rsidRPr="0031181D">
        <w:rPr>
          <w:rFonts w:eastAsia="Songti TC Regular"/>
          <w:i/>
          <w:color w:val="000000" w:themeColor="text1"/>
          <w:highlight w:val="white"/>
        </w:rPr>
        <w:t>History of Chinese Society: Liao (907–1125)</w:t>
      </w:r>
      <w:r w:rsidRPr="0031181D">
        <w:rPr>
          <w:rFonts w:eastAsia="Songti TC Regular"/>
          <w:color w:val="000000" w:themeColor="text1"/>
          <w:highlight w:val="white"/>
        </w:rPr>
        <w:t xml:space="preserve"> (Philadelphia, 1949)</w:t>
      </w:r>
      <w:r w:rsidRPr="0031181D">
        <w:rPr>
          <w:rFonts w:eastAsia="Songti TC Regular"/>
          <w:color w:val="000000" w:themeColor="text1"/>
        </w:rPr>
        <w:t xml:space="preserve">, 371. The transliteration of Chinese has been changed to </w:t>
      </w:r>
      <w:r w:rsidRPr="0031181D">
        <w:rPr>
          <w:rFonts w:eastAsia="Songti TC Regular"/>
          <w:i/>
          <w:color w:val="000000" w:themeColor="text1"/>
        </w:rPr>
        <w:t>pinyin</w:t>
      </w:r>
      <w:r w:rsidRPr="0031181D">
        <w:rPr>
          <w:rFonts w:eastAsia="Songti TC Regular"/>
          <w:color w:val="000000" w:themeColor="text1"/>
        </w:rPr>
        <w:t xml:space="preserve"> and the capitalisation regularised.</w:t>
      </w:r>
    </w:p>
  </w:footnote>
  <w:footnote w:id="75">
    <w:p w14:paraId="66B8258D"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Nancy Steinhardt, </w:t>
      </w:r>
      <w:r w:rsidRPr="0031181D">
        <w:rPr>
          <w:rFonts w:eastAsia="Songti TC Regular"/>
          <w:i/>
          <w:color w:val="000000" w:themeColor="text1"/>
        </w:rPr>
        <w:t>Chinese Imperial City Planning</w:t>
      </w:r>
      <w:r w:rsidRPr="0031181D">
        <w:rPr>
          <w:rFonts w:eastAsia="Songti TC Regular"/>
          <w:color w:val="000000" w:themeColor="text1"/>
        </w:rPr>
        <w:t xml:space="preserve"> (Honolulu, 1990), 29–36; Paul Wheatley, </w:t>
      </w:r>
      <w:r w:rsidRPr="0031181D">
        <w:rPr>
          <w:rFonts w:eastAsia="Songti TC Regular"/>
          <w:i/>
          <w:color w:val="000000" w:themeColor="text1"/>
        </w:rPr>
        <w:t>Pivot of the Four Quarters</w:t>
      </w:r>
      <w:r w:rsidRPr="0031181D">
        <w:rPr>
          <w:rFonts w:eastAsia="Songti TC Regular"/>
          <w:color w:val="000000" w:themeColor="text1"/>
        </w:rPr>
        <w:t xml:space="preserve"> (Edinburgh, 1971), 411 and references.</w:t>
      </w:r>
    </w:p>
  </w:footnote>
  <w:footnote w:id="76">
    <w:p w14:paraId="418582EA" w14:textId="77777777" w:rsidR="00C84E63" w:rsidRPr="0031181D" w:rsidRDefault="007F6E61" w:rsidP="00901447">
      <w:pPr>
        <w:snapToGrid w:val="0"/>
        <w:spacing w:line="480" w:lineRule="auto"/>
        <w:rPr>
          <w:rFonts w:eastAsia="Songti TC Regular"/>
          <w:color w:val="000000" w:themeColor="text1"/>
          <w:lang w:eastAsia="zh-TW"/>
        </w:rPr>
      </w:pPr>
      <w:r w:rsidRPr="0031181D">
        <w:rPr>
          <w:rFonts w:eastAsia="Songti TC Regular"/>
          <w:color w:val="000000" w:themeColor="text1"/>
          <w:vertAlign w:val="superscript"/>
        </w:rPr>
        <w:footnoteRef/>
      </w:r>
      <w:r w:rsidRPr="0031181D">
        <w:rPr>
          <w:rFonts w:eastAsia="Songti TC Regular"/>
          <w:color w:val="000000" w:themeColor="text1"/>
          <w:lang w:eastAsia="zh-TW"/>
        </w:rPr>
        <w:t xml:space="preserve"> </w:t>
      </w:r>
      <w:r w:rsidRPr="0031181D">
        <w:rPr>
          <w:rFonts w:eastAsia="Songti TC Regular"/>
          <w:color w:val="000000" w:themeColor="text1"/>
          <w:lang w:eastAsia="zh-TW"/>
        </w:rPr>
        <w:t>周在幽州之分。秦郡天下，是為寮溪。漢為新安平縣。</w:t>
      </w:r>
      <w:r w:rsidRPr="0031181D">
        <w:rPr>
          <w:rFonts w:eastAsia="Songti TC Regular"/>
          <w:i/>
          <w:color w:val="000000" w:themeColor="text1"/>
          <w:lang w:eastAsia="zh-TW"/>
        </w:rPr>
        <w:t>Liao shi</w:t>
      </w:r>
      <w:r w:rsidRPr="0031181D">
        <w:rPr>
          <w:rFonts w:eastAsia="Songti TC Regular"/>
          <w:color w:val="000000" w:themeColor="text1"/>
          <w:lang w:eastAsia="zh-TW"/>
        </w:rPr>
        <w:t>, ch. 39, 545. I have retained the suffixes –</w:t>
      </w:r>
      <w:r w:rsidRPr="0031181D">
        <w:rPr>
          <w:rFonts w:eastAsia="Songti TC Regular"/>
          <w:i/>
          <w:color w:val="000000" w:themeColor="text1"/>
          <w:lang w:eastAsia="zh-TW"/>
        </w:rPr>
        <w:t>zhou</w:t>
      </w:r>
      <w:r w:rsidRPr="0031181D">
        <w:rPr>
          <w:rFonts w:eastAsia="Songti TC Regular"/>
          <w:color w:val="000000" w:themeColor="text1"/>
          <w:lang w:eastAsia="zh-TW"/>
        </w:rPr>
        <w:t xml:space="preserve"> and –</w:t>
      </w:r>
      <w:r w:rsidRPr="0031181D">
        <w:rPr>
          <w:rFonts w:eastAsia="Songti TC Regular"/>
          <w:i/>
          <w:color w:val="000000" w:themeColor="text1"/>
          <w:lang w:eastAsia="zh-TW"/>
        </w:rPr>
        <w:t>xian</w:t>
      </w:r>
      <w:r w:rsidRPr="0031181D">
        <w:rPr>
          <w:rFonts w:eastAsia="Songti TC Regular"/>
          <w:color w:val="000000" w:themeColor="text1"/>
          <w:lang w:eastAsia="zh-TW"/>
        </w:rPr>
        <w:t xml:space="preserve"> rather than a translation because names including this term can refer either to the whole district or just to the city which was its seat. </w:t>
      </w:r>
    </w:p>
  </w:footnote>
  <w:footnote w:id="77">
    <w:p w14:paraId="39FC2C0A"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Zhongguo lishi bowuguan yaogan yu hangkong sheying kaogu zhongxin </w:t>
      </w:r>
      <w:r w:rsidRPr="0031181D">
        <w:rPr>
          <w:rFonts w:eastAsia="Songti TC Regular"/>
          <w:color w:val="000000" w:themeColor="text1"/>
        </w:rPr>
        <w:t>中国历史博物馆遥感与航空摄影考古中心</w:t>
      </w:r>
      <w:r w:rsidRPr="0031181D">
        <w:rPr>
          <w:rFonts w:eastAsia="Songti TC Regular"/>
          <w:color w:val="000000" w:themeColor="text1"/>
        </w:rPr>
        <w:t xml:space="preserve"> [National History Museum Archaeological Centre for Remote Sensing and Aerial Photography] and Nei Menggu Zizhiqu wenwu kaogu yanjiusuo </w:t>
      </w:r>
      <w:r w:rsidRPr="0031181D">
        <w:rPr>
          <w:rFonts w:eastAsia="Songti TC Regular"/>
          <w:color w:val="000000" w:themeColor="text1"/>
        </w:rPr>
        <w:t>内蒙古自治区文物考古研究所</w:t>
      </w:r>
      <w:r w:rsidRPr="0031181D">
        <w:rPr>
          <w:rFonts w:eastAsia="Songti TC Regular"/>
          <w:color w:val="000000" w:themeColor="text1"/>
        </w:rPr>
        <w:t xml:space="preserve"> [Inner Mongolia Autonomous Region Cultural Relics and Archaeology Research Institute], ed. </w:t>
      </w:r>
      <w:r w:rsidRPr="0031181D">
        <w:rPr>
          <w:rFonts w:eastAsia="Songti TC Regular"/>
          <w:i/>
          <w:color w:val="000000" w:themeColor="text1"/>
        </w:rPr>
        <w:t>Nei Menggu dongnanbu hangkong sheying kaogu baogao</w:t>
      </w:r>
      <w:r w:rsidRPr="0031181D">
        <w:rPr>
          <w:rFonts w:eastAsia="Songti TC Regular"/>
          <w:color w:val="000000" w:themeColor="text1"/>
        </w:rPr>
        <w:t xml:space="preserve"> </w:t>
      </w:r>
      <w:r w:rsidRPr="0031181D">
        <w:rPr>
          <w:rFonts w:eastAsia="Songti TC Regular"/>
          <w:color w:val="000000" w:themeColor="text1"/>
        </w:rPr>
        <w:t>内蒙古东南部航空摄影考古报告</w:t>
      </w:r>
      <w:r w:rsidRPr="0031181D">
        <w:rPr>
          <w:rFonts w:eastAsia="Songti TC Regular"/>
          <w:color w:val="000000" w:themeColor="text1"/>
        </w:rPr>
        <w:t xml:space="preserve"> [Report of aerial photographic archaeology in southeastern Inner Mongolia] (Beijing, 2002); and Liao Zhongjing fajue weiyuanhui [Liao Zhongjing Excavation Committee], ‘Liao Zhongjing chengzhi fajue de zhongyao shouhuo’ </w:t>
      </w:r>
      <w:r w:rsidRPr="0031181D">
        <w:rPr>
          <w:rFonts w:eastAsia="Songti TC Regular"/>
          <w:color w:val="000000" w:themeColor="text1"/>
        </w:rPr>
        <w:t>辽中京城址发掘的重要收获</w:t>
      </w:r>
      <w:r w:rsidRPr="0031181D">
        <w:rPr>
          <w:rFonts w:eastAsia="Songti TC Regular"/>
          <w:color w:val="000000" w:themeColor="text1"/>
        </w:rPr>
        <w:t xml:space="preserve"> [Important outcomes from the excavations of the site of the Liao Central Capital], </w:t>
      </w:r>
      <w:r w:rsidRPr="0031181D">
        <w:rPr>
          <w:rFonts w:eastAsia="Songti TC Regular"/>
          <w:i/>
          <w:color w:val="000000" w:themeColor="text1"/>
        </w:rPr>
        <w:t>Wenwu</w:t>
      </w:r>
      <w:r w:rsidRPr="0031181D">
        <w:rPr>
          <w:rFonts w:eastAsia="Songti TC Regular"/>
          <w:color w:val="000000" w:themeColor="text1"/>
        </w:rPr>
        <w:t xml:space="preserve"> </w:t>
      </w:r>
      <w:r w:rsidRPr="0031181D">
        <w:rPr>
          <w:rFonts w:eastAsia="Songti TC Regular"/>
          <w:color w:val="000000" w:themeColor="text1"/>
        </w:rPr>
        <w:t>文物</w:t>
      </w:r>
      <w:r w:rsidRPr="0031181D">
        <w:rPr>
          <w:rFonts w:eastAsia="Songti TC Regular"/>
          <w:color w:val="000000" w:themeColor="text1"/>
        </w:rPr>
        <w:t xml:space="preserve"> (1961:9), 34–40.</w:t>
      </w:r>
    </w:p>
  </w:footnote>
  <w:footnote w:id="78">
    <w:p w14:paraId="1A325E1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Different lengths have been recorded for the walls. </w:t>
      </w:r>
      <w:r w:rsidRPr="0031181D">
        <w:rPr>
          <w:rFonts w:eastAsia="Songti TC Regular"/>
          <w:i/>
          <w:color w:val="000000" w:themeColor="text1"/>
        </w:rPr>
        <w:t>Wenwu</w:t>
      </w:r>
      <w:r w:rsidRPr="0031181D">
        <w:rPr>
          <w:rFonts w:eastAsia="Songti TC Regular"/>
          <w:color w:val="000000" w:themeColor="text1"/>
        </w:rPr>
        <w:t xml:space="preserve"> 1961, 35, gives 4.2 x 3.5 km; Steinhardt, </w:t>
      </w:r>
      <w:r w:rsidRPr="0031181D">
        <w:rPr>
          <w:rFonts w:eastAsia="Songti TC Regular"/>
          <w:i/>
          <w:color w:val="000000" w:themeColor="text1"/>
        </w:rPr>
        <w:t>Chinese Imperial City Planning</w:t>
      </w:r>
      <w:r w:rsidRPr="0031181D">
        <w:rPr>
          <w:rFonts w:eastAsia="Songti TC Regular"/>
          <w:color w:val="000000" w:themeColor="text1"/>
        </w:rPr>
        <w:t xml:space="preserve">, 193, n. 12, gives 2 x 1.4 km, following Tamura Jitsuzô </w:t>
      </w:r>
      <w:r w:rsidRPr="0031181D">
        <w:rPr>
          <w:rFonts w:eastAsia="Songti TC Regular"/>
          <w:color w:val="000000" w:themeColor="text1"/>
        </w:rPr>
        <w:t>田村實造</w:t>
      </w:r>
      <w:r w:rsidRPr="0031181D">
        <w:rPr>
          <w:rFonts w:eastAsia="Songti TC Regular"/>
          <w:color w:val="000000" w:themeColor="text1"/>
        </w:rPr>
        <w:t xml:space="preserve">, </w:t>
      </w:r>
      <w:r w:rsidRPr="0031181D">
        <w:rPr>
          <w:rFonts w:eastAsia="Songti TC Regular"/>
          <w:i/>
          <w:color w:val="000000" w:themeColor="text1"/>
        </w:rPr>
        <w:t>Chûgoku seifuku ôchô no kenkyû</w:t>
      </w:r>
      <w:r w:rsidRPr="0031181D">
        <w:rPr>
          <w:rFonts w:eastAsia="Songti TC Regular"/>
          <w:color w:val="000000" w:themeColor="text1"/>
        </w:rPr>
        <w:t xml:space="preserve"> </w:t>
      </w:r>
      <w:r w:rsidRPr="0031181D">
        <w:rPr>
          <w:rFonts w:eastAsia="Songti TC Regular"/>
          <w:color w:val="000000" w:themeColor="text1"/>
        </w:rPr>
        <w:t>中國征服王朝の研究</w:t>
      </w:r>
      <w:r w:rsidRPr="0031181D">
        <w:rPr>
          <w:rFonts w:eastAsia="Songti TC Regular"/>
          <w:color w:val="000000" w:themeColor="text1"/>
        </w:rPr>
        <w:t xml:space="preserve"> [Research on the Chinese Conquest Dynasties] (Kyoto, 1964–86), vol. 1, 336; Chen Shu </w:t>
      </w:r>
      <w:r w:rsidRPr="0031181D">
        <w:rPr>
          <w:rFonts w:eastAsia="Songti TC Regular"/>
          <w:color w:val="000000" w:themeColor="text1"/>
        </w:rPr>
        <w:t>陳述</w:t>
      </w:r>
      <w:r w:rsidRPr="0031181D">
        <w:rPr>
          <w:rFonts w:eastAsia="Songti TC Regular"/>
          <w:color w:val="000000" w:themeColor="text1"/>
        </w:rPr>
        <w:t xml:space="preserve">, </w:t>
      </w:r>
      <w:r w:rsidRPr="0031181D">
        <w:rPr>
          <w:rFonts w:eastAsia="Songti TC Regular"/>
          <w:i/>
          <w:color w:val="000000" w:themeColor="text1"/>
        </w:rPr>
        <w:t>Qidan shehui jingji shigao</w:t>
      </w:r>
      <w:r w:rsidRPr="0031181D">
        <w:rPr>
          <w:rFonts w:eastAsia="Songti TC Regular"/>
          <w:color w:val="000000" w:themeColor="text1"/>
        </w:rPr>
        <w:t xml:space="preserve"> </w:t>
      </w:r>
      <w:r w:rsidRPr="0031181D">
        <w:rPr>
          <w:rFonts w:eastAsia="Songti TC Regular"/>
          <w:color w:val="000000" w:themeColor="text1"/>
        </w:rPr>
        <w:t>契丹社會經濟史稿</w:t>
      </w:r>
      <w:r w:rsidRPr="0031181D">
        <w:rPr>
          <w:rFonts w:eastAsia="Songti TC Regular"/>
          <w:color w:val="000000" w:themeColor="text1"/>
        </w:rPr>
        <w:t xml:space="preserve"> [Historical survey of Kitan society and economy] (Beijing, 1963), 90, gives 30 </w:t>
      </w:r>
      <w:r w:rsidRPr="0031181D">
        <w:rPr>
          <w:rFonts w:eastAsia="Songti TC Regular"/>
          <w:i/>
          <w:color w:val="000000" w:themeColor="text1"/>
        </w:rPr>
        <w:t>li</w:t>
      </w:r>
      <w:r w:rsidRPr="0031181D">
        <w:rPr>
          <w:rFonts w:eastAsia="Songti TC Regular"/>
          <w:color w:val="000000" w:themeColor="text1"/>
        </w:rPr>
        <w:t xml:space="preserve"> </w:t>
      </w:r>
      <w:r w:rsidRPr="0031181D">
        <w:rPr>
          <w:rFonts w:eastAsia="Songti TC Regular"/>
          <w:color w:val="000000" w:themeColor="text1"/>
        </w:rPr>
        <w:t>里</w:t>
      </w:r>
      <w:r w:rsidRPr="0031181D">
        <w:rPr>
          <w:rFonts w:eastAsia="Songti TC Regular"/>
          <w:color w:val="000000" w:themeColor="text1"/>
        </w:rPr>
        <w:t xml:space="preserve"> (15 km) around, with a reference to Liao Zhongjing fajue weiyuanhui, ‘Neimenggu fajue Liao Zhongjing ‘Zijincheng’ faxian xuduo zhongyao yiji yiwu’ </w:t>
      </w:r>
      <w:r w:rsidRPr="0031181D">
        <w:rPr>
          <w:rFonts w:eastAsia="Songti TC Regular"/>
          <w:color w:val="000000" w:themeColor="text1"/>
        </w:rPr>
        <w:t>内蒙古发掘辽中京</w:t>
      </w:r>
      <w:r w:rsidRPr="0031181D">
        <w:rPr>
          <w:rFonts w:eastAsia="Songti TC Regular"/>
          <w:color w:val="000000" w:themeColor="text1"/>
        </w:rPr>
        <w:t>“</w:t>
      </w:r>
      <w:r w:rsidRPr="0031181D">
        <w:rPr>
          <w:rFonts w:eastAsia="Songti TC Regular"/>
          <w:color w:val="000000" w:themeColor="text1"/>
        </w:rPr>
        <w:t>紫金</w:t>
      </w:r>
      <w:r w:rsidRPr="0031181D">
        <w:rPr>
          <w:rFonts w:eastAsia="Songti TC Regular"/>
          <w:color w:val="000000" w:themeColor="text1"/>
        </w:rPr>
        <w:t>[sic]</w:t>
      </w:r>
      <w:r w:rsidRPr="0031181D">
        <w:rPr>
          <w:rFonts w:eastAsia="Songti TC Regular"/>
          <w:color w:val="000000" w:themeColor="text1"/>
        </w:rPr>
        <w:t>城</w:t>
      </w:r>
      <w:r w:rsidRPr="0031181D">
        <w:rPr>
          <w:rFonts w:eastAsia="Songti TC Regular"/>
          <w:color w:val="000000" w:themeColor="text1"/>
        </w:rPr>
        <w:t>”</w:t>
      </w:r>
      <w:r w:rsidRPr="0031181D">
        <w:rPr>
          <w:rFonts w:eastAsia="Songti TC Regular"/>
          <w:color w:val="000000" w:themeColor="text1"/>
        </w:rPr>
        <w:t>发现许多重要遗迹遗物</w:t>
      </w:r>
      <w:r w:rsidRPr="0031181D">
        <w:rPr>
          <w:rFonts w:eastAsia="Songti TC Regular"/>
          <w:color w:val="000000" w:themeColor="text1"/>
        </w:rPr>
        <w:t xml:space="preserve"> [Excavations of the ‘Forbidden City’ of the Liao Central Capital in Inner Mongolia discover much of archaeological importance] </w:t>
      </w:r>
      <w:r w:rsidRPr="0031181D">
        <w:rPr>
          <w:rFonts w:eastAsia="Songti TC Regular"/>
          <w:i/>
          <w:color w:val="000000" w:themeColor="text1"/>
        </w:rPr>
        <w:t>Wenwu</w:t>
      </w:r>
      <w:r w:rsidRPr="0031181D">
        <w:rPr>
          <w:rFonts w:eastAsia="Songti TC Regular"/>
          <w:color w:val="000000" w:themeColor="text1"/>
        </w:rPr>
        <w:t xml:space="preserve"> (1960:2), 77, which Steinhardt follows, although this dimension is not in fact given there but in </w:t>
      </w:r>
      <w:r w:rsidRPr="0031181D">
        <w:rPr>
          <w:rFonts w:eastAsia="Songti TC Regular"/>
          <w:i/>
          <w:color w:val="000000" w:themeColor="text1"/>
        </w:rPr>
        <w:t>Wenwu</w:t>
      </w:r>
      <w:r w:rsidRPr="0031181D">
        <w:rPr>
          <w:rFonts w:eastAsia="Songti TC Regular"/>
          <w:color w:val="000000" w:themeColor="text1"/>
        </w:rPr>
        <w:t xml:space="preserve"> 1961.</w:t>
      </w:r>
    </w:p>
  </w:footnote>
  <w:footnote w:id="79">
    <w:p w14:paraId="195065C2" w14:textId="77777777" w:rsidR="00C84E63" w:rsidRPr="0031181D" w:rsidRDefault="007F6E61" w:rsidP="00901447">
      <w:pPr>
        <w:snapToGrid w:val="0"/>
        <w:spacing w:line="480" w:lineRule="auto"/>
        <w:rPr>
          <w:rFonts w:eastAsia="Songti TC Regular"/>
          <w:color w:val="000000" w:themeColor="text1"/>
          <w:szCs w:val="11"/>
        </w:rPr>
      </w:pPr>
      <w:r w:rsidRPr="0031181D">
        <w:rPr>
          <w:rFonts w:eastAsia="Songti TC Regular"/>
          <w:color w:val="000000" w:themeColor="text1"/>
          <w:vertAlign w:val="superscript"/>
        </w:rPr>
        <w:footnoteRef/>
      </w:r>
      <w:r w:rsidRPr="0031181D">
        <w:rPr>
          <w:rFonts w:eastAsia="Songti TC Regular"/>
          <w:color w:val="000000" w:themeColor="text1"/>
        </w:rPr>
        <w:t xml:space="preserve"> Peng Shanguo</w:t>
      </w:r>
      <w:r w:rsidRPr="0031181D">
        <w:rPr>
          <w:rFonts w:eastAsia="Songti TC Regular"/>
          <w:color w:val="000000" w:themeColor="text1"/>
        </w:rPr>
        <w:t>彭善国</w:t>
      </w:r>
      <w:r w:rsidRPr="0031181D">
        <w:rPr>
          <w:rFonts w:eastAsia="Songti TC Regular"/>
          <w:color w:val="000000" w:themeColor="text1"/>
        </w:rPr>
        <w:t>, personal communication.</w:t>
      </w:r>
    </w:p>
  </w:footnote>
  <w:footnote w:id="80">
    <w:p w14:paraId="3C5C8F4E" w14:textId="77777777" w:rsidR="00C84E63" w:rsidRPr="0031181D" w:rsidRDefault="007F6E61" w:rsidP="00901447">
      <w:pPr>
        <w:widowControl w:val="0"/>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Zhang Ruijie </w:t>
      </w:r>
      <w:r w:rsidRPr="0031181D">
        <w:rPr>
          <w:rFonts w:eastAsia="Songti TC Regular"/>
          <w:color w:val="000000" w:themeColor="text1"/>
        </w:rPr>
        <w:t>张瑞杰</w:t>
      </w:r>
      <w:r w:rsidRPr="0031181D">
        <w:rPr>
          <w:rFonts w:eastAsia="Songti TC Regular"/>
          <w:color w:val="000000" w:themeColor="text1"/>
        </w:rPr>
        <w:t xml:space="preserve">, ‘Liao Shangjing, Liao Zhongjing yizhi shilue’ </w:t>
      </w:r>
      <w:r w:rsidRPr="0031181D">
        <w:rPr>
          <w:rFonts w:eastAsia="Songti TC Regular"/>
          <w:color w:val="000000" w:themeColor="text1"/>
        </w:rPr>
        <w:t>辽上京、辽中京遗址述略</w:t>
      </w:r>
      <w:r w:rsidRPr="0031181D">
        <w:rPr>
          <w:rFonts w:eastAsia="Songti TC Regular"/>
          <w:color w:val="000000" w:themeColor="text1"/>
        </w:rPr>
        <w:t xml:space="preserve"> [A note on the sites of Liao Shangjing and Zhongjing], </w:t>
      </w:r>
      <w:r w:rsidRPr="0031181D">
        <w:rPr>
          <w:rFonts w:eastAsia="Songti TC Regular"/>
          <w:i/>
          <w:color w:val="000000" w:themeColor="text1"/>
        </w:rPr>
        <w:t>Chifeng xueyuan xuebao</w:t>
      </w:r>
      <w:r w:rsidRPr="0031181D">
        <w:rPr>
          <w:rFonts w:eastAsia="Songti TC Regular"/>
          <w:color w:val="000000" w:themeColor="text1"/>
        </w:rPr>
        <w:t xml:space="preserve"> </w:t>
      </w:r>
      <w:r w:rsidRPr="0031181D">
        <w:rPr>
          <w:rFonts w:eastAsia="Songti TC Regular"/>
          <w:color w:val="000000" w:themeColor="text1"/>
        </w:rPr>
        <w:t>赤峰学院学报</w:t>
      </w:r>
      <w:r w:rsidRPr="0031181D">
        <w:rPr>
          <w:rFonts w:eastAsia="Songti TC Regular"/>
          <w:color w:val="000000" w:themeColor="text1"/>
        </w:rPr>
        <w:t xml:space="preserve">, 35/2 (2014), 18. Lu Zhen </w:t>
      </w:r>
      <w:r w:rsidRPr="0031181D">
        <w:rPr>
          <w:rFonts w:eastAsia="Songti TC Regular"/>
          <w:color w:val="000000" w:themeColor="text1"/>
        </w:rPr>
        <w:t>路振</w:t>
      </w:r>
      <w:r w:rsidRPr="0031181D">
        <w:rPr>
          <w:rFonts w:eastAsia="Songti TC Regular"/>
          <w:color w:val="000000" w:themeColor="text1"/>
        </w:rPr>
        <w:t xml:space="preserve">, </w:t>
      </w:r>
      <w:r w:rsidRPr="0031181D">
        <w:rPr>
          <w:rFonts w:eastAsia="Songti TC Regular"/>
          <w:i/>
          <w:color w:val="000000" w:themeColor="text1"/>
        </w:rPr>
        <w:t>Chengyao lu</w:t>
      </w:r>
      <w:r w:rsidRPr="0031181D">
        <w:rPr>
          <w:rFonts w:eastAsia="Songti TC Regular"/>
          <w:color w:val="000000" w:themeColor="text1"/>
        </w:rPr>
        <w:t xml:space="preserve"> </w:t>
      </w:r>
      <w:r w:rsidRPr="0031181D">
        <w:rPr>
          <w:rFonts w:eastAsia="Songti TC Regular"/>
          <w:color w:val="000000" w:themeColor="text1"/>
        </w:rPr>
        <w:t>乘轺录</w:t>
      </w:r>
      <w:r w:rsidRPr="0031181D">
        <w:rPr>
          <w:rFonts w:eastAsia="Songti TC Regular"/>
          <w:color w:val="000000" w:themeColor="text1"/>
        </w:rPr>
        <w:t xml:space="preserve"> [Diary of travelling in a light carriage], in Jia Jingyan </w:t>
      </w:r>
      <w:r w:rsidRPr="0031181D">
        <w:rPr>
          <w:rFonts w:eastAsia="Songti TC Regular"/>
          <w:color w:val="000000" w:themeColor="text1"/>
        </w:rPr>
        <w:t>贾敬颜</w:t>
      </w:r>
      <w:r w:rsidRPr="0031181D">
        <w:rPr>
          <w:rFonts w:eastAsia="Songti TC Regular"/>
          <w:color w:val="000000" w:themeColor="text1"/>
        </w:rPr>
        <w:t xml:space="preserve">, </w:t>
      </w:r>
      <w:r w:rsidRPr="0031181D">
        <w:rPr>
          <w:rFonts w:eastAsia="Songti TC Regular"/>
          <w:i/>
          <w:color w:val="000000" w:themeColor="text1"/>
        </w:rPr>
        <w:t>Wudai Song Jin Yuan ren bianjiang xingji shisan zhong shuzheng gao</w:t>
      </w:r>
      <w:r w:rsidRPr="0031181D">
        <w:rPr>
          <w:rFonts w:eastAsia="Songti TC Regular"/>
          <w:color w:val="000000" w:themeColor="text1"/>
        </w:rPr>
        <w:t xml:space="preserve"> </w:t>
      </w:r>
      <w:r w:rsidRPr="0031181D">
        <w:rPr>
          <w:rFonts w:eastAsia="Songti TC Regular"/>
          <w:color w:val="000000" w:themeColor="text1"/>
        </w:rPr>
        <w:t>五代宋金元人边疆行记十三种疏证稿</w:t>
      </w:r>
      <w:r w:rsidRPr="0031181D">
        <w:rPr>
          <w:rFonts w:eastAsia="Songti TC Regular"/>
          <w:color w:val="000000" w:themeColor="text1"/>
        </w:rPr>
        <w:t xml:space="preserve"> [Critical edition of thirteen frontier travel accounts of the Five Dynasties, Song, Jin and Yuan], 67 (trans. David Wright, </w:t>
      </w:r>
      <w:r w:rsidRPr="0031181D">
        <w:rPr>
          <w:rFonts w:eastAsia="Songti TC Regular"/>
          <w:i/>
          <w:color w:val="000000" w:themeColor="text1"/>
        </w:rPr>
        <w:t xml:space="preserve">The Ambassadors’ Records: Eleventh-Century Reports of Sung Embassies to the Liao </w:t>
      </w:r>
      <w:r w:rsidRPr="0031181D">
        <w:rPr>
          <w:rFonts w:eastAsia="Songti TC Regular"/>
          <w:color w:val="000000" w:themeColor="text1"/>
        </w:rPr>
        <w:t>(Bloomington, 1998), 41) notes residence in tents in Zhongjing.</w:t>
      </w:r>
    </w:p>
  </w:footnote>
  <w:footnote w:id="81">
    <w:p w14:paraId="45F27648"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Steinhardt, </w:t>
      </w:r>
      <w:r w:rsidRPr="0031181D">
        <w:rPr>
          <w:rFonts w:eastAsia="Songti TC Regular"/>
          <w:i/>
          <w:color w:val="000000" w:themeColor="text1"/>
        </w:rPr>
        <w:t>Chinese Imperial City Planning,</w:t>
      </w:r>
      <w:r w:rsidRPr="0031181D">
        <w:rPr>
          <w:rFonts w:eastAsia="Songti TC Regular"/>
          <w:color w:val="000000" w:themeColor="text1"/>
        </w:rPr>
        <w:t xml:space="preserve"> notes that the Central Capital’s non-concentric city plan diverged from the Chinese model, but the buildings ‘were unquestionably influenced by China’, 126 ff, citing other scholars in support while chiding Tamura for overclaiming the Central Capital as ‘a humble version of the Song capital Bianliang’. Chen, </w:t>
      </w:r>
      <w:r w:rsidRPr="0031181D">
        <w:rPr>
          <w:rFonts w:eastAsia="Songti TC Regular"/>
          <w:i/>
          <w:color w:val="000000" w:themeColor="text1"/>
        </w:rPr>
        <w:t>Qidan shehui</w:t>
      </w:r>
      <w:r w:rsidRPr="0031181D">
        <w:rPr>
          <w:rFonts w:eastAsia="Songti TC Regular"/>
          <w:color w:val="000000" w:themeColor="text1"/>
        </w:rPr>
        <w:t xml:space="preserve">, 89–90, does not in fact distinguish the buildings from the city plan, Whether the concentric city plan was standard in Song China is a whole other question, especially given the consensus about the diversity of city plans south of the Yellow River, noted above. Heng, </w:t>
      </w:r>
      <w:r w:rsidRPr="0031181D">
        <w:rPr>
          <w:rFonts w:eastAsia="Songti TC Regular"/>
          <w:i/>
          <w:color w:val="000000" w:themeColor="text1"/>
        </w:rPr>
        <w:t>Cities of Aristocrats and Bureaucrats</w:t>
      </w:r>
      <w:r w:rsidRPr="0031181D">
        <w:rPr>
          <w:rFonts w:eastAsia="Songti TC Regular"/>
          <w:color w:val="000000" w:themeColor="text1"/>
        </w:rPr>
        <w:t xml:space="preserve">, emphasises the large open areas created in the Tang city plan by its immensely wide streets, but these scholars dwell on pattern rather than space. </w:t>
      </w:r>
    </w:p>
  </w:footnote>
  <w:footnote w:id="82">
    <w:p w14:paraId="01B084EC" w14:textId="77777777" w:rsidR="00C84E63" w:rsidRPr="0031181D" w:rsidRDefault="007F6E61" w:rsidP="00901447">
      <w:pPr>
        <w:widowControl w:val="0"/>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City forms, and especially functions, have not yet been examined in depth. Steinhardt, </w:t>
      </w:r>
      <w:r w:rsidRPr="0031181D">
        <w:rPr>
          <w:rFonts w:eastAsia="Songti TC Regular"/>
          <w:i/>
          <w:color w:val="000000" w:themeColor="text1"/>
        </w:rPr>
        <w:t>Chinese Imperial City Planning</w:t>
      </w:r>
      <w:r w:rsidRPr="0031181D">
        <w:rPr>
          <w:rFonts w:eastAsia="Songti TC Regular"/>
          <w:color w:val="000000" w:themeColor="text1"/>
        </w:rPr>
        <w:t xml:space="preserve">, provides analysis restricted to capitals and Lin Hu, a detailed case study: Urban Landscape and Politics: The Making of Liao Cities in Southeast Inner Mongolia (PhD Diss, University of Chicago, 2009). Standen’s PhD student, Lance Pursey, is working on aspects of this issue as part of the AHRC-funded Understanding Cities project. For earlier steppe cities such as those built by the Uyghurs, discussion includes an intriguing suggestion of possible Sogdian influence: Judith G. Kolbas, Khukh Ordung, a Uighur Palace Complex of the Seventh Century’, </w:t>
      </w:r>
      <w:r w:rsidRPr="0031181D">
        <w:rPr>
          <w:rFonts w:eastAsia="Songti TC Regular"/>
          <w:i/>
          <w:color w:val="000000" w:themeColor="text1"/>
        </w:rPr>
        <w:t>Journal of the Royal Asiatic Society</w:t>
      </w:r>
      <w:r w:rsidRPr="0031181D">
        <w:rPr>
          <w:rFonts w:eastAsia="Songti TC Regular"/>
          <w:color w:val="000000" w:themeColor="text1"/>
        </w:rPr>
        <w:t>, Third Ser., xv (2005), 303–27 .</w:t>
      </w:r>
    </w:p>
  </w:footnote>
  <w:footnote w:id="83">
    <w:p w14:paraId="6BE80043"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Wittfogel and Feng, </w:t>
      </w:r>
      <w:r w:rsidRPr="0031181D">
        <w:rPr>
          <w:rFonts w:eastAsia="Songti TC Regular"/>
          <w:i/>
          <w:color w:val="000000" w:themeColor="text1"/>
        </w:rPr>
        <w:t>Liao</w:t>
      </w:r>
      <w:r w:rsidRPr="0031181D">
        <w:rPr>
          <w:rFonts w:eastAsia="Songti TC Regular"/>
          <w:color w:val="000000" w:themeColor="text1"/>
        </w:rPr>
        <w:t xml:space="preserve">, who call them ‘camps’, esp. 508–17; Wu Yuhuan </w:t>
      </w:r>
      <w:r w:rsidRPr="0031181D">
        <w:rPr>
          <w:rFonts w:eastAsia="Songti TC Regular"/>
          <w:color w:val="000000" w:themeColor="text1"/>
        </w:rPr>
        <w:t>武玉环</w:t>
      </w:r>
      <w:r w:rsidRPr="0031181D">
        <w:rPr>
          <w:rFonts w:eastAsia="Songti TC Regular"/>
          <w:color w:val="000000" w:themeColor="text1"/>
        </w:rPr>
        <w:t xml:space="preserve">, ‘Liaodai woluduo tanxi’ </w:t>
      </w:r>
      <w:r w:rsidRPr="0031181D">
        <w:rPr>
          <w:rFonts w:eastAsia="Songti TC Regular"/>
          <w:color w:val="000000" w:themeColor="text1"/>
        </w:rPr>
        <w:t>辽代斡鲁朵探析</w:t>
      </w:r>
      <w:r w:rsidRPr="0031181D">
        <w:rPr>
          <w:rFonts w:eastAsia="Songti TC Regular"/>
          <w:color w:val="000000" w:themeColor="text1"/>
        </w:rPr>
        <w:t xml:space="preserve"> [An Investigation of the Woluduo, a Liao Dynasty Organization], </w:t>
      </w:r>
      <w:r w:rsidRPr="0031181D">
        <w:rPr>
          <w:rFonts w:eastAsia="Songti TC Regular"/>
          <w:i/>
          <w:color w:val="000000" w:themeColor="text1"/>
        </w:rPr>
        <w:t>Lishi yanjiu</w:t>
      </w:r>
      <w:r w:rsidRPr="0031181D">
        <w:rPr>
          <w:rFonts w:eastAsia="Songti TC Regular"/>
          <w:color w:val="000000" w:themeColor="text1"/>
        </w:rPr>
        <w:t xml:space="preserve"> </w:t>
      </w:r>
      <w:r w:rsidRPr="0031181D">
        <w:rPr>
          <w:rFonts w:eastAsia="Songti TC Regular"/>
          <w:color w:val="000000" w:themeColor="text1"/>
        </w:rPr>
        <w:t>历史研究</w:t>
      </w:r>
      <w:r w:rsidRPr="0031181D">
        <w:rPr>
          <w:rFonts w:eastAsia="Songti TC Regular"/>
          <w:color w:val="000000" w:themeColor="text1"/>
        </w:rPr>
        <w:t xml:space="preserve"> (2000:2), 12 pp.</w:t>
      </w:r>
    </w:p>
  </w:footnote>
  <w:footnote w:id="84">
    <w:p w14:paraId="3E5F02D4"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Wittfogel and Feng, </w:t>
      </w:r>
      <w:r w:rsidRPr="0031181D">
        <w:rPr>
          <w:rFonts w:eastAsia="Songti TC Regular"/>
          <w:i/>
          <w:color w:val="000000" w:themeColor="text1"/>
        </w:rPr>
        <w:t>Liao</w:t>
      </w:r>
      <w:r w:rsidRPr="0031181D">
        <w:rPr>
          <w:rFonts w:eastAsia="Songti TC Regular"/>
          <w:color w:val="000000" w:themeColor="text1"/>
        </w:rPr>
        <w:t>, 131–4.</w:t>
      </w:r>
    </w:p>
  </w:footnote>
  <w:footnote w:id="85">
    <w:p w14:paraId="5DFC4C9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Li Xihou</w:t>
      </w:r>
      <w:r w:rsidRPr="0031181D">
        <w:rPr>
          <w:rFonts w:eastAsia="Songti TC Regular"/>
          <w:color w:val="000000" w:themeColor="text1"/>
        </w:rPr>
        <w:t>李锡厚</w:t>
      </w:r>
      <w:r w:rsidRPr="0031181D">
        <w:rPr>
          <w:rFonts w:eastAsia="Songti TC Regular"/>
          <w:color w:val="000000" w:themeColor="text1"/>
        </w:rPr>
        <w:t xml:space="preserve">, ‘Liao zhongqi yihou de nabo ji qi yu woluduo, Zhongjing de guanxi’ </w:t>
      </w:r>
      <w:r w:rsidRPr="0031181D">
        <w:rPr>
          <w:rFonts w:eastAsia="Songti TC Regular"/>
          <w:color w:val="000000" w:themeColor="text1"/>
        </w:rPr>
        <w:t>辽中期以后的捺钵及其与斡鲁朵、中京的关系</w:t>
      </w:r>
      <w:r w:rsidRPr="0031181D">
        <w:rPr>
          <w:rFonts w:eastAsia="Songti TC Regular"/>
          <w:color w:val="000000" w:themeColor="text1"/>
        </w:rPr>
        <w:t xml:space="preserve"> [The </w:t>
      </w:r>
      <w:r w:rsidRPr="0031181D">
        <w:rPr>
          <w:rFonts w:eastAsia="Songti TC Regular"/>
          <w:i/>
          <w:color w:val="000000" w:themeColor="text1"/>
        </w:rPr>
        <w:t>nabo</w:t>
      </w:r>
      <w:r w:rsidRPr="0031181D">
        <w:rPr>
          <w:rFonts w:eastAsia="Songti TC Regular"/>
          <w:color w:val="000000" w:themeColor="text1"/>
        </w:rPr>
        <w:t xml:space="preserve"> after the mid-Liao and its relationship to the </w:t>
      </w:r>
      <w:r w:rsidRPr="0031181D">
        <w:rPr>
          <w:rFonts w:eastAsia="Songti TC Regular"/>
          <w:i/>
          <w:color w:val="000000" w:themeColor="text1"/>
        </w:rPr>
        <w:t>ordo</w:t>
      </w:r>
      <w:r w:rsidRPr="0031181D">
        <w:rPr>
          <w:rFonts w:eastAsia="Songti TC Regular"/>
          <w:color w:val="000000" w:themeColor="text1"/>
        </w:rPr>
        <w:t xml:space="preserve"> and Zhongjing], </w:t>
      </w:r>
      <w:r w:rsidRPr="0031181D">
        <w:rPr>
          <w:rFonts w:eastAsia="Songti TC Regular"/>
          <w:i/>
          <w:color w:val="000000" w:themeColor="text1"/>
        </w:rPr>
        <w:t xml:space="preserve">Zhongguo lishi bowuguan guankan </w:t>
      </w:r>
      <w:r w:rsidRPr="0031181D">
        <w:rPr>
          <w:rFonts w:eastAsia="Songti TC Regular"/>
          <w:color w:val="000000" w:themeColor="text1"/>
        </w:rPr>
        <w:t>中国历史博物馆馆刊</w:t>
      </w:r>
      <w:r w:rsidRPr="0031181D">
        <w:rPr>
          <w:rFonts w:eastAsia="Songti TC Regular"/>
          <w:color w:val="000000" w:themeColor="text1"/>
        </w:rPr>
        <w:t xml:space="preserve">, xv–xvi (1991), 99–100, 115; Xiao Aimin </w:t>
      </w:r>
      <w:r w:rsidRPr="0031181D">
        <w:rPr>
          <w:rFonts w:eastAsia="Songti TC Regular"/>
          <w:color w:val="000000" w:themeColor="text1"/>
        </w:rPr>
        <w:t>肖爱民</w:t>
      </w:r>
      <w:r w:rsidRPr="0031181D">
        <w:rPr>
          <w:rFonts w:eastAsia="Songti TC Regular"/>
          <w:color w:val="000000" w:themeColor="text1"/>
        </w:rPr>
        <w:t xml:space="preserve"> and Li Xiao </w:t>
      </w:r>
      <w:r w:rsidRPr="0031181D">
        <w:rPr>
          <w:rFonts w:eastAsia="Songti TC Regular"/>
          <w:color w:val="000000" w:themeColor="text1"/>
        </w:rPr>
        <w:t>李潇</w:t>
      </w:r>
      <w:r w:rsidRPr="0031181D">
        <w:rPr>
          <w:rFonts w:eastAsia="Songti TC Regular"/>
          <w:color w:val="000000" w:themeColor="text1"/>
        </w:rPr>
        <w:t xml:space="preserve">, ‘Liaochao jingnei shichang tanxi’ </w:t>
      </w:r>
      <w:r w:rsidRPr="0031181D">
        <w:rPr>
          <w:rFonts w:eastAsia="Songti TC Regular"/>
          <w:color w:val="000000" w:themeColor="text1"/>
        </w:rPr>
        <w:t>辽朝境内市场探析</w:t>
      </w:r>
      <w:r w:rsidRPr="0031181D">
        <w:rPr>
          <w:rFonts w:eastAsia="Songti TC Regular"/>
          <w:color w:val="000000" w:themeColor="text1"/>
        </w:rPr>
        <w:t xml:space="preserve"> [An investigation of markets in Liao territory], </w:t>
      </w:r>
      <w:r w:rsidRPr="0031181D">
        <w:rPr>
          <w:rFonts w:eastAsia="Songti TC Regular"/>
          <w:i/>
          <w:color w:val="000000" w:themeColor="text1"/>
        </w:rPr>
        <w:t>Hebei daxue xuebao</w:t>
      </w:r>
      <w:r w:rsidRPr="0031181D">
        <w:rPr>
          <w:rFonts w:eastAsia="Songti TC Regular"/>
          <w:color w:val="000000" w:themeColor="text1"/>
        </w:rPr>
        <w:t>, cxxxviii (2007:6), 108–12.</w:t>
      </w:r>
    </w:p>
  </w:footnote>
  <w:footnote w:id="86">
    <w:p w14:paraId="3312307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Kaogu zhengshi Jilin ‘chun </w:t>
      </w:r>
      <w:r w:rsidRPr="0031181D">
        <w:rPr>
          <w:rFonts w:eastAsia="Songti TC Regular"/>
          <w:i/>
          <w:color w:val="000000" w:themeColor="text1"/>
        </w:rPr>
        <w:t>nabo</w:t>
      </w:r>
      <w:r w:rsidRPr="0031181D">
        <w:rPr>
          <w:rFonts w:eastAsia="Songti TC Regular"/>
          <w:color w:val="000000" w:themeColor="text1"/>
        </w:rPr>
        <w:t>’ wei Zhongguo mianji zui da gu youmu min jijiexing yulie yingdi</w:t>
      </w:r>
      <w:r w:rsidRPr="0031181D">
        <w:rPr>
          <w:rFonts w:eastAsia="Songti TC Regular"/>
          <w:color w:val="000000" w:themeColor="text1"/>
        </w:rPr>
        <w:t>考古证实吉林</w:t>
      </w:r>
      <w:r w:rsidRPr="0031181D">
        <w:rPr>
          <w:rFonts w:eastAsia="Songti TC Regular"/>
          <w:color w:val="000000" w:themeColor="text1"/>
        </w:rPr>
        <w:t>‘</w:t>
      </w:r>
      <w:r w:rsidRPr="0031181D">
        <w:rPr>
          <w:rFonts w:eastAsia="Songti TC Regular"/>
          <w:color w:val="000000" w:themeColor="text1"/>
        </w:rPr>
        <w:t>春捺钵</w:t>
      </w:r>
      <w:r w:rsidRPr="0031181D">
        <w:rPr>
          <w:rFonts w:eastAsia="Songti TC Regular"/>
          <w:color w:val="000000" w:themeColor="text1"/>
        </w:rPr>
        <w:t>’</w:t>
      </w:r>
      <w:r w:rsidRPr="0031181D">
        <w:rPr>
          <w:rFonts w:eastAsia="Songti TC Regular"/>
          <w:color w:val="000000" w:themeColor="text1"/>
        </w:rPr>
        <w:t>为中国面积最大古游牧民季节性渔猎营地</w:t>
      </w:r>
      <w:r w:rsidRPr="0031181D">
        <w:rPr>
          <w:rFonts w:eastAsia="Songti TC Regular"/>
          <w:color w:val="000000" w:themeColor="text1"/>
        </w:rPr>
        <w:t xml:space="preserve"> [Archaeology confirms that the Jilin ‘spring </w:t>
      </w:r>
      <w:r w:rsidRPr="0031181D">
        <w:rPr>
          <w:rFonts w:eastAsia="Songti TC Regular"/>
          <w:i/>
          <w:color w:val="000000" w:themeColor="text1"/>
        </w:rPr>
        <w:t>nabo</w:t>
      </w:r>
      <w:r w:rsidRPr="0031181D">
        <w:rPr>
          <w:rFonts w:eastAsia="Songti TC Regular"/>
          <w:color w:val="000000" w:themeColor="text1"/>
        </w:rPr>
        <w:t xml:space="preserve">’ is the largest pastoralist seasonal hunting camp in China], </w:t>
      </w:r>
      <w:hyperlink r:id="rId1">
        <w:r w:rsidRPr="0031181D">
          <w:rPr>
            <w:rFonts w:eastAsia="Songti TC Regular"/>
            <w:color w:val="000000" w:themeColor="text1"/>
            <w:u w:val="single"/>
          </w:rPr>
          <w:t>http://www.jl.xinhuanet.com/2012jlpd/2014-09/25/c_1112617343.htm</w:t>
        </w:r>
      </w:hyperlink>
      <w:r w:rsidRPr="0031181D">
        <w:rPr>
          <w:rFonts w:eastAsia="Songti TC Regular"/>
          <w:color w:val="000000" w:themeColor="text1"/>
        </w:rPr>
        <w:t xml:space="preserve"> (viewed 29 October 2016); cf. Zhao Limeng </w:t>
      </w:r>
      <w:r w:rsidRPr="0031181D">
        <w:rPr>
          <w:rFonts w:eastAsia="Songti TC Regular"/>
          <w:color w:val="000000" w:themeColor="text1"/>
        </w:rPr>
        <w:t>赵里萌</w:t>
      </w:r>
      <w:r w:rsidRPr="0031181D">
        <w:rPr>
          <w:rFonts w:eastAsia="Songti TC Regular"/>
          <w:color w:val="000000" w:themeColor="text1"/>
        </w:rPr>
        <w:t xml:space="preserve">, Jilin Qiananhua Aobao duitu yizhiqun xingzhi kaobian </w:t>
      </w:r>
      <w:r w:rsidRPr="0031181D">
        <w:rPr>
          <w:rFonts w:eastAsia="Songti TC Regular"/>
          <w:color w:val="000000" w:themeColor="text1"/>
        </w:rPr>
        <w:t>吉林乾安花敖泡堆土遗址群性质考辨</w:t>
      </w:r>
      <w:r w:rsidRPr="0031181D">
        <w:rPr>
          <w:rFonts w:eastAsia="Songti TC Regular"/>
          <w:color w:val="000000" w:themeColor="text1"/>
        </w:rPr>
        <w:t xml:space="preserve"> [Verification of the nature of the collection of earthern mounds at Huaaobao in Qian’an, Jilin], unpublished paper.</w:t>
      </w:r>
    </w:p>
  </w:footnote>
  <w:footnote w:id="87">
    <w:p w14:paraId="5BD929C1"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Conveniently listed for Zhongjing in Wittfogel and Feng, </w:t>
      </w:r>
      <w:r w:rsidRPr="0031181D">
        <w:rPr>
          <w:rFonts w:eastAsia="Songti TC Regular"/>
          <w:i/>
          <w:color w:val="000000" w:themeColor="text1"/>
        </w:rPr>
        <w:t>Liao</w:t>
      </w:r>
      <w:r w:rsidRPr="0031181D">
        <w:rPr>
          <w:rFonts w:eastAsia="Songti TC Regular"/>
          <w:color w:val="000000" w:themeColor="text1"/>
        </w:rPr>
        <w:t xml:space="preserve">, 76–9, though lacking the specific wording of the original text, </w:t>
      </w:r>
      <w:r w:rsidRPr="0031181D">
        <w:rPr>
          <w:rFonts w:eastAsia="Songti TC Regular"/>
          <w:i/>
          <w:color w:val="000000" w:themeColor="text1"/>
        </w:rPr>
        <w:t>Liao shi</w:t>
      </w:r>
      <w:r w:rsidRPr="0031181D">
        <w:rPr>
          <w:rFonts w:eastAsia="Songti TC Regular"/>
          <w:color w:val="000000" w:themeColor="text1"/>
        </w:rPr>
        <w:t>, j. 39, 546–54.</w:t>
      </w:r>
    </w:p>
  </w:footnote>
  <w:footnote w:id="88">
    <w:p w14:paraId="3523AEA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One could argue instead that the standardisation was primarily directed at the growing imperial family, members of whom repeatedly made coup attempts, facilitated by independent access to </w:t>
      </w:r>
      <w:r w:rsidRPr="0031181D">
        <w:rPr>
          <w:rFonts w:eastAsia="Songti TC Regular"/>
          <w:i/>
          <w:color w:val="000000" w:themeColor="text1"/>
        </w:rPr>
        <w:t>ordo</w:t>
      </w:r>
      <w:r w:rsidRPr="0031181D">
        <w:rPr>
          <w:rFonts w:eastAsia="Songti TC Regular"/>
          <w:color w:val="000000" w:themeColor="text1"/>
        </w:rPr>
        <w:t xml:space="preserve"> resources both economic and military.</w:t>
      </w:r>
    </w:p>
  </w:footnote>
  <w:footnote w:id="89">
    <w:p w14:paraId="34EEFDFA"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further R. Sennett, </w:t>
      </w:r>
      <w:r w:rsidRPr="0031181D">
        <w:rPr>
          <w:rFonts w:eastAsia="Songti TC Regular"/>
          <w:i/>
          <w:color w:val="000000" w:themeColor="text1"/>
        </w:rPr>
        <w:t>Flesh and Stone: The Body and the City in Western Imagination</w:t>
      </w:r>
      <w:r w:rsidRPr="0031181D">
        <w:rPr>
          <w:rFonts w:eastAsia="Songti TC Regular"/>
          <w:color w:val="000000" w:themeColor="text1"/>
        </w:rPr>
        <w:t xml:space="preserve"> (London, 1994). </w:t>
      </w:r>
    </w:p>
  </w:footnote>
  <w:footnote w:id="90">
    <w:p w14:paraId="4F922F18"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Guibert de Nogent, </w:t>
      </w:r>
      <w:r w:rsidRPr="0031181D">
        <w:rPr>
          <w:rFonts w:eastAsia="Songti TC Regular"/>
          <w:i/>
          <w:color w:val="000000" w:themeColor="text1"/>
        </w:rPr>
        <w:t xml:space="preserve">Monodiae </w:t>
      </w:r>
      <w:r w:rsidRPr="0031181D">
        <w:rPr>
          <w:rFonts w:eastAsia="Songti TC Regular"/>
          <w:color w:val="000000" w:themeColor="text1"/>
        </w:rPr>
        <w:t xml:space="preserve">III.7, ed. E. R. Labande (Paris, 1981); trans. P. Archambault, </w:t>
      </w:r>
      <w:r w:rsidRPr="0031181D">
        <w:rPr>
          <w:rFonts w:eastAsia="Songti TC Regular"/>
          <w:i/>
          <w:color w:val="000000" w:themeColor="text1"/>
        </w:rPr>
        <w:t xml:space="preserve">A Monk’s Confession: The Memoirs of Guibert of Nogent </w:t>
      </w:r>
      <w:r w:rsidRPr="0031181D">
        <w:rPr>
          <w:rFonts w:eastAsia="Songti TC Regular"/>
          <w:color w:val="000000" w:themeColor="text1"/>
        </w:rPr>
        <w:t xml:space="preserve">(University Park, 1995), 145–6. </w:t>
      </w:r>
    </w:p>
  </w:footnote>
  <w:footnote w:id="91">
    <w:p w14:paraId="36258C4D"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With thanks to Chris Wickham for this observation.  </w:t>
      </w:r>
    </w:p>
  </w:footnote>
  <w:footnote w:id="92">
    <w:p w14:paraId="598444FB"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further R. I. Moore, ‘Guibert of Nogent and his World’, in H. Mayr-Harting and R. I. Moore (eds.), </w:t>
      </w:r>
      <w:r w:rsidRPr="0031181D">
        <w:rPr>
          <w:rFonts w:eastAsia="Songti TC Regular"/>
          <w:i/>
          <w:color w:val="000000" w:themeColor="text1"/>
        </w:rPr>
        <w:t xml:space="preserve">Studies in Medieval History presented to R. H. C. Davis </w:t>
      </w:r>
      <w:r w:rsidRPr="0031181D">
        <w:rPr>
          <w:rFonts w:eastAsia="Songti TC Regular"/>
          <w:color w:val="000000" w:themeColor="text1"/>
        </w:rPr>
        <w:t>(London, 1985), 107–17.</w:t>
      </w:r>
    </w:p>
  </w:footnote>
  <w:footnote w:id="93">
    <w:p w14:paraId="42573750"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For the start of the literary tradition on the Scythians, see the classic study of F. Hartog, </w:t>
      </w:r>
      <w:r w:rsidRPr="0031181D">
        <w:rPr>
          <w:rFonts w:eastAsia="Songti TC Regular"/>
          <w:i/>
          <w:color w:val="000000" w:themeColor="text1"/>
        </w:rPr>
        <w:t>The Mirror of Herodotus: The Representation of the Other in the Writing of History</w:t>
      </w:r>
      <w:r w:rsidRPr="0031181D">
        <w:rPr>
          <w:rFonts w:eastAsia="Songti TC Regular"/>
          <w:color w:val="000000" w:themeColor="text1"/>
        </w:rPr>
        <w:t xml:space="preserve"> (Berkeley, CA, 1988). </w:t>
      </w:r>
    </w:p>
  </w:footnote>
  <w:footnote w:id="94">
    <w:p w14:paraId="26F1C1A5"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R. H. C. Davis, </w:t>
      </w:r>
      <w:r w:rsidRPr="0031181D">
        <w:rPr>
          <w:rFonts w:eastAsia="Songti TC Regular"/>
          <w:i/>
          <w:color w:val="000000" w:themeColor="text1"/>
        </w:rPr>
        <w:t>The Normans and their Myth</w:t>
      </w:r>
      <w:r w:rsidRPr="0031181D">
        <w:rPr>
          <w:rFonts w:eastAsia="Songti TC Regular"/>
          <w:color w:val="000000" w:themeColor="text1"/>
        </w:rPr>
        <w:t xml:space="preserve"> (London, 1978). See now B. Pohl, </w:t>
      </w:r>
      <w:r w:rsidRPr="0031181D">
        <w:rPr>
          <w:rFonts w:eastAsia="Songti TC Regular"/>
          <w:i/>
          <w:color w:val="000000" w:themeColor="text1"/>
        </w:rPr>
        <w:t>Dudo of St Quentin's Historia Normannorum: Tradition, Innovation and Memory</w:t>
      </w:r>
      <w:r w:rsidRPr="0031181D">
        <w:rPr>
          <w:rFonts w:eastAsia="Songti TC Regular"/>
          <w:color w:val="000000" w:themeColor="text1"/>
        </w:rPr>
        <w:t xml:space="preserve"> (Woodbridge, 2015). </w:t>
      </w:r>
    </w:p>
  </w:footnote>
  <w:footnote w:id="95">
    <w:p w14:paraId="239E98A8"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Dudo of St Quentin, </w:t>
      </w:r>
      <w:r w:rsidRPr="0031181D">
        <w:rPr>
          <w:rFonts w:eastAsia="Songti TC Regular"/>
          <w:i/>
          <w:color w:val="000000" w:themeColor="text1"/>
        </w:rPr>
        <w:t xml:space="preserve">De moribus et actis primorum Normanniae </w:t>
      </w:r>
      <w:r w:rsidRPr="0031181D">
        <w:rPr>
          <w:rFonts w:eastAsia="Songti TC Regular"/>
          <w:color w:val="000000" w:themeColor="text1"/>
        </w:rPr>
        <w:t xml:space="preserve">ducum, ed. J. Lair (Caen, 1865) I.1, trans. E. Christiansen, </w:t>
      </w:r>
      <w:r w:rsidRPr="0031181D">
        <w:rPr>
          <w:rFonts w:eastAsia="Songti TC Regular"/>
          <w:i/>
          <w:color w:val="000000" w:themeColor="text1"/>
        </w:rPr>
        <w:t>Dudo of St Quentin, History of the Normans</w:t>
      </w:r>
      <w:r w:rsidRPr="0031181D">
        <w:rPr>
          <w:rFonts w:eastAsia="Songti TC Regular"/>
          <w:color w:val="000000" w:themeColor="text1"/>
        </w:rPr>
        <w:t>, 15 (all citations from this translation).</w:t>
      </w:r>
    </w:p>
  </w:footnote>
  <w:footnote w:id="96">
    <w:p w14:paraId="165323F9"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Dudo, </w:t>
      </w:r>
      <w:r w:rsidRPr="0031181D">
        <w:rPr>
          <w:rFonts w:eastAsia="Songti TC Regular"/>
          <w:i/>
          <w:color w:val="000000" w:themeColor="text1"/>
        </w:rPr>
        <w:t>De moribus</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I.2, tr. 16.</w:t>
      </w:r>
    </w:p>
  </w:footnote>
  <w:footnote w:id="97">
    <w:p w14:paraId="0E97D11D"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Eleanor Searle, ‘Fact and Pattern in Heroic History: Dudo of St Quentin’, </w:t>
      </w:r>
      <w:r w:rsidRPr="0031181D">
        <w:rPr>
          <w:rFonts w:eastAsia="Songti TC Regular"/>
          <w:i/>
          <w:color w:val="000000" w:themeColor="text1"/>
        </w:rPr>
        <w:t>Viator</w:t>
      </w:r>
      <w:r w:rsidRPr="0031181D">
        <w:rPr>
          <w:rFonts w:eastAsia="Songti TC Regular"/>
          <w:color w:val="000000" w:themeColor="text1"/>
        </w:rPr>
        <w:t>, xv</w:t>
      </w:r>
      <w:r w:rsidRPr="0031181D">
        <w:rPr>
          <w:rFonts w:eastAsia="Songti TC Regular"/>
          <w:i/>
          <w:color w:val="000000" w:themeColor="text1"/>
        </w:rPr>
        <w:t xml:space="preserve"> </w:t>
      </w:r>
      <w:r w:rsidRPr="0031181D">
        <w:rPr>
          <w:rFonts w:eastAsia="Songti TC Regular"/>
          <w:color w:val="000000" w:themeColor="text1"/>
        </w:rPr>
        <w:t xml:space="preserve">(1984), 119–37. </w:t>
      </w:r>
    </w:p>
  </w:footnote>
  <w:footnote w:id="98">
    <w:p w14:paraId="713E0E37"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Dudo, </w:t>
      </w:r>
      <w:r w:rsidRPr="0031181D">
        <w:rPr>
          <w:rFonts w:eastAsia="Songti TC Regular"/>
          <w:i/>
          <w:color w:val="000000" w:themeColor="text1"/>
        </w:rPr>
        <w:t>De moribus</w:t>
      </w:r>
      <w:r w:rsidRPr="0031181D">
        <w:rPr>
          <w:rFonts w:eastAsia="Songti TC Regular"/>
          <w:color w:val="000000" w:themeColor="text1"/>
        </w:rPr>
        <w:t>,</w:t>
      </w:r>
      <w:r w:rsidRPr="0031181D">
        <w:rPr>
          <w:rFonts w:eastAsia="Songti TC Regular"/>
          <w:i/>
          <w:color w:val="000000" w:themeColor="text1"/>
        </w:rPr>
        <w:t xml:space="preserve"> </w:t>
      </w:r>
      <w:r w:rsidRPr="0031181D">
        <w:rPr>
          <w:rFonts w:eastAsia="Songti TC Regular"/>
          <w:color w:val="000000" w:themeColor="text1"/>
        </w:rPr>
        <w:t xml:space="preserve">II. 6, tr. 29–30. </w:t>
      </w:r>
    </w:p>
  </w:footnote>
  <w:footnote w:id="99">
    <w:p w14:paraId="74B43529"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Dudo I. 18, tr. 35–36. </w:t>
      </w:r>
    </w:p>
  </w:footnote>
  <w:footnote w:id="100">
    <w:p w14:paraId="4068565D"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further L. Abrams, ‘Early Normandy’, </w:t>
      </w:r>
      <w:r w:rsidRPr="0031181D">
        <w:rPr>
          <w:rFonts w:eastAsia="Songti TC Regular"/>
          <w:i/>
          <w:color w:val="000000" w:themeColor="text1"/>
        </w:rPr>
        <w:t>Anglo-Norman Studies</w:t>
      </w:r>
      <w:r w:rsidRPr="0031181D">
        <w:rPr>
          <w:rFonts w:eastAsia="Songti TC Regular"/>
          <w:color w:val="000000" w:themeColor="text1"/>
        </w:rPr>
        <w:t xml:space="preserve"> 35 (2013), 45-64, and the literature there cited. </w:t>
      </w:r>
    </w:p>
  </w:footnote>
  <w:footnote w:id="101">
    <w:p w14:paraId="7DC5F9F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See N. Gauthiez, ‘Rouen pendant le Haut Moyen Âge’, in H. Atsma (ed.), </w:t>
      </w:r>
      <w:r w:rsidRPr="0031181D">
        <w:rPr>
          <w:rFonts w:eastAsia="Songti TC Regular"/>
          <w:i/>
          <w:color w:val="000000" w:themeColor="text1"/>
        </w:rPr>
        <w:t xml:space="preserve">La Neustrie: les Pays du Nord de la Loire de 650 à </w:t>
      </w:r>
      <w:r w:rsidRPr="0031181D">
        <w:rPr>
          <w:rFonts w:eastAsia="Songti TC Regular"/>
          <w:color w:val="000000" w:themeColor="text1"/>
        </w:rPr>
        <w:t xml:space="preserve">850 (Sigmaringen, 1989), 1–20; and see now L. V. Hicks and E. Brenner (eds.) </w:t>
      </w:r>
      <w:r w:rsidRPr="0031181D">
        <w:rPr>
          <w:rFonts w:eastAsia="Songti TC Regular"/>
          <w:i/>
          <w:color w:val="000000" w:themeColor="text1"/>
        </w:rPr>
        <w:t>Society and Culture in Medieval Rouen, 911–1300</w:t>
      </w:r>
      <w:r w:rsidRPr="0031181D">
        <w:rPr>
          <w:rFonts w:eastAsia="Songti TC Regular"/>
          <w:color w:val="000000" w:themeColor="text1"/>
        </w:rPr>
        <w:t xml:space="preserve"> (Turnhout, 2013).</w:t>
      </w:r>
    </w:p>
  </w:footnote>
  <w:footnote w:id="102">
    <w:p w14:paraId="2F142E5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J. I. Guyer and S.M.E. Belinga, ‘Wealth in People as Wealth in Knowledge: Accumulation and Composition in Equatorial Africa’,</w:t>
      </w:r>
      <w:r w:rsidRPr="0031181D">
        <w:rPr>
          <w:rFonts w:eastAsia="Songti TC Regular"/>
          <w:i/>
          <w:color w:val="000000" w:themeColor="text1"/>
        </w:rPr>
        <w:t xml:space="preserve"> Journal of African History</w:t>
      </w:r>
      <w:r w:rsidRPr="0031181D">
        <w:rPr>
          <w:rFonts w:eastAsia="Songti TC Regular"/>
          <w:color w:val="000000" w:themeColor="text1"/>
        </w:rPr>
        <w:t>, xxxvi (1995), 91–120.</w:t>
      </w:r>
    </w:p>
  </w:footnote>
  <w:footnote w:id="103">
    <w:p w14:paraId="34426166"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W. Arens and I. Karp, </w:t>
      </w:r>
      <w:r w:rsidRPr="0031181D">
        <w:rPr>
          <w:rFonts w:eastAsia="Songti TC Regular"/>
          <w:i/>
          <w:color w:val="000000" w:themeColor="text1"/>
        </w:rPr>
        <w:t>Creativity of Power: Cosmology and Action in African Societies</w:t>
      </w:r>
      <w:r w:rsidRPr="0031181D">
        <w:rPr>
          <w:rFonts w:eastAsia="Songti TC Regular"/>
          <w:color w:val="000000" w:themeColor="text1"/>
        </w:rPr>
        <w:t xml:space="preserve"> (Washington, 1989); S. Myers and I. Kopytoff (eds.), </w:t>
      </w:r>
      <w:r w:rsidRPr="0031181D">
        <w:rPr>
          <w:rFonts w:eastAsia="Songti TC Regular"/>
          <w:i/>
          <w:color w:val="000000" w:themeColor="text1"/>
        </w:rPr>
        <w:t>Slavery in Africa: Historical and Anthropological Perspectives</w:t>
      </w:r>
      <w:r w:rsidRPr="0031181D">
        <w:rPr>
          <w:rFonts w:eastAsia="Songti TC Regular"/>
          <w:color w:val="000000" w:themeColor="text1"/>
        </w:rPr>
        <w:t xml:space="preserve"> (Madison, 1977).</w:t>
      </w:r>
    </w:p>
  </w:footnote>
  <w:footnote w:id="104">
    <w:p w14:paraId="719F5CD2" w14:textId="2D6DB4FB"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J. B. Fleisher and Stephanie Wynne-Jones, ‘Authorisation and the Process of Power: The View from African Archaeology', </w:t>
      </w:r>
      <w:r w:rsidRPr="0031181D">
        <w:rPr>
          <w:rFonts w:eastAsia="Songti TC Regular"/>
          <w:i/>
          <w:color w:val="000000" w:themeColor="text1"/>
        </w:rPr>
        <w:t>Journal of World Prehistory</w:t>
      </w:r>
      <w:r w:rsidR="006E13F0">
        <w:rPr>
          <w:rFonts w:eastAsia="Songti TC Regular"/>
          <w:color w:val="000000" w:themeColor="text1"/>
        </w:rPr>
        <w:t xml:space="preserve"> xxiii/4 (2010), 177–</w:t>
      </w:r>
      <w:r w:rsidRPr="0031181D">
        <w:rPr>
          <w:rFonts w:eastAsia="Songti TC Regular"/>
          <w:color w:val="000000" w:themeColor="text1"/>
        </w:rPr>
        <w:t xml:space="preserve">93; McIntosh, </w:t>
      </w:r>
      <w:r w:rsidRPr="0031181D">
        <w:rPr>
          <w:rFonts w:eastAsia="Songti TC Regular"/>
          <w:i/>
          <w:color w:val="000000" w:themeColor="text1"/>
        </w:rPr>
        <w:t>Beyond Chiefdoms.</w:t>
      </w:r>
    </w:p>
  </w:footnote>
  <w:footnote w:id="105">
    <w:p w14:paraId="09B8CB2B"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The Sogdians are candidates here, as noted above, n. 64.</w:t>
      </w:r>
    </w:p>
  </w:footnote>
  <w:footnote w:id="106">
    <w:p w14:paraId="1156F33C" w14:textId="77777777" w:rsidR="00C84E63" w:rsidRPr="0031181D" w:rsidRDefault="007F6E61" w:rsidP="00901447">
      <w:pPr>
        <w:snapToGrid w:val="0"/>
        <w:spacing w:line="480" w:lineRule="auto"/>
        <w:rPr>
          <w:rFonts w:eastAsia="Songti TC Regular"/>
          <w:color w:val="000000" w:themeColor="text1"/>
        </w:rPr>
      </w:pPr>
      <w:r w:rsidRPr="0031181D">
        <w:rPr>
          <w:rFonts w:eastAsia="Songti TC Regular"/>
          <w:color w:val="000000" w:themeColor="text1"/>
          <w:vertAlign w:val="superscript"/>
        </w:rPr>
        <w:footnoteRef/>
      </w:r>
      <w:r w:rsidRPr="0031181D">
        <w:rPr>
          <w:rFonts w:eastAsia="Songti TC Regular"/>
          <w:color w:val="000000" w:themeColor="text1"/>
        </w:rPr>
        <w:t xml:space="preserve"> M. Berman, </w:t>
      </w:r>
      <w:r w:rsidRPr="0031181D">
        <w:rPr>
          <w:rFonts w:eastAsia="Songti TC Regular"/>
          <w:i/>
          <w:color w:val="000000" w:themeColor="text1"/>
        </w:rPr>
        <w:t xml:space="preserve">All That is Solid Melts into Air </w:t>
      </w:r>
      <w:r w:rsidRPr="0031181D">
        <w:rPr>
          <w:rFonts w:eastAsia="Songti TC Regular"/>
          <w:color w:val="000000" w:themeColor="text1"/>
        </w:rPr>
        <w:t xml:space="preserve">(New York, 1982), quoting of course Marx, </w:t>
      </w:r>
      <w:r w:rsidRPr="0031181D">
        <w:rPr>
          <w:rFonts w:eastAsia="Songti TC Regular"/>
          <w:i/>
          <w:color w:val="000000" w:themeColor="text1"/>
        </w:rPr>
        <w:t>Communist Manifesto</w:t>
      </w:r>
      <w:r w:rsidRPr="0031181D">
        <w:rPr>
          <w:rFonts w:eastAsia="Songti TC Regular"/>
          <w:color w:val="000000" w:themeColor="text1"/>
        </w:rPr>
        <w:t>, ch. 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93FB8"/>
    <w:multiLevelType w:val="multilevel"/>
    <w:tmpl w:val="5196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0711D"/>
    <w:multiLevelType w:val="multilevel"/>
    <w:tmpl w:val="54A6C76C"/>
    <w:lvl w:ilvl="0">
      <w:start w:val="1"/>
      <w:numFmt w:val="upperRoman"/>
      <w:lvlText w:val="%1."/>
      <w:lvlJc w:val="left"/>
      <w:pPr>
        <w:ind w:left="72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3"/>
    <w:rsid w:val="00002337"/>
    <w:rsid w:val="00005E52"/>
    <w:rsid w:val="000159FD"/>
    <w:rsid w:val="00031C1F"/>
    <w:rsid w:val="000362D7"/>
    <w:rsid w:val="00062133"/>
    <w:rsid w:val="00072F79"/>
    <w:rsid w:val="000873B7"/>
    <w:rsid w:val="000951B9"/>
    <w:rsid w:val="000A09B3"/>
    <w:rsid w:val="000A4EFF"/>
    <w:rsid w:val="000C168D"/>
    <w:rsid w:val="000C76FF"/>
    <w:rsid w:val="000D2781"/>
    <w:rsid w:val="000D4A5A"/>
    <w:rsid w:val="000D7E52"/>
    <w:rsid w:val="001130F9"/>
    <w:rsid w:val="00122528"/>
    <w:rsid w:val="00140BB8"/>
    <w:rsid w:val="00143763"/>
    <w:rsid w:val="0015559E"/>
    <w:rsid w:val="001601AF"/>
    <w:rsid w:val="0018178E"/>
    <w:rsid w:val="001A2FDA"/>
    <w:rsid w:val="001A7649"/>
    <w:rsid w:val="001B46FC"/>
    <w:rsid w:val="001F00D1"/>
    <w:rsid w:val="001F7C07"/>
    <w:rsid w:val="00201463"/>
    <w:rsid w:val="0020592F"/>
    <w:rsid w:val="002069C5"/>
    <w:rsid w:val="002225A6"/>
    <w:rsid w:val="0026013D"/>
    <w:rsid w:val="00275A75"/>
    <w:rsid w:val="002A545A"/>
    <w:rsid w:val="002A774B"/>
    <w:rsid w:val="002D26C7"/>
    <w:rsid w:val="002D2E63"/>
    <w:rsid w:val="002E1907"/>
    <w:rsid w:val="002F3509"/>
    <w:rsid w:val="00310682"/>
    <w:rsid w:val="00311505"/>
    <w:rsid w:val="0031181D"/>
    <w:rsid w:val="00327547"/>
    <w:rsid w:val="00340FE7"/>
    <w:rsid w:val="003419CD"/>
    <w:rsid w:val="003575F6"/>
    <w:rsid w:val="003757A3"/>
    <w:rsid w:val="00375DCC"/>
    <w:rsid w:val="003832F9"/>
    <w:rsid w:val="00383A49"/>
    <w:rsid w:val="00384999"/>
    <w:rsid w:val="0038678B"/>
    <w:rsid w:val="00387182"/>
    <w:rsid w:val="003A6081"/>
    <w:rsid w:val="003A7C16"/>
    <w:rsid w:val="003C1A8B"/>
    <w:rsid w:val="003C4DA5"/>
    <w:rsid w:val="003D446B"/>
    <w:rsid w:val="003D5344"/>
    <w:rsid w:val="00404B41"/>
    <w:rsid w:val="00412853"/>
    <w:rsid w:val="00424B89"/>
    <w:rsid w:val="00425D4A"/>
    <w:rsid w:val="00427438"/>
    <w:rsid w:val="00430D03"/>
    <w:rsid w:val="00435EE8"/>
    <w:rsid w:val="00440CF2"/>
    <w:rsid w:val="00443A86"/>
    <w:rsid w:val="00446459"/>
    <w:rsid w:val="00451724"/>
    <w:rsid w:val="004754B6"/>
    <w:rsid w:val="00476C5F"/>
    <w:rsid w:val="004779AA"/>
    <w:rsid w:val="0048211E"/>
    <w:rsid w:val="00497381"/>
    <w:rsid w:val="004B0118"/>
    <w:rsid w:val="004C6210"/>
    <w:rsid w:val="004D1FA3"/>
    <w:rsid w:val="004E4726"/>
    <w:rsid w:val="004F588E"/>
    <w:rsid w:val="00552B3F"/>
    <w:rsid w:val="0055671D"/>
    <w:rsid w:val="005630BF"/>
    <w:rsid w:val="00565E3A"/>
    <w:rsid w:val="005872F2"/>
    <w:rsid w:val="00592F11"/>
    <w:rsid w:val="005B00B2"/>
    <w:rsid w:val="005D2928"/>
    <w:rsid w:val="005D7987"/>
    <w:rsid w:val="005F0F71"/>
    <w:rsid w:val="006120D9"/>
    <w:rsid w:val="00613B66"/>
    <w:rsid w:val="00673839"/>
    <w:rsid w:val="006A7A9A"/>
    <w:rsid w:val="006B6B1C"/>
    <w:rsid w:val="006D2426"/>
    <w:rsid w:val="006D7FF0"/>
    <w:rsid w:val="006E13F0"/>
    <w:rsid w:val="007012FA"/>
    <w:rsid w:val="00705893"/>
    <w:rsid w:val="007101B8"/>
    <w:rsid w:val="00712F3A"/>
    <w:rsid w:val="00713007"/>
    <w:rsid w:val="007243E2"/>
    <w:rsid w:val="0073718C"/>
    <w:rsid w:val="007915CB"/>
    <w:rsid w:val="00796EC2"/>
    <w:rsid w:val="007A1067"/>
    <w:rsid w:val="007A1882"/>
    <w:rsid w:val="007A4037"/>
    <w:rsid w:val="007E0874"/>
    <w:rsid w:val="007E4989"/>
    <w:rsid w:val="007F3F47"/>
    <w:rsid w:val="007F6E61"/>
    <w:rsid w:val="00806A62"/>
    <w:rsid w:val="008371B7"/>
    <w:rsid w:val="00841D5D"/>
    <w:rsid w:val="00851000"/>
    <w:rsid w:val="00855992"/>
    <w:rsid w:val="00860195"/>
    <w:rsid w:val="00861369"/>
    <w:rsid w:val="00874807"/>
    <w:rsid w:val="00877865"/>
    <w:rsid w:val="00887256"/>
    <w:rsid w:val="008B25A6"/>
    <w:rsid w:val="008D4C98"/>
    <w:rsid w:val="008F44DB"/>
    <w:rsid w:val="00901447"/>
    <w:rsid w:val="0091168A"/>
    <w:rsid w:val="00924AFC"/>
    <w:rsid w:val="009268EA"/>
    <w:rsid w:val="0093242C"/>
    <w:rsid w:val="009335BB"/>
    <w:rsid w:val="00937557"/>
    <w:rsid w:val="009445E1"/>
    <w:rsid w:val="009847BB"/>
    <w:rsid w:val="009915CC"/>
    <w:rsid w:val="00994033"/>
    <w:rsid w:val="0099537F"/>
    <w:rsid w:val="009968F5"/>
    <w:rsid w:val="009B6FD2"/>
    <w:rsid w:val="009E4223"/>
    <w:rsid w:val="009F6AF0"/>
    <w:rsid w:val="00A072C4"/>
    <w:rsid w:val="00A10D17"/>
    <w:rsid w:val="00A22CA4"/>
    <w:rsid w:val="00A30471"/>
    <w:rsid w:val="00A41F94"/>
    <w:rsid w:val="00A77240"/>
    <w:rsid w:val="00A819AC"/>
    <w:rsid w:val="00A82A46"/>
    <w:rsid w:val="00A859D0"/>
    <w:rsid w:val="00A94CB1"/>
    <w:rsid w:val="00AB03ED"/>
    <w:rsid w:val="00AB2E62"/>
    <w:rsid w:val="00AC0C2B"/>
    <w:rsid w:val="00B14E52"/>
    <w:rsid w:val="00B15EDC"/>
    <w:rsid w:val="00B16F5E"/>
    <w:rsid w:val="00B3277E"/>
    <w:rsid w:val="00B56080"/>
    <w:rsid w:val="00B96F73"/>
    <w:rsid w:val="00BA1E03"/>
    <w:rsid w:val="00BA5DBF"/>
    <w:rsid w:val="00BF64E7"/>
    <w:rsid w:val="00C00DB9"/>
    <w:rsid w:val="00C43A77"/>
    <w:rsid w:val="00C629BA"/>
    <w:rsid w:val="00C63A9C"/>
    <w:rsid w:val="00C65808"/>
    <w:rsid w:val="00C84E63"/>
    <w:rsid w:val="00C952A8"/>
    <w:rsid w:val="00CA10B4"/>
    <w:rsid w:val="00CD086E"/>
    <w:rsid w:val="00CD72E8"/>
    <w:rsid w:val="00D15EC8"/>
    <w:rsid w:val="00D16285"/>
    <w:rsid w:val="00D2000B"/>
    <w:rsid w:val="00D33649"/>
    <w:rsid w:val="00D3450F"/>
    <w:rsid w:val="00D44002"/>
    <w:rsid w:val="00D50924"/>
    <w:rsid w:val="00D561E2"/>
    <w:rsid w:val="00D635D6"/>
    <w:rsid w:val="00D76759"/>
    <w:rsid w:val="00DA4126"/>
    <w:rsid w:val="00DA5E2E"/>
    <w:rsid w:val="00DA7564"/>
    <w:rsid w:val="00DB3BBE"/>
    <w:rsid w:val="00DF210E"/>
    <w:rsid w:val="00DF218C"/>
    <w:rsid w:val="00DF4A7B"/>
    <w:rsid w:val="00E011CA"/>
    <w:rsid w:val="00E01610"/>
    <w:rsid w:val="00E437E4"/>
    <w:rsid w:val="00E43CD4"/>
    <w:rsid w:val="00E43F57"/>
    <w:rsid w:val="00E44876"/>
    <w:rsid w:val="00E467E1"/>
    <w:rsid w:val="00E5198C"/>
    <w:rsid w:val="00E5425D"/>
    <w:rsid w:val="00E55591"/>
    <w:rsid w:val="00E62E5E"/>
    <w:rsid w:val="00E8270F"/>
    <w:rsid w:val="00E8724B"/>
    <w:rsid w:val="00E90003"/>
    <w:rsid w:val="00E90CDC"/>
    <w:rsid w:val="00EA118F"/>
    <w:rsid w:val="00EA2A0D"/>
    <w:rsid w:val="00EB061E"/>
    <w:rsid w:val="00EC272D"/>
    <w:rsid w:val="00ED0DCC"/>
    <w:rsid w:val="00EF2911"/>
    <w:rsid w:val="00F017BE"/>
    <w:rsid w:val="00F032A3"/>
    <w:rsid w:val="00F04722"/>
    <w:rsid w:val="00F146D4"/>
    <w:rsid w:val="00F214FD"/>
    <w:rsid w:val="00F23F8A"/>
    <w:rsid w:val="00F32829"/>
    <w:rsid w:val="00F36CE6"/>
    <w:rsid w:val="00F71410"/>
    <w:rsid w:val="00F7594A"/>
    <w:rsid w:val="00FA4573"/>
    <w:rsid w:val="00FC3738"/>
    <w:rsid w:val="00FD2934"/>
    <w:rsid w:val="00FE0DF4"/>
    <w:rsid w:val="00FE4BC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581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Calibri"/>
        <w:color w:val="000000"/>
        <w:sz w:val="22"/>
        <w:szCs w:val="22"/>
        <w:lang w:val="en-GB" w:eastAsia="zh-CN"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300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sz w:val="24"/>
      <w:szCs w:val="24"/>
    </w:rPr>
  </w:style>
  <w:style w:type="paragraph" w:styleId="Heading1">
    <w:name w:val="heading 1"/>
    <w:basedOn w:val="Normal"/>
    <w:next w:val="Normal"/>
    <w:rsid w:val="00140BB8"/>
    <w:pPr>
      <w:keepNext/>
      <w:keepLines/>
      <w:pBdr>
        <w:top w:val="nil"/>
        <w:left w:val="nil"/>
        <w:bottom w:val="nil"/>
        <w:right w:val="nil"/>
        <w:between w:val="nil"/>
      </w:pBdr>
      <w:spacing w:before="480" w:after="120" w:line="259" w:lineRule="auto"/>
      <w:contextualSpacing/>
      <w:outlineLvl w:val="0"/>
    </w:pPr>
    <w:rPr>
      <w:rFonts w:ascii="Calibri" w:eastAsia="Calibri" w:hAnsi="Calibri" w:cs="Calibri"/>
      <w:b/>
      <w:color w:val="000000"/>
      <w:sz w:val="48"/>
      <w:szCs w:val="48"/>
    </w:rPr>
  </w:style>
  <w:style w:type="paragraph" w:styleId="Heading2">
    <w:name w:val="heading 2"/>
    <w:basedOn w:val="Normal"/>
    <w:next w:val="Normal"/>
    <w:rsid w:val="00140BB8"/>
    <w:pPr>
      <w:keepNext/>
      <w:keepLines/>
      <w:pBdr>
        <w:top w:val="nil"/>
        <w:left w:val="nil"/>
        <w:bottom w:val="nil"/>
        <w:right w:val="nil"/>
        <w:between w:val="nil"/>
      </w:pBdr>
      <w:spacing w:before="360" w:after="80" w:line="259"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rsid w:val="00140BB8"/>
    <w:pPr>
      <w:keepNext/>
      <w:keepLines/>
      <w:pBdr>
        <w:top w:val="nil"/>
        <w:left w:val="nil"/>
        <w:bottom w:val="nil"/>
        <w:right w:val="nil"/>
        <w:between w:val="nil"/>
      </w:pBdr>
      <w:spacing w:before="280" w:after="80" w:line="259" w:lineRule="auto"/>
      <w:contextualSpacing/>
      <w:outlineLvl w:val="2"/>
    </w:pPr>
    <w:rPr>
      <w:rFonts w:ascii="Calibri" w:eastAsia="Calibri" w:hAnsi="Calibri" w:cs="Calibri"/>
      <w:b/>
      <w:color w:val="000000"/>
      <w:sz w:val="28"/>
      <w:szCs w:val="28"/>
    </w:rPr>
  </w:style>
  <w:style w:type="paragraph" w:styleId="Heading4">
    <w:name w:val="heading 4"/>
    <w:basedOn w:val="Normal"/>
    <w:next w:val="Normal"/>
    <w:rsid w:val="00140BB8"/>
    <w:pPr>
      <w:keepNext/>
      <w:keepLines/>
      <w:pBdr>
        <w:top w:val="nil"/>
        <w:left w:val="nil"/>
        <w:bottom w:val="nil"/>
        <w:right w:val="nil"/>
        <w:between w:val="nil"/>
      </w:pBdr>
      <w:spacing w:before="240" w:after="40" w:line="259" w:lineRule="auto"/>
      <w:contextualSpacing/>
      <w:outlineLvl w:val="3"/>
    </w:pPr>
    <w:rPr>
      <w:rFonts w:ascii="Calibri" w:eastAsia="Calibri" w:hAnsi="Calibri" w:cs="Calibri"/>
      <w:b/>
      <w:color w:val="000000"/>
    </w:rPr>
  </w:style>
  <w:style w:type="paragraph" w:styleId="Heading5">
    <w:name w:val="heading 5"/>
    <w:basedOn w:val="Normal"/>
    <w:next w:val="Normal"/>
    <w:rsid w:val="00140BB8"/>
    <w:pPr>
      <w:keepNext/>
      <w:keepLines/>
      <w:pBdr>
        <w:top w:val="nil"/>
        <w:left w:val="nil"/>
        <w:bottom w:val="nil"/>
        <w:right w:val="nil"/>
        <w:between w:val="nil"/>
      </w:pBdr>
      <w:spacing w:before="220" w:after="40" w:line="259" w:lineRule="auto"/>
      <w:contextualSpacing/>
      <w:outlineLvl w:val="4"/>
    </w:pPr>
    <w:rPr>
      <w:rFonts w:ascii="Calibri" w:eastAsia="Calibri" w:hAnsi="Calibri" w:cs="Calibri"/>
      <w:b/>
      <w:color w:val="000000"/>
      <w:sz w:val="22"/>
      <w:szCs w:val="22"/>
    </w:rPr>
  </w:style>
  <w:style w:type="paragraph" w:styleId="Heading6">
    <w:name w:val="heading 6"/>
    <w:basedOn w:val="Normal"/>
    <w:next w:val="Normal"/>
    <w:rsid w:val="00140BB8"/>
    <w:pPr>
      <w:keepNext/>
      <w:keepLines/>
      <w:pBdr>
        <w:top w:val="nil"/>
        <w:left w:val="nil"/>
        <w:bottom w:val="nil"/>
        <w:right w:val="nil"/>
        <w:between w:val="nil"/>
      </w:pBdr>
      <w:spacing w:before="200" w:after="40" w:line="259" w:lineRule="auto"/>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0BB8"/>
    <w:pPr>
      <w:keepNext/>
      <w:keepLines/>
      <w:pBdr>
        <w:top w:val="nil"/>
        <w:left w:val="nil"/>
        <w:bottom w:val="nil"/>
        <w:right w:val="nil"/>
        <w:between w:val="nil"/>
      </w:pBdr>
      <w:spacing w:before="480" w:after="120" w:line="259" w:lineRule="auto"/>
      <w:contextualSpacing/>
    </w:pPr>
    <w:rPr>
      <w:rFonts w:ascii="Calibri" w:eastAsia="Calibri" w:hAnsi="Calibri" w:cs="Calibri"/>
      <w:b/>
      <w:color w:val="000000"/>
      <w:sz w:val="72"/>
      <w:szCs w:val="72"/>
    </w:rPr>
  </w:style>
  <w:style w:type="paragraph" w:styleId="Subtitle">
    <w:name w:val="Subtitle"/>
    <w:basedOn w:val="Normal"/>
    <w:next w:val="Normal"/>
    <w:rsid w:val="00140BB8"/>
    <w:pPr>
      <w:keepNext/>
      <w:keepLines/>
      <w:pBdr>
        <w:top w:val="nil"/>
        <w:left w:val="nil"/>
        <w:bottom w:val="nil"/>
        <w:right w:val="nil"/>
        <w:between w:val="nil"/>
      </w:pBdr>
      <w:spacing w:before="360" w:after="80" w:line="259" w:lineRule="auto"/>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140BB8"/>
  </w:style>
  <w:style w:type="character" w:customStyle="1" w:styleId="CommentTextChar">
    <w:name w:val="Comment Text Char"/>
    <w:basedOn w:val="DefaultParagraphFont"/>
    <w:link w:val="CommentText"/>
    <w:uiPriority w:val="99"/>
    <w:semiHidden/>
    <w:rsid w:val="00140BB8"/>
    <w:rPr>
      <w:sz w:val="24"/>
      <w:szCs w:val="24"/>
    </w:rPr>
  </w:style>
  <w:style w:type="character" w:styleId="CommentReference">
    <w:name w:val="annotation reference"/>
    <w:basedOn w:val="DefaultParagraphFont"/>
    <w:uiPriority w:val="99"/>
    <w:semiHidden/>
    <w:unhideWhenUsed/>
    <w:rsid w:val="00140BB8"/>
    <w:rPr>
      <w:sz w:val="18"/>
      <w:szCs w:val="18"/>
    </w:rPr>
  </w:style>
  <w:style w:type="paragraph" w:styleId="BalloonText">
    <w:name w:val="Balloon Text"/>
    <w:basedOn w:val="Normal"/>
    <w:link w:val="BalloonTextChar"/>
    <w:uiPriority w:val="99"/>
    <w:semiHidden/>
    <w:unhideWhenUsed/>
    <w:rsid w:val="00310682"/>
    <w:rPr>
      <w:sz w:val="18"/>
      <w:szCs w:val="18"/>
    </w:rPr>
  </w:style>
  <w:style w:type="character" w:customStyle="1" w:styleId="BalloonTextChar">
    <w:name w:val="Balloon Text Char"/>
    <w:basedOn w:val="DefaultParagraphFont"/>
    <w:link w:val="BalloonText"/>
    <w:uiPriority w:val="99"/>
    <w:semiHidden/>
    <w:rsid w:val="00310682"/>
    <w:rPr>
      <w:rFonts w:ascii="Times New Roman" w:hAnsi="Times New Roman" w:cs="Times New Roman"/>
      <w:sz w:val="18"/>
      <w:szCs w:val="18"/>
    </w:rPr>
  </w:style>
  <w:style w:type="paragraph" w:styleId="FootnoteText">
    <w:name w:val="footnote text"/>
    <w:basedOn w:val="Normal"/>
    <w:link w:val="FootnoteTextChar"/>
    <w:uiPriority w:val="99"/>
    <w:unhideWhenUsed/>
    <w:rsid w:val="00E43F57"/>
  </w:style>
  <w:style w:type="character" w:customStyle="1" w:styleId="FootnoteTextChar">
    <w:name w:val="Footnote Text Char"/>
    <w:basedOn w:val="DefaultParagraphFont"/>
    <w:link w:val="FootnoteText"/>
    <w:uiPriority w:val="99"/>
    <w:rsid w:val="00E43F57"/>
    <w:rPr>
      <w:sz w:val="24"/>
      <w:szCs w:val="24"/>
    </w:rPr>
  </w:style>
  <w:style w:type="character" w:styleId="FootnoteReference">
    <w:name w:val="footnote reference"/>
    <w:basedOn w:val="DefaultParagraphFont"/>
    <w:uiPriority w:val="99"/>
    <w:unhideWhenUsed/>
    <w:rsid w:val="00E43F57"/>
    <w:rPr>
      <w:vertAlign w:val="superscript"/>
    </w:rPr>
  </w:style>
  <w:style w:type="character" w:styleId="Hyperlink">
    <w:name w:val="Hyperlink"/>
    <w:basedOn w:val="DefaultParagraphFont"/>
    <w:uiPriority w:val="99"/>
    <w:semiHidden/>
    <w:unhideWhenUsed/>
    <w:rsid w:val="00713007"/>
    <w:rPr>
      <w:color w:val="0000FF"/>
      <w:u w:val="single"/>
    </w:rPr>
  </w:style>
  <w:style w:type="paragraph" w:styleId="Footer">
    <w:name w:val="footer"/>
    <w:basedOn w:val="Normal"/>
    <w:link w:val="FooterChar"/>
    <w:uiPriority w:val="99"/>
    <w:unhideWhenUsed/>
    <w:rsid w:val="00CA10B4"/>
    <w:pPr>
      <w:tabs>
        <w:tab w:val="center" w:pos="4513"/>
        <w:tab w:val="right" w:pos="9026"/>
      </w:tabs>
    </w:pPr>
  </w:style>
  <w:style w:type="character" w:customStyle="1" w:styleId="FooterChar">
    <w:name w:val="Footer Char"/>
    <w:basedOn w:val="DefaultParagraphFont"/>
    <w:link w:val="Footer"/>
    <w:uiPriority w:val="99"/>
    <w:rsid w:val="00CA10B4"/>
    <w:rPr>
      <w:rFonts w:ascii="Times New Roman" w:hAnsi="Times New Roman" w:cs="Times New Roman"/>
      <w:color w:val="auto"/>
      <w:sz w:val="24"/>
      <w:szCs w:val="24"/>
    </w:rPr>
  </w:style>
  <w:style w:type="character" w:styleId="PageNumber">
    <w:name w:val="page number"/>
    <w:basedOn w:val="DefaultParagraphFont"/>
    <w:uiPriority w:val="99"/>
    <w:semiHidden/>
    <w:unhideWhenUsed/>
    <w:rsid w:val="00CA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9528">
      <w:bodyDiv w:val="1"/>
      <w:marLeft w:val="0"/>
      <w:marRight w:val="0"/>
      <w:marTop w:val="0"/>
      <w:marBottom w:val="0"/>
      <w:divBdr>
        <w:top w:val="none" w:sz="0" w:space="0" w:color="auto"/>
        <w:left w:val="none" w:sz="0" w:space="0" w:color="auto"/>
        <w:bottom w:val="none" w:sz="0" w:space="0" w:color="auto"/>
        <w:right w:val="none" w:sz="0" w:space="0" w:color="auto"/>
      </w:divBdr>
    </w:div>
    <w:div w:id="1507399542">
      <w:bodyDiv w:val="1"/>
      <w:marLeft w:val="0"/>
      <w:marRight w:val="0"/>
      <w:marTop w:val="0"/>
      <w:marBottom w:val="0"/>
      <w:divBdr>
        <w:top w:val="none" w:sz="0" w:space="0" w:color="auto"/>
        <w:left w:val="none" w:sz="0" w:space="0" w:color="auto"/>
        <w:bottom w:val="none" w:sz="0" w:space="0" w:color="auto"/>
        <w:right w:val="none" w:sz="0" w:space="0" w:color="auto"/>
      </w:divBdr>
      <w:divsChild>
        <w:div w:id="1639919642">
          <w:marLeft w:val="0"/>
          <w:marRight w:val="0"/>
          <w:marTop w:val="0"/>
          <w:marBottom w:val="0"/>
          <w:divBdr>
            <w:top w:val="none" w:sz="0" w:space="0" w:color="auto"/>
            <w:left w:val="none" w:sz="0" w:space="0" w:color="auto"/>
            <w:bottom w:val="none" w:sz="0" w:space="0" w:color="auto"/>
            <w:right w:val="none" w:sz="0" w:space="0" w:color="auto"/>
          </w:divBdr>
        </w:div>
        <w:div w:id="545916620">
          <w:marLeft w:val="0"/>
          <w:marRight w:val="0"/>
          <w:marTop w:val="0"/>
          <w:marBottom w:val="30"/>
          <w:divBdr>
            <w:top w:val="none" w:sz="0" w:space="0" w:color="auto"/>
            <w:left w:val="none" w:sz="0" w:space="0" w:color="auto"/>
            <w:bottom w:val="none" w:sz="0" w:space="0" w:color="auto"/>
            <w:right w:val="none" w:sz="0" w:space="0" w:color="auto"/>
          </w:divBdr>
        </w:div>
      </w:divsChild>
    </w:div>
    <w:div w:id="1853297118">
      <w:bodyDiv w:val="1"/>
      <w:marLeft w:val="0"/>
      <w:marRight w:val="0"/>
      <w:marTop w:val="0"/>
      <w:marBottom w:val="0"/>
      <w:divBdr>
        <w:top w:val="none" w:sz="0" w:space="0" w:color="auto"/>
        <w:left w:val="none" w:sz="0" w:space="0" w:color="auto"/>
        <w:bottom w:val="none" w:sz="0" w:space="0" w:color="auto"/>
        <w:right w:val="none" w:sz="0" w:space="0" w:color="auto"/>
      </w:divBdr>
    </w:div>
    <w:div w:id="1934314471">
      <w:bodyDiv w:val="1"/>
      <w:marLeft w:val="0"/>
      <w:marRight w:val="0"/>
      <w:marTop w:val="0"/>
      <w:marBottom w:val="0"/>
      <w:divBdr>
        <w:top w:val="none" w:sz="0" w:space="0" w:color="auto"/>
        <w:left w:val="none" w:sz="0" w:space="0" w:color="auto"/>
        <w:bottom w:val="none" w:sz="0" w:space="0" w:color="auto"/>
        <w:right w:val="none" w:sz="0" w:space="0" w:color="auto"/>
      </w:divBdr>
    </w:div>
    <w:div w:id="213898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jl.xinhuanet.com/2012jlpd/2014-09/25/c_111261734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1736-A28C-9646-8717-DBC6C66E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8555</Words>
  <Characters>48764</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cholmes</dc:creator>
  <cp:lastModifiedBy>Naomi Standen</cp:lastModifiedBy>
  <cp:revision>3</cp:revision>
  <dcterms:created xsi:type="dcterms:W3CDTF">2018-04-13T11:22:00Z</dcterms:created>
  <dcterms:modified xsi:type="dcterms:W3CDTF">2018-04-13T11:33:00Z</dcterms:modified>
</cp:coreProperties>
</file>