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16" w:rsidRPr="00A03A16" w:rsidRDefault="00A03A16" w:rsidP="008C139B">
      <w:pPr>
        <w:rPr>
          <w:b/>
          <w:sz w:val="28"/>
        </w:rPr>
      </w:pPr>
      <w:r w:rsidRPr="00A03A16">
        <w:rPr>
          <w:b/>
          <w:sz w:val="28"/>
        </w:rPr>
        <w:t>TITLE PAGE</w:t>
      </w:r>
    </w:p>
    <w:p w:rsidR="00A03A16" w:rsidRDefault="00A03A16" w:rsidP="008C139B"/>
    <w:p w:rsidR="00A03A16" w:rsidRPr="00A03A16" w:rsidRDefault="00A03A16" w:rsidP="008C139B">
      <w:pPr>
        <w:rPr>
          <w:i/>
        </w:rPr>
      </w:pPr>
      <w:r w:rsidRPr="00A03A16">
        <w:rPr>
          <w:i/>
        </w:rPr>
        <w:t>Title</w:t>
      </w:r>
    </w:p>
    <w:p w:rsidR="00F84AAC" w:rsidRDefault="00117D4E" w:rsidP="00F84AAC">
      <w:r w:rsidRPr="00117D4E">
        <w:t xml:space="preserve">Using birth cohort data to assess the impact of the UK 2008-2010 </w:t>
      </w:r>
      <w:r w:rsidR="0037171C">
        <w:t xml:space="preserve">economic </w:t>
      </w:r>
      <w:r w:rsidRPr="00117D4E">
        <w:t>recession on smoking during pregnancy</w:t>
      </w:r>
      <w:r>
        <w:t>.</w:t>
      </w:r>
    </w:p>
    <w:p w:rsidR="00A03A16" w:rsidRPr="00A03A16" w:rsidRDefault="00A03A16" w:rsidP="00F84AAC">
      <w:pPr>
        <w:rPr>
          <w:i/>
        </w:rPr>
      </w:pPr>
      <w:r w:rsidRPr="00A03A16">
        <w:rPr>
          <w:i/>
        </w:rPr>
        <w:t>Authors</w:t>
      </w:r>
    </w:p>
    <w:p w:rsidR="00F84AAC" w:rsidRDefault="00F84AAC" w:rsidP="00F84AAC">
      <w:proofErr w:type="spellStart"/>
      <w:r>
        <w:t>Eleonora</w:t>
      </w:r>
      <w:proofErr w:type="spellEnd"/>
      <w:r>
        <w:t xml:space="preserve"> P Uphoff, Neil Small, Kate E Pickett</w:t>
      </w:r>
    </w:p>
    <w:p w:rsidR="00F84AAC" w:rsidRDefault="00F84AAC" w:rsidP="00F84AAC">
      <w:r>
        <w:t>E P Uphoff, PhD, Bradford Institute for Health Research, Temple Bank House, Bradford Royal Infirmary, Duckworth Lane, Bradford, BD9 6RJ, UK.</w:t>
      </w:r>
    </w:p>
    <w:p w:rsidR="00F84AAC" w:rsidRDefault="00F84AAC" w:rsidP="00F84AAC">
      <w:r>
        <w:t>N Small, Professor of Health Research, Faculty of Health Studies, University of Bradford, Richmond Road, Bradford, BD7 1DP, UK.</w:t>
      </w:r>
    </w:p>
    <w:p w:rsidR="00F84AAC" w:rsidRDefault="00F84AAC" w:rsidP="00F84AAC">
      <w:r>
        <w:t xml:space="preserve">K E Pickett, Professor of Epidemiology, Department of Health Sciences, </w:t>
      </w:r>
      <w:proofErr w:type="spellStart"/>
      <w:r>
        <w:t>Seebohm</w:t>
      </w:r>
      <w:proofErr w:type="spellEnd"/>
      <w:r>
        <w:t xml:space="preserve"> Rowntree Building, University of York, </w:t>
      </w:r>
      <w:proofErr w:type="spellStart"/>
      <w:r>
        <w:t>Heslington</w:t>
      </w:r>
      <w:proofErr w:type="spellEnd"/>
      <w:r>
        <w:t>, York, YO10 5DD, UK.</w:t>
      </w:r>
    </w:p>
    <w:p w:rsidR="00F84AAC" w:rsidRDefault="00F84AAC" w:rsidP="00F84AAC"/>
    <w:p w:rsidR="00F84AAC" w:rsidRPr="00A03A16" w:rsidRDefault="00F84AAC" w:rsidP="00F84AAC">
      <w:r w:rsidRPr="00A03A16">
        <w:t>Correspondence to:</w:t>
      </w:r>
    </w:p>
    <w:p w:rsidR="00F84AAC" w:rsidRDefault="00F84AAC" w:rsidP="00F84AAC">
      <w:r>
        <w:t xml:space="preserve">E </w:t>
      </w:r>
      <w:proofErr w:type="spellStart"/>
      <w:r>
        <w:t>Uphoff</w:t>
      </w:r>
      <w:proofErr w:type="spellEnd"/>
    </w:p>
    <w:p w:rsidR="00F84AAC" w:rsidRDefault="00F84AAC" w:rsidP="00F84AAC">
      <w:r>
        <w:t>Email: noortje.uphoff@york.ac.uk</w:t>
      </w:r>
    </w:p>
    <w:p w:rsidR="00A36C9F" w:rsidRPr="00A43004" w:rsidRDefault="00F84AAC" w:rsidP="00F84AAC">
      <w:r>
        <w:t>Phone: 01904 32 1612</w:t>
      </w:r>
    </w:p>
    <w:p w:rsidR="00A03A16" w:rsidRDefault="00A03A16" w:rsidP="00A03A16"/>
    <w:p w:rsidR="00F628ED" w:rsidRDefault="00A03A16" w:rsidP="00A03A16">
      <w:pPr>
        <w:rPr>
          <w:i/>
        </w:rPr>
      </w:pPr>
      <w:r w:rsidRPr="00A03A16">
        <w:rPr>
          <w:i/>
        </w:rPr>
        <w:t>Word count</w:t>
      </w:r>
    </w:p>
    <w:p w:rsidR="00A03A16" w:rsidRPr="00F628ED" w:rsidRDefault="007E4A00" w:rsidP="00A03A16">
      <w:pPr>
        <w:rPr>
          <w:i/>
        </w:rPr>
      </w:pPr>
      <w:r w:rsidRPr="00582874">
        <w:rPr>
          <w:highlight w:val="yellow"/>
        </w:rPr>
        <w:t>2</w:t>
      </w:r>
      <w:r w:rsidR="00582874" w:rsidRPr="00582874">
        <w:rPr>
          <w:highlight w:val="yellow"/>
        </w:rPr>
        <w:t>959</w:t>
      </w:r>
      <w:r>
        <w:t xml:space="preserve"> </w:t>
      </w:r>
      <w:r w:rsidR="00A03A16">
        <w:t xml:space="preserve">(excluding </w:t>
      </w:r>
      <w:r w:rsidR="00117D4E">
        <w:t xml:space="preserve">title, </w:t>
      </w:r>
      <w:r w:rsidR="00A03A16">
        <w:t>abstract and references)</w:t>
      </w:r>
    </w:p>
    <w:p w:rsidR="00A43004" w:rsidRDefault="00A43004">
      <w:pPr>
        <w:rPr>
          <w:sz w:val="28"/>
        </w:rPr>
      </w:pPr>
      <w:r>
        <w:rPr>
          <w:sz w:val="28"/>
        </w:rPr>
        <w:br w:type="page"/>
      </w:r>
    </w:p>
    <w:p w:rsidR="00A36C9F" w:rsidRPr="00A03A16" w:rsidRDefault="00A03A16" w:rsidP="008C139B">
      <w:pPr>
        <w:rPr>
          <w:b/>
          <w:sz w:val="28"/>
        </w:rPr>
      </w:pPr>
      <w:r w:rsidRPr="00A03A16">
        <w:rPr>
          <w:b/>
          <w:sz w:val="28"/>
        </w:rPr>
        <w:lastRenderedPageBreak/>
        <w:t>ABSTRACT</w:t>
      </w:r>
    </w:p>
    <w:p w:rsidR="00A36C9F" w:rsidRPr="00A03A16" w:rsidRDefault="00A03A16" w:rsidP="008C139B">
      <w:pPr>
        <w:rPr>
          <w:i/>
        </w:rPr>
      </w:pPr>
      <w:r w:rsidRPr="00A03A16">
        <w:rPr>
          <w:i/>
        </w:rPr>
        <w:t>Introduction</w:t>
      </w:r>
    </w:p>
    <w:p w:rsidR="008F4840" w:rsidRDefault="00A50F7D" w:rsidP="008C139B">
      <w:r>
        <w:t xml:space="preserve">Despite the </w:t>
      </w:r>
      <w:r w:rsidR="009B4938">
        <w:t>well-</w:t>
      </w:r>
      <w:r>
        <w:t xml:space="preserve">known link between stress and smoking, evidence for associations between economic recession, financial stress and smoking is contradictory. </w:t>
      </w:r>
      <w:r w:rsidR="003A1968">
        <w:t xml:space="preserve">In this study we assess whether women were more likely to continue smoking during pregnancy if they were exposed to the </w:t>
      </w:r>
      <w:r w:rsidR="0037171C" w:rsidRPr="00117D4E">
        <w:t xml:space="preserve">UK 2008-2010 </w:t>
      </w:r>
      <w:r w:rsidR="0037171C">
        <w:t xml:space="preserve">economic </w:t>
      </w:r>
      <w:r w:rsidR="0037171C" w:rsidRPr="00117D4E">
        <w:t>recession</w:t>
      </w:r>
      <w:r w:rsidR="003A1968">
        <w:t xml:space="preserve"> during pregnancy than those who were unexposed, and whether this relationship is mediated by financial stress.</w:t>
      </w:r>
    </w:p>
    <w:p w:rsidR="008F4840" w:rsidRPr="00A03A16" w:rsidRDefault="008F4840" w:rsidP="008C139B">
      <w:pPr>
        <w:rPr>
          <w:i/>
        </w:rPr>
      </w:pPr>
      <w:r w:rsidRPr="00A03A16">
        <w:rPr>
          <w:i/>
        </w:rPr>
        <w:t>Methods</w:t>
      </w:r>
    </w:p>
    <w:p w:rsidR="00A50F7D" w:rsidRDefault="00A50F7D" w:rsidP="00A50F7D">
      <w:r>
        <w:t>We used</w:t>
      </w:r>
      <w:r w:rsidR="009B4938">
        <w:t xml:space="preserve"> cross-sectional</w:t>
      </w:r>
      <w:r>
        <w:t xml:space="preserve"> data on 2775 pregnant women who were regular smokers before pregnancy and who were </w:t>
      </w:r>
      <w:r w:rsidR="009B4938">
        <w:t>enrolled in</w:t>
      </w:r>
      <w:r>
        <w:t xml:space="preserve"> the UK Born in Bradford cohort study between </w:t>
      </w:r>
      <w:r w:rsidR="004D76BA">
        <w:t>Ma</w:t>
      </w:r>
      <w:r w:rsidR="00E5114B">
        <w:t xml:space="preserve">rch </w:t>
      </w:r>
      <w:r>
        <w:t xml:space="preserve">2007 and </w:t>
      </w:r>
      <w:r w:rsidR="004D76BA">
        <w:t xml:space="preserve">December </w:t>
      </w:r>
      <w:r>
        <w:t>201</w:t>
      </w:r>
      <w:r w:rsidR="0081608F">
        <w:t>0</w:t>
      </w:r>
      <w:r>
        <w:t xml:space="preserve">. The cut-off date for exposure to recession was set at August 1, 2008, based on local and national economic data. Multivariable logistic regression analysis included </w:t>
      </w:r>
      <w:r w:rsidR="009B4938">
        <w:t xml:space="preserve">potential </w:t>
      </w:r>
      <w:r>
        <w:t>confounders</w:t>
      </w:r>
      <w:r w:rsidR="000E169F">
        <w:t>:</w:t>
      </w:r>
      <w:r>
        <w:t xml:space="preserve"> maternal age, parity, cohabitation, ethnicity and maternal age. The mediating role of financial stress was analysed using ‘worse off financially’ and </w:t>
      </w:r>
      <w:r w:rsidR="009B4938">
        <w:t xml:space="preserve">a </w:t>
      </w:r>
      <w:r>
        <w:t>‘difficult financial situation’ as indicators of financial stress in Sobel-Goodman mediation tests with bootstrap resampling.</w:t>
      </w:r>
    </w:p>
    <w:p w:rsidR="008F4840" w:rsidRPr="00A03A16" w:rsidRDefault="008F4840" w:rsidP="008C139B">
      <w:pPr>
        <w:rPr>
          <w:i/>
        </w:rPr>
      </w:pPr>
      <w:r w:rsidRPr="00A03A16">
        <w:rPr>
          <w:i/>
        </w:rPr>
        <w:t>Results</w:t>
      </w:r>
    </w:p>
    <w:p w:rsidR="00A50F7D" w:rsidRDefault="00A50F7D" w:rsidP="008C139B">
      <w:r w:rsidRPr="00A50F7D">
        <w:t>After taking into account potential confounders, exposure to recession was associated with continued smoking during pregnancy (OR 1.19, 95% CI 1.01; 1.41, p=0.03)</w:t>
      </w:r>
      <w:r>
        <w:t>. A worse financial situation and difficult financial situation were identified as mediator</w:t>
      </w:r>
      <w:r w:rsidR="000E169F">
        <w:t>s</w:t>
      </w:r>
      <w:r>
        <w:t>, explaining 8.4% and 17.6%, respectively, of the relationship between exposure to recession and smoking during pregnancy.</w:t>
      </w:r>
    </w:p>
    <w:p w:rsidR="008F4840" w:rsidRPr="00A03A16" w:rsidRDefault="008F4840" w:rsidP="008C139B">
      <w:pPr>
        <w:rPr>
          <w:i/>
        </w:rPr>
      </w:pPr>
      <w:r w:rsidRPr="00A03A16">
        <w:rPr>
          <w:i/>
        </w:rPr>
        <w:t>Conclusions</w:t>
      </w:r>
    </w:p>
    <w:p w:rsidR="00A03A16" w:rsidRDefault="00A50F7D" w:rsidP="008C139B">
      <w:r>
        <w:t xml:space="preserve">Smoking during pregnancy is associated with exposure to the </w:t>
      </w:r>
      <w:r w:rsidR="0037171C" w:rsidRPr="00117D4E">
        <w:t xml:space="preserve">UK 2008-2010 </w:t>
      </w:r>
      <w:r w:rsidR="0037171C">
        <w:t xml:space="preserve">economic </w:t>
      </w:r>
      <w:r w:rsidR="0037171C" w:rsidRPr="00117D4E">
        <w:t>recession</w:t>
      </w:r>
      <w:r>
        <w:t xml:space="preserve"> during pregnancy, and this relationship is partly mediated by financial stress.</w:t>
      </w:r>
      <w:r w:rsidR="00A03A16">
        <w:t xml:space="preserve"> </w:t>
      </w:r>
    </w:p>
    <w:p w:rsidR="00A03A16" w:rsidRDefault="00A03A16" w:rsidP="008C139B"/>
    <w:p w:rsidR="00A03A16" w:rsidRPr="00A03A16" w:rsidRDefault="00A03A16" w:rsidP="008C139B">
      <w:pPr>
        <w:rPr>
          <w:b/>
          <w:sz w:val="28"/>
        </w:rPr>
      </w:pPr>
      <w:r w:rsidRPr="00A03A16">
        <w:rPr>
          <w:b/>
          <w:sz w:val="28"/>
        </w:rPr>
        <w:t>IMPLICATIONS</w:t>
      </w:r>
    </w:p>
    <w:p w:rsidR="00A50F7D" w:rsidRPr="00A36C9F" w:rsidRDefault="00A03A16" w:rsidP="008C139B">
      <w:r>
        <w:t xml:space="preserve">Health inequalities in smoking during pregnancy are affected by economic recession, as those who are most likely to smoke are also most likely to experience the financial stress resulting from economic recession. </w:t>
      </w:r>
      <w:r w:rsidR="00A50F7D">
        <w:t xml:space="preserve">Socioeconomic conditions </w:t>
      </w:r>
      <w:r w:rsidR="00A50F7D" w:rsidRPr="00A50F7D">
        <w:t>at th</w:t>
      </w:r>
      <w:r w:rsidR="000D3A2D">
        <w:t>e societal and individual level</w:t>
      </w:r>
      <w:r w:rsidR="00A50F7D" w:rsidRPr="00A50F7D">
        <w:t xml:space="preserve"> are important targets when aiming to reduce rates of smoking during pregnancy.</w:t>
      </w:r>
    </w:p>
    <w:p w:rsidR="00A36C9F" w:rsidRDefault="00A36C9F" w:rsidP="008C139B"/>
    <w:p w:rsidR="00A36C9F" w:rsidRDefault="00A36C9F" w:rsidP="008C139B">
      <w:pPr>
        <w:rPr>
          <w:sz w:val="28"/>
        </w:rPr>
      </w:pPr>
    </w:p>
    <w:p w:rsidR="00A03A16" w:rsidRDefault="00A03A16">
      <w:pPr>
        <w:rPr>
          <w:sz w:val="28"/>
        </w:rPr>
      </w:pPr>
      <w:r>
        <w:rPr>
          <w:sz w:val="28"/>
        </w:rPr>
        <w:br w:type="page"/>
      </w:r>
    </w:p>
    <w:p w:rsidR="008C139B" w:rsidRPr="00A03A16" w:rsidRDefault="00A03A16" w:rsidP="008C139B">
      <w:pPr>
        <w:rPr>
          <w:b/>
          <w:sz w:val="28"/>
        </w:rPr>
      </w:pPr>
      <w:r w:rsidRPr="00A03A16">
        <w:rPr>
          <w:b/>
          <w:sz w:val="28"/>
        </w:rPr>
        <w:lastRenderedPageBreak/>
        <w:t>INTRODUCTION</w:t>
      </w:r>
    </w:p>
    <w:p w:rsidR="008C139B" w:rsidRPr="002E289B" w:rsidRDefault="008C139B" w:rsidP="008C139B">
      <w:pPr>
        <w:rPr>
          <w:b/>
        </w:rPr>
      </w:pPr>
      <w:r w:rsidRPr="002E289B">
        <w:rPr>
          <w:b/>
        </w:rPr>
        <w:t>Social gradients in tobacco smoking</w:t>
      </w:r>
    </w:p>
    <w:p w:rsidR="008C139B" w:rsidRPr="007F58F4" w:rsidRDefault="008C139B" w:rsidP="008C139B">
      <w:r>
        <w:t>Tobacco smoking in pregnancy is more prevalent among those who have a lower socioeconomic status as indicated by a range of socioeconomic measures ranging from education and employment status to poor childhood circumstances, housing tenure and job strain</w:t>
      </w:r>
      <w:r w:rsidR="00384527">
        <w:rPr>
          <w:vertAlign w:val="superscript"/>
        </w:rPr>
        <w:t>1-4</w:t>
      </w:r>
      <w:r>
        <w:t xml:space="preserve">. In an analysis of continued smoking during pregnancy in 15 European countries, </w:t>
      </w:r>
      <w:proofErr w:type="spellStart"/>
      <w:r>
        <w:t>Smedberg</w:t>
      </w:r>
      <w:proofErr w:type="spellEnd"/>
      <w:r>
        <w:t xml:space="preserve"> </w:t>
      </w:r>
      <w:r w:rsidR="00384527">
        <w:t>and colleagues</w:t>
      </w:r>
      <w:r w:rsidR="00C81898">
        <w:rPr>
          <w:vertAlign w:val="superscript"/>
        </w:rPr>
        <w:t>2</w:t>
      </w:r>
      <w:r>
        <w:t xml:space="preserve"> found an average prevalence rate of 26.2%, compared to 43.2% in the lowest educational category. In England, a combination of socioeconomic indicators showed a very steep social gradient with 6% of women smoking during pregnancy in the highest and 62% of women smoking in</w:t>
      </w:r>
      <w:r w:rsidR="007F58F4">
        <w:t xml:space="preserve"> the lowest socioeconomic group</w:t>
      </w:r>
      <w:r w:rsidR="00C81898">
        <w:rPr>
          <w:vertAlign w:val="superscript"/>
        </w:rPr>
        <w:t>4</w:t>
      </w:r>
      <w:r>
        <w:t xml:space="preserve">. </w:t>
      </w:r>
      <w:r w:rsidR="007F58F4" w:rsidRPr="007F58F4">
        <w:t>An analysis of data from the Millennium Cohort Study showed that smoking and heavy smoking during pregnancy were associated with a range of factors more common among lower socioeconomic groups, including leaving school before eighteen, not having a bank acco</w:t>
      </w:r>
      <w:r w:rsidR="007F58F4">
        <w:t>unt, and financial difficulties</w:t>
      </w:r>
      <w:r w:rsidR="00C81898">
        <w:rPr>
          <w:vertAlign w:val="superscript"/>
        </w:rPr>
        <w:t>5</w:t>
      </w:r>
      <w:r w:rsidR="007F58F4">
        <w:t>.</w:t>
      </w:r>
    </w:p>
    <w:p w:rsidR="008C139B" w:rsidRPr="002E289B" w:rsidRDefault="008C139B" w:rsidP="008C139B">
      <w:pPr>
        <w:rPr>
          <w:b/>
        </w:rPr>
      </w:pPr>
      <w:r w:rsidRPr="002E289B">
        <w:rPr>
          <w:b/>
        </w:rPr>
        <w:t>Tobacco smoking and financial stress</w:t>
      </w:r>
    </w:p>
    <w:p w:rsidR="008C139B" w:rsidRDefault="008C139B" w:rsidP="008C139B">
      <w:r>
        <w:t>Financial stress appears to play a significant role in explaining these social gradients, although most of the evidence comes from smoking in the general population. In Australia, financial stress</w:t>
      </w:r>
      <w:r w:rsidR="00A450FA">
        <w:t xml:space="preserve"> </w:t>
      </w:r>
      <w:r w:rsidR="00A450FA" w:rsidRPr="00CC751B">
        <w:rPr>
          <w:highlight w:val="yellow"/>
        </w:rPr>
        <w:t>according to an 8-item scale relating to shortage of money</w:t>
      </w:r>
      <w:r w:rsidRPr="00CC751B">
        <w:t xml:space="preserve"> </w:t>
      </w:r>
      <w:r>
        <w:t>was associated with a lower likelihood of quitting and a higher likelihood of relapse</w:t>
      </w:r>
      <w:r w:rsidR="00C81898">
        <w:rPr>
          <w:vertAlign w:val="superscript"/>
        </w:rPr>
        <w:t>6</w:t>
      </w:r>
      <w:r>
        <w:t>. This finding was confirmed in a survey with data from the United States (US), United Kingdom (UK), Canada and Australia. Smokers experiencing financial stress had an increased interest in quitting, but were less likely to make an attempt and consequently their odds of succeeding was half that of the</w:t>
      </w:r>
      <w:r w:rsidR="00384527">
        <w:t xml:space="preserve"> group without financial stress</w:t>
      </w:r>
      <w:r w:rsidR="00C81898">
        <w:rPr>
          <w:vertAlign w:val="superscript"/>
        </w:rPr>
        <w:t>7</w:t>
      </w:r>
      <w:r>
        <w:t xml:space="preserve">. </w:t>
      </w:r>
      <w:r w:rsidR="00FE798A">
        <w:t>Involuntary job loss among older workers was associated with increa</w:t>
      </w:r>
      <w:r w:rsidR="00384527">
        <w:t>sed odds of</w:t>
      </w:r>
      <w:r w:rsidR="00A450FA">
        <w:t xml:space="preserve"> </w:t>
      </w:r>
      <w:r w:rsidR="00A450FA" w:rsidRPr="00CC751B">
        <w:rPr>
          <w:highlight w:val="yellow"/>
        </w:rPr>
        <w:t>a relapse</w:t>
      </w:r>
      <w:r w:rsidR="00384527" w:rsidRPr="00CC751B">
        <w:rPr>
          <w:highlight w:val="yellow"/>
        </w:rPr>
        <w:t xml:space="preserve"> in smoking</w:t>
      </w:r>
      <w:r w:rsidR="00A450FA" w:rsidRPr="00CC751B">
        <w:rPr>
          <w:highlight w:val="yellow"/>
        </w:rPr>
        <w:t>, defined as reported smoking point prevalence after quitting</w:t>
      </w:r>
      <w:r w:rsidR="00C81898">
        <w:rPr>
          <w:vertAlign w:val="superscript"/>
        </w:rPr>
        <w:t>8</w:t>
      </w:r>
      <w:r w:rsidR="00FE798A">
        <w:t xml:space="preserve">. </w:t>
      </w:r>
      <w:r>
        <w:t>A US community-based sample was used to demonstrate that women are less likely to quit smoking in response to an adverse financial event, and more likely to relapse as a result of such an event</w:t>
      </w:r>
      <w:r w:rsidR="00C81898">
        <w:rPr>
          <w:vertAlign w:val="superscript"/>
        </w:rPr>
        <w:t>9</w:t>
      </w:r>
      <w:r>
        <w:t>.</w:t>
      </w:r>
    </w:p>
    <w:p w:rsidR="008C139B" w:rsidRPr="002E289B" w:rsidRDefault="008C139B" w:rsidP="0037171C">
      <w:pPr>
        <w:rPr>
          <w:b/>
        </w:rPr>
      </w:pPr>
      <w:r w:rsidRPr="002E289B">
        <w:rPr>
          <w:b/>
        </w:rPr>
        <w:t xml:space="preserve">Tobacco smoking </w:t>
      </w:r>
      <w:r w:rsidRPr="0037171C">
        <w:rPr>
          <w:b/>
        </w:rPr>
        <w:t xml:space="preserve">during the </w:t>
      </w:r>
      <w:r w:rsidR="0037171C" w:rsidRPr="0037171C">
        <w:rPr>
          <w:b/>
        </w:rPr>
        <w:t>2008-2010 economic recession</w:t>
      </w:r>
    </w:p>
    <w:p w:rsidR="008C139B" w:rsidRDefault="008C139B" w:rsidP="008C139B">
      <w:r>
        <w:t xml:space="preserve">Given that financial stress affects those of lower socioeconomic status disproportionally, and macro-economic circumstances such as economic recession can evoke financial stress, it is </w:t>
      </w:r>
      <w:r w:rsidR="004B7953">
        <w:t>reasonable</w:t>
      </w:r>
      <w:r>
        <w:t xml:space="preserve"> to assume that the </w:t>
      </w:r>
      <w:r w:rsidR="0037171C">
        <w:t xml:space="preserve">economic </w:t>
      </w:r>
      <w:r w:rsidR="0037171C" w:rsidRPr="00117D4E">
        <w:t>recession</w:t>
      </w:r>
      <w:r>
        <w:t>, which hit Europe between 2008 and 2010, would have increased rates of smoking during pregnancy.</w:t>
      </w:r>
      <w:r w:rsidRPr="002F5622">
        <w:t xml:space="preserve"> </w:t>
      </w:r>
      <w:r w:rsidR="002F5622" w:rsidRPr="002F5622">
        <w:rPr>
          <w:highlight w:val="yellow"/>
        </w:rPr>
        <w:t>W</w:t>
      </w:r>
      <w:r w:rsidR="00B42E49" w:rsidRPr="002F5622">
        <w:rPr>
          <w:highlight w:val="yellow"/>
        </w:rPr>
        <w:t>omen who were regular smokers may have been less able to quit smoking as financial strain placed a burden on their cognitive, social and emotional capacities.</w:t>
      </w:r>
      <w:r w:rsidR="00B42E49" w:rsidRPr="002F5622">
        <w:t xml:space="preserve"> </w:t>
      </w:r>
      <w:r>
        <w:t>The evidence however, which is largely based on tobacco use in the general population, is contradictory.</w:t>
      </w:r>
    </w:p>
    <w:p w:rsidR="008C139B" w:rsidRPr="00384527" w:rsidRDefault="008C139B" w:rsidP="008C139B">
      <w:r>
        <w:t xml:space="preserve">Based on US economic data </w:t>
      </w:r>
      <w:proofErr w:type="spellStart"/>
      <w:r>
        <w:t>Ruhm</w:t>
      </w:r>
      <w:proofErr w:type="spellEnd"/>
      <w:r>
        <w:t xml:space="preserve"> concluded that smokers, especially heavy smokers, cut down on smoking during economic downturns</w:t>
      </w:r>
      <w:r w:rsidR="007F58F4">
        <w:rPr>
          <w:vertAlign w:val="superscript"/>
        </w:rPr>
        <w:t>1</w:t>
      </w:r>
      <w:r w:rsidR="00C81898">
        <w:rPr>
          <w:vertAlign w:val="superscript"/>
        </w:rPr>
        <w:t>0</w:t>
      </w:r>
      <w:r>
        <w:t xml:space="preserve">. Others have showed that increased wages </w:t>
      </w:r>
      <w:r w:rsidR="00384527">
        <w:t>lead to increased cigarette use</w:t>
      </w:r>
      <w:r w:rsidR="00384527">
        <w:rPr>
          <w:vertAlign w:val="superscript"/>
        </w:rPr>
        <w:t>1</w:t>
      </w:r>
      <w:r w:rsidR="00C81898">
        <w:rPr>
          <w:vertAlign w:val="superscript"/>
        </w:rPr>
        <w:t>1</w:t>
      </w:r>
      <w:r>
        <w:t xml:space="preserve">, and larger than expected declines in smoking during the </w:t>
      </w:r>
      <w:r w:rsidR="0037171C">
        <w:t>economic recession</w:t>
      </w:r>
      <w:r w:rsidR="00384527">
        <w:t xml:space="preserve"> have been found in Iceland</w:t>
      </w:r>
      <w:r w:rsidR="00C81898">
        <w:rPr>
          <w:vertAlign w:val="superscript"/>
        </w:rPr>
        <w:t>12</w:t>
      </w:r>
      <w:proofErr w:type="gramStart"/>
      <w:r w:rsidR="00C81898">
        <w:rPr>
          <w:vertAlign w:val="superscript"/>
        </w:rPr>
        <w:t>,13</w:t>
      </w:r>
      <w:proofErr w:type="gramEnd"/>
      <w:r>
        <w:t xml:space="preserve"> and in Greece</w:t>
      </w:r>
      <w:r w:rsidR="00384527">
        <w:rPr>
          <w:vertAlign w:val="superscript"/>
        </w:rPr>
        <w:t>1</w:t>
      </w:r>
      <w:r w:rsidR="00C81898">
        <w:rPr>
          <w:vertAlign w:val="superscript"/>
        </w:rPr>
        <w:t>4</w:t>
      </w:r>
      <w:r w:rsidR="00384527">
        <w:t>.</w:t>
      </w:r>
    </w:p>
    <w:p w:rsidR="008C139B" w:rsidRDefault="008C139B" w:rsidP="008C139B">
      <w:r>
        <w:t xml:space="preserve">These findings have come with nuances and reservations. The authors of the Greek study pointed out that more effective enforcement of tobacco control legislation may partly explain their </w:t>
      </w:r>
      <w:r>
        <w:lastRenderedPageBreak/>
        <w:t>findings</w:t>
      </w:r>
      <w:r w:rsidR="00384527">
        <w:rPr>
          <w:vertAlign w:val="superscript"/>
        </w:rPr>
        <w:t>1</w:t>
      </w:r>
      <w:r w:rsidR="00C81898">
        <w:rPr>
          <w:vertAlign w:val="superscript"/>
        </w:rPr>
        <w:t>4</w:t>
      </w:r>
      <w:r>
        <w:t>. Gallus and colleagues argued that the number of unemployed people grows during a recession, so that a small decrease in smoking is seen at the ecological level because the downward trend in smoking prevalence for employed people is slightly larger than the increase in smoking among the unemployed during econo</w:t>
      </w:r>
      <w:r w:rsidR="00384527">
        <w:t>mic recession</w:t>
      </w:r>
      <w:r w:rsidR="00384527">
        <w:rPr>
          <w:vertAlign w:val="superscript"/>
        </w:rPr>
        <w:t>1</w:t>
      </w:r>
      <w:r w:rsidR="00C81898">
        <w:rPr>
          <w:vertAlign w:val="superscript"/>
        </w:rPr>
        <w:t>5</w:t>
      </w:r>
      <w:r>
        <w:t>. In a study of UK parents, financial strain during the recession was associated with an increased risk of persistent tobacco use and relapse</w:t>
      </w:r>
      <w:r w:rsidR="00384527">
        <w:rPr>
          <w:vertAlign w:val="superscript"/>
        </w:rPr>
        <w:t>1</w:t>
      </w:r>
      <w:r w:rsidR="00C81898">
        <w:rPr>
          <w:vertAlign w:val="superscript"/>
        </w:rPr>
        <w:t>6</w:t>
      </w:r>
      <w:r>
        <w:t>.</w:t>
      </w:r>
    </w:p>
    <w:p w:rsidR="008C139B" w:rsidRDefault="008C139B" w:rsidP="008C139B">
      <w:r>
        <w:t>In summary, most of the literature would suggest that experiences of financial stress, which are likely to result from an economic recession,</w:t>
      </w:r>
      <w:r w:rsidR="004B7953">
        <w:t xml:space="preserve"> might</w:t>
      </w:r>
      <w:r>
        <w:t xml:space="preserve"> increase the likelihood of continued smoking during pregnancy. Although these associations are plausible, the literature on recession and smoking suggests an effect in the opposite direction. An analysis specifically testing associations between economic recession and smoking during pregnancy, including the mediating effect of financial stress, might clarify previous findings.</w:t>
      </w:r>
    </w:p>
    <w:p w:rsidR="008C139B" w:rsidRPr="000839D9" w:rsidRDefault="008C139B" w:rsidP="008C139B">
      <w:pPr>
        <w:rPr>
          <w:b/>
        </w:rPr>
      </w:pPr>
      <w:r w:rsidRPr="000839D9">
        <w:rPr>
          <w:b/>
        </w:rPr>
        <w:t>Hypothesis</w:t>
      </w:r>
    </w:p>
    <w:p w:rsidR="008C139B" w:rsidRDefault="008C139B" w:rsidP="008C139B">
      <w:r>
        <w:t xml:space="preserve">In a deprived UK community hit hard by the </w:t>
      </w:r>
      <w:r w:rsidR="0037171C" w:rsidRPr="00117D4E">
        <w:t xml:space="preserve">UK 2008-2010 </w:t>
      </w:r>
      <w:r w:rsidR="0037171C">
        <w:t xml:space="preserve">economic </w:t>
      </w:r>
      <w:r w:rsidR="0037171C" w:rsidRPr="00117D4E">
        <w:t>recession</w:t>
      </w:r>
      <w:r>
        <w:t xml:space="preserve">, women who smoke regularly </w:t>
      </w:r>
      <w:r w:rsidR="004B7953">
        <w:t xml:space="preserve">will be </w:t>
      </w:r>
      <w:r>
        <w:t xml:space="preserve">more likely to continue smoking during pregnancy if they were exposed to the </w:t>
      </w:r>
      <w:r w:rsidR="0037171C">
        <w:t>recession</w:t>
      </w:r>
      <w:r>
        <w:t xml:space="preserve"> during pregnancy</w:t>
      </w:r>
      <w:r w:rsidR="003A1968">
        <w:t xml:space="preserve"> compared to those unexposed</w:t>
      </w:r>
      <w:r>
        <w:t>, and this relationship is mediated by financial stress.</w:t>
      </w:r>
    </w:p>
    <w:p w:rsidR="00A03A16" w:rsidRDefault="00A03A16" w:rsidP="008C139B"/>
    <w:p w:rsidR="008C139B" w:rsidRPr="00A03A16" w:rsidRDefault="00A03A16" w:rsidP="008C139B">
      <w:pPr>
        <w:rPr>
          <w:b/>
          <w:sz w:val="32"/>
        </w:rPr>
      </w:pPr>
      <w:r w:rsidRPr="00A03A16">
        <w:rPr>
          <w:b/>
          <w:sz w:val="28"/>
        </w:rPr>
        <w:t>METHODS</w:t>
      </w:r>
    </w:p>
    <w:p w:rsidR="008C139B" w:rsidRDefault="008C139B" w:rsidP="008C139B">
      <w:r>
        <w:t xml:space="preserve">This study follows guidance on reporting set out in the STROBE </w:t>
      </w:r>
      <w:r w:rsidR="00384527">
        <w:t>statement (Table A1, Appendix).</w:t>
      </w:r>
    </w:p>
    <w:p w:rsidR="00187075" w:rsidRPr="00A03A16" w:rsidRDefault="00187075" w:rsidP="00187075">
      <w:pPr>
        <w:rPr>
          <w:b/>
        </w:rPr>
      </w:pPr>
      <w:r w:rsidRPr="00A03A16">
        <w:rPr>
          <w:b/>
        </w:rPr>
        <w:t xml:space="preserve">Data </w:t>
      </w:r>
    </w:p>
    <w:p w:rsidR="00187075" w:rsidRDefault="00187075" w:rsidP="00187075">
      <w:r>
        <w:t>The Born in Bradford (</w:t>
      </w:r>
      <w:proofErr w:type="spellStart"/>
      <w:r>
        <w:t>BiB</w:t>
      </w:r>
      <w:proofErr w:type="spellEnd"/>
      <w:r>
        <w:t>) cohort was set up to examine the impact of social, environmental, psychological, behavioural and biological factors on maternal and child health and well-being</w:t>
      </w:r>
      <w:r>
        <w:rPr>
          <w:vertAlign w:val="superscript"/>
        </w:rPr>
        <w:t>1</w:t>
      </w:r>
      <w:r w:rsidR="00C81898">
        <w:rPr>
          <w:vertAlign w:val="superscript"/>
        </w:rPr>
        <w:t>7</w:t>
      </w:r>
      <w:r>
        <w:t>. Pregnant women (N=12 450) were recruited around 26 to 28 weeks pregnancy at Bradford’s only maternity unit when attending universal screening for gestational diabetes</w:t>
      </w:r>
      <w:r w:rsidR="004D76BA">
        <w:t>, between Ma</w:t>
      </w:r>
      <w:r w:rsidR="00E5114B">
        <w:t>rch</w:t>
      </w:r>
      <w:r w:rsidR="004D76BA">
        <w:t xml:space="preserve"> 2007 and December 201</w:t>
      </w:r>
      <w:r w:rsidR="0081608F">
        <w:t>0</w:t>
      </w:r>
      <w:r>
        <w:rPr>
          <w:vertAlign w:val="superscript"/>
        </w:rPr>
        <w:t>1</w:t>
      </w:r>
      <w:r w:rsidR="00C81898">
        <w:rPr>
          <w:vertAlign w:val="superscript"/>
        </w:rPr>
        <w:t>8</w:t>
      </w:r>
      <w:r>
        <w:t xml:space="preserve">.Ethical approval for data collection was granted by Bradford Research Ethics Committee (Ref 07/H1302/112). </w:t>
      </w:r>
    </w:p>
    <w:p w:rsidR="00187075" w:rsidRDefault="00187075" w:rsidP="00187075">
      <w:r>
        <w:t xml:space="preserve">After excluding pregnancies without baseline questionnaire data (N=2377), stillbirths (N=61), second and third pregnancies to the same mother in the cohort (N=1323), and twins and triplets (N=142), a dataset of 10035 mother-infant pairs was obtained.  </w:t>
      </w:r>
      <w:r w:rsidRPr="000B44A8">
        <w:rPr>
          <w:highlight w:val="yellow"/>
        </w:rPr>
        <w:t>A dataset with complete data for the exposure variable and covariates was used.</w:t>
      </w:r>
      <w:r>
        <w:t xml:space="preserve"> This dataset of 8952 pregnant women was used to explore relationships between exposure to recession and financial stress. In this dataset, 2775 women were regular smokers and reported information on smoking during pregnancy and relevant covariates. </w:t>
      </w:r>
    </w:p>
    <w:p w:rsidR="00187075" w:rsidRPr="00864DD0" w:rsidRDefault="00187075" w:rsidP="00187075">
      <w:pPr>
        <w:rPr>
          <w:b/>
        </w:rPr>
      </w:pPr>
      <w:r w:rsidRPr="00864DD0">
        <w:rPr>
          <w:b/>
        </w:rPr>
        <w:t>Setting</w:t>
      </w:r>
    </w:p>
    <w:p w:rsidR="00187075" w:rsidRDefault="00187075" w:rsidP="00187075">
      <w:r>
        <w:t>Bradford is a deprived and ethnically diverse city in the North of England with a population of over half a million</w:t>
      </w:r>
      <w:r w:rsidR="00C81898">
        <w:rPr>
          <w:vertAlign w:val="superscript"/>
        </w:rPr>
        <w:t>19</w:t>
      </w:r>
      <w:r>
        <w:t xml:space="preserve">. Employment is more reliant on manufacturing industry than the UK average and this sector has been in decline for decades, making the city particularly vulnerable to the effects of economic recession. There was a sharp increase in the proportion of claimants for Job-Seeker’s </w:t>
      </w:r>
      <w:r>
        <w:lastRenderedPageBreak/>
        <w:t>Allowance (JSA) (the main form of financial support for unemployed people identified as actively seeking work) in Bradford from August 2008, with a peak in JSA claim</w:t>
      </w:r>
      <w:r w:rsidR="007F10D9">
        <w:t xml:space="preserve">ants at 5.0% in September 2009 </w:t>
      </w:r>
      <w:r>
        <w:t>(Figure 1)</w:t>
      </w:r>
      <w:r w:rsidR="00C816F0">
        <w:rPr>
          <w:vertAlign w:val="superscript"/>
        </w:rPr>
        <w:t>2</w:t>
      </w:r>
      <w:r w:rsidR="00C81898">
        <w:rPr>
          <w:vertAlign w:val="superscript"/>
        </w:rPr>
        <w:t>0</w:t>
      </w:r>
      <w:r>
        <w:t xml:space="preserve">. In November 2007, JSA-claimant-rates in Bradford were 133% higher than for England as a whole; by November 2015, rates were 181% higher in Bradford than the average for England.  </w:t>
      </w:r>
    </w:p>
    <w:p w:rsidR="008C139B" w:rsidRPr="00A03A16" w:rsidRDefault="00D35C18" w:rsidP="008C139B">
      <w:pPr>
        <w:rPr>
          <w:b/>
        </w:rPr>
      </w:pPr>
      <w:r>
        <w:rPr>
          <w:b/>
        </w:rPr>
        <w:t>Main e</w:t>
      </w:r>
      <w:r w:rsidR="008C139B" w:rsidRPr="00A03A16">
        <w:rPr>
          <w:b/>
        </w:rPr>
        <w:t>xposure</w:t>
      </w:r>
    </w:p>
    <w:p w:rsidR="008C139B" w:rsidRDefault="008C139B" w:rsidP="008C139B">
      <w:r>
        <w:t>The definition of recession as “A period of temporary economic decline during which trade and industrial activity are reduced, generally identified by a fall in GDP in two successive quarters”</w:t>
      </w:r>
      <w:r w:rsidR="00384527" w:rsidRPr="00384527">
        <w:rPr>
          <w:vertAlign w:val="superscript"/>
        </w:rPr>
        <w:t>2</w:t>
      </w:r>
      <w:r w:rsidR="00C81898">
        <w:rPr>
          <w:vertAlign w:val="superscript"/>
        </w:rPr>
        <w:t>1</w:t>
      </w:r>
      <w:r w:rsidR="00384527">
        <w:t xml:space="preserve"> </w:t>
      </w:r>
      <w:r w:rsidRPr="00384527">
        <w:t>may</w:t>
      </w:r>
      <w:r>
        <w:t xml:space="preserve"> not correspond with the </w:t>
      </w:r>
      <w:r w:rsidR="004B7953">
        <w:t xml:space="preserve">lived </w:t>
      </w:r>
      <w:r>
        <w:t>experience of recession. We used repo</w:t>
      </w:r>
      <w:r w:rsidR="00384527">
        <w:t>rts in national and local media</w:t>
      </w:r>
      <w:r w:rsidR="00384527">
        <w:rPr>
          <w:vertAlign w:val="superscript"/>
        </w:rPr>
        <w:t>2</w:t>
      </w:r>
      <w:r w:rsidR="00C81898">
        <w:rPr>
          <w:vertAlign w:val="superscript"/>
        </w:rPr>
        <w:t>2</w:t>
      </w:r>
      <w:r>
        <w:t xml:space="preserve"> (Box A1, Appendix) in combination with data on unemployment related benefit claims</w:t>
      </w:r>
      <w:r w:rsidR="00C816F0">
        <w:rPr>
          <w:vertAlign w:val="superscript"/>
        </w:rPr>
        <w:t>21</w:t>
      </w:r>
      <w:r>
        <w:t xml:space="preserve">(Figure 1) to inform the decision of a cut-off date for recession start date to be the first of August 2008; an estimated conception date from 01-08-2008 onwards was therefore classified as ‘exposed’. No ‘end of exposure’ cut-off was used as Figure 1 indicates the economic impact of the recession lasted well beyond the study recruitment period. </w:t>
      </w:r>
    </w:p>
    <w:p w:rsidR="008C139B" w:rsidRDefault="008C139B" w:rsidP="008C139B">
      <w:r>
        <w:t xml:space="preserve">The percentage of study participants reporting to be financially worse off than a year ago increases from 15.3% (N=60) at the beginning of May 2008 to 24.2% (N=88) around the beginning of June 2008 (Figure 2). In an exploration of different measures of exposure we found no evidence for an annual worsening of individual’s financial situation (analyses available upon request). A binary cut-off </w:t>
      </w:r>
      <w:r w:rsidR="00D35C18">
        <w:t xml:space="preserve">before and since 01-08-2008 </w:t>
      </w:r>
      <w:r>
        <w:t>was therefore considered an appropriate measure of exposure</w:t>
      </w:r>
      <w:r w:rsidR="00D35C18">
        <w:t xml:space="preserve"> to recession</w:t>
      </w:r>
      <w:r>
        <w:t>.</w:t>
      </w:r>
    </w:p>
    <w:p w:rsidR="00D35C18" w:rsidRDefault="00D35C18" w:rsidP="008C139B">
      <w:pPr>
        <w:rPr>
          <w:b/>
        </w:rPr>
      </w:pPr>
      <w:r>
        <w:rPr>
          <w:b/>
        </w:rPr>
        <w:t>Mediating factors</w:t>
      </w:r>
    </w:p>
    <w:p w:rsidR="00D35C18" w:rsidRPr="00D35C18" w:rsidRDefault="00D35C18" w:rsidP="008C139B">
      <w:r>
        <w:t>Financial stress was operationalised through two variables; perceived financial situation and change in perceived financial situation. Women were asked how well they and their partner were managing financially, with response categories ranging from ‘living comfortably’ to ‘difficult’ (‘very difficult’ and ‘just about getting by’ were merged with ‘difficult’). Change in perceived financial situation was measured with the question ‘Compared to a year ago, how would you say you and your husband/partner are doing financially now?</w:t>
      </w:r>
      <w:proofErr w:type="gramStart"/>
      <w:r>
        <w:t>’,</w:t>
      </w:r>
      <w:proofErr w:type="gramEnd"/>
      <w:r>
        <w:t xml:space="preserve"> with answer categories ‘better off’, ‘about the same’ or ‘worse off’.</w:t>
      </w:r>
    </w:p>
    <w:p w:rsidR="008C139B" w:rsidRPr="00A03A16" w:rsidRDefault="008C139B" w:rsidP="008C139B">
      <w:pPr>
        <w:rPr>
          <w:b/>
        </w:rPr>
      </w:pPr>
      <w:r w:rsidRPr="00A03A16">
        <w:rPr>
          <w:b/>
        </w:rPr>
        <w:t>Outcomes</w:t>
      </w:r>
    </w:p>
    <w:p w:rsidR="008C139B" w:rsidRDefault="008C139B" w:rsidP="008C139B">
      <w:r>
        <w:t xml:space="preserve">Data on maternal smoking were obtained from the study baseline questionnaire. A binary variable of continued smoking during pregnancy for those who reported to smoke regularly was derived from questions on smoking during pregnancy three months before pregnancy, in the first three months of pregnancy and since the beginning of the fourth month. Women who reported to have stopped smoking in the first month of pregnancy </w:t>
      </w:r>
      <w:r w:rsidR="008527D4" w:rsidRPr="008527D4">
        <w:rPr>
          <w:highlight w:val="yellow"/>
        </w:rPr>
        <w:t>and did not report smoking any cigarettes since the beginning of the fourth month</w:t>
      </w:r>
      <w:r w:rsidR="008527D4" w:rsidRPr="008527D4">
        <w:t xml:space="preserve"> </w:t>
      </w:r>
      <w:r>
        <w:t xml:space="preserve">were counted as non-smokers during pregnancy. </w:t>
      </w:r>
    </w:p>
    <w:p w:rsidR="008C139B" w:rsidRPr="00A03A16" w:rsidRDefault="008C139B" w:rsidP="008C139B">
      <w:pPr>
        <w:rPr>
          <w:b/>
        </w:rPr>
      </w:pPr>
      <w:r w:rsidRPr="00A03A16">
        <w:rPr>
          <w:b/>
        </w:rPr>
        <w:t>Covariates</w:t>
      </w:r>
    </w:p>
    <w:p w:rsidR="008C139B" w:rsidRDefault="008C139B" w:rsidP="008C139B">
      <w:r>
        <w:t xml:space="preserve">The Directed Acyclic Graph created in </w:t>
      </w:r>
      <w:proofErr w:type="spellStart"/>
      <w:r>
        <w:t>DAGgity</w:t>
      </w:r>
      <w:proofErr w:type="spellEnd"/>
      <w:r>
        <w:t xml:space="preserve"> V2.3 and published on the </w:t>
      </w:r>
      <w:proofErr w:type="spellStart"/>
      <w:r>
        <w:t>Daggity</w:t>
      </w:r>
      <w:proofErr w:type="spellEnd"/>
      <w:r>
        <w:t xml:space="preserve"> website (http://dagitty.net/mLWfIRw) shows the hypothesised causal relationships between exposure to recession, continued smoking during pregnancy and covariates</w:t>
      </w:r>
      <w:r w:rsidR="00384527">
        <w:rPr>
          <w:vertAlign w:val="superscript"/>
        </w:rPr>
        <w:t>2</w:t>
      </w:r>
      <w:r w:rsidR="00C81898">
        <w:rPr>
          <w:vertAlign w:val="superscript"/>
        </w:rPr>
        <w:t>3</w:t>
      </w:r>
      <w:r>
        <w:t xml:space="preserve">. Parity (nulliparous versus other), maternal age, cohabitation with a partner (yes/no) ethnic group (White British, Pakistani, other), and </w:t>
      </w:r>
      <w:r>
        <w:lastRenderedPageBreak/>
        <w:t>education of the mother (&lt; 5 GCSE, 5 GCSE, A level, &gt; A level, other, or equivalents of these qualifications) were identified as potential confounders.</w:t>
      </w:r>
    </w:p>
    <w:p w:rsidR="008C139B" w:rsidRPr="00A03A16" w:rsidRDefault="008C139B" w:rsidP="008C139B">
      <w:pPr>
        <w:rPr>
          <w:b/>
        </w:rPr>
      </w:pPr>
      <w:r w:rsidRPr="00A03A16">
        <w:rPr>
          <w:b/>
        </w:rPr>
        <w:t>Statistical analyses</w:t>
      </w:r>
    </w:p>
    <w:p w:rsidR="008C139B" w:rsidRDefault="008C139B" w:rsidP="008C139B">
      <w:r>
        <w:t>Firstly, sample characteristics were explored and differences tested between the subsample exposed to recession during pregnancy and the unexposed group. Chi-square tests were used for binary variables and t-tests for continuous variables.</w:t>
      </w:r>
    </w:p>
    <w:p w:rsidR="008C139B" w:rsidRDefault="008C139B" w:rsidP="008C139B">
      <w:r>
        <w:t xml:space="preserve">Multivariable logistic regression analysis was used to model the relationship between exposure to economic recession and continued smoking during pregnancy, after which mediation analysis was performed to assess the role of financials stress. </w:t>
      </w:r>
    </w:p>
    <w:p w:rsidR="008C139B" w:rsidRDefault="008C139B" w:rsidP="008C139B">
      <w:r>
        <w:t>The mediating role of financial stress was tested with Sobel-Goodman mediation analyses in Stata 12, using the ‘</w:t>
      </w:r>
      <w:proofErr w:type="spellStart"/>
      <w:r>
        <w:t>sgmediation</w:t>
      </w:r>
      <w:proofErr w:type="spellEnd"/>
      <w:r>
        <w:t>’ and ‘bootstrap’ commands</w:t>
      </w:r>
      <w:r w:rsidR="00384527">
        <w:rPr>
          <w:vertAlign w:val="superscript"/>
        </w:rPr>
        <w:t>2</w:t>
      </w:r>
      <w:r w:rsidR="00C81898">
        <w:rPr>
          <w:vertAlign w:val="superscript"/>
        </w:rPr>
        <w:t>4</w:t>
      </w:r>
      <w:r>
        <w:t xml:space="preserve">. This method has been found to be more rigorous and more likely to identify a true mediation effect than the widely used causal steps outlined by Baron and Kenny </w:t>
      </w:r>
      <w:r w:rsidR="00384527">
        <w:rPr>
          <w:vertAlign w:val="superscript"/>
        </w:rPr>
        <w:t>2</w:t>
      </w:r>
      <w:r w:rsidR="00C81898">
        <w:rPr>
          <w:vertAlign w:val="superscript"/>
        </w:rPr>
        <w:t>5</w:t>
      </w:r>
      <w:r w:rsidR="00C816F0">
        <w:rPr>
          <w:vertAlign w:val="superscript"/>
        </w:rPr>
        <w:t>-2</w:t>
      </w:r>
      <w:r w:rsidR="00C81898">
        <w:rPr>
          <w:vertAlign w:val="superscript"/>
        </w:rPr>
        <w:t>7</w:t>
      </w:r>
      <w:r>
        <w:t>. We avoided violation of the normality assumption of the Sobel-Goodman test by performing a bootstrap analysis with 5000 sampling repetitions</w:t>
      </w:r>
      <w:r w:rsidR="00C816F0">
        <w:rPr>
          <w:vertAlign w:val="superscript"/>
        </w:rPr>
        <w:t>2</w:t>
      </w:r>
      <w:r w:rsidR="00C401A4">
        <w:rPr>
          <w:vertAlign w:val="superscript"/>
        </w:rPr>
        <w:t>6</w:t>
      </w:r>
      <w:r>
        <w:t>.</w:t>
      </w:r>
    </w:p>
    <w:p w:rsidR="008C139B" w:rsidRPr="00A03A16" w:rsidRDefault="00A03A16" w:rsidP="008C139B">
      <w:pPr>
        <w:rPr>
          <w:b/>
          <w:sz w:val="28"/>
        </w:rPr>
      </w:pPr>
      <w:r w:rsidRPr="00A03A16">
        <w:rPr>
          <w:b/>
          <w:sz w:val="28"/>
        </w:rPr>
        <w:t>RESULTS</w:t>
      </w:r>
    </w:p>
    <w:p w:rsidR="008C139B" w:rsidRPr="00ED0BE2" w:rsidRDefault="008C139B" w:rsidP="008C139B">
      <w:r>
        <w:t xml:space="preserve">The sample consists of </w:t>
      </w:r>
      <w:r w:rsidRPr="00A450FA">
        <w:rPr>
          <w:highlight w:val="yellow"/>
        </w:rPr>
        <w:t>277</w:t>
      </w:r>
      <w:r w:rsidR="00A450FA" w:rsidRPr="00A450FA">
        <w:rPr>
          <w:highlight w:val="yellow"/>
        </w:rPr>
        <w:t>5</w:t>
      </w:r>
      <w:r>
        <w:t xml:space="preserve"> women who were regular smokers before pregnancy, and Table 1 shows an overview of their characteristics. As opposed to those recruited before the </w:t>
      </w:r>
      <w:r w:rsidR="0037171C">
        <w:t xml:space="preserve">economic </w:t>
      </w:r>
      <w:r w:rsidR="0037171C" w:rsidRPr="00117D4E">
        <w:t>recession</w:t>
      </w:r>
      <w:r>
        <w:t xml:space="preserve">, pregnant women who were recruited </w:t>
      </w:r>
      <w:r w:rsidR="00D35C18">
        <w:t>after</w:t>
      </w:r>
      <w:r>
        <w:t xml:space="preserve"> the start of the recession and </w:t>
      </w:r>
      <w:r w:rsidR="00D35C18">
        <w:t xml:space="preserve">were </w:t>
      </w:r>
      <w:r>
        <w:t>thus exposed were more likely to be nulliparous (first child), to have a higher level of education, to be in a difficult financial situation, and t</w:t>
      </w:r>
      <w:r w:rsidR="00ED0BE2">
        <w:t>o be worse off than a year ago.</w:t>
      </w:r>
      <w:r w:rsidR="00306ECF">
        <w:t xml:space="preserve"> </w:t>
      </w:r>
      <w:r w:rsidR="00306ECF" w:rsidRPr="00306ECF">
        <w:rPr>
          <w:highlight w:val="yellow"/>
        </w:rPr>
        <w:t>Prevalence rates of smoking during pregnancy varied from 40.0% among those who reported to be managing well financially, to 65.2% among mothers who reported their financial situation was difficult/ very difficult.</w:t>
      </w:r>
    </w:p>
    <w:p w:rsidR="008C139B" w:rsidRDefault="008C139B" w:rsidP="008C139B">
      <w:pPr>
        <w:rPr>
          <w:b/>
        </w:rPr>
      </w:pPr>
      <w:r>
        <w:rPr>
          <w:b/>
        </w:rPr>
        <w:t>Multivariable analysis</w:t>
      </w:r>
    </w:p>
    <w:p w:rsidR="008C139B" w:rsidRPr="00ED0BE2" w:rsidRDefault="008C139B" w:rsidP="008C139B">
      <w:r>
        <w:t xml:space="preserve">After taking into account potential confounders, exposure to recession was associated with continued smoking during pregnancy (OR 1.19, 95% CI 1.01; 1.41, p=0.03) (Table 2). All other factors being equal, this represents a 3.7% difference in smoking prevalence, with 53.1% of women in the unexposed and 56.8% of women in the exposed group smoking during pregnancy. </w:t>
      </w:r>
    </w:p>
    <w:p w:rsidR="008C139B" w:rsidRDefault="008C139B" w:rsidP="008C139B">
      <w:pPr>
        <w:rPr>
          <w:b/>
        </w:rPr>
      </w:pPr>
      <w:r>
        <w:rPr>
          <w:b/>
        </w:rPr>
        <w:t>Mediation analysis</w:t>
      </w:r>
    </w:p>
    <w:p w:rsidR="008C139B" w:rsidRDefault="008C139B" w:rsidP="008C139B">
      <w:r>
        <w:t xml:space="preserve">Results of the mediation analysis are summarised in Table </w:t>
      </w:r>
      <w:r w:rsidR="00BC6397">
        <w:t xml:space="preserve">3. </w:t>
      </w:r>
      <w:r>
        <w:t xml:space="preserve"> </w:t>
      </w:r>
    </w:p>
    <w:p w:rsidR="008C139B" w:rsidRPr="00D71038" w:rsidRDefault="008C139B" w:rsidP="008C139B">
      <w:r>
        <w:t xml:space="preserve">When a worse financial situation </w:t>
      </w:r>
      <w:r w:rsidR="00D35C18">
        <w:t xml:space="preserve">than a year ago </w:t>
      </w:r>
      <w:r>
        <w:t xml:space="preserve">is used as the indication of financial stress, bootstrap results for the Sobel-Goodman test suggests a modest mediation effect (observed coefficient 0.003, 95% CI 0.00; 0.01). Of the total relationship between exposure to recession and continued smoking during pregnancy, 8.4% is estimated to be mediated by the effect of a worse financial situation. </w:t>
      </w:r>
    </w:p>
    <w:p w:rsidR="008C139B" w:rsidRDefault="008C139B" w:rsidP="008C139B">
      <w:r>
        <w:t xml:space="preserve">When financial stress is operationalised as a </w:t>
      </w:r>
      <w:r w:rsidR="00D35C18">
        <w:t xml:space="preserve">current </w:t>
      </w:r>
      <w:r>
        <w:t xml:space="preserve">difficult financial situation (compared to comfortable/ doing alright), a modest mediation effect is again present (observed coefficient 0.006, </w:t>
      </w:r>
      <w:r>
        <w:lastRenderedPageBreak/>
        <w:t>95% CI 0.00; 0.01). The proportion of the relationship between exposure to recession and continued smoking during pregnancy mediated by the effect of a difficult financial situation is 17.6%.</w:t>
      </w:r>
    </w:p>
    <w:p w:rsidR="008C139B" w:rsidRDefault="008C139B" w:rsidP="008C139B">
      <w:r>
        <w:t xml:space="preserve">By taking into account the influence of financial stress, either through the inclusion of a worse or difficult financial situation variable, the direct effect of exposure to the </w:t>
      </w:r>
      <w:r w:rsidR="0037171C">
        <w:t>economic recession</w:t>
      </w:r>
      <w:r>
        <w:t xml:space="preserve"> on smoking during pregnancy is no longer statistically significant.</w:t>
      </w:r>
    </w:p>
    <w:p w:rsidR="008C139B" w:rsidRPr="00A03A16" w:rsidRDefault="00A03A16" w:rsidP="008C139B">
      <w:pPr>
        <w:rPr>
          <w:sz w:val="28"/>
        </w:rPr>
      </w:pPr>
      <w:r w:rsidRPr="00A03A16">
        <w:rPr>
          <w:b/>
          <w:sz w:val="28"/>
        </w:rPr>
        <w:t>CONCLUSIONS</w:t>
      </w:r>
    </w:p>
    <w:p w:rsidR="008C139B" w:rsidRDefault="008C139B" w:rsidP="008C139B">
      <w:r>
        <w:t>This study demonstrates that exposure to economic recession is associated with continued smoking during pregnancy for regular smokers, and that this relationship is partly mediated by financial stress.</w:t>
      </w:r>
    </w:p>
    <w:p w:rsidR="008C139B" w:rsidRDefault="008C139B" w:rsidP="008C139B">
      <w:r>
        <w:t xml:space="preserve">Exposure to the </w:t>
      </w:r>
      <w:r w:rsidR="0037171C" w:rsidRPr="00117D4E">
        <w:t xml:space="preserve">UK 2008-2010 </w:t>
      </w:r>
      <w:r w:rsidR="0037171C">
        <w:t xml:space="preserve">economic </w:t>
      </w:r>
      <w:r w:rsidR="0037171C" w:rsidRPr="00117D4E">
        <w:t xml:space="preserve">recession </w:t>
      </w:r>
      <w:r>
        <w:t>during pregnancy was associated with a difficult financial situation and being worse off than a year ago for women in the Born in Bradford cohort study who were regular smokers. After taking into account key confounders, pregnant women exposed to recession were more likely to continue smoking during pregnancy</w:t>
      </w:r>
      <w:r w:rsidR="00ED50C8">
        <w:t xml:space="preserve"> than those not exposed</w:t>
      </w:r>
      <w:r>
        <w:t>. Mediation analyses showed that the relationship between exposure to recession and continued smoking during pregnancy was partly explained by financial stress, either measured by a difficult or worsened financial situation of the household.</w:t>
      </w:r>
      <w:r w:rsidR="00A558C8">
        <w:t xml:space="preserve"> </w:t>
      </w:r>
      <w:r w:rsidR="00A558C8" w:rsidRPr="000B44A8">
        <w:rPr>
          <w:highlight w:val="yellow"/>
        </w:rPr>
        <w:t>With the inclusion of financial stress in the model, the relationship between exposure to recession and smoking during pregnancy was no longer statistically significant.</w:t>
      </w:r>
      <w:r w:rsidR="00A558C8" w:rsidRPr="000B44A8">
        <w:t xml:space="preserve"> </w:t>
      </w:r>
    </w:p>
    <w:p w:rsidR="008C139B" w:rsidRPr="00A24121" w:rsidRDefault="008C139B" w:rsidP="008C139B">
      <w:pPr>
        <w:rPr>
          <w:b/>
        </w:rPr>
      </w:pPr>
      <w:r w:rsidRPr="00A24121">
        <w:rPr>
          <w:b/>
        </w:rPr>
        <w:t>Limitations</w:t>
      </w:r>
    </w:p>
    <w:p w:rsidR="008C139B" w:rsidRDefault="008C139B" w:rsidP="008C139B">
      <w:r>
        <w:t>Even though covariates were included to adjust for differences between the ‘exposed’ and ‘unexposed’, there might be alternative explanations for our findings.</w:t>
      </w:r>
      <w:r w:rsidRPr="00BB3BBF">
        <w:t xml:space="preserve"> </w:t>
      </w:r>
    </w:p>
    <w:p w:rsidR="008C139B" w:rsidRDefault="008C139B" w:rsidP="008C139B">
      <w:r>
        <w:t>Couples who get pregnant during an economic recession may be different from those who choose not to. This may explain differences between the unexposed and exposed group shown in Table 1.  Economic recession and unemployment have been found to be associated with a decline in fertility rates, particularly for young women having their first child</w:t>
      </w:r>
      <w:r w:rsidR="00C401A4">
        <w:rPr>
          <w:vertAlign w:val="superscript"/>
        </w:rPr>
        <w:t>28</w:t>
      </w:r>
      <w:proofErr w:type="gramStart"/>
      <w:r w:rsidR="00C401A4">
        <w:rPr>
          <w:vertAlign w:val="superscript"/>
        </w:rPr>
        <w:t>,29</w:t>
      </w:r>
      <w:proofErr w:type="gramEnd"/>
      <w:r>
        <w:t>, and fertility rates in England and Wales declined between 2008 and 2010 in all age groups exce</w:t>
      </w:r>
      <w:r w:rsidR="00384527">
        <w:t>pt for mothers aged 35 and over</w:t>
      </w:r>
      <w:r w:rsidR="00C816F0" w:rsidRPr="00C816F0">
        <w:rPr>
          <w:vertAlign w:val="superscript"/>
        </w:rPr>
        <w:t>3</w:t>
      </w:r>
      <w:r w:rsidR="009D6864">
        <w:rPr>
          <w:vertAlign w:val="superscript"/>
        </w:rPr>
        <w:t>0</w:t>
      </w:r>
      <w:r>
        <w:t xml:space="preserve">. If couples who were more strongly affected by recession were more likely to delay pregnancies, we have underestimated the relationship between economic recession, financial stress and smoking during pregnancy.  </w:t>
      </w:r>
    </w:p>
    <w:p w:rsidR="008C139B" w:rsidRDefault="008C139B" w:rsidP="008C139B">
      <w:r>
        <w:t xml:space="preserve">Our study is limited by missing data and by its cross-sectional design. Despite our careful considerations of the cut-off for exposure to recession by using area-specific and national data, it is possible we did not identify correctly after which date people were likely to experience the economic recession in their lives. In addition to misspecification of the exposure cut-off, data on key covariates may be influenced by date of data collection, as researchers will have gradually become more experienced in the administration of the questionnaire. </w:t>
      </w:r>
      <w:r w:rsidR="000B44A8" w:rsidRPr="000B44A8">
        <w:rPr>
          <w:highlight w:val="yellow"/>
        </w:rPr>
        <w:t xml:space="preserve">It is likely that data </w:t>
      </w:r>
      <w:r w:rsidR="004B04D1">
        <w:rPr>
          <w:highlight w:val="yellow"/>
        </w:rPr>
        <w:t>are</w:t>
      </w:r>
      <w:r w:rsidR="000B44A8" w:rsidRPr="000B44A8">
        <w:rPr>
          <w:highlight w:val="yellow"/>
        </w:rPr>
        <w:t xml:space="preserve"> not missing at random.</w:t>
      </w:r>
      <w:r w:rsidR="000B44A8">
        <w:t xml:space="preserve"> </w:t>
      </w:r>
      <w:r>
        <w:t xml:space="preserve"> </w:t>
      </w:r>
    </w:p>
    <w:p w:rsidR="00611598" w:rsidRPr="000B44A8" w:rsidRDefault="00611598" w:rsidP="008C139B">
      <w:r w:rsidRPr="000B44A8">
        <w:rPr>
          <w:highlight w:val="yellow"/>
        </w:rPr>
        <w:t>Finally, smoking during pregnancy is a stigmatized behaviour which is likely to be underreported</w:t>
      </w:r>
      <w:r w:rsidR="004F749A" w:rsidRPr="000B44A8">
        <w:rPr>
          <w:highlight w:val="yellow"/>
        </w:rPr>
        <w:t xml:space="preserve"> when relying on self-report measures</w:t>
      </w:r>
      <w:r w:rsidRPr="000B44A8">
        <w:rPr>
          <w:highlight w:val="yellow"/>
        </w:rPr>
        <w:t>, which means our prevalence rates of smoking during pregnancy are likely to underestimate true prevalence rates.</w:t>
      </w:r>
      <w:r w:rsidRPr="000B44A8">
        <w:t xml:space="preserve"> </w:t>
      </w:r>
    </w:p>
    <w:p w:rsidR="008C139B" w:rsidRPr="00A24121" w:rsidRDefault="008C139B" w:rsidP="008C139B">
      <w:pPr>
        <w:rPr>
          <w:b/>
        </w:rPr>
      </w:pPr>
      <w:r w:rsidRPr="00A24121">
        <w:rPr>
          <w:b/>
        </w:rPr>
        <w:lastRenderedPageBreak/>
        <w:t xml:space="preserve">Implications for research and </w:t>
      </w:r>
      <w:r>
        <w:rPr>
          <w:b/>
        </w:rPr>
        <w:t>society</w:t>
      </w:r>
    </w:p>
    <w:p w:rsidR="008C139B" w:rsidRDefault="008C139B" w:rsidP="008C139B">
      <w:r>
        <w:t>This study contradicts findings which suggest a beneficial effect of economic recession on smoking, and fits with literature on the role of stress, including financial stress, in a person’s ability to quit smoking and prevent relapse</w:t>
      </w:r>
      <w:r w:rsidR="009D6864">
        <w:rPr>
          <w:vertAlign w:val="superscript"/>
        </w:rPr>
        <w:t>5-9</w:t>
      </w:r>
      <w:proofErr w:type="gramStart"/>
      <w:r w:rsidR="009D6864">
        <w:rPr>
          <w:vertAlign w:val="superscript"/>
        </w:rPr>
        <w:t>,16</w:t>
      </w:r>
      <w:proofErr w:type="gramEnd"/>
      <w:r w:rsidR="00384527">
        <w:t>.</w:t>
      </w:r>
    </w:p>
    <w:p w:rsidR="00D35C18" w:rsidRDefault="00D35C18" w:rsidP="00D35C18">
      <w:r>
        <w:t>In our sample, prevalence rates of smoking during pregnancy increased over time, while there is a slow but steady decline in smoking during pregnancy nationally</w:t>
      </w:r>
      <w:r>
        <w:rPr>
          <w:vertAlign w:val="superscript"/>
        </w:rPr>
        <w:t>3</w:t>
      </w:r>
      <w:r w:rsidR="009D6864">
        <w:rPr>
          <w:vertAlign w:val="superscript"/>
        </w:rPr>
        <w:t>1</w:t>
      </w:r>
      <w:r>
        <w:t>. In Scotland, the introduction of a smoking ban in public places led to reduced rates of smoking during pregnancy</w:t>
      </w:r>
      <w:r>
        <w:rPr>
          <w:vertAlign w:val="superscript"/>
        </w:rPr>
        <w:t>3</w:t>
      </w:r>
      <w:r w:rsidR="009D6864">
        <w:rPr>
          <w:vertAlign w:val="superscript"/>
        </w:rPr>
        <w:t>2</w:t>
      </w:r>
      <w:r>
        <w:t xml:space="preserve">. Our data shows no such effect on smoking during pregnancy around the time the smoking ban took effect in England in July 2007. Any </w:t>
      </w:r>
      <w:r w:rsidR="009D6864">
        <w:t xml:space="preserve">downward trends in smoking prevalence </w:t>
      </w:r>
      <w:r>
        <w:t>may have been counteracted by the larger impact of the economic recession.</w:t>
      </w:r>
    </w:p>
    <w:p w:rsidR="008C139B" w:rsidRDefault="008C139B" w:rsidP="008C139B">
      <w:r w:rsidRPr="00077C70">
        <w:t xml:space="preserve">All </w:t>
      </w:r>
      <w:r>
        <w:t>women</w:t>
      </w:r>
      <w:r w:rsidRPr="00077C70">
        <w:t xml:space="preserve"> in this study were sampled from a UK city characterised by deprivation and health inequalities. The increased burden placed on this already disadvantaged community was by no means unavoidable. Research shows that strong social policies can prevent health impacts of recession</w:t>
      </w:r>
      <w:r w:rsidR="00D85BEF">
        <w:rPr>
          <w:vertAlign w:val="superscript"/>
        </w:rPr>
        <w:t>3</w:t>
      </w:r>
      <w:r w:rsidR="009D6864">
        <w:rPr>
          <w:vertAlign w:val="superscript"/>
        </w:rPr>
        <w:t>4</w:t>
      </w:r>
      <w:proofErr w:type="gramStart"/>
      <w:r w:rsidR="00D85BEF">
        <w:rPr>
          <w:vertAlign w:val="superscript"/>
        </w:rPr>
        <w:t>,3</w:t>
      </w:r>
      <w:r w:rsidR="009D6864">
        <w:rPr>
          <w:vertAlign w:val="superscript"/>
        </w:rPr>
        <w:t>5</w:t>
      </w:r>
      <w:proofErr w:type="gramEnd"/>
      <w:r>
        <w:t>.</w:t>
      </w:r>
      <w:r w:rsidRPr="00077C70">
        <w:t xml:space="preserve"> </w:t>
      </w:r>
      <w:r>
        <w:t xml:space="preserve">Our study shows that socioeconomic conditions, both at the societal and individual level, are important targets when aiming to reduce rates of smoking during pregnancy. </w:t>
      </w:r>
      <w:r w:rsidRPr="00077C70">
        <w:t>If there is ever a time to invest in protecting the vulnerable to the advantage of society as a whole, the period during and after recession is such a time.</w:t>
      </w:r>
    </w:p>
    <w:p w:rsidR="00861EFC" w:rsidRDefault="00861EFC" w:rsidP="008C139B">
      <w:pPr>
        <w:rPr>
          <w:b/>
        </w:rPr>
      </w:pPr>
      <w:r>
        <w:rPr>
          <w:b/>
        </w:rPr>
        <w:t>Funding</w:t>
      </w:r>
    </w:p>
    <w:p w:rsidR="00861EFC" w:rsidRPr="00FA31A9" w:rsidRDefault="00553447" w:rsidP="008C139B">
      <w:r>
        <w:t xml:space="preserve">This work was supported by the </w:t>
      </w:r>
      <w:r w:rsidR="00FA31A9" w:rsidRPr="00FA31A9">
        <w:t xml:space="preserve">Born in Bradford study </w:t>
      </w:r>
      <w:r>
        <w:t>funding</w:t>
      </w:r>
      <w:r w:rsidR="00BC24D9">
        <w:t xml:space="preserve">. </w:t>
      </w:r>
      <w:r w:rsidR="00BC24D9" w:rsidRPr="00BC24D9">
        <w:t xml:space="preserve">The </w:t>
      </w:r>
      <w:proofErr w:type="spellStart"/>
      <w:r w:rsidR="00BC24D9" w:rsidRPr="00BC24D9">
        <w:t>BiB</w:t>
      </w:r>
      <w:proofErr w:type="spellEnd"/>
      <w:r w:rsidR="00BC24D9" w:rsidRPr="00BC24D9">
        <w:t xml:space="preserve"> study presents independent research commissioned by the National Institute for Health Research Collaboration for Applied Health Research and Care (NIHR CLAHRC) and the </w:t>
      </w:r>
      <w:r w:rsidR="00BC24D9">
        <w:t xml:space="preserve">NIHR </w:t>
      </w:r>
      <w:r w:rsidR="00BC24D9" w:rsidRPr="00BC24D9">
        <w:t xml:space="preserve">Programme Grants for Applied Research funding scheme [grant number RP-PG-0407-10044]. Core support for </w:t>
      </w:r>
      <w:proofErr w:type="spellStart"/>
      <w:r w:rsidR="00BC24D9" w:rsidRPr="00BC24D9">
        <w:t>BiB</w:t>
      </w:r>
      <w:proofErr w:type="spellEnd"/>
      <w:r w:rsidR="00BC24D9" w:rsidRPr="00BC24D9">
        <w:t xml:space="preserve"> is also provided by the Wellcome Trust [grant number WT101597MA].</w:t>
      </w:r>
      <w:r w:rsidR="00FA31A9" w:rsidRPr="00FA31A9">
        <w:t xml:space="preserve"> All authors receive funding from the Big Lottery Fund as part of the “A Better Start” programme.</w:t>
      </w:r>
    </w:p>
    <w:p w:rsidR="00FA31A9" w:rsidRDefault="00FA31A9" w:rsidP="008C139B">
      <w:pPr>
        <w:rPr>
          <w:b/>
        </w:rPr>
      </w:pPr>
      <w:r>
        <w:rPr>
          <w:b/>
        </w:rPr>
        <w:t>Declaration of interests</w:t>
      </w:r>
    </w:p>
    <w:p w:rsidR="00FA31A9" w:rsidRPr="00FA31A9" w:rsidRDefault="00FA31A9" w:rsidP="008C139B">
      <w:r>
        <w:t>The authors report no conflicts of interest.</w:t>
      </w:r>
    </w:p>
    <w:p w:rsidR="009B4938" w:rsidRDefault="009B4938" w:rsidP="008C139B">
      <w:pPr>
        <w:rPr>
          <w:b/>
        </w:rPr>
      </w:pPr>
      <w:r>
        <w:rPr>
          <w:b/>
        </w:rPr>
        <w:t>Acknowledgments</w:t>
      </w:r>
    </w:p>
    <w:p w:rsidR="00384527" w:rsidRPr="008705D7" w:rsidRDefault="00987594" w:rsidP="008C139B">
      <w:r w:rsidRPr="008705D7">
        <w:t>Born in Bradford is only possible because of the enthusiasm and commitment of the children and parents</w:t>
      </w:r>
      <w:r w:rsidR="008705D7">
        <w:t xml:space="preserve"> in the study</w:t>
      </w:r>
      <w:r w:rsidRPr="008705D7">
        <w:t xml:space="preserve">. We are grateful to all the participants, health professionals and researchers who </w:t>
      </w:r>
      <w:r w:rsidR="003069E8">
        <w:t>make</w:t>
      </w:r>
      <w:r w:rsidRPr="008705D7">
        <w:t xml:space="preserve"> Born in Bradford happen.</w:t>
      </w:r>
    </w:p>
    <w:p w:rsidR="008C139B" w:rsidRPr="008C139B" w:rsidRDefault="00117D4E" w:rsidP="008C139B">
      <w:pPr>
        <w:rPr>
          <w:b/>
        </w:rPr>
      </w:pPr>
      <w:r>
        <w:rPr>
          <w:b/>
        </w:rPr>
        <w:t>References</w:t>
      </w:r>
    </w:p>
    <w:p w:rsidR="00B02418" w:rsidRPr="00951955" w:rsidRDefault="00B02418" w:rsidP="00117D4E">
      <w:pPr>
        <w:pStyle w:val="ListParagraph"/>
        <w:numPr>
          <w:ilvl w:val="0"/>
          <w:numId w:val="1"/>
        </w:numPr>
        <w:rPr>
          <w:rFonts w:ascii="Arial" w:hAnsi="Arial" w:cs="Arial"/>
          <w:sz w:val="20"/>
          <w:szCs w:val="20"/>
        </w:rPr>
      </w:pPr>
      <w:proofErr w:type="spellStart"/>
      <w:r w:rsidRPr="00951955">
        <w:rPr>
          <w:rFonts w:ascii="Arial" w:hAnsi="Arial" w:cs="Arial"/>
          <w:color w:val="222222"/>
          <w:sz w:val="20"/>
          <w:szCs w:val="20"/>
          <w:shd w:val="clear" w:color="auto" w:fill="FFFFFF"/>
        </w:rPr>
        <w:t>Goedhart</w:t>
      </w:r>
      <w:proofErr w:type="spellEnd"/>
      <w:r w:rsidRPr="00951955">
        <w:rPr>
          <w:rFonts w:ascii="Arial" w:hAnsi="Arial" w:cs="Arial"/>
          <w:color w:val="222222"/>
          <w:sz w:val="20"/>
          <w:szCs w:val="20"/>
          <w:shd w:val="clear" w:color="auto" w:fill="FFFFFF"/>
        </w:rPr>
        <w:t xml:space="preserve"> G, van der </w:t>
      </w:r>
      <w:proofErr w:type="spellStart"/>
      <w:r w:rsidRPr="00951955">
        <w:rPr>
          <w:rFonts w:ascii="Arial" w:hAnsi="Arial" w:cs="Arial"/>
          <w:color w:val="222222"/>
          <w:sz w:val="20"/>
          <w:szCs w:val="20"/>
          <w:shd w:val="clear" w:color="auto" w:fill="FFFFFF"/>
        </w:rPr>
        <w:t>Wal</w:t>
      </w:r>
      <w:proofErr w:type="spellEnd"/>
      <w:r w:rsidRPr="00951955">
        <w:rPr>
          <w:rFonts w:ascii="Arial" w:hAnsi="Arial" w:cs="Arial"/>
          <w:color w:val="222222"/>
          <w:sz w:val="20"/>
          <w:szCs w:val="20"/>
          <w:shd w:val="clear" w:color="auto" w:fill="FFFFFF"/>
        </w:rPr>
        <w:t xml:space="preserve"> MF, </w:t>
      </w:r>
      <w:proofErr w:type="spellStart"/>
      <w:r w:rsidRPr="00951955">
        <w:rPr>
          <w:rFonts w:ascii="Arial" w:hAnsi="Arial" w:cs="Arial"/>
          <w:color w:val="222222"/>
          <w:sz w:val="20"/>
          <w:szCs w:val="20"/>
          <w:shd w:val="clear" w:color="auto" w:fill="FFFFFF"/>
        </w:rPr>
        <w:t>Cuijpers</w:t>
      </w:r>
      <w:proofErr w:type="spellEnd"/>
      <w:r w:rsidRPr="00951955">
        <w:rPr>
          <w:rFonts w:ascii="Arial" w:hAnsi="Arial" w:cs="Arial"/>
          <w:color w:val="222222"/>
          <w:sz w:val="20"/>
          <w:szCs w:val="20"/>
          <w:shd w:val="clear" w:color="auto" w:fill="FFFFFF"/>
        </w:rPr>
        <w:t xml:space="preserve"> P, </w:t>
      </w:r>
      <w:proofErr w:type="spellStart"/>
      <w:r w:rsidRPr="00951955">
        <w:rPr>
          <w:rFonts w:ascii="Arial" w:hAnsi="Arial" w:cs="Arial"/>
          <w:color w:val="222222"/>
          <w:sz w:val="20"/>
          <w:szCs w:val="20"/>
          <w:shd w:val="clear" w:color="auto" w:fill="FFFFFF"/>
        </w:rPr>
        <w:t>Bonsel</w:t>
      </w:r>
      <w:proofErr w:type="spellEnd"/>
      <w:r w:rsidRPr="00951955">
        <w:rPr>
          <w:rFonts w:ascii="Arial" w:hAnsi="Arial" w:cs="Arial"/>
          <w:color w:val="222222"/>
          <w:sz w:val="20"/>
          <w:szCs w:val="20"/>
          <w:shd w:val="clear" w:color="auto" w:fill="FFFFFF"/>
        </w:rPr>
        <w:t xml:space="preserve"> GJ. Psychosocial problems and continued smoking during pregnancy. </w:t>
      </w:r>
      <w:r w:rsidRPr="00951955">
        <w:rPr>
          <w:rFonts w:ascii="Arial" w:hAnsi="Arial" w:cs="Arial"/>
          <w:i/>
          <w:iCs/>
          <w:color w:val="222222"/>
          <w:sz w:val="20"/>
          <w:szCs w:val="20"/>
          <w:shd w:val="clear" w:color="auto" w:fill="FFFFFF"/>
        </w:rPr>
        <w:t xml:space="preserve">Addict </w:t>
      </w:r>
      <w:proofErr w:type="spellStart"/>
      <w:r w:rsidRPr="00951955">
        <w:rPr>
          <w:rFonts w:ascii="Arial" w:hAnsi="Arial" w:cs="Arial"/>
          <w:i/>
          <w:iCs/>
          <w:color w:val="222222"/>
          <w:sz w:val="20"/>
          <w:szCs w:val="20"/>
          <w:shd w:val="clear" w:color="auto" w:fill="FFFFFF"/>
        </w:rPr>
        <w:t>Behav</w:t>
      </w:r>
      <w:proofErr w:type="spellEnd"/>
      <w:r w:rsidRPr="00951955">
        <w:rPr>
          <w:rFonts w:ascii="Arial" w:hAnsi="Arial" w:cs="Arial"/>
          <w:i/>
          <w:iCs/>
          <w:color w:val="222222"/>
          <w:sz w:val="20"/>
          <w:szCs w:val="20"/>
          <w:shd w:val="clear" w:color="auto" w:fill="FFFFFF"/>
        </w:rPr>
        <w:t>.</w:t>
      </w:r>
      <w:r w:rsidRPr="00951955">
        <w:rPr>
          <w:rFonts w:ascii="Arial" w:hAnsi="Arial" w:cs="Arial"/>
          <w:iCs/>
          <w:color w:val="222222"/>
          <w:sz w:val="20"/>
          <w:szCs w:val="20"/>
          <w:shd w:val="clear" w:color="auto" w:fill="FFFFFF"/>
        </w:rPr>
        <w:t xml:space="preserve"> 2009</w:t>
      </w:r>
      <w:proofErr w:type="gramStart"/>
      <w:r w:rsidRPr="00951955">
        <w:rPr>
          <w:rFonts w:ascii="Arial" w:hAnsi="Arial" w:cs="Arial"/>
          <w:iCs/>
          <w:color w:val="222222"/>
          <w:sz w:val="20"/>
          <w:szCs w:val="20"/>
          <w:shd w:val="clear" w:color="auto" w:fill="FFFFFF"/>
        </w:rPr>
        <w:t>;34</w:t>
      </w:r>
      <w:proofErr w:type="gramEnd"/>
      <w:r w:rsidRPr="00951955">
        <w:rPr>
          <w:rFonts w:ascii="Arial" w:hAnsi="Arial" w:cs="Arial"/>
          <w:iCs/>
          <w:color w:val="222222"/>
          <w:sz w:val="20"/>
          <w:szCs w:val="20"/>
          <w:shd w:val="clear" w:color="auto" w:fill="FFFFFF"/>
        </w:rPr>
        <w:t>(4):</w:t>
      </w:r>
      <w:r w:rsidRPr="00951955">
        <w:rPr>
          <w:rFonts w:ascii="Arial" w:hAnsi="Arial" w:cs="Arial"/>
          <w:color w:val="222222"/>
          <w:sz w:val="20"/>
          <w:szCs w:val="20"/>
          <w:shd w:val="clear" w:color="auto" w:fill="FFFFFF"/>
        </w:rPr>
        <w:t>403-406.</w:t>
      </w:r>
    </w:p>
    <w:p w:rsidR="00B02418" w:rsidRPr="00951955" w:rsidRDefault="00B02418" w:rsidP="00117D4E">
      <w:pPr>
        <w:pStyle w:val="ListParagraph"/>
        <w:numPr>
          <w:ilvl w:val="0"/>
          <w:numId w:val="1"/>
        </w:numPr>
        <w:rPr>
          <w:rFonts w:ascii="Arial" w:hAnsi="Arial" w:cs="Arial"/>
          <w:color w:val="222222"/>
          <w:sz w:val="20"/>
          <w:szCs w:val="20"/>
          <w:shd w:val="clear" w:color="auto" w:fill="FFFFFF"/>
        </w:rPr>
      </w:pPr>
      <w:proofErr w:type="spellStart"/>
      <w:r w:rsidRPr="00951955">
        <w:rPr>
          <w:rFonts w:ascii="Arial" w:hAnsi="Arial" w:cs="Arial"/>
          <w:color w:val="222222"/>
          <w:sz w:val="20"/>
          <w:szCs w:val="20"/>
          <w:shd w:val="clear" w:color="auto" w:fill="FFFFFF"/>
        </w:rPr>
        <w:t>Smedberg</w:t>
      </w:r>
      <w:proofErr w:type="spellEnd"/>
      <w:r w:rsidRPr="00951955">
        <w:rPr>
          <w:rFonts w:ascii="Arial" w:hAnsi="Arial" w:cs="Arial"/>
          <w:color w:val="222222"/>
          <w:sz w:val="20"/>
          <w:szCs w:val="20"/>
          <w:shd w:val="clear" w:color="auto" w:fill="FFFFFF"/>
        </w:rPr>
        <w:t xml:space="preserve"> J, </w:t>
      </w:r>
      <w:proofErr w:type="spellStart"/>
      <w:r w:rsidRPr="00951955">
        <w:rPr>
          <w:rFonts w:ascii="Arial" w:hAnsi="Arial" w:cs="Arial"/>
          <w:color w:val="222222"/>
          <w:sz w:val="20"/>
          <w:szCs w:val="20"/>
          <w:shd w:val="clear" w:color="auto" w:fill="FFFFFF"/>
        </w:rPr>
        <w:t>Lupattelli</w:t>
      </w:r>
      <w:proofErr w:type="spellEnd"/>
      <w:r w:rsidRPr="00951955">
        <w:rPr>
          <w:rFonts w:ascii="Arial" w:hAnsi="Arial" w:cs="Arial"/>
          <w:color w:val="222222"/>
          <w:sz w:val="20"/>
          <w:szCs w:val="20"/>
          <w:shd w:val="clear" w:color="auto" w:fill="FFFFFF"/>
        </w:rPr>
        <w:t xml:space="preserve"> A, </w:t>
      </w:r>
      <w:proofErr w:type="spellStart"/>
      <w:r w:rsidRPr="00951955">
        <w:rPr>
          <w:rFonts w:ascii="Arial" w:hAnsi="Arial" w:cs="Arial"/>
          <w:color w:val="222222"/>
          <w:sz w:val="20"/>
          <w:szCs w:val="20"/>
          <w:shd w:val="clear" w:color="auto" w:fill="FFFFFF"/>
        </w:rPr>
        <w:t>Mårdby</w:t>
      </w:r>
      <w:proofErr w:type="spellEnd"/>
      <w:r w:rsidRPr="00951955">
        <w:rPr>
          <w:rFonts w:ascii="Arial" w:hAnsi="Arial" w:cs="Arial"/>
          <w:color w:val="222222"/>
          <w:sz w:val="20"/>
          <w:szCs w:val="20"/>
          <w:shd w:val="clear" w:color="auto" w:fill="FFFFFF"/>
        </w:rPr>
        <w:t xml:space="preserve"> AC, </w:t>
      </w:r>
      <w:proofErr w:type="spellStart"/>
      <w:r w:rsidRPr="00951955">
        <w:rPr>
          <w:rFonts w:ascii="Arial" w:hAnsi="Arial" w:cs="Arial"/>
          <w:color w:val="222222"/>
          <w:sz w:val="20"/>
          <w:szCs w:val="20"/>
          <w:shd w:val="clear" w:color="auto" w:fill="FFFFFF"/>
        </w:rPr>
        <w:t>Nordeng</w:t>
      </w:r>
      <w:proofErr w:type="spellEnd"/>
      <w:r w:rsidRPr="00951955">
        <w:rPr>
          <w:rFonts w:ascii="Arial" w:hAnsi="Arial" w:cs="Arial"/>
          <w:color w:val="222222"/>
          <w:sz w:val="20"/>
          <w:szCs w:val="20"/>
          <w:shd w:val="clear" w:color="auto" w:fill="FFFFFF"/>
        </w:rPr>
        <w:t xml:space="preserve"> H. Characteristics of women who continue smoking during pregnancy: a cross-sectional study of pregnant women and new mothers in 15 European countries. </w:t>
      </w:r>
      <w:r w:rsidRPr="00951955">
        <w:rPr>
          <w:rFonts w:ascii="Arial" w:hAnsi="Arial" w:cs="Arial"/>
          <w:i/>
          <w:iCs/>
          <w:color w:val="222222"/>
          <w:sz w:val="20"/>
          <w:szCs w:val="20"/>
          <w:shd w:val="clear" w:color="auto" w:fill="FFFFFF"/>
        </w:rPr>
        <w:t>BMC Pregnancy Childbirth.</w:t>
      </w:r>
      <w:r w:rsidRPr="00951955">
        <w:rPr>
          <w:rFonts w:ascii="Arial" w:hAnsi="Arial" w:cs="Arial"/>
          <w:iCs/>
          <w:color w:val="222222"/>
          <w:sz w:val="20"/>
          <w:szCs w:val="20"/>
          <w:shd w:val="clear" w:color="auto" w:fill="FFFFFF"/>
        </w:rPr>
        <w:t xml:space="preserve"> 2014</w:t>
      </w:r>
      <w:proofErr w:type="gramStart"/>
      <w:r w:rsidRPr="00951955">
        <w:rPr>
          <w:rFonts w:ascii="Arial" w:hAnsi="Arial" w:cs="Arial"/>
          <w:iCs/>
          <w:color w:val="222222"/>
          <w:sz w:val="20"/>
          <w:szCs w:val="20"/>
          <w:shd w:val="clear" w:color="auto" w:fill="FFFFFF"/>
        </w:rPr>
        <w:t>;14</w:t>
      </w:r>
      <w:proofErr w:type="gramEnd"/>
      <w:r w:rsidRPr="00951955">
        <w:rPr>
          <w:rFonts w:ascii="Arial" w:hAnsi="Arial" w:cs="Arial"/>
          <w:iCs/>
          <w:color w:val="222222"/>
          <w:sz w:val="20"/>
          <w:szCs w:val="20"/>
          <w:shd w:val="clear" w:color="auto" w:fill="FFFFFF"/>
        </w:rPr>
        <w:t>(1):</w:t>
      </w:r>
      <w:r w:rsidRPr="00951955">
        <w:rPr>
          <w:rFonts w:ascii="Arial" w:hAnsi="Arial" w:cs="Arial"/>
          <w:color w:val="222222"/>
          <w:sz w:val="20"/>
          <w:szCs w:val="20"/>
          <w:shd w:val="clear" w:color="auto" w:fill="FFFFFF"/>
        </w:rPr>
        <w:t>213.</w:t>
      </w:r>
    </w:p>
    <w:p w:rsidR="00FE798A" w:rsidRPr="00951955" w:rsidRDefault="00FE798A" w:rsidP="00117D4E">
      <w:pPr>
        <w:pStyle w:val="ListParagraph"/>
        <w:numPr>
          <w:ilvl w:val="0"/>
          <w:numId w:val="1"/>
        </w:numPr>
        <w:rPr>
          <w:rFonts w:ascii="Arial" w:hAnsi="Arial" w:cs="Arial"/>
          <w:color w:val="222222"/>
          <w:sz w:val="20"/>
          <w:szCs w:val="20"/>
          <w:shd w:val="clear" w:color="auto" w:fill="FFFFFF"/>
        </w:rPr>
      </w:pPr>
      <w:r w:rsidRPr="00951955">
        <w:rPr>
          <w:rFonts w:ascii="Arial" w:hAnsi="Arial" w:cs="Arial"/>
          <w:color w:val="222222"/>
          <w:sz w:val="20"/>
          <w:szCs w:val="20"/>
          <w:shd w:val="clear" w:color="auto" w:fill="FFFFFF"/>
        </w:rPr>
        <w:t xml:space="preserve">Graham H, Hawkins SS, Law C. </w:t>
      </w:r>
      <w:proofErr w:type="spellStart"/>
      <w:r w:rsidRPr="00951955">
        <w:rPr>
          <w:rFonts w:ascii="Arial" w:hAnsi="Arial" w:cs="Arial"/>
          <w:color w:val="222222"/>
          <w:sz w:val="20"/>
          <w:szCs w:val="20"/>
          <w:shd w:val="clear" w:color="auto" w:fill="FFFFFF"/>
        </w:rPr>
        <w:t>Lifecourse</w:t>
      </w:r>
      <w:proofErr w:type="spellEnd"/>
      <w:r w:rsidRPr="00951955">
        <w:rPr>
          <w:rFonts w:ascii="Arial" w:hAnsi="Arial" w:cs="Arial"/>
          <w:color w:val="222222"/>
          <w:sz w:val="20"/>
          <w:szCs w:val="20"/>
          <w:shd w:val="clear" w:color="auto" w:fill="FFFFFF"/>
        </w:rPr>
        <w:t xml:space="preserve"> influences on women's smoking before, during and after pregnancy. </w:t>
      </w:r>
      <w:proofErr w:type="spellStart"/>
      <w:r w:rsidRPr="00951955">
        <w:rPr>
          <w:rFonts w:ascii="Arial" w:hAnsi="Arial" w:cs="Arial"/>
          <w:color w:val="222222"/>
          <w:sz w:val="20"/>
          <w:szCs w:val="20"/>
          <w:shd w:val="clear" w:color="auto" w:fill="FFFFFF"/>
        </w:rPr>
        <w:t>Soc</w:t>
      </w:r>
      <w:proofErr w:type="spellEnd"/>
      <w:r w:rsidRPr="00951955">
        <w:rPr>
          <w:rFonts w:ascii="Arial" w:hAnsi="Arial" w:cs="Arial"/>
          <w:color w:val="222222"/>
          <w:sz w:val="20"/>
          <w:szCs w:val="20"/>
          <w:shd w:val="clear" w:color="auto" w:fill="FFFFFF"/>
        </w:rPr>
        <w:t xml:space="preserve"> </w:t>
      </w:r>
      <w:proofErr w:type="spellStart"/>
      <w:r w:rsidRPr="00951955">
        <w:rPr>
          <w:rFonts w:ascii="Arial" w:hAnsi="Arial" w:cs="Arial"/>
          <w:color w:val="222222"/>
          <w:sz w:val="20"/>
          <w:szCs w:val="20"/>
          <w:shd w:val="clear" w:color="auto" w:fill="FFFFFF"/>
        </w:rPr>
        <w:t>Sci</w:t>
      </w:r>
      <w:proofErr w:type="spellEnd"/>
      <w:r w:rsidRPr="00951955">
        <w:rPr>
          <w:rFonts w:ascii="Arial" w:hAnsi="Arial" w:cs="Arial"/>
          <w:color w:val="222222"/>
          <w:sz w:val="20"/>
          <w:szCs w:val="20"/>
          <w:shd w:val="clear" w:color="auto" w:fill="FFFFFF"/>
        </w:rPr>
        <w:t xml:space="preserve"> Med. 2010</w:t>
      </w:r>
      <w:proofErr w:type="gramStart"/>
      <w:r w:rsidRPr="00951955">
        <w:rPr>
          <w:rFonts w:ascii="Arial" w:hAnsi="Arial" w:cs="Arial"/>
          <w:color w:val="222222"/>
          <w:sz w:val="20"/>
          <w:szCs w:val="20"/>
          <w:shd w:val="clear" w:color="auto" w:fill="FFFFFF"/>
        </w:rPr>
        <w:t>;70</w:t>
      </w:r>
      <w:proofErr w:type="gramEnd"/>
      <w:r w:rsidRPr="00951955">
        <w:rPr>
          <w:rFonts w:ascii="Arial" w:hAnsi="Arial" w:cs="Arial"/>
          <w:color w:val="222222"/>
          <w:sz w:val="20"/>
          <w:szCs w:val="20"/>
          <w:shd w:val="clear" w:color="auto" w:fill="FFFFFF"/>
        </w:rPr>
        <w:t>(4):582-587.</w:t>
      </w:r>
    </w:p>
    <w:p w:rsidR="00FE798A" w:rsidRDefault="00FE798A" w:rsidP="00117D4E">
      <w:pPr>
        <w:pStyle w:val="ListParagraph"/>
        <w:numPr>
          <w:ilvl w:val="0"/>
          <w:numId w:val="1"/>
        </w:numPr>
        <w:rPr>
          <w:rFonts w:ascii="Arial" w:hAnsi="Arial" w:cs="Arial"/>
          <w:color w:val="222222"/>
          <w:sz w:val="20"/>
          <w:szCs w:val="20"/>
          <w:shd w:val="clear" w:color="auto" w:fill="FFFFFF"/>
        </w:rPr>
      </w:pPr>
      <w:r w:rsidRPr="00951955">
        <w:rPr>
          <w:rFonts w:ascii="Arial" w:hAnsi="Arial" w:cs="Arial"/>
          <w:color w:val="222222"/>
          <w:sz w:val="20"/>
          <w:szCs w:val="20"/>
          <w:shd w:val="clear" w:color="auto" w:fill="FFFFFF"/>
        </w:rPr>
        <w:lastRenderedPageBreak/>
        <w:t>Penn G, Owen L. Factors associated with continued smoking during pregnancy: analysis of socio</w:t>
      </w:r>
      <w:r w:rsidRPr="00951955">
        <w:rPr>
          <w:rFonts w:ascii="Cambria Math" w:hAnsi="Cambria Math" w:cs="Cambria Math"/>
          <w:color w:val="222222"/>
          <w:sz w:val="20"/>
          <w:szCs w:val="20"/>
          <w:shd w:val="clear" w:color="auto" w:fill="FFFFFF"/>
        </w:rPr>
        <w:t>‐</w:t>
      </w:r>
      <w:r w:rsidRPr="00951955">
        <w:rPr>
          <w:rFonts w:ascii="Arial" w:hAnsi="Arial" w:cs="Arial"/>
          <w:color w:val="222222"/>
          <w:sz w:val="20"/>
          <w:szCs w:val="20"/>
          <w:shd w:val="clear" w:color="auto" w:fill="FFFFFF"/>
        </w:rPr>
        <w:t>demographic, pregnancy and smoking</w:t>
      </w:r>
      <w:r w:rsidRPr="00951955">
        <w:rPr>
          <w:rFonts w:ascii="Cambria Math" w:hAnsi="Cambria Math" w:cs="Cambria Math"/>
          <w:color w:val="222222"/>
          <w:sz w:val="20"/>
          <w:szCs w:val="20"/>
          <w:shd w:val="clear" w:color="auto" w:fill="FFFFFF"/>
        </w:rPr>
        <w:t>‐</w:t>
      </w:r>
      <w:r w:rsidRPr="00951955">
        <w:rPr>
          <w:rFonts w:ascii="Arial" w:hAnsi="Arial" w:cs="Arial"/>
          <w:color w:val="222222"/>
          <w:sz w:val="20"/>
          <w:szCs w:val="20"/>
          <w:shd w:val="clear" w:color="auto" w:fill="FFFFFF"/>
        </w:rPr>
        <w:t>related factors. </w:t>
      </w:r>
      <w:r w:rsidRPr="00951955">
        <w:rPr>
          <w:rFonts w:ascii="Arial" w:hAnsi="Arial" w:cs="Arial"/>
          <w:i/>
          <w:iCs/>
          <w:color w:val="222222"/>
          <w:sz w:val="20"/>
          <w:szCs w:val="20"/>
          <w:shd w:val="clear" w:color="auto" w:fill="FFFFFF"/>
        </w:rPr>
        <w:t>Drug Alcohol Rev.</w:t>
      </w:r>
      <w:r w:rsidRPr="00951955">
        <w:rPr>
          <w:rFonts w:ascii="Arial" w:hAnsi="Arial" w:cs="Arial"/>
          <w:iCs/>
          <w:color w:val="222222"/>
          <w:sz w:val="20"/>
          <w:szCs w:val="20"/>
          <w:shd w:val="clear" w:color="auto" w:fill="FFFFFF"/>
        </w:rPr>
        <w:t xml:space="preserve"> 2002</w:t>
      </w:r>
      <w:proofErr w:type="gramStart"/>
      <w:r w:rsidRPr="00951955">
        <w:rPr>
          <w:rFonts w:ascii="Arial" w:hAnsi="Arial" w:cs="Arial"/>
          <w:iCs/>
          <w:color w:val="222222"/>
          <w:sz w:val="20"/>
          <w:szCs w:val="20"/>
          <w:shd w:val="clear" w:color="auto" w:fill="FFFFFF"/>
        </w:rPr>
        <w:t>;21</w:t>
      </w:r>
      <w:proofErr w:type="gramEnd"/>
      <w:r w:rsidRPr="00951955">
        <w:rPr>
          <w:rFonts w:ascii="Arial" w:hAnsi="Arial" w:cs="Arial"/>
          <w:iCs/>
          <w:color w:val="222222"/>
          <w:sz w:val="20"/>
          <w:szCs w:val="20"/>
          <w:shd w:val="clear" w:color="auto" w:fill="FFFFFF"/>
        </w:rPr>
        <w:t>(1):1</w:t>
      </w:r>
      <w:r w:rsidRPr="00951955">
        <w:rPr>
          <w:rFonts w:ascii="Arial" w:hAnsi="Arial" w:cs="Arial"/>
          <w:color w:val="222222"/>
          <w:sz w:val="20"/>
          <w:szCs w:val="20"/>
          <w:shd w:val="clear" w:color="auto" w:fill="FFFFFF"/>
        </w:rPr>
        <w:t>7-25.</w:t>
      </w:r>
    </w:p>
    <w:p w:rsidR="000651F6" w:rsidRPr="00951955" w:rsidRDefault="000651F6" w:rsidP="00117D4E">
      <w:pPr>
        <w:pStyle w:val="ListParagraph"/>
        <w:numPr>
          <w:ilvl w:val="0"/>
          <w:numId w:val="1"/>
        </w:num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Pickett KE, Wilkinson RG, </w:t>
      </w:r>
      <w:proofErr w:type="spellStart"/>
      <w:r>
        <w:rPr>
          <w:rFonts w:ascii="Arial" w:hAnsi="Arial" w:cs="Arial"/>
          <w:color w:val="222222"/>
          <w:sz w:val="20"/>
          <w:szCs w:val="20"/>
          <w:shd w:val="clear" w:color="auto" w:fill="FFFFFF"/>
        </w:rPr>
        <w:t>Wakschlag</w:t>
      </w:r>
      <w:proofErr w:type="spellEnd"/>
      <w:r>
        <w:rPr>
          <w:rFonts w:ascii="Arial" w:hAnsi="Arial" w:cs="Arial"/>
          <w:color w:val="222222"/>
          <w:sz w:val="20"/>
          <w:szCs w:val="20"/>
          <w:shd w:val="clear" w:color="auto" w:fill="FFFFFF"/>
        </w:rPr>
        <w:t xml:space="preserve"> LS. The psychosocial context of pregnancy smoking and quitting in the Millennium Cohort Study. </w:t>
      </w:r>
      <w:r w:rsidRPr="000651F6">
        <w:rPr>
          <w:rFonts w:ascii="Arial" w:hAnsi="Arial" w:cs="Arial"/>
          <w:i/>
          <w:color w:val="222222"/>
          <w:sz w:val="20"/>
          <w:szCs w:val="20"/>
          <w:shd w:val="clear" w:color="auto" w:fill="FFFFFF"/>
        </w:rPr>
        <w:t xml:space="preserve">J </w:t>
      </w:r>
      <w:proofErr w:type="spellStart"/>
      <w:r w:rsidRPr="000651F6">
        <w:rPr>
          <w:rFonts w:ascii="Arial" w:hAnsi="Arial" w:cs="Arial"/>
          <w:i/>
          <w:color w:val="222222"/>
          <w:sz w:val="20"/>
          <w:szCs w:val="20"/>
          <w:shd w:val="clear" w:color="auto" w:fill="FFFFFF"/>
        </w:rPr>
        <w:t>Epidemiol</w:t>
      </w:r>
      <w:proofErr w:type="spellEnd"/>
      <w:r w:rsidRPr="000651F6">
        <w:rPr>
          <w:rFonts w:ascii="Arial" w:hAnsi="Arial" w:cs="Arial"/>
          <w:i/>
          <w:color w:val="222222"/>
          <w:sz w:val="20"/>
          <w:szCs w:val="20"/>
          <w:shd w:val="clear" w:color="auto" w:fill="FFFFFF"/>
        </w:rPr>
        <w:t>. Community Health</w:t>
      </w:r>
      <w:r>
        <w:rPr>
          <w:rFonts w:ascii="Arial" w:hAnsi="Arial" w:cs="Arial"/>
          <w:color w:val="222222"/>
          <w:sz w:val="20"/>
          <w:szCs w:val="20"/>
          <w:shd w:val="clear" w:color="auto" w:fill="FFFFFF"/>
        </w:rPr>
        <w:t>. 2009</w:t>
      </w:r>
      <w:proofErr w:type="gramStart"/>
      <w:r>
        <w:rPr>
          <w:rFonts w:ascii="Arial" w:hAnsi="Arial" w:cs="Arial"/>
          <w:color w:val="222222"/>
          <w:sz w:val="20"/>
          <w:szCs w:val="20"/>
          <w:shd w:val="clear" w:color="auto" w:fill="FFFFFF"/>
        </w:rPr>
        <w:t>;63:474</w:t>
      </w:r>
      <w:proofErr w:type="gramEnd"/>
      <w:r>
        <w:rPr>
          <w:rFonts w:ascii="Arial" w:hAnsi="Arial" w:cs="Arial"/>
          <w:color w:val="222222"/>
          <w:sz w:val="20"/>
          <w:szCs w:val="20"/>
          <w:shd w:val="clear" w:color="auto" w:fill="FFFFFF"/>
        </w:rPr>
        <w:t>-480.</w:t>
      </w:r>
    </w:p>
    <w:p w:rsidR="00FE798A" w:rsidRPr="00951955" w:rsidRDefault="00FE798A" w:rsidP="00117D4E">
      <w:pPr>
        <w:pStyle w:val="ListParagraph"/>
        <w:numPr>
          <w:ilvl w:val="0"/>
          <w:numId w:val="1"/>
        </w:numPr>
        <w:rPr>
          <w:rFonts w:ascii="Arial" w:hAnsi="Arial" w:cs="Arial"/>
          <w:iCs/>
          <w:color w:val="222222"/>
          <w:sz w:val="20"/>
          <w:szCs w:val="20"/>
          <w:shd w:val="clear" w:color="auto" w:fill="FFFFFF"/>
        </w:rPr>
      </w:pPr>
      <w:proofErr w:type="spellStart"/>
      <w:r w:rsidRPr="00951955">
        <w:rPr>
          <w:rFonts w:ascii="Arial" w:hAnsi="Arial" w:cs="Arial"/>
          <w:color w:val="222222"/>
          <w:sz w:val="20"/>
          <w:szCs w:val="20"/>
          <w:shd w:val="clear" w:color="auto" w:fill="FFFFFF"/>
        </w:rPr>
        <w:t>Siahpush</w:t>
      </w:r>
      <w:proofErr w:type="spellEnd"/>
      <w:r w:rsidRPr="00951955">
        <w:rPr>
          <w:rFonts w:ascii="Arial" w:hAnsi="Arial" w:cs="Arial"/>
          <w:color w:val="222222"/>
          <w:sz w:val="20"/>
          <w:szCs w:val="20"/>
          <w:shd w:val="clear" w:color="auto" w:fill="FFFFFF"/>
        </w:rPr>
        <w:t xml:space="preserve"> M, Carlin JB. Financial stress, smoking cessation and relapse: results from a prospective study of an Australian national sample. </w:t>
      </w:r>
      <w:r w:rsidRPr="00951955">
        <w:rPr>
          <w:rFonts w:ascii="Arial" w:hAnsi="Arial" w:cs="Arial"/>
          <w:i/>
          <w:iCs/>
          <w:color w:val="222222"/>
          <w:sz w:val="20"/>
          <w:szCs w:val="20"/>
          <w:shd w:val="clear" w:color="auto" w:fill="FFFFFF"/>
        </w:rPr>
        <w:t>Addiction.</w:t>
      </w:r>
      <w:r w:rsidRPr="00951955">
        <w:rPr>
          <w:rFonts w:ascii="Arial" w:hAnsi="Arial" w:cs="Arial"/>
          <w:iCs/>
          <w:color w:val="222222"/>
          <w:sz w:val="20"/>
          <w:szCs w:val="20"/>
          <w:shd w:val="clear" w:color="auto" w:fill="FFFFFF"/>
        </w:rPr>
        <w:t xml:space="preserve"> 2006</w:t>
      </w:r>
      <w:proofErr w:type="gramStart"/>
      <w:r w:rsidRPr="00951955">
        <w:rPr>
          <w:rFonts w:ascii="Arial" w:hAnsi="Arial" w:cs="Arial"/>
          <w:iCs/>
          <w:color w:val="222222"/>
          <w:sz w:val="20"/>
          <w:szCs w:val="20"/>
          <w:shd w:val="clear" w:color="auto" w:fill="FFFFFF"/>
        </w:rPr>
        <w:t>;101</w:t>
      </w:r>
      <w:proofErr w:type="gramEnd"/>
      <w:r w:rsidRPr="00951955">
        <w:rPr>
          <w:rFonts w:ascii="Arial" w:hAnsi="Arial" w:cs="Arial"/>
          <w:iCs/>
          <w:color w:val="222222"/>
          <w:sz w:val="20"/>
          <w:szCs w:val="20"/>
          <w:shd w:val="clear" w:color="auto" w:fill="FFFFFF"/>
        </w:rPr>
        <w:t>(1):</w:t>
      </w:r>
      <w:r w:rsidRPr="00951955">
        <w:rPr>
          <w:rFonts w:ascii="Arial" w:hAnsi="Arial" w:cs="Arial"/>
          <w:color w:val="222222"/>
          <w:sz w:val="20"/>
          <w:szCs w:val="20"/>
          <w:shd w:val="clear" w:color="auto" w:fill="FFFFFF"/>
        </w:rPr>
        <w:t>121-127.</w:t>
      </w:r>
    </w:p>
    <w:p w:rsidR="00FE798A" w:rsidRPr="00951955" w:rsidRDefault="00FE798A" w:rsidP="00117D4E">
      <w:pPr>
        <w:pStyle w:val="ListParagraph"/>
        <w:numPr>
          <w:ilvl w:val="0"/>
          <w:numId w:val="1"/>
        </w:numPr>
        <w:rPr>
          <w:rFonts w:ascii="Arial" w:hAnsi="Arial" w:cs="Arial"/>
          <w:color w:val="222222"/>
          <w:sz w:val="20"/>
          <w:szCs w:val="20"/>
          <w:shd w:val="clear" w:color="auto" w:fill="FFFFFF"/>
        </w:rPr>
      </w:pPr>
      <w:proofErr w:type="spellStart"/>
      <w:r w:rsidRPr="00951955">
        <w:rPr>
          <w:rFonts w:ascii="Arial" w:hAnsi="Arial" w:cs="Arial"/>
          <w:color w:val="222222"/>
          <w:sz w:val="20"/>
          <w:szCs w:val="20"/>
          <w:shd w:val="clear" w:color="auto" w:fill="F8F8F8"/>
        </w:rPr>
        <w:t>Siahpush</w:t>
      </w:r>
      <w:proofErr w:type="spellEnd"/>
      <w:r w:rsidRPr="00951955">
        <w:rPr>
          <w:rFonts w:ascii="Arial" w:hAnsi="Arial" w:cs="Arial"/>
          <w:color w:val="222222"/>
          <w:sz w:val="20"/>
          <w:szCs w:val="20"/>
          <w:shd w:val="clear" w:color="auto" w:fill="F8F8F8"/>
        </w:rPr>
        <w:t xml:space="preserve"> M, Yong HH, Borland R, Reid JL, Hammond D. Smokers with financial stress are more likely to want to quit but less likely to try or succeed: findings from the International Tobacco Control (ITC) Four Country Survey. </w:t>
      </w:r>
      <w:r w:rsidRPr="00951955">
        <w:rPr>
          <w:rFonts w:ascii="Arial" w:hAnsi="Arial" w:cs="Arial"/>
          <w:i/>
          <w:iCs/>
          <w:color w:val="222222"/>
          <w:sz w:val="20"/>
          <w:szCs w:val="20"/>
          <w:shd w:val="clear" w:color="auto" w:fill="F8F8F8"/>
        </w:rPr>
        <w:t>Addiction.</w:t>
      </w:r>
      <w:r w:rsidRPr="00951955">
        <w:rPr>
          <w:rFonts w:ascii="Arial" w:hAnsi="Arial" w:cs="Arial"/>
          <w:iCs/>
          <w:color w:val="222222"/>
          <w:sz w:val="20"/>
          <w:szCs w:val="20"/>
          <w:shd w:val="clear" w:color="auto" w:fill="F8F8F8"/>
        </w:rPr>
        <w:t xml:space="preserve"> 2009</w:t>
      </w:r>
      <w:proofErr w:type="gramStart"/>
      <w:r w:rsidRPr="00951955">
        <w:rPr>
          <w:rFonts w:ascii="Arial" w:hAnsi="Arial" w:cs="Arial"/>
          <w:iCs/>
          <w:color w:val="222222"/>
          <w:sz w:val="20"/>
          <w:szCs w:val="20"/>
          <w:shd w:val="clear" w:color="auto" w:fill="F8F8F8"/>
        </w:rPr>
        <w:t>;104</w:t>
      </w:r>
      <w:proofErr w:type="gramEnd"/>
      <w:r w:rsidRPr="00951955">
        <w:rPr>
          <w:rFonts w:ascii="Arial" w:hAnsi="Arial" w:cs="Arial"/>
          <w:iCs/>
          <w:color w:val="222222"/>
          <w:sz w:val="20"/>
          <w:szCs w:val="20"/>
          <w:shd w:val="clear" w:color="auto" w:fill="F8F8F8"/>
        </w:rPr>
        <w:t>(8):</w:t>
      </w:r>
      <w:r w:rsidRPr="00951955">
        <w:rPr>
          <w:rFonts w:ascii="Arial" w:hAnsi="Arial" w:cs="Arial"/>
          <w:color w:val="222222"/>
          <w:sz w:val="20"/>
          <w:szCs w:val="20"/>
          <w:shd w:val="clear" w:color="auto" w:fill="F8F8F8"/>
        </w:rPr>
        <w:t>1382-1390.</w:t>
      </w:r>
    </w:p>
    <w:p w:rsidR="00FE798A" w:rsidRPr="00951955" w:rsidRDefault="00FE798A" w:rsidP="00117D4E">
      <w:pPr>
        <w:pStyle w:val="ListParagraph"/>
        <w:numPr>
          <w:ilvl w:val="0"/>
          <w:numId w:val="1"/>
        </w:numPr>
        <w:rPr>
          <w:rFonts w:ascii="Arial" w:hAnsi="Arial" w:cs="Arial"/>
          <w:color w:val="222222"/>
          <w:sz w:val="20"/>
          <w:szCs w:val="20"/>
          <w:shd w:val="clear" w:color="auto" w:fill="F8F8F8"/>
        </w:rPr>
      </w:pPr>
      <w:proofErr w:type="spellStart"/>
      <w:r w:rsidRPr="00951955">
        <w:rPr>
          <w:rFonts w:ascii="Arial" w:hAnsi="Arial" w:cs="Arial"/>
          <w:color w:val="222222"/>
          <w:sz w:val="20"/>
          <w:szCs w:val="20"/>
          <w:shd w:val="clear" w:color="auto" w:fill="F8F8F8"/>
        </w:rPr>
        <w:t>Falba</w:t>
      </w:r>
      <w:proofErr w:type="spellEnd"/>
      <w:r w:rsidRPr="00951955">
        <w:rPr>
          <w:rFonts w:ascii="Arial" w:hAnsi="Arial" w:cs="Arial"/>
          <w:color w:val="222222"/>
          <w:sz w:val="20"/>
          <w:szCs w:val="20"/>
          <w:shd w:val="clear" w:color="auto" w:fill="F8F8F8"/>
        </w:rPr>
        <w:t xml:space="preserve"> T, </w:t>
      </w:r>
      <w:proofErr w:type="spellStart"/>
      <w:r w:rsidRPr="00951955">
        <w:rPr>
          <w:rFonts w:ascii="Arial" w:hAnsi="Arial" w:cs="Arial"/>
          <w:color w:val="222222"/>
          <w:sz w:val="20"/>
          <w:szCs w:val="20"/>
          <w:shd w:val="clear" w:color="auto" w:fill="F8F8F8"/>
        </w:rPr>
        <w:t>Teng</w:t>
      </w:r>
      <w:proofErr w:type="spellEnd"/>
      <w:r w:rsidRPr="00951955">
        <w:rPr>
          <w:rFonts w:ascii="Arial" w:hAnsi="Arial" w:cs="Arial"/>
          <w:color w:val="222222"/>
          <w:sz w:val="20"/>
          <w:szCs w:val="20"/>
          <w:shd w:val="clear" w:color="auto" w:fill="F8F8F8"/>
        </w:rPr>
        <w:t xml:space="preserve"> HM, </w:t>
      </w:r>
      <w:proofErr w:type="spellStart"/>
      <w:r w:rsidRPr="00951955">
        <w:rPr>
          <w:rFonts w:ascii="Arial" w:hAnsi="Arial" w:cs="Arial"/>
          <w:color w:val="222222"/>
          <w:sz w:val="20"/>
          <w:szCs w:val="20"/>
          <w:shd w:val="clear" w:color="auto" w:fill="F8F8F8"/>
        </w:rPr>
        <w:t>Sindelar</w:t>
      </w:r>
      <w:proofErr w:type="spellEnd"/>
      <w:r w:rsidRPr="00951955">
        <w:rPr>
          <w:rFonts w:ascii="Arial" w:hAnsi="Arial" w:cs="Arial"/>
          <w:color w:val="222222"/>
          <w:sz w:val="20"/>
          <w:szCs w:val="20"/>
          <w:shd w:val="clear" w:color="auto" w:fill="F8F8F8"/>
        </w:rPr>
        <w:t xml:space="preserve"> JL, Gallo WT. The effect of involuntary job loss on smoking intensity and relapse. </w:t>
      </w:r>
      <w:r w:rsidRPr="00951955">
        <w:rPr>
          <w:rFonts w:ascii="Arial" w:hAnsi="Arial" w:cs="Arial"/>
          <w:i/>
          <w:iCs/>
          <w:color w:val="222222"/>
          <w:sz w:val="20"/>
          <w:szCs w:val="20"/>
          <w:shd w:val="clear" w:color="auto" w:fill="F8F8F8"/>
        </w:rPr>
        <w:t>Addiction.</w:t>
      </w:r>
      <w:r w:rsidRPr="00951955">
        <w:rPr>
          <w:rFonts w:ascii="Arial" w:hAnsi="Arial" w:cs="Arial"/>
          <w:iCs/>
          <w:color w:val="222222"/>
          <w:sz w:val="20"/>
          <w:szCs w:val="20"/>
          <w:shd w:val="clear" w:color="auto" w:fill="F8F8F8"/>
        </w:rPr>
        <w:t xml:space="preserve"> 2005</w:t>
      </w:r>
      <w:proofErr w:type="gramStart"/>
      <w:r w:rsidRPr="00951955">
        <w:rPr>
          <w:rFonts w:ascii="Arial" w:hAnsi="Arial" w:cs="Arial"/>
          <w:iCs/>
          <w:color w:val="222222"/>
          <w:sz w:val="20"/>
          <w:szCs w:val="20"/>
          <w:shd w:val="clear" w:color="auto" w:fill="F8F8F8"/>
        </w:rPr>
        <w:t>;100</w:t>
      </w:r>
      <w:proofErr w:type="gramEnd"/>
      <w:r w:rsidRPr="00951955">
        <w:rPr>
          <w:rFonts w:ascii="Arial" w:hAnsi="Arial" w:cs="Arial"/>
          <w:iCs/>
          <w:color w:val="222222"/>
          <w:sz w:val="20"/>
          <w:szCs w:val="20"/>
          <w:shd w:val="clear" w:color="auto" w:fill="F8F8F8"/>
        </w:rPr>
        <w:t>(9):</w:t>
      </w:r>
      <w:r w:rsidRPr="00951955">
        <w:rPr>
          <w:rFonts w:ascii="Arial" w:hAnsi="Arial" w:cs="Arial"/>
          <w:color w:val="222222"/>
          <w:sz w:val="20"/>
          <w:szCs w:val="20"/>
          <w:shd w:val="clear" w:color="auto" w:fill="F8F8F8"/>
        </w:rPr>
        <w:t>1330-1339.</w:t>
      </w:r>
    </w:p>
    <w:p w:rsidR="00FE798A" w:rsidRPr="00951955" w:rsidRDefault="00FE798A" w:rsidP="00117D4E">
      <w:pPr>
        <w:pStyle w:val="ListParagraph"/>
        <w:numPr>
          <w:ilvl w:val="0"/>
          <w:numId w:val="1"/>
        </w:numPr>
        <w:rPr>
          <w:rFonts w:ascii="Arial" w:hAnsi="Arial" w:cs="Arial"/>
          <w:color w:val="222222"/>
          <w:sz w:val="20"/>
          <w:szCs w:val="20"/>
          <w:shd w:val="clear" w:color="auto" w:fill="F8F8F8"/>
        </w:rPr>
      </w:pPr>
      <w:r w:rsidRPr="00951955">
        <w:rPr>
          <w:rFonts w:ascii="Arial" w:hAnsi="Arial" w:cs="Arial"/>
          <w:color w:val="222222"/>
          <w:sz w:val="20"/>
          <w:szCs w:val="20"/>
          <w:shd w:val="clear" w:color="auto" w:fill="F8F8F8"/>
        </w:rPr>
        <w:t xml:space="preserve">McKee SA, </w:t>
      </w:r>
      <w:proofErr w:type="spellStart"/>
      <w:r w:rsidRPr="00951955">
        <w:rPr>
          <w:rFonts w:ascii="Arial" w:hAnsi="Arial" w:cs="Arial"/>
          <w:color w:val="222222"/>
          <w:sz w:val="20"/>
          <w:szCs w:val="20"/>
          <w:shd w:val="clear" w:color="auto" w:fill="F8F8F8"/>
        </w:rPr>
        <w:t>Maciejewski</w:t>
      </w:r>
      <w:proofErr w:type="spellEnd"/>
      <w:r w:rsidRPr="00951955">
        <w:rPr>
          <w:rFonts w:ascii="Arial" w:hAnsi="Arial" w:cs="Arial"/>
          <w:color w:val="222222"/>
          <w:sz w:val="20"/>
          <w:szCs w:val="20"/>
          <w:shd w:val="clear" w:color="auto" w:fill="F8F8F8"/>
        </w:rPr>
        <w:t xml:space="preserve"> PK, </w:t>
      </w:r>
      <w:proofErr w:type="spellStart"/>
      <w:r w:rsidRPr="00951955">
        <w:rPr>
          <w:rFonts w:ascii="Arial" w:hAnsi="Arial" w:cs="Arial"/>
          <w:color w:val="222222"/>
          <w:sz w:val="20"/>
          <w:szCs w:val="20"/>
          <w:shd w:val="clear" w:color="auto" w:fill="F8F8F8"/>
        </w:rPr>
        <w:t>Falba</w:t>
      </w:r>
      <w:proofErr w:type="spellEnd"/>
      <w:r w:rsidRPr="00951955">
        <w:rPr>
          <w:rFonts w:ascii="Arial" w:hAnsi="Arial" w:cs="Arial"/>
          <w:color w:val="222222"/>
          <w:sz w:val="20"/>
          <w:szCs w:val="20"/>
          <w:shd w:val="clear" w:color="auto" w:fill="F8F8F8"/>
        </w:rPr>
        <w:t xml:space="preserve"> T, </w:t>
      </w:r>
      <w:proofErr w:type="spellStart"/>
      <w:r w:rsidRPr="00951955">
        <w:rPr>
          <w:rFonts w:ascii="Arial" w:hAnsi="Arial" w:cs="Arial"/>
          <w:color w:val="222222"/>
          <w:sz w:val="20"/>
          <w:szCs w:val="20"/>
          <w:shd w:val="clear" w:color="auto" w:fill="F8F8F8"/>
        </w:rPr>
        <w:t>Mazure</w:t>
      </w:r>
      <w:proofErr w:type="spellEnd"/>
      <w:r w:rsidRPr="00951955">
        <w:rPr>
          <w:rFonts w:ascii="Arial" w:hAnsi="Arial" w:cs="Arial"/>
          <w:color w:val="222222"/>
          <w:sz w:val="20"/>
          <w:szCs w:val="20"/>
          <w:shd w:val="clear" w:color="auto" w:fill="F8F8F8"/>
        </w:rPr>
        <w:t xml:space="preserve"> CM. Sex differences in the effects of stressful life events on changes in smoking status. </w:t>
      </w:r>
      <w:r w:rsidRPr="00951955">
        <w:rPr>
          <w:rFonts w:ascii="Arial" w:hAnsi="Arial" w:cs="Arial"/>
          <w:i/>
          <w:iCs/>
          <w:color w:val="222222"/>
          <w:sz w:val="20"/>
          <w:szCs w:val="20"/>
          <w:shd w:val="clear" w:color="auto" w:fill="F8F8F8"/>
        </w:rPr>
        <w:t>Addiction.</w:t>
      </w:r>
      <w:r w:rsidRPr="00951955">
        <w:rPr>
          <w:rFonts w:ascii="Arial" w:hAnsi="Arial" w:cs="Arial"/>
          <w:iCs/>
          <w:color w:val="222222"/>
          <w:sz w:val="20"/>
          <w:szCs w:val="20"/>
          <w:shd w:val="clear" w:color="auto" w:fill="F8F8F8"/>
        </w:rPr>
        <w:t xml:space="preserve"> 2003</w:t>
      </w:r>
      <w:proofErr w:type="gramStart"/>
      <w:r w:rsidRPr="00951955">
        <w:rPr>
          <w:rFonts w:ascii="Arial" w:hAnsi="Arial" w:cs="Arial"/>
          <w:iCs/>
          <w:color w:val="222222"/>
          <w:sz w:val="20"/>
          <w:szCs w:val="20"/>
          <w:shd w:val="clear" w:color="auto" w:fill="F8F8F8"/>
        </w:rPr>
        <w:t>;98</w:t>
      </w:r>
      <w:proofErr w:type="gramEnd"/>
      <w:r w:rsidRPr="00951955">
        <w:rPr>
          <w:rFonts w:ascii="Arial" w:hAnsi="Arial" w:cs="Arial"/>
          <w:iCs/>
          <w:color w:val="222222"/>
          <w:sz w:val="20"/>
          <w:szCs w:val="20"/>
          <w:shd w:val="clear" w:color="auto" w:fill="F8F8F8"/>
        </w:rPr>
        <w:t>(6):</w:t>
      </w:r>
      <w:r w:rsidRPr="00951955">
        <w:rPr>
          <w:rFonts w:ascii="Arial" w:hAnsi="Arial" w:cs="Arial"/>
          <w:color w:val="222222"/>
          <w:sz w:val="20"/>
          <w:szCs w:val="20"/>
          <w:shd w:val="clear" w:color="auto" w:fill="F8F8F8"/>
        </w:rPr>
        <w:t>847-855.</w:t>
      </w:r>
    </w:p>
    <w:p w:rsidR="00FE798A" w:rsidRPr="00951955" w:rsidRDefault="00FE798A" w:rsidP="00117D4E">
      <w:pPr>
        <w:pStyle w:val="ListParagraph"/>
        <w:numPr>
          <w:ilvl w:val="0"/>
          <w:numId w:val="1"/>
        </w:numPr>
        <w:rPr>
          <w:rFonts w:ascii="Arial" w:hAnsi="Arial" w:cs="Arial"/>
          <w:color w:val="222222"/>
          <w:sz w:val="20"/>
          <w:szCs w:val="20"/>
          <w:shd w:val="clear" w:color="auto" w:fill="FFFFFF"/>
        </w:rPr>
      </w:pPr>
      <w:proofErr w:type="spellStart"/>
      <w:r w:rsidRPr="00951955">
        <w:rPr>
          <w:rFonts w:ascii="Arial" w:hAnsi="Arial" w:cs="Arial"/>
          <w:color w:val="222222"/>
          <w:sz w:val="20"/>
          <w:szCs w:val="20"/>
          <w:shd w:val="clear" w:color="auto" w:fill="FFFFFF"/>
        </w:rPr>
        <w:t>Ruhm</w:t>
      </w:r>
      <w:proofErr w:type="spellEnd"/>
      <w:r w:rsidRPr="00951955">
        <w:rPr>
          <w:rFonts w:ascii="Arial" w:hAnsi="Arial" w:cs="Arial"/>
          <w:color w:val="222222"/>
          <w:sz w:val="20"/>
          <w:szCs w:val="20"/>
          <w:shd w:val="clear" w:color="auto" w:fill="FFFFFF"/>
        </w:rPr>
        <w:t xml:space="preserve"> CJ. Healthy living in hard times. </w:t>
      </w:r>
      <w:r w:rsidRPr="00951955">
        <w:rPr>
          <w:rFonts w:ascii="Arial" w:hAnsi="Arial" w:cs="Arial"/>
          <w:i/>
          <w:iCs/>
          <w:color w:val="222222"/>
          <w:sz w:val="20"/>
          <w:szCs w:val="20"/>
          <w:shd w:val="clear" w:color="auto" w:fill="FFFFFF"/>
        </w:rPr>
        <w:t>J Health Econ.</w:t>
      </w:r>
      <w:r w:rsidRPr="00951955">
        <w:rPr>
          <w:rFonts w:ascii="Arial" w:hAnsi="Arial" w:cs="Arial"/>
          <w:iCs/>
          <w:color w:val="222222"/>
          <w:sz w:val="20"/>
          <w:szCs w:val="20"/>
          <w:shd w:val="clear" w:color="auto" w:fill="FFFFFF"/>
        </w:rPr>
        <w:t xml:space="preserve"> 2005</w:t>
      </w:r>
      <w:proofErr w:type="gramStart"/>
      <w:r w:rsidRPr="00951955">
        <w:rPr>
          <w:rFonts w:ascii="Arial" w:hAnsi="Arial" w:cs="Arial"/>
          <w:iCs/>
          <w:color w:val="222222"/>
          <w:sz w:val="20"/>
          <w:szCs w:val="20"/>
          <w:shd w:val="clear" w:color="auto" w:fill="FFFFFF"/>
        </w:rPr>
        <w:t>;24</w:t>
      </w:r>
      <w:proofErr w:type="gramEnd"/>
      <w:r w:rsidRPr="00951955">
        <w:rPr>
          <w:rFonts w:ascii="Arial" w:hAnsi="Arial" w:cs="Arial"/>
          <w:iCs/>
          <w:color w:val="222222"/>
          <w:sz w:val="20"/>
          <w:szCs w:val="20"/>
          <w:shd w:val="clear" w:color="auto" w:fill="FFFFFF"/>
        </w:rPr>
        <w:t>(2):</w:t>
      </w:r>
      <w:r w:rsidRPr="00951955">
        <w:rPr>
          <w:rFonts w:ascii="Arial" w:hAnsi="Arial" w:cs="Arial"/>
          <w:color w:val="222222"/>
          <w:sz w:val="20"/>
          <w:szCs w:val="20"/>
          <w:shd w:val="clear" w:color="auto" w:fill="FFFFFF"/>
        </w:rPr>
        <w:t>341-363.</w:t>
      </w:r>
    </w:p>
    <w:p w:rsidR="00FE798A" w:rsidRPr="00951955" w:rsidRDefault="00FE798A" w:rsidP="00117D4E">
      <w:pPr>
        <w:pStyle w:val="ListParagraph"/>
        <w:numPr>
          <w:ilvl w:val="0"/>
          <w:numId w:val="1"/>
        </w:numPr>
        <w:rPr>
          <w:rFonts w:ascii="Arial" w:hAnsi="Arial" w:cs="Arial"/>
          <w:color w:val="222222"/>
          <w:sz w:val="20"/>
          <w:szCs w:val="20"/>
          <w:shd w:val="clear" w:color="auto" w:fill="F8F8F8"/>
        </w:rPr>
      </w:pPr>
      <w:r w:rsidRPr="00951955">
        <w:rPr>
          <w:rFonts w:ascii="Arial" w:hAnsi="Arial" w:cs="Arial"/>
          <w:color w:val="222222"/>
          <w:sz w:val="20"/>
          <w:szCs w:val="20"/>
          <w:shd w:val="clear" w:color="auto" w:fill="F8F8F8"/>
        </w:rPr>
        <w:t xml:space="preserve">Xu, X. The business cycle and health </w:t>
      </w:r>
      <w:proofErr w:type="spellStart"/>
      <w:r w:rsidRPr="00951955">
        <w:rPr>
          <w:rFonts w:ascii="Arial" w:hAnsi="Arial" w:cs="Arial"/>
          <w:color w:val="222222"/>
          <w:sz w:val="20"/>
          <w:szCs w:val="20"/>
          <w:shd w:val="clear" w:color="auto" w:fill="F8F8F8"/>
        </w:rPr>
        <w:t>behaviors</w:t>
      </w:r>
      <w:proofErr w:type="spellEnd"/>
      <w:r w:rsidRPr="00951955">
        <w:rPr>
          <w:rFonts w:ascii="Arial" w:hAnsi="Arial" w:cs="Arial"/>
          <w:color w:val="222222"/>
          <w:sz w:val="20"/>
          <w:szCs w:val="20"/>
          <w:shd w:val="clear" w:color="auto" w:fill="F8F8F8"/>
        </w:rPr>
        <w:t xml:space="preserve">. </w:t>
      </w:r>
      <w:proofErr w:type="spellStart"/>
      <w:r w:rsidRPr="00951955">
        <w:rPr>
          <w:rFonts w:ascii="Arial" w:hAnsi="Arial" w:cs="Arial"/>
          <w:i/>
          <w:color w:val="222222"/>
          <w:sz w:val="20"/>
          <w:szCs w:val="20"/>
          <w:shd w:val="clear" w:color="auto" w:fill="F8F8F8"/>
        </w:rPr>
        <w:t>Soc</w:t>
      </w:r>
      <w:proofErr w:type="spellEnd"/>
      <w:r w:rsidRPr="00951955">
        <w:rPr>
          <w:rFonts w:ascii="Arial" w:hAnsi="Arial" w:cs="Arial"/>
          <w:i/>
          <w:color w:val="222222"/>
          <w:sz w:val="20"/>
          <w:szCs w:val="20"/>
          <w:shd w:val="clear" w:color="auto" w:fill="F8F8F8"/>
        </w:rPr>
        <w:t xml:space="preserve"> </w:t>
      </w:r>
      <w:proofErr w:type="spellStart"/>
      <w:r w:rsidRPr="00951955">
        <w:rPr>
          <w:rFonts w:ascii="Arial" w:hAnsi="Arial" w:cs="Arial"/>
          <w:i/>
          <w:color w:val="222222"/>
          <w:sz w:val="20"/>
          <w:szCs w:val="20"/>
          <w:shd w:val="clear" w:color="auto" w:fill="F8F8F8"/>
        </w:rPr>
        <w:t>Sci</w:t>
      </w:r>
      <w:proofErr w:type="spellEnd"/>
      <w:r w:rsidRPr="00951955">
        <w:rPr>
          <w:rFonts w:ascii="Arial" w:hAnsi="Arial" w:cs="Arial"/>
          <w:i/>
          <w:color w:val="222222"/>
          <w:sz w:val="20"/>
          <w:szCs w:val="20"/>
          <w:shd w:val="clear" w:color="auto" w:fill="F8F8F8"/>
        </w:rPr>
        <w:t xml:space="preserve"> Med</w:t>
      </w:r>
      <w:r w:rsidRPr="00951955">
        <w:rPr>
          <w:rFonts w:ascii="Arial" w:hAnsi="Arial" w:cs="Arial"/>
          <w:color w:val="222222"/>
          <w:sz w:val="20"/>
          <w:szCs w:val="20"/>
          <w:shd w:val="clear" w:color="auto" w:fill="F8F8F8"/>
        </w:rPr>
        <w:t>. 2013</w:t>
      </w:r>
      <w:proofErr w:type="gramStart"/>
      <w:r w:rsidRPr="00951955">
        <w:rPr>
          <w:rFonts w:ascii="Arial" w:hAnsi="Arial" w:cs="Arial"/>
          <w:i/>
          <w:iCs/>
          <w:color w:val="222222"/>
          <w:sz w:val="20"/>
          <w:szCs w:val="20"/>
          <w:shd w:val="clear" w:color="auto" w:fill="F8F8F8"/>
        </w:rPr>
        <w:t>;</w:t>
      </w:r>
      <w:r w:rsidRPr="00951955">
        <w:rPr>
          <w:rFonts w:ascii="Arial" w:hAnsi="Arial" w:cs="Arial"/>
          <w:color w:val="222222"/>
          <w:sz w:val="20"/>
          <w:szCs w:val="20"/>
          <w:shd w:val="clear" w:color="auto" w:fill="F8F8F8"/>
        </w:rPr>
        <w:t>77:126</w:t>
      </w:r>
      <w:proofErr w:type="gramEnd"/>
      <w:r w:rsidRPr="00951955">
        <w:rPr>
          <w:rFonts w:ascii="Arial" w:hAnsi="Arial" w:cs="Arial"/>
          <w:color w:val="222222"/>
          <w:sz w:val="20"/>
          <w:szCs w:val="20"/>
          <w:shd w:val="clear" w:color="auto" w:fill="F8F8F8"/>
        </w:rPr>
        <w:t>-136.</w:t>
      </w:r>
    </w:p>
    <w:p w:rsidR="00D63F6C" w:rsidRPr="00951955" w:rsidRDefault="00751D27" w:rsidP="00117D4E">
      <w:pPr>
        <w:pStyle w:val="ListParagraph"/>
        <w:numPr>
          <w:ilvl w:val="0"/>
          <w:numId w:val="1"/>
        </w:numPr>
        <w:rPr>
          <w:rFonts w:ascii="Arial" w:hAnsi="Arial" w:cs="Arial"/>
          <w:sz w:val="20"/>
          <w:szCs w:val="20"/>
        </w:rPr>
      </w:pPr>
      <w:proofErr w:type="spellStart"/>
      <w:r w:rsidRPr="00951955">
        <w:rPr>
          <w:rFonts w:ascii="Arial" w:hAnsi="Arial" w:cs="Arial"/>
          <w:color w:val="222222"/>
          <w:sz w:val="20"/>
          <w:szCs w:val="20"/>
          <w:shd w:val="clear" w:color="auto" w:fill="FFFFFF"/>
        </w:rPr>
        <w:t>Ásgeirsdóttir</w:t>
      </w:r>
      <w:proofErr w:type="spellEnd"/>
      <w:r w:rsidRPr="00951955">
        <w:rPr>
          <w:rFonts w:ascii="Arial" w:hAnsi="Arial" w:cs="Arial"/>
          <w:color w:val="222222"/>
          <w:sz w:val="20"/>
          <w:szCs w:val="20"/>
          <w:shd w:val="clear" w:color="auto" w:fill="FFFFFF"/>
        </w:rPr>
        <w:t xml:space="preserve">, TL, </w:t>
      </w:r>
      <w:proofErr w:type="spellStart"/>
      <w:r w:rsidRPr="00951955">
        <w:rPr>
          <w:rFonts w:ascii="Arial" w:hAnsi="Arial" w:cs="Arial"/>
          <w:color w:val="222222"/>
          <w:sz w:val="20"/>
          <w:szCs w:val="20"/>
          <w:shd w:val="clear" w:color="auto" w:fill="FFFFFF"/>
        </w:rPr>
        <w:t>Corman</w:t>
      </w:r>
      <w:proofErr w:type="spellEnd"/>
      <w:r w:rsidRPr="00951955">
        <w:rPr>
          <w:rFonts w:ascii="Arial" w:hAnsi="Arial" w:cs="Arial"/>
          <w:color w:val="222222"/>
          <w:sz w:val="20"/>
          <w:szCs w:val="20"/>
          <w:shd w:val="clear" w:color="auto" w:fill="FFFFFF"/>
        </w:rPr>
        <w:t xml:space="preserve"> H, Noonan K, </w:t>
      </w:r>
      <w:proofErr w:type="spellStart"/>
      <w:r w:rsidRPr="00951955">
        <w:rPr>
          <w:rFonts w:ascii="Arial" w:hAnsi="Arial" w:cs="Arial"/>
          <w:color w:val="222222"/>
          <w:sz w:val="20"/>
          <w:szCs w:val="20"/>
          <w:shd w:val="clear" w:color="auto" w:fill="FFFFFF"/>
        </w:rPr>
        <w:t>Ólafsdóttir</w:t>
      </w:r>
      <w:proofErr w:type="spellEnd"/>
      <w:r w:rsidRPr="00951955">
        <w:rPr>
          <w:rFonts w:ascii="Arial" w:hAnsi="Arial" w:cs="Arial"/>
          <w:color w:val="222222"/>
          <w:sz w:val="20"/>
          <w:szCs w:val="20"/>
          <w:shd w:val="clear" w:color="auto" w:fill="FFFFFF"/>
        </w:rPr>
        <w:t xml:space="preserve"> Þ, Richman NE. </w:t>
      </w:r>
      <w:r w:rsidR="00D63F6C" w:rsidRPr="00951955">
        <w:rPr>
          <w:rFonts w:ascii="Arial" w:hAnsi="Arial" w:cs="Arial"/>
          <w:color w:val="222222"/>
          <w:sz w:val="20"/>
          <w:szCs w:val="20"/>
          <w:shd w:val="clear" w:color="auto" w:fill="FFFFFF"/>
        </w:rPr>
        <w:t>Was the economic crisis of 2008 good for Icelande</w:t>
      </w:r>
      <w:r w:rsidRPr="00951955">
        <w:rPr>
          <w:rFonts w:ascii="Arial" w:hAnsi="Arial" w:cs="Arial"/>
          <w:color w:val="222222"/>
          <w:sz w:val="20"/>
          <w:szCs w:val="20"/>
          <w:shd w:val="clear" w:color="auto" w:fill="FFFFFF"/>
        </w:rPr>
        <w:t xml:space="preserve">rs? Impact on health </w:t>
      </w:r>
      <w:proofErr w:type="spellStart"/>
      <w:r w:rsidRPr="00951955">
        <w:rPr>
          <w:rFonts w:ascii="Arial" w:hAnsi="Arial" w:cs="Arial"/>
          <w:color w:val="222222"/>
          <w:sz w:val="20"/>
          <w:szCs w:val="20"/>
          <w:shd w:val="clear" w:color="auto" w:fill="FFFFFF"/>
        </w:rPr>
        <w:t>behaviors</w:t>
      </w:r>
      <w:proofErr w:type="spellEnd"/>
      <w:r w:rsidRPr="00951955">
        <w:rPr>
          <w:rFonts w:ascii="Arial" w:hAnsi="Arial" w:cs="Arial"/>
          <w:color w:val="222222"/>
          <w:sz w:val="20"/>
          <w:szCs w:val="20"/>
          <w:shd w:val="clear" w:color="auto" w:fill="FFFFFF"/>
        </w:rPr>
        <w:t>.</w:t>
      </w:r>
      <w:r w:rsidR="00D63F6C" w:rsidRPr="00951955">
        <w:rPr>
          <w:rFonts w:ascii="Arial" w:hAnsi="Arial" w:cs="Arial"/>
          <w:color w:val="222222"/>
          <w:sz w:val="20"/>
          <w:szCs w:val="20"/>
          <w:shd w:val="clear" w:color="auto" w:fill="FFFFFF"/>
        </w:rPr>
        <w:t> </w:t>
      </w:r>
      <w:r w:rsidRPr="00951955">
        <w:rPr>
          <w:rFonts w:ascii="Arial" w:hAnsi="Arial" w:cs="Arial"/>
          <w:i/>
          <w:iCs/>
          <w:color w:val="222222"/>
          <w:sz w:val="20"/>
          <w:szCs w:val="20"/>
          <w:shd w:val="clear" w:color="auto" w:fill="FFFFFF"/>
        </w:rPr>
        <w:t xml:space="preserve">Econ Hum Biol. </w:t>
      </w:r>
      <w:r w:rsidRPr="00951955">
        <w:rPr>
          <w:rFonts w:ascii="Arial" w:hAnsi="Arial" w:cs="Arial"/>
          <w:iCs/>
          <w:color w:val="222222"/>
          <w:sz w:val="20"/>
          <w:szCs w:val="20"/>
          <w:shd w:val="clear" w:color="auto" w:fill="FFFFFF"/>
        </w:rPr>
        <w:t>2014</w:t>
      </w:r>
      <w:proofErr w:type="gramStart"/>
      <w:r w:rsidRPr="00951955">
        <w:rPr>
          <w:rFonts w:ascii="Arial" w:hAnsi="Arial" w:cs="Arial"/>
          <w:iCs/>
          <w:color w:val="222222"/>
          <w:sz w:val="20"/>
          <w:szCs w:val="20"/>
          <w:shd w:val="clear" w:color="auto" w:fill="FFFFFF"/>
        </w:rPr>
        <w:t>;</w:t>
      </w:r>
      <w:r w:rsidRPr="00951955">
        <w:rPr>
          <w:rFonts w:ascii="Arial" w:hAnsi="Arial" w:cs="Arial"/>
          <w:color w:val="222222"/>
          <w:sz w:val="20"/>
          <w:szCs w:val="20"/>
          <w:shd w:val="clear" w:color="auto" w:fill="FFFFFF"/>
        </w:rPr>
        <w:t>13:</w:t>
      </w:r>
      <w:r w:rsidR="00D63F6C" w:rsidRPr="00951955">
        <w:rPr>
          <w:rFonts w:ascii="Arial" w:hAnsi="Arial" w:cs="Arial"/>
          <w:color w:val="222222"/>
          <w:sz w:val="20"/>
          <w:szCs w:val="20"/>
          <w:shd w:val="clear" w:color="auto" w:fill="FFFFFF"/>
        </w:rPr>
        <w:t>1</w:t>
      </w:r>
      <w:proofErr w:type="gramEnd"/>
      <w:r w:rsidR="00D63F6C" w:rsidRPr="00951955">
        <w:rPr>
          <w:rFonts w:ascii="Arial" w:hAnsi="Arial" w:cs="Arial"/>
          <w:color w:val="222222"/>
          <w:sz w:val="20"/>
          <w:szCs w:val="20"/>
          <w:shd w:val="clear" w:color="auto" w:fill="FFFFFF"/>
        </w:rPr>
        <w:t>-19.</w:t>
      </w:r>
    </w:p>
    <w:p w:rsidR="00FE798A" w:rsidRPr="00951955" w:rsidRDefault="00FE798A" w:rsidP="00117D4E">
      <w:pPr>
        <w:pStyle w:val="ListParagraph"/>
        <w:numPr>
          <w:ilvl w:val="0"/>
          <w:numId w:val="1"/>
        </w:numPr>
        <w:rPr>
          <w:rFonts w:ascii="Arial" w:hAnsi="Arial" w:cs="Arial"/>
          <w:sz w:val="20"/>
          <w:szCs w:val="20"/>
        </w:rPr>
      </w:pPr>
      <w:r w:rsidRPr="00951955">
        <w:rPr>
          <w:rFonts w:ascii="Arial" w:hAnsi="Arial" w:cs="Arial"/>
          <w:color w:val="222222"/>
          <w:sz w:val="20"/>
          <w:szCs w:val="20"/>
          <w:shd w:val="clear" w:color="auto" w:fill="F8F8F8"/>
        </w:rPr>
        <w:t xml:space="preserve">McClure CB, </w:t>
      </w:r>
      <w:proofErr w:type="spellStart"/>
      <w:r w:rsidRPr="00951955">
        <w:rPr>
          <w:rFonts w:ascii="Arial" w:hAnsi="Arial" w:cs="Arial"/>
          <w:color w:val="222222"/>
          <w:sz w:val="20"/>
          <w:szCs w:val="20"/>
          <w:shd w:val="clear" w:color="auto" w:fill="F8F8F8"/>
        </w:rPr>
        <w:t>Valdimarsdóttir</w:t>
      </w:r>
      <w:proofErr w:type="spellEnd"/>
      <w:r w:rsidRPr="00951955">
        <w:rPr>
          <w:rFonts w:ascii="Arial" w:hAnsi="Arial" w:cs="Arial"/>
          <w:color w:val="222222"/>
          <w:sz w:val="20"/>
          <w:szCs w:val="20"/>
          <w:shd w:val="clear" w:color="auto" w:fill="F8F8F8"/>
        </w:rPr>
        <w:t xml:space="preserve"> UA, </w:t>
      </w:r>
      <w:proofErr w:type="spellStart"/>
      <w:r w:rsidRPr="00951955">
        <w:rPr>
          <w:rFonts w:ascii="Arial" w:hAnsi="Arial" w:cs="Arial"/>
          <w:color w:val="222222"/>
          <w:sz w:val="20"/>
          <w:szCs w:val="20"/>
          <w:shd w:val="clear" w:color="auto" w:fill="F8F8F8"/>
        </w:rPr>
        <w:t>Hauksdóttir</w:t>
      </w:r>
      <w:proofErr w:type="spellEnd"/>
      <w:r w:rsidRPr="00951955">
        <w:rPr>
          <w:rFonts w:ascii="Arial" w:hAnsi="Arial" w:cs="Arial"/>
          <w:color w:val="222222"/>
          <w:sz w:val="20"/>
          <w:szCs w:val="20"/>
          <w:shd w:val="clear" w:color="auto" w:fill="F8F8F8"/>
        </w:rPr>
        <w:t xml:space="preserve"> A, </w:t>
      </w:r>
      <w:proofErr w:type="spellStart"/>
      <w:r w:rsidRPr="00951955">
        <w:rPr>
          <w:rFonts w:ascii="Arial" w:hAnsi="Arial" w:cs="Arial"/>
          <w:color w:val="222222"/>
          <w:sz w:val="20"/>
          <w:szCs w:val="20"/>
          <w:shd w:val="clear" w:color="auto" w:fill="F8F8F8"/>
        </w:rPr>
        <w:t>Kawachi</w:t>
      </w:r>
      <w:proofErr w:type="spellEnd"/>
      <w:r w:rsidRPr="00951955">
        <w:rPr>
          <w:rFonts w:ascii="Arial" w:hAnsi="Arial" w:cs="Arial"/>
          <w:color w:val="222222"/>
          <w:sz w:val="20"/>
          <w:szCs w:val="20"/>
          <w:shd w:val="clear" w:color="auto" w:fill="F8F8F8"/>
        </w:rPr>
        <w:t xml:space="preserve"> I. Economic crisis and smoking behaviour: prospective cohort study in Iceland. </w:t>
      </w:r>
      <w:r w:rsidRPr="00951955">
        <w:rPr>
          <w:rFonts w:ascii="Arial" w:hAnsi="Arial" w:cs="Arial"/>
          <w:i/>
          <w:iCs/>
          <w:color w:val="222222"/>
          <w:sz w:val="20"/>
          <w:szCs w:val="20"/>
          <w:shd w:val="clear" w:color="auto" w:fill="F8F8F8"/>
        </w:rPr>
        <w:t>BMJ Open.</w:t>
      </w:r>
      <w:r w:rsidRPr="00951955">
        <w:rPr>
          <w:rFonts w:ascii="Arial" w:hAnsi="Arial" w:cs="Arial"/>
          <w:iCs/>
          <w:color w:val="222222"/>
          <w:sz w:val="20"/>
          <w:szCs w:val="20"/>
          <w:shd w:val="clear" w:color="auto" w:fill="F8F8F8"/>
        </w:rPr>
        <w:t xml:space="preserve"> 2012</w:t>
      </w:r>
      <w:proofErr w:type="gramStart"/>
      <w:r w:rsidRPr="00951955">
        <w:rPr>
          <w:rFonts w:ascii="Arial" w:hAnsi="Arial" w:cs="Arial"/>
          <w:iCs/>
          <w:color w:val="222222"/>
          <w:sz w:val="20"/>
          <w:szCs w:val="20"/>
          <w:shd w:val="clear" w:color="auto" w:fill="F8F8F8"/>
        </w:rPr>
        <w:t>;2</w:t>
      </w:r>
      <w:proofErr w:type="gramEnd"/>
      <w:r w:rsidRPr="00951955">
        <w:rPr>
          <w:rFonts w:ascii="Arial" w:hAnsi="Arial" w:cs="Arial"/>
          <w:iCs/>
          <w:color w:val="222222"/>
          <w:sz w:val="20"/>
          <w:szCs w:val="20"/>
          <w:shd w:val="clear" w:color="auto" w:fill="F8F8F8"/>
        </w:rPr>
        <w:t>(5):</w:t>
      </w:r>
      <w:r w:rsidRPr="00951955">
        <w:rPr>
          <w:rFonts w:ascii="Arial" w:hAnsi="Arial" w:cs="Arial"/>
          <w:color w:val="222222"/>
          <w:sz w:val="20"/>
          <w:szCs w:val="20"/>
          <w:shd w:val="clear" w:color="auto" w:fill="F8F8F8"/>
        </w:rPr>
        <w:t>e001386.</w:t>
      </w:r>
    </w:p>
    <w:p w:rsidR="00FE798A" w:rsidRPr="00951955" w:rsidRDefault="00FE798A" w:rsidP="00117D4E">
      <w:pPr>
        <w:pStyle w:val="ListParagraph"/>
        <w:numPr>
          <w:ilvl w:val="0"/>
          <w:numId w:val="1"/>
        </w:numPr>
        <w:rPr>
          <w:rFonts w:ascii="Arial" w:hAnsi="Arial" w:cs="Arial"/>
          <w:color w:val="222222"/>
          <w:sz w:val="20"/>
          <w:szCs w:val="20"/>
          <w:shd w:val="clear" w:color="auto" w:fill="F8F8F8"/>
        </w:rPr>
      </w:pPr>
      <w:proofErr w:type="spellStart"/>
      <w:r w:rsidRPr="00951955">
        <w:rPr>
          <w:rFonts w:ascii="Arial" w:hAnsi="Arial" w:cs="Arial"/>
          <w:color w:val="222222"/>
          <w:sz w:val="20"/>
          <w:szCs w:val="20"/>
          <w:shd w:val="clear" w:color="auto" w:fill="F8F8F8"/>
        </w:rPr>
        <w:t>Filippidis</w:t>
      </w:r>
      <w:proofErr w:type="spellEnd"/>
      <w:r w:rsidRPr="00951955">
        <w:rPr>
          <w:rFonts w:ascii="Arial" w:hAnsi="Arial" w:cs="Arial"/>
          <w:color w:val="222222"/>
          <w:sz w:val="20"/>
          <w:szCs w:val="20"/>
          <w:shd w:val="clear" w:color="auto" w:fill="F8F8F8"/>
        </w:rPr>
        <w:t xml:space="preserve"> FT, </w:t>
      </w:r>
      <w:proofErr w:type="spellStart"/>
      <w:r w:rsidRPr="00951955">
        <w:rPr>
          <w:rFonts w:ascii="Arial" w:hAnsi="Arial" w:cs="Arial"/>
          <w:color w:val="222222"/>
          <w:sz w:val="20"/>
          <w:szCs w:val="20"/>
          <w:shd w:val="clear" w:color="auto" w:fill="F8F8F8"/>
        </w:rPr>
        <w:t>Schoretsaniti</w:t>
      </w:r>
      <w:proofErr w:type="spellEnd"/>
      <w:r w:rsidRPr="00951955">
        <w:rPr>
          <w:rFonts w:ascii="Arial" w:hAnsi="Arial" w:cs="Arial"/>
          <w:color w:val="222222"/>
          <w:sz w:val="20"/>
          <w:szCs w:val="20"/>
          <w:shd w:val="clear" w:color="auto" w:fill="F8F8F8"/>
        </w:rPr>
        <w:t xml:space="preserve"> S, </w:t>
      </w:r>
      <w:proofErr w:type="spellStart"/>
      <w:r w:rsidRPr="00951955">
        <w:rPr>
          <w:rFonts w:ascii="Arial" w:hAnsi="Arial" w:cs="Arial"/>
          <w:color w:val="222222"/>
          <w:sz w:val="20"/>
          <w:szCs w:val="20"/>
          <w:shd w:val="clear" w:color="auto" w:fill="F8F8F8"/>
        </w:rPr>
        <w:t>Dimitrakaki</w:t>
      </w:r>
      <w:proofErr w:type="spellEnd"/>
      <w:r w:rsidRPr="00951955">
        <w:rPr>
          <w:rFonts w:ascii="Arial" w:hAnsi="Arial" w:cs="Arial"/>
          <w:color w:val="222222"/>
          <w:sz w:val="20"/>
          <w:szCs w:val="20"/>
          <w:shd w:val="clear" w:color="auto" w:fill="F8F8F8"/>
        </w:rPr>
        <w:t xml:space="preserve"> C, et al. Trends in cardiovascular risk factors in Greece before and during the financial crisis: the impact of social disparities. </w:t>
      </w:r>
      <w:proofErr w:type="spellStart"/>
      <w:r w:rsidRPr="00951955">
        <w:rPr>
          <w:rFonts w:ascii="Arial" w:hAnsi="Arial" w:cs="Arial"/>
          <w:i/>
          <w:iCs/>
          <w:color w:val="222222"/>
          <w:sz w:val="20"/>
          <w:szCs w:val="20"/>
          <w:shd w:val="clear" w:color="auto" w:fill="F8F8F8"/>
        </w:rPr>
        <w:t>Eur</w:t>
      </w:r>
      <w:proofErr w:type="spellEnd"/>
      <w:r w:rsidRPr="00951955">
        <w:rPr>
          <w:rFonts w:ascii="Arial" w:hAnsi="Arial" w:cs="Arial"/>
          <w:i/>
          <w:iCs/>
          <w:color w:val="222222"/>
          <w:sz w:val="20"/>
          <w:szCs w:val="20"/>
          <w:shd w:val="clear" w:color="auto" w:fill="F8F8F8"/>
        </w:rPr>
        <w:t xml:space="preserve"> J Public Health.</w:t>
      </w:r>
      <w:r w:rsidRPr="00951955">
        <w:rPr>
          <w:rFonts w:ascii="Arial" w:hAnsi="Arial" w:cs="Arial"/>
          <w:iCs/>
          <w:color w:val="222222"/>
          <w:sz w:val="20"/>
          <w:szCs w:val="20"/>
          <w:shd w:val="clear" w:color="auto" w:fill="F8F8F8"/>
        </w:rPr>
        <w:t xml:space="preserve"> 2014</w:t>
      </w:r>
      <w:proofErr w:type="gramStart"/>
      <w:r w:rsidRPr="00951955">
        <w:rPr>
          <w:rFonts w:ascii="Arial" w:hAnsi="Arial" w:cs="Arial"/>
          <w:iCs/>
          <w:color w:val="222222"/>
          <w:sz w:val="20"/>
          <w:szCs w:val="20"/>
          <w:shd w:val="clear" w:color="auto" w:fill="F8F8F8"/>
        </w:rPr>
        <w:t>;24</w:t>
      </w:r>
      <w:proofErr w:type="gramEnd"/>
      <w:r w:rsidRPr="00951955">
        <w:rPr>
          <w:rFonts w:ascii="Arial" w:hAnsi="Arial" w:cs="Arial"/>
          <w:iCs/>
          <w:color w:val="222222"/>
          <w:sz w:val="20"/>
          <w:szCs w:val="20"/>
          <w:shd w:val="clear" w:color="auto" w:fill="F8F8F8"/>
        </w:rPr>
        <w:t>(6):</w:t>
      </w:r>
      <w:r w:rsidRPr="00951955">
        <w:rPr>
          <w:rFonts w:ascii="Arial" w:hAnsi="Arial" w:cs="Arial"/>
          <w:color w:val="222222"/>
          <w:sz w:val="20"/>
          <w:szCs w:val="20"/>
          <w:shd w:val="clear" w:color="auto" w:fill="F8F8F8"/>
        </w:rPr>
        <w:t xml:space="preserve"> 974-979.</w:t>
      </w:r>
    </w:p>
    <w:p w:rsidR="00FE798A" w:rsidRPr="00951955" w:rsidRDefault="00FE798A" w:rsidP="00117D4E">
      <w:pPr>
        <w:pStyle w:val="ListParagraph"/>
        <w:numPr>
          <w:ilvl w:val="0"/>
          <w:numId w:val="1"/>
        </w:numPr>
        <w:rPr>
          <w:rFonts w:ascii="Arial" w:hAnsi="Arial" w:cs="Arial"/>
          <w:sz w:val="20"/>
          <w:szCs w:val="20"/>
        </w:rPr>
      </w:pPr>
      <w:r w:rsidRPr="00951955">
        <w:rPr>
          <w:rFonts w:ascii="Arial" w:hAnsi="Arial" w:cs="Arial"/>
          <w:color w:val="222222"/>
          <w:sz w:val="20"/>
          <w:szCs w:val="20"/>
          <w:shd w:val="clear" w:color="auto" w:fill="FFFFFF"/>
        </w:rPr>
        <w:t xml:space="preserve">Gallus S, </w:t>
      </w:r>
      <w:proofErr w:type="spellStart"/>
      <w:r w:rsidRPr="00951955">
        <w:rPr>
          <w:rFonts w:ascii="Arial" w:hAnsi="Arial" w:cs="Arial"/>
          <w:color w:val="222222"/>
          <w:sz w:val="20"/>
          <w:szCs w:val="20"/>
          <w:shd w:val="clear" w:color="auto" w:fill="FFFFFF"/>
        </w:rPr>
        <w:t>Ghislandi</w:t>
      </w:r>
      <w:proofErr w:type="spellEnd"/>
      <w:r w:rsidRPr="00951955">
        <w:rPr>
          <w:rFonts w:ascii="Arial" w:hAnsi="Arial" w:cs="Arial"/>
          <w:color w:val="222222"/>
          <w:sz w:val="20"/>
          <w:szCs w:val="20"/>
          <w:shd w:val="clear" w:color="auto" w:fill="FFFFFF"/>
        </w:rPr>
        <w:t xml:space="preserve"> S, </w:t>
      </w:r>
      <w:proofErr w:type="spellStart"/>
      <w:r w:rsidRPr="00951955">
        <w:rPr>
          <w:rFonts w:ascii="Arial" w:hAnsi="Arial" w:cs="Arial"/>
          <w:color w:val="222222"/>
          <w:sz w:val="20"/>
          <w:szCs w:val="20"/>
          <w:shd w:val="clear" w:color="auto" w:fill="FFFFFF"/>
        </w:rPr>
        <w:t>Muttarak</w:t>
      </w:r>
      <w:proofErr w:type="spellEnd"/>
      <w:r w:rsidRPr="00951955">
        <w:rPr>
          <w:rFonts w:ascii="Arial" w:hAnsi="Arial" w:cs="Arial"/>
          <w:color w:val="222222"/>
          <w:sz w:val="20"/>
          <w:szCs w:val="20"/>
          <w:shd w:val="clear" w:color="auto" w:fill="FFFFFF"/>
        </w:rPr>
        <w:t xml:space="preserve"> R. Effects of the economic crisis on smoking prevalence and number of smokers in the USA. </w:t>
      </w:r>
      <w:proofErr w:type="spellStart"/>
      <w:r w:rsidRPr="00951955">
        <w:rPr>
          <w:rFonts w:ascii="Arial" w:hAnsi="Arial" w:cs="Arial"/>
          <w:i/>
          <w:iCs/>
          <w:color w:val="222222"/>
          <w:sz w:val="20"/>
          <w:szCs w:val="20"/>
          <w:shd w:val="clear" w:color="auto" w:fill="FFFFFF"/>
        </w:rPr>
        <w:t>Tob</w:t>
      </w:r>
      <w:proofErr w:type="spellEnd"/>
      <w:r w:rsidRPr="00951955">
        <w:rPr>
          <w:rFonts w:ascii="Arial" w:hAnsi="Arial" w:cs="Arial"/>
          <w:i/>
          <w:iCs/>
          <w:color w:val="222222"/>
          <w:sz w:val="20"/>
          <w:szCs w:val="20"/>
          <w:shd w:val="clear" w:color="auto" w:fill="FFFFFF"/>
        </w:rPr>
        <w:t xml:space="preserve"> Control.</w:t>
      </w:r>
      <w:r w:rsidRPr="00951955">
        <w:rPr>
          <w:rFonts w:ascii="Arial" w:hAnsi="Arial" w:cs="Arial"/>
          <w:iCs/>
          <w:color w:val="222222"/>
          <w:sz w:val="20"/>
          <w:szCs w:val="20"/>
          <w:shd w:val="clear" w:color="auto" w:fill="FFFFFF"/>
        </w:rPr>
        <w:t xml:space="preserve"> 2013</w:t>
      </w:r>
      <w:proofErr w:type="gramStart"/>
      <w:r w:rsidRPr="00951955">
        <w:rPr>
          <w:rFonts w:ascii="Arial" w:hAnsi="Arial" w:cs="Arial"/>
          <w:iCs/>
          <w:color w:val="222222"/>
          <w:sz w:val="20"/>
          <w:szCs w:val="20"/>
          <w:shd w:val="clear" w:color="auto" w:fill="FFFFFF"/>
        </w:rPr>
        <w:t>;24</w:t>
      </w:r>
      <w:proofErr w:type="gramEnd"/>
      <w:r w:rsidRPr="00951955">
        <w:rPr>
          <w:rFonts w:ascii="Arial" w:hAnsi="Arial" w:cs="Arial"/>
          <w:iCs/>
          <w:color w:val="222222"/>
          <w:sz w:val="20"/>
          <w:szCs w:val="20"/>
          <w:shd w:val="clear" w:color="auto" w:fill="FFFFFF"/>
        </w:rPr>
        <w:t>(1):82-88.</w:t>
      </w:r>
    </w:p>
    <w:p w:rsidR="00FE798A" w:rsidRPr="00951955" w:rsidRDefault="00FE798A" w:rsidP="00117D4E">
      <w:pPr>
        <w:pStyle w:val="ListParagraph"/>
        <w:numPr>
          <w:ilvl w:val="0"/>
          <w:numId w:val="1"/>
        </w:numPr>
        <w:rPr>
          <w:rFonts w:ascii="Arial" w:hAnsi="Arial" w:cs="Arial"/>
          <w:color w:val="222222"/>
          <w:sz w:val="20"/>
          <w:szCs w:val="20"/>
          <w:shd w:val="clear" w:color="auto" w:fill="FFFFFF"/>
        </w:rPr>
      </w:pPr>
      <w:r w:rsidRPr="00951955">
        <w:rPr>
          <w:rFonts w:ascii="Arial" w:hAnsi="Arial" w:cs="Arial"/>
          <w:color w:val="222222"/>
          <w:sz w:val="20"/>
          <w:szCs w:val="20"/>
          <w:shd w:val="clear" w:color="auto" w:fill="FFFFFF"/>
        </w:rPr>
        <w:t>McKenna CS, Law C, Pearce A. Financial strain, parental smoking, and the Great Recession: An analysis of the UK Millennium Cohort Study. </w:t>
      </w:r>
      <w:r w:rsidRPr="00951955">
        <w:rPr>
          <w:rFonts w:ascii="Arial" w:hAnsi="Arial" w:cs="Arial"/>
          <w:i/>
          <w:iCs/>
          <w:color w:val="222222"/>
          <w:sz w:val="20"/>
          <w:szCs w:val="20"/>
          <w:shd w:val="clear" w:color="auto" w:fill="FFFFFF"/>
        </w:rPr>
        <w:t xml:space="preserve">Nicotine </w:t>
      </w:r>
      <w:proofErr w:type="spellStart"/>
      <w:r w:rsidRPr="00951955">
        <w:rPr>
          <w:rFonts w:ascii="Arial" w:hAnsi="Arial" w:cs="Arial"/>
          <w:i/>
          <w:iCs/>
          <w:color w:val="222222"/>
          <w:sz w:val="20"/>
          <w:szCs w:val="20"/>
          <w:shd w:val="clear" w:color="auto" w:fill="FFFFFF"/>
        </w:rPr>
        <w:t>Tob</w:t>
      </w:r>
      <w:proofErr w:type="spellEnd"/>
      <w:r w:rsidRPr="00951955">
        <w:rPr>
          <w:rFonts w:ascii="Arial" w:hAnsi="Arial" w:cs="Arial"/>
          <w:i/>
          <w:iCs/>
          <w:color w:val="222222"/>
          <w:sz w:val="20"/>
          <w:szCs w:val="20"/>
          <w:shd w:val="clear" w:color="auto" w:fill="FFFFFF"/>
        </w:rPr>
        <w:t xml:space="preserve"> Res.</w:t>
      </w:r>
      <w:r w:rsidRPr="00951955">
        <w:rPr>
          <w:rFonts w:ascii="Arial" w:hAnsi="Arial" w:cs="Arial"/>
          <w:iCs/>
          <w:color w:val="222222"/>
          <w:sz w:val="20"/>
          <w:szCs w:val="20"/>
          <w:shd w:val="clear" w:color="auto" w:fill="FFFFFF"/>
        </w:rPr>
        <w:t xml:space="preserve"> 2016</w:t>
      </w:r>
      <w:r w:rsidRPr="00951955">
        <w:rPr>
          <w:rFonts w:ascii="Arial" w:hAnsi="Arial" w:cs="Arial"/>
          <w:color w:val="222222"/>
          <w:sz w:val="20"/>
          <w:szCs w:val="20"/>
          <w:shd w:val="clear" w:color="auto" w:fill="FFFFFF"/>
        </w:rPr>
        <w:t xml:space="preserve">:ntw269. </w:t>
      </w:r>
      <w:proofErr w:type="spellStart"/>
      <w:r w:rsidRPr="00951955">
        <w:rPr>
          <w:rFonts w:ascii="Arial" w:hAnsi="Arial" w:cs="Arial"/>
          <w:color w:val="222222"/>
          <w:sz w:val="20"/>
          <w:szCs w:val="20"/>
          <w:shd w:val="clear" w:color="auto" w:fill="FFFFFF"/>
        </w:rPr>
        <w:t>Doi</w:t>
      </w:r>
      <w:proofErr w:type="spellEnd"/>
      <w:r w:rsidRPr="00951955">
        <w:rPr>
          <w:rFonts w:ascii="Arial" w:hAnsi="Arial" w:cs="Arial"/>
          <w:color w:val="222222"/>
          <w:sz w:val="20"/>
          <w:szCs w:val="20"/>
          <w:shd w:val="clear" w:color="auto" w:fill="FFFFFF"/>
        </w:rPr>
        <w:t xml:space="preserve">: </w:t>
      </w:r>
      <w:hyperlink r:id="rId5" w:history="1">
        <w:r w:rsidRPr="00951955">
          <w:rPr>
            <w:rStyle w:val="Hyperlink"/>
            <w:rFonts w:ascii="Arial" w:hAnsi="Arial" w:cs="Arial"/>
            <w:sz w:val="20"/>
            <w:szCs w:val="20"/>
            <w:shd w:val="clear" w:color="auto" w:fill="FFFFFF"/>
          </w:rPr>
          <w:t>https://doi.org/10.1093/ntr/ntw269</w:t>
        </w:r>
      </w:hyperlink>
      <w:r w:rsidRPr="00951955">
        <w:rPr>
          <w:rFonts w:ascii="Arial" w:hAnsi="Arial" w:cs="Arial"/>
          <w:color w:val="222222"/>
          <w:sz w:val="20"/>
          <w:szCs w:val="20"/>
          <w:shd w:val="clear" w:color="auto" w:fill="FFFFFF"/>
        </w:rPr>
        <w:t xml:space="preserve">. </w:t>
      </w:r>
    </w:p>
    <w:p w:rsidR="00FD4671" w:rsidRPr="00951955" w:rsidRDefault="00FD4671" w:rsidP="00FD4671">
      <w:pPr>
        <w:pStyle w:val="ListParagraph"/>
        <w:numPr>
          <w:ilvl w:val="0"/>
          <w:numId w:val="1"/>
        </w:numPr>
        <w:rPr>
          <w:rFonts w:ascii="Arial" w:hAnsi="Arial" w:cs="Arial"/>
          <w:sz w:val="20"/>
          <w:szCs w:val="20"/>
        </w:rPr>
      </w:pPr>
      <w:proofErr w:type="spellStart"/>
      <w:r w:rsidRPr="00951955">
        <w:rPr>
          <w:rFonts w:ascii="Arial" w:hAnsi="Arial" w:cs="Arial"/>
          <w:sz w:val="20"/>
          <w:szCs w:val="20"/>
        </w:rPr>
        <w:t>Raynor</w:t>
      </w:r>
      <w:proofErr w:type="spellEnd"/>
      <w:r w:rsidRPr="00951955">
        <w:rPr>
          <w:rFonts w:ascii="Arial" w:hAnsi="Arial" w:cs="Arial"/>
          <w:sz w:val="20"/>
          <w:szCs w:val="20"/>
        </w:rPr>
        <w:t xml:space="preserve"> P, Born in Bradford Collaborative Group. Born in Bradford, a cohort study of babies born in Bradford, and their parents: protocol for the recruitment phase. </w:t>
      </w:r>
      <w:r w:rsidRPr="00951955">
        <w:rPr>
          <w:rFonts w:ascii="Arial" w:hAnsi="Arial" w:cs="Arial"/>
          <w:i/>
          <w:sz w:val="20"/>
          <w:szCs w:val="20"/>
        </w:rPr>
        <w:t>BMC Public Health</w:t>
      </w:r>
      <w:r w:rsidRPr="00951955">
        <w:rPr>
          <w:rFonts w:ascii="Arial" w:hAnsi="Arial" w:cs="Arial"/>
          <w:sz w:val="20"/>
          <w:szCs w:val="20"/>
        </w:rPr>
        <w:t>. 2008</w:t>
      </w:r>
      <w:proofErr w:type="gramStart"/>
      <w:r w:rsidRPr="00951955">
        <w:rPr>
          <w:rFonts w:ascii="Arial" w:hAnsi="Arial" w:cs="Arial"/>
          <w:sz w:val="20"/>
          <w:szCs w:val="20"/>
        </w:rPr>
        <w:t>;8:327</w:t>
      </w:r>
      <w:proofErr w:type="gramEnd"/>
      <w:r w:rsidRPr="00951955">
        <w:rPr>
          <w:rFonts w:ascii="Arial" w:hAnsi="Arial" w:cs="Arial"/>
          <w:sz w:val="20"/>
          <w:szCs w:val="20"/>
        </w:rPr>
        <w:t>.</w:t>
      </w:r>
    </w:p>
    <w:p w:rsidR="00FD4671" w:rsidRPr="00951955" w:rsidRDefault="00FD4671" w:rsidP="00FD4671">
      <w:pPr>
        <w:pStyle w:val="ListParagraph"/>
        <w:numPr>
          <w:ilvl w:val="0"/>
          <w:numId w:val="1"/>
        </w:numPr>
        <w:rPr>
          <w:rFonts w:ascii="Arial" w:hAnsi="Arial" w:cs="Arial"/>
          <w:sz w:val="20"/>
          <w:szCs w:val="20"/>
        </w:rPr>
      </w:pPr>
      <w:r w:rsidRPr="00951955">
        <w:rPr>
          <w:rFonts w:ascii="Arial" w:hAnsi="Arial" w:cs="Arial"/>
          <w:sz w:val="20"/>
          <w:szCs w:val="20"/>
        </w:rPr>
        <w:t xml:space="preserve">Wright J, Small N, </w:t>
      </w:r>
      <w:proofErr w:type="spellStart"/>
      <w:r w:rsidRPr="00951955">
        <w:rPr>
          <w:rFonts w:ascii="Arial" w:hAnsi="Arial" w:cs="Arial"/>
          <w:sz w:val="20"/>
          <w:szCs w:val="20"/>
        </w:rPr>
        <w:t>Raynor</w:t>
      </w:r>
      <w:proofErr w:type="spellEnd"/>
      <w:r w:rsidRPr="00951955">
        <w:rPr>
          <w:rFonts w:ascii="Arial" w:hAnsi="Arial" w:cs="Arial"/>
          <w:sz w:val="20"/>
          <w:szCs w:val="20"/>
        </w:rPr>
        <w:t xml:space="preserve"> P, et al. Cohort Profile: The Born in Bradford multi-ethnic family cohort study. </w:t>
      </w:r>
      <w:proofErr w:type="spellStart"/>
      <w:r w:rsidRPr="00951955">
        <w:rPr>
          <w:rFonts w:ascii="Arial" w:hAnsi="Arial" w:cs="Arial"/>
          <w:i/>
          <w:sz w:val="20"/>
          <w:szCs w:val="20"/>
        </w:rPr>
        <w:t>Int</w:t>
      </w:r>
      <w:proofErr w:type="spellEnd"/>
      <w:r w:rsidRPr="00951955">
        <w:rPr>
          <w:rFonts w:ascii="Arial" w:hAnsi="Arial" w:cs="Arial"/>
          <w:i/>
          <w:sz w:val="20"/>
          <w:szCs w:val="20"/>
        </w:rPr>
        <w:t xml:space="preserve"> J </w:t>
      </w:r>
      <w:proofErr w:type="spellStart"/>
      <w:r w:rsidRPr="00951955">
        <w:rPr>
          <w:rFonts w:ascii="Arial" w:hAnsi="Arial" w:cs="Arial"/>
          <w:i/>
          <w:sz w:val="20"/>
          <w:szCs w:val="20"/>
        </w:rPr>
        <w:t>Epidemiol</w:t>
      </w:r>
      <w:proofErr w:type="spellEnd"/>
      <w:r w:rsidRPr="00951955">
        <w:rPr>
          <w:rFonts w:ascii="Arial" w:hAnsi="Arial" w:cs="Arial"/>
          <w:sz w:val="20"/>
          <w:szCs w:val="20"/>
        </w:rPr>
        <w:t>. 2013</w:t>
      </w:r>
      <w:proofErr w:type="gramStart"/>
      <w:r w:rsidRPr="00951955">
        <w:rPr>
          <w:rFonts w:ascii="Arial" w:hAnsi="Arial" w:cs="Arial"/>
          <w:sz w:val="20"/>
          <w:szCs w:val="20"/>
        </w:rPr>
        <w:t>;42</w:t>
      </w:r>
      <w:proofErr w:type="gramEnd"/>
      <w:r w:rsidRPr="00951955">
        <w:rPr>
          <w:rFonts w:ascii="Arial" w:hAnsi="Arial" w:cs="Arial"/>
          <w:sz w:val="20"/>
          <w:szCs w:val="20"/>
        </w:rPr>
        <w:t>(4):978-991.</w:t>
      </w:r>
    </w:p>
    <w:p w:rsidR="00D63F6C" w:rsidRPr="00951955" w:rsidRDefault="00D63F6C" w:rsidP="00117D4E">
      <w:pPr>
        <w:pStyle w:val="ListParagraph"/>
        <w:numPr>
          <w:ilvl w:val="0"/>
          <w:numId w:val="1"/>
        </w:numPr>
        <w:rPr>
          <w:rFonts w:ascii="Arial" w:hAnsi="Arial" w:cs="Arial"/>
          <w:color w:val="222222"/>
          <w:sz w:val="20"/>
          <w:szCs w:val="20"/>
          <w:shd w:val="clear" w:color="auto" w:fill="FFFFFF"/>
        </w:rPr>
      </w:pPr>
      <w:r w:rsidRPr="00951955">
        <w:rPr>
          <w:rFonts w:ascii="Arial" w:hAnsi="Arial" w:cs="Arial"/>
          <w:color w:val="222222"/>
          <w:sz w:val="20"/>
          <w:szCs w:val="20"/>
          <w:shd w:val="clear" w:color="auto" w:fill="FFFFFF"/>
        </w:rPr>
        <w:t xml:space="preserve">Office for National Statistics (ONS). </w:t>
      </w:r>
      <w:r w:rsidRPr="00951955">
        <w:rPr>
          <w:rFonts w:ascii="Arial" w:hAnsi="Arial" w:cs="Arial"/>
          <w:i/>
          <w:color w:val="222222"/>
          <w:sz w:val="20"/>
          <w:szCs w:val="20"/>
          <w:shd w:val="clear" w:color="auto" w:fill="FFFFFF"/>
        </w:rPr>
        <w:t>Jobseeker's Allowance with rates and proportions.</w:t>
      </w:r>
      <w:r w:rsidR="00215127" w:rsidRPr="00951955">
        <w:rPr>
          <w:rFonts w:ascii="Arial" w:hAnsi="Arial" w:cs="Arial"/>
          <w:i/>
          <w:color w:val="222222"/>
          <w:sz w:val="20"/>
          <w:szCs w:val="20"/>
          <w:shd w:val="clear" w:color="auto" w:fill="FFFFFF"/>
        </w:rPr>
        <w:t xml:space="preserve"> </w:t>
      </w:r>
      <w:r w:rsidR="00215127" w:rsidRPr="00951955">
        <w:rPr>
          <w:rFonts w:ascii="Arial" w:hAnsi="Arial" w:cs="Arial"/>
          <w:color w:val="222222"/>
          <w:sz w:val="20"/>
          <w:szCs w:val="20"/>
          <w:shd w:val="clear" w:color="auto" w:fill="FFFFFF"/>
        </w:rPr>
        <w:t>Newport: Wales</w:t>
      </w:r>
      <w:proofErr w:type="gramStart"/>
      <w:r w:rsidR="00215127" w:rsidRPr="00951955">
        <w:rPr>
          <w:rFonts w:ascii="Arial" w:hAnsi="Arial" w:cs="Arial"/>
          <w:color w:val="222222"/>
          <w:sz w:val="20"/>
          <w:szCs w:val="20"/>
          <w:shd w:val="clear" w:color="auto" w:fill="FFFFFF"/>
        </w:rPr>
        <w:t>;2016</w:t>
      </w:r>
      <w:proofErr w:type="gramEnd"/>
      <w:r w:rsidR="00215127" w:rsidRPr="00951955">
        <w:rPr>
          <w:rFonts w:ascii="Arial" w:hAnsi="Arial" w:cs="Arial"/>
          <w:color w:val="222222"/>
          <w:sz w:val="20"/>
          <w:szCs w:val="20"/>
          <w:shd w:val="clear" w:color="auto" w:fill="FFFFFF"/>
        </w:rPr>
        <w:t>.</w:t>
      </w:r>
      <w:r w:rsidRPr="00951955">
        <w:rPr>
          <w:rFonts w:ascii="Arial" w:hAnsi="Arial" w:cs="Arial"/>
          <w:color w:val="222222"/>
          <w:sz w:val="20"/>
          <w:szCs w:val="20"/>
          <w:shd w:val="clear" w:color="auto" w:fill="FFFFFF"/>
        </w:rPr>
        <w:t xml:space="preserve"> </w:t>
      </w:r>
      <w:hyperlink r:id="rId6" w:history="1">
        <w:r w:rsidRPr="00951955">
          <w:rPr>
            <w:rStyle w:val="Hyperlink"/>
            <w:rFonts w:ascii="Arial" w:hAnsi="Arial" w:cs="Arial"/>
            <w:sz w:val="20"/>
            <w:szCs w:val="20"/>
            <w:shd w:val="clear" w:color="auto" w:fill="FFFFFF"/>
          </w:rPr>
          <w:t>https://www.nomisweb.co.uk/</w:t>
        </w:r>
      </w:hyperlink>
      <w:r w:rsidR="00215127" w:rsidRPr="00951955">
        <w:rPr>
          <w:rFonts w:ascii="Arial" w:hAnsi="Arial" w:cs="Arial"/>
          <w:color w:val="222222"/>
          <w:sz w:val="20"/>
          <w:szCs w:val="20"/>
          <w:shd w:val="clear" w:color="auto" w:fill="FFFFFF"/>
        </w:rPr>
        <w:t xml:space="preserve">  Accessed </w:t>
      </w:r>
      <w:r w:rsidRPr="00951955">
        <w:rPr>
          <w:rFonts w:ascii="Arial" w:hAnsi="Arial" w:cs="Arial"/>
          <w:color w:val="222222"/>
          <w:sz w:val="20"/>
          <w:szCs w:val="20"/>
          <w:shd w:val="clear" w:color="auto" w:fill="FFFFFF"/>
        </w:rPr>
        <w:t>January</w:t>
      </w:r>
      <w:r w:rsidR="007E50AA" w:rsidRPr="00951955">
        <w:rPr>
          <w:rFonts w:ascii="Arial" w:hAnsi="Arial" w:cs="Arial"/>
          <w:color w:val="222222"/>
          <w:sz w:val="20"/>
          <w:szCs w:val="20"/>
          <w:shd w:val="clear" w:color="auto" w:fill="FFFFFF"/>
        </w:rPr>
        <w:t xml:space="preserve"> 28</w:t>
      </w:r>
      <w:r w:rsidR="00215127" w:rsidRPr="00951955">
        <w:rPr>
          <w:rFonts w:ascii="Arial" w:hAnsi="Arial" w:cs="Arial"/>
          <w:color w:val="222222"/>
          <w:sz w:val="20"/>
          <w:szCs w:val="20"/>
          <w:shd w:val="clear" w:color="auto" w:fill="FFFFFF"/>
        </w:rPr>
        <w:t>, 2016.</w:t>
      </w:r>
    </w:p>
    <w:p w:rsidR="00D63F6C" w:rsidRPr="00951955" w:rsidRDefault="007E50AA" w:rsidP="00117D4E">
      <w:pPr>
        <w:pStyle w:val="ListParagraph"/>
        <w:numPr>
          <w:ilvl w:val="0"/>
          <w:numId w:val="1"/>
        </w:numPr>
        <w:rPr>
          <w:rFonts w:ascii="Arial" w:hAnsi="Arial" w:cs="Arial"/>
          <w:color w:val="222222"/>
          <w:sz w:val="20"/>
          <w:szCs w:val="20"/>
          <w:shd w:val="clear" w:color="auto" w:fill="FFFFFF"/>
        </w:rPr>
      </w:pPr>
      <w:r w:rsidRPr="00951955">
        <w:rPr>
          <w:rFonts w:ascii="Arial" w:hAnsi="Arial" w:cs="Arial"/>
          <w:color w:val="222222"/>
          <w:sz w:val="20"/>
          <w:szCs w:val="20"/>
          <w:shd w:val="clear" w:color="auto" w:fill="FFFFFF"/>
        </w:rPr>
        <w:t xml:space="preserve">Office for National Statistics (ONS). </w:t>
      </w:r>
      <w:r w:rsidR="00D63F6C" w:rsidRPr="00951955">
        <w:rPr>
          <w:rFonts w:ascii="Arial" w:hAnsi="Arial" w:cs="Arial"/>
          <w:i/>
          <w:color w:val="222222"/>
          <w:sz w:val="20"/>
          <w:szCs w:val="20"/>
          <w:shd w:val="clear" w:color="auto" w:fill="FFFFFF"/>
        </w:rPr>
        <w:t>Population Estimates for UK, England and Wales, Scotland and Northern Ireland.</w:t>
      </w:r>
      <w:r w:rsidRPr="00951955">
        <w:rPr>
          <w:rFonts w:ascii="Arial" w:hAnsi="Arial" w:cs="Arial"/>
          <w:color w:val="222222"/>
          <w:sz w:val="20"/>
          <w:szCs w:val="20"/>
          <w:shd w:val="clear" w:color="auto" w:fill="FFFFFF"/>
        </w:rPr>
        <w:t xml:space="preserve"> Newport, Wales; 2016. </w:t>
      </w:r>
      <w:hyperlink r:id="rId7" w:history="1">
        <w:r w:rsidRPr="00951955">
          <w:rPr>
            <w:rStyle w:val="Hyperlink"/>
            <w:rFonts w:ascii="Arial" w:hAnsi="Arial" w:cs="Arial"/>
            <w:sz w:val="20"/>
            <w:szCs w:val="20"/>
            <w:shd w:val="clear" w:color="auto" w:fill="FFFFFF"/>
          </w:rPr>
          <w:t>http://bit.ly/1ObV5s7</w:t>
        </w:r>
      </w:hyperlink>
      <w:r w:rsidRPr="00951955">
        <w:rPr>
          <w:rFonts w:ascii="Arial" w:hAnsi="Arial" w:cs="Arial"/>
          <w:color w:val="222222"/>
          <w:sz w:val="20"/>
          <w:szCs w:val="20"/>
          <w:shd w:val="clear" w:color="auto" w:fill="FFFFFF"/>
        </w:rPr>
        <w:t xml:space="preserve">. Accessed June 28, 2016. </w:t>
      </w:r>
    </w:p>
    <w:p w:rsidR="00DA5751" w:rsidRPr="00951955" w:rsidRDefault="00DA5751" w:rsidP="00117D4E">
      <w:pPr>
        <w:pStyle w:val="ListParagraph"/>
        <w:numPr>
          <w:ilvl w:val="0"/>
          <w:numId w:val="1"/>
        </w:numPr>
        <w:rPr>
          <w:rFonts w:ascii="Arial" w:hAnsi="Arial" w:cs="Arial"/>
          <w:sz w:val="20"/>
          <w:szCs w:val="20"/>
        </w:rPr>
      </w:pPr>
      <w:r w:rsidRPr="00951955">
        <w:rPr>
          <w:rFonts w:ascii="Arial" w:hAnsi="Arial" w:cs="Arial"/>
          <w:i/>
          <w:sz w:val="20"/>
          <w:szCs w:val="20"/>
        </w:rPr>
        <w:t>Oxford English Dictionary.</w:t>
      </w:r>
      <w:r w:rsidRPr="00951955">
        <w:rPr>
          <w:rFonts w:ascii="Arial" w:hAnsi="Arial" w:cs="Arial"/>
          <w:sz w:val="20"/>
          <w:szCs w:val="20"/>
        </w:rPr>
        <w:t xml:space="preserve"> Oxford, UK: Oxford University Press; 2016. </w:t>
      </w:r>
      <w:hyperlink r:id="rId8" w:history="1">
        <w:r w:rsidRPr="00951955">
          <w:rPr>
            <w:rStyle w:val="Hyperlink"/>
            <w:rFonts w:ascii="Arial" w:hAnsi="Arial" w:cs="Arial"/>
            <w:sz w:val="20"/>
            <w:szCs w:val="20"/>
          </w:rPr>
          <w:t>www.oed.com</w:t>
        </w:r>
      </w:hyperlink>
      <w:r w:rsidRPr="00951955">
        <w:rPr>
          <w:rFonts w:ascii="Arial" w:hAnsi="Arial" w:cs="Arial"/>
          <w:sz w:val="20"/>
          <w:szCs w:val="20"/>
        </w:rPr>
        <w:t>. Accessed July 7, 2016.</w:t>
      </w:r>
    </w:p>
    <w:p w:rsidR="00DA5751" w:rsidRPr="00951955" w:rsidRDefault="00DA5751" w:rsidP="00117D4E">
      <w:pPr>
        <w:pStyle w:val="ListParagraph"/>
        <w:numPr>
          <w:ilvl w:val="0"/>
          <w:numId w:val="1"/>
        </w:numPr>
        <w:rPr>
          <w:rFonts w:ascii="Arial" w:hAnsi="Arial" w:cs="Arial"/>
          <w:sz w:val="20"/>
          <w:szCs w:val="20"/>
        </w:rPr>
      </w:pPr>
      <w:r w:rsidRPr="00951955">
        <w:rPr>
          <w:rFonts w:ascii="Arial" w:hAnsi="Arial" w:cs="Arial"/>
          <w:sz w:val="20"/>
          <w:szCs w:val="20"/>
        </w:rPr>
        <w:t xml:space="preserve">LexisNexis UK; 2016. </w:t>
      </w:r>
      <w:hyperlink r:id="rId9" w:history="1">
        <w:r w:rsidRPr="00951955">
          <w:rPr>
            <w:rStyle w:val="Hyperlink"/>
            <w:rFonts w:ascii="Arial" w:hAnsi="Arial" w:cs="Arial"/>
            <w:sz w:val="20"/>
            <w:szCs w:val="20"/>
          </w:rPr>
          <w:t>www.nexis.com</w:t>
        </w:r>
      </w:hyperlink>
      <w:r w:rsidRPr="00951955">
        <w:rPr>
          <w:rFonts w:ascii="Arial" w:hAnsi="Arial" w:cs="Arial"/>
          <w:sz w:val="20"/>
          <w:szCs w:val="20"/>
        </w:rPr>
        <w:t>. Accessed June 23, 2016.</w:t>
      </w:r>
    </w:p>
    <w:p w:rsidR="00DA5751" w:rsidRPr="00951955" w:rsidRDefault="00DA5751" w:rsidP="00117D4E">
      <w:pPr>
        <w:pStyle w:val="ListParagraph"/>
        <w:numPr>
          <w:ilvl w:val="0"/>
          <w:numId w:val="1"/>
        </w:numPr>
        <w:rPr>
          <w:rFonts w:ascii="Arial" w:hAnsi="Arial" w:cs="Arial"/>
          <w:sz w:val="20"/>
          <w:szCs w:val="20"/>
        </w:rPr>
      </w:pPr>
      <w:proofErr w:type="spellStart"/>
      <w:r w:rsidRPr="00951955">
        <w:rPr>
          <w:rFonts w:ascii="Arial" w:hAnsi="Arial" w:cs="Arial"/>
          <w:sz w:val="20"/>
          <w:szCs w:val="20"/>
        </w:rPr>
        <w:t>Textor</w:t>
      </w:r>
      <w:proofErr w:type="spellEnd"/>
      <w:r w:rsidRPr="00951955">
        <w:rPr>
          <w:rFonts w:ascii="Arial" w:hAnsi="Arial" w:cs="Arial"/>
          <w:sz w:val="20"/>
          <w:szCs w:val="20"/>
        </w:rPr>
        <w:t xml:space="preserve"> J, </w:t>
      </w:r>
      <w:proofErr w:type="spellStart"/>
      <w:r w:rsidRPr="00951955">
        <w:rPr>
          <w:rFonts w:ascii="Arial" w:hAnsi="Arial" w:cs="Arial"/>
          <w:sz w:val="20"/>
          <w:szCs w:val="20"/>
        </w:rPr>
        <w:t>Hardt</w:t>
      </w:r>
      <w:proofErr w:type="spellEnd"/>
      <w:r w:rsidRPr="00951955">
        <w:rPr>
          <w:rFonts w:ascii="Arial" w:hAnsi="Arial" w:cs="Arial"/>
          <w:sz w:val="20"/>
          <w:szCs w:val="20"/>
        </w:rPr>
        <w:t xml:space="preserve"> J, </w:t>
      </w:r>
      <w:proofErr w:type="spellStart"/>
      <w:r w:rsidRPr="00951955">
        <w:rPr>
          <w:rFonts w:ascii="Arial" w:hAnsi="Arial" w:cs="Arial"/>
          <w:sz w:val="20"/>
          <w:szCs w:val="20"/>
        </w:rPr>
        <w:t>Knüppel</w:t>
      </w:r>
      <w:proofErr w:type="spellEnd"/>
      <w:r w:rsidRPr="00951955">
        <w:rPr>
          <w:rFonts w:ascii="Arial" w:hAnsi="Arial" w:cs="Arial"/>
          <w:sz w:val="20"/>
          <w:szCs w:val="20"/>
        </w:rPr>
        <w:t xml:space="preserve"> S. </w:t>
      </w:r>
      <w:proofErr w:type="spellStart"/>
      <w:r w:rsidRPr="00951955">
        <w:rPr>
          <w:rFonts w:ascii="Arial" w:hAnsi="Arial" w:cs="Arial"/>
          <w:sz w:val="20"/>
          <w:szCs w:val="20"/>
        </w:rPr>
        <w:t>Dagitty</w:t>
      </w:r>
      <w:proofErr w:type="spellEnd"/>
      <w:r w:rsidRPr="00951955">
        <w:rPr>
          <w:rFonts w:ascii="Arial" w:hAnsi="Arial" w:cs="Arial"/>
          <w:sz w:val="20"/>
          <w:szCs w:val="20"/>
        </w:rPr>
        <w:t xml:space="preserve">: A graphical tool for analysing causal diagrams. </w:t>
      </w:r>
      <w:r w:rsidRPr="00951955">
        <w:rPr>
          <w:rFonts w:ascii="Arial" w:hAnsi="Arial" w:cs="Arial"/>
          <w:i/>
          <w:sz w:val="20"/>
          <w:szCs w:val="20"/>
        </w:rPr>
        <w:t>Epidemiology.</w:t>
      </w:r>
      <w:r w:rsidRPr="00951955">
        <w:rPr>
          <w:rFonts w:ascii="Arial" w:hAnsi="Arial" w:cs="Arial"/>
          <w:sz w:val="20"/>
          <w:szCs w:val="20"/>
        </w:rPr>
        <w:t xml:space="preserve"> 2011</w:t>
      </w:r>
      <w:proofErr w:type="gramStart"/>
      <w:r w:rsidRPr="00951955">
        <w:rPr>
          <w:rFonts w:ascii="Arial" w:hAnsi="Arial" w:cs="Arial"/>
          <w:sz w:val="20"/>
          <w:szCs w:val="20"/>
        </w:rPr>
        <w:t>;22</w:t>
      </w:r>
      <w:proofErr w:type="gramEnd"/>
      <w:r w:rsidRPr="00951955">
        <w:rPr>
          <w:rFonts w:ascii="Arial" w:hAnsi="Arial" w:cs="Arial"/>
          <w:sz w:val="20"/>
          <w:szCs w:val="20"/>
        </w:rPr>
        <w:t>(5):745.</w:t>
      </w:r>
    </w:p>
    <w:p w:rsidR="00580BF3" w:rsidRPr="00951955" w:rsidRDefault="00580BF3" w:rsidP="00117D4E">
      <w:pPr>
        <w:pStyle w:val="ListParagraph"/>
        <w:numPr>
          <w:ilvl w:val="0"/>
          <w:numId w:val="1"/>
        </w:numPr>
        <w:rPr>
          <w:rFonts w:ascii="Arial" w:hAnsi="Arial" w:cs="Arial"/>
          <w:sz w:val="20"/>
          <w:szCs w:val="20"/>
        </w:rPr>
      </w:pPr>
      <w:proofErr w:type="spellStart"/>
      <w:r w:rsidRPr="00951955">
        <w:rPr>
          <w:rFonts w:ascii="Arial" w:hAnsi="Arial" w:cs="Arial"/>
          <w:sz w:val="20"/>
          <w:szCs w:val="20"/>
        </w:rPr>
        <w:t>StataCorp</w:t>
      </w:r>
      <w:proofErr w:type="spellEnd"/>
      <w:r w:rsidRPr="00951955">
        <w:rPr>
          <w:rFonts w:ascii="Arial" w:hAnsi="Arial" w:cs="Arial"/>
          <w:sz w:val="20"/>
          <w:szCs w:val="20"/>
        </w:rPr>
        <w:t xml:space="preserve">. 2011. </w:t>
      </w:r>
      <w:r w:rsidRPr="00951955">
        <w:rPr>
          <w:rFonts w:ascii="Arial" w:hAnsi="Arial" w:cs="Arial"/>
          <w:i/>
          <w:sz w:val="20"/>
          <w:szCs w:val="20"/>
        </w:rPr>
        <w:t>Stata Statistical Software: Release 12.</w:t>
      </w:r>
      <w:r w:rsidRPr="00951955">
        <w:rPr>
          <w:rFonts w:ascii="Arial" w:hAnsi="Arial" w:cs="Arial"/>
          <w:sz w:val="20"/>
          <w:szCs w:val="20"/>
        </w:rPr>
        <w:t xml:space="preserve"> College station, Texas: </w:t>
      </w:r>
      <w:proofErr w:type="spellStart"/>
      <w:r w:rsidRPr="00951955">
        <w:rPr>
          <w:rFonts w:ascii="Arial" w:hAnsi="Arial" w:cs="Arial"/>
          <w:sz w:val="20"/>
          <w:szCs w:val="20"/>
        </w:rPr>
        <w:t>StataCorp</w:t>
      </w:r>
      <w:proofErr w:type="spellEnd"/>
      <w:r w:rsidRPr="00951955">
        <w:rPr>
          <w:rFonts w:ascii="Arial" w:hAnsi="Arial" w:cs="Arial"/>
          <w:sz w:val="20"/>
          <w:szCs w:val="20"/>
        </w:rPr>
        <w:t xml:space="preserve"> LP.</w:t>
      </w:r>
    </w:p>
    <w:p w:rsidR="00D63F6C" w:rsidRPr="00951955" w:rsidRDefault="00FF27D1" w:rsidP="00117D4E">
      <w:pPr>
        <w:pStyle w:val="ListParagraph"/>
        <w:numPr>
          <w:ilvl w:val="0"/>
          <w:numId w:val="1"/>
        </w:numPr>
        <w:rPr>
          <w:rFonts w:ascii="Arial" w:hAnsi="Arial" w:cs="Arial"/>
          <w:sz w:val="20"/>
          <w:szCs w:val="20"/>
        </w:rPr>
      </w:pPr>
      <w:r w:rsidRPr="00951955">
        <w:rPr>
          <w:rFonts w:ascii="Arial" w:hAnsi="Arial" w:cs="Arial"/>
          <w:sz w:val="20"/>
          <w:szCs w:val="20"/>
        </w:rPr>
        <w:t xml:space="preserve">Baron RM, Kenny DA. </w:t>
      </w:r>
      <w:r w:rsidR="00D63F6C" w:rsidRPr="00951955">
        <w:rPr>
          <w:rFonts w:ascii="Arial" w:hAnsi="Arial" w:cs="Arial"/>
          <w:sz w:val="20"/>
          <w:szCs w:val="20"/>
        </w:rPr>
        <w:t>The moderator–mediator variable distinction in social psychological research: Conceptual, strategic, and statistical considerations.</w:t>
      </w:r>
      <w:r w:rsidRPr="00951955">
        <w:rPr>
          <w:rFonts w:ascii="Arial" w:hAnsi="Arial" w:cs="Arial"/>
          <w:sz w:val="20"/>
          <w:szCs w:val="20"/>
        </w:rPr>
        <w:t xml:space="preserve"> </w:t>
      </w:r>
      <w:r w:rsidRPr="00951955">
        <w:rPr>
          <w:rFonts w:ascii="Arial" w:hAnsi="Arial" w:cs="Arial"/>
          <w:i/>
          <w:sz w:val="20"/>
          <w:szCs w:val="20"/>
        </w:rPr>
        <w:t xml:space="preserve">J </w:t>
      </w:r>
      <w:proofErr w:type="spellStart"/>
      <w:r w:rsidRPr="00951955">
        <w:rPr>
          <w:rFonts w:ascii="Arial" w:hAnsi="Arial" w:cs="Arial"/>
          <w:i/>
          <w:sz w:val="20"/>
          <w:szCs w:val="20"/>
        </w:rPr>
        <w:t>Pers</w:t>
      </w:r>
      <w:proofErr w:type="spellEnd"/>
      <w:r w:rsidRPr="00951955">
        <w:rPr>
          <w:rFonts w:ascii="Arial" w:hAnsi="Arial" w:cs="Arial"/>
          <w:i/>
          <w:sz w:val="20"/>
          <w:szCs w:val="20"/>
        </w:rPr>
        <w:t xml:space="preserve"> </w:t>
      </w:r>
      <w:proofErr w:type="spellStart"/>
      <w:r w:rsidRPr="00951955">
        <w:rPr>
          <w:rFonts w:ascii="Arial" w:hAnsi="Arial" w:cs="Arial"/>
          <w:i/>
          <w:sz w:val="20"/>
          <w:szCs w:val="20"/>
        </w:rPr>
        <w:t>Soc</w:t>
      </w:r>
      <w:proofErr w:type="spellEnd"/>
      <w:r w:rsidRPr="00951955">
        <w:rPr>
          <w:rFonts w:ascii="Arial" w:hAnsi="Arial" w:cs="Arial"/>
          <w:i/>
          <w:sz w:val="20"/>
          <w:szCs w:val="20"/>
        </w:rPr>
        <w:t xml:space="preserve"> Psychol</w:t>
      </w:r>
      <w:r w:rsidRPr="00951955">
        <w:rPr>
          <w:rFonts w:ascii="Arial" w:hAnsi="Arial" w:cs="Arial"/>
          <w:sz w:val="20"/>
          <w:szCs w:val="20"/>
        </w:rPr>
        <w:t>. 1986; 51(6):</w:t>
      </w:r>
      <w:r w:rsidR="00D63F6C" w:rsidRPr="00951955">
        <w:rPr>
          <w:rFonts w:ascii="Arial" w:hAnsi="Arial" w:cs="Arial"/>
          <w:sz w:val="20"/>
          <w:szCs w:val="20"/>
        </w:rPr>
        <w:t xml:space="preserve"> 1173</w:t>
      </w:r>
      <w:r w:rsidRPr="00951955">
        <w:rPr>
          <w:rFonts w:ascii="Arial" w:hAnsi="Arial" w:cs="Arial"/>
          <w:sz w:val="20"/>
          <w:szCs w:val="20"/>
        </w:rPr>
        <w:t>-1182</w:t>
      </w:r>
      <w:r w:rsidR="00D63F6C" w:rsidRPr="00951955">
        <w:rPr>
          <w:rFonts w:ascii="Arial" w:hAnsi="Arial" w:cs="Arial"/>
          <w:sz w:val="20"/>
          <w:szCs w:val="20"/>
        </w:rPr>
        <w:t>.</w:t>
      </w:r>
    </w:p>
    <w:p w:rsidR="00D63F6C" w:rsidRPr="00951955" w:rsidRDefault="00D63F6C" w:rsidP="00117D4E">
      <w:pPr>
        <w:pStyle w:val="ListParagraph"/>
        <w:numPr>
          <w:ilvl w:val="0"/>
          <w:numId w:val="1"/>
        </w:numPr>
        <w:rPr>
          <w:rFonts w:ascii="Arial" w:hAnsi="Arial" w:cs="Arial"/>
          <w:sz w:val="20"/>
          <w:szCs w:val="20"/>
        </w:rPr>
      </w:pPr>
      <w:r w:rsidRPr="00951955">
        <w:rPr>
          <w:rFonts w:ascii="Arial" w:hAnsi="Arial" w:cs="Arial"/>
          <w:sz w:val="20"/>
          <w:szCs w:val="20"/>
        </w:rPr>
        <w:t xml:space="preserve">Hayes, </w:t>
      </w:r>
      <w:r w:rsidR="00FF27D1" w:rsidRPr="00951955">
        <w:rPr>
          <w:rFonts w:ascii="Arial" w:hAnsi="Arial" w:cs="Arial"/>
          <w:sz w:val="20"/>
          <w:szCs w:val="20"/>
        </w:rPr>
        <w:t xml:space="preserve">AF. </w:t>
      </w:r>
      <w:r w:rsidRPr="00951955">
        <w:rPr>
          <w:rFonts w:ascii="Arial" w:hAnsi="Arial" w:cs="Arial"/>
          <w:sz w:val="20"/>
          <w:szCs w:val="20"/>
        </w:rPr>
        <w:t xml:space="preserve">Beyond Baron and Kenny: Statistical mediation analysis in the new millennium. </w:t>
      </w:r>
      <w:proofErr w:type="spellStart"/>
      <w:r w:rsidR="00FF27D1" w:rsidRPr="00951955">
        <w:rPr>
          <w:rFonts w:ascii="Arial" w:hAnsi="Arial" w:cs="Arial"/>
          <w:i/>
          <w:sz w:val="20"/>
          <w:szCs w:val="20"/>
        </w:rPr>
        <w:t>Commun</w:t>
      </w:r>
      <w:proofErr w:type="spellEnd"/>
      <w:r w:rsidR="00FF27D1" w:rsidRPr="00951955">
        <w:rPr>
          <w:rFonts w:ascii="Arial" w:hAnsi="Arial" w:cs="Arial"/>
          <w:i/>
          <w:sz w:val="20"/>
          <w:szCs w:val="20"/>
        </w:rPr>
        <w:t xml:space="preserve"> </w:t>
      </w:r>
      <w:proofErr w:type="spellStart"/>
      <w:r w:rsidR="00FF27D1" w:rsidRPr="00951955">
        <w:rPr>
          <w:rFonts w:ascii="Arial" w:hAnsi="Arial" w:cs="Arial"/>
          <w:i/>
          <w:sz w:val="20"/>
          <w:szCs w:val="20"/>
        </w:rPr>
        <w:t>Monogr</w:t>
      </w:r>
      <w:proofErr w:type="spellEnd"/>
      <w:r w:rsidR="00FF27D1" w:rsidRPr="00951955">
        <w:rPr>
          <w:rFonts w:ascii="Arial" w:hAnsi="Arial" w:cs="Arial"/>
          <w:sz w:val="20"/>
          <w:szCs w:val="20"/>
        </w:rPr>
        <w:t>. 2009</w:t>
      </w:r>
      <w:proofErr w:type="gramStart"/>
      <w:r w:rsidR="00FF27D1" w:rsidRPr="00951955">
        <w:rPr>
          <w:rFonts w:ascii="Arial" w:hAnsi="Arial" w:cs="Arial"/>
          <w:sz w:val="20"/>
          <w:szCs w:val="20"/>
        </w:rPr>
        <w:t>;76</w:t>
      </w:r>
      <w:proofErr w:type="gramEnd"/>
      <w:r w:rsidR="00FF27D1" w:rsidRPr="00951955">
        <w:rPr>
          <w:rFonts w:ascii="Arial" w:hAnsi="Arial" w:cs="Arial"/>
          <w:sz w:val="20"/>
          <w:szCs w:val="20"/>
        </w:rPr>
        <w:t>(4):</w:t>
      </w:r>
      <w:r w:rsidRPr="00951955">
        <w:rPr>
          <w:rFonts w:ascii="Arial" w:hAnsi="Arial" w:cs="Arial"/>
          <w:sz w:val="20"/>
          <w:szCs w:val="20"/>
        </w:rPr>
        <w:t>408-420.</w:t>
      </w:r>
    </w:p>
    <w:p w:rsidR="00DA5751" w:rsidRPr="00951955" w:rsidRDefault="00DA5751" w:rsidP="00117D4E">
      <w:pPr>
        <w:pStyle w:val="ListParagraph"/>
        <w:numPr>
          <w:ilvl w:val="0"/>
          <w:numId w:val="1"/>
        </w:numPr>
        <w:rPr>
          <w:rFonts w:ascii="Arial" w:hAnsi="Arial" w:cs="Arial"/>
          <w:sz w:val="20"/>
          <w:szCs w:val="20"/>
        </w:rPr>
      </w:pPr>
      <w:r w:rsidRPr="00951955">
        <w:rPr>
          <w:rFonts w:ascii="Arial" w:hAnsi="Arial" w:cs="Arial"/>
          <w:sz w:val="20"/>
          <w:szCs w:val="20"/>
        </w:rPr>
        <w:lastRenderedPageBreak/>
        <w:t xml:space="preserve">Zhao X, Lynch JG, Chen </w:t>
      </w:r>
      <w:proofErr w:type="spellStart"/>
      <w:r w:rsidRPr="00951955">
        <w:rPr>
          <w:rFonts w:ascii="Arial" w:hAnsi="Arial" w:cs="Arial"/>
          <w:sz w:val="20"/>
          <w:szCs w:val="20"/>
        </w:rPr>
        <w:t>Qimei</w:t>
      </w:r>
      <w:proofErr w:type="spellEnd"/>
      <w:r w:rsidRPr="00951955">
        <w:rPr>
          <w:rFonts w:ascii="Arial" w:hAnsi="Arial" w:cs="Arial"/>
          <w:sz w:val="20"/>
          <w:szCs w:val="20"/>
        </w:rPr>
        <w:t xml:space="preserve">. Reconsidering Baron and Kenny: Myths and truths about mediation analysis. </w:t>
      </w:r>
      <w:r w:rsidRPr="00951955">
        <w:rPr>
          <w:rFonts w:ascii="Arial" w:hAnsi="Arial" w:cs="Arial"/>
          <w:i/>
          <w:sz w:val="20"/>
          <w:szCs w:val="20"/>
        </w:rPr>
        <w:t>J Cons Res</w:t>
      </w:r>
      <w:r w:rsidRPr="00951955">
        <w:rPr>
          <w:rFonts w:ascii="Arial" w:hAnsi="Arial" w:cs="Arial"/>
          <w:sz w:val="20"/>
          <w:szCs w:val="20"/>
        </w:rPr>
        <w:t>. 2010</w:t>
      </w:r>
      <w:proofErr w:type="gramStart"/>
      <w:r w:rsidRPr="00951955">
        <w:rPr>
          <w:rFonts w:ascii="Arial" w:hAnsi="Arial" w:cs="Arial"/>
          <w:sz w:val="20"/>
          <w:szCs w:val="20"/>
        </w:rPr>
        <w:t>;37</w:t>
      </w:r>
      <w:proofErr w:type="gramEnd"/>
      <w:r w:rsidRPr="00951955">
        <w:rPr>
          <w:rFonts w:ascii="Arial" w:hAnsi="Arial" w:cs="Arial"/>
          <w:sz w:val="20"/>
          <w:szCs w:val="20"/>
        </w:rPr>
        <w:t>(2): 197-206.</w:t>
      </w:r>
    </w:p>
    <w:p w:rsidR="00D96F98" w:rsidRPr="00951955" w:rsidRDefault="00D96F98" w:rsidP="00117D4E">
      <w:pPr>
        <w:pStyle w:val="ListParagraph"/>
        <w:numPr>
          <w:ilvl w:val="0"/>
          <w:numId w:val="1"/>
        </w:numPr>
        <w:rPr>
          <w:rFonts w:ascii="Arial" w:hAnsi="Arial" w:cs="Arial"/>
          <w:sz w:val="20"/>
          <w:szCs w:val="20"/>
        </w:rPr>
      </w:pPr>
      <w:proofErr w:type="spellStart"/>
      <w:r w:rsidRPr="00951955">
        <w:rPr>
          <w:rFonts w:ascii="Arial" w:hAnsi="Arial" w:cs="Arial"/>
          <w:sz w:val="20"/>
          <w:szCs w:val="20"/>
        </w:rPr>
        <w:t>Sobotka</w:t>
      </w:r>
      <w:proofErr w:type="spellEnd"/>
      <w:r w:rsidRPr="00951955">
        <w:rPr>
          <w:rFonts w:ascii="Arial" w:hAnsi="Arial" w:cs="Arial"/>
          <w:sz w:val="20"/>
          <w:szCs w:val="20"/>
        </w:rPr>
        <w:t xml:space="preserve"> T, </w:t>
      </w:r>
      <w:proofErr w:type="spellStart"/>
      <w:r w:rsidRPr="00951955">
        <w:rPr>
          <w:rFonts w:ascii="Arial" w:hAnsi="Arial" w:cs="Arial"/>
          <w:sz w:val="20"/>
          <w:szCs w:val="20"/>
        </w:rPr>
        <w:t>Skirbekk</w:t>
      </w:r>
      <w:proofErr w:type="spellEnd"/>
      <w:r w:rsidRPr="00951955">
        <w:rPr>
          <w:rFonts w:ascii="Arial" w:hAnsi="Arial" w:cs="Arial"/>
          <w:sz w:val="20"/>
          <w:szCs w:val="20"/>
        </w:rPr>
        <w:t xml:space="preserve"> V, </w:t>
      </w:r>
      <w:proofErr w:type="spellStart"/>
      <w:r w:rsidRPr="00951955">
        <w:rPr>
          <w:rFonts w:ascii="Arial" w:hAnsi="Arial" w:cs="Arial"/>
          <w:sz w:val="20"/>
          <w:szCs w:val="20"/>
        </w:rPr>
        <w:t>Philipov</w:t>
      </w:r>
      <w:proofErr w:type="spellEnd"/>
      <w:r w:rsidRPr="00951955">
        <w:rPr>
          <w:rFonts w:ascii="Arial" w:hAnsi="Arial" w:cs="Arial"/>
          <w:sz w:val="20"/>
          <w:szCs w:val="20"/>
        </w:rPr>
        <w:t xml:space="preserve"> D. Economic recession and fertility in the developed world. </w:t>
      </w:r>
      <w:proofErr w:type="spellStart"/>
      <w:r w:rsidRPr="00951955">
        <w:rPr>
          <w:rFonts w:ascii="Arial" w:hAnsi="Arial" w:cs="Arial"/>
          <w:i/>
          <w:sz w:val="20"/>
          <w:szCs w:val="20"/>
        </w:rPr>
        <w:t>Popul</w:t>
      </w:r>
      <w:proofErr w:type="spellEnd"/>
      <w:r w:rsidRPr="00951955">
        <w:rPr>
          <w:rFonts w:ascii="Arial" w:hAnsi="Arial" w:cs="Arial"/>
          <w:i/>
          <w:sz w:val="20"/>
          <w:szCs w:val="20"/>
        </w:rPr>
        <w:t xml:space="preserve"> Dev Rev.</w:t>
      </w:r>
      <w:r w:rsidRPr="00951955">
        <w:rPr>
          <w:rFonts w:ascii="Arial" w:hAnsi="Arial" w:cs="Arial"/>
          <w:sz w:val="20"/>
          <w:szCs w:val="20"/>
        </w:rPr>
        <w:t xml:space="preserve"> 2011</w:t>
      </w:r>
      <w:proofErr w:type="gramStart"/>
      <w:r w:rsidRPr="00951955">
        <w:rPr>
          <w:rFonts w:ascii="Arial" w:hAnsi="Arial" w:cs="Arial"/>
          <w:sz w:val="20"/>
          <w:szCs w:val="20"/>
        </w:rPr>
        <w:t>;37</w:t>
      </w:r>
      <w:proofErr w:type="gramEnd"/>
      <w:r w:rsidRPr="00951955">
        <w:rPr>
          <w:rFonts w:ascii="Arial" w:hAnsi="Arial" w:cs="Arial"/>
          <w:sz w:val="20"/>
          <w:szCs w:val="20"/>
        </w:rPr>
        <w:t>(2):267–306.</w:t>
      </w:r>
    </w:p>
    <w:p w:rsidR="00D96F98" w:rsidRPr="00951955" w:rsidRDefault="00D96F98" w:rsidP="00117D4E">
      <w:pPr>
        <w:pStyle w:val="ListParagraph"/>
        <w:numPr>
          <w:ilvl w:val="0"/>
          <w:numId w:val="1"/>
        </w:numPr>
        <w:rPr>
          <w:rFonts w:ascii="Arial" w:hAnsi="Arial" w:cs="Arial"/>
          <w:sz w:val="20"/>
          <w:szCs w:val="20"/>
        </w:rPr>
      </w:pPr>
      <w:r w:rsidRPr="00951955">
        <w:rPr>
          <w:rFonts w:ascii="Arial" w:hAnsi="Arial" w:cs="Arial"/>
          <w:sz w:val="20"/>
          <w:szCs w:val="20"/>
        </w:rPr>
        <w:t xml:space="preserve">Goldstein J, </w:t>
      </w:r>
      <w:proofErr w:type="spellStart"/>
      <w:r w:rsidRPr="00951955">
        <w:rPr>
          <w:rFonts w:ascii="Arial" w:hAnsi="Arial" w:cs="Arial"/>
          <w:sz w:val="20"/>
          <w:szCs w:val="20"/>
        </w:rPr>
        <w:t>Kreyenfeld</w:t>
      </w:r>
      <w:proofErr w:type="spellEnd"/>
      <w:r w:rsidRPr="00951955">
        <w:rPr>
          <w:rFonts w:ascii="Arial" w:hAnsi="Arial" w:cs="Arial"/>
          <w:sz w:val="20"/>
          <w:szCs w:val="20"/>
        </w:rPr>
        <w:t xml:space="preserve"> M, </w:t>
      </w:r>
      <w:proofErr w:type="spellStart"/>
      <w:r w:rsidRPr="00951955">
        <w:rPr>
          <w:rFonts w:ascii="Arial" w:hAnsi="Arial" w:cs="Arial"/>
          <w:sz w:val="20"/>
          <w:szCs w:val="20"/>
        </w:rPr>
        <w:t>Jasilioniene</w:t>
      </w:r>
      <w:proofErr w:type="spellEnd"/>
      <w:r w:rsidRPr="00951955">
        <w:rPr>
          <w:rFonts w:ascii="Arial" w:hAnsi="Arial" w:cs="Arial"/>
          <w:sz w:val="20"/>
          <w:szCs w:val="20"/>
        </w:rPr>
        <w:t xml:space="preserve"> A, </w:t>
      </w:r>
      <w:proofErr w:type="spellStart"/>
      <w:r w:rsidRPr="00951955">
        <w:rPr>
          <w:rFonts w:ascii="Arial" w:hAnsi="Arial" w:cs="Arial"/>
          <w:sz w:val="20"/>
          <w:szCs w:val="20"/>
        </w:rPr>
        <w:t>Örsal</w:t>
      </w:r>
      <w:proofErr w:type="spellEnd"/>
      <w:r w:rsidRPr="00951955">
        <w:rPr>
          <w:rFonts w:ascii="Arial" w:hAnsi="Arial" w:cs="Arial"/>
          <w:sz w:val="20"/>
          <w:szCs w:val="20"/>
        </w:rPr>
        <w:t xml:space="preserve"> DDK. Fertility reactions to the" Great Recession" in Europe: Recent evidence from order-specific data. </w:t>
      </w:r>
      <w:r w:rsidRPr="00951955">
        <w:rPr>
          <w:rFonts w:ascii="Arial" w:hAnsi="Arial" w:cs="Arial"/>
          <w:i/>
          <w:sz w:val="20"/>
          <w:szCs w:val="20"/>
        </w:rPr>
        <w:t>Demographic Res</w:t>
      </w:r>
      <w:r w:rsidRPr="00951955">
        <w:rPr>
          <w:rFonts w:ascii="Arial" w:hAnsi="Arial" w:cs="Arial"/>
          <w:sz w:val="20"/>
          <w:szCs w:val="20"/>
        </w:rPr>
        <w:t>. 2013</w:t>
      </w:r>
      <w:proofErr w:type="gramStart"/>
      <w:r w:rsidRPr="00951955">
        <w:rPr>
          <w:rFonts w:ascii="Arial" w:hAnsi="Arial" w:cs="Arial"/>
          <w:sz w:val="20"/>
          <w:szCs w:val="20"/>
        </w:rPr>
        <w:t>;29:85</w:t>
      </w:r>
      <w:proofErr w:type="gramEnd"/>
      <w:r w:rsidRPr="00951955">
        <w:rPr>
          <w:rFonts w:ascii="Arial" w:hAnsi="Arial" w:cs="Arial"/>
          <w:sz w:val="20"/>
          <w:szCs w:val="20"/>
        </w:rPr>
        <w:t>–104.</w:t>
      </w:r>
    </w:p>
    <w:p w:rsidR="00D96F98" w:rsidRPr="00951955" w:rsidRDefault="00D96F98" w:rsidP="00117D4E">
      <w:pPr>
        <w:pStyle w:val="ListParagraph"/>
        <w:numPr>
          <w:ilvl w:val="0"/>
          <w:numId w:val="1"/>
        </w:numPr>
        <w:rPr>
          <w:rFonts w:ascii="Arial" w:hAnsi="Arial" w:cs="Arial"/>
          <w:sz w:val="20"/>
          <w:szCs w:val="20"/>
        </w:rPr>
      </w:pPr>
      <w:r w:rsidRPr="00951955">
        <w:rPr>
          <w:rFonts w:ascii="Arial" w:hAnsi="Arial" w:cs="Arial"/>
          <w:sz w:val="20"/>
          <w:szCs w:val="20"/>
        </w:rPr>
        <w:t xml:space="preserve">Office for National Statistics (ONS). Birth Summary Tables, England and Wales: 2014. Newport, Wales; 2015. </w:t>
      </w:r>
      <w:hyperlink r:id="rId10" w:history="1">
        <w:r w:rsidRPr="00951955">
          <w:rPr>
            <w:rStyle w:val="Hyperlink"/>
            <w:rFonts w:ascii="Arial" w:hAnsi="Arial" w:cs="Arial"/>
            <w:sz w:val="20"/>
            <w:szCs w:val="20"/>
          </w:rPr>
          <w:t>http://tinyurl.com/h99xmxq</w:t>
        </w:r>
      </w:hyperlink>
      <w:r w:rsidRPr="00951955">
        <w:rPr>
          <w:rFonts w:ascii="Arial" w:hAnsi="Arial" w:cs="Arial"/>
          <w:sz w:val="20"/>
          <w:szCs w:val="20"/>
        </w:rPr>
        <w:t>. Accessed July 21, 2016.</w:t>
      </w:r>
    </w:p>
    <w:p w:rsidR="00D63F6C" w:rsidRPr="00951955" w:rsidRDefault="00FD4671" w:rsidP="00117D4E">
      <w:pPr>
        <w:pStyle w:val="ListParagraph"/>
        <w:numPr>
          <w:ilvl w:val="0"/>
          <w:numId w:val="1"/>
        </w:numPr>
        <w:rPr>
          <w:rFonts w:ascii="Arial" w:hAnsi="Arial" w:cs="Arial"/>
          <w:sz w:val="20"/>
          <w:szCs w:val="20"/>
        </w:rPr>
      </w:pPr>
      <w:r>
        <w:rPr>
          <w:rFonts w:ascii="Arial" w:hAnsi="Arial" w:cs="Arial"/>
          <w:sz w:val="20"/>
          <w:szCs w:val="20"/>
        </w:rPr>
        <w:t xml:space="preserve">Health &amp; </w:t>
      </w:r>
      <w:r w:rsidR="00EF58B6" w:rsidRPr="00951955">
        <w:rPr>
          <w:rFonts w:ascii="Arial" w:hAnsi="Arial" w:cs="Arial"/>
          <w:sz w:val="20"/>
          <w:szCs w:val="20"/>
        </w:rPr>
        <w:t>Social Care Information Centre</w:t>
      </w:r>
      <w:r w:rsidR="00D96F98">
        <w:rPr>
          <w:rFonts w:ascii="Arial" w:hAnsi="Arial" w:cs="Arial"/>
          <w:sz w:val="20"/>
          <w:szCs w:val="20"/>
        </w:rPr>
        <w:t xml:space="preserve"> (HSCIC)</w:t>
      </w:r>
      <w:r w:rsidR="00EF58B6" w:rsidRPr="00951955">
        <w:rPr>
          <w:rFonts w:ascii="Arial" w:hAnsi="Arial" w:cs="Arial"/>
          <w:sz w:val="20"/>
          <w:szCs w:val="20"/>
        </w:rPr>
        <w:t>.</w:t>
      </w:r>
      <w:r w:rsidR="00EF58B6" w:rsidRPr="00951955">
        <w:rPr>
          <w:rFonts w:ascii="Arial" w:hAnsi="Arial" w:cs="Arial"/>
          <w:i/>
          <w:sz w:val="20"/>
          <w:szCs w:val="20"/>
        </w:rPr>
        <w:t xml:space="preserve"> </w:t>
      </w:r>
      <w:r w:rsidR="00D63F6C" w:rsidRPr="00951955">
        <w:rPr>
          <w:rFonts w:ascii="Arial" w:hAnsi="Arial" w:cs="Arial"/>
          <w:i/>
          <w:sz w:val="20"/>
          <w:szCs w:val="20"/>
        </w:rPr>
        <w:t>Statistics on Women’s Smoking Status at Time of Delivery, England - Quarter 4, 2013-14.</w:t>
      </w:r>
      <w:r w:rsidR="00D63F6C" w:rsidRPr="00951955">
        <w:rPr>
          <w:rFonts w:ascii="Arial" w:hAnsi="Arial" w:cs="Arial"/>
          <w:sz w:val="20"/>
          <w:szCs w:val="20"/>
        </w:rPr>
        <w:t xml:space="preserve"> Leeds</w:t>
      </w:r>
      <w:r w:rsidR="00EF58B6" w:rsidRPr="00951955">
        <w:rPr>
          <w:rFonts w:ascii="Arial" w:hAnsi="Arial" w:cs="Arial"/>
          <w:sz w:val="20"/>
          <w:szCs w:val="20"/>
        </w:rPr>
        <w:t>, UK</w:t>
      </w:r>
      <w:r w:rsidR="00D63F6C" w:rsidRPr="00951955">
        <w:rPr>
          <w:rFonts w:ascii="Arial" w:hAnsi="Arial" w:cs="Arial"/>
          <w:sz w:val="20"/>
          <w:szCs w:val="20"/>
        </w:rPr>
        <w:t>; 2014</w:t>
      </w:r>
      <w:r w:rsidR="00EF58B6" w:rsidRPr="00951955">
        <w:rPr>
          <w:rFonts w:ascii="Arial" w:hAnsi="Arial" w:cs="Arial"/>
          <w:sz w:val="20"/>
          <w:szCs w:val="20"/>
        </w:rPr>
        <w:t xml:space="preserve">. </w:t>
      </w:r>
      <w:hyperlink r:id="rId11" w:history="1">
        <w:r w:rsidR="00EF58B6" w:rsidRPr="00951955">
          <w:rPr>
            <w:rStyle w:val="Hyperlink"/>
            <w:rFonts w:ascii="Arial" w:hAnsi="Arial" w:cs="Arial"/>
            <w:sz w:val="20"/>
            <w:szCs w:val="20"/>
          </w:rPr>
          <w:t>http://www.hscic.gov.uk/catalogue/PUB14258</w:t>
        </w:r>
      </w:hyperlink>
      <w:r w:rsidR="00EF58B6" w:rsidRPr="00951955">
        <w:rPr>
          <w:rFonts w:ascii="Arial" w:hAnsi="Arial" w:cs="Arial"/>
          <w:sz w:val="20"/>
          <w:szCs w:val="20"/>
        </w:rPr>
        <w:t>. Accessed July 21, 2016.</w:t>
      </w:r>
    </w:p>
    <w:p w:rsidR="00D63F6C" w:rsidRPr="00951955" w:rsidRDefault="00D63F6C" w:rsidP="00117D4E">
      <w:pPr>
        <w:pStyle w:val="ListParagraph"/>
        <w:numPr>
          <w:ilvl w:val="0"/>
          <w:numId w:val="1"/>
        </w:numPr>
        <w:rPr>
          <w:rFonts w:ascii="Arial" w:hAnsi="Arial" w:cs="Arial"/>
          <w:sz w:val="20"/>
          <w:szCs w:val="20"/>
        </w:rPr>
      </w:pPr>
      <w:r w:rsidRPr="00951955">
        <w:rPr>
          <w:rFonts w:ascii="Arial" w:hAnsi="Arial" w:cs="Arial"/>
          <w:sz w:val="20"/>
          <w:szCs w:val="20"/>
        </w:rPr>
        <w:t xml:space="preserve">Mackay DF, Nelson SM, Haw SJ, Pell JP. Impact of Scotland's smoke-free legislation on pregnancy complications: retrospective cohort study. </w:t>
      </w:r>
      <w:proofErr w:type="spellStart"/>
      <w:r w:rsidRPr="00951955">
        <w:rPr>
          <w:rFonts w:ascii="Arial" w:hAnsi="Arial" w:cs="Arial"/>
          <w:i/>
          <w:sz w:val="20"/>
          <w:szCs w:val="20"/>
        </w:rPr>
        <w:t>PLoS</w:t>
      </w:r>
      <w:proofErr w:type="spellEnd"/>
      <w:r w:rsidRPr="00951955">
        <w:rPr>
          <w:rFonts w:ascii="Arial" w:hAnsi="Arial" w:cs="Arial"/>
          <w:i/>
          <w:sz w:val="20"/>
          <w:szCs w:val="20"/>
        </w:rPr>
        <w:t xml:space="preserve"> Med</w:t>
      </w:r>
      <w:r w:rsidR="00EF58B6" w:rsidRPr="00951955">
        <w:rPr>
          <w:rFonts w:ascii="Arial" w:hAnsi="Arial" w:cs="Arial"/>
          <w:i/>
          <w:sz w:val="20"/>
          <w:szCs w:val="20"/>
        </w:rPr>
        <w:t>.</w:t>
      </w:r>
      <w:r w:rsidRPr="00951955">
        <w:rPr>
          <w:rFonts w:ascii="Arial" w:hAnsi="Arial" w:cs="Arial"/>
          <w:sz w:val="20"/>
          <w:szCs w:val="20"/>
        </w:rPr>
        <w:t xml:space="preserve"> 2012</w:t>
      </w:r>
      <w:proofErr w:type="gramStart"/>
      <w:r w:rsidRPr="00951955">
        <w:rPr>
          <w:rFonts w:ascii="Arial" w:hAnsi="Arial" w:cs="Arial"/>
          <w:sz w:val="20"/>
          <w:szCs w:val="20"/>
        </w:rPr>
        <w:t>;9</w:t>
      </w:r>
      <w:proofErr w:type="gramEnd"/>
      <w:r w:rsidRPr="00951955">
        <w:rPr>
          <w:rFonts w:ascii="Arial" w:hAnsi="Arial" w:cs="Arial"/>
          <w:sz w:val="20"/>
          <w:szCs w:val="20"/>
        </w:rPr>
        <w:t>(3):e1001175.</w:t>
      </w:r>
    </w:p>
    <w:p w:rsidR="00D63F6C" w:rsidRPr="00951955" w:rsidRDefault="00D63F6C" w:rsidP="00117D4E">
      <w:pPr>
        <w:pStyle w:val="ListParagraph"/>
        <w:numPr>
          <w:ilvl w:val="0"/>
          <w:numId w:val="1"/>
        </w:numPr>
        <w:rPr>
          <w:rFonts w:ascii="Arial" w:hAnsi="Arial" w:cs="Arial"/>
          <w:sz w:val="20"/>
          <w:szCs w:val="20"/>
        </w:rPr>
      </w:pPr>
      <w:r w:rsidRPr="00951955">
        <w:rPr>
          <w:rFonts w:ascii="Arial" w:hAnsi="Arial" w:cs="Arial"/>
          <w:sz w:val="20"/>
          <w:szCs w:val="20"/>
        </w:rPr>
        <w:t>Catalano R, Goldman-Mellor S, Saxton K</w:t>
      </w:r>
      <w:r w:rsidR="00EF58B6" w:rsidRPr="00951955">
        <w:rPr>
          <w:rFonts w:ascii="Arial" w:hAnsi="Arial" w:cs="Arial"/>
          <w:sz w:val="20"/>
          <w:szCs w:val="20"/>
        </w:rPr>
        <w:t>,</w:t>
      </w:r>
      <w:r w:rsidRPr="00951955">
        <w:rPr>
          <w:rFonts w:ascii="Arial" w:hAnsi="Arial" w:cs="Arial"/>
          <w:sz w:val="20"/>
          <w:szCs w:val="20"/>
        </w:rPr>
        <w:t xml:space="preserve"> et al. The health effects of economic decline. </w:t>
      </w:r>
      <w:proofErr w:type="spellStart"/>
      <w:r w:rsidRPr="00951955">
        <w:rPr>
          <w:rFonts w:ascii="Arial" w:hAnsi="Arial" w:cs="Arial"/>
          <w:i/>
          <w:sz w:val="20"/>
          <w:szCs w:val="20"/>
        </w:rPr>
        <w:t>Annu</w:t>
      </w:r>
      <w:proofErr w:type="spellEnd"/>
      <w:r w:rsidRPr="00951955">
        <w:rPr>
          <w:rFonts w:ascii="Arial" w:hAnsi="Arial" w:cs="Arial"/>
          <w:i/>
          <w:sz w:val="20"/>
          <w:szCs w:val="20"/>
        </w:rPr>
        <w:t xml:space="preserve"> Rev Public Health</w:t>
      </w:r>
      <w:r w:rsidR="00EF58B6" w:rsidRPr="00951955">
        <w:rPr>
          <w:rFonts w:ascii="Arial" w:hAnsi="Arial" w:cs="Arial"/>
          <w:i/>
          <w:sz w:val="20"/>
          <w:szCs w:val="20"/>
        </w:rPr>
        <w:t>.</w:t>
      </w:r>
      <w:r w:rsidRPr="00951955">
        <w:rPr>
          <w:rFonts w:ascii="Arial" w:hAnsi="Arial" w:cs="Arial"/>
          <w:sz w:val="20"/>
          <w:szCs w:val="20"/>
        </w:rPr>
        <w:t xml:space="preserve"> 2011</w:t>
      </w:r>
      <w:proofErr w:type="gramStart"/>
      <w:r w:rsidRPr="00951955">
        <w:rPr>
          <w:rFonts w:ascii="Arial" w:hAnsi="Arial" w:cs="Arial"/>
          <w:sz w:val="20"/>
          <w:szCs w:val="20"/>
        </w:rPr>
        <w:t>;32:431</w:t>
      </w:r>
      <w:proofErr w:type="gramEnd"/>
      <w:r w:rsidRPr="00951955">
        <w:rPr>
          <w:rFonts w:ascii="Arial" w:hAnsi="Arial" w:cs="Arial"/>
          <w:sz w:val="20"/>
          <w:szCs w:val="20"/>
        </w:rPr>
        <w:t>–</w:t>
      </w:r>
      <w:r w:rsidR="00EF58B6" w:rsidRPr="00951955">
        <w:rPr>
          <w:rFonts w:ascii="Arial" w:hAnsi="Arial" w:cs="Arial"/>
          <w:sz w:val="20"/>
          <w:szCs w:val="20"/>
        </w:rPr>
        <w:t>4</w:t>
      </w:r>
      <w:r w:rsidRPr="00951955">
        <w:rPr>
          <w:rFonts w:ascii="Arial" w:hAnsi="Arial" w:cs="Arial"/>
          <w:sz w:val="20"/>
          <w:szCs w:val="20"/>
        </w:rPr>
        <w:t>50.</w:t>
      </w:r>
    </w:p>
    <w:p w:rsidR="00D63F6C" w:rsidRPr="00951955" w:rsidRDefault="00D63F6C" w:rsidP="00117D4E">
      <w:pPr>
        <w:pStyle w:val="ListParagraph"/>
        <w:numPr>
          <w:ilvl w:val="0"/>
          <w:numId w:val="1"/>
        </w:numPr>
        <w:rPr>
          <w:rFonts w:ascii="Arial" w:hAnsi="Arial" w:cs="Arial"/>
          <w:sz w:val="20"/>
          <w:szCs w:val="20"/>
        </w:rPr>
      </w:pPr>
      <w:proofErr w:type="spellStart"/>
      <w:r w:rsidRPr="00951955">
        <w:rPr>
          <w:rFonts w:ascii="Arial" w:hAnsi="Arial" w:cs="Arial"/>
          <w:sz w:val="20"/>
          <w:szCs w:val="20"/>
        </w:rPr>
        <w:t>Bacigalupe</w:t>
      </w:r>
      <w:proofErr w:type="spellEnd"/>
      <w:r w:rsidRPr="00951955">
        <w:rPr>
          <w:rFonts w:ascii="Arial" w:hAnsi="Arial" w:cs="Arial"/>
          <w:sz w:val="20"/>
          <w:szCs w:val="20"/>
        </w:rPr>
        <w:t xml:space="preserve"> A, Escolar-</w:t>
      </w:r>
      <w:proofErr w:type="spellStart"/>
      <w:r w:rsidRPr="00951955">
        <w:rPr>
          <w:rFonts w:ascii="Arial" w:hAnsi="Arial" w:cs="Arial"/>
          <w:sz w:val="20"/>
          <w:szCs w:val="20"/>
        </w:rPr>
        <w:t>Pujolar</w:t>
      </w:r>
      <w:proofErr w:type="spellEnd"/>
      <w:r w:rsidRPr="00951955">
        <w:rPr>
          <w:rFonts w:ascii="Arial" w:hAnsi="Arial" w:cs="Arial"/>
          <w:sz w:val="20"/>
          <w:szCs w:val="20"/>
        </w:rPr>
        <w:t xml:space="preserve"> A. The impact of economic crises on social inequalities in health: what do we know so far? </w:t>
      </w:r>
      <w:proofErr w:type="spellStart"/>
      <w:r w:rsidRPr="00951955">
        <w:rPr>
          <w:rFonts w:ascii="Arial" w:hAnsi="Arial" w:cs="Arial"/>
          <w:i/>
          <w:sz w:val="20"/>
          <w:szCs w:val="20"/>
        </w:rPr>
        <w:t>Int</w:t>
      </w:r>
      <w:proofErr w:type="spellEnd"/>
      <w:r w:rsidRPr="00951955">
        <w:rPr>
          <w:rFonts w:ascii="Arial" w:hAnsi="Arial" w:cs="Arial"/>
          <w:i/>
          <w:sz w:val="20"/>
          <w:szCs w:val="20"/>
        </w:rPr>
        <w:t xml:space="preserve"> J Equity Health</w:t>
      </w:r>
      <w:r w:rsidR="00EF58B6" w:rsidRPr="00951955">
        <w:rPr>
          <w:rFonts w:ascii="Arial" w:hAnsi="Arial" w:cs="Arial"/>
          <w:i/>
          <w:sz w:val="20"/>
          <w:szCs w:val="20"/>
        </w:rPr>
        <w:t>.</w:t>
      </w:r>
      <w:r w:rsidRPr="00951955">
        <w:rPr>
          <w:rFonts w:ascii="Arial" w:hAnsi="Arial" w:cs="Arial"/>
          <w:sz w:val="20"/>
          <w:szCs w:val="20"/>
        </w:rPr>
        <w:t xml:space="preserve"> 2014</w:t>
      </w:r>
      <w:proofErr w:type="gramStart"/>
      <w:r w:rsidRPr="00951955">
        <w:rPr>
          <w:rFonts w:ascii="Arial" w:hAnsi="Arial" w:cs="Arial"/>
          <w:sz w:val="20"/>
          <w:szCs w:val="20"/>
        </w:rPr>
        <w:t>;13</w:t>
      </w:r>
      <w:proofErr w:type="gramEnd"/>
      <w:r w:rsidRPr="00951955">
        <w:rPr>
          <w:rFonts w:ascii="Arial" w:hAnsi="Arial" w:cs="Arial"/>
          <w:sz w:val="20"/>
          <w:szCs w:val="20"/>
        </w:rPr>
        <w:t>(1):1–6.</w:t>
      </w:r>
    </w:p>
    <w:p w:rsidR="008705D7" w:rsidRPr="00306ECF" w:rsidRDefault="00D63F6C" w:rsidP="00306ECF">
      <w:pPr>
        <w:pStyle w:val="ListParagraph"/>
        <w:numPr>
          <w:ilvl w:val="0"/>
          <w:numId w:val="1"/>
        </w:numPr>
        <w:rPr>
          <w:rFonts w:ascii="Arial" w:hAnsi="Arial" w:cs="Arial"/>
          <w:sz w:val="20"/>
          <w:szCs w:val="20"/>
        </w:rPr>
      </w:pPr>
      <w:proofErr w:type="spellStart"/>
      <w:r w:rsidRPr="00951955">
        <w:rPr>
          <w:rFonts w:ascii="Arial" w:hAnsi="Arial" w:cs="Arial"/>
          <w:sz w:val="20"/>
          <w:szCs w:val="20"/>
        </w:rPr>
        <w:t>Stuckler</w:t>
      </w:r>
      <w:proofErr w:type="spellEnd"/>
      <w:r w:rsidRPr="00951955">
        <w:rPr>
          <w:rFonts w:ascii="Arial" w:hAnsi="Arial" w:cs="Arial"/>
          <w:sz w:val="20"/>
          <w:szCs w:val="20"/>
        </w:rPr>
        <w:t xml:space="preserve"> D, </w:t>
      </w:r>
      <w:proofErr w:type="spellStart"/>
      <w:r w:rsidRPr="00951955">
        <w:rPr>
          <w:rFonts w:ascii="Arial" w:hAnsi="Arial" w:cs="Arial"/>
          <w:sz w:val="20"/>
          <w:szCs w:val="20"/>
        </w:rPr>
        <w:t>Basu</w:t>
      </w:r>
      <w:proofErr w:type="spellEnd"/>
      <w:r w:rsidRPr="00951955">
        <w:rPr>
          <w:rFonts w:ascii="Arial" w:hAnsi="Arial" w:cs="Arial"/>
          <w:sz w:val="20"/>
          <w:szCs w:val="20"/>
        </w:rPr>
        <w:t xml:space="preserve"> S, </w:t>
      </w:r>
      <w:proofErr w:type="spellStart"/>
      <w:r w:rsidRPr="00951955">
        <w:rPr>
          <w:rFonts w:ascii="Arial" w:hAnsi="Arial" w:cs="Arial"/>
          <w:sz w:val="20"/>
          <w:szCs w:val="20"/>
        </w:rPr>
        <w:t>Suhrcke</w:t>
      </w:r>
      <w:proofErr w:type="spellEnd"/>
      <w:r w:rsidRPr="00951955">
        <w:rPr>
          <w:rFonts w:ascii="Arial" w:hAnsi="Arial" w:cs="Arial"/>
          <w:sz w:val="20"/>
          <w:szCs w:val="20"/>
        </w:rPr>
        <w:t xml:space="preserve"> M, Coutts A, McKee M. The public health effect of economic crises and alternative policy responses in Europe: an empirical analysis. </w:t>
      </w:r>
      <w:r w:rsidRPr="00951955">
        <w:rPr>
          <w:rFonts w:ascii="Arial" w:hAnsi="Arial" w:cs="Arial"/>
          <w:i/>
          <w:sz w:val="20"/>
          <w:szCs w:val="20"/>
        </w:rPr>
        <w:t>Lancet</w:t>
      </w:r>
      <w:r w:rsidR="00EF58B6" w:rsidRPr="00951955">
        <w:rPr>
          <w:rFonts w:ascii="Arial" w:hAnsi="Arial" w:cs="Arial"/>
          <w:sz w:val="20"/>
          <w:szCs w:val="20"/>
        </w:rPr>
        <w:t>.</w:t>
      </w:r>
      <w:r w:rsidRPr="00951955">
        <w:rPr>
          <w:rFonts w:ascii="Arial" w:hAnsi="Arial" w:cs="Arial"/>
          <w:sz w:val="20"/>
          <w:szCs w:val="20"/>
        </w:rPr>
        <w:t xml:space="preserve"> 2009</w:t>
      </w:r>
      <w:proofErr w:type="gramStart"/>
      <w:r w:rsidRPr="00951955">
        <w:rPr>
          <w:rFonts w:ascii="Arial" w:hAnsi="Arial" w:cs="Arial"/>
          <w:sz w:val="20"/>
          <w:szCs w:val="20"/>
        </w:rPr>
        <w:t>;374</w:t>
      </w:r>
      <w:proofErr w:type="gramEnd"/>
      <w:r w:rsidRPr="00951955">
        <w:rPr>
          <w:rFonts w:ascii="Arial" w:hAnsi="Arial" w:cs="Arial"/>
          <w:sz w:val="20"/>
          <w:szCs w:val="20"/>
        </w:rPr>
        <w:t>(9686):315–</w:t>
      </w:r>
      <w:r w:rsidR="00EF58B6" w:rsidRPr="00951955">
        <w:rPr>
          <w:rFonts w:ascii="Arial" w:hAnsi="Arial" w:cs="Arial"/>
          <w:sz w:val="20"/>
          <w:szCs w:val="20"/>
        </w:rPr>
        <w:t>3</w:t>
      </w:r>
      <w:r w:rsidRPr="00951955">
        <w:rPr>
          <w:rFonts w:ascii="Arial" w:hAnsi="Arial" w:cs="Arial"/>
          <w:sz w:val="20"/>
          <w:szCs w:val="20"/>
        </w:rPr>
        <w:t>23.</w:t>
      </w:r>
    </w:p>
    <w:p w:rsidR="008705D7" w:rsidRPr="0094268A" w:rsidRDefault="008705D7" w:rsidP="008705D7">
      <w:r w:rsidRPr="008705D7">
        <w:rPr>
          <w:b/>
        </w:rPr>
        <w:t>Table 1. Participant characteristics by exposure group</w:t>
      </w:r>
      <w:r>
        <w:t xml:space="preserve"> </w:t>
      </w:r>
      <w:r w:rsidRPr="0094268A">
        <w:t xml:space="preserve"> </w:t>
      </w:r>
    </w:p>
    <w:tbl>
      <w:tblPr>
        <w:tblStyle w:val="TableGrid"/>
        <w:tblW w:w="0" w:type="auto"/>
        <w:tblLook w:val="04A0" w:firstRow="1" w:lastRow="0" w:firstColumn="1" w:lastColumn="0" w:noHBand="0" w:noVBand="1"/>
      </w:tblPr>
      <w:tblGrid>
        <w:gridCol w:w="1951"/>
        <w:gridCol w:w="1418"/>
        <w:gridCol w:w="1275"/>
        <w:gridCol w:w="1560"/>
        <w:gridCol w:w="1842"/>
      </w:tblGrid>
      <w:tr w:rsidR="008705D7" w:rsidTr="009E3799">
        <w:tc>
          <w:tcPr>
            <w:tcW w:w="1951" w:type="dxa"/>
          </w:tcPr>
          <w:p w:rsidR="008705D7" w:rsidRPr="00B21ABA" w:rsidRDefault="008705D7" w:rsidP="009E3799">
            <w:r w:rsidRPr="00B21ABA">
              <w:t>Participant characteristics</w:t>
            </w:r>
          </w:p>
        </w:tc>
        <w:tc>
          <w:tcPr>
            <w:tcW w:w="1418" w:type="dxa"/>
          </w:tcPr>
          <w:p w:rsidR="008705D7" w:rsidRDefault="008705D7" w:rsidP="009E3799">
            <w:pPr>
              <w:rPr>
                <w:b/>
              </w:rPr>
            </w:pPr>
            <w:r>
              <w:rPr>
                <w:b/>
              </w:rPr>
              <w:t>Unexposed N=1362</w:t>
            </w:r>
          </w:p>
        </w:tc>
        <w:tc>
          <w:tcPr>
            <w:tcW w:w="1275" w:type="dxa"/>
          </w:tcPr>
          <w:p w:rsidR="008705D7" w:rsidRDefault="008705D7" w:rsidP="009E3799">
            <w:pPr>
              <w:rPr>
                <w:b/>
              </w:rPr>
            </w:pPr>
            <w:r>
              <w:rPr>
                <w:b/>
              </w:rPr>
              <w:t xml:space="preserve">Exposed N=1413 </w:t>
            </w:r>
          </w:p>
        </w:tc>
        <w:tc>
          <w:tcPr>
            <w:tcW w:w="1560" w:type="dxa"/>
          </w:tcPr>
          <w:p w:rsidR="008705D7" w:rsidRDefault="008705D7" w:rsidP="009E3799">
            <w:pPr>
              <w:rPr>
                <w:b/>
              </w:rPr>
            </w:pPr>
            <w:r>
              <w:rPr>
                <w:b/>
              </w:rPr>
              <w:t>Total N=2775</w:t>
            </w:r>
          </w:p>
        </w:tc>
        <w:tc>
          <w:tcPr>
            <w:tcW w:w="1842" w:type="dxa"/>
          </w:tcPr>
          <w:p w:rsidR="008705D7" w:rsidRDefault="008705D7" w:rsidP="009E3799">
            <w:pPr>
              <w:rPr>
                <w:b/>
              </w:rPr>
            </w:pPr>
            <w:r>
              <w:rPr>
                <w:b/>
              </w:rPr>
              <w:t xml:space="preserve">p-value test of difference between groups* </w:t>
            </w:r>
          </w:p>
        </w:tc>
      </w:tr>
      <w:tr w:rsidR="008705D7" w:rsidTr="009E3799">
        <w:tc>
          <w:tcPr>
            <w:tcW w:w="1951" w:type="dxa"/>
          </w:tcPr>
          <w:p w:rsidR="008705D7" w:rsidRPr="00DF10AF" w:rsidRDefault="008705D7" w:rsidP="009E3799">
            <w:r>
              <w:t>Maternal age (years)</w:t>
            </w:r>
          </w:p>
        </w:tc>
        <w:tc>
          <w:tcPr>
            <w:tcW w:w="1418" w:type="dxa"/>
          </w:tcPr>
          <w:p w:rsidR="008705D7" w:rsidRPr="00DF10AF" w:rsidRDefault="008705D7" w:rsidP="009E3799">
            <w:r>
              <w:t>25.79</w:t>
            </w:r>
          </w:p>
        </w:tc>
        <w:tc>
          <w:tcPr>
            <w:tcW w:w="1275" w:type="dxa"/>
          </w:tcPr>
          <w:p w:rsidR="008705D7" w:rsidRPr="00DF10AF" w:rsidRDefault="008705D7" w:rsidP="009E3799">
            <w:r>
              <w:t>26.13</w:t>
            </w:r>
          </w:p>
        </w:tc>
        <w:tc>
          <w:tcPr>
            <w:tcW w:w="1560" w:type="dxa"/>
          </w:tcPr>
          <w:p w:rsidR="008705D7" w:rsidRPr="00DF10AF" w:rsidRDefault="008705D7" w:rsidP="009E3799">
            <w:r>
              <w:t>25.97</w:t>
            </w:r>
          </w:p>
        </w:tc>
        <w:tc>
          <w:tcPr>
            <w:tcW w:w="1842" w:type="dxa"/>
          </w:tcPr>
          <w:p w:rsidR="008705D7" w:rsidRPr="00DF10AF" w:rsidRDefault="008705D7" w:rsidP="009E3799">
            <w:r>
              <w:t>0.06</w:t>
            </w:r>
          </w:p>
        </w:tc>
      </w:tr>
      <w:tr w:rsidR="008705D7" w:rsidTr="009E3799">
        <w:tc>
          <w:tcPr>
            <w:tcW w:w="1951" w:type="dxa"/>
          </w:tcPr>
          <w:p w:rsidR="008705D7" w:rsidRDefault="008705D7" w:rsidP="009E3799">
            <w:r>
              <w:t>Parity</w:t>
            </w:r>
          </w:p>
          <w:p w:rsidR="008705D7" w:rsidRDefault="008705D7" w:rsidP="009E3799">
            <w:pPr>
              <w:rPr>
                <w:i/>
              </w:rPr>
            </w:pPr>
            <w:r w:rsidRPr="004E617C">
              <w:rPr>
                <w:i/>
              </w:rPr>
              <w:t>Nulliparous</w:t>
            </w:r>
          </w:p>
          <w:p w:rsidR="008705D7" w:rsidRPr="004E617C" w:rsidRDefault="008705D7" w:rsidP="009E3799">
            <w:pPr>
              <w:rPr>
                <w:i/>
              </w:rPr>
            </w:pPr>
            <w:r>
              <w:rPr>
                <w:i/>
              </w:rPr>
              <w:t>Multiparous</w:t>
            </w:r>
          </w:p>
        </w:tc>
        <w:tc>
          <w:tcPr>
            <w:tcW w:w="1418" w:type="dxa"/>
          </w:tcPr>
          <w:p w:rsidR="008705D7" w:rsidRDefault="008705D7" w:rsidP="009E3799"/>
          <w:p w:rsidR="008705D7" w:rsidRDefault="008705D7" w:rsidP="009E3799">
            <w:r>
              <w:t>50.44%</w:t>
            </w:r>
          </w:p>
          <w:p w:rsidR="008705D7" w:rsidRPr="00DF10AF" w:rsidRDefault="008705D7" w:rsidP="009E3799">
            <w:r>
              <w:t>49.56%</w:t>
            </w:r>
          </w:p>
        </w:tc>
        <w:tc>
          <w:tcPr>
            <w:tcW w:w="1275" w:type="dxa"/>
          </w:tcPr>
          <w:p w:rsidR="008705D7" w:rsidRDefault="008705D7" w:rsidP="009E3799"/>
          <w:p w:rsidR="008705D7" w:rsidRDefault="008705D7" w:rsidP="009E3799">
            <w:r>
              <w:t>54.56%</w:t>
            </w:r>
          </w:p>
          <w:p w:rsidR="008705D7" w:rsidRPr="00DF10AF" w:rsidRDefault="008705D7" w:rsidP="009E3799">
            <w:r>
              <w:t>45.44%</w:t>
            </w:r>
          </w:p>
        </w:tc>
        <w:tc>
          <w:tcPr>
            <w:tcW w:w="1560" w:type="dxa"/>
          </w:tcPr>
          <w:p w:rsidR="008705D7" w:rsidRDefault="008705D7" w:rsidP="009E3799"/>
          <w:p w:rsidR="008705D7" w:rsidRDefault="008705D7" w:rsidP="009E3799">
            <w:r>
              <w:t>52.57%</w:t>
            </w:r>
          </w:p>
          <w:p w:rsidR="008705D7" w:rsidRPr="00DF10AF" w:rsidRDefault="008705D7" w:rsidP="009E3799">
            <w:r>
              <w:t>47.43%</w:t>
            </w:r>
          </w:p>
        </w:tc>
        <w:tc>
          <w:tcPr>
            <w:tcW w:w="1842" w:type="dxa"/>
          </w:tcPr>
          <w:p w:rsidR="008705D7" w:rsidRPr="00DF10AF" w:rsidRDefault="008705D7" w:rsidP="009E3799">
            <w:r>
              <w:t>0.03</w:t>
            </w:r>
          </w:p>
        </w:tc>
      </w:tr>
      <w:tr w:rsidR="008705D7" w:rsidTr="009E3799">
        <w:tc>
          <w:tcPr>
            <w:tcW w:w="1951" w:type="dxa"/>
          </w:tcPr>
          <w:p w:rsidR="008705D7" w:rsidRDefault="008705D7" w:rsidP="009E3799">
            <w:r>
              <w:t>Ethnicity</w:t>
            </w:r>
          </w:p>
          <w:p w:rsidR="008705D7" w:rsidRPr="007C3148" w:rsidRDefault="008705D7" w:rsidP="009E3799">
            <w:pPr>
              <w:rPr>
                <w:i/>
              </w:rPr>
            </w:pPr>
            <w:r w:rsidRPr="007C3148">
              <w:rPr>
                <w:i/>
              </w:rPr>
              <w:t>White British</w:t>
            </w:r>
          </w:p>
          <w:p w:rsidR="008705D7" w:rsidRPr="007C3148" w:rsidRDefault="008705D7" w:rsidP="009E3799">
            <w:pPr>
              <w:rPr>
                <w:i/>
              </w:rPr>
            </w:pPr>
            <w:r w:rsidRPr="007C3148">
              <w:rPr>
                <w:i/>
              </w:rPr>
              <w:t>Pakistani</w:t>
            </w:r>
          </w:p>
          <w:p w:rsidR="008705D7" w:rsidRPr="00DF10AF" w:rsidRDefault="008705D7" w:rsidP="009E3799">
            <w:r w:rsidRPr="007C3148">
              <w:rPr>
                <w:i/>
              </w:rPr>
              <w:t>Other</w:t>
            </w:r>
          </w:p>
        </w:tc>
        <w:tc>
          <w:tcPr>
            <w:tcW w:w="1418" w:type="dxa"/>
          </w:tcPr>
          <w:p w:rsidR="008705D7" w:rsidRDefault="008705D7" w:rsidP="009E3799"/>
          <w:p w:rsidR="008705D7" w:rsidRDefault="008705D7" w:rsidP="009E3799">
            <w:r>
              <w:t>77.97%</w:t>
            </w:r>
          </w:p>
          <w:p w:rsidR="008705D7" w:rsidRDefault="008705D7" w:rsidP="009E3799">
            <w:r>
              <w:t>12.19%</w:t>
            </w:r>
          </w:p>
          <w:p w:rsidR="008705D7" w:rsidRPr="00DF10AF" w:rsidRDefault="008705D7" w:rsidP="009E3799">
            <w:r>
              <w:t>9.84%</w:t>
            </w:r>
          </w:p>
        </w:tc>
        <w:tc>
          <w:tcPr>
            <w:tcW w:w="1275" w:type="dxa"/>
          </w:tcPr>
          <w:p w:rsidR="008705D7" w:rsidRDefault="008705D7" w:rsidP="009E3799"/>
          <w:p w:rsidR="008705D7" w:rsidRDefault="008705D7" w:rsidP="009E3799">
            <w:r>
              <w:t>76.57%</w:t>
            </w:r>
          </w:p>
          <w:p w:rsidR="008705D7" w:rsidRDefault="008705D7" w:rsidP="009E3799">
            <w:r>
              <w:t>11.89%</w:t>
            </w:r>
          </w:p>
          <w:p w:rsidR="008705D7" w:rsidRPr="00DF10AF" w:rsidRDefault="008705D7" w:rsidP="009E3799">
            <w:r>
              <w:t>11.54%</w:t>
            </w:r>
          </w:p>
        </w:tc>
        <w:tc>
          <w:tcPr>
            <w:tcW w:w="1560" w:type="dxa"/>
          </w:tcPr>
          <w:p w:rsidR="008705D7" w:rsidRDefault="008705D7" w:rsidP="009E3799"/>
          <w:p w:rsidR="008705D7" w:rsidRDefault="008705D7" w:rsidP="009E3799">
            <w:r>
              <w:t>77.26%</w:t>
            </w:r>
          </w:p>
          <w:p w:rsidR="008705D7" w:rsidRDefault="008705D7" w:rsidP="009E3799">
            <w:r>
              <w:t>12.04%</w:t>
            </w:r>
          </w:p>
          <w:p w:rsidR="008705D7" w:rsidRPr="00DF10AF" w:rsidRDefault="008705D7" w:rsidP="009E3799">
            <w:r>
              <w:t>10.70%</w:t>
            </w:r>
          </w:p>
        </w:tc>
        <w:tc>
          <w:tcPr>
            <w:tcW w:w="1842" w:type="dxa"/>
          </w:tcPr>
          <w:p w:rsidR="008705D7" w:rsidRPr="00DF10AF" w:rsidRDefault="008705D7" w:rsidP="009E3799">
            <w:r>
              <w:t>0.35</w:t>
            </w:r>
          </w:p>
        </w:tc>
      </w:tr>
      <w:tr w:rsidR="008705D7" w:rsidTr="009E3799">
        <w:tc>
          <w:tcPr>
            <w:tcW w:w="1951" w:type="dxa"/>
          </w:tcPr>
          <w:p w:rsidR="008705D7" w:rsidRDefault="008705D7" w:rsidP="009E3799">
            <w:r>
              <w:t>Maternal education</w:t>
            </w:r>
          </w:p>
          <w:p w:rsidR="008705D7" w:rsidRPr="00D66A95" w:rsidRDefault="008705D7" w:rsidP="009E3799">
            <w:pPr>
              <w:rPr>
                <w:i/>
              </w:rPr>
            </w:pPr>
            <w:r w:rsidRPr="00D66A95">
              <w:rPr>
                <w:i/>
              </w:rPr>
              <w:t>&lt; 5 GCSE</w:t>
            </w:r>
          </w:p>
          <w:p w:rsidR="008705D7" w:rsidRPr="00D66A95" w:rsidRDefault="008705D7" w:rsidP="009E3799">
            <w:pPr>
              <w:rPr>
                <w:i/>
              </w:rPr>
            </w:pPr>
            <w:r w:rsidRPr="00D66A95">
              <w:rPr>
                <w:i/>
              </w:rPr>
              <w:t>5 GCSE</w:t>
            </w:r>
          </w:p>
          <w:p w:rsidR="008705D7" w:rsidRPr="00D66A95" w:rsidRDefault="008705D7" w:rsidP="009E3799">
            <w:pPr>
              <w:rPr>
                <w:i/>
              </w:rPr>
            </w:pPr>
            <w:r w:rsidRPr="00D66A95">
              <w:rPr>
                <w:i/>
              </w:rPr>
              <w:t xml:space="preserve">A-level </w:t>
            </w:r>
          </w:p>
          <w:p w:rsidR="008705D7" w:rsidRDefault="008705D7" w:rsidP="009E3799">
            <w:pPr>
              <w:rPr>
                <w:i/>
              </w:rPr>
            </w:pPr>
            <w:r w:rsidRPr="00D66A95">
              <w:rPr>
                <w:i/>
              </w:rPr>
              <w:t>&gt; A level</w:t>
            </w:r>
          </w:p>
          <w:p w:rsidR="008705D7" w:rsidRPr="00DF10AF" w:rsidRDefault="008705D7" w:rsidP="009E3799">
            <w:r>
              <w:rPr>
                <w:i/>
              </w:rPr>
              <w:t>Other</w:t>
            </w:r>
          </w:p>
        </w:tc>
        <w:tc>
          <w:tcPr>
            <w:tcW w:w="1418" w:type="dxa"/>
          </w:tcPr>
          <w:p w:rsidR="008705D7" w:rsidRDefault="008705D7" w:rsidP="009E3799"/>
          <w:p w:rsidR="008705D7" w:rsidRDefault="008705D7" w:rsidP="009E3799"/>
          <w:p w:rsidR="008705D7" w:rsidRDefault="008705D7" w:rsidP="009E3799">
            <w:r>
              <w:t>25.40%</w:t>
            </w:r>
          </w:p>
          <w:p w:rsidR="008705D7" w:rsidRDefault="008705D7" w:rsidP="009E3799">
            <w:r>
              <w:t>38.11%</w:t>
            </w:r>
          </w:p>
          <w:p w:rsidR="008705D7" w:rsidRDefault="008705D7" w:rsidP="009E3799">
            <w:r>
              <w:t>13.44%</w:t>
            </w:r>
          </w:p>
          <w:p w:rsidR="008705D7" w:rsidRDefault="008705D7" w:rsidP="009E3799">
            <w:r>
              <w:t>14.54%</w:t>
            </w:r>
          </w:p>
          <w:p w:rsidR="008705D7" w:rsidRPr="00DF10AF" w:rsidRDefault="008705D7" w:rsidP="009E3799">
            <w:r>
              <w:t>8.52%</w:t>
            </w:r>
          </w:p>
        </w:tc>
        <w:tc>
          <w:tcPr>
            <w:tcW w:w="1275" w:type="dxa"/>
          </w:tcPr>
          <w:p w:rsidR="008705D7" w:rsidRDefault="008705D7" w:rsidP="009E3799"/>
          <w:p w:rsidR="008705D7" w:rsidRDefault="008705D7" w:rsidP="009E3799"/>
          <w:p w:rsidR="008705D7" w:rsidRDefault="008705D7" w:rsidP="009E3799">
            <w:r>
              <w:t>23.50%</w:t>
            </w:r>
          </w:p>
          <w:p w:rsidR="008705D7" w:rsidRDefault="008705D7" w:rsidP="009E3799">
            <w:r>
              <w:t>36.73%</w:t>
            </w:r>
          </w:p>
          <w:p w:rsidR="008705D7" w:rsidRDefault="008705D7" w:rsidP="009E3799">
            <w:r>
              <w:t>18.75%</w:t>
            </w:r>
          </w:p>
          <w:p w:rsidR="008705D7" w:rsidRDefault="008705D7" w:rsidP="009E3799">
            <w:r>
              <w:t>15.64%</w:t>
            </w:r>
          </w:p>
          <w:p w:rsidR="008705D7" w:rsidRPr="00DF10AF" w:rsidRDefault="008705D7" w:rsidP="009E3799">
            <w:r>
              <w:t>5.38%</w:t>
            </w:r>
          </w:p>
        </w:tc>
        <w:tc>
          <w:tcPr>
            <w:tcW w:w="1560" w:type="dxa"/>
          </w:tcPr>
          <w:p w:rsidR="008705D7" w:rsidRDefault="008705D7" w:rsidP="009E3799"/>
          <w:p w:rsidR="008705D7" w:rsidRDefault="008705D7" w:rsidP="009E3799"/>
          <w:p w:rsidR="008705D7" w:rsidRDefault="008705D7" w:rsidP="009E3799">
            <w:r>
              <w:t>24.43%</w:t>
            </w:r>
          </w:p>
          <w:p w:rsidR="008705D7" w:rsidRDefault="008705D7" w:rsidP="009E3799">
            <w:r>
              <w:t>37.41%</w:t>
            </w:r>
          </w:p>
          <w:p w:rsidR="008705D7" w:rsidRDefault="008705D7" w:rsidP="009E3799">
            <w:r>
              <w:t>16.14%</w:t>
            </w:r>
          </w:p>
          <w:p w:rsidR="008705D7" w:rsidRDefault="008705D7" w:rsidP="009E3799">
            <w:r>
              <w:t>15.10%</w:t>
            </w:r>
          </w:p>
          <w:p w:rsidR="008705D7" w:rsidRPr="00DF10AF" w:rsidRDefault="008705D7" w:rsidP="009E3799">
            <w:r>
              <w:t>6.92%</w:t>
            </w:r>
          </w:p>
        </w:tc>
        <w:tc>
          <w:tcPr>
            <w:tcW w:w="1842" w:type="dxa"/>
          </w:tcPr>
          <w:p w:rsidR="008705D7" w:rsidRDefault="008705D7" w:rsidP="009E3799"/>
          <w:p w:rsidR="008705D7" w:rsidRPr="00DF10AF" w:rsidRDefault="008705D7" w:rsidP="009E3799">
            <w:r>
              <w:t>&lt;0.01</w:t>
            </w:r>
          </w:p>
        </w:tc>
      </w:tr>
      <w:tr w:rsidR="008705D7" w:rsidTr="009E3799">
        <w:tc>
          <w:tcPr>
            <w:tcW w:w="1951" w:type="dxa"/>
          </w:tcPr>
          <w:p w:rsidR="008705D7" w:rsidRDefault="008705D7" w:rsidP="009E3799">
            <w:r>
              <w:t>Cohabiting</w:t>
            </w:r>
          </w:p>
          <w:p w:rsidR="008705D7" w:rsidRPr="00FC6431" w:rsidRDefault="008705D7" w:rsidP="009E3799">
            <w:pPr>
              <w:rPr>
                <w:i/>
              </w:rPr>
            </w:pPr>
            <w:r w:rsidRPr="00FC6431">
              <w:rPr>
                <w:i/>
              </w:rPr>
              <w:t>Yes</w:t>
            </w:r>
          </w:p>
          <w:p w:rsidR="008705D7" w:rsidRDefault="008705D7" w:rsidP="009E3799">
            <w:r w:rsidRPr="00FC6431">
              <w:rPr>
                <w:i/>
              </w:rPr>
              <w:t>No</w:t>
            </w:r>
          </w:p>
        </w:tc>
        <w:tc>
          <w:tcPr>
            <w:tcW w:w="1418" w:type="dxa"/>
          </w:tcPr>
          <w:p w:rsidR="008705D7" w:rsidRDefault="008705D7" w:rsidP="009E3799"/>
          <w:p w:rsidR="008705D7" w:rsidRDefault="008705D7" w:rsidP="009E3799">
            <w:r>
              <w:t>69.53%</w:t>
            </w:r>
          </w:p>
          <w:p w:rsidR="008705D7" w:rsidRDefault="008705D7" w:rsidP="009E3799">
            <w:r>
              <w:t>30.47%</w:t>
            </w:r>
          </w:p>
        </w:tc>
        <w:tc>
          <w:tcPr>
            <w:tcW w:w="1275" w:type="dxa"/>
          </w:tcPr>
          <w:p w:rsidR="008705D7" w:rsidRDefault="008705D7" w:rsidP="009E3799"/>
          <w:p w:rsidR="008705D7" w:rsidRDefault="008705D7" w:rsidP="009E3799">
            <w:r>
              <w:t>66.67%</w:t>
            </w:r>
          </w:p>
          <w:p w:rsidR="008705D7" w:rsidRDefault="008705D7" w:rsidP="009E3799">
            <w:r>
              <w:t>33.33%</w:t>
            </w:r>
          </w:p>
        </w:tc>
        <w:tc>
          <w:tcPr>
            <w:tcW w:w="1560" w:type="dxa"/>
          </w:tcPr>
          <w:p w:rsidR="008705D7" w:rsidRDefault="008705D7" w:rsidP="009E3799"/>
          <w:p w:rsidR="008705D7" w:rsidRDefault="008705D7" w:rsidP="009E3799">
            <w:r>
              <w:t>68.07%</w:t>
            </w:r>
          </w:p>
          <w:p w:rsidR="008705D7" w:rsidRDefault="008705D7" w:rsidP="009E3799">
            <w:r>
              <w:t>31.93%</w:t>
            </w:r>
          </w:p>
        </w:tc>
        <w:tc>
          <w:tcPr>
            <w:tcW w:w="1842" w:type="dxa"/>
          </w:tcPr>
          <w:p w:rsidR="008705D7" w:rsidRDefault="008705D7" w:rsidP="009E3799"/>
          <w:p w:rsidR="008705D7" w:rsidRDefault="008705D7" w:rsidP="009E3799">
            <w:r>
              <w:t>0.11</w:t>
            </w:r>
          </w:p>
        </w:tc>
      </w:tr>
      <w:tr w:rsidR="008705D7" w:rsidTr="009E3799">
        <w:tc>
          <w:tcPr>
            <w:tcW w:w="1951" w:type="dxa"/>
          </w:tcPr>
          <w:p w:rsidR="008705D7" w:rsidRDefault="008705D7" w:rsidP="009E3799">
            <w:r>
              <w:t>Financial situation</w:t>
            </w:r>
          </w:p>
          <w:p w:rsidR="008705D7" w:rsidRPr="00D66A95" w:rsidRDefault="008705D7" w:rsidP="009E3799">
            <w:pPr>
              <w:rPr>
                <w:i/>
              </w:rPr>
            </w:pPr>
            <w:r w:rsidRPr="00D66A95">
              <w:rPr>
                <w:i/>
              </w:rPr>
              <w:t>Comfortable</w:t>
            </w:r>
          </w:p>
          <w:p w:rsidR="008705D7" w:rsidRPr="00D66A95" w:rsidRDefault="008705D7" w:rsidP="009E3799">
            <w:pPr>
              <w:rPr>
                <w:i/>
              </w:rPr>
            </w:pPr>
            <w:r w:rsidRPr="00D66A95">
              <w:rPr>
                <w:i/>
              </w:rPr>
              <w:t>Doing alright</w:t>
            </w:r>
          </w:p>
          <w:p w:rsidR="008705D7" w:rsidRPr="00DF10AF" w:rsidRDefault="008705D7" w:rsidP="009E3799">
            <w:r w:rsidRPr="00D66A95">
              <w:rPr>
                <w:i/>
              </w:rPr>
              <w:t>Difficult</w:t>
            </w:r>
          </w:p>
        </w:tc>
        <w:tc>
          <w:tcPr>
            <w:tcW w:w="1418" w:type="dxa"/>
          </w:tcPr>
          <w:p w:rsidR="008705D7" w:rsidRDefault="008705D7" w:rsidP="009E3799"/>
          <w:p w:rsidR="008705D7" w:rsidRDefault="008705D7" w:rsidP="009E3799">
            <w:r>
              <w:t>23.79%</w:t>
            </w:r>
          </w:p>
          <w:p w:rsidR="008705D7" w:rsidRDefault="008705D7" w:rsidP="009E3799">
            <w:r>
              <w:t>40.53%</w:t>
            </w:r>
          </w:p>
          <w:p w:rsidR="008705D7" w:rsidRPr="00DF10AF" w:rsidRDefault="008705D7" w:rsidP="009E3799">
            <w:r>
              <w:t>35.68%</w:t>
            </w:r>
          </w:p>
        </w:tc>
        <w:tc>
          <w:tcPr>
            <w:tcW w:w="1275" w:type="dxa"/>
          </w:tcPr>
          <w:p w:rsidR="008705D7" w:rsidRDefault="008705D7" w:rsidP="009E3799"/>
          <w:p w:rsidR="008705D7" w:rsidRDefault="008705D7" w:rsidP="009E3799">
            <w:r>
              <w:t>21.80%</w:t>
            </w:r>
          </w:p>
          <w:p w:rsidR="008705D7" w:rsidRDefault="008705D7" w:rsidP="009E3799">
            <w:r>
              <w:t>37.30%</w:t>
            </w:r>
          </w:p>
          <w:p w:rsidR="008705D7" w:rsidRPr="00DF10AF" w:rsidRDefault="008705D7" w:rsidP="009E3799">
            <w:r>
              <w:t>40.91%</w:t>
            </w:r>
          </w:p>
        </w:tc>
        <w:tc>
          <w:tcPr>
            <w:tcW w:w="1560" w:type="dxa"/>
          </w:tcPr>
          <w:p w:rsidR="008705D7" w:rsidRDefault="008705D7" w:rsidP="009E3799"/>
          <w:p w:rsidR="008705D7" w:rsidRDefault="008705D7" w:rsidP="009E3799">
            <w:r>
              <w:t>22.77%</w:t>
            </w:r>
          </w:p>
          <w:p w:rsidR="008705D7" w:rsidRDefault="008705D7" w:rsidP="009E3799">
            <w:r>
              <w:t>38.88%</w:t>
            </w:r>
          </w:p>
          <w:p w:rsidR="008705D7" w:rsidRPr="00DF10AF" w:rsidRDefault="008705D7" w:rsidP="009E3799">
            <w:r>
              <w:t>38.34%</w:t>
            </w:r>
          </w:p>
        </w:tc>
        <w:tc>
          <w:tcPr>
            <w:tcW w:w="1842" w:type="dxa"/>
          </w:tcPr>
          <w:p w:rsidR="008705D7" w:rsidRDefault="008705D7" w:rsidP="009E3799"/>
          <w:p w:rsidR="008705D7" w:rsidRPr="00DF10AF" w:rsidRDefault="008705D7" w:rsidP="009E3799">
            <w:r>
              <w:t>0.02</w:t>
            </w:r>
          </w:p>
        </w:tc>
      </w:tr>
      <w:tr w:rsidR="008705D7" w:rsidTr="009E3799">
        <w:tc>
          <w:tcPr>
            <w:tcW w:w="1951" w:type="dxa"/>
          </w:tcPr>
          <w:p w:rsidR="008705D7" w:rsidRDefault="008705D7" w:rsidP="009E3799">
            <w:r>
              <w:t>Change in financial situation</w:t>
            </w:r>
          </w:p>
          <w:p w:rsidR="008705D7" w:rsidRPr="00D66A95" w:rsidRDefault="008705D7" w:rsidP="009E3799">
            <w:pPr>
              <w:rPr>
                <w:i/>
              </w:rPr>
            </w:pPr>
            <w:r w:rsidRPr="00D66A95">
              <w:rPr>
                <w:i/>
              </w:rPr>
              <w:lastRenderedPageBreak/>
              <w:t>Same/better off</w:t>
            </w:r>
          </w:p>
          <w:p w:rsidR="008705D7" w:rsidRDefault="008705D7" w:rsidP="009E3799">
            <w:r w:rsidRPr="00D66A95">
              <w:rPr>
                <w:i/>
              </w:rPr>
              <w:t>Worse off</w:t>
            </w:r>
          </w:p>
        </w:tc>
        <w:tc>
          <w:tcPr>
            <w:tcW w:w="1418" w:type="dxa"/>
          </w:tcPr>
          <w:p w:rsidR="008705D7" w:rsidRDefault="008705D7" w:rsidP="009E3799"/>
          <w:p w:rsidR="008705D7" w:rsidRDefault="008705D7" w:rsidP="009E3799"/>
          <w:p w:rsidR="008705D7" w:rsidRDefault="008705D7" w:rsidP="009E3799">
            <w:r>
              <w:lastRenderedPageBreak/>
              <w:t>74.23%</w:t>
            </w:r>
          </w:p>
          <w:p w:rsidR="008705D7" w:rsidRPr="00DF10AF" w:rsidRDefault="008705D7" w:rsidP="009E3799">
            <w:r>
              <w:t>25.77%</w:t>
            </w:r>
          </w:p>
        </w:tc>
        <w:tc>
          <w:tcPr>
            <w:tcW w:w="1275" w:type="dxa"/>
          </w:tcPr>
          <w:p w:rsidR="008705D7" w:rsidRDefault="008705D7" w:rsidP="009E3799"/>
          <w:p w:rsidR="008705D7" w:rsidRDefault="008705D7" w:rsidP="009E3799"/>
          <w:p w:rsidR="008705D7" w:rsidRDefault="008705D7" w:rsidP="009E3799">
            <w:r>
              <w:lastRenderedPageBreak/>
              <w:t>69.57%</w:t>
            </w:r>
          </w:p>
          <w:p w:rsidR="008705D7" w:rsidRPr="00DF10AF" w:rsidRDefault="008705D7" w:rsidP="009E3799">
            <w:r>
              <w:t>30.43%</w:t>
            </w:r>
          </w:p>
        </w:tc>
        <w:tc>
          <w:tcPr>
            <w:tcW w:w="1560" w:type="dxa"/>
          </w:tcPr>
          <w:p w:rsidR="008705D7" w:rsidRDefault="008705D7" w:rsidP="009E3799"/>
          <w:p w:rsidR="008705D7" w:rsidRDefault="008705D7" w:rsidP="009E3799"/>
          <w:p w:rsidR="008705D7" w:rsidRDefault="008705D7" w:rsidP="009E3799">
            <w:r>
              <w:lastRenderedPageBreak/>
              <w:t>71.86%</w:t>
            </w:r>
          </w:p>
          <w:p w:rsidR="008705D7" w:rsidRPr="00DF10AF" w:rsidRDefault="008705D7" w:rsidP="009E3799">
            <w:r>
              <w:t>28.14%</w:t>
            </w:r>
          </w:p>
        </w:tc>
        <w:tc>
          <w:tcPr>
            <w:tcW w:w="1842" w:type="dxa"/>
          </w:tcPr>
          <w:p w:rsidR="008705D7" w:rsidRDefault="008705D7" w:rsidP="009E3799"/>
          <w:p w:rsidR="008705D7" w:rsidRDefault="008705D7" w:rsidP="009E3799"/>
          <w:p w:rsidR="008705D7" w:rsidRPr="00DF10AF" w:rsidRDefault="008705D7" w:rsidP="009E3799">
            <w:r>
              <w:lastRenderedPageBreak/>
              <w:t>&lt;0.01</w:t>
            </w:r>
          </w:p>
        </w:tc>
      </w:tr>
      <w:tr w:rsidR="008705D7" w:rsidTr="009E3799">
        <w:tc>
          <w:tcPr>
            <w:tcW w:w="1951" w:type="dxa"/>
          </w:tcPr>
          <w:p w:rsidR="008705D7" w:rsidRDefault="008705D7" w:rsidP="009E3799">
            <w:r w:rsidRPr="00DF10AF">
              <w:lastRenderedPageBreak/>
              <w:t>Continued smoking during pregnancy</w:t>
            </w:r>
          </w:p>
          <w:p w:rsidR="008705D7" w:rsidRDefault="008705D7" w:rsidP="009E3799">
            <w:pPr>
              <w:rPr>
                <w:i/>
              </w:rPr>
            </w:pPr>
            <w:r w:rsidRPr="004E617C">
              <w:rPr>
                <w:i/>
              </w:rPr>
              <w:t>Yes</w:t>
            </w:r>
          </w:p>
          <w:p w:rsidR="008705D7" w:rsidRPr="004E617C" w:rsidRDefault="008705D7" w:rsidP="009E3799">
            <w:pPr>
              <w:rPr>
                <w:i/>
              </w:rPr>
            </w:pPr>
            <w:r>
              <w:rPr>
                <w:i/>
              </w:rPr>
              <w:t>No</w:t>
            </w:r>
          </w:p>
        </w:tc>
        <w:tc>
          <w:tcPr>
            <w:tcW w:w="1418" w:type="dxa"/>
          </w:tcPr>
          <w:p w:rsidR="008705D7" w:rsidRDefault="008705D7" w:rsidP="009E3799"/>
          <w:p w:rsidR="008705D7" w:rsidRDefault="008705D7" w:rsidP="009E3799"/>
          <w:p w:rsidR="008705D7" w:rsidRDefault="008705D7" w:rsidP="009E3799">
            <w:r>
              <w:t>53.52%</w:t>
            </w:r>
          </w:p>
          <w:p w:rsidR="008705D7" w:rsidRPr="00DF10AF" w:rsidRDefault="008705D7" w:rsidP="009E3799">
            <w:r>
              <w:t>46.48%</w:t>
            </w:r>
          </w:p>
        </w:tc>
        <w:tc>
          <w:tcPr>
            <w:tcW w:w="1275" w:type="dxa"/>
          </w:tcPr>
          <w:p w:rsidR="008705D7" w:rsidRDefault="008705D7" w:rsidP="009E3799"/>
          <w:p w:rsidR="008705D7" w:rsidRDefault="008705D7" w:rsidP="009E3799"/>
          <w:p w:rsidR="008705D7" w:rsidRDefault="008705D7" w:rsidP="009E3799">
            <w:r>
              <w:t>56.33%</w:t>
            </w:r>
          </w:p>
          <w:p w:rsidR="008705D7" w:rsidRPr="00DF10AF" w:rsidRDefault="008705D7" w:rsidP="009E3799">
            <w:r>
              <w:t>43.67%</w:t>
            </w:r>
          </w:p>
        </w:tc>
        <w:tc>
          <w:tcPr>
            <w:tcW w:w="1560" w:type="dxa"/>
          </w:tcPr>
          <w:p w:rsidR="008705D7" w:rsidRDefault="008705D7" w:rsidP="009E3799"/>
          <w:p w:rsidR="008705D7" w:rsidRDefault="008705D7" w:rsidP="009E3799"/>
          <w:p w:rsidR="008705D7" w:rsidRDefault="008705D7" w:rsidP="009E3799">
            <w:r>
              <w:t>54.95%</w:t>
            </w:r>
          </w:p>
          <w:p w:rsidR="008705D7" w:rsidRDefault="008705D7" w:rsidP="009E3799">
            <w:r>
              <w:t>45.05%</w:t>
            </w:r>
          </w:p>
        </w:tc>
        <w:tc>
          <w:tcPr>
            <w:tcW w:w="1842" w:type="dxa"/>
          </w:tcPr>
          <w:p w:rsidR="008705D7" w:rsidRDefault="008705D7" w:rsidP="009E3799"/>
          <w:p w:rsidR="008705D7" w:rsidRPr="00DF10AF" w:rsidRDefault="008705D7" w:rsidP="009E3799">
            <w:r>
              <w:t>0.14</w:t>
            </w:r>
          </w:p>
        </w:tc>
      </w:tr>
    </w:tbl>
    <w:p w:rsidR="008705D7" w:rsidRPr="008705D7" w:rsidRDefault="008705D7" w:rsidP="008705D7">
      <w:pPr>
        <w:spacing w:before="120"/>
        <w:rPr>
          <w:rFonts w:ascii="Arial" w:hAnsi="Arial" w:cs="Arial"/>
          <w:sz w:val="20"/>
        </w:rPr>
      </w:pPr>
      <w:r w:rsidRPr="008705D7">
        <w:rPr>
          <w:rFonts w:ascii="Arial" w:hAnsi="Arial" w:cs="Arial"/>
          <w:sz w:val="20"/>
        </w:rPr>
        <w:t xml:space="preserve">* </w:t>
      </w:r>
      <w:proofErr w:type="gramStart"/>
      <w:r w:rsidRPr="008705D7">
        <w:rPr>
          <w:rFonts w:ascii="Arial" w:hAnsi="Arial" w:cs="Arial"/>
          <w:sz w:val="20"/>
        </w:rPr>
        <w:t>χ2</w:t>
      </w:r>
      <w:proofErr w:type="gramEnd"/>
      <w:r w:rsidRPr="008705D7">
        <w:rPr>
          <w:rFonts w:ascii="Arial" w:hAnsi="Arial" w:cs="Arial"/>
          <w:sz w:val="20"/>
        </w:rPr>
        <w:t xml:space="preserve"> test for categorical variables and t-test for continues variables</w:t>
      </w:r>
    </w:p>
    <w:p w:rsidR="00FD4671" w:rsidRDefault="00FD4671">
      <w:pPr>
        <w:rPr>
          <w:rFonts w:ascii="Arial" w:eastAsia="Calibri" w:hAnsi="Arial" w:cs="Times New Roman"/>
          <w:b/>
          <w:sz w:val="20"/>
          <w:lang w:eastAsia="en-GB"/>
        </w:rPr>
      </w:pPr>
    </w:p>
    <w:p w:rsidR="00ED0BE2" w:rsidRPr="0094268A" w:rsidRDefault="00ED0BE2" w:rsidP="00ED0BE2">
      <w:pPr>
        <w:spacing w:after="0" w:line="240" w:lineRule="auto"/>
        <w:rPr>
          <w:rFonts w:ascii="Arial" w:eastAsia="Calibri" w:hAnsi="Arial" w:cs="Times New Roman"/>
          <w:b/>
          <w:sz w:val="20"/>
          <w:lang w:eastAsia="en-GB"/>
        </w:rPr>
      </w:pPr>
      <w:r w:rsidRPr="0094268A">
        <w:rPr>
          <w:rFonts w:ascii="Arial" w:eastAsia="Calibri" w:hAnsi="Arial" w:cs="Times New Roman"/>
          <w:b/>
          <w:sz w:val="20"/>
          <w:lang w:eastAsia="en-GB"/>
        </w:rPr>
        <w:t xml:space="preserve">Table </w:t>
      </w:r>
      <w:r>
        <w:rPr>
          <w:rFonts w:ascii="Arial" w:eastAsia="Calibri" w:hAnsi="Arial" w:cs="Times New Roman"/>
          <w:b/>
          <w:sz w:val="20"/>
          <w:lang w:eastAsia="en-GB"/>
        </w:rPr>
        <w:t>2</w:t>
      </w:r>
      <w:r w:rsidRPr="0094268A">
        <w:rPr>
          <w:rFonts w:ascii="Arial" w:eastAsia="Calibri" w:hAnsi="Arial" w:cs="Times New Roman"/>
          <w:b/>
          <w:sz w:val="20"/>
          <w:lang w:eastAsia="en-GB"/>
        </w:rPr>
        <w:t>. Exposure to recession in relation to smoking during pregnancy</w:t>
      </w:r>
    </w:p>
    <w:p w:rsidR="00ED0BE2" w:rsidRPr="0094268A" w:rsidRDefault="00ED0BE2" w:rsidP="00ED0BE2">
      <w:pPr>
        <w:spacing w:after="0" w:line="240" w:lineRule="auto"/>
        <w:rPr>
          <w:rFonts w:ascii="Arial" w:eastAsia="Calibri" w:hAnsi="Arial" w:cs="Times New Roman"/>
          <w:b/>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1418"/>
        <w:gridCol w:w="709"/>
        <w:gridCol w:w="1417"/>
      </w:tblGrid>
      <w:tr w:rsidR="00ED0BE2" w:rsidRPr="0094268A" w:rsidTr="009E3799">
        <w:tc>
          <w:tcPr>
            <w:tcW w:w="2235"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2126" w:type="dxa"/>
            <w:gridSpan w:val="2"/>
            <w:shd w:val="clear" w:color="auto" w:fill="auto"/>
          </w:tcPr>
          <w:p w:rsidR="00ED0BE2" w:rsidRPr="0094268A" w:rsidRDefault="00ED0BE2" w:rsidP="009E3799">
            <w:pPr>
              <w:spacing w:after="0" w:line="240" w:lineRule="auto"/>
              <w:jc w:val="center"/>
              <w:rPr>
                <w:rFonts w:ascii="Arial" w:eastAsia="Calibri" w:hAnsi="Arial" w:cs="Times New Roman"/>
                <w:sz w:val="20"/>
                <w:lang w:eastAsia="en-GB"/>
              </w:rPr>
            </w:pPr>
            <w:r w:rsidRPr="0094268A">
              <w:rPr>
                <w:rFonts w:ascii="Arial" w:eastAsia="Calibri" w:hAnsi="Arial" w:cs="Times New Roman"/>
                <w:sz w:val="20"/>
                <w:lang w:eastAsia="en-GB"/>
              </w:rPr>
              <w:t xml:space="preserve">Model 1. </w:t>
            </w:r>
            <w:r w:rsidRPr="0094268A">
              <w:rPr>
                <w:rFonts w:ascii="Arial" w:eastAsia="Calibri" w:hAnsi="Arial" w:cs="Times New Roman"/>
                <w:b/>
                <w:sz w:val="20"/>
                <w:lang w:eastAsia="en-GB"/>
              </w:rPr>
              <w:t xml:space="preserve">Bivariate </w:t>
            </w:r>
            <w:r w:rsidRPr="0094268A">
              <w:rPr>
                <w:rFonts w:ascii="Arial" w:eastAsia="Calibri" w:hAnsi="Arial" w:cs="Times New Roman"/>
                <w:sz w:val="20"/>
                <w:lang w:eastAsia="en-GB"/>
              </w:rPr>
              <w:t>‘exposure recession’</w:t>
            </w:r>
          </w:p>
          <w:p w:rsidR="00ED0BE2" w:rsidRPr="0094268A" w:rsidRDefault="00ED0BE2" w:rsidP="009E3799">
            <w:pPr>
              <w:spacing w:after="0" w:line="240" w:lineRule="auto"/>
              <w:jc w:val="center"/>
              <w:rPr>
                <w:rFonts w:ascii="Arial" w:eastAsia="Calibri" w:hAnsi="Arial" w:cs="Times New Roman"/>
                <w:i/>
                <w:sz w:val="20"/>
                <w:vertAlign w:val="superscript"/>
                <w:lang w:eastAsia="en-GB"/>
              </w:rPr>
            </w:pPr>
            <w:r>
              <w:rPr>
                <w:rFonts w:ascii="Arial" w:eastAsia="Calibri" w:hAnsi="Arial" w:cs="Times New Roman"/>
                <w:i/>
                <w:sz w:val="20"/>
                <w:lang w:eastAsia="en-GB"/>
              </w:rPr>
              <w:t>N=2775</w:t>
            </w:r>
          </w:p>
        </w:tc>
        <w:tc>
          <w:tcPr>
            <w:tcW w:w="2126" w:type="dxa"/>
            <w:gridSpan w:val="2"/>
            <w:shd w:val="clear" w:color="auto" w:fill="auto"/>
          </w:tcPr>
          <w:p w:rsidR="00ED0BE2" w:rsidRPr="0094268A" w:rsidRDefault="00ED0BE2" w:rsidP="009E3799">
            <w:pPr>
              <w:spacing w:after="0" w:line="240" w:lineRule="auto"/>
              <w:jc w:val="center"/>
              <w:rPr>
                <w:rFonts w:ascii="Arial" w:eastAsia="Calibri" w:hAnsi="Arial" w:cs="Times New Roman"/>
                <w:sz w:val="20"/>
                <w:lang w:eastAsia="en-GB"/>
              </w:rPr>
            </w:pPr>
            <w:r w:rsidRPr="0094268A">
              <w:rPr>
                <w:rFonts w:ascii="Arial" w:eastAsia="Calibri" w:hAnsi="Arial" w:cs="Times New Roman"/>
                <w:sz w:val="20"/>
                <w:lang w:eastAsia="en-GB"/>
              </w:rPr>
              <w:t xml:space="preserve">Model 2. </w:t>
            </w:r>
            <w:r w:rsidRPr="0094268A">
              <w:rPr>
                <w:rFonts w:ascii="Arial" w:eastAsia="Calibri" w:hAnsi="Arial" w:cs="Times New Roman"/>
                <w:b/>
                <w:sz w:val="20"/>
                <w:lang w:eastAsia="en-GB"/>
              </w:rPr>
              <w:t>Multivariate</w:t>
            </w:r>
            <w:r w:rsidRPr="0094268A">
              <w:rPr>
                <w:rFonts w:ascii="Arial" w:eastAsia="Calibri" w:hAnsi="Arial" w:cs="Times New Roman"/>
                <w:sz w:val="20"/>
                <w:lang w:eastAsia="en-GB"/>
              </w:rPr>
              <w:t xml:space="preserve"> ‘exposure recession’</w:t>
            </w:r>
          </w:p>
          <w:p w:rsidR="00ED0BE2" w:rsidRPr="0094268A" w:rsidRDefault="00ED0BE2" w:rsidP="009E3799">
            <w:pPr>
              <w:spacing w:after="0" w:line="240" w:lineRule="auto"/>
              <w:jc w:val="center"/>
              <w:rPr>
                <w:rFonts w:ascii="Arial" w:eastAsia="Calibri" w:hAnsi="Arial" w:cs="Times New Roman"/>
                <w:i/>
                <w:sz w:val="20"/>
                <w:lang w:eastAsia="en-GB"/>
              </w:rPr>
            </w:pPr>
            <w:r>
              <w:rPr>
                <w:rFonts w:ascii="Arial" w:eastAsia="Calibri" w:hAnsi="Arial" w:cs="Times New Roman"/>
                <w:i/>
                <w:sz w:val="20"/>
                <w:lang w:eastAsia="en-GB"/>
              </w:rPr>
              <w:t>N=2775</w:t>
            </w:r>
          </w:p>
        </w:tc>
      </w:tr>
      <w:tr w:rsidR="00ED0BE2" w:rsidRPr="0094268A" w:rsidTr="009E3799">
        <w:tc>
          <w:tcPr>
            <w:tcW w:w="2235"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70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Arial"/>
                <w:sz w:val="20"/>
                <w:lang w:eastAsia="en-GB"/>
              </w:rPr>
              <w:t>OR</w:t>
            </w:r>
          </w:p>
        </w:tc>
        <w:tc>
          <w:tcPr>
            <w:tcW w:w="141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95% CI</w:t>
            </w:r>
          </w:p>
        </w:tc>
        <w:tc>
          <w:tcPr>
            <w:tcW w:w="709"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Arial"/>
                <w:sz w:val="20"/>
                <w:lang w:eastAsia="en-GB"/>
              </w:rPr>
              <w:t>OR</w:t>
            </w:r>
          </w:p>
        </w:tc>
        <w:tc>
          <w:tcPr>
            <w:tcW w:w="1417"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95% CI</w:t>
            </w:r>
          </w:p>
        </w:tc>
      </w:tr>
      <w:tr w:rsidR="00ED0BE2" w:rsidRPr="0094268A" w:rsidTr="009E3799">
        <w:tc>
          <w:tcPr>
            <w:tcW w:w="2235" w:type="dxa"/>
            <w:shd w:val="clear" w:color="auto" w:fill="auto"/>
          </w:tcPr>
          <w:p w:rsidR="00ED0BE2" w:rsidRPr="0094268A" w:rsidRDefault="00ED0BE2" w:rsidP="009E3799">
            <w:pPr>
              <w:spacing w:after="0" w:line="240" w:lineRule="auto"/>
              <w:rPr>
                <w:rFonts w:ascii="Arial" w:eastAsia="Calibri" w:hAnsi="Arial" w:cs="Times New Roman"/>
                <w:b/>
                <w:sz w:val="20"/>
                <w:lang w:eastAsia="en-GB"/>
              </w:rPr>
            </w:pPr>
            <w:r w:rsidRPr="0094268A">
              <w:rPr>
                <w:rFonts w:ascii="Arial" w:eastAsia="Calibri" w:hAnsi="Arial" w:cs="Times New Roman"/>
                <w:b/>
                <w:sz w:val="20"/>
                <w:lang w:eastAsia="en-GB"/>
              </w:rPr>
              <w:t>Exposure recession</w:t>
            </w:r>
          </w:p>
        </w:tc>
        <w:tc>
          <w:tcPr>
            <w:tcW w:w="708" w:type="dxa"/>
            <w:shd w:val="clear" w:color="auto" w:fill="auto"/>
          </w:tcPr>
          <w:p w:rsidR="00ED0BE2" w:rsidRPr="0094268A" w:rsidRDefault="00ED0BE2" w:rsidP="009E3799">
            <w:pPr>
              <w:spacing w:after="0" w:line="240" w:lineRule="auto"/>
              <w:rPr>
                <w:rFonts w:ascii="Arial" w:eastAsia="Calibri" w:hAnsi="Arial" w:cs="Times New Roman"/>
                <w:b/>
                <w:sz w:val="20"/>
                <w:lang w:eastAsia="en-GB"/>
              </w:rPr>
            </w:pPr>
            <w:r w:rsidRPr="0094268A">
              <w:rPr>
                <w:rFonts w:ascii="Arial" w:eastAsia="Calibri" w:hAnsi="Arial" w:cs="Times New Roman"/>
                <w:b/>
                <w:sz w:val="20"/>
                <w:lang w:eastAsia="en-GB"/>
              </w:rPr>
              <w:t>1.12</w:t>
            </w:r>
          </w:p>
        </w:tc>
        <w:tc>
          <w:tcPr>
            <w:tcW w:w="1418" w:type="dxa"/>
            <w:shd w:val="clear" w:color="auto" w:fill="auto"/>
          </w:tcPr>
          <w:p w:rsidR="00ED0BE2" w:rsidRPr="0094268A" w:rsidRDefault="00ED0BE2" w:rsidP="009E3799">
            <w:pPr>
              <w:spacing w:after="0" w:line="240" w:lineRule="auto"/>
              <w:rPr>
                <w:rFonts w:ascii="Arial" w:eastAsia="Calibri" w:hAnsi="Arial" w:cs="Times New Roman"/>
                <w:b/>
                <w:sz w:val="20"/>
                <w:lang w:eastAsia="en-GB"/>
              </w:rPr>
            </w:pPr>
            <w:r w:rsidRPr="0094268A">
              <w:rPr>
                <w:rFonts w:ascii="Arial" w:eastAsia="Calibri" w:hAnsi="Arial" w:cs="Times New Roman"/>
                <w:b/>
                <w:sz w:val="20"/>
                <w:lang w:eastAsia="en-GB"/>
              </w:rPr>
              <w:t>0.96; 1.30</w:t>
            </w:r>
          </w:p>
        </w:tc>
        <w:tc>
          <w:tcPr>
            <w:tcW w:w="709" w:type="dxa"/>
            <w:shd w:val="clear" w:color="auto" w:fill="auto"/>
          </w:tcPr>
          <w:p w:rsidR="00ED0BE2" w:rsidRPr="0094268A" w:rsidRDefault="00ED0BE2" w:rsidP="009E3799">
            <w:pPr>
              <w:spacing w:after="0" w:line="240" w:lineRule="auto"/>
              <w:rPr>
                <w:rFonts w:ascii="Arial" w:eastAsia="Calibri" w:hAnsi="Arial" w:cs="Times New Roman"/>
                <w:b/>
                <w:sz w:val="20"/>
                <w:lang w:eastAsia="en-GB"/>
              </w:rPr>
            </w:pPr>
            <w:r>
              <w:rPr>
                <w:rFonts w:ascii="Arial" w:eastAsia="Calibri" w:hAnsi="Arial" w:cs="Times New Roman"/>
                <w:b/>
                <w:sz w:val="20"/>
                <w:lang w:eastAsia="en-GB"/>
              </w:rPr>
              <w:t>1.19</w:t>
            </w:r>
          </w:p>
        </w:tc>
        <w:tc>
          <w:tcPr>
            <w:tcW w:w="1417" w:type="dxa"/>
            <w:shd w:val="clear" w:color="auto" w:fill="auto"/>
          </w:tcPr>
          <w:p w:rsidR="00ED0BE2" w:rsidRPr="0094268A" w:rsidRDefault="00ED0BE2" w:rsidP="009E3799">
            <w:pPr>
              <w:spacing w:after="0" w:line="240" w:lineRule="auto"/>
              <w:rPr>
                <w:rFonts w:ascii="Arial" w:eastAsia="Calibri" w:hAnsi="Arial" w:cs="Times New Roman"/>
                <w:b/>
                <w:sz w:val="20"/>
                <w:lang w:eastAsia="en-GB"/>
              </w:rPr>
            </w:pPr>
            <w:r>
              <w:rPr>
                <w:rFonts w:ascii="Arial" w:eastAsia="Calibri" w:hAnsi="Arial" w:cs="Times New Roman"/>
                <w:b/>
                <w:sz w:val="20"/>
                <w:lang w:eastAsia="en-GB"/>
              </w:rPr>
              <w:t>1.01;1.41</w:t>
            </w:r>
            <w:r w:rsidRPr="0094268A">
              <w:rPr>
                <w:rFonts w:ascii="Arial" w:eastAsia="Calibri" w:hAnsi="Arial" w:cs="Times New Roman"/>
                <w:b/>
                <w:sz w:val="20"/>
                <w:lang w:eastAsia="en-GB"/>
              </w:rPr>
              <w:t>*</w:t>
            </w:r>
          </w:p>
        </w:tc>
      </w:tr>
      <w:tr w:rsidR="00ED0BE2" w:rsidRPr="0094268A" w:rsidTr="009E3799">
        <w:tc>
          <w:tcPr>
            <w:tcW w:w="2235"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Maternal age</w:t>
            </w:r>
          </w:p>
        </w:tc>
        <w:tc>
          <w:tcPr>
            <w:tcW w:w="70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141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709"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0.93</w:t>
            </w:r>
          </w:p>
        </w:tc>
        <w:tc>
          <w:tcPr>
            <w:tcW w:w="1417"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0.92; 0.95</w:t>
            </w:r>
            <w:r w:rsidRPr="0094268A">
              <w:rPr>
                <w:rFonts w:ascii="Arial" w:eastAsia="Calibri" w:hAnsi="Arial" w:cs="Times New Roman"/>
                <w:sz w:val="20"/>
                <w:lang w:eastAsia="en-GB"/>
              </w:rPr>
              <w:t>***</w:t>
            </w:r>
          </w:p>
        </w:tc>
      </w:tr>
      <w:tr w:rsidR="00ED0BE2" w:rsidRPr="0094268A" w:rsidTr="009E3799">
        <w:tc>
          <w:tcPr>
            <w:tcW w:w="2235"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 xml:space="preserve">Parity </w:t>
            </w: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Mult</w:t>
            </w:r>
            <w:r w:rsidRPr="0094268A">
              <w:rPr>
                <w:rFonts w:ascii="Arial" w:eastAsia="Calibri" w:hAnsi="Arial" w:cs="Times New Roman"/>
                <w:sz w:val="20"/>
                <w:lang w:eastAsia="en-GB"/>
              </w:rPr>
              <w:t>iparous</w:t>
            </w:r>
          </w:p>
        </w:tc>
        <w:tc>
          <w:tcPr>
            <w:tcW w:w="70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141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709"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1.37</w:t>
            </w:r>
          </w:p>
        </w:tc>
        <w:tc>
          <w:tcPr>
            <w:tcW w:w="1417"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1.14;1.65</w:t>
            </w:r>
            <w:r w:rsidRPr="0094268A">
              <w:rPr>
                <w:rFonts w:ascii="Arial" w:eastAsia="Calibri" w:hAnsi="Arial" w:cs="Times New Roman"/>
                <w:sz w:val="20"/>
                <w:lang w:eastAsia="en-GB"/>
              </w:rPr>
              <w:t>**</w:t>
            </w:r>
          </w:p>
        </w:tc>
      </w:tr>
      <w:tr w:rsidR="00ED0BE2" w:rsidRPr="0094268A" w:rsidTr="009E3799">
        <w:tc>
          <w:tcPr>
            <w:tcW w:w="2235"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Ethnic group</w:t>
            </w:r>
          </w:p>
          <w:p w:rsidR="00ED0BE2" w:rsidRPr="0094268A" w:rsidRDefault="00ED0BE2" w:rsidP="009E3799">
            <w:pPr>
              <w:spacing w:after="0" w:line="240" w:lineRule="auto"/>
              <w:rPr>
                <w:rFonts w:ascii="Arial" w:eastAsia="Calibri" w:hAnsi="Arial" w:cs="Times New Roman"/>
                <w:i/>
                <w:sz w:val="20"/>
                <w:lang w:eastAsia="en-GB"/>
              </w:rPr>
            </w:pPr>
            <w:r w:rsidRPr="0094268A">
              <w:rPr>
                <w:rFonts w:ascii="Arial" w:eastAsia="Calibri" w:hAnsi="Arial" w:cs="Times New Roman"/>
                <w:i/>
                <w:sz w:val="20"/>
                <w:lang w:eastAsia="en-GB"/>
              </w:rPr>
              <w:t>(versus White British)</w:t>
            </w:r>
          </w:p>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Pakistani</w:t>
            </w:r>
          </w:p>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Other</w:t>
            </w:r>
          </w:p>
        </w:tc>
        <w:tc>
          <w:tcPr>
            <w:tcW w:w="70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141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709"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0.61</w:t>
            </w: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0.79</w:t>
            </w:r>
          </w:p>
        </w:tc>
        <w:tc>
          <w:tcPr>
            <w:tcW w:w="1417"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0.48;0.79</w:t>
            </w:r>
            <w:r w:rsidRPr="0094268A">
              <w:rPr>
                <w:rFonts w:ascii="Arial" w:eastAsia="Calibri" w:hAnsi="Arial" w:cs="Times New Roman"/>
                <w:sz w:val="20"/>
                <w:lang w:eastAsia="en-GB"/>
              </w:rPr>
              <w:t>***</w:t>
            </w:r>
          </w:p>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0.61;1.04</w:t>
            </w:r>
          </w:p>
        </w:tc>
      </w:tr>
      <w:tr w:rsidR="00ED0BE2" w:rsidRPr="0094268A" w:rsidTr="009E3799">
        <w:tc>
          <w:tcPr>
            <w:tcW w:w="2235"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Maternal education</w:t>
            </w:r>
          </w:p>
          <w:p w:rsidR="00ED0BE2" w:rsidRPr="0094268A" w:rsidRDefault="00ED0BE2" w:rsidP="009E3799">
            <w:pPr>
              <w:spacing w:after="0" w:line="240" w:lineRule="auto"/>
              <w:rPr>
                <w:rFonts w:ascii="Arial" w:eastAsia="Calibri" w:hAnsi="Arial" w:cs="Times New Roman"/>
                <w:i/>
                <w:sz w:val="20"/>
                <w:lang w:eastAsia="en-GB"/>
              </w:rPr>
            </w:pPr>
            <w:r w:rsidRPr="0094268A">
              <w:rPr>
                <w:rFonts w:ascii="Arial" w:eastAsia="Calibri" w:hAnsi="Arial" w:cs="Times New Roman"/>
                <w:i/>
                <w:sz w:val="20"/>
                <w:lang w:eastAsia="en-GB"/>
              </w:rPr>
              <w:t>(versus &lt; 5 GCSE)</w:t>
            </w:r>
          </w:p>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5 GCSE</w:t>
            </w:r>
          </w:p>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A level</w:t>
            </w:r>
          </w:p>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&gt; A level</w:t>
            </w:r>
          </w:p>
          <w:p w:rsidR="00ED0BE2" w:rsidRPr="0094268A" w:rsidRDefault="00ED0BE2" w:rsidP="009E3799">
            <w:pPr>
              <w:spacing w:after="0" w:line="240" w:lineRule="auto"/>
              <w:rPr>
                <w:rFonts w:ascii="Arial" w:eastAsia="Calibri" w:hAnsi="Arial" w:cs="Times New Roman"/>
                <w:sz w:val="20"/>
                <w:lang w:eastAsia="en-GB"/>
              </w:rPr>
            </w:pPr>
            <w:r w:rsidRPr="0094268A">
              <w:rPr>
                <w:rFonts w:ascii="Arial" w:eastAsia="Calibri" w:hAnsi="Arial" w:cs="Times New Roman"/>
                <w:sz w:val="20"/>
                <w:lang w:eastAsia="en-GB"/>
              </w:rPr>
              <w:t>Other</w:t>
            </w:r>
          </w:p>
        </w:tc>
        <w:tc>
          <w:tcPr>
            <w:tcW w:w="70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141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709"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0.50</w:t>
            </w: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0.40</w:t>
            </w: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0.19</w:t>
            </w: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0.33</w:t>
            </w:r>
          </w:p>
        </w:tc>
        <w:tc>
          <w:tcPr>
            <w:tcW w:w="1417"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0.40;0.63</w:t>
            </w:r>
            <w:r w:rsidRPr="0094268A">
              <w:rPr>
                <w:rFonts w:ascii="Arial" w:eastAsia="Calibri" w:hAnsi="Arial" w:cs="Times New Roman"/>
                <w:sz w:val="20"/>
                <w:lang w:eastAsia="en-GB"/>
              </w:rPr>
              <w:t>***</w:t>
            </w: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0.31;0.53</w:t>
            </w:r>
            <w:r w:rsidRPr="0094268A">
              <w:rPr>
                <w:rFonts w:ascii="Arial" w:eastAsia="Calibri" w:hAnsi="Arial" w:cs="Times New Roman"/>
                <w:sz w:val="20"/>
                <w:lang w:eastAsia="en-GB"/>
              </w:rPr>
              <w:t>***</w:t>
            </w: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0.14;0.25</w:t>
            </w:r>
            <w:r w:rsidRPr="0094268A">
              <w:rPr>
                <w:rFonts w:ascii="Arial" w:eastAsia="Calibri" w:hAnsi="Arial" w:cs="Times New Roman"/>
                <w:sz w:val="20"/>
                <w:lang w:eastAsia="en-GB"/>
              </w:rPr>
              <w:t>***</w:t>
            </w: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0.24;0.47</w:t>
            </w:r>
            <w:r w:rsidRPr="0094268A">
              <w:rPr>
                <w:rFonts w:ascii="Arial" w:eastAsia="Calibri" w:hAnsi="Arial" w:cs="Times New Roman"/>
                <w:sz w:val="20"/>
                <w:lang w:eastAsia="en-GB"/>
              </w:rPr>
              <w:t>***</w:t>
            </w:r>
          </w:p>
        </w:tc>
      </w:tr>
      <w:tr w:rsidR="00ED0BE2" w:rsidRPr="0094268A" w:rsidTr="009E3799">
        <w:tc>
          <w:tcPr>
            <w:tcW w:w="2235" w:type="dxa"/>
            <w:shd w:val="clear" w:color="auto" w:fill="auto"/>
          </w:tcPr>
          <w:p w:rsidR="00ED0BE2"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Cohabitation</w:t>
            </w: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Yes</w:t>
            </w:r>
          </w:p>
        </w:tc>
        <w:tc>
          <w:tcPr>
            <w:tcW w:w="70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1418" w:type="dxa"/>
            <w:shd w:val="clear" w:color="auto" w:fill="auto"/>
          </w:tcPr>
          <w:p w:rsidR="00ED0BE2" w:rsidRPr="0094268A" w:rsidRDefault="00ED0BE2" w:rsidP="009E3799">
            <w:pPr>
              <w:spacing w:after="0" w:line="240" w:lineRule="auto"/>
              <w:rPr>
                <w:rFonts w:ascii="Arial" w:eastAsia="Calibri" w:hAnsi="Arial" w:cs="Times New Roman"/>
                <w:sz w:val="20"/>
                <w:lang w:eastAsia="en-GB"/>
              </w:rPr>
            </w:pPr>
          </w:p>
        </w:tc>
        <w:tc>
          <w:tcPr>
            <w:tcW w:w="709" w:type="dxa"/>
            <w:shd w:val="clear" w:color="auto" w:fill="auto"/>
          </w:tcPr>
          <w:p w:rsidR="00ED0BE2"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0.53</w:t>
            </w:r>
          </w:p>
        </w:tc>
        <w:tc>
          <w:tcPr>
            <w:tcW w:w="1417" w:type="dxa"/>
            <w:shd w:val="clear" w:color="auto" w:fill="auto"/>
          </w:tcPr>
          <w:p w:rsidR="00ED0BE2" w:rsidRDefault="00ED0BE2" w:rsidP="009E3799">
            <w:pPr>
              <w:spacing w:after="0" w:line="240" w:lineRule="auto"/>
              <w:rPr>
                <w:rFonts w:ascii="Arial" w:eastAsia="Calibri" w:hAnsi="Arial" w:cs="Times New Roman"/>
                <w:sz w:val="20"/>
                <w:lang w:eastAsia="en-GB"/>
              </w:rPr>
            </w:pPr>
          </w:p>
          <w:p w:rsidR="00ED0BE2" w:rsidRPr="0094268A" w:rsidRDefault="00ED0BE2" w:rsidP="009E3799">
            <w:pPr>
              <w:spacing w:after="0" w:line="240" w:lineRule="auto"/>
              <w:rPr>
                <w:rFonts w:ascii="Arial" w:eastAsia="Calibri" w:hAnsi="Arial" w:cs="Times New Roman"/>
                <w:sz w:val="20"/>
                <w:lang w:eastAsia="en-GB"/>
              </w:rPr>
            </w:pPr>
            <w:r>
              <w:rPr>
                <w:rFonts w:ascii="Arial" w:eastAsia="Calibri" w:hAnsi="Arial" w:cs="Times New Roman"/>
                <w:sz w:val="20"/>
                <w:lang w:eastAsia="en-GB"/>
              </w:rPr>
              <w:t>0.44;0.64***</w:t>
            </w:r>
          </w:p>
        </w:tc>
      </w:tr>
    </w:tbl>
    <w:p w:rsidR="00ED0BE2" w:rsidRPr="0094268A" w:rsidRDefault="00ED0BE2" w:rsidP="00ED0BE2">
      <w:pPr>
        <w:spacing w:before="120" w:after="0" w:line="240" w:lineRule="auto"/>
        <w:ind w:left="360"/>
        <w:rPr>
          <w:rFonts w:ascii="Arial" w:eastAsia="Calibri" w:hAnsi="Arial" w:cs="Times New Roman"/>
          <w:sz w:val="20"/>
          <w:lang w:eastAsia="en-GB"/>
        </w:rPr>
      </w:pPr>
      <w:r w:rsidRPr="0094268A">
        <w:rPr>
          <w:rFonts w:ascii="Arial" w:eastAsia="Calibri" w:hAnsi="Arial" w:cs="Times New Roman"/>
          <w:sz w:val="20"/>
          <w:lang w:eastAsia="en-GB"/>
        </w:rPr>
        <w:t>*p&lt; 0</w:t>
      </w:r>
      <w:r w:rsidRPr="0094268A">
        <w:rPr>
          <w:rFonts w:ascii="Arial" w:eastAsia="Calibri" w:hAnsi="Arial" w:cs="Arial"/>
          <w:lang w:eastAsia="en-GB"/>
        </w:rPr>
        <w:t>.</w:t>
      </w:r>
      <w:r w:rsidRPr="0094268A">
        <w:rPr>
          <w:rFonts w:ascii="Arial" w:eastAsia="Calibri" w:hAnsi="Arial" w:cs="Times New Roman"/>
          <w:sz w:val="20"/>
          <w:lang w:eastAsia="en-GB"/>
        </w:rPr>
        <w:t>05, ** p&lt;0</w:t>
      </w:r>
      <w:r w:rsidRPr="0094268A">
        <w:rPr>
          <w:rFonts w:ascii="Arial" w:eastAsia="Calibri" w:hAnsi="Arial" w:cs="Arial"/>
          <w:lang w:eastAsia="en-GB"/>
        </w:rPr>
        <w:t>.</w:t>
      </w:r>
      <w:r w:rsidRPr="0094268A">
        <w:rPr>
          <w:rFonts w:ascii="Arial" w:eastAsia="Calibri" w:hAnsi="Arial" w:cs="Times New Roman"/>
          <w:sz w:val="20"/>
          <w:lang w:eastAsia="en-GB"/>
        </w:rPr>
        <w:t>01, *** p&lt;0</w:t>
      </w:r>
      <w:r w:rsidRPr="0094268A">
        <w:rPr>
          <w:rFonts w:ascii="Arial" w:eastAsia="Calibri" w:hAnsi="Arial" w:cs="Arial"/>
          <w:lang w:eastAsia="en-GB"/>
        </w:rPr>
        <w:t>.</w:t>
      </w:r>
      <w:r w:rsidRPr="0094268A">
        <w:rPr>
          <w:rFonts w:ascii="Arial" w:eastAsia="Calibri" w:hAnsi="Arial" w:cs="Times New Roman"/>
          <w:sz w:val="20"/>
          <w:lang w:eastAsia="en-GB"/>
        </w:rPr>
        <w:t>001</w:t>
      </w:r>
    </w:p>
    <w:p w:rsidR="008705D7" w:rsidRDefault="008705D7" w:rsidP="008C139B"/>
    <w:p w:rsidR="00BC6397" w:rsidRPr="000B44A8" w:rsidRDefault="00BC6397" w:rsidP="00BC6397">
      <w:pPr>
        <w:rPr>
          <w:b/>
        </w:rPr>
      </w:pPr>
      <w:r w:rsidRPr="000B44A8">
        <w:rPr>
          <w:b/>
          <w:highlight w:val="yellow"/>
        </w:rPr>
        <w:t>Table 3. Results of Sobel-Goodman test with bootstrap analysis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275"/>
        <w:gridCol w:w="1276"/>
        <w:gridCol w:w="1843"/>
      </w:tblGrid>
      <w:tr w:rsidR="00BC6397" w:rsidTr="006258EA">
        <w:tc>
          <w:tcPr>
            <w:tcW w:w="5070" w:type="dxa"/>
            <w:shd w:val="clear" w:color="auto" w:fill="auto"/>
          </w:tcPr>
          <w:p w:rsidR="00BC6397" w:rsidRPr="00744D43" w:rsidRDefault="00BC6397" w:rsidP="006258EA">
            <w:pPr>
              <w:rPr>
                <w:rFonts w:ascii="Calibri" w:eastAsia="Calibri" w:hAnsi="Calibri"/>
                <w:b/>
              </w:rPr>
            </w:pPr>
          </w:p>
        </w:tc>
        <w:tc>
          <w:tcPr>
            <w:tcW w:w="1275" w:type="dxa"/>
            <w:shd w:val="clear" w:color="auto" w:fill="auto"/>
          </w:tcPr>
          <w:p w:rsidR="00BC6397" w:rsidRPr="00744D43" w:rsidRDefault="00BC6397" w:rsidP="006258EA">
            <w:pPr>
              <w:rPr>
                <w:rFonts w:ascii="Calibri" w:eastAsia="Calibri" w:hAnsi="Calibri"/>
                <w:b/>
              </w:rPr>
            </w:pPr>
            <w:r w:rsidRPr="00744D43">
              <w:rPr>
                <w:rFonts w:ascii="Calibri" w:eastAsia="Calibri" w:hAnsi="Calibri"/>
                <w:b/>
              </w:rPr>
              <w:t>Coefficient</w:t>
            </w:r>
          </w:p>
        </w:tc>
        <w:tc>
          <w:tcPr>
            <w:tcW w:w="1276" w:type="dxa"/>
            <w:shd w:val="clear" w:color="auto" w:fill="auto"/>
          </w:tcPr>
          <w:p w:rsidR="00BC6397" w:rsidRPr="00744D43" w:rsidRDefault="00BC6397" w:rsidP="006258EA">
            <w:pPr>
              <w:rPr>
                <w:rFonts w:ascii="Calibri" w:eastAsia="Calibri" w:hAnsi="Calibri"/>
                <w:b/>
              </w:rPr>
            </w:pPr>
            <w:r w:rsidRPr="00744D43">
              <w:rPr>
                <w:rFonts w:ascii="Calibri" w:eastAsia="Calibri" w:hAnsi="Calibri"/>
                <w:b/>
              </w:rPr>
              <w:t>Standard error</w:t>
            </w:r>
          </w:p>
        </w:tc>
        <w:tc>
          <w:tcPr>
            <w:tcW w:w="1843" w:type="dxa"/>
            <w:shd w:val="clear" w:color="auto" w:fill="auto"/>
          </w:tcPr>
          <w:p w:rsidR="00BC6397" w:rsidRPr="00744D43" w:rsidRDefault="00BC6397" w:rsidP="006258EA">
            <w:pPr>
              <w:rPr>
                <w:rFonts w:ascii="Calibri" w:eastAsia="Calibri" w:hAnsi="Calibri"/>
                <w:b/>
              </w:rPr>
            </w:pPr>
            <w:r w:rsidRPr="00744D43">
              <w:rPr>
                <w:rFonts w:ascii="Calibri" w:eastAsia="Calibri" w:hAnsi="Calibri"/>
                <w:b/>
              </w:rPr>
              <w:t>95% CI</w:t>
            </w:r>
          </w:p>
        </w:tc>
      </w:tr>
      <w:tr w:rsidR="00BC6397" w:rsidTr="006258EA">
        <w:tc>
          <w:tcPr>
            <w:tcW w:w="9464" w:type="dxa"/>
            <w:gridSpan w:val="4"/>
            <w:shd w:val="clear" w:color="auto" w:fill="auto"/>
          </w:tcPr>
          <w:p w:rsidR="00BC6397" w:rsidRPr="00744D43" w:rsidRDefault="00BC6397" w:rsidP="006258EA">
            <w:pPr>
              <w:rPr>
                <w:rFonts w:ascii="Calibri" w:eastAsia="Calibri" w:hAnsi="Calibri"/>
                <w:b/>
              </w:rPr>
            </w:pPr>
            <w:r w:rsidRPr="00744D43">
              <w:rPr>
                <w:rFonts w:ascii="Calibri" w:eastAsia="Calibri" w:hAnsi="Calibri"/>
                <w:b/>
              </w:rPr>
              <w:t>Model with mediator ‘worse financial situation’ (N=2775)</w:t>
            </w:r>
          </w:p>
        </w:tc>
      </w:tr>
      <w:tr w:rsidR="00BC6397" w:rsidTr="006258EA">
        <w:tc>
          <w:tcPr>
            <w:tcW w:w="5070" w:type="dxa"/>
            <w:shd w:val="clear" w:color="auto" w:fill="auto"/>
          </w:tcPr>
          <w:p w:rsidR="00BC6397" w:rsidRPr="00744D43" w:rsidRDefault="00BC6397" w:rsidP="006258EA">
            <w:pPr>
              <w:rPr>
                <w:rFonts w:ascii="Calibri" w:eastAsia="Calibri" w:hAnsi="Calibri"/>
                <w:i/>
              </w:rPr>
            </w:pPr>
            <w:r w:rsidRPr="00744D43">
              <w:rPr>
                <w:rFonts w:ascii="Calibri" w:eastAsia="Calibri" w:hAnsi="Calibri"/>
                <w:i/>
              </w:rPr>
              <w:t>Indirect effect*</w:t>
            </w:r>
          </w:p>
        </w:tc>
        <w:tc>
          <w:tcPr>
            <w:tcW w:w="1275"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0.003</w:t>
            </w:r>
          </w:p>
        </w:tc>
        <w:tc>
          <w:tcPr>
            <w:tcW w:w="1276"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0.001</w:t>
            </w:r>
          </w:p>
        </w:tc>
        <w:tc>
          <w:tcPr>
            <w:tcW w:w="1843"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0.000;0.001</w:t>
            </w:r>
          </w:p>
        </w:tc>
      </w:tr>
      <w:tr w:rsidR="00BC6397" w:rsidTr="006258EA">
        <w:tc>
          <w:tcPr>
            <w:tcW w:w="5070" w:type="dxa"/>
            <w:shd w:val="clear" w:color="auto" w:fill="auto"/>
          </w:tcPr>
          <w:p w:rsidR="00BC6397" w:rsidRPr="00744D43" w:rsidRDefault="00BC6397" w:rsidP="006258EA">
            <w:pPr>
              <w:rPr>
                <w:rFonts w:ascii="Calibri" w:eastAsia="Calibri" w:hAnsi="Calibri"/>
              </w:rPr>
            </w:pPr>
            <w:r w:rsidRPr="00744D43">
              <w:rPr>
                <w:rFonts w:ascii="Calibri" w:eastAsia="Calibri" w:hAnsi="Calibri"/>
                <w:i/>
              </w:rPr>
              <w:t>Direct effect</w:t>
            </w:r>
          </w:p>
        </w:tc>
        <w:tc>
          <w:tcPr>
            <w:tcW w:w="1275"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0.031</w:t>
            </w:r>
          </w:p>
        </w:tc>
        <w:tc>
          <w:tcPr>
            <w:tcW w:w="1276"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0.017</w:t>
            </w:r>
          </w:p>
        </w:tc>
        <w:tc>
          <w:tcPr>
            <w:tcW w:w="1843"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-0.003;0.066</w:t>
            </w:r>
          </w:p>
        </w:tc>
      </w:tr>
      <w:tr w:rsidR="00BC6397" w:rsidTr="006258EA">
        <w:tc>
          <w:tcPr>
            <w:tcW w:w="9464" w:type="dxa"/>
            <w:gridSpan w:val="4"/>
            <w:shd w:val="clear" w:color="auto" w:fill="auto"/>
          </w:tcPr>
          <w:p w:rsidR="00BC6397" w:rsidRPr="00744D43" w:rsidRDefault="00BC6397" w:rsidP="006258EA">
            <w:pPr>
              <w:rPr>
                <w:rFonts w:ascii="Calibri" w:eastAsia="Calibri" w:hAnsi="Calibri"/>
                <w:b/>
              </w:rPr>
            </w:pPr>
            <w:r w:rsidRPr="00744D43">
              <w:rPr>
                <w:rFonts w:ascii="Calibri" w:eastAsia="Calibri" w:hAnsi="Calibri"/>
                <w:b/>
              </w:rPr>
              <w:t>Model with mediator ‘difficult financial situation’ (N=2775)</w:t>
            </w:r>
          </w:p>
        </w:tc>
      </w:tr>
      <w:tr w:rsidR="00BC6397" w:rsidTr="006258EA">
        <w:tc>
          <w:tcPr>
            <w:tcW w:w="5070" w:type="dxa"/>
            <w:shd w:val="clear" w:color="auto" w:fill="auto"/>
          </w:tcPr>
          <w:p w:rsidR="00BC6397" w:rsidRPr="00744D43" w:rsidRDefault="00BC6397" w:rsidP="006258EA">
            <w:pPr>
              <w:rPr>
                <w:rFonts w:ascii="Calibri" w:eastAsia="Calibri" w:hAnsi="Calibri"/>
                <w:i/>
              </w:rPr>
            </w:pPr>
            <w:r w:rsidRPr="00744D43">
              <w:rPr>
                <w:rFonts w:ascii="Calibri" w:eastAsia="Calibri" w:hAnsi="Calibri"/>
                <w:i/>
              </w:rPr>
              <w:t>Indirect effect**</w:t>
            </w:r>
          </w:p>
        </w:tc>
        <w:tc>
          <w:tcPr>
            <w:tcW w:w="1275"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0.006</w:t>
            </w:r>
          </w:p>
        </w:tc>
        <w:tc>
          <w:tcPr>
            <w:tcW w:w="1276"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0.002</w:t>
            </w:r>
          </w:p>
        </w:tc>
        <w:tc>
          <w:tcPr>
            <w:tcW w:w="1843"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0.002;0.011</w:t>
            </w:r>
          </w:p>
        </w:tc>
      </w:tr>
      <w:tr w:rsidR="00BC6397" w:rsidTr="006258EA">
        <w:tc>
          <w:tcPr>
            <w:tcW w:w="5070" w:type="dxa"/>
            <w:shd w:val="clear" w:color="auto" w:fill="auto"/>
          </w:tcPr>
          <w:p w:rsidR="00BC6397" w:rsidRPr="00744D43" w:rsidRDefault="00BC6397" w:rsidP="006258EA">
            <w:pPr>
              <w:rPr>
                <w:rFonts w:ascii="Calibri" w:eastAsia="Calibri" w:hAnsi="Calibri"/>
              </w:rPr>
            </w:pPr>
            <w:r w:rsidRPr="00744D43">
              <w:rPr>
                <w:rFonts w:ascii="Calibri" w:eastAsia="Calibri" w:hAnsi="Calibri"/>
                <w:i/>
              </w:rPr>
              <w:t>Direct effect</w:t>
            </w:r>
          </w:p>
        </w:tc>
        <w:tc>
          <w:tcPr>
            <w:tcW w:w="1275"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0.028</w:t>
            </w:r>
          </w:p>
        </w:tc>
        <w:tc>
          <w:tcPr>
            <w:tcW w:w="1276"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0.018</w:t>
            </w:r>
          </w:p>
        </w:tc>
        <w:tc>
          <w:tcPr>
            <w:tcW w:w="1843" w:type="dxa"/>
            <w:shd w:val="clear" w:color="auto" w:fill="auto"/>
          </w:tcPr>
          <w:p w:rsidR="00BC6397" w:rsidRPr="00744D43" w:rsidRDefault="00BC6397" w:rsidP="006258EA">
            <w:pPr>
              <w:rPr>
                <w:rFonts w:ascii="Calibri" w:eastAsia="Calibri" w:hAnsi="Calibri"/>
              </w:rPr>
            </w:pPr>
            <w:r w:rsidRPr="00744D43">
              <w:rPr>
                <w:rFonts w:ascii="Calibri" w:eastAsia="Calibri" w:hAnsi="Calibri"/>
              </w:rPr>
              <w:t>-0.007;0.063</w:t>
            </w:r>
          </w:p>
        </w:tc>
      </w:tr>
    </w:tbl>
    <w:p w:rsidR="00ED0BE2" w:rsidRDefault="00BC6397" w:rsidP="00F91641">
      <w:r w:rsidRPr="00A734C8">
        <w:rPr>
          <w:sz w:val="20"/>
        </w:rPr>
        <w:t>* Proportion of the effect that is mediated: 0.084</w:t>
      </w:r>
      <w:r>
        <w:rPr>
          <w:sz w:val="20"/>
        </w:rPr>
        <w:br/>
      </w:r>
      <w:r w:rsidRPr="00A734C8">
        <w:rPr>
          <w:sz w:val="20"/>
        </w:rPr>
        <w:t>*</w:t>
      </w:r>
      <w:r>
        <w:rPr>
          <w:sz w:val="20"/>
        </w:rPr>
        <w:t>*</w:t>
      </w:r>
      <w:r w:rsidRPr="00A734C8">
        <w:rPr>
          <w:sz w:val="20"/>
        </w:rPr>
        <w:t xml:space="preserve"> Proportion of the effect that is mediated: 0.</w:t>
      </w:r>
      <w:r>
        <w:rPr>
          <w:sz w:val="20"/>
        </w:rPr>
        <w:t>176</w:t>
      </w:r>
      <w:bookmarkStart w:id="0" w:name="_GoBack"/>
      <w:bookmarkEnd w:id="0"/>
    </w:p>
    <w:sectPr w:rsidR="00ED0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35DF7"/>
    <w:multiLevelType w:val="hybridMultilevel"/>
    <w:tmpl w:val="0DEA0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3E"/>
    <w:rsid w:val="00050DE5"/>
    <w:rsid w:val="00061ECD"/>
    <w:rsid w:val="000651F6"/>
    <w:rsid w:val="000B44A8"/>
    <w:rsid w:val="000D3A2D"/>
    <w:rsid w:val="000E169F"/>
    <w:rsid w:val="000E66CA"/>
    <w:rsid w:val="00117D4E"/>
    <w:rsid w:val="00137CE2"/>
    <w:rsid w:val="00187075"/>
    <w:rsid w:val="00215127"/>
    <w:rsid w:val="002B703A"/>
    <w:rsid w:val="002F5622"/>
    <w:rsid w:val="003069E8"/>
    <w:rsid w:val="00306ECF"/>
    <w:rsid w:val="00327716"/>
    <w:rsid w:val="0037171C"/>
    <w:rsid w:val="00384527"/>
    <w:rsid w:val="00387330"/>
    <w:rsid w:val="003A1968"/>
    <w:rsid w:val="003D4708"/>
    <w:rsid w:val="0048436D"/>
    <w:rsid w:val="004B04D1"/>
    <w:rsid w:val="004B6C21"/>
    <w:rsid w:val="004B7953"/>
    <w:rsid w:val="004D76BA"/>
    <w:rsid w:val="004E2A06"/>
    <w:rsid w:val="004F749A"/>
    <w:rsid w:val="005367E1"/>
    <w:rsid w:val="00553447"/>
    <w:rsid w:val="00562714"/>
    <w:rsid w:val="00580BF3"/>
    <w:rsid w:val="00582874"/>
    <w:rsid w:val="005B5589"/>
    <w:rsid w:val="00611598"/>
    <w:rsid w:val="006258AA"/>
    <w:rsid w:val="00751D27"/>
    <w:rsid w:val="007E4A00"/>
    <w:rsid w:val="007E50AA"/>
    <w:rsid w:val="007F10D9"/>
    <w:rsid w:val="007F58F4"/>
    <w:rsid w:val="008103EF"/>
    <w:rsid w:val="0081608F"/>
    <w:rsid w:val="008527D4"/>
    <w:rsid w:val="00860355"/>
    <w:rsid w:val="00861EFC"/>
    <w:rsid w:val="008705D7"/>
    <w:rsid w:val="008C139B"/>
    <w:rsid w:val="008D47A6"/>
    <w:rsid w:val="008F4840"/>
    <w:rsid w:val="00951955"/>
    <w:rsid w:val="0095479C"/>
    <w:rsid w:val="00987594"/>
    <w:rsid w:val="009A5E6F"/>
    <w:rsid w:val="009B4938"/>
    <w:rsid w:val="009D6864"/>
    <w:rsid w:val="009E2602"/>
    <w:rsid w:val="00A03A16"/>
    <w:rsid w:val="00A24848"/>
    <w:rsid w:val="00A36C9F"/>
    <w:rsid w:val="00A43004"/>
    <w:rsid w:val="00A450FA"/>
    <w:rsid w:val="00A50F7D"/>
    <w:rsid w:val="00A558C8"/>
    <w:rsid w:val="00A768EE"/>
    <w:rsid w:val="00AB174A"/>
    <w:rsid w:val="00AC7990"/>
    <w:rsid w:val="00AF206C"/>
    <w:rsid w:val="00B02418"/>
    <w:rsid w:val="00B42E49"/>
    <w:rsid w:val="00BB5E3E"/>
    <w:rsid w:val="00BC24D9"/>
    <w:rsid w:val="00BC3683"/>
    <w:rsid w:val="00BC6397"/>
    <w:rsid w:val="00C076E6"/>
    <w:rsid w:val="00C401A4"/>
    <w:rsid w:val="00C51165"/>
    <w:rsid w:val="00C54FF1"/>
    <w:rsid w:val="00C816F0"/>
    <w:rsid w:val="00C81898"/>
    <w:rsid w:val="00C94DEE"/>
    <w:rsid w:val="00CC751B"/>
    <w:rsid w:val="00CD5B5F"/>
    <w:rsid w:val="00D05175"/>
    <w:rsid w:val="00D324F0"/>
    <w:rsid w:val="00D35C18"/>
    <w:rsid w:val="00D42E93"/>
    <w:rsid w:val="00D51020"/>
    <w:rsid w:val="00D63F6C"/>
    <w:rsid w:val="00D85BEF"/>
    <w:rsid w:val="00D96F98"/>
    <w:rsid w:val="00DA5751"/>
    <w:rsid w:val="00DD6543"/>
    <w:rsid w:val="00E5114B"/>
    <w:rsid w:val="00E85082"/>
    <w:rsid w:val="00EA1417"/>
    <w:rsid w:val="00ED0BE2"/>
    <w:rsid w:val="00ED18BC"/>
    <w:rsid w:val="00ED1955"/>
    <w:rsid w:val="00ED50C8"/>
    <w:rsid w:val="00EF58B6"/>
    <w:rsid w:val="00F628ED"/>
    <w:rsid w:val="00F84AAC"/>
    <w:rsid w:val="00F91641"/>
    <w:rsid w:val="00FA31A9"/>
    <w:rsid w:val="00FD14CB"/>
    <w:rsid w:val="00FD4671"/>
    <w:rsid w:val="00FE798A"/>
    <w:rsid w:val="00FF2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2B635-0B26-4E04-8FDF-C7012B7C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3F6C"/>
    <w:rPr>
      <w:color w:val="0000FF"/>
      <w:u w:val="single"/>
    </w:rPr>
  </w:style>
  <w:style w:type="paragraph" w:styleId="ListParagraph">
    <w:name w:val="List Paragraph"/>
    <w:basedOn w:val="Normal"/>
    <w:uiPriority w:val="34"/>
    <w:qFormat/>
    <w:rsid w:val="0095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1ObV5s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misweb.co.uk/" TargetMode="External"/><Relationship Id="rId11" Type="http://schemas.openxmlformats.org/officeDocument/2006/relationships/hyperlink" Target="http://www.hscic.gov.uk/catalogue/PUB14258" TargetMode="External"/><Relationship Id="rId5" Type="http://schemas.openxmlformats.org/officeDocument/2006/relationships/hyperlink" Target="https://doi.org/10.1093/ntr/ntw269" TargetMode="External"/><Relationship Id="rId10" Type="http://schemas.openxmlformats.org/officeDocument/2006/relationships/hyperlink" Target="http://tinyurl.com/h99xmxq" TargetMode="External"/><Relationship Id="rId4" Type="http://schemas.openxmlformats.org/officeDocument/2006/relationships/webSettings" Target="webSettings.xml"/><Relationship Id="rId9" Type="http://schemas.openxmlformats.org/officeDocument/2006/relationships/hyperlink" Target="http://www.nex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4262</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Uphoff, E.P.M.M.</dc:creator>
  <cp:lastModifiedBy>Uphoff, E.P.M.M.</cp:lastModifiedBy>
  <cp:revision>20</cp:revision>
  <dcterms:created xsi:type="dcterms:W3CDTF">2018-03-09T08:49:00Z</dcterms:created>
  <dcterms:modified xsi:type="dcterms:W3CDTF">2018-03-09T14:32:00Z</dcterms:modified>
</cp:coreProperties>
</file>