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08" w:rsidRPr="00D77876" w:rsidRDefault="004B7D24" w:rsidP="00F947E8">
      <w:pPr>
        <w:spacing w:line="360" w:lineRule="auto"/>
        <w:rPr>
          <w:rFonts w:cs="Times New Roman"/>
          <w:b/>
          <w:lang w:val="en-GB"/>
        </w:rPr>
      </w:pPr>
      <w:r>
        <w:rPr>
          <w:rFonts w:cs="Times New Roman"/>
          <w:b/>
          <w:lang w:val="en-GB"/>
        </w:rPr>
        <w:t>Increased sequencing depth does not increase captured diversity of arbuscular mycorrhizal fungi</w:t>
      </w:r>
    </w:p>
    <w:p w:rsidR="00D22208" w:rsidRPr="003A6273" w:rsidRDefault="00D22208" w:rsidP="00F947E8">
      <w:pPr>
        <w:spacing w:line="360" w:lineRule="auto"/>
        <w:rPr>
          <w:rFonts w:cs="Times New Roman"/>
          <w:lang w:val="en-GB"/>
        </w:rPr>
      </w:pPr>
    </w:p>
    <w:p w:rsidR="00D22208" w:rsidRPr="003A6273" w:rsidRDefault="00D22208" w:rsidP="00F947E8">
      <w:pPr>
        <w:spacing w:line="360" w:lineRule="auto"/>
        <w:rPr>
          <w:rFonts w:cs="Times New Roman"/>
          <w:lang w:val="en-GB"/>
        </w:rPr>
      </w:pPr>
      <w:r w:rsidRPr="003A6273">
        <w:rPr>
          <w:rFonts w:cs="Times New Roman"/>
          <w:lang w:val="en-GB"/>
        </w:rPr>
        <w:t>Martti Vasar</w:t>
      </w:r>
      <w:r w:rsidRPr="003A6273">
        <w:rPr>
          <w:rFonts w:cs="Times New Roman"/>
          <w:vertAlign w:val="superscript"/>
          <w:lang w:val="en-GB"/>
        </w:rPr>
        <w:t>1</w:t>
      </w:r>
      <w:r w:rsidRPr="003A6273">
        <w:rPr>
          <w:rFonts w:cs="Times New Roman"/>
          <w:lang w:val="en-GB"/>
        </w:rPr>
        <w:t xml:space="preserve">, </w:t>
      </w:r>
      <w:r w:rsidR="00082859">
        <w:rPr>
          <w:rFonts w:cs="Times New Roman"/>
          <w:lang w:val="en-GB"/>
        </w:rPr>
        <w:t>Reidar Andreson</w:t>
      </w:r>
      <w:r w:rsidR="00082859">
        <w:rPr>
          <w:rFonts w:cs="Times New Roman"/>
          <w:vertAlign w:val="superscript"/>
          <w:lang w:val="en-GB"/>
        </w:rPr>
        <w:t>2</w:t>
      </w:r>
      <w:r w:rsidR="00B576FE">
        <w:rPr>
          <w:rFonts w:cs="Times New Roman"/>
          <w:vertAlign w:val="superscript"/>
          <w:lang w:val="en-GB"/>
        </w:rPr>
        <w:t>,3</w:t>
      </w:r>
      <w:r w:rsidR="00082859">
        <w:rPr>
          <w:rFonts w:cs="Times New Roman"/>
          <w:lang w:val="en-GB"/>
        </w:rPr>
        <w:t xml:space="preserve">, </w:t>
      </w:r>
      <w:r w:rsidRPr="003A6273">
        <w:rPr>
          <w:rFonts w:cs="Times New Roman"/>
          <w:lang w:val="en-GB"/>
        </w:rPr>
        <w:t>John Davison</w:t>
      </w:r>
      <w:r w:rsidRPr="003A6273">
        <w:rPr>
          <w:rFonts w:cs="Times New Roman"/>
          <w:vertAlign w:val="superscript"/>
          <w:lang w:val="en-GB"/>
        </w:rPr>
        <w:t>1</w:t>
      </w:r>
      <w:r w:rsidRPr="003A6273">
        <w:rPr>
          <w:rFonts w:cs="Times New Roman"/>
          <w:lang w:val="en-GB"/>
        </w:rPr>
        <w:t>, Teele Jairus</w:t>
      </w:r>
      <w:r w:rsidRPr="003A6273">
        <w:rPr>
          <w:rFonts w:cs="Times New Roman"/>
          <w:vertAlign w:val="superscript"/>
          <w:lang w:val="en-GB"/>
        </w:rPr>
        <w:t>1</w:t>
      </w:r>
      <w:r w:rsidRPr="003A6273">
        <w:rPr>
          <w:rFonts w:cs="Times New Roman"/>
          <w:lang w:val="en-GB"/>
        </w:rPr>
        <w:t>, Mari Moora</w:t>
      </w:r>
      <w:r w:rsidRPr="003A6273">
        <w:rPr>
          <w:rFonts w:cs="Times New Roman"/>
          <w:vertAlign w:val="superscript"/>
          <w:lang w:val="en-GB"/>
        </w:rPr>
        <w:t>1</w:t>
      </w:r>
      <w:r w:rsidRPr="003A6273">
        <w:rPr>
          <w:rFonts w:cs="Times New Roman"/>
          <w:lang w:val="en-GB"/>
        </w:rPr>
        <w:t>, Maido Remm</w:t>
      </w:r>
      <w:r w:rsidR="00082859">
        <w:rPr>
          <w:rFonts w:cs="Times New Roman"/>
          <w:vertAlign w:val="superscript"/>
          <w:lang w:val="en-GB"/>
        </w:rPr>
        <w:t>2</w:t>
      </w:r>
      <w:r w:rsidRPr="003A6273">
        <w:rPr>
          <w:rFonts w:cs="Times New Roman"/>
          <w:lang w:val="en-GB"/>
        </w:rPr>
        <w:t xml:space="preserve">, </w:t>
      </w:r>
      <w:r w:rsidR="00082859">
        <w:rPr>
          <w:rFonts w:cs="Times New Roman"/>
          <w:lang w:val="en-GB"/>
        </w:rPr>
        <w:t>J. Peter W. Young</w:t>
      </w:r>
      <w:r w:rsidR="00B576FE">
        <w:rPr>
          <w:rFonts w:cs="Times New Roman"/>
          <w:vertAlign w:val="superscript"/>
          <w:lang w:val="en-GB"/>
        </w:rPr>
        <w:t>4</w:t>
      </w:r>
      <w:r w:rsidR="00082859">
        <w:rPr>
          <w:rFonts w:cs="Times New Roman"/>
          <w:lang w:val="en-GB"/>
        </w:rPr>
        <w:t xml:space="preserve">, </w:t>
      </w:r>
      <w:r w:rsidR="00082859" w:rsidRPr="003A6273">
        <w:rPr>
          <w:rFonts w:cs="Times New Roman"/>
          <w:lang w:val="en-GB"/>
        </w:rPr>
        <w:t>Martin Zobel</w:t>
      </w:r>
      <w:r w:rsidR="00082859" w:rsidRPr="003A6273">
        <w:rPr>
          <w:rFonts w:cs="Times New Roman"/>
          <w:vertAlign w:val="superscript"/>
          <w:lang w:val="en-GB"/>
        </w:rPr>
        <w:t>1</w:t>
      </w:r>
      <w:r w:rsidR="00082859" w:rsidRPr="003A6273">
        <w:rPr>
          <w:rFonts w:cs="Times New Roman"/>
          <w:lang w:val="en-GB"/>
        </w:rPr>
        <w:t xml:space="preserve">, </w:t>
      </w:r>
      <w:r w:rsidR="00082859">
        <w:rPr>
          <w:rFonts w:cs="Times New Roman"/>
          <w:lang w:val="en-GB"/>
        </w:rPr>
        <w:t>M</w:t>
      </w:r>
      <w:r w:rsidRPr="003A6273">
        <w:rPr>
          <w:rFonts w:cs="Times New Roman"/>
          <w:lang w:val="en-GB"/>
        </w:rPr>
        <w:t>aarja Öpik</w:t>
      </w:r>
      <w:r w:rsidR="005C7ED7" w:rsidRPr="003A6273">
        <w:rPr>
          <w:rFonts w:cs="Times New Roman"/>
          <w:vertAlign w:val="superscript"/>
          <w:lang w:val="en-GB"/>
        </w:rPr>
        <w:t>1</w:t>
      </w:r>
    </w:p>
    <w:p w:rsidR="00D22208" w:rsidRPr="003A6273" w:rsidRDefault="00D22208" w:rsidP="00F947E8">
      <w:pPr>
        <w:spacing w:line="360" w:lineRule="auto"/>
        <w:rPr>
          <w:rFonts w:cs="Times New Roman"/>
          <w:lang w:val="en-GB"/>
        </w:rPr>
      </w:pPr>
    </w:p>
    <w:p w:rsidR="008A40B0" w:rsidRPr="003A6273" w:rsidRDefault="00D22208" w:rsidP="00082859">
      <w:pPr>
        <w:spacing w:line="360" w:lineRule="auto"/>
        <w:rPr>
          <w:rFonts w:cs="Times New Roman"/>
          <w:lang w:val="en-GB"/>
        </w:rPr>
      </w:pPr>
      <w:r w:rsidRPr="003A6273">
        <w:rPr>
          <w:rFonts w:cs="Times New Roman"/>
          <w:vertAlign w:val="superscript"/>
          <w:lang w:val="en-GB"/>
        </w:rPr>
        <w:t>1</w:t>
      </w:r>
      <w:r w:rsidRPr="003A6273">
        <w:rPr>
          <w:rFonts w:cs="Times New Roman"/>
          <w:lang w:val="en-GB"/>
        </w:rPr>
        <w:t xml:space="preserve"> Department of Botany, University of Tartu, 40 Lai Str., 51005 Tartu, Estonia</w:t>
      </w:r>
    </w:p>
    <w:p w:rsidR="00B576FE" w:rsidRPr="00B576FE" w:rsidRDefault="00082859" w:rsidP="00B576FE">
      <w:pPr>
        <w:spacing w:line="360" w:lineRule="auto"/>
        <w:rPr>
          <w:rFonts w:cs="Times New Roman"/>
          <w:lang w:val="en-GB"/>
        </w:rPr>
      </w:pPr>
      <w:r>
        <w:rPr>
          <w:rFonts w:cs="Times New Roman"/>
          <w:vertAlign w:val="superscript"/>
          <w:lang w:val="en-GB"/>
        </w:rPr>
        <w:t>2</w:t>
      </w:r>
      <w:r w:rsidR="00D22208" w:rsidRPr="003A6273">
        <w:rPr>
          <w:rFonts w:cs="Times New Roman"/>
          <w:lang w:val="en-GB"/>
        </w:rPr>
        <w:t xml:space="preserve"> </w:t>
      </w:r>
      <w:r w:rsidR="00D4309F">
        <w:rPr>
          <w:rFonts w:cs="Times New Roman"/>
          <w:lang w:val="en-GB"/>
        </w:rPr>
        <w:t xml:space="preserve">Institute of Molecular and Cell Biology, University of Tartu, </w:t>
      </w:r>
      <w:r w:rsidR="005F658E" w:rsidRPr="003A6273">
        <w:rPr>
          <w:rFonts w:cs="Times New Roman"/>
          <w:lang w:val="en-GB"/>
        </w:rPr>
        <w:t>23b Riia Str., 51010 Tartu, Estonia</w:t>
      </w:r>
    </w:p>
    <w:p w:rsidR="00B576FE" w:rsidRPr="003A6273" w:rsidRDefault="00B576FE" w:rsidP="00B576FE">
      <w:pPr>
        <w:spacing w:line="360" w:lineRule="auto"/>
        <w:rPr>
          <w:rFonts w:cs="Times New Roman"/>
          <w:lang w:val="en-GB"/>
        </w:rPr>
      </w:pPr>
      <w:r>
        <w:rPr>
          <w:rFonts w:cs="Times New Roman"/>
          <w:vertAlign w:val="superscript"/>
          <w:lang w:val="en-GB"/>
        </w:rPr>
        <w:t>3</w:t>
      </w:r>
      <w:r w:rsidRPr="003A6273">
        <w:rPr>
          <w:rFonts w:cs="Times New Roman"/>
          <w:lang w:val="en-GB"/>
        </w:rPr>
        <w:t xml:space="preserve"> </w:t>
      </w:r>
      <w:r w:rsidRPr="00B576FE">
        <w:rPr>
          <w:rFonts w:cs="Times New Roman"/>
          <w:lang w:val="en-GB"/>
        </w:rPr>
        <w:t>Estonian Biocentre, 23b Riia Str., 51010 Tartu, Estonia</w:t>
      </w:r>
    </w:p>
    <w:p w:rsidR="00D22208" w:rsidRDefault="00B576FE" w:rsidP="00F947E8">
      <w:pPr>
        <w:spacing w:line="360" w:lineRule="auto"/>
        <w:rPr>
          <w:rFonts w:cs="Times New Roman"/>
          <w:lang w:val="en-GB"/>
        </w:rPr>
      </w:pPr>
      <w:r>
        <w:rPr>
          <w:rFonts w:cs="Times New Roman"/>
          <w:vertAlign w:val="superscript"/>
          <w:lang w:val="en-GB"/>
        </w:rPr>
        <w:t>4</w:t>
      </w:r>
      <w:r w:rsidR="005C7ED7" w:rsidRPr="003A6273">
        <w:rPr>
          <w:rFonts w:cs="Times New Roman"/>
          <w:lang w:val="en-GB"/>
        </w:rPr>
        <w:t xml:space="preserve"> </w:t>
      </w:r>
      <w:r w:rsidR="005C7ED7">
        <w:rPr>
          <w:rFonts w:cs="Times New Roman"/>
          <w:lang w:val="en-GB"/>
        </w:rPr>
        <w:t xml:space="preserve">Department of Biology, University of York, </w:t>
      </w:r>
      <w:r w:rsidR="002A7CDE">
        <w:rPr>
          <w:rFonts w:cs="Times New Roman"/>
          <w:lang w:val="en-GB"/>
        </w:rPr>
        <w:t>York YO10 5</w:t>
      </w:r>
      <w:r w:rsidR="0002522C">
        <w:rPr>
          <w:rFonts w:cs="Times New Roman"/>
          <w:lang w:val="en-GB"/>
        </w:rPr>
        <w:t>DD</w:t>
      </w:r>
      <w:r w:rsidR="005C7ED7">
        <w:rPr>
          <w:rFonts w:cs="Times New Roman"/>
          <w:lang w:val="en-GB"/>
        </w:rPr>
        <w:t>, United Kingdom</w:t>
      </w:r>
    </w:p>
    <w:p w:rsidR="005C7ED7" w:rsidRPr="003A6273" w:rsidRDefault="005C7ED7" w:rsidP="00F947E8">
      <w:pPr>
        <w:spacing w:line="360" w:lineRule="auto"/>
        <w:rPr>
          <w:rFonts w:cs="Times New Roman"/>
          <w:lang w:val="en-GB"/>
        </w:rPr>
      </w:pPr>
    </w:p>
    <w:p w:rsidR="00D22208" w:rsidRDefault="00D22208" w:rsidP="00F947E8">
      <w:pPr>
        <w:spacing w:line="360" w:lineRule="auto"/>
        <w:rPr>
          <w:rFonts w:cs="Times New Roman"/>
          <w:lang w:val="en-GB"/>
        </w:rPr>
      </w:pPr>
      <w:r w:rsidRPr="003A6273">
        <w:rPr>
          <w:rFonts w:cs="Times New Roman"/>
          <w:lang w:val="en-GB"/>
        </w:rPr>
        <w:t xml:space="preserve">Corresponding author: Martti Vasar, Department of Botany, Institute of Ecology and Earth Sciences, University of Tartu, 40 Lai St., 51005 Tartu, Estonia. Tel: +372 737 6224, Fax: +372 737 6380, e-mail: </w:t>
      </w:r>
      <w:hyperlink r:id="rId8" w:history="1">
        <w:r w:rsidR="00F30646" w:rsidRPr="00EF5135">
          <w:rPr>
            <w:rStyle w:val="Hyperlink"/>
            <w:rFonts w:cs="Times New Roman"/>
            <w:lang w:val="en-GB"/>
          </w:rPr>
          <w:t>martti.vasar@ut.ee</w:t>
        </w:r>
      </w:hyperlink>
    </w:p>
    <w:p w:rsidR="00F30646" w:rsidRPr="00B46784" w:rsidRDefault="00F30646" w:rsidP="00F30646">
      <w:pPr>
        <w:spacing w:line="360" w:lineRule="auto"/>
        <w:rPr>
          <w:lang w:val="en-GB"/>
        </w:rPr>
      </w:pPr>
    </w:p>
    <w:p w:rsidR="00F30646" w:rsidRDefault="00F30646" w:rsidP="00F30646">
      <w:pPr>
        <w:spacing w:line="360" w:lineRule="auto"/>
        <w:rPr>
          <w:b/>
          <w:lang w:val="en-GB"/>
        </w:rPr>
      </w:pPr>
    </w:p>
    <w:p w:rsidR="00F30646" w:rsidRPr="002F71FB" w:rsidRDefault="00F30646" w:rsidP="00F30646">
      <w:pPr>
        <w:spacing w:line="360" w:lineRule="auto"/>
        <w:rPr>
          <w:b/>
          <w:lang w:val="en-GB"/>
        </w:rPr>
      </w:pPr>
      <w:r w:rsidRPr="002F71FB">
        <w:rPr>
          <w:b/>
          <w:lang w:val="en-GB"/>
        </w:rPr>
        <w:t>Acknowledgements</w:t>
      </w:r>
    </w:p>
    <w:p w:rsidR="00F30646" w:rsidRDefault="00F30646" w:rsidP="00F30646">
      <w:pPr>
        <w:spacing w:line="360" w:lineRule="auto"/>
        <w:rPr>
          <w:rFonts w:cs="Times New Roman"/>
          <w:lang w:val="en-GB"/>
        </w:rPr>
      </w:pPr>
    </w:p>
    <w:p w:rsidR="00D22208" w:rsidRPr="00D25D32" w:rsidRDefault="00F30646" w:rsidP="00064F31">
      <w:pPr>
        <w:spacing w:line="360" w:lineRule="auto"/>
        <w:rPr>
          <w:rFonts w:cs="Times New Roman"/>
          <w:lang w:val="en-GB"/>
        </w:rPr>
      </w:pPr>
      <w:r w:rsidRPr="003A6273">
        <w:rPr>
          <w:rFonts w:cs="Times New Roman"/>
          <w:lang w:val="en-GB"/>
        </w:rPr>
        <w:t xml:space="preserve">This research was funded by </w:t>
      </w:r>
      <w:r w:rsidRPr="003A6273">
        <w:rPr>
          <w:lang w:val="en-GB"/>
        </w:rPr>
        <w:t xml:space="preserve">grants from the Estonian </w:t>
      </w:r>
      <w:r>
        <w:rPr>
          <w:lang w:val="en-GB"/>
        </w:rPr>
        <w:t>Research Council</w:t>
      </w:r>
      <w:r w:rsidRPr="003A6273">
        <w:rPr>
          <w:lang w:val="en-GB"/>
        </w:rPr>
        <w:t xml:space="preserve"> (</w:t>
      </w:r>
      <w:r>
        <w:rPr>
          <w:lang w:val="en-GB"/>
        </w:rPr>
        <w:t xml:space="preserve">grant IUT </w:t>
      </w:r>
      <w:r w:rsidRPr="003A6273">
        <w:rPr>
          <w:lang w:val="en-GB"/>
        </w:rPr>
        <w:t>20-28)</w:t>
      </w:r>
      <w:r>
        <w:rPr>
          <w:lang w:val="en-GB"/>
        </w:rPr>
        <w:t xml:space="preserve">, the European Regional Development Fund (Centre of Excellence EcolChange) and </w:t>
      </w:r>
      <w:r w:rsidRPr="002267D4">
        <w:rPr>
          <w:lang w:val="en-GB"/>
        </w:rPr>
        <w:t>ERA</w:t>
      </w:r>
      <w:r w:rsidRPr="00F41C4E">
        <w:rPr>
          <w:lang w:val="en-GB"/>
        </w:rPr>
        <w:t>-NET Cofund Bi</w:t>
      </w:r>
      <w:r w:rsidR="00474AA0" w:rsidRPr="00F41C4E">
        <w:rPr>
          <w:lang w:val="en-GB"/>
        </w:rPr>
        <w:t>odiv</w:t>
      </w:r>
      <w:r w:rsidRPr="00F41C4E">
        <w:rPr>
          <w:lang w:val="en-GB"/>
        </w:rPr>
        <w:t>ER</w:t>
      </w:r>
      <w:r w:rsidR="00474AA0" w:rsidRPr="00F41C4E">
        <w:rPr>
          <w:lang w:val="en-GB"/>
        </w:rPr>
        <w:t>s</w:t>
      </w:r>
      <w:r w:rsidRPr="00F41C4E">
        <w:rPr>
          <w:lang w:val="en-GB"/>
        </w:rPr>
        <w:t>A</w:t>
      </w:r>
      <w:r w:rsidR="00474AA0" w:rsidRPr="00F41C4E">
        <w:rPr>
          <w:lang w:val="en-GB"/>
        </w:rPr>
        <w:t xml:space="preserve"> project SoilMan</w:t>
      </w:r>
      <w:r w:rsidRPr="003A6273">
        <w:rPr>
          <w:rFonts w:cs="Times New Roman"/>
          <w:lang w:val="en-GB"/>
        </w:rPr>
        <w:t>.</w:t>
      </w:r>
      <w:r w:rsidR="00FF3DAE">
        <w:rPr>
          <w:rFonts w:cs="Times New Roman"/>
          <w:lang w:val="en-GB"/>
        </w:rPr>
        <w:t xml:space="preserve"> Preparatory procedures for 454 </w:t>
      </w:r>
      <w:r w:rsidRPr="003A6273">
        <w:rPr>
          <w:rFonts w:cs="Times New Roman"/>
          <w:lang w:val="en-GB"/>
        </w:rPr>
        <w:t>sequencing were performed by BiotaP Ltd. (Tal</w:t>
      </w:r>
      <w:r>
        <w:rPr>
          <w:rFonts w:cs="Times New Roman"/>
          <w:lang w:val="en-GB"/>
        </w:rPr>
        <w:t xml:space="preserve">linn, Estonia). </w:t>
      </w:r>
      <w:r w:rsidR="00DE240F" w:rsidRPr="00DE240F">
        <w:rPr>
          <w:rFonts w:cs="Times New Roman"/>
          <w:lang w:val="en-GB"/>
        </w:rPr>
        <w:t xml:space="preserve">RA and MR were supported by the EU ERDF through </w:t>
      </w:r>
      <w:r w:rsidR="0095359F">
        <w:rPr>
          <w:rFonts w:cs="Times New Roman"/>
          <w:lang w:val="en-GB"/>
        </w:rPr>
        <w:t xml:space="preserve">the </w:t>
      </w:r>
      <w:r w:rsidR="00DE240F" w:rsidRPr="00DE240F">
        <w:rPr>
          <w:rFonts w:cs="Times New Roman"/>
          <w:lang w:val="en-GB"/>
        </w:rPr>
        <w:t>Estonian Centre of Excellence in Genomics and Translational Medicine (project No. 2014-2020.4.01.15-0012) and by the Estonian Ministry of Education and Research (institutional grant IUT34-11).</w:t>
      </w:r>
      <w:r w:rsidR="00DE240F">
        <w:rPr>
          <w:rFonts w:cs="Times New Roman"/>
          <w:lang w:val="en-GB"/>
        </w:rPr>
        <w:t xml:space="preserve"> </w:t>
      </w:r>
      <w:r w:rsidR="009B2B36">
        <w:rPr>
          <w:rFonts w:cs="Times New Roman"/>
          <w:lang w:val="en-GB"/>
        </w:rPr>
        <w:t>We are grateful to</w:t>
      </w:r>
      <w:r w:rsidR="0095359F">
        <w:rPr>
          <w:rFonts w:cs="Times New Roman"/>
          <w:lang w:val="en-GB"/>
        </w:rPr>
        <w:t xml:space="preserve"> the</w:t>
      </w:r>
      <w:r w:rsidR="009B2B36">
        <w:rPr>
          <w:rFonts w:cs="Times New Roman"/>
          <w:lang w:val="en-GB"/>
        </w:rPr>
        <w:t xml:space="preserve"> Estonian Genome Centre for technical support.</w:t>
      </w:r>
      <w:r w:rsidR="00D22208" w:rsidRPr="003A6273">
        <w:rPr>
          <w:rFonts w:cs="Times New Roman"/>
          <w:lang w:val="en-GB"/>
        </w:rPr>
        <w:br w:type="page"/>
      </w:r>
      <w:r w:rsidR="00D22208" w:rsidRPr="003A6273">
        <w:rPr>
          <w:rFonts w:cs="Times New Roman"/>
          <w:b/>
          <w:lang w:val="en-GB"/>
        </w:rPr>
        <w:lastRenderedPageBreak/>
        <w:t>Abstract</w:t>
      </w:r>
    </w:p>
    <w:p w:rsidR="00D5111F" w:rsidRDefault="00D5111F" w:rsidP="00064F31">
      <w:pPr>
        <w:spacing w:line="360" w:lineRule="auto"/>
        <w:rPr>
          <w:rFonts w:cs="Times New Roman"/>
          <w:lang w:val="en-GB"/>
        </w:rPr>
      </w:pPr>
    </w:p>
    <w:p w:rsidR="00416765" w:rsidRDefault="00D5111F" w:rsidP="00064F31">
      <w:pPr>
        <w:spacing w:line="360" w:lineRule="auto"/>
        <w:rPr>
          <w:rFonts w:cs="Times New Roman"/>
          <w:lang w:val="en-GB"/>
        </w:rPr>
      </w:pPr>
      <w:r w:rsidRPr="00D5111F">
        <w:rPr>
          <w:rFonts w:cs="Times New Roman"/>
          <w:lang w:val="en-GB"/>
        </w:rPr>
        <w:t>The arrival of 454 sequencing represented a major breakthrough by allowing deeper sequencing of environmental samples</w:t>
      </w:r>
      <w:r w:rsidR="00016789">
        <w:rPr>
          <w:rFonts w:cs="Times New Roman"/>
          <w:lang w:val="en-GB"/>
        </w:rPr>
        <w:t xml:space="preserve"> </w:t>
      </w:r>
      <w:r w:rsidR="00016789" w:rsidRPr="005878BA">
        <w:rPr>
          <w:rStyle w:val="ResponseChar"/>
        </w:rPr>
        <w:t>than</w:t>
      </w:r>
      <w:r w:rsidR="0095359F" w:rsidRPr="005878BA">
        <w:rPr>
          <w:rStyle w:val="ResponseChar"/>
        </w:rPr>
        <w:t xml:space="preserve"> was</w:t>
      </w:r>
      <w:r w:rsidR="00690C03" w:rsidRPr="005878BA">
        <w:rPr>
          <w:rStyle w:val="ResponseChar"/>
        </w:rPr>
        <w:t xml:space="preserve"> possible with existing</w:t>
      </w:r>
      <w:r w:rsidR="00016789" w:rsidRPr="005878BA">
        <w:rPr>
          <w:rStyle w:val="ResponseChar"/>
        </w:rPr>
        <w:t xml:space="preserve"> Sanger </w:t>
      </w:r>
      <w:r w:rsidR="00690C03" w:rsidRPr="005878BA">
        <w:rPr>
          <w:rStyle w:val="ResponseChar"/>
        </w:rPr>
        <w:t>approaches</w:t>
      </w:r>
      <w:r w:rsidRPr="00D5111F">
        <w:rPr>
          <w:rFonts w:cs="Times New Roman"/>
          <w:lang w:val="en-GB"/>
        </w:rPr>
        <w:t>. Illumina MiSeq provides a further increase in sequencing depth but shorter read length compared with 454 sequencing. We explored whether Illumina sequencing improves estimates of arbuscular mycorrhizal (AM) fungal richness in plant root samples, compared with 454 sequencing.</w:t>
      </w:r>
      <w:r>
        <w:rPr>
          <w:rFonts w:cs="Times New Roman"/>
          <w:lang w:val="en-GB"/>
        </w:rPr>
        <w:t xml:space="preserve"> </w:t>
      </w:r>
      <w:r w:rsidR="002C124E" w:rsidRPr="002C124E">
        <w:rPr>
          <w:rFonts w:cs="Times New Roman"/>
          <w:lang w:val="en-GB"/>
        </w:rPr>
        <w:t>We identified AM</w:t>
      </w:r>
      <w:r w:rsidR="00E45361">
        <w:rPr>
          <w:rFonts w:cs="Times New Roman"/>
          <w:lang w:val="en-GB"/>
        </w:rPr>
        <w:t xml:space="preserve"> </w:t>
      </w:r>
      <w:r w:rsidR="00E45361" w:rsidRPr="005878BA">
        <w:rPr>
          <w:rStyle w:val="ResponseChar"/>
        </w:rPr>
        <w:t>fungi</w:t>
      </w:r>
      <w:r w:rsidR="002C124E" w:rsidRPr="002C124E">
        <w:rPr>
          <w:rFonts w:cs="Times New Roman"/>
          <w:lang w:val="en-GB"/>
        </w:rPr>
        <w:t xml:space="preserve"> in root sample</w:t>
      </w:r>
      <w:r w:rsidR="00FD05EE">
        <w:rPr>
          <w:rFonts w:cs="Times New Roman"/>
          <w:lang w:val="en-GB"/>
        </w:rPr>
        <w:t xml:space="preserve">s by sequencing </w:t>
      </w:r>
      <w:r w:rsidR="002C124E" w:rsidRPr="002C124E">
        <w:rPr>
          <w:rFonts w:cs="Times New Roman"/>
          <w:lang w:val="en-GB"/>
        </w:rPr>
        <w:t>amplicon</w:t>
      </w:r>
      <w:r w:rsidR="00C5063D">
        <w:rPr>
          <w:rFonts w:cs="Times New Roman"/>
          <w:lang w:val="en-GB"/>
        </w:rPr>
        <w:t>s</w:t>
      </w:r>
      <w:r w:rsidR="002C124E" w:rsidRPr="002C124E">
        <w:rPr>
          <w:rFonts w:cs="Times New Roman"/>
          <w:lang w:val="en-GB"/>
        </w:rPr>
        <w:t xml:space="preserve"> of the </w:t>
      </w:r>
      <w:r w:rsidR="00E57963">
        <w:rPr>
          <w:rFonts w:cs="Times New Roman"/>
          <w:lang w:val="en-GB"/>
        </w:rPr>
        <w:t>S</w:t>
      </w:r>
      <w:r w:rsidR="002C124E" w:rsidRPr="002C124E">
        <w:rPr>
          <w:rFonts w:cs="Times New Roman"/>
          <w:lang w:val="en-GB"/>
        </w:rPr>
        <w:t>S</w:t>
      </w:r>
      <w:r w:rsidR="00E57963">
        <w:rPr>
          <w:rFonts w:cs="Times New Roman"/>
          <w:lang w:val="en-GB"/>
        </w:rPr>
        <w:t>U</w:t>
      </w:r>
      <w:r w:rsidR="00FF3DAE">
        <w:rPr>
          <w:rFonts w:cs="Times New Roman"/>
          <w:lang w:val="en-GB"/>
        </w:rPr>
        <w:t xml:space="preserve"> rRNA gene with 454 </w:t>
      </w:r>
      <w:r w:rsidR="002C124E" w:rsidRPr="002C124E">
        <w:rPr>
          <w:rFonts w:cs="Times New Roman"/>
          <w:lang w:val="en-GB"/>
        </w:rPr>
        <w:t xml:space="preserve">and Illumina MiSeq paired-end sequencing. In addition, we sequenced metagenomic DNA without prior PCR amplification. Amplicon-based Illumina sequencing yielded two orders of magnitude higher sequencing depth per sample </w:t>
      </w:r>
      <w:r w:rsidR="005C78B2" w:rsidRPr="005878BA">
        <w:rPr>
          <w:rStyle w:val="ResponseChar"/>
        </w:rPr>
        <w:t>than</w:t>
      </w:r>
      <w:r w:rsidR="005878BA">
        <w:rPr>
          <w:rFonts w:cs="Times New Roman"/>
          <w:lang w:val="en-GB"/>
        </w:rPr>
        <w:t xml:space="preserve"> </w:t>
      </w:r>
      <w:r w:rsidR="002C124E" w:rsidRPr="002C124E">
        <w:rPr>
          <w:rFonts w:cs="Times New Roman"/>
          <w:lang w:val="en-GB"/>
        </w:rPr>
        <w:t>454</w:t>
      </w:r>
      <w:r w:rsidR="00FF3DAE">
        <w:rPr>
          <w:rFonts w:cs="Times New Roman"/>
          <w:lang w:val="en-GB"/>
        </w:rPr>
        <w:t xml:space="preserve"> </w:t>
      </w:r>
      <w:r w:rsidR="002C124E" w:rsidRPr="002C124E">
        <w:rPr>
          <w:rFonts w:cs="Times New Roman"/>
          <w:lang w:val="en-GB"/>
        </w:rPr>
        <w:t xml:space="preserve">sequencing. Initial analysis with minimal quality control </w:t>
      </w:r>
      <w:r w:rsidR="005C78B2" w:rsidRPr="005878BA">
        <w:rPr>
          <w:rStyle w:val="ResponseChar"/>
        </w:rPr>
        <w:t>recorded</w:t>
      </w:r>
      <w:r w:rsidR="002C124E" w:rsidRPr="002C124E">
        <w:rPr>
          <w:rFonts w:cs="Times New Roman"/>
          <w:lang w:val="en-GB"/>
        </w:rPr>
        <w:t xml:space="preserve"> five times higher AM</w:t>
      </w:r>
      <w:r w:rsidR="00E45361">
        <w:rPr>
          <w:rFonts w:cs="Times New Roman"/>
          <w:lang w:val="en-GB"/>
        </w:rPr>
        <w:t xml:space="preserve"> </w:t>
      </w:r>
      <w:r w:rsidR="00E45361" w:rsidRPr="005878BA">
        <w:rPr>
          <w:rStyle w:val="ResponseChar"/>
        </w:rPr>
        <w:t>fungal</w:t>
      </w:r>
      <w:r w:rsidR="002C124E" w:rsidRPr="002C124E">
        <w:rPr>
          <w:rFonts w:cs="Times New Roman"/>
          <w:lang w:val="en-GB"/>
        </w:rPr>
        <w:t xml:space="preserve"> richness </w:t>
      </w:r>
      <w:r w:rsidR="00C64238">
        <w:rPr>
          <w:rFonts w:cs="Times New Roman"/>
          <w:lang w:val="en-GB"/>
        </w:rPr>
        <w:t xml:space="preserve">per sample </w:t>
      </w:r>
      <w:r w:rsidR="005C78B2" w:rsidRPr="005878BA">
        <w:rPr>
          <w:rStyle w:val="ResponseChar"/>
        </w:rPr>
        <w:t>with</w:t>
      </w:r>
      <w:r w:rsidR="005C78B2" w:rsidRPr="002C124E">
        <w:rPr>
          <w:rFonts w:cs="Times New Roman"/>
          <w:lang w:val="en-GB"/>
        </w:rPr>
        <w:t xml:space="preserve"> </w:t>
      </w:r>
      <w:r w:rsidR="002C124E" w:rsidRPr="002C124E">
        <w:rPr>
          <w:rFonts w:cs="Times New Roman"/>
          <w:lang w:val="en-GB"/>
        </w:rPr>
        <w:t>Illumina sequencing. Additional quality control</w:t>
      </w:r>
      <w:r w:rsidR="00C64A90">
        <w:rPr>
          <w:rFonts w:cs="Times New Roman"/>
          <w:lang w:val="en-GB"/>
        </w:rPr>
        <w:t xml:space="preserve"> of Illumina samples, including restriction of the </w:t>
      </w:r>
      <w:r w:rsidR="002C124E" w:rsidRPr="002C124E">
        <w:rPr>
          <w:rFonts w:cs="Times New Roman"/>
          <w:lang w:val="en-GB"/>
        </w:rPr>
        <w:t xml:space="preserve">marker region to the most variable </w:t>
      </w:r>
      <w:r w:rsidR="005C78B2" w:rsidRPr="005878BA">
        <w:rPr>
          <w:rStyle w:val="ResponseChar"/>
        </w:rPr>
        <w:t>amplicon</w:t>
      </w:r>
      <w:r w:rsidR="005C78B2">
        <w:rPr>
          <w:rFonts w:cs="Times New Roman"/>
          <w:lang w:val="en-GB"/>
        </w:rPr>
        <w:t xml:space="preserve"> </w:t>
      </w:r>
      <w:r w:rsidR="002C124E" w:rsidRPr="002C124E">
        <w:rPr>
          <w:rFonts w:cs="Times New Roman"/>
          <w:lang w:val="en-GB"/>
        </w:rPr>
        <w:t>fragment</w:t>
      </w:r>
      <w:r w:rsidR="00C64A90">
        <w:rPr>
          <w:rFonts w:cs="Times New Roman"/>
          <w:lang w:val="en-GB"/>
        </w:rPr>
        <w:t>,</w:t>
      </w:r>
      <w:r w:rsidR="00C64238">
        <w:rPr>
          <w:rFonts w:cs="Times New Roman"/>
          <w:lang w:val="en-GB"/>
        </w:rPr>
        <w:t xml:space="preserve"> </w:t>
      </w:r>
      <w:r w:rsidR="002C124E" w:rsidRPr="002C124E">
        <w:rPr>
          <w:rFonts w:cs="Times New Roman"/>
          <w:lang w:val="en-GB"/>
        </w:rPr>
        <w:t>revealed AM</w:t>
      </w:r>
      <w:r w:rsidR="005878BA">
        <w:rPr>
          <w:rFonts w:cs="Times New Roman"/>
          <w:lang w:val="en-GB"/>
        </w:rPr>
        <w:t xml:space="preserve"> </w:t>
      </w:r>
      <w:r w:rsidR="00E45361" w:rsidRPr="005878BA">
        <w:rPr>
          <w:rStyle w:val="ResponseChar"/>
        </w:rPr>
        <w:t>fungal</w:t>
      </w:r>
      <w:r w:rsidR="002C124E" w:rsidRPr="002C124E">
        <w:rPr>
          <w:rFonts w:cs="Times New Roman"/>
          <w:lang w:val="en-GB"/>
        </w:rPr>
        <w:t xml:space="preserve"> richness</w:t>
      </w:r>
      <w:r w:rsidR="00C64A90">
        <w:rPr>
          <w:rFonts w:cs="Times New Roman"/>
          <w:lang w:val="en-GB"/>
        </w:rPr>
        <w:t xml:space="preserve"> values close to those produced by 454 sequencing</w:t>
      </w:r>
      <w:r w:rsidR="002C124E" w:rsidRPr="002C124E">
        <w:rPr>
          <w:rFonts w:cs="Times New Roman"/>
          <w:lang w:val="en-GB"/>
        </w:rPr>
        <w:t>. Furthermore, AM</w:t>
      </w:r>
      <w:r w:rsidR="00E45361">
        <w:rPr>
          <w:rFonts w:cs="Times New Roman"/>
          <w:lang w:val="en-GB"/>
        </w:rPr>
        <w:t xml:space="preserve"> </w:t>
      </w:r>
      <w:r w:rsidR="00E45361" w:rsidRPr="005878BA">
        <w:rPr>
          <w:rStyle w:val="ResponseChar"/>
        </w:rPr>
        <w:t>fungal</w:t>
      </w:r>
      <w:r w:rsidR="002C124E" w:rsidRPr="002C124E">
        <w:rPr>
          <w:rFonts w:cs="Times New Roman"/>
          <w:lang w:val="en-GB"/>
        </w:rPr>
        <w:t xml:space="preserve"> richness estimates were not </w:t>
      </w:r>
      <w:r w:rsidR="005C78B2" w:rsidRPr="005878BA">
        <w:rPr>
          <w:rStyle w:val="ResponseChar"/>
        </w:rPr>
        <w:t>cor</w:t>
      </w:r>
      <w:r w:rsidR="002C124E" w:rsidRPr="005878BA">
        <w:rPr>
          <w:rStyle w:val="ResponseChar"/>
        </w:rPr>
        <w:t xml:space="preserve">related </w:t>
      </w:r>
      <w:r w:rsidR="005C78B2" w:rsidRPr="005878BA">
        <w:rPr>
          <w:rStyle w:val="ResponseChar"/>
        </w:rPr>
        <w:t>with</w:t>
      </w:r>
      <w:r w:rsidR="005C78B2" w:rsidRPr="002C124E">
        <w:rPr>
          <w:rFonts w:cs="Times New Roman"/>
          <w:lang w:val="en-GB"/>
        </w:rPr>
        <w:t xml:space="preserve"> </w:t>
      </w:r>
      <w:r w:rsidR="002C124E" w:rsidRPr="002C124E">
        <w:rPr>
          <w:rFonts w:cs="Times New Roman"/>
          <w:lang w:val="en-GB"/>
        </w:rPr>
        <w:t>sequencing depth between 300 and 30 000 reads</w:t>
      </w:r>
      <w:r w:rsidR="00C64238">
        <w:rPr>
          <w:rFonts w:cs="Times New Roman"/>
          <w:lang w:val="en-GB"/>
        </w:rPr>
        <w:t xml:space="preserve"> per sample</w:t>
      </w:r>
      <w:r w:rsidR="002C124E" w:rsidRPr="002C124E">
        <w:rPr>
          <w:rFonts w:cs="Times New Roman"/>
          <w:lang w:val="en-GB"/>
        </w:rPr>
        <w:t>, suggesting that the lower end of this range is sufficient for adequate description of AM</w:t>
      </w:r>
      <w:r w:rsidR="00E45361">
        <w:rPr>
          <w:rFonts w:cs="Times New Roman"/>
          <w:lang w:val="en-GB"/>
        </w:rPr>
        <w:t xml:space="preserve"> </w:t>
      </w:r>
      <w:r w:rsidR="00E45361" w:rsidRPr="005878BA">
        <w:rPr>
          <w:rStyle w:val="ResponseChar"/>
        </w:rPr>
        <w:t>fungal</w:t>
      </w:r>
      <w:r w:rsidR="002C124E" w:rsidRPr="002C124E">
        <w:rPr>
          <w:rFonts w:cs="Times New Roman"/>
          <w:lang w:val="en-GB"/>
        </w:rPr>
        <w:t xml:space="preserve"> communities. By contrast, metagenomic Illumina sequencing yielded very few AM</w:t>
      </w:r>
      <w:r w:rsidR="005878BA">
        <w:rPr>
          <w:rFonts w:cs="Times New Roman"/>
          <w:lang w:val="en-GB"/>
        </w:rPr>
        <w:t xml:space="preserve"> </w:t>
      </w:r>
      <w:r w:rsidR="00E45361" w:rsidRPr="005878BA">
        <w:rPr>
          <w:rStyle w:val="ResponseChar"/>
        </w:rPr>
        <w:t>fungal</w:t>
      </w:r>
      <w:r w:rsidR="002C124E" w:rsidRPr="002C124E">
        <w:rPr>
          <w:rFonts w:cs="Times New Roman"/>
          <w:lang w:val="en-GB"/>
        </w:rPr>
        <w:t xml:space="preserve"> reads and taxa and was dominated by plant DNA, suggesting that AM</w:t>
      </w:r>
      <w:r w:rsidR="005878BA">
        <w:rPr>
          <w:rFonts w:cs="Times New Roman"/>
          <w:lang w:val="en-GB"/>
        </w:rPr>
        <w:t xml:space="preserve"> </w:t>
      </w:r>
      <w:r w:rsidR="00E45361" w:rsidRPr="005878BA">
        <w:rPr>
          <w:rStyle w:val="ResponseChar"/>
        </w:rPr>
        <w:t>fungal</w:t>
      </w:r>
      <w:r w:rsidR="002C124E" w:rsidRPr="002C124E">
        <w:rPr>
          <w:rFonts w:cs="Times New Roman"/>
          <w:lang w:val="en-GB"/>
        </w:rPr>
        <w:t xml:space="preserve"> DNA is present at </w:t>
      </w:r>
      <w:r>
        <w:rPr>
          <w:rFonts w:cs="Times New Roman"/>
          <w:lang w:val="en-GB"/>
        </w:rPr>
        <w:t xml:space="preserve">prohibitively low </w:t>
      </w:r>
      <w:r w:rsidR="002C124E" w:rsidRPr="002C124E">
        <w:rPr>
          <w:rFonts w:cs="Times New Roman"/>
          <w:lang w:val="en-GB"/>
        </w:rPr>
        <w:t>abundance in colonised root samples. In conclusion, Illumina MiSeq sequencing yielded higher sequencing depth, but similar richness of AM</w:t>
      </w:r>
      <w:r w:rsidR="00E45361">
        <w:rPr>
          <w:rFonts w:cs="Times New Roman"/>
          <w:lang w:val="en-GB"/>
        </w:rPr>
        <w:t xml:space="preserve"> </w:t>
      </w:r>
      <w:r w:rsidR="00E45361" w:rsidRPr="005878BA">
        <w:rPr>
          <w:rStyle w:val="ResponseChar"/>
        </w:rPr>
        <w:t>fungi</w:t>
      </w:r>
      <w:r w:rsidR="002C124E" w:rsidRPr="002C124E">
        <w:rPr>
          <w:rFonts w:cs="Times New Roman"/>
          <w:lang w:val="en-GB"/>
        </w:rPr>
        <w:t xml:space="preserve"> </w:t>
      </w:r>
      <w:r w:rsidR="00FF3DAE">
        <w:rPr>
          <w:rFonts w:cs="Times New Roman"/>
          <w:lang w:val="en-GB"/>
        </w:rPr>
        <w:t>in root samples</w:t>
      </w:r>
      <w:r w:rsidR="005878BA">
        <w:rPr>
          <w:rFonts w:cs="Times New Roman"/>
          <w:lang w:val="en-GB"/>
        </w:rPr>
        <w:t>,</w:t>
      </w:r>
      <w:r w:rsidR="00FF3DAE">
        <w:rPr>
          <w:rFonts w:cs="Times New Roman"/>
          <w:lang w:val="en-GB"/>
        </w:rPr>
        <w:t xml:space="preserve"> compared </w:t>
      </w:r>
      <w:r w:rsidR="005C78B2" w:rsidRPr="005878BA">
        <w:rPr>
          <w:rStyle w:val="ResponseChar"/>
        </w:rPr>
        <w:t>with</w:t>
      </w:r>
      <w:r w:rsidR="005C78B2">
        <w:rPr>
          <w:rFonts w:cs="Times New Roman"/>
          <w:lang w:val="en-GB"/>
        </w:rPr>
        <w:t xml:space="preserve"> </w:t>
      </w:r>
      <w:r w:rsidR="00FF3DAE">
        <w:rPr>
          <w:rFonts w:cs="Times New Roman"/>
          <w:lang w:val="en-GB"/>
        </w:rPr>
        <w:t xml:space="preserve">454 </w:t>
      </w:r>
      <w:r w:rsidR="002C124E" w:rsidRPr="002C124E">
        <w:rPr>
          <w:rFonts w:cs="Times New Roman"/>
          <w:lang w:val="en-GB"/>
        </w:rPr>
        <w:t>sequencing.</w:t>
      </w:r>
    </w:p>
    <w:p w:rsidR="00416765" w:rsidRPr="003A6273" w:rsidRDefault="00416765" w:rsidP="00064F31">
      <w:pPr>
        <w:spacing w:line="360" w:lineRule="auto"/>
        <w:rPr>
          <w:rFonts w:cs="Times New Roman"/>
          <w:lang w:val="en-GB"/>
        </w:rPr>
      </w:pPr>
    </w:p>
    <w:p w:rsidR="001334CB" w:rsidRDefault="00D22208" w:rsidP="00064F31">
      <w:pPr>
        <w:spacing w:line="360" w:lineRule="auto"/>
        <w:rPr>
          <w:rFonts w:cs="Times New Roman"/>
          <w:lang w:val="en-GB"/>
        </w:rPr>
      </w:pPr>
      <w:r w:rsidRPr="003A6273">
        <w:rPr>
          <w:rFonts w:cs="Times New Roman"/>
          <w:lang w:val="en-GB"/>
        </w:rPr>
        <w:t>Key words: arbuscular mycorrhiza, Illumina sequencing, 454 sequencing, community diversity</w:t>
      </w:r>
      <w:r w:rsidRPr="003A6273">
        <w:rPr>
          <w:rFonts w:cs="Times New Roman"/>
          <w:lang w:val="en-GB"/>
        </w:rPr>
        <w:br w:type="page"/>
      </w:r>
    </w:p>
    <w:p w:rsidR="00D22208" w:rsidRPr="003A6273" w:rsidRDefault="00D22208" w:rsidP="00064F31">
      <w:pPr>
        <w:spacing w:line="360" w:lineRule="auto"/>
        <w:rPr>
          <w:rFonts w:cs="Times New Roman"/>
          <w:b/>
          <w:lang w:val="en-GB"/>
        </w:rPr>
      </w:pPr>
      <w:r w:rsidRPr="003A6273">
        <w:rPr>
          <w:rFonts w:cs="Times New Roman"/>
          <w:b/>
          <w:lang w:val="en-GB"/>
        </w:rPr>
        <w:lastRenderedPageBreak/>
        <w:t>Introduction</w:t>
      </w:r>
    </w:p>
    <w:p w:rsidR="00D22208" w:rsidRPr="003A6273" w:rsidRDefault="00D22208" w:rsidP="00064F31">
      <w:pPr>
        <w:spacing w:line="360" w:lineRule="auto"/>
        <w:rPr>
          <w:rFonts w:cs="Times New Roman"/>
          <w:lang w:val="en-GB"/>
        </w:rPr>
      </w:pPr>
    </w:p>
    <w:p w:rsidR="00D22208" w:rsidRPr="003A6273" w:rsidRDefault="00D22208" w:rsidP="00064F31">
      <w:pPr>
        <w:spacing w:line="360" w:lineRule="auto"/>
        <w:rPr>
          <w:rFonts w:cs="Times New Roman"/>
          <w:lang w:val="en-GB"/>
        </w:rPr>
      </w:pPr>
      <w:r w:rsidRPr="003A6273">
        <w:rPr>
          <w:rFonts w:cs="Times New Roman"/>
          <w:lang w:val="en-GB"/>
        </w:rPr>
        <w:t xml:space="preserve">Arbuscular mycorrhizal </w:t>
      </w:r>
      <w:r w:rsidR="006A77C4" w:rsidRPr="005878BA">
        <w:rPr>
          <w:rStyle w:val="ResponseChar"/>
        </w:rPr>
        <w:t>(AM)</w:t>
      </w:r>
      <w:r w:rsidR="006A77C4">
        <w:rPr>
          <w:rFonts w:cs="Times New Roman"/>
          <w:lang w:val="en-GB"/>
        </w:rPr>
        <w:t xml:space="preserve"> </w:t>
      </w:r>
      <w:r w:rsidRPr="003A6273">
        <w:rPr>
          <w:rFonts w:cs="Times New Roman"/>
          <w:lang w:val="en-GB"/>
        </w:rPr>
        <w:t>fungi (</w:t>
      </w:r>
      <w:r w:rsidR="00D77876">
        <w:rPr>
          <w:rFonts w:cs="Times New Roman"/>
          <w:lang w:val="en-GB"/>
        </w:rPr>
        <w:t xml:space="preserve">Phylum </w:t>
      </w:r>
      <w:r w:rsidR="00685D2F" w:rsidRPr="005878BA">
        <w:rPr>
          <w:rStyle w:val="ResponseChar"/>
        </w:rPr>
        <w:t>Mucoromycota</w:t>
      </w:r>
      <w:r w:rsidR="00D77876">
        <w:rPr>
          <w:rFonts w:cs="Times New Roman"/>
          <w:lang w:val="en-GB"/>
        </w:rPr>
        <w:t>, Subphylum Glomeromycotina, Sp</w:t>
      </w:r>
      <w:r w:rsidR="00D77876" w:rsidRPr="00930CE9">
        <w:rPr>
          <w:rFonts w:cs="Times New Roman"/>
          <w:lang w:val="en-GB"/>
        </w:rPr>
        <w:t>ata</w:t>
      </w:r>
      <w:r w:rsidR="00D77876">
        <w:rPr>
          <w:rFonts w:cs="Times New Roman"/>
          <w:lang w:val="en-GB"/>
        </w:rPr>
        <w:t>fora et al. 2016</w:t>
      </w:r>
      <w:r w:rsidRPr="003A6273">
        <w:rPr>
          <w:rFonts w:cs="Times New Roman"/>
          <w:lang w:val="en-GB"/>
        </w:rPr>
        <w:t xml:space="preserve">) are widespread soil microorganisms that form a symbiosis with the roots of the great majority of land plants (Smith &amp; Read 2008). The fungal partner provisions host plants with </w:t>
      </w:r>
      <w:r w:rsidR="00A2314D">
        <w:rPr>
          <w:rFonts w:cs="Times New Roman"/>
          <w:lang w:val="en-GB"/>
        </w:rPr>
        <w:t xml:space="preserve">soil </w:t>
      </w:r>
      <w:r w:rsidRPr="003A6273">
        <w:rPr>
          <w:rFonts w:cs="Times New Roman"/>
          <w:lang w:val="en-GB"/>
        </w:rPr>
        <w:t>nutrients and improved resistance to abiotic and biotic stresses; in exchange host plants supply the fungi with carbon derived from photosynthesis</w:t>
      </w:r>
      <w:r w:rsidR="00A2314D">
        <w:rPr>
          <w:rFonts w:cs="Times New Roman"/>
          <w:lang w:val="en-GB"/>
        </w:rPr>
        <w:t xml:space="preserve"> (</w:t>
      </w:r>
      <w:r w:rsidR="00930CE9">
        <w:rPr>
          <w:rFonts w:cs="Times New Roman"/>
          <w:lang w:val="en-GB"/>
        </w:rPr>
        <w:t>Pozo et al. 2015; Garcia et al. 2016</w:t>
      </w:r>
      <w:r w:rsidR="00A2314D">
        <w:rPr>
          <w:rFonts w:cs="Times New Roman"/>
          <w:lang w:val="en-GB"/>
        </w:rPr>
        <w:t>)</w:t>
      </w:r>
      <w:r w:rsidRPr="003A6273">
        <w:rPr>
          <w:rFonts w:cs="Times New Roman"/>
          <w:lang w:val="en-GB"/>
        </w:rPr>
        <w:t xml:space="preserve">. </w:t>
      </w:r>
      <w:r w:rsidR="00A2314D">
        <w:rPr>
          <w:rFonts w:cs="Times New Roman"/>
          <w:lang w:val="en-GB"/>
        </w:rPr>
        <w:t xml:space="preserve">Thus, </w:t>
      </w:r>
      <w:r w:rsidRPr="003A6273">
        <w:rPr>
          <w:rFonts w:cs="Times New Roman"/>
          <w:lang w:val="en-GB"/>
        </w:rPr>
        <w:t>AM</w:t>
      </w:r>
      <w:r w:rsidR="006A77C4">
        <w:rPr>
          <w:rFonts w:cs="Times New Roman"/>
          <w:lang w:val="en-GB"/>
        </w:rPr>
        <w:t xml:space="preserve"> </w:t>
      </w:r>
      <w:r w:rsidR="006A77C4" w:rsidRPr="005878BA">
        <w:rPr>
          <w:rStyle w:val="ResponseChar"/>
        </w:rPr>
        <w:t>fungi</w:t>
      </w:r>
      <w:r w:rsidRPr="003A6273">
        <w:rPr>
          <w:rFonts w:cs="Times New Roman"/>
          <w:lang w:val="en-GB"/>
        </w:rPr>
        <w:t xml:space="preserve"> play critical roles in </w:t>
      </w:r>
      <w:r w:rsidR="00A2314D">
        <w:rPr>
          <w:rFonts w:cs="Times New Roman"/>
          <w:lang w:val="en-GB"/>
        </w:rPr>
        <w:t xml:space="preserve">global </w:t>
      </w:r>
      <w:r w:rsidRPr="003A6273">
        <w:rPr>
          <w:rFonts w:cs="Times New Roman"/>
          <w:lang w:val="en-GB"/>
        </w:rPr>
        <w:t xml:space="preserve">nutrient </w:t>
      </w:r>
      <w:r w:rsidR="009B1D66">
        <w:rPr>
          <w:rFonts w:cs="Times New Roman"/>
          <w:lang w:val="en-GB"/>
        </w:rPr>
        <w:t xml:space="preserve">and carbon </w:t>
      </w:r>
      <w:r w:rsidRPr="003A6273">
        <w:rPr>
          <w:rFonts w:cs="Times New Roman"/>
          <w:lang w:val="en-GB"/>
        </w:rPr>
        <w:t>cycling and ecosystem function</w:t>
      </w:r>
      <w:r w:rsidR="00031AFA">
        <w:rPr>
          <w:rFonts w:cs="Times New Roman"/>
          <w:lang w:val="en-GB"/>
        </w:rPr>
        <w:t>ing</w:t>
      </w:r>
      <w:r w:rsidRPr="003A6273">
        <w:rPr>
          <w:rFonts w:cs="Times New Roman"/>
          <w:lang w:val="en-GB"/>
        </w:rPr>
        <w:t xml:space="preserve"> (van der Heijden et al. 2015</w:t>
      </w:r>
      <w:r w:rsidR="00E80E34">
        <w:rPr>
          <w:rFonts w:cs="Times New Roman"/>
          <w:lang w:val="en-GB"/>
        </w:rPr>
        <w:t>;</w:t>
      </w:r>
      <w:r w:rsidR="009B1D66">
        <w:rPr>
          <w:rFonts w:cs="Times New Roman"/>
          <w:lang w:val="en-GB"/>
        </w:rPr>
        <w:t xml:space="preserve"> Treseder 2016</w:t>
      </w:r>
      <w:r w:rsidRPr="003A6273">
        <w:rPr>
          <w:rFonts w:cs="Times New Roman"/>
          <w:lang w:val="en-GB"/>
        </w:rPr>
        <w:t>)</w:t>
      </w:r>
      <w:r w:rsidR="00A2314D">
        <w:rPr>
          <w:rFonts w:cs="Times New Roman"/>
          <w:lang w:val="en-GB"/>
        </w:rPr>
        <w:t xml:space="preserve">. </w:t>
      </w:r>
      <w:r w:rsidR="00C537B0">
        <w:rPr>
          <w:rFonts w:cs="Times New Roman"/>
          <w:lang w:val="en-GB"/>
        </w:rPr>
        <w:t>Consequently</w:t>
      </w:r>
      <w:r w:rsidR="00A2314D">
        <w:rPr>
          <w:rFonts w:cs="Times New Roman"/>
          <w:lang w:val="en-GB"/>
        </w:rPr>
        <w:t xml:space="preserve">, </w:t>
      </w:r>
      <w:r w:rsidRPr="003A6273">
        <w:rPr>
          <w:rFonts w:cs="Times New Roman"/>
          <w:lang w:val="en-GB"/>
        </w:rPr>
        <w:t xml:space="preserve">considerable effort has already been made </w:t>
      </w:r>
      <w:r w:rsidR="00A2314D">
        <w:rPr>
          <w:rFonts w:cs="Times New Roman"/>
          <w:lang w:val="en-GB"/>
        </w:rPr>
        <w:t>to understand</w:t>
      </w:r>
      <w:r w:rsidRPr="003A6273">
        <w:rPr>
          <w:rFonts w:cs="Times New Roman"/>
          <w:lang w:val="en-GB"/>
        </w:rPr>
        <w:t xml:space="preserve"> patterns of AM</w:t>
      </w:r>
      <w:r w:rsidR="005878BA">
        <w:rPr>
          <w:rFonts w:cs="Times New Roman"/>
          <w:lang w:val="en-GB"/>
        </w:rPr>
        <w:t xml:space="preserve"> </w:t>
      </w:r>
      <w:r w:rsidR="006A77C4" w:rsidRPr="005878BA">
        <w:rPr>
          <w:rStyle w:val="ResponseChar"/>
        </w:rPr>
        <w:t>fungal</w:t>
      </w:r>
      <w:r w:rsidRPr="003A6273">
        <w:rPr>
          <w:rFonts w:cs="Times New Roman"/>
          <w:lang w:val="en-GB"/>
        </w:rPr>
        <w:t xml:space="preserve"> diversity </w:t>
      </w:r>
      <w:r w:rsidR="00A2314D">
        <w:rPr>
          <w:rFonts w:cs="Times New Roman"/>
          <w:lang w:val="en-GB"/>
        </w:rPr>
        <w:t>at different spatial</w:t>
      </w:r>
      <w:r w:rsidRPr="003A6273">
        <w:rPr>
          <w:rFonts w:cs="Times New Roman"/>
          <w:lang w:val="en-GB"/>
        </w:rPr>
        <w:t xml:space="preserve"> scales (e.g. Davison et al. 2015</w:t>
      </w:r>
      <w:r w:rsidR="00E80E34">
        <w:rPr>
          <w:rFonts w:cs="Times New Roman"/>
          <w:lang w:val="en-GB"/>
        </w:rPr>
        <w:t>;</w:t>
      </w:r>
      <w:r w:rsidR="00A2314D">
        <w:rPr>
          <w:rFonts w:cs="Times New Roman"/>
          <w:lang w:val="en-GB"/>
        </w:rPr>
        <w:t xml:space="preserve"> Ö</w:t>
      </w:r>
      <w:r w:rsidR="00A2314D" w:rsidRPr="009B1D66">
        <w:rPr>
          <w:rFonts w:cs="Times New Roman"/>
          <w:lang w:val="en-GB"/>
        </w:rPr>
        <w:t>pik</w:t>
      </w:r>
      <w:r w:rsidR="00C5063D">
        <w:rPr>
          <w:rFonts w:cs="Times New Roman"/>
          <w:lang w:val="en-GB"/>
        </w:rPr>
        <w:t xml:space="preserve"> </w:t>
      </w:r>
      <w:r w:rsidR="00A2314D">
        <w:rPr>
          <w:rFonts w:cs="Times New Roman"/>
          <w:lang w:val="en-GB"/>
        </w:rPr>
        <w:t>&amp; Davison 2016</w:t>
      </w:r>
      <w:r w:rsidRPr="003A6273">
        <w:rPr>
          <w:rFonts w:cs="Times New Roman"/>
          <w:lang w:val="en-GB"/>
        </w:rPr>
        <w:t>)</w:t>
      </w:r>
      <w:r w:rsidR="00A2314D">
        <w:rPr>
          <w:rFonts w:cs="Times New Roman"/>
          <w:lang w:val="en-GB"/>
        </w:rPr>
        <w:t xml:space="preserve"> and how AM</w:t>
      </w:r>
      <w:r w:rsidR="005878BA">
        <w:rPr>
          <w:rFonts w:cs="Times New Roman"/>
          <w:lang w:val="en-GB"/>
        </w:rPr>
        <w:t xml:space="preserve"> </w:t>
      </w:r>
      <w:r w:rsidR="006A77C4" w:rsidRPr="005878BA">
        <w:rPr>
          <w:rStyle w:val="ResponseChar"/>
        </w:rPr>
        <w:t>fungal</w:t>
      </w:r>
      <w:r w:rsidR="00A2314D">
        <w:rPr>
          <w:rFonts w:cs="Times New Roman"/>
          <w:lang w:val="en-GB"/>
        </w:rPr>
        <w:t xml:space="preserve"> diversity relates to ecosystem functioning (</w:t>
      </w:r>
      <w:r w:rsidR="009B1D66" w:rsidRPr="003A6273">
        <w:rPr>
          <w:rFonts w:cs="Times New Roman"/>
          <w:lang w:val="en-GB"/>
        </w:rPr>
        <w:t>van der Heijden et al. 2015</w:t>
      </w:r>
      <w:r w:rsidR="00E80E34">
        <w:rPr>
          <w:rFonts w:cs="Times New Roman"/>
          <w:lang w:val="en-GB"/>
        </w:rPr>
        <w:t>;</w:t>
      </w:r>
      <w:r w:rsidR="009B1D66">
        <w:rPr>
          <w:rFonts w:cs="Times New Roman"/>
          <w:lang w:val="en-GB"/>
        </w:rPr>
        <w:t xml:space="preserve"> Treseder 2016</w:t>
      </w:r>
      <w:r w:rsidR="00A2314D">
        <w:rPr>
          <w:rFonts w:cs="Times New Roman"/>
          <w:lang w:val="en-GB"/>
        </w:rPr>
        <w:t>)</w:t>
      </w:r>
      <w:r w:rsidRPr="003A6273">
        <w:rPr>
          <w:rFonts w:cs="Times New Roman"/>
          <w:lang w:val="en-GB"/>
        </w:rPr>
        <w:t>.</w:t>
      </w:r>
      <w:r w:rsidR="009B1D66">
        <w:rPr>
          <w:rFonts w:cs="Times New Roman"/>
          <w:lang w:val="en-GB"/>
        </w:rPr>
        <w:t xml:space="preserve"> </w:t>
      </w:r>
    </w:p>
    <w:p w:rsidR="002C278A" w:rsidRPr="003A6273" w:rsidRDefault="002C278A" w:rsidP="00297A98">
      <w:pPr>
        <w:spacing w:line="360" w:lineRule="auto"/>
        <w:ind w:firstLine="709"/>
        <w:rPr>
          <w:rFonts w:cs="Times New Roman"/>
          <w:lang w:val="en-GB"/>
        </w:rPr>
      </w:pPr>
      <w:r w:rsidRPr="003A6273">
        <w:rPr>
          <w:rFonts w:cs="Times New Roman"/>
          <w:lang w:val="en-GB"/>
        </w:rPr>
        <w:t>Dete</w:t>
      </w:r>
      <w:r w:rsidR="0064309F">
        <w:rPr>
          <w:rFonts w:cs="Times New Roman"/>
          <w:lang w:val="en-GB"/>
        </w:rPr>
        <w:t>cting and identify</w:t>
      </w:r>
      <w:r w:rsidR="0025513D" w:rsidRPr="003A6273">
        <w:rPr>
          <w:rFonts w:cs="Times New Roman"/>
          <w:lang w:val="en-GB"/>
        </w:rPr>
        <w:t>ing</w:t>
      </w:r>
      <w:r w:rsidRPr="003A6273">
        <w:rPr>
          <w:rFonts w:cs="Times New Roman"/>
          <w:lang w:val="en-GB"/>
        </w:rPr>
        <w:t xml:space="preserve"> </w:t>
      </w:r>
      <w:r w:rsidR="0064309F">
        <w:rPr>
          <w:rFonts w:cs="Times New Roman"/>
          <w:lang w:val="en-GB"/>
        </w:rPr>
        <w:t>AM</w:t>
      </w:r>
      <w:r w:rsidR="006A77C4">
        <w:rPr>
          <w:rFonts w:cs="Times New Roman"/>
          <w:lang w:val="en-GB"/>
        </w:rPr>
        <w:t xml:space="preserve"> </w:t>
      </w:r>
      <w:r w:rsidR="006A77C4" w:rsidRPr="005878BA">
        <w:rPr>
          <w:rStyle w:val="ResponseChar"/>
        </w:rPr>
        <w:t>fungi</w:t>
      </w:r>
      <w:r w:rsidRPr="003A6273">
        <w:rPr>
          <w:rFonts w:cs="Times New Roman"/>
          <w:lang w:val="en-GB"/>
        </w:rPr>
        <w:t xml:space="preserve"> </w:t>
      </w:r>
      <w:r w:rsidR="0025513D" w:rsidRPr="003A6273">
        <w:rPr>
          <w:rFonts w:cs="Times New Roman"/>
          <w:lang w:val="en-GB"/>
        </w:rPr>
        <w:t xml:space="preserve">in natural systems </w:t>
      </w:r>
      <w:r w:rsidRPr="003A6273">
        <w:rPr>
          <w:rFonts w:cs="Times New Roman"/>
          <w:lang w:val="en-GB"/>
        </w:rPr>
        <w:t xml:space="preserve">is far from straightforward </w:t>
      </w:r>
      <w:r w:rsidR="00646D02" w:rsidRPr="005878BA">
        <w:rPr>
          <w:rStyle w:val="ResponseChar"/>
        </w:rPr>
        <w:t>because</w:t>
      </w:r>
      <w:r w:rsidR="00646D02">
        <w:rPr>
          <w:rFonts w:cs="Times New Roman"/>
          <w:lang w:val="en-GB"/>
        </w:rPr>
        <w:t xml:space="preserve"> </w:t>
      </w:r>
      <w:r w:rsidRPr="003A6273">
        <w:rPr>
          <w:rFonts w:cs="Times New Roman"/>
          <w:lang w:val="en-GB"/>
        </w:rPr>
        <w:t xml:space="preserve">the organisms are microscopic and </w:t>
      </w:r>
      <w:r w:rsidR="0064309F">
        <w:rPr>
          <w:rFonts w:cs="Times New Roman"/>
          <w:lang w:val="en-GB"/>
        </w:rPr>
        <w:t xml:space="preserve">at best </w:t>
      </w:r>
      <w:r w:rsidRPr="003A6273">
        <w:rPr>
          <w:rFonts w:cs="Times New Roman"/>
          <w:lang w:val="en-GB"/>
        </w:rPr>
        <w:t>culturable</w:t>
      </w:r>
      <w:r w:rsidR="0064309F">
        <w:rPr>
          <w:rFonts w:cs="Times New Roman"/>
          <w:lang w:val="en-GB"/>
        </w:rPr>
        <w:t xml:space="preserve"> together with</w:t>
      </w:r>
      <w:r w:rsidR="00C537B0">
        <w:rPr>
          <w:rFonts w:cs="Times New Roman"/>
          <w:lang w:val="en-GB"/>
        </w:rPr>
        <w:t xml:space="preserve"> a</w:t>
      </w:r>
      <w:r w:rsidR="0064309F">
        <w:rPr>
          <w:rFonts w:cs="Times New Roman"/>
          <w:lang w:val="en-GB"/>
        </w:rPr>
        <w:t xml:space="preserve"> host plant (</w:t>
      </w:r>
      <w:r w:rsidR="009B1D66">
        <w:rPr>
          <w:rFonts w:cs="Times New Roman"/>
          <w:lang w:val="en-GB"/>
        </w:rPr>
        <w:t>Smith &amp; Read 2008</w:t>
      </w:r>
      <w:r w:rsidR="0064309F">
        <w:rPr>
          <w:rFonts w:cs="Times New Roman"/>
          <w:lang w:val="en-GB"/>
        </w:rPr>
        <w:t>)</w:t>
      </w:r>
      <w:r w:rsidRPr="003A6273">
        <w:rPr>
          <w:rFonts w:cs="Times New Roman"/>
          <w:lang w:val="en-GB"/>
        </w:rPr>
        <w:t xml:space="preserve">. </w:t>
      </w:r>
      <w:r w:rsidR="00BA07DE" w:rsidRPr="003A6273">
        <w:rPr>
          <w:rFonts w:cs="Times New Roman"/>
          <w:lang w:val="en-GB"/>
        </w:rPr>
        <w:t xml:space="preserve">The long-established method for taxonomic </w:t>
      </w:r>
      <w:r w:rsidR="0064309F">
        <w:rPr>
          <w:rFonts w:cs="Times New Roman"/>
          <w:lang w:val="en-GB"/>
        </w:rPr>
        <w:t>identification on the basis of</w:t>
      </w:r>
      <w:r w:rsidRPr="003A6273">
        <w:rPr>
          <w:rFonts w:cs="Times New Roman"/>
          <w:lang w:val="en-GB"/>
        </w:rPr>
        <w:t xml:space="preserve"> spore</w:t>
      </w:r>
      <w:r w:rsidR="0064309F">
        <w:rPr>
          <w:rFonts w:cs="Times New Roman"/>
          <w:lang w:val="en-GB"/>
        </w:rPr>
        <w:t xml:space="preserve"> morphology</w:t>
      </w:r>
      <w:r w:rsidRPr="003A6273">
        <w:rPr>
          <w:rFonts w:cs="Times New Roman"/>
          <w:lang w:val="en-GB"/>
        </w:rPr>
        <w:t xml:space="preserve"> </w:t>
      </w:r>
      <w:r w:rsidR="0025513D" w:rsidRPr="003A6273">
        <w:rPr>
          <w:rFonts w:cs="Times New Roman"/>
          <w:lang w:val="en-GB"/>
        </w:rPr>
        <w:t xml:space="preserve">has been accompanied, and </w:t>
      </w:r>
      <w:r w:rsidR="009B1D66">
        <w:rPr>
          <w:rFonts w:cs="Times New Roman"/>
          <w:lang w:val="en-GB"/>
        </w:rPr>
        <w:t>in</w:t>
      </w:r>
      <w:r w:rsidR="0025513D" w:rsidRPr="003A6273">
        <w:rPr>
          <w:rFonts w:cs="Times New Roman"/>
          <w:lang w:val="en-GB"/>
        </w:rPr>
        <w:t xml:space="preserve"> some </w:t>
      </w:r>
      <w:r w:rsidR="009B1D66">
        <w:rPr>
          <w:rFonts w:cs="Times New Roman"/>
          <w:lang w:val="en-GB"/>
        </w:rPr>
        <w:t>fields</w:t>
      </w:r>
      <w:r w:rsidR="0025513D" w:rsidRPr="003A6273">
        <w:rPr>
          <w:rFonts w:cs="Times New Roman"/>
          <w:lang w:val="en-GB"/>
        </w:rPr>
        <w:t xml:space="preserve"> replaced, by </w:t>
      </w:r>
      <w:r w:rsidRPr="003A6273">
        <w:rPr>
          <w:rFonts w:cs="Times New Roman"/>
          <w:lang w:val="en-GB"/>
        </w:rPr>
        <w:t>DNA-based methods targeting fungal structures in plant roots and soil</w:t>
      </w:r>
      <w:r w:rsidR="0064309F">
        <w:rPr>
          <w:rFonts w:cs="Times New Roman"/>
          <w:lang w:val="en-GB"/>
        </w:rPr>
        <w:t xml:space="preserve"> (Öpik &amp; Davison 2016)</w:t>
      </w:r>
      <w:r w:rsidRPr="003A6273">
        <w:rPr>
          <w:rFonts w:cs="Times New Roman"/>
          <w:lang w:val="en-GB"/>
        </w:rPr>
        <w:t xml:space="preserve">. </w:t>
      </w:r>
      <w:r w:rsidR="0025513D" w:rsidRPr="003A6273">
        <w:rPr>
          <w:rFonts w:cs="Times New Roman"/>
          <w:lang w:val="en-GB"/>
        </w:rPr>
        <w:t>Since the 1990s, c</w:t>
      </w:r>
      <w:r w:rsidRPr="003A6273">
        <w:rPr>
          <w:rFonts w:cs="Times New Roman"/>
          <w:lang w:val="en-GB"/>
        </w:rPr>
        <w:t xml:space="preserve">loning and Sanger sequencing </w:t>
      </w:r>
      <w:r w:rsidR="0025513D" w:rsidRPr="003A6273">
        <w:rPr>
          <w:rFonts w:cs="Times New Roman"/>
          <w:lang w:val="en-GB"/>
        </w:rPr>
        <w:t xml:space="preserve">has been </w:t>
      </w:r>
      <w:r w:rsidRPr="003A6273">
        <w:rPr>
          <w:rFonts w:cs="Times New Roman"/>
          <w:lang w:val="en-GB"/>
        </w:rPr>
        <w:t>used to identify naturally occurring AM</w:t>
      </w:r>
      <w:r w:rsidR="006A77C4">
        <w:rPr>
          <w:rFonts w:cs="Times New Roman"/>
          <w:lang w:val="en-GB"/>
        </w:rPr>
        <w:t xml:space="preserve"> </w:t>
      </w:r>
      <w:r w:rsidR="006A77C4" w:rsidRPr="005878BA">
        <w:rPr>
          <w:rStyle w:val="ResponseChar"/>
        </w:rPr>
        <w:t>fungi</w:t>
      </w:r>
      <w:r w:rsidRPr="003A6273">
        <w:rPr>
          <w:rFonts w:cs="Times New Roman"/>
          <w:lang w:val="en-GB"/>
        </w:rPr>
        <w:t xml:space="preserve">, with studies typically generating tens to thousands of sequences and tens to hundreds of sequences per sample (e.g., Öpik et al. 2008). </w:t>
      </w:r>
      <w:r w:rsidR="0025513D" w:rsidRPr="003A6273">
        <w:rPr>
          <w:rFonts w:cs="Times New Roman"/>
          <w:lang w:val="en-GB"/>
        </w:rPr>
        <w:t xml:space="preserve">The </w:t>
      </w:r>
      <w:r w:rsidR="00646D02" w:rsidRPr="005878BA">
        <w:rPr>
          <w:rStyle w:val="ResponseChar"/>
        </w:rPr>
        <w:t>early</w:t>
      </w:r>
      <w:r w:rsidR="00646D02" w:rsidRPr="003A6273">
        <w:rPr>
          <w:rFonts w:cs="Times New Roman"/>
          <w:lang w:val="en-GB"/>
        </w:rPr>
        <w:t xml:space="preserve"> </w:t>
      </w:r>
      <w:r w:rsidR="0025513D" w:rsidRPr="003A6273">
        <w:rPr>
          <w:rFonts w:cs="Times New Roman"/>
          <w:lang w:val="en-GB"/>
        </w:rPr>
        <w:t xml:space="preserve">2000s saw the emergence of </w:t>
      </w:r>
      <w:r w:rsidRPr="003A6273">
        <w:rPr>
          <w:rFonts w:cs="Times New Roman"/>
          <w:lang w:val="en-GB"/>
        </w:rPr>
        <w:t>454</w:t>
      </w:r>
      <w:r w:rsidR="009E3B10">
        <w:rPr>
          <w:rFonts w:cs="Times New Roman"/>
          <w:lang w:val="en-GB"/>
        </w:rPr>
        <w:t xml:space="preserve"> </w:t>
      </w:r>
      <w:r w:rsidRPr="003A6273">
        <w:rPr>
          <w:rFonts w:cs="Times New Roman"/>
          <w:lang w:val="en-GB"/>
        </w:rPr>
        <w:t>sequencing</w:t>
      </w:r>
      <w:r w:rsidR="0064309F">
        <w:rPr>
          <w:rFonts w:cs="Times New Roman"/>
          <w:lang w:val="en-GB"/>
        </w:rPr>
        <w:t xml:space="preserve">, as well as other next generation sequencing </w:t>
      </w:r>
      <w:r w:rsidR="009B1D66">
        <w:rPr>
          <w:rFonts w:cs="Times New Roman"/>
          <w:lang w:val="en-GB"/>
        </w:rPr>
        <w:t xml:space="preserve">(NGS) </w:t>
      </w:r>
      <w:r w:rsidR="0064309F">
        <w:rPr>
          <w:rFonts w:cs="Times New Roman"/>
          <w:lang w:val="en-GB"/>
        </w:rPr>
        <w:t>platforms,</w:t>
      </w:r>
      <w:r w:rsidRPr="003A6273">
        <w:rPr>
          <w:rFonts w:cs="Times New Roman"/>
          <w:lang w:val="en-GB"/>
        </w:rPr>
        <w:t xml:space="preserve"> </w:t>
      </w:r>
      <w:r w:rsidR="00C537B0">
        <w:rPr>
          <w:rFonts w:cs="Times New Roman"/>
          <w:lang w:val="en-GB"/>
        </w:rPr>
        <w:t>which allowed</w:t>
      </w:r>
      <w:r w:rsidRPr="003A6273">
        <w:rPr>
          <w:rFonts w:cs="Times New Roman"/>
          <w:lang w:val="en-GB"/>
        </w:rPr>
        <w:t xml:space="preserve"> sequencing depth</w:t>
      </w:r>
      <w:r w:rsidR="005878BA">
        <w:rPr>
          <w:rFonts w:cs="Times New Roman"/>
          <w:lang w:val="en-GB"/>
        </w:rPr>
        <w:t xml:space="preserve"> </w:t>
      </w:r>
      <w:r w:rsidR="00016789" w:rsidRPr="005878BA">
        <w:rPr>
          <w:rStyle w:val="ResponseChar"/>
        </w:rPr>
        <w:t>(number of</w:t>
      </w:r>
      <w:r w:rsidR="008A6654" w:rsidRPr="005878BA">
        <w:rPr>
          <w:rStyle w:val="ResponseChar"/>
        </w:rPr>
        <w:t xml:space="preserve"> sequences per sample</w:t>
      </w:r>
      <w:r w:rsidR="00016789" w:rsidRPr="005878BA">
        <w:rPr>
          <w:rStyle w:val="ResponseChar"/>
        </w:rPr>
        <w:t>)</w:t>
      </w:r>
      <w:r w:rsidR="00C537B0">
        <w:rPr>
          <w:rFonts w:cs="Times New Roman"/>
          <w:lang w:val="en-GB"/>
        </w:rPr>
        <w:t xml:space="preserve"> to be increased</w:t>
      </w:r>
      <w:r w:rsidRPr="003A6273">
        <w:rPr>
          <w:rFonts w:cs="Times New Roman"/>
          <w:lang w:val="en-GB"/>
        </w:rPr>
        <w:t xml:space="preserve"> to hundreds to thousands of sequences per sample</w:t>
      </w:r>
      <w:r w:rsidR="009B1D66">
        <w:rPr>
          <w:rFonts w:cs="Times New Roman"/>
          <w:lang w:val="en-GB"/>
        </w:rPr>
        <w:t xml:space="preserve"> (</w:t>
      </w:r>
      <w:r w:rsidR="009A4F6B">
        <w:rPr>
          <w:rFonts w:cs="Times New Roman"/>
          <w:lang w:val="en-GB"/>
        </w:rPr>
        <w:t>Shokralla et al. 2012</w:t>
      </w:r>
      <w:r w:rsidR="009B1D66">
        <w:rPr>
          <w:rFonts w:cs="Times New Roman"/>
          <w:lang w:val="en-GB"/>
        </w:rPr>
        <w:t>). This</w:t>
      </w:r>
      <w:r w:rsidR="0064309F">
        <w:rPr>
          <w:rFonts w:cs="Times New Roman"/>
          <w:lang w:val="en-GB"/>
        </w:rPr>
        <w:t xml:space="preserve"> </w:t>
      </w:r>
      <w:r w:rsidR="009A4F6B">
        <w:rPr>
          <w:rFonts w:cs="Times New Roman"/>
          <w:lang w:val="en-GB"/>
        </w:rPr>
        <w:t xml:space="preserve">technological </w:t>
      </w:r>
      <w:r w:rsidR="00624F23">
        <w:rPr>
          <w:rFonts w:cs="Times New Roman"/>
          <w:lang w:val="en-GB"/>
        </w:rPr>
        <w:t xml:space="preserve">development </w:t>
      </w:r>
      <w:r w:rsidR="009A4F6B">
        <w:rPr>
          <w:rFonts w:cs="Times New Roman"/>
          <w:lang w:val="en-GB"/>
        </w:rPr>
        <w:t xml:space="preserve">has </w:t>
      </w:r>
      <w:r w:rsidR="0064309F">
        <w:rPr>
          <w:rFonts w:cs="Times New Roman"/>
          <w:lang w:val="en-GB"/>
        </w:rPr>
        <w:t xml:space="preserve">allowed </w:t>
      </w:r>
      <w:r w:rsidR="00C537B0">
        <w:rPr>
          <w:rFonts w:cs="Times New Roman"/>
          <w:lang w:val="en-GB"/>
        </w:rPr>
        <w:t xml:space="preserve">a </w:t>
      </w:r>
      <w:r w:rsidR="0064309F">
        <w:rPr>
          <w:rFonts w:cs="Times New Roman"/>
          <w:lang w:val="en-GB"/>
        </w:rPr>
        <w:t xml:space="preserve">substantial </w:t>
      </w:r>
      <w:r w:rsidR="00624F23">
        <w:rPr>
          <w:rFonts w:cs="Times New Roman"/>
          <w:lang w:val="en-GB"/>
        </w:rPr>
        <w:t>increase</w:t>
      </w:r>
      <w:r w:rsidR="0064309F">
        <w:rPr>
          <w:rFonts w:cs="Times New Roman"/>
          <w:lang w:val="en-GB"/>
        </w:rPr>
        <w:t xml:space="preserve"> in sample throughput</w:t>
      </w:r>
      <w:r w:rsidR="009A4F6B">
        <w:rPr>
          <w:rFonts w:cs="Times New Roman"/>
          <w:lang w:val="en-GB"/>
        </w:rPr>
        <w:t>,</w:t>
      </w:r>
      <w:r w:rsidR="0064309F">
        <w:rPr>
          <w:rFonts w:cs="Times New Roman"/>
          <w:lang w:val="en-GB"/>
        </w:rPr>
        <w:t xml:space="preserve"> finally making </w:t>
      </w:r>
      <w:r w:rsidR="00624F23">
        <w:rPr>
          <w:rFonts w:cs="Times New Roman"/>
          <w:lang w:val="en-GB"/>
        </w:rPr>
        <w:t>it</w:t>
      </w:r>
      <w:r w:rsidR="0064309F">
        <w:rPr>
          <w:rFonts w:cs="Times New Roman"/>
          <w:lang w:val="en-GB"/>
        </w:rPr>
        <w:t xml:space="preserve"> feasible</w:t>
      </w:r>
      <w:r w:rsidR="00624F23">
        <w:rPr>
          <w:rFonts w:cs="Times New Roman"/>
          <w:lang w:val="en-GB"/>
        </w:rPr>
        <w:t xml:space="preserve"> to study variation in </w:t>
      </w:r>
      <w:r w:rsidR="00624F23" w:rsidRPr="00591777">
        <w:rPr>
          <w:rFonts w:cs="Times New Roman"/>
          <w:lang w:val="en-GB"/>
        </w:rPr>
        <w:t>communities</w:t>
      </w:r>
      <w:r w:rsidR="00C537B0">
        <w:rPr>
          <w:rFonts w:cs="Times New Roman"/>
          <w:lang w:val="en-GB"/>
        </w:rPr>
        <w:t xml:space="preserve"> of </w:t>
      </w:r>
      <w:r w:rsidR="00C537B0" w:rsidRPr="00591777">
        <w:rPr>
          <w:rFonts w:cs="Times New Roman"/>
          <w:lang w:val="en-GB"/>
        </w:rPr>
        <w:t>AM</w:t>
      </w:r>
      <w:r w:rsidR="006A77C4">
        <w:rPr>
          <w:rFonts w:cs="Times New Roman"/>
          <w:lang w:val="en-GB"/>
        </w:rPr>
        <w:t xml:space="preserve"> </w:t>
      </w:r>
      <w:r w:rsidR="006A77C4" w:rsidRPr="005878BA">
        <w:rPr>
          <w:rStyle w:val="ResponseChar"/>
        </w:rPr>
        <w:t>fungi</w:t>
      </w:r>
      <w:r w:rsidR="00C537B0">
        <w:rPr>
          <w:rFonts w:cs="Times New Roman"/>
          <w:lang w:val="en-GB"/>
        </w:rPr>
        <w:t xml:space="preserve"> and other fungi</w:t>
      </w:r>
      <w:r w:rsidR="009B1D66" w:rsidRPr="00591777">
        <w:rPr>
          <w:rFonts w:cs="Times New Roman"/>
          <w:lang w:val="en-GB"/>
        </w:rPr>
        <w:t xml:space="preserve"> (</w:t>
      </w:r>
      <w:r w:rsidR="00624F23" w:rsidRPr="00591777">
        <w:rPr>
          <w:rFonts w:cs="Times New Roman"/>
          <w:lang w:val="en-GB"/>
        </w:rPr>
        <w:t xml:space="preserve">Lindahl et al. 2013; Hart et al. 2015; </w:t>
      </w:r>
      <w:r w:rsidR="009B1D66" w:rsidRPr="00591777">
        <w:rPr>
          <w:rFonts w:cs="Times New Roman"/>
          <w:lang w:val="en-GB"/>
        </w:rPr>
        <w:t>Taylor et al. 2017)</w:t>
      </w:r>
      <w:r w:rsidRPr="00591777">
        <w:rPr>
          <w:rFonts w:cs="Times New Roman"/>
          <w:lang w:val="en-GB"/>
        </w:rPr>
        <w:t xml:space="preserve">. </w:t>
      </w:r>
      <w:r w:rsidR="0025513D" w:rsidRPr="003A6273">
        <w:rPr>
          <w:rFonts w:cs="Times New Roman"/>
          <w:lang w:val="en-GB"/>
        </w:rPr>
        <w:t>E</w:t>
      </w:r>
      <w:r w:rsidRPr="003A6273">
        <w:rPr>
          <w:rFonts w:cs="Times New Roman"/>
          <w:lang w:val="en-GB"/>
        </w:rPr>
        <w:t>stimates of AM</w:t>
      </w:r>
      <w:r w:rsidR="006A77C4">
        <w:rPr>
          <w:rFonts w:cs="Times New Roman"/>
          <w:lang w:val="en-GB"/>
        </w:rPr>
        <w:t xml:space="preserve"> </w:t>
      </w:r>
      <w:r w:rsidR="006A77C4" w:rsidRPr="005878BA">
        <w:rPr>
          <w:rStyle w:val="ResponseChar"/>
        </w:rPr>
        <w:t>fungal</w:t>
      </w:r>
      <w:r w:rsidRPr="003A6273">
        <w:rPr>
          <w:rFonts w:cs="Times New Roman"/>
          <w:lang w:val="en-GB"/>
        </w:rPr>
        <w:t xml:space="preserve"> richness increased </w:t>
      </w:r>
      <w:r w:rsidR="0025513D" w:rsidRPr="003A6273">
        <w:rPr>
          <w:rFonts w:cs="Times New Roman"/>
          <w:lang w:val="en-GB"/>
        </w:rPr>
        <w:t xml:space="preserve">concomitantly </w:t>
      </w:r>
      <w:r w:rsidRPr="003A6273">
        <w:rPr>
          <w:rFonts w:cs="Times New Roman"/>
          <w:lang w:val="en-GB"/>
        </w:rPr>
        <w:t xml:space="preserve">with increasing sample </w:t>
      </w:r>
      <w:r w:rsidR="0064309F">
        <w:rPr>
          <w:rFonts w:cs="Times New Roman"/>
          <w:lang w:val="en-GB"/>
        </w:rPr>
        <w:t>sizes</w:t>
      </w:r>
      <w:r w:rsidRPr="003A6273">
        <w:rPr>
          <w:rFonts w:cs="Times New Roman"/>
          <w:lang w:val="en-GB"/>
        </w:rPr>
        <w:t xml:space="preserve"> and sequencing depth per sample</w:t>
      </w:r>
      <w:r w:rsidR="0064309F">
        <w:rPr>
          <w:rFonts w:cs="Times New Roman"/>
          <w:lang w:val="en-GB"/>
        </w:rPr>
        <w:t xml:space="preserve">, </w:t>
      </w:r>
      <w:r w:rsidR="00C537B0">
        <w:rPr>
          <w:rFonts w:cs="Times New Roman"/>
          <w:lang w:val="en-GB"/>
        </w:rPr>
        <w:t>indicating that the new approaches allowed</w:t>
      </w:r>
      <w:r w:rsidR="0025513D" w:rsidRPr="003A6273">
        <w:rPr>
          <w:rFonts w:cs="Times New Roman"/>
          <w:lang w:val="en-GB"/>
        </w:rPr>
        <w:t xml:space="preserve"> </w:t>
      </w:r>
      <w:r w:rsidRPr="003A6273">
        <w:rPr>
          <w:rFonts w:cs="Times New Roman"/>
          <w:lang w:val="en-GB"/>
        </w:rPr>
        <w:t>infrequent fungi</w:t>
      </w:r>
      <w:r w:rsidR="00C537B0">
        <w:rPr>
          <w:rFonts w:cs="Times New Roman"/>
          <w:lang w:val="en-GB"/>
        </w:rPr>
        <w:t xml:space="preserve"> to be detected</w:t>
      </w:r>
      <w:r w:rsidR="0064309F">
        <w:rPr>
          <w:rFonts w:cs="Times New Roman"/>
          <w:lang w:val="en-GB"/>
        </w:rPr>
        <w:t xml:space="preserve"> and </w:t>
      </w:r>
      <w:r w:rsidR="00C537B0">
        <w:rPr>
          <w:rFonts w:cs="Times New Roman"/>
          <w:lang w:val="en-GB"/>
        </w:rPr>
        <w:t xml:space="preserve">the </w:t>
      </w:r>
      <w:r w:rsidR="0064309F">
        <w:rPr>
          <w:rFonts w:cs="Times New Roman"/>
          <w:lang w:val="en-GB"/>
        </w:rPr>
        <w:t>proportion</w:t>
      </w:r>
      <w:r w:rsidR="00C537B0">
        <w:rPr>
          <w:rFonts w:cs="Times New Roman"/>
          <w:lang w:val="en-GB"/>
        </w:rPr>
        <w:t>s</w:t>
      </w:r>
      <w:r w:rsidR="0064309F">
        <w:rPr>
          <w:rFonts w:cs="Times New Roman"/>
          <w:lang w:val="en-GB"/>
        </w:rPr>
        <w:t xml:space="preserve"> of diversity captured</w:t>
      </w:r>
      <w:r w:rsidRPr="003A6273">
        <w:rPr>
          <w:rFonts w:cs="Times New Roman"/>
          <w:lang w:val="en-GB"/>
        </w:rPr>
        <w:t xml:space="preserve"> </w:t>
      </w:r>
      <w:r w:rsidR="00C537B0">
        <w:rPr>
          <w:rFonts w:cs="Times New Roman"/>
          <w:lang w:val="en-GB"/>
        </w:rPr>
        <w:t xml:space="preserve">to increase </w:t>
      </w:r>
      <w:r w:rsidRPr="003A6273">
        <w:rPr>
          <w:rFonts w:cs="Times New Roman"/>
          <w:lang w:val="en-GB"/>
        </w:rPr>
        <w:t xml:space="preserve">(Öpik et al. </w:t>
      </w:r>
      <w:r w:rsidR="009B1D66">
        <w:rPr>
          <w:rFonts w:cs="Times New Roman"/>
          <w:lang w:val="en-GB"/>
        </w:rPr>
        <w:t xml:space="preserve">2006, </w:t>
      </w:r>
      <w:r w:rsidRPr="003A6273">
        <w:rPr>
          <w:rFonts w:cs="Times New Roman"/>
          <w:lang w:val="en-GB"/>
        </w:rPr>
        <w:t xml:space="preserve">2009). </w:t>
      </w:r>
    </w:p>
    <w:p w:rsidR="0035699F" w:rsidRDefault="00FF3DAE" w:rsidP="00C537B0">
      <w:pPr>
        <w:spacing w:line="360" w:lineRule="auto"/>
        <w:ind w:firstLine="709"/>
        <w:rPr>
          <w:rFonts w:cs="Times New Roman"/>
          <w:lang w:val="en-GB"/>
        </w:rPr>
      </w:pPr>
      <w:r>
        <w:rPr>
          <w:rFonts w:cs="Times New Roman"/>
          <w:lang w:val="en-GB"/>
        </w:rPr>
        <w:t xml:space="preserve">454 </w:t>
      </w:r>
      <w:r w:rsidR="002C278A" w:rsidRPr="003A6273">
        <w:rPr>
          <w:rFonts w:cs="Times New Roman"/>
          <w:lang w:val="en-GB"/>
        </w:rPr>
        <w:t xml:space="preserve">sequencing </w:t>
      </w:r>
      <w:r w:rsidR="00DB6B51">
        <w:rPr>
          <w:rFonts w:cs="Times New Roman"/>
          <w:lang w:val="en-GB"/>
        </w:rPr>
        <w:t xml:space="preserve">as a tool </w:t>
      </w:r>
      <w:r w:rsidR="002C278A" w:rsidRPr="003A6273">
        <w:rPr>
          <w:rFonts w:cs="Times New Roman"/>
          <w:lang w:val="en-GB"/>
        </w:rPr>
        <w:t>is now</w:t>
      </w:r>
      <w:r w:rsidR="0025513D" w:rsidRPr="003A6273">
        <w:rPr>
          <w:rFonts w:cs="Times New Roman"/>
          <w:lang w:val="en-GB"/>
        </w:rPr>
        <w:t xml:space="preserve"> </w:t>
      </w:r>
      <w:r w:rsidR="002C278A" w:rsidRPr="003A6273">
        <w:rPr>
          <w:rFonts w:cs="Times New Roman"/>
          <w:lang w:val="en-GB"/>
        </w:rPr>
        <w:t xml:space="preserve">being replaced by </w:t>
      </w:r>
      <w:r w:rsidR="00164B05">
        <w:rPr>
          <w:rFonts w:cs="Times New Roman"/>
          <w:lang w:val="en-GB"/>
        </w:rPr>
        <w:t>several</w:t>
      </w:r>
      <w:r w:rsidR="002C278A" w:rsidRPr="003A6273">
        <w:rPr>
          <w:rFonts w:cs="Times New Roman"/>
          <w:lang w:val="en-GB"/>
        </w:rPr>
        <w:t xml:space="preserve"> high throughput sequencing platforms</w:t>
      </w:r>
      <w:r w:rsidR="0025513D" w:rsidRPr="003A6273">
        <w:rPr>
          <w:rFonts w:cs="Times New Roman"/>
          <w:lang w:val="en-GB"/>
        </w:rPr>
        <w:t>,</w:t>
      </w:r>
      <w:r w:rsidR="002C278A" w:rsidRPr="003A6273">
        <w:rPr>
          <w:rFonts w:cs="Times New Roman"/>
          <w:lang w:val="en-GB"/>
        </w:rPr>
        <w:t xml:space="preserve"> </w:t>
      </w:r>
      <w:r w:rsidR="0025513D" w:rsidRPr="003A6273">
        <w:rPr>
          <w:rFonts w:cs="Times New Roman"/>
          <w:lang w:val="en-GB"/>
        </w:rPr>
        <w:t>including</w:t>
      </w:r>
      <w:r w:rsidR="002C278A" w:rsidRPr="003A6273">
        <w:rPr>
          <w:rFonts w:cs="Times New Roman"/>
          <w:lang w:val="en-GB"/>
        </w:rPr>
        <w:t xml:space="preserve"> Illumina, Ion Torrent and PacBio SMRT sequencing </w:t>
      </w:r>
      <w:r w:rsidR="00607D60">
        <w:rPr>
          <w:rFonts w:cs="Times New Roman"/>
          <w:lang w:val="en-GB"/>
        </w:rPr>
        <w:t>in fungal (Brown et al. 2013;</w:t>
      </w:r>
      <w:r w:rsidR="00607D60" w:rsidRPr="003A6273">
        <w:rPr>
          <w:rFonts w:cs="Times New Roman"/>
          <w:lang w:val="en-GB"/>
        </w:rPr>
        <w:t xml:space="preserve"> Glassman et al. 2015</w:t>
      </w:r>
      <w:r w:rsidR="00607D60">
        <w:rPr>
          <w:rFonts w:cs="Times New Roman"/>
          <w:lang w:val="en-GB"/>
        </w:rPr>
        <w:t>; Tedersoo et al. 2015</w:t>
      </w:r>
      <w:r w:rsidR="00456BF8">
        <w:rPr>
          <w:rFonts w:cs="Times New Roman"/>
          <w:lang w:val="en-GB"/>
        </w:rPr>
        <w:t>; Cline et al. 2017</w:t>
      </w:r>
      <w:r w:rsidR="00607D60">
        <w:rPr>
          <w:rFonts w:cs="Times New Roman"/>
          <w:lang w:val="en-GB"/>
        </w:rPr>
        <w:t>) and AM</w:t>
      </w:r>
      <w:r w:rsidR="006A77C4">
        <w:rPr>
          <w:rFonts w:cs="Times New Roman"/>
          <w:lang w:val="en-GB"/>
        </w:rPr>
        <w:t xml:space="preserve"> </w:t>
      </w:r>
      <w:r w:rsidR="006A77C4" w:rsidRPr="005878BA">
        <w:rPr>
          <w:rStyle w:val="ResponseChar"/>
        </w:rPr>
        <w:t>fungal</w:t>
      </w:r>
      <w:r w:rsidR="00607D60">
        <w:rPr>
          <w:rFonts w:cs="Times New Roman"/>
          <w:lang w:val="en-GB"/>
        </w:rPr>
        <w:t xml:space="preserve"> diversity research </w:t>
      </w:r>
      <w:r w:rsidR="002C278A" w:rsidRPr="003A6273">
        <w:rPr>
          <w:rFonts w:cs="Times New Roman"/>
          <w:lang w:val="en-GB"/>
        </w:rPr>
        <w:t>(</w:t>
      </w:r>
      <w:r w:rsidR="00DB6B51" w:rsidRPr="003A6273">
        <w:rPr>
          <w:rFonts w:cs="Times New Roman"/>
          <w:lang w:val="en-GB"/>
        </w:rPr>
        <w:t xml:space="preserve">Johansen et al. 2016; </w:t>
      </w:r>
      <w:r w:rsidR="00F50B7B" w:rsidRPr="003A6273">
        <w:rPr>
          <w:rFonts w:cs="Times New Roman"/>
          <w:lang w:val="en-GB"/>
        </w:rPr>
        <w:t>Schlaeppi et al</w:t>
      </w:r>
      <w:r w:rsidR="0073479D" w:rsidRPr="003A6273">
        <w:rPr>
          <w:rFonts w:cs="Times New Roman"/>
          <w:lang w:val="en-GB"/>
        </w:rPr>
        <w:t>.</w:t>
      </w:r>
      <w:r w:rsidR="00F50B7B" w:rsidRPr="003A6273">
        <w:rPr>
          <w:rFonts w:cs="Times New Roman"/>
          <w:lang w:val="en-GB"/>
        </w:rPr>
        <w:t xml:space="preserve"> 2016</w:t>
      </w:r>
      <w:r w:rsidR="002C278A" w:rsidRPr="003A6273">
        <w:rPr>
          <w:rFonts w:cs="Times New Roman"/>
          <w:lang w:val="en-GB"/>
        </w:rPr>
        <w:t>). Illumina sequencing represents a</w:t>
      </w:r>
      <w:r w:rsidR="0025513D" w:rsidRPr="003A6273">
        <w:rPr>
          <w:rFonts w:cs="Times New Roman"/>
          <w:lang w:val="en-GB"/>
        </w:rPr>
        <w:t xml:space="preserve"> particularly</w:t>
      </w:r>
      <w:r w:rsidR="002C278A" w:rsidRPr="003A6273">
        <w:rPr>
          <w:rFonts w:cs="Times New Roman"/>
          <w:lang w:val="en-GB"/>
        </w:rPr>
        <w:t xml:space="preserve"> </w:t>
      </w:r>
      <w:r w:rsidR="00607D60">
        <w:rPr>
          <w:rFonts w:cs="Times New Roman"/>
          <w:lang w:val="en-GB"/>
        </w:rPr>
        <w:t>useful</w:t>
      </w:r>
      <w:r w:rsidR="002C278A" w:rsidRPr="003A6273">
        <w:rPr>
          <w:rFonts w:cs="Times New Roman"/>
          <w:lang w:val="en-GB"/>
        </w:rPr>
        <w:t xml:space="preserve"> approach </w:t>
      </w:r>
      <w:r w:rsidR="00EF6317" w:rsidRPr="005878BA">
        <w:rPr>
          <w:rStyle w:val="ResponseChar"/>
        </w:rPr>
        <w:t>because of</w:t>
      </w:r>
      <w:r w:rsidR="002C278A" w:rsidRPr="003A6273">
        <w:rPr>
          <w:rFonts w:cs="Times New Roman"/>
          <w:lang w:val="en-GB"/>
        </w:rPr>
        <w:t xml:space="preserve"> </w:t>
      </w:r>
      <w:r w:rsidR="00C537B0">
        <w:rPr>
          <w:rFonts w:cs="Times New Roman"/>
          <w:lang w:val="en-GB"/>
        </w:rPr>
        <w:t xml:space="preserve">its </w:t>
      </w:r>
      <w:r w:rsidR="002C278A" w:rsidRPr="003A6273">
        <w:rPr>
          <w:rFonts w:cs="Times New Roman"/>
          <w:lang w:val="en-GB"/>
        </w:rPr>
        <w:t xml:space="preserve">lower error rate </w:t>
      </w:r>
      <w:r w:rsidR="00EF6317" w:rsidRPr="005878BA">
        <w:rPr>
          <w:rStyle w:val="ResponseChar"/>
        </w:rPr>
        <w:t>than</w:t>
      </w:r>
      <w:r w:rsidR="0025513D" w:rsidRPr="003A6273">
        <w:rPr>
          <w:rFonts w:cs="Times New Roman"/>
          <w:lang w:val="en-GB"/>
        </w:rPr>
        <w:t xml:space="preserve"> </w:t>
      </w:r>
      <w:r w:rsidR="002C278A" w:rsidRPr="003A6273">
        <w:rPr>
          <w:rFonts w:cs="Times New Roman"/>
          <w:lang w:val="en-GB"/>
        </w:rPr>
        <w:t>454</w:t>
      </w:r>
      <w:r>
        <w:rPr>
          <w:rFonts w:cs="Times New Roman"/>
          <w:lang w:val="en-GB"/>
        </w:rPr>
        <w:t xml:space="preserve"> </w:t>
      </w:r>
      <w:r w:rsidR="002C278A" w:rsidRPr="003A6273">
        <w:rPr>
          <w:rFonts w:cs="Times New Roman"/>
          <w:lang w:val="en-GB"/>
        </w:rPr>
        <w:t>sequencing</w:t>
      </w:r>
      <w:r w:rsidR="00164B05">
        <w:rPr>
          <w:rFonts w:cs="Times New Roman"/>
          <w:lang w:val="en-GB"/>
        </w:rPr>
        <w:t xml:space="preserve"> </w:t>
      </w:r>
      <w:r w:rsidR="00415ECF">
        <w:rPr>
          <w:rFonts w:cs="Times New Roman"/>
          <w:lang w:val="en-GB"/>
        </w:rPr>
        <w:lastRenderedPageBreak/>
        <w:t xml:space="preserve">and </w:t>
      </w:r>
      <w:r w:rsidR="00C537B0">
        <w:rPr>
          <w:rFonts w:cs="Times New Roman"/>
          <w:lang w:val="en-GB"/>
        </w:rPr>
        <w:t xml:space="preserve">the </w:t>
      </w:r>
      <w:r w:rsidR="00415ECF">
        <w:rPr>
          <w:rFonts w:cs="Times New Roman"/>
          <w:lang w:val="en-GB"/>
        </w:rPr>
        <w:t>further increase in sequencing depth per sample</w:t>
      </w:r>
      <w:r w:rsidR="007C791C">
        <w:rPr>
          <w:rFonts w:cs="Times New Roman"/>
          <w:lang w:val="en-GB"/>
        </w:rPr>
        <w:t xml:space="preserve"> -</w:t>
      </w:r>
      <w:r w:rsidR="00415ECF">
        <w:rPr>
          <w:rFonts w:cs="Times New Roman"/>
          <w:lang w:val="en-GB"/>
        </w:rPr>
        <w:t xml:space="preserve"> by up to two orders of magnitude</w:t>
      </w:r>
      <w:r w:rsidR="00C537B0" w:rsidRPr="00C537B0">
        <w:rPr>
          <w:rFonts w:cs="Times New Roman"/>
          <w:lang w:val="en-GB"/>
        </w:rPr>
        <w:t xml:space="preserve"> </w:t>
      </w:r>
      <w:r w:rsidR="007C791C">
        <w:rPr>
          <w:rFonts w:cs="Times New Roman"/>
          <w:lang w:val="en-GB"/>
        </w:rPr>
        <w:t>-</w:t>
      </w:r>
      <w:r w:rsidR="00C537B0">
        <w:rPr>
          <w:rFonts w:cs="Times New Roman"/>
          <w:lang w:val="en-GB"/>
        </w:rPr>
        <w:t xml:space="preserve"> it offers</w:t>
      </w:r>
      <w:r w:rsidR="00415ECF">
        <w:rPr>
          <w:rFonts w:cs="Times New Roman"/>
          <w:lang w:val="en-GB"/>
        </w:rPr>
        <w:t xml:space="preserve"> </w:t>
      </w:r>
      <w:r w:rsidR="00164B05">
        <w:rPr>
          <w:rFonts w:cs="Times New Roman"/>
          <w:lang w:val="en-GB"/>
        </w:rPr>
        <w:t>(</w:t>
      </w:r>
      <w:r w:rsidR="00607D60">
        <w:rPr>
          <w:rFonts w:cs="Times New Roman"/>
          <w:lang w:val="en-GB"/>
        </w:rPr>
        <w:t>Shokralla et al. 2012</w:t>
      </w:r>
      <w:r w:rsidR="00164B05">
        <w:rPr>
          <w:rFonts w:cs="Times New Roman"/>
          <w:lang w:val="en-GB"/>
        </w:rPr>
        <w:t>)</w:t>
      </w:r>
      <w:r w:rsidR="00415ECF">
        <w:rPr>
          <w:rFonts w:cs="Times New Roman"/>
          <w:lang w:val="en-GB"/>
        </w:rPr>
        <w:t xml:space="preserve">. </w:t>
      </w:r>
      <w:r w:rsidR="00C537B0">
        <w:rPr>
          <w:rFonts w:cs="Times New Roman"/>
          <w:lang w:val="en-GB"/>
        </w:rPr>
        <w:t>Consequently, i</w:t>
      </w:r>
      <w:r w:rsidR="0025513D" w:rsidRPr="003A6273">
        <w:rPr>
          <w:rFonts w:cs="Times New Roman"/>
          <w:lang w:val="en-GB"/>
        </w:rPr>
        <w:t>t</w:t>
      </w:r>
      <w:r w:rsidR="002C278A" w:rsidRPr="003A6273">
        <w:rPr>
          <w:rFonts w:cs="Times New Roman"/>
          <w:lang w:val="en-GB"/>
        </w:rPr>
        <w:t xml:space="preserve"> is</w:t>
      </w:r>
      <w:r w:rsidR="0025513D" w:rsidRPr="003A6273">
        <w:rPr>
          <w:rFonts w:cs="Times New Roman"/>
          <w:lang w:val="en-GB"/>
        </w:rPr>
        <w:t xml:space="preserve"> </w:t>
      </w:r>
      <w:r w:rsidR="002C278A" w:rsidRPr="003A6273">
        <w:rPr>
          <w:rFonts w:cs="Times New Roman"/>
          <w:lang w:val="en-GB"/>
        </w:rPr>
        <w:t xml:space="preserve">becoming </w:t>
      </w:r>
      <w:r w:rsidR="00415ECF">
        <w:rPr>
          <w:rFonts w:cs="Times New Roman"/>
          <w:lang w:val="en-GB"/>
        </w:rPr>
        <w:t>a favoured approach</w:t>
      </w:r>
      <w:r w:rsidR="002C278A" w:rsidRPr="003A6273">
        <w:rPr>
          <w:rFonts w:cs="Times New Roman"/>
          <w:lang w:val="en-GB"/>
        </w:rPr>
        <w:t xml:space="preserve"> i</w:t>
      </w:r>
      <w:r w:rsidR="00607D60">
        <w:rPr>
          <w:rFonts w:cs="Times New Roman"/>
          <w:lang w:val="en-GB"/>
        </w:rPr>
        <w:t>n fungal community ecology</w:t>
      </w:r>
      <w:r w:rsidR="002C278A" w:rsidRPr="003A6273">
        <w:rPr>
          <w:rFonts w:cs="Times New Roman"/>
          <w:lang w:val="en-GB"/>
        </w:rPr>
        <w:t xml:space="preserve">. However, the relatively short maximum sequence length </w:t>
      </w:r>
      <w:r w:rsidR="0025513D" w:rsidRPr="003A6273">
        <w:rPr>
          <w:rFonts w:cs="Times New Roman"/>
          <w:lang w:val="en-GB"/>
        </w:rPr>
        <w:t xml:space="preserve">returned by Illumina platforms </w:t>
      </w:r>
      <w:r w:rsidR="002C278A" w:rsidRPr="003A6273">
        <w:rPr>
          <w:rFonts w:cs="Times New Roman"/>
          <w:lang w:val="en-GB"/>
        </w:rPr>
        <w:t>has been</w:t>
      </w:r>
      <w:r w:rsidR="00456BF8">
        <w:rPr>
          <w:rFonts w:cs="Times New Roman"/>
          <w:lang w:val="en-GB"/>
        </w:rPr>
        <w:t xml:space="preserve"> a limitation for</w:t>
      </w:r>
      <w:r w:rsidR="002C278A" w:rsidRPr="003A6273">
        <w:rPr>
          <w:rFonts w:cs="Times New Roman"/>
          <w:lang w:val="en-GB"/>
        </w:rPr>
        <w:t xml:space="preserve"> AM</w:t>
      </w:r>
      <w:r w:rsidR="006A77C4">
        <w:rPr>
          <w:rFonts w:cs="Times New Roman"/>
          <w:lang w:val="en-GB"/>
        </w:rPr>
        <w:t xml:space="preserve"> </w:t>
      </w:r>
      <w:r w:rsidR="006A77C4" w:rsidRPr="00BA1DCA">
        <w:rPr>
          <w:rStyle w:val="ResponseChar"/>
        </w:rPr>
        <w:t>fungal</w:t>
      </w:r>
      <w:r w:rsidR="002C278A" w:rsidRPr="003A6273">
        <w:rPr>
          <w:rFonts w:cs="Times New Roman"/>
          <w:lang w:val="en-GB"/>
        </w:rPr>
        <w:t xml:space="preserve"> </w:t>
      </w:r>
      <w:r w:rsidR="00415ECF">
        <w:rPr>
          <w:rFonts w:cs="Times New Roman"/>
          <w:lang w:val="en-GB"/>
        </w:rPr>
        <w:t>diversity studies</w:t>
      </w:r>
      <w:r w:rsidR="0025513D" w:rsidRPr="003A6273">
        <w:rPr>
          <w:rFonts w:cs="Times New Roman"/>
          <w:lang w:val="en-GB"/>
        </w:rPr>
        <w:t>,</w:t>
      </w:r>
      <w:r w:rsidR="002C278A" w:rsidRPr="003A6273">
        <w:rPr>
          <w:rFonts w:cs="Times New Roman"/>
          <w:lang w:val="en-GB"/>
        </w:rPr>
        <w:t xml:space="preserve"> where commonly used amplicon</w:t>
      </w:r>
      <w:r w:rsidR="00415ECF">
        <w:rPr>
          <w:rFonts w:cs="Times New Roman"/>
          <w:lang w:val="en-GB"/>
        </w:rPr>
        <w:t xml:space="preserve"> length</w:t>
      </w:r>
      <w:r w:rsidR="00C537B0">
        <w:rPr>
          <w:rFonts w:cs="Times New Roman"/>
          <w:lang w:val="en-GB"/>
        </w:rPr>
        <w:t>s</w:t>
      </w:r>
      <w:r w:rsidR="002C278A" w:rsidRPr="003A6273">
        <w:rPr>
          <w:rFonts w:cs="Times New Roman"/>
          <w:lang w:val="en-GB"/>
        </w:rPr>
        <w:t xml:space="preserve"> range from 540 to 1500 bp </w:t>
      </w:r>
      <w:r w:rsidR="00415ECF">
        <w:rPr>
          <w:rFonts w:cs="Times New Roman"/>
          <w:lang w:val="en-GB"/>
        </w:rPr>
        <w:t>(Öpik &amp; Davison 2016)</w:t>
      </w:r>
      <w:r w:rsidR="00456BF8">
        <w:rPr>
          <w:rFonts w:cs="Times New Roman"/>
          <w:lang w:val="en-GB"/>
        </w:rPr>
        <w:t xml:space="preserve">. </w:t>
      </w:r>
      <w:r w:rsidR="00C537B0">
        <w:rPr>
          <w:rFonts w:cs="Times New Roman"/>
          <w:lang w:val="en-GB"/>
        </w:rPr>
        <w:t xml:space="preserve">The use </w:t>
      </w:r>
      <w:r w:rsidR="00456BF8">
        <w:rPr>
          <w:rFonts w:cs="Times New Roman"/>
          <w:lang w:val="en-GB"/>
        </w:rPr>
        <w:t xml:space="preserve">of alternative platforms </w:t>
      </w:r>
      <w:r w:rsidR="00C537B0">
        <w:rPr>
          <w:rFonts w:cs="Times New Roman"/>
          <w:lang w:val="en-GB"/>
        </w:rPr>
        <w:t xml:space="preserve">that </w:t>
      </w:r>
      <w:r w:rsidR="00456BF8">
        <w:rPr>
          <w:rFonts w:cs="Times New Roman"/>
          <w:lang w:val="en-GB"/>
        </w:rPr>
        <w:t>allow longer reads, such as PacBio (Schlaeppi et al. 2016)</w:t>
      </w:r>
      <w:r w:rsidR="00C537B0">
        <w:rPr>
          <w:rFonts w:cs="Times New Roman"/>
          <w:lang w:val="en-GB"/>
        </w:rPr>
        <w:t>,</w:t>
      </w:r>
      <w:r w:rsidR="00456BF8">
        <w:rPr>
          <w:rFonts w:cs="Times New Roman"/>
          <w:lang w:val="en-GB"/>
        </w:rPr>
        <w:t xml:space="preserve"> or</w:t>
      </w:r>
      <w:r w:rsidR="0025513D" w:rsidRPr="003A6273">
        <w:rPr>
          <w:rFonts w:cs="Times New Roman"/>
          <w:lang w:val="en-GB"/>
        </w:rPr>
        <w:t xml:space="preserve"> </w:t>
      </w:r>
      <w:r w:rsidR="00C537B0">
        <w:rPr>
          <w:rFonts w:cs="Times New Roman"/>
          <w:lang w:val="en-GB"/>
        </w:rPr>
        <w:t xml:space="preserve">the </w:t>
      </w:r>
      <w:r w:rsidR="002C278A" w:rsidRPr="003A6273">
        <w:rPr>
          <w:rFonts w:cs="Times New Roman"/>
          <w:lang w:val="en-GB"/>
        </w:rPr>
        <w:t xml:space="preserve">increase </w:t>
      </w:r>
      <w:r w:rsidR="00415ECF">
        <w:rPr>
          <w:rFonts w:cs="Times New Roman"/>
          <w:lang w:val="en-GB"/>
        </w:rPr>
        <w:t>in</w:t>
      </w:r>
      <w:r w:rsidR="002C278A" w:rsidRPr="003A6273">
        <w:rPr>
          <w:rFonts w:cs="Times New Roman"/>
          <w:lang w:val="en-GB"/>
        </w:rPr>
        <w:t xml:space="preserve"> Illumina MiSeq </w:t>
      </w:r>
      <w:r w:rsidR="0025513D" w:rsidRPr="003A6273">
        <w:rPr>
          <w:rFonts w:cs="Times New Roman"/>
          <w:lang w:val="en-GB"/>
        </w:rPr>
        <w:t xml:space="preserve">read </w:t>
      </w:r>
      <w:r w:rsidR="002C278A" w:rsidRPr="003A6273">
        <w:rPr>
          <w:rFonts w:cs="Times New Roman"/>
          <w:lang w:val="en-GB"/>
        </w:rPr>
        <w:t xml:space="preserve">length to 2x300 bp </w:t>
      </w:r>
      <w:r w:rsidR="0035699F">
        <w:rPr>
          <w:rFonts w:cs="Times New Roman"/>
          <w:lang w:val="en-GB"/>
        </w:rPr>
        <w:t>and approaches</w:t>
      </w:r>
      <w:r w:rsidR="00C537B0">
        <w:rPr>
          <w:rFonts w:cs="Times New Roman"/>
          <w:lang w:val="en-GB"/>
        </w:rPr>
        <w:t>,</w:t>
      </w:r>
      <w:r w:rsidR="0035699F">
        <w:rPr>
          <w:rFonts w:cs="Times New Roman"/>
          <w:lang w:val="en-GB"/>
        </w:rPr>
        <w:t xml:space="preserve"> such as tagmentation</w:t>
      </w:r>
      <w:r w:rsidR="00C537B0">
        <w:rPr>
          <w:rFonts w:cs="Times New Roman"/>
          <w:lang w:val="en-GB"/>
        </w:rPr>
        <w:t>,</w:t>
      </w:r>
      <w:r w:rsidR="0035699F">
        <w:rPr>
          <w:rFonts w:cs="Times New Roman"/>
          <w:lang w:val="en-GB"/>
        </w:rPr>
        <w:t xml:space="preserve"> </w:t>
      </w:r>
      <w:r w:rsidR="00DB6B51">
        <w:rPr>
          <w:rFonts w:cs="Times New Roman"/>
          <w:lang w:val="en-GB"/>
        </w:rPr>
        <w:t xml:space="preserve">that </w:t>
      </w:r>
      <w:r w:rsidR="0035699F">
        <w:rPr>
          <w:rFonts w:cs="Times New Roman"/>
          <w:lang w:val="en-GB"/>
        </w:rPr>
        <w:t>permit sequencing longer DNA fragments</w:t>
      </w:r>
      <w:r w:rsidR="00C537B0">
        <w:rPr>
          <w:rFonts w:cs="Times New Roman"/>
          <w:lang w:val="en-GB"/>
        </w:rPr>
        <w:t>,</w:t>
      </w:r>
      <w:r w:rsidR="0035699F">
        <w:rPr>
          <w:rFonts w:cs="Times New Roman"/>
          <w:lang w:val="en-GB"/>
        </w:rPr>
        <w:t xml:space="preserve"> are</w:t>
      </w:r>
      <w:r w:rsidR="002C278A" w:rsidRPr="003A6273">
        <w:rPr>
          <w:rFonts w:cs="Times New Roman"/>
          <w:lang w:val="en-GB"/>
        </w:rPr>
        <w:t xml:space="preserve"> </w:t>
      </w:r>
      <w:r w:rsidR="00886B00">
        <w:rPr>
          <w:rFonts w:cs="Times New Roman"/>
          <w:lang w:val="en-GB"/>
        </w:rPr>
        <w:t xml:space="preserve">partly </w:t>
      </w:r>
      <w:r w:rsidR="0035699F">
        <w:rPr>
          <w:rFonts w:cs="Times New Roman"/>
          <w:lang w:val="en-GB"/>
        </w:rPr>
        <w:t>overcoming this limitation.</w:t>
      </w:r>
      <w:r w:rsidR="002C278A" w:rsidRPr="003A6273">
        <w:rPr>
          <w:rFonts w:cs="Times New Roman"/>
          <w:lang w:val="en-GB"/>
        </w:rPr>
        <w:t xml:space="preserve"> </w:t>
      </w:r>
      <w:r w:rsidR="0035699F">
        <w:rPr>
          <w:rFonts w:cs="Times New Roman"/>
          <w:lang w:val="en-GB"/>
        </w:rPr>
        <w:t xml:space="preserve">Tagmentation incorporates universal tags </w:t>
      </w:r>
      <w:r w:rsidR="00486116">
        <w:rPr>
          <w:rFonts w:cs="Times New Roman"/>
          <w:lang w:val="en-GB"/>
        </w:rPr>
        <w:t>into DNA fragments of user-</w:t>
      </w:r>
      <w:r w:rsidR="0035699F">
        <w:rPr>
          <w:rFonts w:cs="Times New Roman"/>
          <w:lang w:val="en-GB"/>
        </w:rPr>
        <w:t>selected size via transposon cleav</w:t>
      </w:r>
      <w:r w:rsidR="00486116">
        <w:rPr>
          <w:rFonts w:cs="Times New Roman"/>
          <w:lang w:val="en-GB"/>
        </w:rPr>
        <w:t>age</w:t>
      </w:r>
      <w:r w:rsidR="0035699F">
        <w:rPr>
          <w:rFonts w:cs="Times New Roman"/>
          <w:lang w:val="en-GB"/>
        </w:rPr>
        <w:t xml:space="preserve"> (</w:t>
      </w:r>
      <w:r w:rsidR="00CA535D">
        <w:rPr>
          <w:rFonts w:cs="Times New Roman"/>
          <w:lang w:val="en-GB"/>
        </w:rPr>
        <w:t>Lee</w:t>
      </w:r>
      <w:r w:rsidR="00FA712B">
        <w:rPr>
          <w:rFonts w:cs="Times New Roman"/>
          <w:lang w:val="en-GB"/>
        </w:rPr>
        <w:t xml:space="preserve"> et al.</w:t>
      </w:r>
      <w:r w:rsidR="000E1811">
        <w:rPr>
          <w:rFonts w:cs="Times New Roman"/>
          <w:lang w:val="en-GB"/>
        </w:rPr>
        <w:t xml:space="preserve"> 20</w:t>
      </w:r>
      <w:r w:rsidR="00CA535D">
        <w:rPr>
          <w:rFonts w:cs="Times New Roman"/>
          <w:lang w:val="en-GB"/>
        </w:rPr>
        <w:t>16</w:t>
      </w:r>
      <w:r w:rsidR="0035699F">
        <w:rPr>
          <w:rFonts w:cs="Times New Roman"/>
          <w:lang w:val="en-GB"/>
        </w:rPr>
        <w:t>), allowing longer fragments</w:t>
      </w:r>
      <w:r w:rsidR="00C537B0">
        <w:rPr>
          <w:rFonts w:cs="Times New Roman"/>
          <w:lang w:val="en-GB"/>
        </w:rPr>
        <w:t>,</w:t>
      </w:r>
      <w:r w:rsidR="0035699F">
        <w:rPr>
          <w:rFonts w:cs="Times New Roman"/>
          <w:lang w:val="en-GB"/>
        </w:rPr>
        <w:t xml:space="preserve"> such as</w:t>
      </w:r>
      <w:r w:rsidR="00C537B0">
        <w:rPr>
          <w:rFonts w:cs="Times New Roman"/>
          <w:lang w:val="en-GB"/>
        </w:rPr>
        <w:t xml:space="preserve"> the</w:t>
      </w:r>
      <w:r w:rsidR="0035699F">
        <w:rPr>
          <w:rFonts w:cs="Times New Roman"/>
          <w:lang w:val="en-GB"/>
        </w:rPr>
        <w:t xml:space="preserve"> full ribosomal small subunit RNA gene</w:t>
      </w:r>
      <w:r w:rsidR="00486116">
        <w:rPr>
          <w:rFonts w:cs="Times New Roman"/>
          <w:lang w:val="en-GB"/>
        </w:rPr>
        <w:t>s</w:t>
      </w:r>
      <w:r w:rsidR="0035699F">
        <w:rPr>
          <w:rFonts w:cs="Times New Roman"/>
          <w:lang w:val="en-GB"/>
        </w:rPr>
        <w:t xml:space="preserve"> of bacteria</w:t>
      </w:r>
      <w:r w:rsidR="00C537B0">
        <w:rPr>
          <w:rFonts w:cs="Times New Roman"/>
          <w:lang w:val="en-GB"/>
        </w:rPr>
        <w:t>,</w:t>
      </w:r>
      <w:r w:rsidR="00C537B0" w:rsidRPr="00C537B0">
        <w:rPr>
          <w:rFonts w:cs="Times New Roman"/>
          <w:lang w:val="en-GB"/>
        </w:rPr>
        <w:t xml:space="preserve"> </w:t>
      </w:r>
      <w:r w:rsidR="00C537B0">
        <w:rPr>
          <w:rFonts w:cs="Times New Roman"/>
          <w:lang w:val="en-GB"/>
        </w:rPr>
        <w:t>to be sequenced</w:t>
      </w:r>
      <w:r w:rsidR="0035699F">
        <w:rPr>
          <w:rFonts w:cs="Times New Roman"/>
          <w:lang w:val="en-GB"/>
        </w:rPr>
        <w:t xml:space="preserve"> (Burke &amp; Darling 2016).</w:t>
      </w:r>
    </w:p>
    <w:p w:rsidR="00886B00" w:rsidRDefault="002C278A" w:rsidP="00297A98">
      <w:pPr>
        <w:spacing w:line="360" w:lineRule="auto"/>
        <w:ind w:firstLine="709"/>
        <w:rPr>
          <w:rFonts w:cs="Times New Roman"/>
          <w:lang w:val="en-GB"/>
        </w:rPr>
      </w:pPr>
      <w:r w:rsidRPr="003A6273">
        <w:rPr>
          <w:rFonts w:cs="Times New Roman"/>
          <w:lang w:val="en-GB"/>
        </w:rPr>
        <w:t>Illumina sequencing has</w:t>
      </w:r>
      <w:r w:rsidR="00DF256E">
        <w:rPr>
          <w:rFonts w:cs="Times New Roman"/>
          <w:lang w:val="en-GB"/>
        </w:rPr>
        <w:t xml:space="preserve"> been </w:t>
      </w:r>
      <w:r w:rsidR="00B53432">
        <w:rPr>
          <w:rFonts w:cs="Times New Roman"/>
          <w:lang w:val="en-GB"/>
        </w:rPr>
        <w:t xml:space="preserve">used </w:t>
      </w:r>
      <w:r w:rsidR="00DF256E">
        <w:rPr>
          <w:rFonts w:cs="Times New Roman"/>
          <w:lang w:val="en-GB"/>
        </w:rPr>
        <w:t>to study AM</w:t>
      </w:r>
      <w:r w:rsidR="006A77C4">
        <w:rPr>
          <w:rFonts w:cs="Times New Roman"/>
          <w:lang w:val="en-GB"/>
        </w:rPr>
        <w:t xml:space="preserve"> </w:t>
      </w:r>
      <w:r w:rsidR="006A77C4" w:rsidRPr="00BA1DCA">
        <w:rPr>
          <w:rStyle w:val="ResponseChar"/>
        </w:rPr>
        <w:t>fungal</w:t>
      </w:r>
      <w:r w:rsidR="00DF256E">
        <w:rPr>
          <w:rFonts w:cs="Times New Roman"/>
          <w:lang w:val="en-GB"/>
        </w:rPr>
        <w:t xml:space="preserve"> diversity in field and experimental systems</w:t>
      </w:r>
      <w:r w:rsidRPr="003A6273">
        <w:rPr>
          <w:rFonts w:cs="Times New Roman"/>
          <w:lang w:val="en-GB"/>
        </w:rPr>
        <w:t xml:space="preserve"> (Cui</w:t>
      </w:r>
      <w:r w:rsidR="00DF256E">
        <w:rPr>
          <w:rFonts w:cs="Times New Roman"/>
          <w:lang w:val="en-GB"/>
        </w:rPr>
        <w:t xml:space="preserve"> et al. 201</w:t>
      </w:r>
      <w:r w:rsidR="00A53421">
        <w:rPr>
          <w:rFonts w:cs="Times New Roman"/>
          <w:lang w:val="en-GB"/>
        </w:rPr>
        <w:t>6; Johansen et al. 2016;</w:t>
      </w:r>
      <w:r w:rsidR="00DF256E">
        <w:rPr>
          <w:rFonts w:cs="Times New Roman"/>
          <w:lang w:val="en-GB"/>
        </w:rPr>
        <w:t xml:space="preserve"> Xu et al. 2016; Liu et al. 201</w:t>
      </w:r>
      <w:r w:rsidR="00111057">
        <w:rPr>
          <w:rFonts w:cs="Times New Roman"/>
          <w:lang w:val="en-GB"/>
        </w:rPr>
        <w:t>7</w:t>
      </w:r>
      <w:r w:rsidR="00DF256E">
        <w:rPr>
          <w:rFonts w:cs="Times New Roman"/>
          <w:lang w:val="en-GB"/>
        </w:rPr>
        <w:t>; Orchard et al. 2017; Wang et al. 201</w:t>
      </w:r>
      <w:r w:rsidR="00ED6E3D">
        <w:rPr>
          <w:rFonts w:cs="Times New Roman"/>
          <w:lang w:val="en-GB"/>
        </w:rPr>
        <w:t>6</w:t>
      </w:r>
      <w:r w:rsidR="00DF256E">
        <w:rPr>
          <w:rFonts w:cs="Times New Roman"/>
          <w:lang w:val="en-GB"/>
        </w:rPr>
        <w:t>)</w:t>
      </w:r>
      <w:r w:rsidR="00782D72" w:rsidRPr="003A6273">
        <w:rPr>
          <w:rFonts w:cs="Times New Roman"/>
          <w:lang w:val="en-GB"/>
        </w:rPr>
        <w:t>.</w:t>
      </w:r>
      <w:r w:rsidR="00DF256E">
        <w:rPr>
          <w:rFonts w:cs="Times New Roman"/>
          <w:lang w:val="en-GB"/>
        </w:rPr>
        <w:t xml:space="preserve"> In some cases, </w:t>
      </w:r>
      <w:r w:rsidR="009A1E84" w:rsidRPr="003A6273">
        <w:rPr>
          <w:rFonts w:cs="Times New Roman"/>
          <w:lang w:val="en-GB"/>
        </w:rPr>
        <w:t xml:space="preserve">relatively low </w:t>
      </w:r>
      <w:r w:rsidR="00415ECF">
        <w:rPr>
          <w:rFonts w:cs="Times New Roman"/>
          <w:lang w:val="en-GB"/>
        </w:rPr>
        <w:t>AM</w:t>
      </w:r>
      <w:r w:rsidR="006A77C4">
        <w:rPr>
          <w:rFonts w:cs="Times New Roman"/>
          <w:lang w:val="en-GB"/>
        </w:rPr>
        <w:t xml:space="preserve"> </w:t>
      </w:r>
      <w:r w:rsidR="006A77C4" w:rsidRPr="00BA1DCA">
        <w:rPr>
          <w:rStyle w:val="ResponseChar"/>
        </w:rPr>
        <w:t>fungal</w:t>
      </w:r>
      <w:r w:rsidR="00415ECF">
        <w:rPr>
          <w:rFonts w:cs="Times New Roman"/>
          <w:lang w:val="en-GB"/>
        </w:rPr>
        <w:t xml:space="preserve"> diversity </w:t>
      </w:r>
      <w:r w:rsidR="00DF256E">
        <w:rPr>
          <w:rFonts w:cs="Times New Roman"/>
          <w:lang w:val="en-GB"/>
        </w:rPr>
        <w:t xml:space="preserve">has been detected </w:t>
      </w:r>
      <w:r w:rsidR="00C537B0">
        <w:rPr>
          <w:rFonts w:cs="Times New Roman"/>
          <w:lang w:val="en-GB"/>
        </w:rPr>
        <w:t>in comparison</w:t>
      </w:r>
      <w:r w:rsidR="009A1E84" w:rsidRPr="003A6273">
        <w:rPr>
          <w:rFonts w:cs="Times New Roman"/>
          <w:lang w:val="en-GB"/>
        </w:rPr>
        <w:t xml:space="preserve"> with</w:t>
      </w:r>
      <w:r w:rsidR="00C537B0">
        <w:rPr>
          <w:rFonts w:cs="Times New Roman"/>
          <w:lang w:val="en-GB"/>
        </w:rPr>
        <w:t xml:space="preserve"> the levels typically returned by</w:t>
      </w:r>
      <w:r w:rsidR="009A1E84" w:rsidRPr="003A6273">
        <w:rPr>
          <w:rFonts w:cs="Times New Roman"/>
          <w:lang w:val="en-GB"/>
        </w:rPr>
        <w:t xml:space="preserve"> 454</w:t>
      </w:r>
      <w:r w:rsidR="00A8072F">
        <w:rPr>
          <w:rFonts w:cs="Times New Roman"/>
          <w:lang w:val="en-GB"/>
        </w:rPr>
        <w:t xml:space="preserve"> </w:t>
      </w:r>
      <w:r w:rsidR="00415ECF">
        <w:rPr>
          <w:rFonts w:cs="Times New Roman"/>
          <w:lang w:val="en-GB"/>
        </w:rPr>
        <w:t xml:space="preserve">sequencing based studies, though this could </w:t>
      </w:r>
      <w:r w:rsidR="00E862EA">
        <w:rPr>
          <w:rFonts w:cs="Times New Roman"/>
          <w:lang w:val="en-GB"/>
        </w:rPr>
        <w:t xml:space="preserve">reflect a real effect of </w:t>
      </w:r>
      <w:r w:rsidR="00415ECF">
        <w:rPr>
          <w:rFonts w:cs="Times New Roman"/>
          <w:lang w:val="en-GB"/>
        </w:rPr>
        <w:t>t</w:t>
      </w:r>
      <w:r w:rsidR="009A1E84" w:rsidRPr="003A6273">
        <w:rPr>
          <w:rFonts w:cs="Times New Roman"/>
          <w:lang w:val="en-GB"/>
        </w:rPr>
        <w:t>he extreme environment</w:t>
      </w:r>
      <w:r w:rsidR="00B53432">
        <w:rPr>
          <w:rFonts w:cs="Times New Roman"/>
          <w:lang w:val="en-GB"/>
        </w:rPr>
        <w:t>s being</w:t>
      </w:r>
      <w:r w:rsidR="009B719A">
        <w:rPr>
          <w:rFonts w:cs="Times New Roman"/>
          <w:lang w:val="en-GB"/>
        </w:rPr>
        <w:t xml:space="preserve"> stud</w:t>
      </w:r>
      <w:r w:rsidR="00B53432">
        <w:rPr>
          <w:rFonts w:cs="Times New Roman"/>
          <w:lang w:val="en-GB"/>
        </w:rPr>
        <w:t>ied</w:t>
      </w:r>
      <w:r w:rsidR="009B719A">
        <w:rPr>
          <w:rFonts w:cs="Times New Roman"/>
          <w:lang w:val="en-GB"/>
        </w:rPr>
        <w:t xml:space="preserve"> </w:t>
      </w:r>
      <w:r w:rsidR="00BA07DE" w:rsidRPr="003A6273">
        <w:rPr>
          <w:rFonts w:cs="Times New Roman"/>
          <w:lang w:val="en-GB"/>
        </w:rPr>
        <w:t>(</w:t>
      </w:r>
      <w:r w:rsidR="009A1E84" w:rsidRPr="003A6273">
        <w:rPr>
          <w:rFonts w:cs="Times New Roman"/>
          <w:lang w:val="en-GB"/>
        </w:rPr>
        <w:t>Cui et al.</w:t>
      </w:r>
      <w:r w:rsidR="00BA07DE" w:rsidRPr="003A6273">
        <w:rPr>
          <w:rFonts w:cs="Times New Roman"/>
          <w:lang w:val="en-GB"/>
        </w:rPr>
        <w:t xml:space="preserve"> </w:t>
      </w:r>
      <w:r w:rsidR="009A1E84" w:rsidRPr="003A6273">
        <w:rPr>
          <w:rFonts w:cs="Times New Roman"/>
          <w:lang w:val="en-GB"/>
        </w:rPr>
        <w:t xml:space="preserve">2016). </w:t>
      </w:r>
      <w:r w:rsidR="00E862EA">
        <w:rPr>
          <w:rFonts w:cs="Times New Roman"/>
          <w:lang w:val="en-GB"/>
        </w:rPr>
        <w:t xml:space="preserve">On the other hand, a </w:t>
      </w:r>
      <w:r w:rsidR="00E80E69">
        <w:rPr>
          <w:rFonts w:cs="Times New Roman"/>
          <w:lang w:val="en-GB"/>
        </w:rPr>
        <w:t>s</w:t>
      </w:r>
      <w:r w:rsidR="00C16C81">
        <w:rPr>
          <w:rFonts w:cs="Times New Roman"/>
          <w:lang w:val="en-GB"/>
        </w:rPr>
        <w:t xml:space="preserve">tudy of </w:t>
      </w:r>
      <w:r w:rsidR="00031AFA">
        <w:rPr>
          <w:rFonts w:cs="Times New Roman"/>
          <w:lang w:val="en-GB"/>
        </w:rPr>
        <w:t>AM</w:t>
      </w:r>
      <w:r w:rsidR="006A77C4">
        <w:rPr>
          <w:rFonts w:cs="Times New Roman"/>
          <w:lang w:val="en-GB"/>
        </w:rPr>
        <w:t xml:space="preserve"> </w:t>
      </w:r>
      <w:r w:rsidR="006A77C4" w:rsidRPr="00BA1DCA">
        <w:rPr>
          <w:rStyle w:val="ResponseChar"/>
        </w:rPr>
        <w:t>fungal</w:t>
      </w:r>
      <w:r w:rsidR="00031AFA">
        <w:rPr>
          <w:rFonts w:cs="Times New Roman"/>
          <w:lang w:val="en-GB"/>
        </w:rPr>
        <w:t xml:space="preserve"> </w:t>
      </w:r>
      <w:r w:rsidR="00C16C81">
        <w:rPr>
          <w:rFonts w:cs="Times New Roman"/>
          <w:lang w:val="en-GB"/>
        </w:rPr>
        <w:t>communities in dune grass</w:t>
      </w:r>
      <w:r w:rsidR="00031AFA">
        <w:rPr>
          <w:rFonts w:cs="Times New Roman"/>
          <w:lang w:val="en-GB"/>
        </w:rPr>
        <w:t xml:space="preserve"> roots</w:t>
      </w:r>
      <w:r w:rsidR="00C16C81">
        <w:rPr>
          <w:rFonts w:cs="Times New Roman"/>
          <w:lang w:val="en-GB"/>
        </w:rPr>
        <w:t xml:space="preserve"> showed</w:t>
      </w:r>
      <w:r w:rsidR="00E862EA">
        <w:rPr>
          <w:rFonts w:cs="Times New Roman"/>
          <w:lang w:val="en-GB"/>
        </w:rPr>
        <w:t xml:space="preserve"> that Illumina sequencing can</w:t>
      </w:r>
      <w:r w:rsidR="00C16C81">
        <w:rPr>
          <w:rFonts w:cs="Times New Roman"/>
          <w:lang w:val="en-GB"/>
        </w:rPr>
        <w:t xml:space="preserve"> recover AM</w:t>
      </w:r>
      <w:r w:rsidR="006A77C4">
        <w:rPr>
          <w:rFonts w:cs="Times New Roman"/>
          <w:lang w:val="en-GB"/>
        </w:rPr>
        <w:t xml:space="preserve"> </w:t>
      </w:r>
      <w:r w:rsidR="006A77C4" w:rsidRPr="00BA1DCA">
        <w:rPr>
          <w:rStyle w:val="ResponseChar"/>
        </w:rPr>
        <w:t>fungi</w:t>
      </w:r>
      <w:r w:rsidR="00C16C81">
        <w:rPr>
          <w:rFonts w:cs="Times New Roman"/>
          <w:lang w:val="en-GB"/>
        </w:rPr>
        <w:t xml:space="preserve"> from most root samples </w:t>
      </w:r>
      <w:r w:rsidR="00E862EA">
        <w:rPr>
          <w:rFonts w:cs="Times New Roman"/>
          <w:lang w:val="en-GB"/>
        </w:rPr>
        <w:t xml:space="preserve">while providing </w:t>
      </w:r>
      <w:r w:rsidR="00031AFA">
        <w:rPr>
          <w:rFonts w:cs="Times New Roman"/>
          <w:lang w:val="en-GB"/>
        </w:rPr>
        <w:t xml:space="preserve">broad </w:t>
      </w:r>
      <w:r w:rsidR="00C16C81">
        <w:rPr>
          <w:rFonts w:cs="Times New Roman"/>
          <w:lang w:val="en-GB"/>
        </w:rPr>
        <w:t xml:space="preserve">phylogenetic </w:t>
      </w:r>
      <w:r w:rsidR="00031AFA">
        <w:rPr>
          <w:rFonts w:cs="Times New Roman"/>
          <w:lang w:val="en-GB"/>
        </w:rPr>
        <w:t>coverage of clades (Johansen et al. 2016)</w:t>
      </w:r>
      <w:r w:rsidR="009E20CE">
        <w:rPr>
          <w:rFonts w:cs="Times New Roman"/>
          <w:lang w:val="en-GB"/>
        </w:rPr>
        <w:t xml:space="preserve">. </w:t>
      </w:r>
      <w:r w:rsidR="001B5940">
        <w:rPr>
          <w:rFonts w:cs="Times New Roman"/>
          <w:lang w:val="en-GB"/>
        </w:rPr>
        <w:t>Results from a</w:t>
      </w:r>
      <w:r w:rsidR="00BA7A35">
        <w:rPr>
          <w:rFonts w:cs="Times New Roman"/>
          <w:lang w:val="en-GB"/>
        </w:rPr>
        <w:t>rid ecosystems in North</w:t>
      </w:r>
      <w:r w:rsidR="001B5940">
        <w:rPr>
          <w:rFonts w:cs="Times New Roman"/>
          <w:lang w:val="en-GB"/>
        </w:rPr>
        <w:t>ern</w:t>
      </w:r>
      <w:r w:rsidR="00BA7A35">
        <w:rPr>
          <w:rFonts w:cs="Times New Roman"/>
          <w:lang w:val="en-GB"/>
        </w:rPr>
        <w:t xml:space="preserve"> China (</w:t>
      </w:r>
      <w:r w:rsidR="001C630D">
        <w:rPr>
          <w:rFonts w:cs="Times New Roman"/>
          <w:lang w:val="en-GB"/>
        </w:rPr>
        <w:t>Liu et al. 201</w:t>
      </w:r>
      <w:r w:rsidR="00322731">
        <w:rPr>
          <w:rFonts w:cs="Times New Roman"/>
          <w:lang w:val="en-GB"/>
        </w:rPr>
        <w:t>7</w:t>
      </w:r>
      <w:r w:rsidR="00BA7A35">
        <w:rPr>
          <w:rFonts w:cs="Times New Roman"/>
          <w:lang w:val="en-GB"/>
        </w:rPr>
        <w:t xml:space="preserve">) and </w:t>
      </w:r>
      <w:r w:rsidR="001B5940">
        <w:rPr>
          <w:rFonts w:cs="Times New Roman"/>
          <w:lang w:val="en-GB"/>
        </w:rPr>
        <w:t xml:space="preserve">from </w:t>
      </w:r>
      <w:r w:rsidR="00BA7A35">
        <w:rPr>
          <w:rFonts w:cs="Times New Roman"/>
          <w:lang w:val="en-GB"/>
        </w:rPr>
        <w:t xml:space="preserve">maize roots (Wang et al. 2016) </w:t>
      </w:r>
      <w:r w:rsidR="00E862EA">
        <w:rPr>
          <w:rFonts w:cs="Times New Roman"/>
          <w:lang w:val="en-GB"/>
        </w:rPr>
        <w:t>also showed that the techniques can generate large quantit</w:t>
      </w:r>
      <w:r w:rsidR="00B53432">
        <w:rPr>
          <w:rFonts w:cs="Times New Roman"/>
          <w:lang w:val="en-GB"/>
        </w:rPr>
        <w:t>ies</w:t>
      </w:r>
      <w:r w:rsidR="00E862EA">
        <w:rPr>
          <w:rFonts w:cs="Times New Roman"/>
          <w:lang w:val="en-GB"/>
        </w:rPr>
        <w:t xml:space="preserve"> of AM</w:t>
      </w:r>
      <w:r w:rsidR="006A77C4">
        <w:rPr>
          <w:rFonts w:cs="Times New Roman"/>
          <w:lang w:val="en-GB"/>
        </w:rPr>
        <w:t xml:space="preserve"> </w:t>
      </w:r>
      <w:r w:rsidR="006A77C4" w:rsidRPr="00BA1DCA">
        <w:rPr>
          <w:rStyle w:val="ResponseChar"/>
        </w:rPr>
        <w:t>fungal</w:t>
      </w:r>
      <w:r w:rsidR="00E862EA">
        <w:rPr>
          <w:rFonts w:cs="Times New Roman"/>
          <w:lang w:val="en-GB"/>
        </w:rPr>
        <w:t xml:space="preserve"> reads (&gt;</w:t>
      </w:r>
      <w:r w:rsidR="00083E3E">
        <w:rPr>
          <w:rFonts w:cs="Times New Roman"/>
          <w:lang w:val="en-GB"/>
        </w:rPr>
        <w:t xml:space="preserve"> </w:t>
      </w:r>
      <w:r w:rsidR="00A25ECD">
        <w:rPr>
          <w:rFonts w:cs="Times New Roman"/>
          <w:lang w:val="en-GB"/>
        </w:rPr>
        <w:t>70%</w:t>
      </w:r>
      <w:r w:rsidR="00BA7A35">
        <w:rPr>
          <w:rFonts w:cs="Times New Roman"/>
          <w:lang w:val="en-GB"/>
        </w:rPr>
        <w:t xml:space="preserve"> </w:t>
      </w:r>
      <w:r w:rsidR="001B5940">
        <w:rPr>
          <w:rFonts w:cs="Times New Roman"/>
          <w:lang w:val="en-GB"/>
        </w:rPr>
        <w:t>of</w:t>
      </w:r>
      <w:r w:rsidR="001C630D">
        <w:rPr>
          <w:rFonts w:cs="Times New Roman"/>
          <w:lang w:val="en-GB"/>
        </w:rPr>
        <w:t xml:space="preserve"> quality</w:t>
      </w:r>
      <w:r w:rsidR="00E80E69">
        <w:rPr>
          <w:rFonts w:cs="Times New Roman"/>
          <w:lang w:val="en-GB"/>
        </w:rPr>
        <w:t>-</w:t>
      </w:r>
      <w:r w:rsidR="001C630D">
        <w:rPr>
          <w:rFonts w:cs="Times New Roman"/>
          <w:lang w:val="en-GB"/>
        </w:rPr>
        <w:t xml:space="preserve">controlled </w:t>
      </w:r>
      <w:r w:rsidR="00BA7A35">
        <w:rPr>
          <w:rFonts w:cs="Times New Roman"/>
          <w:lang w:val="en-GB"/>
        </w:rPr>
        <w:t xml:space="preserve">Illumina paired-end </w:t>
      </w:r>
      <w:r w:rsidR="001C630D">
        <w:rPr>
          <w:rFonts w:cs="Times New Roman"/>
          <w:lang w:val="en-GB"/>
        </w:rPr>
        <w:t xml:space="preserve">sequences </w:t>
      </w:r>
      <w:r w:rsidR="00E862EA">
        <w:rPr>
          <w:rFonts w:cs="Times New Roman"/>
          <w:lang w:val="en-GB"/>
        </w:rPr>
        <w:t xml:space="preserve">were from </w:t>
      </w:r>
      <w:r w:rsidR="001C630D">
        <w:rPr>
          <w:rFonts w:cs="Times New Roman"/>
          <w:lang w:val="en-GB"/>
        </w:rPr>
        <w:t>Glomeromycot</w:t>
      </w:r>
      <w:r w:rsidR="00064028">
        <w:rPr>
          <w:rFonts w:cs="Times New Roman"/>
          <w:lang w:val="en-GB"/>
        </w:rPr>
        <w:t>in</w:t>
      </w:r>
      <w:r w:rsidR="001C630D">
        <w:rPr>
          <w:rFonts w:cs="Times New Roman"/>
          <w:lang w:val="en-GB"/>
        </w:rPr>
        <w:t>a</w:t>
      </w:r>
      <w:r w:rsidR="00E862EA">
        <w:rPr>
          <w:rFonts w:cs="Times New Roman"/>
          <w:lang w:val="en-GB"/>
        </w:rPr>
        <w:t>)</w:t>
      </w:r>
      <w:r w:rsidR="001C630D">
        <w:rPr>
          <w:rFonts w:cs="Times New Roman"/>
          <w:lang w:val="en-GB"/>
        </w:rPr>
        <w:t>.</w:t>
      </w:r>
      <w:r w:rsidR="00C16C81">
        <w:rPr>
          <w:rFonts w:cs="Times New Roman"/>
          <w:lang w:val="en-GB"/>
        </w:rPr>
        <w:t xml:space="preserve"> </w:t>
      </w:r>
      <w:r w:rsidR="00886B00">
        <w:rPr>
          <w:rFonts w:cs="Times New Roman"/>
          <w:lang w:val="en-GB"/>
        </w:rPr>
        <w:t xml:space="preserve">However, it has not yet been assessed </w:t>
      </w:r>
      <w:r w:rsidR="00DF256E">
        <w:rPr>
          <w:rFonts w:cs="Times New Roman"/>
          <w:lang w:val="en-GB"/>
        </w:rPr>
        <w:t>how</w:t>
      </w:r>
      <w:r w:rsidR="004C57B0">
        <w:rPr>
          <w:rFonts w:cs="Times New Roman"/>
          <w:lang w:val="en-GB"/>
        </w:rPr>
        <w:t xml:space="preserve"> the Illumina sequencing approach, with </w:t>
      </w:r>
      <w:r w:rsidR="00886B00">
        <w:rPr>
          <w:rFonts w:cs="Times New Roman"/>
          <w:lang w:val="en-GB"/>
        </w:rPr>
        <w:t xml:space="preserve">increased sequencing depth </w:t>
      </w:r>
      <w:r w:rsidR="00DF256E">
        <w:rPr>
          <w:rFonts w:cs="Times New Roman"/>
          <w:lang w:val="en-GB"/>
        </w:rPr>
        <w:t>per sample</w:t>
      </w:r>
      <w:r w:rsidR="004C57B0">
        <w:rPr>
          <w:rFonts w:cs="Times New Roman"/>
          <w:lang w:val="en-GB"/>
        </w:rPr>
        <w:t xml:space="preserve">, </w:t>
      </w:r>
      <w:r w:rsidR="00E862EA">
        <w:rPr>
          <w:rFonts w:cs="Times New Roman"/>
          <w:lang w:val="en-GB"/>
        </w:rPr>
        <w:t xml:space="preserve">a </w:t>
      </w:r>
      <w:r w:rsidR="004C57B0">
        <w:rPr>
          <w:rFonts w:cs="Times New Roman"/>
          <w:lang w:val="en-GB"/>
        </w:rPr>
        <w:t>change in amplicon length and associated differences in bioinformatic procedures, affects</w:t>
      </w:r>
      <w:r w:rsidR="00886B00">
        <w:rPr>
          <w:rFonts w:cs="Times New Roman"/>
          <w:lang w:val="en-GB"/>
        </w:rPr>
        <w:t xml:space="preserve"> </w:t>
      </w:r>
      <w:r w:rsidR="00E80E69">
        <w:rPr>
          <w:rFonts w:cs="Times New Roman"/>
          <w:lang w:val="en-GB"/>
        </w:rPr>
        <w:t>the capture of</w:t>
      </w:r>
      <w:r w:rsidR="00886B00">
        <w:rPr>
          <w:rFonts w:cs="Times New Roman"/>
          <w:lang w:val="en-GB"/>
        </w:rPr>
        <w:t xml:space="preserve"> AM</w:t>
      </w:r>
      <w:r w:rsidR="006A77C4">
        <w:rPr>
          <w:rFonts w:cs="Times New Roman"/>
          <w:lang w:val="en-GB"/>
        </w:rPr>
        <w:t xml:space="preserve"> </w:t>
      </w:r>
      <w:r w:rsidR="006A77C4" w:rsidRPr="00BA1DCA">
        <w:rPr>
          <w:rStyle w:val="ResponseChar"/>
        </w:rPr>
        <w:t>fungal</w:t>
      </w:r>
      <w:r w:rsidR="00886B00">
        <w:rPr>
          <w:rFonts w:cs="Times New Roman"/>
          <w:lang w:val="en-GB"/>
        </w:rPr>
        <w:t xml:space="preserve"> diversity</w:t>
      </w:r>
      <w:r w:rsidR="004C57B0">
        <w:rPr>
          <w:rFonts w:cs="Times New Roman"/>
          <w:lang w:val="en-GB"/>
        </w:rPr>
        <w:t xml:space="preserve"> and the</w:t>
      </w:r>
      <w:r w:rsidR="00886B00">
        <w:rPr>
          <w:rFonts w:cs="Times New Roman"/>
          <w:lang w:val="en-GB"/>
        </w:rPr>
        <w:t xml:space="preserve"> accuracy of AM</w:t>
      </w:r>
      <w:r w:rsidR="006A77C4">
        <w:rPr>
          <w:rFonts w:cs="Times New Roman"/>
          <w:lang w:val="en-GB"/>
        </w:rPr>
        <w:t xml:space="preserve"> </w:t>
      </w:r>
      <w:r w:rsidR="006A77C4" w:rsidRPr="00BA1DCA">
        <w:rPr>
          <w:rStyle w:val="ResponseChar"/>
        </w:rPr>
        <w:t>fungal</w:t>
      </w:r>
      <w:r w:rsidR="00886B00">
        <w:rPr>
          <w:rFonts w:cs="Times New Roman"/>
          <w:lang w:val="en-GB"/>
        </w:rPr>
        <w:t xml:space="preserve"> identification</w:t>
      </w:r>
      <w:r w:rsidR="00D744D5">
        <w:rPr>
          <w:rFonts w:cs="Times New Roman"/>
          <w:lang w:val="en-GB"/>
        </w:rPr>
        <w:t xml:space="preserve"> compared </w:t>
      </w:r>
      <w:r w:rsidR="0078610C" w:rsidRPr="00BA1DCA">
        <w:rPr>
          <w:rStyle w:val="ResponseChar"/>
        </w:rPr>
        <w:t>with</w:t>
      </w:r>
      <w:r w:rsidR="0078610C">
        <w:rPr>
          <w:rFonts w:cs="Times New Roman"/>
          <w:lang w:val="en-GB"/>
        </w:rPr>
        <w:t xml:space="preserve"> </w:t>
      </w:r>
      <w:r w:rsidR="00064028">
        <w:rPr>
          <w:rFonts w:cs="Times New Roman"/>
          <w:lang w:val="en-GB"/>
        </w:rPr>
        <w:t xml:space="preserve">the </w:t>
      </w:r>
      <w:r w:rsidR="00D744D5">
        <w:rPr>
          <w:rFonts w:cs="Times New Roman"/>
          <w:lang w:val="en-GB"/>
        </w:rPr>
        <w:t>re</w:t>
      </w:r>
      <w:r w:rsidR="00FF3DAE">
        <w:rPr>
          <w:rFonts w:cs="Times New Roman"/>
          <w:lang w:val="en-GB"/>
        </w:rPr>
        <w:t xml:space="preserve">latively well tested 454 </w:t>
      </w:r>
      <w:r w:rsidR="00D744D5">
        <w:rPr>
          <w:rFonts w:cs="Times New Roman"/>
          <w:lang w:val="en-GB"/>
        </w:rPr>
        <w:t>sequencing</w:t>
      </w:r>
      <w:r w:rsidR="00E862EA">
        <w:rPr>
          <w:rFonts w:cs="Times New Roman"/>
          <w:lang w:val="en-GB"/>
        </w:rPr>
        <w:t xml:space="preserve"> approach</w:t>
      </w:r>
      <w:r w:rsidR="00886B00">
        <w:rPr>
          <w:rFonts w:cs="Times New Roman"/>
          <w:lang w:val="en-GB"/>
        </w:rPr>
        <w:t>.</w:t>
      </w:r>
    </w:p>
    <w:p w:rsidR="00DF472B" w:rsidRPr="008D6281" w:rsidRDefault="00B53432" w:rsidP="00297A98">
      <w:pPr>
        <w:spacing w:line="360" w:lineRule="auto"/>
        <w:ind w:firstLine="709"/>
        <w:rPr>
          <w:rFonts w:cs="Times New Roman"/>
          <w:color w:val="auto"/>
          <w:lang w:val="en-GB"/>
        </w:rPr>
      </w:pPr>
      <w:r>
        <w:rPr>
          <w:rFonts w:cs="Times New Roman"/>
          <w:lang w:val="en-GB"/>
        </w:rPr>
        <w:t>P</w:t>
      </w:r>
      <w:r w:rsidR="009A1E84" w:rsidRPr="003A6273">
        <w:rPr>
          <w:rFonts w:cs="Times New Roman"/>
          <w:lang w:val="en-GB"/>
        </w:rPr>
        <w:t xml:space="preserve">latforms such as Illumina </w:t>
      </w:r>
      <w:r>
        <w:rPr>
          <w:rFonts w:cs="Times New Roman"/>
          <w:lang w:val="en-GB"/>
        </w:rPr>
        <w:t xml:space="preserve">also </w:t>
      </w:r>
      <w:r w:rsidR="00B20A9B">
        <w:rPr>
          <w:rFonts w:cs="Times New Roman"/>
          <w:lang w:val="en-GB"/>
        </w:rPr>
        <w:t xml:space="preserve">allow </w:t>
      </w:r>
      <w:r w:rsidR="00E80E69">
        <w:rPr>
          <w:rFonts w:cs="Times New Roman"/>
          <w:lang w:val="en-GB"/>
        </w:rPr>
        <w:t xml:space="preserve">a </w:t>
      </w:r>
      <w:r w:rsidR="00E862EA">
        <w:rPr>
          <w:rFonts w:cs="Times New Roman"/>
          <w:lang w:val="en-GB"/>
        </w:rPr>
        <w:t xml:space="preserve">metagenomic (i.e. </w:t>
      </w:r>
      <w:r w:rsidR="00B20A9B">
        <w:rPr>
          <w:rFonts w:cs="Times New Roman"/>
          <w:lang w:val="en-GB"/>
        </w:rPr>
        <w:t>PCR-free</w:t>
      </w:r>
      <w:r w:rsidR="00E862EA">
        <w:rPr>
          <w:rFonts w:cs="Times New Roman"/>
          <w:lang w:val="en-GB"/>
        </w:rPr>
        <w:t>)</w:t>
      </w:r>
      <w:r w:rsidR="00DF472B" w:rsidRPr="003A6273">
        <w:rPr>
          <w:rFonts w:cs="Times New Roman"/>
          <w:lang w:val="en-GB"/>
        </w:rPr>
        <w:t xml:space="preserve"> approach to</w:t>
      </w:r>
      <w:r w:rsidR="00765161">
        <w:rPr>
          <w:rFonts w:cs="Times New Roman"/>
          <w:lang w:val="en-GB"/>
        </w:rPr>
        <w:t xml:space="preserve"> </w:t>
      </w:r>
      <w:r w:rsidR="00312064">
        <w:rPr>
          <w:rFonts w:cs="Times New Roman"/>
          <w:lang w:val="en-GB"/>
        </w:rPr>
        <w:t xml:space="preserve">be used when </w:t>
      </w:r>
      <w:r w:rsidR="00E862EA">
        <w:rPr>
          <w:rFonts w:cs="Times New Roman"/>
          <w:lang w:val="en-GB"/>
        </w:rPr>
        <w:t>describing</w:t>
      </w:r>
      <w:r w:rsidR="00E862EA" w:rsidRPr="003A6273">
        <w:rPr>
          <w:rFonts w:cs="Times New Roman"/>
          <w:lang w:val="en-GB"/>
        </w:rPr>
        <w:t xml:space="preserve"> </w:t>
      </w:r>
      <w:r w:rsidR="00DF472B" w:rsidRPr="003A6273">
        <w:rPr>
          <w:rFonts w:cs="Times New Roman"/>
          <w:lang w:val="en-GB"/>
        </w:rPr>
        <w:t>microbial communit</w:t>
      </w:r>
      <w:r w:rsidR="00765161">
        <w:rPr>
          <w:rFonts w:cs="Times New Roman"/>
          <w:lang w:val="en-GB"/>
        </w:rPr>
        <w:t>ies</w:t>
      </w:r>
      <w:r w:rsidR="00B20A9B">
        <w:rPr>
          <w:rFonts w:cs="Times New Roman"/>
          <w:lang w:val="en-GB"/>
        </w:rPr>
        <w:t xml:space="preserve">. This </w:t>
      </w:r>
      <w:r w:rsidR="006A2681">
        <w:rPr>
          <w:rFonts w:cs="Times New Roman"/>
          <w:lang w:val="en-GB"/>
        </w:rPr>
        <w:t xml:space="preserve">allows </w:t>
      </w:r>
      <w:r w:rsidR="00B20A9B">
        <w:rPr>
          <w:rFonts w:cs="Times New Roman"/>
          <w:lang w:val="en-GB"/>
        </w:rPr>
        <w:t>direct identification of the microbiome without potential PCR-introduced bias</w:t>
      </w:r>
      <w:r w:rsidR="006A2681">
        <w:rPr>
          <w:rFonts w:cs="Times New Roman"/>
          <w:lang w:val="en-GB"/>
        </w:rPr>
        <w:t>,</w:t>
      </w:r>
      <w:r w:rsidR="007141AA">
        <w:rPr>
          <w:rFonts w:cs="Times New Roman"/>
          <w:lang w:val="en-GB"/>
        </w:rPr>
        <w:t xml:space="preserve"> </w:t>
      </w:r>
      <w:r w:rsidR="007141AA" w:rsidRPr="007141AA">
        <w:rPr>
          <w:rFonts w:cs="Times New Roman"/>
          <w:lang w:val="en-GB"/>
        </w:rPr>
        <w:t>whereby certain groups are favoured or disfavoured in the amplification process, for example due to primer</w:t>
      </w:r>
      <w:r w:rsidR="007B16CD">
        <w:rPr>
          <w:rFonts w:cs="Times New Roman"/>
          <w:lang w:val="en-GB"/>
        </w:rPr>
        <w:t xml:space="preserve"> </w:t>
      </w:r>
      <w:r w:rsidR="007B16CD" w:rsidRPr="00BA1DCA">
        <w:rPr>
          <w:rStyle w:val="ResponseChar"/>
        </w:rPr>
        <w:t>bias</w:t>
      </w:r>
      <w:r w:rsidR="007141AA" w:rsidRPr="007141AA">
        <w:rPr>
          <w:rFonts w:cs="Times New Roman"/>
          <w:lang w:val="en-GB"/>
        </w:rPr>
        <w:t xml:space="preserve"> </w:t>
      </w:r>
      <w:r w:rsidR="00B20A9B">
        <w:rPr>
          <w:rFonts w:cs="Times New Roman"/>
          <w:lang w:val="en-GB"/>
        </w:rPr>
        <w:t>(</w:t>
      </w:r>
      <w:r w:rsidR="005F1B9C">
        <w:rPr>
          <w:rFonts w:cs="Times New Roman"/>
          <w:lang w:val="en-GB"/>
        </w:rPr>
        <w:t xml:space="preserve">Bradley </w:t>
      </w:r>
      <w:r w:rsidR="001B3054">
        <w:rPr>
          <w:rFonts w:cs="Times New Roman"/>
          <w:lang w:val="en-GB"/>
        </w:rPr>
        <w:t xml:space="preserve">et al. </w:t>
      </w:r>
      <w:r w:rsidR="005F1B9C">
        <w:rPr>
          <w:rFonts w:cs="Times New Roman"/>
          <w:lang w:val="en-GB"/>
        </w:rPr>
        <w:t>2016</w:t>
      </w:r>
      <w:r w:rsidR="00B20A9B">
        <w:rPr>
          <w:rFonts w:cs="Times New Roman"/>
          <w:lang w:val="en-GB"/>
        </w:rPr>
        <w:t>)</w:t>
      </w:r>
      <w:r w:rsidR="00DF472B" w:rsidRPr="003A6273">
        <w:rPr>
          <w:rFonts w:cs="Times New Roman"/>
          <w:lang w:val="en-GB"/>
        </w:rPr>
        <w:t xml:space="preserve">. </w:t>
      </w:r>
      <w:r w:rsidR="00B20A9B">
        <w:rPr>
          <w:rFonts w:cs="Times New Roman"/>
          <w:lang w:val="en-GB"/>
        </w:rPr>
        <w:t>Furthermore, m</w:t>
      </w:r>
      <w:r w:rsidR="00DF472B" w:rsidRPr="003A6273">
        <w:rPr>
          <w:rFonts w:cs="Times New Roman"/>
          <w:lang w:val="en-GB"/>
        </w:rPr>
        <w:t xml:space="preserve">etagenomic </w:t>
      </w:r>
      <w:r w:rsidR="00ED7882">
        <w:rPr>
          <w:rFonts w:cs="Times New Roman"/>
          <w:lang w:val="en-GB"/>
        </w:rPr>
        <w:t>sequence data includes</w:t>
      </w:r>
      <w:r w:rsidR="00DF472B" w:rsidRPr="003A6273">
        <w:rPr>
          <w:rFonts w:cs="Times New Roman"/>
          <w:lang w:val="en-GB"/>
        </w:rPr>
        <w:t xml:space="preserve"> entire genomes and </w:t>
      </w:r>
      <w:r w:rsidR="00ED7882">
        <w:rPr>
          <w:rFonts w:cs="Times New Roman"/>
          <w:lang w:val="en-GB"/>
        </w:rPr>
        <w:t>is</w:t>
      </w:r>
      <w:r w:rsidR="00DF472B" w:rsidRPr="003A6273">
        <w:rPr>
          <w:rFonts w:cs="Times New Roman"/>
          <w:lang w:val="en-GB"/>
        </w:rPr>
        <w:t xml:space="preserve"> largely quantitative </w:t>
      </w:r>
      <w:r w:rsidR="00ED7882">
        <w:rPr>
          <w:rFonts w:cs="Times New Roman"/>
          <w:lang w:val="en-GB"/>
        </w:rPr>
        <w:t>proportionally to the template</w:t>
      </w:r>
      <w:r w:rsidR="003819E8">
        <w:rPr>
          <w:rFonts w:cs="Times New Roman"/>
          <w:lang w:val="en-GB"/>
        </w:rPr>
        <w:t xml:space="preserve"> DNA (</w:t>
      </w:r>
      <w:r w:rsidR="00976224">
        <w:rPr>
          <w:rFonts w:cs="Times New Roman"/>
          <w:lang w:val="en-GB"/>
        </w:rPr>
        <w:t>Thomas et al. 2012</w:t>
      </w:r>
      <w:r w:rsidR="003819E8">
        <w:rPr>
          <w:rFonts w:cs="Times New Roman"/>
          <w:lang w:val="en-GB"/>
        </w:rPr>
        <w:t>)</w:t>
      </w:r>
      <w:r w:rsidR="008D6281">
        <w:rPr>
          <w:rFonts w:cs="Times New Roman"/>
          <w:lang w:val="en-GB"/>
        </w:rPr>
        <w:t xml:space="preserve">, </w:t>
      </w:r>
      <w:r>
        <w:rPr>
          <w:rFonts w:cs="Times New Roman"/>
          <w:lang w:val="en-GB"/>
        </w:rPr>
        <w:t xml:space="preserve">potentially </w:t>
      </w:r>
      <w:r w:rsidR="008D6281">
        <w:rPr>
          <w:rFonts w:cs="Times New Roman"/>
          <w:lang w:val="en-GB"/>
        </w:rPr>
        <w:t>allowing precise identification, functional profiling and quantification</w:t>
      </w:r>
      <w:r w:rsidR="00D526C1">
        <w:rPr>
          <w:rFonts w:cs="Times New Roman"/>
          <w:lang w:val="en-GB"/>
        </w:rPr>
        <w:t xml:space="preserve"> (</w:t>
      </w:r>
      <w:r w:rsidR="00976224">
        <w:rPr>
          <w:rFonts w:cs="Times New Roman"/>
          <w:lang w:val="en-GB"/>
        </w:rPr>
        <w:t>Randle-Boggis et al. 2016</w:t>
      </w:r>
      <w:r w:rsidR="00D526C1">
        <w:rPr>
          <w:rFonts w:cs="Times New Roman"/>
          <w:lang w:val="en-GB"/>
        </w:rPr>
        <w:t>)</w:t>
      </w:r>
      <w:r w:rsidR="00DF472B" w:rsidRPr="008D6281">
        <w:rPr>
          <w:rFonts w:cs="Times New Roman"/>
          <w:color w:val="auto"/>
          <w:lang w:val="en-GB"/>
        </w:rPr>
        <w:t>.</w:t>
      </w:r>
      <w:r w:rsidR="008D6281" w:rsidRPr="008D6281">
        <w:rPr>
          <w:rFonts w:cs="Times New Roman"/>
          <w:color w:val="auto"/>
          <w:lang w:val="en-GB"/>
        </w:rPr>
        <w:t xml:space="preserve"> </w:t>
      </w:r>
      <w:r w:rsidR="00CD483A" w:rsidRPr="008D6281">
        <w:rPr>
          <w:rFonts w:cs="Times New Roman"/>
          <w:color w:val="auto"/>
          <w:lang w:val="en-GB"/>
        </w:rPr>
        <w:t>While community surveys of AM</w:t>
      </w:r>
      <w:r w:rsidR="006A77C4">
        <w:rPr>
          <w:rFonts w:cs="Times New Roman"/>
          <w:color w:val="auto"/>
          <w:lang w:val="en-GB"/>
        </w:rPr>
        <w:t xml:space="preserve"> </w:t>
      </w:r>
      <w:r w:rsidR="006A77C4" w:rsidRPr="00BA1DCA">
        <w:rPr>
          <w:rStyle w:val="ResponseChar"/>
        </w:rPr>
        <w:t>fungi</w:t>
      </w:r>
      <w:r w:rsidR="00CD483A" w:rsidRPr="008D6281">
        <w:rPr>
          <w:rFonts w:cs="Times New Roman"/>
          <w:color w:val="auto"/>
          <w:lang w:val="en-GB"/>
        </w:rPr>
        <w:t xml:space="preserve"> still rely almost exclusively on markers derived from the </w:t>
      </w:r>
      <w:r w:rsidR="007B200C">
        <w:rPr>
          <w:rFonts w:cs="Times New Roman"/>
          <w:color w:val="auto"/>
          <w:lang w:val="en-GB"/>
        </w:rPr>
        <w:lastRenderedPageBreak/>
        <w:t xml:space="preserve">nuclear </w:t>
      </w:r>
      <w:r w:rsidR="00CD483A" w:rsidRPr="008D6281">
        <w:rPr>
          <w:rFonts w:cs="Times New Roman"/>
          <w:color w:val="auto"/>
          <w:lang w:val="en-GB"/>
        </w:rPr>
        <w:t>ribosomal operon, it would be informative to assess the feasibility of applying a metagenomic approach to study the ribosomal gene diversity of AM</w:t>
      </w:r>
      <w:r w:rsidR="006A77C4">
        <w:rPr>
          <w:rFonts w:cs="Times New Roman"/>
          <w:color w:val="auto"/>
          <w:lang w:val="en-GB"/>
        </w:rPr>
        <w:t xml:space="preserve"> </w:t>
      </w:r>
      <w:r w:rsidR="006A77C4" w:rsidRPr="00BA1DCA">
        <w:rPr>
          <w:rStyle w:val="ResponseChar"/>
        </w:rPr>
        <w:t>fungi</w:t>
      </w:r>
      <w:r w:rsidR="00CD483A" w:rsidRPr="008D6281">
        <w:rPr>
          <w:rFonts w:cs="Times New Roman"/>
          <w:color w:val="auto"/>
          <w:lang w:val="en-GB"/>
        </w:rPr>
        <w:t xml:space="preserve"> in environmental samples.</w:t>
      </w:r>
    </w:p>
    <w:p w:rsidR="00711609" w:rsidRPr="003A6273" w:rsidRDefault="00CD483A" w:rsidP="00297A98">
      <w:pPr>
        <w:spacing w:line="360" w:lineRule="auto"/>
        <w:ind w:firstLine="709"/>
        <w:rPr>
          <w:rFonts w:cs="Times New Roman"/>
          <w:lang w:val="en-GB"/>
        </w:rPr>
      </w:pPr>
      <w:r w:rsidRPr="003A6273">
        <w:rPr>
          <w:rFonts w:cs="Times New Roman"/>
          <w:lang w:val="en-GB"/>
        </w:rPr>
        <w:t>Here, we</w:t>
      </w:r>
      <w:r w:rsidR="002C278A" w:rsidRPr="003A6273">
        <w:rPr>
          <w:rFonts w:cs="Times New Roman"/>
          <w:lang w:val="en-GB"/>
        </w:rPr>
        <w:t xml:space="preserve"> use </w:t>
      </w:r>
      <w:r w:rsidR="00E80E69">
        <w:rPr>
          <w:rFonts w:cs="Times New Roman"/>
          <w:lang w:val="en-GB"/>
        </w:rPr>
        <w:t xml:space="preserve">the </w:t>
      </w:r>
      <w:r w:rsidR="002C278A" w:rsidRPr="003A6273">
        <w:rPr>
          <w:rFonts w:cs="Times New Roman"/>
          <w:lang w:val="en-GB"/>
        </w:rPr>
        <w:t xml:space="preserve">Illumina MiSeq sequencing platform using tagmentation </w:t>
      </w:r>
      <w:r w:rsidR="009F2575">
        <w:rPr>
          <w:rFonts w:cs="Times New Roman"/>
          <w:lang w:val="en-GB"/>
        </w:rPr>
        <w:t xml:space="preserve">with PCR-based and </w:t>
      </w:r>
      <w:r w:rsidR="008D6281">
        <w:rPr>
          <w:rFonts w:cs="Times New Roman"/>
          <w:lang w:val="en-GB"/>
        </w:rPr>
        <w:t>metagenomic approach</w:t>
      </w:r>
      <w:r w:rsidR="009F2575">
        <w:rPr>
          <w:rFonts w:cs="Times New Roman"/>
          <w:lang w:val="en-GB"/>
        </w:rPr>
        <w:t>es</w:t>
      </w:r>
      <w:r w:rsidR="008D6281">
        <w:rPr>
          <w:rFonts w:cs="Times New Roman"/>
          <w:lang w:val="en-GB"/>
        </w:rPr>
        <w:t xml:space="preserve"> </w:t>
      </w:r>
      <w:r w:rsidR="002C278A" w:rsidRPr="003A6273">
        <w:rPr>
          <w:rFonts w:cs="Times New Roman"/>
          <w:lang w:val="en-GB"/>
        </w:rPr>
        <w:t>to describe AM</w:t>
      </w:r>
      <w:r w:rsidR="006A77C4">
        <w:rPr>
          <w:rFonts w:cs="Times New Roman"/>
          <w:lang w:val="en-GB"/>
        </w:rPr>
        <w:t xml:space="preserve"> </w:t>
      </w:r>
      <w:r w:rsidR="006A77C4" w:rsidRPr="00BA1DCA">
        <w:rPr>
          <w:rStyle w:val="ResponseChar"/>
        </w:rPr>
        <w:t>fungal</w:t>
      </w:r>
      <w:r w:rsidR="002C278A" w:rsidRPr="003A6273">
        <w:rPr>
          <w:rFonts w:cs="Times New Roman"/>
          <w:lang w:val="en-GB"/>
        </w:rPr>
        <w:t xml:space="preserve"> diversity </w:t>
      </w:r>
      <w:r w:rsidR="008D6281">
        <w:rPr>
          <w:rFonts w:cs="Times New Roman"/>
          <w:lang w:val="en-GB"/>
        </w:rPr>
        <w:t xml:space="preserve">in natural plant root samples </w:t>
      </w:r>
      <w:r w:rsidR="002C278A" w:rsidRPr="003A6273">
        <w:rPr>
          <w:rFonts w:cs="Times New Roman"/>
          <w:lang w:val="en-GB"/>
        </w:rPr>
        <w:t xml:space="preserve">and compare the results with those </w:t>
      </w:r>
      <w:r w:rsidRPr="003A6273">
        <w:rPr>
          <w:rFonts w:cs="Times New Roman"/>
          <w:lang w:val="en-GB"/>
        </w:rPr>
        <w:t>generated using</w:t>
      </w:r>
      <w:r w:rsidR="008D6281">
        <w:rPr>
          <w:rFonts w:cs="Times New Roman"/>
          <w:lang w:val="en-GB"/>
        </w:rPr>
        <w:t xml:space="preserve"> 454</w:t>
      </w:r>
      <w:r w:rsidR="00A8072F">
        <w:rPr>
          <w:rFonts w:cs="Times New Roman"/>
          <w:lang w:val="en-GB"/>
        </w:rPr>
        <w:t xml:space="preserve"> </w:t>
      </w:r>
      <w:r w:rsidR="002C278A" w:rsidRPr="003A6273">
        <w:rPr>
          <w:rFonts w:cs="Times New Roman"/>
          <w:lang w:val="en-GB"/>
        </w:rPr>
        <w:t xml:space="preserve">sequencing. We </w:t>
      </w:r>
      <w:r w:rsidR="008D6281">
        <w:rPr>
          <w:rFonts w:cs="Times New Roman"/>
          <w:lang w:val="en-GB"/>
        </w:rPr>
        <w:t xml:space="preserve">aim to </w:t>
      </w:r>
      <w:r w:rsidR="0078610C" w:rsidRPr="00BA1DCA">
        <w:rPr>
          <w:rStyle w:val="ResponseChar"/>
        </w:rPr>
        <w:t>(1)</w:t>
      </w:r>
      <w:r w:rsidR="0078610C">
        <w:rPr>
          <w:rFonts w:cs="Times New Roman"/>
          <w:lang w:val="en-GB"/>
        </w:rPr>
        <w:t xml:space="preserve"> </w:t>
      </w:r>
      <w:r w:rsidR="008D6281">
        <w:rPr>
          <w:rFonts w:cs="Times New Roman"/>
          <w:lang w:val="en-GB"/>
        </w:rPr>
        <w:t>determine whether</w:t>
      </w:r>
      <w:r w:rsidR="002C278A" w:rsidRPr="003A6273">
        <w:rPr>
          <w:rFonts w:cs="Times New Roman"/>
          <w:lang w:val="en-GB"/>
        </w:rPr>
        <w:t xml:space="preserve"> </w:t>
      </w:r>
      <w:r w:rsidR="008D6281">
        <w:rPr>
          <w:rFonts w:cs="Times New Roman"/>
          <w:lang w:val="en-GB"/>
        </w:rPr>
        <w:t>the choice of sequencing approach (</w:t>
      </w:r>
      <w:r w:rsidR="008D6281" w:rsidRPr="003A6273">
        <w:rPr>
          <w:rFonts w:cs="Times New Roman"/>
          <w:lang w:val="en-GB"/>
        </w:rPr>
        <w:t>Il</w:t>
      </w:r>
      <w:r w:rsidR="008D6281">
        <w:rPr>
          <w:rFonts w:cs="Times New Roman"/>
          <w:lang w:val="en-GB"/>
        </w:rPr>
        <w:t>lumina MiSeq and 454</w:t>
      </w:r>
      <w:r w:rsidR="00A8072F">
        <w:rPr>
          <w:rFonts w:cs="Times New Roman"/>
          <w:lang w:val="en-GB"/>
        </w:rPr>
        <w:t xml:space="preserve"> </w:t>
      </w:r>
      <w:r w:rsidR="008D6281">
        <w:rPr>
          <w:rFonts w:cs="Times New Roman"/>
          <w:lang w:val="en-GB"/>
        </w:rPr>
        <w:t>sequencing) affects measure</w:t>
      </w:r>
      <w:r w:rsidR="00312064">
        <w:rPr>
          <w:rFonts w:cs="Times New Roman"/>
          <w:lang w:val="en-GB"/>
        </w:rPr>
        <w:t>ments of</w:t>
      </w:r>
      <w:r w:rsidR="008D6281">
        <w:rPr>
          <w:rFonts w:cs="Times New Roman"/>
          <w:lang w:val="en-GB"/>
        </w:rPr>
        <w:t xml:space="preserve"> AM</w:t>
      </w:r>
      <w:r w:rsidR="006A77C4">
        <w:rPr>
          <w:rFonts w:cs="Times New Roman"/>
          <w:lang w:val="en-GB"/>
        </w:rPr>
        <w:t xml:space="preserve"> </w:t>
      </w:r>
      <w:r w:rsidR="006A77C4" w:rsidRPr="00BA1DCA">
        <w:rPr>
          <w:rStyle w:val="ResponseChar"/>
        </w:rPr>
        <w:t>fungal</w:t>
      </w:r>
      <w:r w:rsidR="008D6281">
        <w:rPr>
          <w:rFonts w:cs="Times New Roman"/>
          <w:lang w:val="en-GB"/>
        </w:rPr>
        <w:t xml:space="preserve"> diversity,</w:t>
      </w:r>
      <w:r w:rsidR="002C278A" w:rsidRPr="003A6273">
        <w:rPr>
          <w:rFonts w:cs="Times New Roman"/>
          <w:lang w:val="en-GB"/>
        </w:rPr>
        <w:t xml:space="preserve"> (2) </w:t>
      </w:r>
      <w:r w:rsidR="0078610C" w:rsidRPr="00BA1DCA">
        <w:rPr>
          <w:rStyle w:val="ResponseChar"/>
        </w:rPr>
        <w:t>determine whether</w:t>
      </w:r>
      <w:r w:rsidR="0078610C">
        <w:rPr>
          <w:rFonts w:cs="Times New Roman"/>
          <w:lang w:val="en-GB"/>
        </w:rPr>
        <w:t xml:space="preserve"> </w:t>
      </w:r>
      <w:r w:rsidR="00BA07DE" w:rsidRPr="003A6273">
        <w:rPr>
          <w:rFonts w:cs="Times New Roman"/>
          <w:lang w:val="en-GB"/>
        </w:rPr>
        <w:t xml:space="preserve">amplicon-based and metagenomic </w:t>
      </w:r>
      <w:r w:rsidR="002C278A" w:rsidRPr="003A6273">
        <w:rPr>
          <w:rFonts w:cs="Times New Roman"/>
          <w:lang w:val="en-GB"/>
        </w:rPr>
        <w:t xml:space="preserve">Illumina MiSeq </w:t>
      </w:r>
      <w:r w:rsidR="008D6281">
        <w:rPr>
          <w:rFonts w:cs="Times New Roman"/>
          <w:lang w:val="en-GB"/>
        </w:rPr>
        <w:t>sequencing</w:t>
      </w:r>
      <w:r w:rsidR="008D6281" w:rsidRPr="008D6281">
        <w:rPr>
          <w:rFonts w:cs="Times New Roman"/>
          <w:lang w:val="en-GB"/>
        </w:rPr>
        <w:t xml:space="preserve"> </w:t>
      </w:r>
      <w:r w:rsidR="008D6281">
        <w:rPr>
          <w:rFonts w:cs="Times New Roman"/>
          <w:lang w:val="en-GB"/>
        </w:rPr>
        <w:t xml:space="preserve">capture </w:t>
      </w:r>
      <w:r w:rsidR="008D6281" w:rsidRPr="003A6273">
        <w:rPr>
          <w:rFonts w:cs="Times New Roman"/>
          <w:lang w:val="en-GB"/>
        </w:rPr>
        <w:t>AM</w:t>
      </w:r>
      <w:r w:rsidR="006A77C4">
        <w:rPr>
          <w:rFonts w:cs="Times New Roman"/>
          <w:lang w:val="en-GB"/>
        </w:rPr>
        <w:t xml:space="preserve"> </w:t>
      </w:r>
      <w:r w:rsidR="006A77C4" w:rsidRPr="00BA1DCA">
        <w:rPr>
          <w:rStyle w:val="ResponseChar"/>
        </w:rPr>
        <w:t>fungal</w:t>
      </w:r>
      <w:r w:rsidR="008D6281" w:rsidRPr="003A6273">
        <w:rPr>
          <w:rFonts w:cs="Times New Roman"/>
          <w:lang w:val="en-GB"/>
        </w:rPr>
        <w:t xml:space="preserve"> diversity</w:t>
      </w:r>
      <w:r w:rsidR="008D6281">
        <w:rPr>
          <w:rFonts w:cs="Times New Roman"/>
          <w:lang w:val="en-GB"/>
        </w:rPr>
        <w:t xml:space="preserve"> differently</w:t>
      </w:r>
      <w:r w:rsidR="00E93B24" w:rsidRPr="00BA1DCA">
        <w:rPr>
          <w:rStyle w:val="ResponseChar"/>
        </w:rPr>
        <w:t>, and (3) identif</w:t>
      </w:r>
      <w:r w:rsidR="0078610C" w:rsidRPr="00BA1DCA">
        <w:rPr>
          <w:rStyle w:val="ResponseChar"/>
        </w:rPr>
        <w:t>y</w:t>
      </w:r>
      <w:r w:rsidR="00E93B24" w:rsidRPr="00BA1DCA">
        <w:rPr>
          <w:rStyle w:val="ResponseChar"/>
        </w:rPr>
        <w:t xml:space="preserve"> </w:t>
      </w:r>
      <w:r w:rsidR="0078610C" w:rsidRPr="00BA1DCA">
        <w:rPr>
          <w:rStyle w:val="ResponseChar"/>
        </w:rPr>
        <w:t>the</w:t>
      </w:r>
      <w:r w:rsidR="00E93B24" w:rsidRPr="00BA1DCA">
        <w:rPr>
          <w:rStyle w:val="ResponseChar"/>
        </w:rPr>
        <w:t xml:space="preserve"> most variable region of SSU rRNA gene</w:t>
      </w:r>
      <w:r w:rsidR="002C278A" w:rsidRPr="00BA1DCA">
        <w:rPr>
          <w:rStyle w:val="ResponseChar"/>
        </w:rPr>
        <w:t>.</w:t>
      </w:r>
      <w:r w:rsidR="00620579">
        <w:rPr>
          <w:rFonts w:cs="Times New Roman"/>
          <w:lang w:val="en-GB"/>
        </w:rPr>
        <w:t xml:space="preserve"> </w:t>
      </w:r>
    </w:p>
    <w:p w:rsidR="002C278A" w:rsidRPr="003A6273" w:rsidRDefault="002C278A" w:rsidP="00064F31">
      <w:pPr>
        <w:pageBreakBefore/>
        <w:spacing w:line="360" w:lineRule="auto"/>
        <w:rPr>
          <w:rFonts w:cs="Times New Roman"/>
          <w:b/>
          <w:lang w:val="en-GB"/>
        </w:rPr>
      </w:pPr>
      <w:r w:rsidRPr="003A6273">
        <w:rPr>
          <w:rFonts w:cs="Times New Roman"/>
          <w:b/>
          <w:lang w:val="en-GB"/>
        </w:rPr>
        <w:lastRenderedPageBreak/>
        <w:t>Materials and Methods</w:t>
      </w:r>
    </w:p>
    <w:p w:rsidR="00801D66" w:rsidRPr="003A6273" w:rsidRDefault="00801D66" w:rsidP="00064F31">
      <w:pPr>
        <w:spacing w:line="360" w:lineRule="auto"/>
        <w:rPr>
          <w:lang w:val="en-GB"/>
        </w:rPr>
      </w:pPr>
    </w:p>
    <w:p w:rsidR="002C278A" w:rsidRPr="003A6273" w:rsidRDefault="002C278A" w:rsidP="00064F31">
      <w:pPr>
        <w:spacing w:line="360" w:lineRule="auto"/>
        <w:rPr>
          <w:rFonts w:cs="Times New Roman"/>
          <w:i/>
          <w:lang w:val="en-GB"/>
        </w:rPr>
      </w:pPr>
      <w:r w:rsidRPr="003A6273">
        <w:rPr>
          <w:rFonts w:cs="Times New Roman"/>
          <w:i/>
          <w:lang w:val="en-GB"/>
        </w:rPr>
        <w:t>Plant root sampling</w:t>
      </w:r>
    </w:p>
    <w:p w:rsidR="002C278A" w:rsidRPr="003A6273" w:rsidRDefault="002C278A" w:rsidP="00064F31">
      <w:pPr>
        <w:spacing w:line="360" w:lineRule="auto"/>
        <w:rPr>
          <w:rFonts w:cs="Times New Roman"/>
          <w:iCs/>
          <w:lang w:val="en-GB"/>
        </w:rPr>
      </w:pPr>
      <w:r w:rsidRPr="003A6273">
        <w:rPr>
          <w:rFonts w:cs="Times New Roman"/>
          <w:lang w:val="en-GB"/>
        </w:rPr>
        <w:t>Plant root sampling was conducted in</w:t>
      </w:r>
      <w:r w:rsidR="00CD483A" w:rsidRPr="003A6273">
        <w:rPr>
          <w:rFonts w:cs="Times New Roman"/>
          <w:lang w:val="en-GB"/>
        </w:rPr>
        <w:t xml:space="preserve"> the </w:t>
      </w:r>
      <w:r w:rsidRPr="003A6273">
        <w:rPr>
          <w:rFonts w:cs="Times New Roman"/>
          <w:lang w:val="en-GB"/>
        </w:rPr>
        <w:t>Järvselja forest reserve in south-eastern Estonia (</w:t>
      </w:r>
      <w:r w:rsidRPr="003A6273">
        <w:rPr>
          <w:lang w:val="en-GB"/>
        </w:rPr>
        <w:t xml:space="preserve">58° 17.916’ </w:t>
      </w:r>
      <w:r w:rsidRPr="003A6273">
        <w:rPr>
          <w:rFonts w:cs="Times New Roman"/>
          <w:lang w:val="en-GB"/>
        </w:rPr>
        <w:t xml:space="preserve">N, </w:t>
      </w:r>
      <w:r w:rsidRPr="003A6273">
        <w:rPr>
          <w:lang w:val="en-GB"/>
        </w:rPr>
        <w:t xml:space="preserve">27° 15.744’ </w:t>
      </w:r>
      <w:r w:rsidRPr="003A6273">
        <w:rPr>
          <w:rFonts w:cs="Times New Roman"/>
          <w:lang w:val="en-GB"/>
        </w:rPr>
        <w:t xml:space="preserve">E), as described in Saks et al. (2014). </w:t>
      </w:r>
      <w:r w:rsidR="00443E67">
        <w:rPr>
          <w:rFonts w:cs="Times New Roman"/>
          <w:lang w:val="en-GB"/>
        </w:rPr>
        <w:t xml:space="preserve">We used different plant individuals </w:t>
      </w:r>
      <w:r w:rsidR="00312064">
        <w:rPr>
          <w:rFonts w:cs="Times New Roman"/>
          <w:lang w:val="en-GB"/>
        </w:rPr>
        <w:t xml:space="preserve">from </w:t>
      </w:r>
      <w:r w:rsidR="00443E67">
        <w:rPr>
          <w:rFonts w:cs="Times New Roman"/>
          <w:lang w:val="en-GB"/>
        </w:rPr>
        <w:t>the same s</w:t>
      </w:r>
      <w:r w:rsidR="003739C2">
        <w:rPr>
          <w:rFonts w:cs="Times New Roman"/>
          <w:lang w:val="en-GB"/>
        </w:rPr>
        <w:t>ampl</w:t>
      </w:r>
      <w:r w:rsidR="00443E67">
        <w:rPr>
          <w:rFonts w:cs="Times New Roman"/>
          <w:lang w:val="en-GB"/>
        </w:rPr>
        <w:t>ing event as in</w:t>
      </w:r>
      <w:r w:rsidR="00F0571E">
        <w:rPr>
          <w:rFonts w:cs="Times New Roman"/>
          <w:lang w:val="en-GB"/>
        </w:rPr>
        <w:t xml:space="preserve"> </w:t>
      </w:r>
      <w:r w:rsidR="00DF7828">
        <w:rPr>
          <w:rFonts w:cs="Times New Roman"/>
          <w:lang w:val="en-GB"/>
        </w:rPr>
        <w:t>Saks et al. (2014)</w:t>
      </w:r>
      <w:r w:rsidR="00F0571E">
        <w:rPr>
          <w:rFonts w:cs="Times New Roman"/>
          <w:lang w:val="en-GB"/>
        </w:rPr>
        <w:t>.</w:t>
      </w:r>
      <w:r w:rsidR="003739C2">
        <w:rPr>
          <w:rFonts w:cs="Times New Roman"/>
          <w:lang w:val="en-GB"/>
        </w:rPr>
        <w:t xml:space="preserve"> </w:t>
      </w:r>
      <w:r w:rsidRPr="003A6273">
        <w:rPr>
          <w:rFonts w:cs="Times New Roman"/>
          <w:lang w:val="en-GB"/>
        </w:rPr>
        <w:t xml:space="preserve">Samples were collected from two plots of 30 x 30 m, ca 50 m apart, in June 2009. Two arbuscular mycorrhizal plant species that were abundant in the plots were sampled for this study: </w:t>
      </w:r>
      <w:r w:rsidRPr="003A6273">
        <w:rPr>
          <w:rFonts w:cs="Times New Roman"/>
          <w:i/>
          <w:iCs/>
          <w:lang w:val="en-GB"/>
        </w:rPr>
        <w:t xml:space="preserve">Convallaria majalis </w:t>
      </w:r>
      <w:r w:rsidRPr="003A6273">
        <w:rPr>
          <w:rFonts w:cs="Times New Roman"/>
          <w:lang w:val="en-GB"/>
        </w:rPr>
        <w:t>L. and</w:t>
      </w:r>
      <w:r w:rsidRPr="003A6273">
        <w:rPr>
          <w:rFonts w:cs="Times New Roman"/>
          <w:i/>
          <w:iCs/>
          <w:lang w:val="en-GB"/>
        </w:rPr>
        <w:t xml:space="preserve"> </w:t>
      </w:r>
      <w:bookmarkStart w:id="0" w:name="OLE_LINK1"/>
      <w:r w:rsidRPr="003A6273">
        <w:rPr>
          <w:rFonts w:cs="Times New Roman"/>
          <w:i/>
          <w:iCs/>
          <w:lang w:val="en-GB"/>
        </w:rPr>
        <w:t>Rubus saxatilis</w:t>
      </w:r>
      <w:bookmarkEnd w:id="0"/>
      <w:r w:rsidRPr="003A6273">
        <w:rPr>
          <w:rFonts w:cs="Times New Roman"/>
          <w:i/>
          <w:iCs/>
          <w:lang w:val="en-GB"/>
        </w:rPr>
        <w:t xml:space="preserve"> </w:t>
      </w:r>
      <w:r w:rsidRPr="00F41C4E">
        <w:rPr>
          <w:rFonts w:cs="Times New Roman"/>
          <w:iCs/>
          <w:lang w:val="en-GB"/>
        </w:rPr>
        <w:t>L.</w:t>
      </w:r>
      <w:r w:rsidRPr="003A6273">
        <w:rPr>
          <w:rFonts w:cs="Times New Roman"/>
          <w:i/>
          <w:iCs/>
          <w:lang w:val="en-GB"/>
        </w:rPr>
        <w:t xml:space="preserve"> </w:t>
      </w:r>
      <w:r w:rsidRPr="003A6273">
        <w:rPr>
          <w:rFonts w:cs="Times New Roman"/>
          <w:iCs/>
          <w:lang w:val="en-GB"/>
        </w:rPr>
        <w:t xml:space="preserve">Three random individuals of each plant species per plot were excavated (a total of 12 samples). </w:t>
      </w:r>
      <w:r w:rsidR="00CD483A" w:rsidRPr="003A6273">
        <w:rPr>
          <w:rFonts w:cs="Times New Roman"/>
          <w:iCs/>
          <w:lang w:val="en-GB"/>
        </w:rPr>
        <w:t xml:space="preserve">Plant </w:t>
      </w:r>
      <w:r w:rsidRPr="003A6273">
        <w:rPr>
          <w:rFonts w:cs="Times New Roman"/>
          <w:iCs/>
          <w:lang w:val="en-GB"/>
        </w:rPr>
        <w:t>roots were then carefully cleaned of soil and other adhering materials as quickly as possible, wrapped in tissue paper and stored in a plastic bag with silica gel.</w:t>
      </w:r>
    </w:p>
    <w:p w:rsidR="002C278A" w:rsidRPr="003A6273" w:rsidRDefault="002C278A" w:rsidP="00064F31">
      <w:pPr>
        <w:spacing w:line="360" w:lineRule="auto"/>
        <w:rPr>
          <w:lang w:val="en-GB"/>
        </w:rPr>
      </w:pPr>
    </w:p>
    <w:p w:rsidR="002C278A" w:rsidRPr="003A6273" w:rsidRDefault="002C278A" w:rsidP="00064F31">
      <w:pPr>
        <w:spacing w:line="360" w:lineRule="auto"/>
        <w:rPr>
          <w:rFonts w:cs="Times New Roman"/>
          <w:i/>
          <w:lang w:val="en-GB"/>
        </w:rPr>
      </w:pPr>
      <w:r w:rsidRPr="003A6273">
        <w:rPr>
          <w:rFonts w:cs="Times New Roman"/>
          <w:i/>
          <w:lang w:val="en-GB"/>
        </w:rPr>
        <w:t>DNA extraction</w:t>
      </w:r>
    </w:p>
    <w:p w:rsidR="002C278A" w:rsidRPr="003A6273" w:rsidRDefault="002C278A" w:rsidP="00064F31">
      <w:pPr>
        <w:spacing w:line="360" w:lineRule="auto"/>
        <w:rPr>
          <w:rFonts w:cs="Times New Roman"/>
          <w:lang w:val="en-GB"/>
        </w:rPr>
      </w:pPr>
      <w:r w:rsidRPr="003A6273">
        <w:rPr>
          <w:rFonts w:cs="Times New Roman"/>
          <w:lang w:val="en-GB"/>
        </w:rPr>
        <w:t xml:space="preserve">DNA was extracted from each plant individual from 30-80 mg of dried roots </w:t>
      </w:r>
      <w:r w:rsidR="0064213E" w:rsidRPr="00BA1DCA">
        <w:rPr>
          <w:rStyle w:val="ResponseChar"/>
        </w:rPr>
        <w:t xml:space="preserve">(fragments from </w:t>
      </w:r>
      <w:r w:rsidR="0078610C" w:rsidRPr="00BA1DCA">
        <w:rPr>
          <w:rStyle w:val="ResponseChar"/>
        </w:rPr>
        <w:t>the</w:t>
      </w:r>
      <w:r w:rsidR="008A6654" w:rsidRPr="00BA1DCA">
        <w:rPr>
          <w:rStyle w:val="ResponseChar"/>
        </w:rPr>
        <w:t xml:space="preserve"> </w:t>
      </w:r>
      <w:r w:rsidR="0064213E" w:rsidRPr="00BA1DCA">
        <w:rPr>
          <w:rStyle w:val="ResponseChar"/>
        </w:rPr>
        <w:t>root system)</w:t>
      </w:r>
      <w:r w:rsidR="0064213E">
        <w:rPr>
          <w:rFonts w:cs="Times New Roman"/>
          <w:lang w:val="en-GB"/>
        </w:rPr>
        <w:t xml:space="preserve"> </w:t>
      </w:r>
      <w:r w:rsidR="009D3899" w:rsidRPr="003A6273">
        <w:rPr>
          <w:rFonts w:cs="Times New Roman"/>
          <w:lang w:val="en-GB"/>
        </w:rPr>
        <w:t xml:space="preserve">using the </w:t>
      </w:r>
      <w:r w:rsidRPr="003A6273">
        <w:rPr>
          <w:rFonts w:cs="Times New Roman"/>
          <w:lang w:val="en-GB"/>
        </w:rPr>
        <w:t xml:space="preserve">PowerSoil-htp™ 96 Well Soil DNA Isolation Kit (MO BIO Laboratories, Inc., Carlsbad, CA, USA) with some modifications as in Öpik et al. (2013). In short, in order to include a sufficient quantity of roots in each DNA extraction, roots were milled to powder in 2 ml tubes with one or two 3 mm tungsten carbide beads per tube with Mixer Mill MM400 (Retsch GmbH, Haan, Germany), instead of milling in the Bead Plate as suggested by the manufacturer. 750 µl of Bead Solution was added to the tubes, mixed, and the slurry transferred to the Bead Plate. Also, to increase the DNA yield, Bead Plates were shaken </w:t>
      </w:r>
      <w:r w:rsidR="00CA5BD3" w:rsidRPr="00BA1DCA">
        <w:rPr>
          <w:rStyle w:val="ResponseChar"/>
        </w:rPr>
        <w:t>at</w:t>
      </w:r>
      <w:r w:rsidR="00CA5BD3">
        <w:rPr>
          <w:rFonts w:cs="Times New Roman"/>
          <w:lang w:val="en-GB"/>
        </w:rPr>
        <w:t xml:space="preserve"> </w:t>
      </w:r>
      <w:r w:rsidRPr="003A6273">
        <w:rPr>
          <w:rFonts w:cs="Times New Roman"/>
          <w:lang w:val="en-GB"/>
        </w:rPr>
        <w:t xml:space="preserve">60° C </w:t>
      </w:r>
      <w:r w:rsidR="0078610C" w:rsidRPr="00BA1DCA">
        <w:rPr>
          <w:rStyle w:val="ResponseChar"/>
        </w:rPr>
        <w:t>(</w:t>
      </w:r>
      <w:r w:rsidR="00A04FDF" w:rsidRPr="00BA1DCA">
        <w:rPr>
          <w:rStyle w:val="ResponseChar"/>
        </w:rPr>
        <w:t>as suggested by the manufacturer as a modification of the standard protocol</w:t>
      </w:r>
      <w:r w:rsidR="0015377A">
        <w:rPr>
          <w:rStyle w:val="ResponseChar"/>
        </w:rPr>
        <w:t xml:space="preserve">, </w:t>
      </w:r>
      <w:r w:rsidR="002160A1">
        <w:rPr>
          <w:rStyle w:val="ResponseChar"/>
        </w:rPr>
        <w:t>which uses room temperature</w:t>
      </w:r>
      <w:r w:rsidR="00A04FDF" w:rsidRPr="00BA1DCA">
        <w:rPr>
          <w:rStyle w:val="ResponseChar"/>
        </w:rPr>
        <w:t>)</w:t>
      </w:r>
      <w:r w:rsidR="00053468">
        <w:rPr>
          <w:rFonts w:cs="Times New Roman"/>
          <w:lang w:val="en-GB"/>
        </w:rPr>
        <w:t xml:space="preserve"> </w:t>
      </w:r>
      <w:r w:rsidRPr="003A6273">
        <w:rPr>
          <w:rFonts w:cs="Times New Roman"/>
          <w:lang w:val="en-GB"/>
        </w:rPr>
        <w:t>for 10 min at 150 rpm in a shaking incubator. Finally, in order to increase DNA yield but maintain DNA concentration, final elution was performed twice with 75 µl of Solution C6.</w:t>
      </w:r>
    </w:p>
    <w:p w:rsidR="002C278A" w:rsidRPr="003A6273" w:rsidRDefault="002C278A" w:rsidP="00064F31">
      <w:pPr>
        <w:spacing w:line="360" w:lineRule="auto"/>
        <w:rPr>
          <w:lang w:val="en-GB"/>
        </w:rPr>
      </w:pPr>
    </w:p>
    <w:p w:rsidR="002C278A" w:rsidRPr="003A6273" w:rsidRDefault="002C278A" w:rsidP="00064F31">
      <w:pPr>
        <w:spacing w:line="360" w:lineRule="auto"/>
        <w:rPr>
          <w:rFonts w:cs="Times New Roman"/>
          <w:i/>
          <w:lang w:val="en-GB"/>
        </w:rPr>
      </w:pPr>
      <w:r w:rsidRPr="003A6273">
        <w:rPr>
          <w:rFonts w:cs="Times New Roman"/>
          <w:i/>
          <w:lang w:val="en-GB"/>
        </w:rPr>
        <w:t>Illumina sequencing</w:t>
      </w:r>
    </w:p>
    <w:p w:rsidR="00443E67" w:rsidRDefault="002C278A" w:rsidP="00064F31">
      <w:pPr>
        <w:spacing w:line="360" w:lineRule="auto"/>
        <w:rPr>
          <w:rFonts w:cs="Times New Roman"/>
          <w:lang w:val="en-GB"/>
        </w:rPr>
      </w:pPr>
      <w:r w:rsidRPr="003A6273">
        <w:rPr>
          <w:rFonts w:cs="Times New Roman"/>
          <w:lang w:val="en-GB"/>
        </w:rPr>
        <w:t xml:space="preserve">DNA from root samples was subjected to amplicon-based and </w:t>
      </w:r>
      <w:r w:rsidR="009D3899" w:rsidRPr="003A6273">
        <w:rPr>
          <w:rFonts w:cs="Times New Roman"/>
          <w:lang w:val="en-GB"/>
        </w:rPr>
        <w:t>metagenomic</w:t>
      </w:r>
      <w:r w:rsidR="00013B5D">
        <w:rPr>
          <w:rFonts w:cs="Times New Roman"/>
          <w:lang w:val="en-GB"/>
        </w:rPr>
        <w:t>-based Illumina</w:t>
      </w:r>
      <w:r w:rsidR="009E3B10">
        <w:rPr>
          <w:rFonts w:cs="Times New Roman"/>
          <w:lang w:val="en-GB"/>
        </w:rPr>
        <w:t xml:space="preserve"> </w:t>
      </w:r>
      <w:r w:rsidRPr="003A6273">
        <w:rPr>
          <w:rFonts w:cs="Times New Roman"/>
          <w:lang w:val="en-GB"/>
        </w:rPr>
        <w:t xml:space="preserve">sequencing on </w:t>
      </w:r>
      <w:r w:rsidR="009D3899" w:rsidRPr="003A6273">
        <w:rPr>
          <w:rFonts w:cs="Times New Roman"/>
          <w:lang w:val="en-GB"/>
        </w:rPr>
        <w:t xml:space="preserve">a </w:t>
      </w:r>
      <w:r w:rsidRPr="003A6273">
        <w:rPr>
          <w:rFonts w:cs="Times New Roman"/>
          <w:lang w:val="en-GB"/>
        </w:rPr>
        <w:t>MiSeq platform</w:t>
      </w:r>
      <w:r w:rsidR="009D3899" w:rsidRPr="003A6273">
        <w:rPr>
          <w:rFonts w:cs="Times New Roman"/>
          <w:lang w:val="en-GB"/>
        </w:rPr>
        <w:t xml:space="preserve">, using a </w:t>
      </w:r>
      <w:r w:rsidRPr="003A6273">
        <w:rPr>
          <w:rFonts w:cs="Times New Roman"/>
          <w:lang w:val="en-GB"/>
        </w:rPr>
        <w:t>2x250 bp</w:t>
      </w:r>
      <w:r w:rsidR="009D3899" w:rsidRPr="003A6273">
        <w:rPr>
          <w:rFonts w:cs="Times New Roman"/>
          <w:lang w:val="en-GB"/>
        </w:rPr>
        <w:t xml:space="preserve"> paired</w:t>
      </w:r>
      <w:r w:rsidR="00EE58F0">
        <w:rPr>
          <w:rFonts w:cs="Times New Roman"/>
          <w:lang w:val="en-GB"/>
        </w:rPr>
        <w:t>-</w:t>
      </w:r>
      <w:r w:rsidR="009D3899" w:rsidRPr="003A6273">
        <w:rPr>
          <w:rFonts w:cs="Times New Roman"/>
          <w:lang w:val="en-GB"/>
        </w:rPr>
        <w:t>read sequencing</w:t>
      </w:r>
      <w:r w:rsidRPr="003A6273">
        <w:rPr>
          <w:rFonts w:cs="Times New Roman"/>
          <w:lang w:val="en-GB"/>
        </w:rPr>
        <w:t xml:space="preserve"> approach.</w:t>
      </w:r>
    </w:p>
    <w:p w:rsidR="00443E67" w:rsidRDefault="002C278A" w:rsidP="00297A98">
      <w:pPr>
        <w:spacing w:line="360" w:lineRule="auto"/>
        <w:ind w:firstLine="709"/>
        <w:rPr>
          <w:rFonts w:cs="Times New Roman"/>
          <w:lang w:val="en-GB"/>
        </w:rPr>
      </w:pPr>
      <w:r w:rsidRPr="003A6273">
        <w:rPr>
          <w:lang w:val="en-GB"/>
        </w:rPr>
        <w:t xml:space="preserve">Amplicons </w:t>
      </w:r>
      <w:r w:rsidRPr="003A6273">
        <w:rPr>
          <w:rFonts w:cs="Times New Roman"/>
          <w:lang w:val="en-GB"/>
        </w:rPr>
        <w:t xml:space="preserve">of </w:t>
      </w:r>
      <w:r w:rsidR="009D3899" w:rsidRPr="003A6273">
        <w:rPr>
          <w:rFonts w:cs="Times New Roman"/>
          <w:lang w:val="en-GB"/>
        </w:rPr>
        <w:t xml:space="preserve">the </w:t>
      </w:r>
      <w:r w:rsidRPr="003A6273">
        <w:rPr>
          <w:rFonts w:cs="Times New Roman"/>
          <w:lang w:val="en-GB"/>
        </w:rPr>
        <w:t>nuclear</w:t>
      </w:r>
      <w:r w:rsidR="009D3899" w:rsidRPr="003A6273">
        <w:rPr>
          <w:rFonts w:cs="Times New Roman"/>
          <w:lang w:val="en-GB"/>
        </w:rPr>
        <w:t xml:space="preserve"> SSU</w:t>
      </w:r>
      <w:r w:rsidRPr="003A6273">
        <w:rPr>
          <w:rFonts w:cs="Times New Roman"/>
          <w:lang w:val="en-GB"/>
        </w:rPr>
        <w:t xml:space="preserve"> rRNA gene were generated with primers NS31 and AML2 (Simon et al. 1992; Lee et al. 2008) </w:t>
      </w:r>
      <w:r w:rsidR="00443E67">
        <w:rPr>
          <w:rFonts w:cs="Times New Roman"/>
          <w:lang w:val="en-GB"/>
        </w:rPr>
        <w:t xml:space="preserve">for identification of AM fungi </w:t>
      </w:r>
      <w:r w:rsidRPr="003A6273">
        <w:rPr>
          <w:rFonts w:cs="Times New Roman"/>
          <w:lang w:val="en-GB"/>
        </w:rPr>
        <w:t>as in Öpik et al. (2013). Amplified DNA was purified with</w:t>
      </w:r>
      <w:r w:rsidR="00925AB4">
        <w:rPr>
          <w:rFonts w:cs="Times New Roman"/>
          <w:lang w:val="en-GB"/>
        </w:rPr>
        <w:t xml:space="preserve"> the</w:t>
      </w:r>
      <w:r w:rsidR="00D53181">
        <w:rPr>
          <w:rFonts w:cs="Times New Roman"/>
          <w:lang w:val="en-GB"/>
        </w:rPr>
        <w:t xml:space="preserve"> </w:t>
      </w:r>
      <w:r w:rsidR="00D53181" w:rsidRPr="00D53181">
        <w:rPr>
          <w:rFonts w:cs="Times New Roman"/>
          <w:lang w:val="en-GB"/>
        </w:rPr>
        <w:t>Qiagen QIAquick Gel Extraction kit (Qiagen Gmbh</w:t>
      </w:r>
      <w:r w:rsidR="009D0086">
        <w:rPr>
          <w:rFonts w:cs="Times New Roman"/>
          <w:lang w:val="en-GB"/>
        </w:rPr>
        <w:t>, Hilden, Germany</w:t>
      </w:r>
      <w:r w:rsidR="00D53181" w:rsidRPr="00D53181">
        <w:rPr>
          <w:rFonts w:cs="Times New Roman"/>
          <w:lang w:val="en-GB"/>
        </w:rPr>
        <w:t xml:space="preserve">) </w:t>
      </w:r>
      <w:r w:rsidRPr="003A6273">
        <w:rPr>
          <w:lang w:val="en-GB"/>
        </w:rPr>
        <w:t>following the manufacturer’s protocol. T</w:t>
      </w:r>
      <w:r w:rsidRPr="003A6273">
        <w:rPr>
          <w:rFonts w:cs="Times New Roman"/>
          <w:lang w:val="en-GB"/>
        </w:rPr>
        <w:t xml:space="preserve">he concentration of </w:t>
      </w:r>
      <w:r w:rsidRPr="003A6273">
        <w:rPr>
          <w:rFonts w:cs="Times New Roman"/>
          <w:lang w:val="en-GB"/>
        </w:rPr>
        <w:lastRenderedPageBreak/>
        <w:t>purified DNA was quantified with</w:t>
      </w:r>
      <w:r w:rsidR="00925AB4">
        <w:rPr>
          <w:rFonts w:cs="Times New Roman"/>
          <w:lang w:val="en-GB"/>
        </w:rPr>
        <w:t xml:space="preserve"> a</w:t>
      </w:r>
      <w:r w:rsidRPr="003A6273">
        <w:rPr>
          <w:rFonts w:cs="Times New Roman"/>
          <w:lang w:val="en-GB"/>
        </w:rPr>
        <w:t xml:space="preserve"> Qubit® 2.0 Fluorometer (Invitrogen, Grand Island, USA). </w:t>
      </w:r>
    </w:p>
    <w:p w:rsidR="002C278A" w:rsidRPr="00C77820" w:rsidRDefault="00E731F2" w:rsidP="00297A98">
      <w:pPr>
        <w:spacing w:line="360" w:lineRule="auto"/>
        <w:ind w:firstLine="709"/>
        <w:rPr>
          <w:rFonts w:cs="Times New Roman"/>
          <w:lang w:val="en-GB"/>
        </w:rPr>
      </w:pPr>
      <w:r>
        <w:rPr>
          <w:rFonts w:cs="Times New Roman"/>
          <w:lang w:val="en-GB"/>
        </w:rPr>
        <w:t xml:space="preserve">For both amplicon-based and metagenomic approaches, </w:t>
      </w:r>
      <w:r w:rsidR="002C278A" w:rsidRPr="003A6273">
        <w:rPr>
          <w:rFonts w:cs="Times New Roman"/>
          <w:lang w:val="en-GB"/>
        </w:rPr>
        <w:t>1 ng of sample DNA</w:t>
      </w:r>
      <w:r>
        <w:rPr>
          <w:rFonts w:cs="Times New Roman"/>
          <w:lang w:val="en-GB"/>
        </w:rPr>
        <w:t xml:space="preserve"> </w:t>
      </w:r>
      <w:r w:rsidR="002C278A" w:rsidRPr="003A6273">
        <w:rPr>
          <w:rFonts w:cs="Times New Roman"/>
          <w:lang w:val="en-GB"/>
        </w:rPr>
        <w:t xml:space="preserve">was processed for the sequencing libraries using the Illumina Nextera XT sample preparation kit (Illumina, San Diego, USA) following the manufacturer’s protocol. </w:t>
      </w:r>
      <w:r w:rsidR="009D3899" w:rsidRPr="003A6273">
        <w:rPr>
          <w:rFonts w:cs="Times New Roman"/>
          <w:lang w:val="en-GB"/>
        </w:rPr>
        <w:t>This approach uses</w:t>
      </w:r>
      <w:r w:rsidR="002C278A" w:rsidRPr="003A6273">
        <w:rPr>
          <w:rFonts w:cs="Times New Roman"/>
          <w:lang w:val="en-GB"/>
        </w:rPr>
        <w:t xml:space="preserve"> tagmentation </w:t>
      </w:r>
      <w:r w:rsidR="009D3899" w:rsidRPr="003A6273">
        <w:rPr>
          <w:rFonts w:cs="Times New Roman"/>
          <w:lang w:val="en-GB"/>
        </w:rPr>
        <w:t xml:space="preserve">to </w:t>
      </w:r>
      <w:r w:rsidR="002C278A" w:rsidRPr="003A6273">
        <w:rPr>
          <w:rFonts w:cs="Times New Roman"/>
          <w:lang w:val="en-GB"/>
        </w:rPr>
        <w:t>enzymatically fragment</w:t>
      </w:r>
      <w:r w:rsidR="009D3899" w:rsidRPr="003A6273">
        <w:rPr>
          <w:rFonts w:cs="Times New Roman"/>
          <w:lang w:val="en-GB"/>
        </w:rPr>
        <w:t xml:space="preserve"> </w:t>
      </w:r>
      <w:r w:rsidR="002C278A" w:rsidRPr="003A6273">
        <w:rPr>
          <w:rFonts w:cs="Times New Roman"/>
          <w:lang w:val="en-GB"/>
        </w:rPr>
        <w:t>and tag</w:t>
      </w:r>
      <w:r w:rsidR="009D3899" w:rsidRPr="003A6273">
        <w:rPr>
          <w:rFonts w:cs="Times New Roman"/>
          <w:lang w:val="en-GB"/>
        </w:rPr>
        <w:t xml:space="preserve"> the sample DNA </w:t>
      </w:r>
      <w:r w:rsidR="002C278A" w:rsidRPr="003A6273">
        <w:rPr>
          <w:rFonts w:cs="Times New Roman"/>
          <w:lang w:val="en-GB"/>
        </w:rPr>
        <w:t>with adapters</w:t>
      </w:r>
      <w:r w:rsidR="009D3899" w:rsidRPr="003A6273">
        <w:rPr>
          <w:rFonts w:cs="Times New Roman"/>
          <w:lang w:val="en-GB"/>
        </w:rPr>
        <w:t xml:space="preserve"> in random positions</w:t>
      </w:r>
      <w:r w:rsidR="002C278A" w:rsidRPr="003A6273">
        <w:rPr>
          <w:rFonts w:cs="Times New Roman"/>
          <w:lang w:val="en-GB"/>
        </w:rPr>
        <w:t xml:space="preserve">. This step is followed by a 12-cycle PCR in order to add the sequencing indices, PCR clean-up and normalization. Normalized libraries were pooled and sequenced on </w:t>
      </w:r>
      <w:r w:rsidR="00443E67">
        <w:rPr>
          <w:rFonts w:cs="Times New Roman"/>
          <w:lang w:val="en-GB"/>
        </w:rPr>
        <w:t xml:space="preserve">Illumina </w:t>
      </w:r>
      <w:r w:rsidR="0043653B">
        <w:rPr>
          <w:rFonts w:cs="Times New Roman"/>
          <w:lang w:val="en-GB"/>
        </w:rPr>
        <w:t>MiSeq with 2x</w:t>
      </w:r>
      <w:r w:rsidR="002C278A" w:rsidRPr="003A6273">
        <w:rPr>
          <w:rFonts w:cs="Times New Roman"/>
          <w:lang w:val="en-GB"/>
        </w:rPr>
        <w:t xml:space="preserve">250 bp paired-end reads. </w:t>
      </w:r>
    </w:p>
    <w:p w:rsidR="002C278A" w:rsidRPr="003A6273" w:rsidRDefault="002C278A" w:rsidP="00064F31">
      <w:pPr>
        <w:spacing w:line="360" w:lineRule="auto"/>
        <w:rPr>
          <w:lang w:val="en-GB"/>
        </w:rPr>
      </w:pPr>
    </w:p>
    <w:p w:rsidR="002C278A" w:rsidRPr="003A6273" w:rsidRDefault="002C278A" w:rsidP="00064F31">
      <w:pPr>
        <w:spacing w:line="360" w:lineRule="auto"/>
        <w:rPr>
          <w:rFonts w:cs="Times New Roman"/>
          <w:i/>
          <w:lang w:val="en-GB"/>
        </w:rPr>
      </w:pPr>
      <w:r w:rsidRPr="003A6273">
        <w:rPr>
          <w:rFonts w:cs="Times New Roman"/>
          <w:i/>
          <w:lang w:val="en-GB"/>
        </w:rPr>
        <w:t>454 sequencing</w:t>
      </w:r>
    </w:p>
    <w:p w:rsidR="002C278A" w:rsidRPr="003A6273" w:rsidRDefault="001814A5" w:rsidP="00064F31">
      <w:pPr>
        <w:spacing w:line="360" w:lineRule="auto"/>
        <w:rPr>
          <w:rFonts w:cs="Times New Roman"/>
          <w:lang w:val="en-GB"/>
        </w:rPr>
      </w:pPr>
      <w:r>
        <w:rPr>
          <w:rFonts w:cs="Times New Roman"/>
          <w:lang w:val="en-GB"/>
        </w:rPr>
        <w:t>AM fung</w:t>
      </w:r>
      <w:r w:rsidR="00443E67">
        <w:rPr>
          <w:rFonts w:cs="Times New Roman"/>
          <w:lang w:val="en-GB"/>
        </w:rPr>
        <w:t>al amplicons were generated with the same primers and PCR conditions as decribed above.</w:t>
      </w:r>
      <w:r w:rsidR="002C278A" w:rsidRPr="003A6273">
        <w:rPr>
          <w:rFonts w:cs="Times New Roman"/>
          <w:lang w:val="en-GB"/>
        </w:rPr>
        <w:t xml:space="preserve"> 454</w:t>
      </w:r>
      <w:r w:rsidR="00A8072F">
        <w:rPr>
          <w:rFonts w:cs="Times New Roman"/>
          <w:lang w:val="en-GB"/>
        </w:rPr>
        <w:t xml:space="preserve"> </w:t>
      </w:r>
      <w:r w:rsidR="002C278A" w:rsidRPr="003A6273">
        <w:rPr>
          <w:rFonts w:cs="Times New Roman"/>
          <w:lang w:val="en-GB"/>
        </w:rPr>
        <w:t xml:space="preserve">sequencing </w:t>
      </w:r>
      <w:r w:rsidR="00443E67">
        <w:rPr>
          <w:rFonts w:cs="Times New Roman"/>
          <w:lang w:val="en-GB"/>
        </w:rPr>
        <w:t xml:space="preserve">was performed </w:t>
      </w:r>
      <w:r w:rsidR="002C278A" w:rsidRPr="003A6273">
        <w:rPr>
          <w:rFonts w:cs="Times New Roman"/>
          <w:lang w:val="en-GB"/>
        </w:rPr>
        <w:t xml:space="preserve">as in Öpik et al. (2013) </w:t>
      </w:r>
      <w:r w:rsidR="00312064">
        <w:rPr>
          <w:rFonts w:cs="Times New Roman"/>
          <w:lang w:val="en-GB"/>
        </w:rPr>
        <w:t>using the</w:t>
      </w:r>
      <w:r w:rsidR="00312064" w:rsidRPr="003A6273">
        <w:rPr>
          <w:rFonts w:cs="Times New Roman"/>
          <w:lang w:val="en-GB"/>
        </w:rPr>
        <w:t xml:space="preserve"> </w:t>
      </w:r>
      <w:r w:rsidR="00443E67">
        <w:rPr>
          <w:rFonts w:cs="Times New Roman"/>
          <w:lang w:val="en-GB"/>
        </w:rPr>
        <w:t xml:space="preserve">primers NS31 and AML2 </w:t>
      </w:r>
      <w:r w:rsidR="00A8072F">
        <w:rPr>
          <w:rFonts w:cs="Times New Roman"/>
          <w:lang w:val="en-GB"/>
        </w:rPr>
        <w:t xml:space="preserve">linked to 454 </w:t>
      </w:r>
      <w:r w:rsidR="002C278A" w:rsidRPr="003A6273">
        <w:rPr>
          <w:rFonts w:cs="Times New Roman"/>
          <w:lang w:val="en-GB"/>
        </w:rPr>
        <w:t>sequencing adaptors A and B, respectively. In order to identify sequences originating from different samples, we used a set of 8-base-pair barcodes designed following Parameswaran</w:t>
      </w:r>
      <w:r w:rsidR="002C278A" w:rsidRPr="003A6273">
        <w:rPr>
          <w:rFonts w:cs="Times New Roman"/>
          <w:i/>
          <w:iCs/>
          <w:lang w:val="en-GB"/>
        </w:rPr>
        <w:t xml:space="preserve"> </w:t>
      </w:r>
      <w:r w:rsidR="005D6B37">
        <w:rPr>
          <w:rFonts w:cs="Times New Roman"/>
          <w:lang w:val="en-GB"/>
        </w:rPr>
        <w:t>et al. (2007). The bar</w:t>
      </w:r>
      <w:r w:rsidR="002C278A" w:rsidRPr="003A6273">
        <w:rPr>
          <w:rFonts w:cs="Times New Roman"/>
          <w:lang w:val="en-GB"/>
        </w:rPr>
        <w:t xml:space="preserve">code sequences were inserted between the A primer and NS31 primer sequences and between the B primer and AML2 primer sequences. Thus, the composite forward primer was: 5’ </w:t>
      </w:r>
      <w:r w:rsidR="002C278A" w:rsidRPr="003A6273">
        <w:rPr>
          <w:rFonts w:cs="Times New Roman"/>
          <w:u w:val="single"/>
          <w:lang w:val="en-GB"/>
        </w:rPr>
        <w:t>GTCTCCGACTCAG</w:t>
      </w:r>
      <w:r w:rsidR="002C278A" w:rsidRPr="003A6273">
        <w:rPr>
          <w:rFonts w:cs="Times New Roman"/>
          <w:lang w:val="en-GB"/>
        </w:rPr>
        <w:t xml:space="preserve"> (NNNNNNNN) </w:t>
      </w:r>
      <w:r w:rsidR="002C278A" w:rsidRPr="003A6273">
        <w:rPr>
          <w:rFonts w:cs="Times New Roman"/>
          <w:i/>
          <w:iCs/>
          <w:lang w:val="en-GB"/>
        </w:rPr>
        <w:t xml:space="preserve">TTGGAGGGCAAGTCTGGTGCC </w:t>
      </w:r>
      <w:r w:rsidR="002C278A" w:rsidRPr="003A6273">
        <w:rPr>
          <w:rFonts w:cs="Times New Roman"/>
          <w:lang w:val="en-GB"/>
        </w:rPr>
        <w:t xml:space="preserve">3’ and the reverse primer: 5’ </w:t>
      </w:r>
      <w:r w:rsidR="002C278A" w:rsidRPr="003A6273">
        <w:rPr>
          <w:rFonts w:cs="Times New Roman"/>
          <w:u w:val="single"/>
          <w:lang w:val="en-GB"/>
        </w:rPr>
        <w:t xml:space="preserve">TTGGCAGTCTCAG </w:t>
      </w:r>
      <w:r w:rsidR="002C278A" w:rsidRPr="003A6273">
        <w:rPr>
          <w:rFonts w:cs="Times New Roman"/>
          <w:lang w:val="en-GB"/>
        </w:rPr>
        <w:t xml:space="preserve">(NNNNNNNN) </w:t>
      </w:r>
      <w:r w:rsidR="002C278A" w:rsidRPr="003A6273">
        <w:rPr>
          <w:rFonts w:cs="Times New Roman"/>
          <w:i/>
          <w:iCs/>
          <w:lang w:val="en-GB"/>
        </w:rPr>
        <w:t xml:space="preserve">GAACCCAAACACTTTGGTTTCC </w:t>
      </w:r>
      <w:r w:rsidR="002C278A" w:rsidRPr="003A6273">
        <w:rPr>
          <w:rFonts w:cs="Times New Roman"/>
          <w:lang w:val="en-GB"/>
        </w:rPr>
        <w:t xml:space="preserve">3’, where the A and B adaptors are underlined, the barcode is indicated by N-s in parentheses, and the specific primers NS31 and AML2 are shown in italics. The ten-times diluted product of the first PCR reaction was used in the second PCR with primers A (5'-CCATCTCATCCCTGCGTGTCTCCGACTCAG-3') and B (5'-CCTATCCCCTGTGTGCCTTGGCAGTCTCAG-3'). The PCR conditions were as in Öpik et al. (2013). The resulting DNA mix was sequenced on a Genome Sequencer FLX System, using Titanium Series reagents (Roche Applied Science, </w:t>
      </w:r>
      <w:r w:rsidR="002C278A" w:rsidRPr="003A6273">
        <w:rPr>
          <w:lang w:val="en-GB"/>
        </w:rPr>
        <w:t>Mannheim, Germany</w:t>
      </w:r>
      <w:r w:rsidR="002C278A" w:rsidRPr="003A6273">
        <w:rPr>
          <w:rFonts w:cs="Times New Roman"/>
          <w:lang w:val="en-GB"/>
        </w:rPr>
        <w:t>) at GATC Biotech (Konstanz, Germany).</w:t>
      </w:r>
    </w:p>
    <w:p w:rsidR="00C10DCE" w:rsidRPr="003A6273" w:rsidRDefault="00C10DCE" w:rsidP="00064F31">
      <w:pPr>
        <w:spacing w:line="360" w:lineRule="auto"/>
        <w:rPr>
          <w:rFonts w:cs="Times New Roman"/>
          <w:lang w:val="en-GB"/>
        </w:rPr>
      </w:pPr>
    </w:p>
    <w:p w:rsidR="002C278A" w:rsidRDefault="002C278A" w:rsidP="00064F31">
      <w:pPr>
        <w:spacing w:line="360" w:lineRule="auto"/>
        <w:rPr>
          <w:rFonts w:cs="Times New Roman"/>
          <w:i/>
          <w:lang w:val="en-GB"/>
        </w:rPr>
      </w:pPr>
      <w:r w:rsidRPr="003A6273">
        <w:rPr>
          <w:rFonts w:cs="Times New Roman"/>
          <w:i/>
          <w:lang w:val="en-GB"/>
        </w:rPr>
        <w:t>Bioinformatics</w:t>
      </w:r>
    </w:p>
    <w:p w:rsidR="00D00746" w:rsidRDefault="004109B7" w:rsidP="00D00746">
      <w:pPr>
        <w:spacing w:line="360" w:lineRule="auto"/>
        <w:rPr>
          <w:rFonts w:cs="Times New Roman"/>
          <w:lang w:val="en-GB"/>
        </w:rPr>
      </w:pPr>
      <w:r>
        <w:rPr>
          <w:rFonts w:cs="Times New Roman"/>
          <w:lang w:val="en-GB"/>
        </w:rPr>
        <w:t xml:space="preserve">Database and bioinformatics scripts </w:t>
      </w:r>
      <w:r w:rsidR="00C77820">
        <w:rPr>
          <w:rFonts w:cs="Times New Roman"/>
          <w:lang w:val="en-GB"/>
        </w:rPr>
        <w:t xml:space="preserve">to prepare, clean and analyse the data are available </w:t>
      </w:r>
      <w:r w:rsidR="00CC2CFE">
        <w:rPr>
          <w:rFonts w:cs="Times New Roman"/>
          <w:lang w:val="en-GB"/>
        </w:rPr>
        <w:t>i</w:t>
      </w:r>
      <w:r w:rsidR="00C77820">
        <w:rPr>
          <w:rFonts w:cs="Times New Roman"/>
          <w:lang w:val="en-GB"/>
        </w:rPr>
        <w:t xml:space="preserve">n </w:t>
      </w:r>
      <w:r w:rsidR="00CC2CFE">
        <w:rPr>
          <w:rFonts w:cs="Times New Roman"/>
          <w:lang w:val="en-GB"/>
        </w:rPr>
        <w:t xml:space="preserve">a </w:t>
      </w:r>
      <w:r w:rsidR="00C77820">
        <w:rPr>
          <w:rFonts w:cs="Times New Roman"/>
          <w:lang w:val="en-GB"/>
        </w:rPr>
        <w:t>GitHub repository (</w:t>
      </w:r>
      <w:r w:rsidR="00C967B1">
        <w:rPr>
          <w:rFonts w:cs="Times New Roman"/>
          <w:lang w:val="en-GB"/>
        </w:rPr>
        <w:t>http://</w:t>
      </w:r>
      <w:r w:rsidR="00B876DC" w:rsidRPr="00B876DC">
        <w:rPr>
          <w:rFonts w:cs="Times New Roman"/>
          <w:lang w:val="en-GB"/>
        </w:rPr>
        <w:t>github.com/ut-planteco/ssu-pipeline</w:t>
      </w:r>
      <w:r w:rsidR="00C77820">
        <w:rPr>
          <w:rFonts w:cs="Times New Roman"/>
          <w:lang w:val="en-GB"/>
        </w:rPr>
        <w:t xml:space="preserve">). Scripts </w:t>
      </w:r>
      <w:r w:rsidR="00443E67">
        <w:rPr>
          <w:rFonts w:cs="Times New Roman"/>
          <w:lang w:val="en-GB"/>
        </w:rPr>
        <w:t>we</w:t>
      </w:r>
      <w:r w:rsidR="00C77820">
        <w:rPr>
          <w:rFonts w:cs="Times New Roman"/>
          <w:lang w:val="en-GB"/>
        </w:rPr>
        <w:t xml:space="preserve">re written in Python 2.7 </w:t>
      </w:r>
      <w:r w:rsidR="00503648">
        <w:rPr>
          <w:rFonts w:cs="Times New Roman"/>
          <w:lang w:val="en-GB"/>
        </w:rPr>
        <w:t>using</w:t>
      </w:r>
      <w:r w:rsidR="00CC2CFE">
        <w:rPr>
          <w:rFonts w:cs="Times New Roman"/>
          <w:lang w:val="en-GB"/>
        </w:rPr>
        <w:t xml:space="preserve"> a</w:t>
      </w:r>
      <w:r w:rsidR="00C77820">
        <w:rPr>
          <w:rFonts w:cs="Times New Roman"/>
          <w:lang w:val="en-GB"/>
        </w:rPr>
        <w:t xml:space="preserve"> minimal approach with no dependencies and external libraries needed. User</w:t>
      </w:r>
      <w:r w:rsidR="00CC2CFE">
        <w:rPr>
          <w:rFonts w:cs="Times New Roman"/>
          <w:lang w:val="en-GB"/>
        </w:rPr>
        <w:t>s</w:t>
      </w:r>
      <w:r w:rsidR="00C77820">
        <w:rPr>
          <w:rFonts w:cs="Times New Roman"/>
          <w:lang w:val="en-GB"/>
        </w:rPr>
        <w:t xml:space="preserve"> need to install </w:t>
      </w:r>
      <w:r w:rsidR="00BD7D13">
        <w:rPr>
          <w:rFonts w:cs="Times New Roman"/>
          <w:lang w:val="en-GB"/>
        </w:rPr>
        <w:t xml:space="preserve">the following </w:t>
      </w:r>
      <w:r w:rsidR="00C77820">
        <w:rPr>
          <w:rFonts w:cs="Times New Roman"/>
          <w:lang w:val="en-GB"/>
        </w:rPr>
        <w:t>third-party software</w:t>
      </w:r>
      <w:r w:rsidR="00BD7D13">
        <w:rPr>
          <w:rFonts w:cs="Times New Roman"/>
          <w:lang w:val="en-GB"/>
        </w:rPr>
        <w:t>:</w:t>
      </w:r>
      <w:r w:rsidR="00C77820">
        <w:rPr>
          <w:rFonts w:cs="Times New Roman"/>
          <w:lang w:val="en-GB"/>
        </w:rPr>
        <w:t xml:space="preserve"> </w:t>
      </w:r>
      <w:r w:rsidR="00D36155" w:rsidRPr="003A6273">
        <w:rPr>
          <w:rFonts w:cs="Times New Roman"/>
          <w:lang w:val="en-GB"/>
        </w:rPr>
        <w:t xml:space="preserve">MAFFT </w:t>
      </w:r>
      <w:r w:rsidR="00D36155">
        <w:rPr>
          <w:rFonts w:cs="Times New Roman"/>
          <w:lang w:val="en-GB"/>
        </w:rPr>
        <w:t>(</w:t>
      </w:r>
      <w:r w:rsidR="00D36155" w:rsidRPr="003A6273">
        <w:rPr>
          <w:rFonts w:cs="Times New Roman"/>
          <w:lang w:val="en-GB"/>
        </w:rPr>
        <w:t>v</w:t>
      </w:r>
      <w:r w:rsidR="008A2551">
        <w:rPr>
          <w:rFonts w:cs="Times New Roman"/>
          <w:lang w:val="en-GB"/>
        </w:rPr>
        <w:t>7.306</w:t>
      </w:r>
      <w:r w:rsidR="00D36155" w:rsidRPr="003A6273">
        <w:rPr>
          <w:rFonts w:cs="Times New Roman"/>
          <w:lang w:val="en-GB"/>
        </w:rPr>
        <w:t xml:space="preserve">, Katoh </w:t>
      </w:r>
      <w:r w:rsidR="008E1AA1">
        <w:rPr>
          <w:rFonts w:cs="Times New Roman"/>
          <w:lang w:val="en-GB"/>
        </w:rPr>
        <w:t>&amp; Standley 2013</w:t>
      </w:r>
      <w:r w:rsidR="00D36155">
        <w:rPr>
          <w:rFonts w:cs="Times New Roman"/>
          <w:lang w:val="en-GB"/>
        </w:rPr>
        <w:t xml:space="preserve">) to generate multiple </w:t>
      </w:r>
      <w:r w:rsidR="00443E67">
        <w:rPr>
          <w:rFonts w:cs="Times New Roman"/>
          <w:lang w:val="en-GB"/>
        </w:rPr>
        <w:t xml:space="preserve">sequence </w:t>
      </w:r>
      <w:r w:rsidR="00D36155">
        <w:rPr>
          <w:rFonts w:cs="Times New Roman"/>
          <w:lang w:val="en-GB"/>
        </w:rPr>
        <w:t xml:space="preserve">alignment, </w:t>
      </w:r>
      <w:r w:rsidR="008E64FD">
        <w:rPr>
          <w:rFonts w:cs="Times New Roman"/>
          <w:lang w:val="en-GB"/>
        </w:rPr>
        <w:t>FLASh</w:t>
      </w:r>
      <w:r w:rsidR="008E64FD" w:rsidRPr="003A6273">
        <w:rPr>
          <w:lang w:val="en-GB"/>
        </w:rPr>
        <w:t xml:space="preserve"> (v1.2.10, </w:t>
      </w:r>
      <w:r w:rsidR="008E64FD" w:rsidRPr="0083392F">
        <w:rPr>
          <w:rStyle w:val="ResponseChar"/>
        </w:rPr>
        <w:t>Mago</w:t>
      </w:r>
      <w:r w:rsidR="00FA2868" w:rsidRPr="00FA2868">
        <w:rPr>
          <w:rStyle w:val="ResponseChar"/>
        </w:rPr>
        <w:t>č</w:t>
      </w:r>
      <w:r w:rsidR="0083392F" w:rsidRPr="0083392F">
        <w:rPr>
          <w:rStyle w:val="ResponseChar"/>
        </w:rPr>
        <w:t xml:space="preserve"> &amp; Salzberg</w:t>
      </w:r>
      <w:r w:rsidR="008E64FD" w:rsidRPr="003A6273">
        <w:rPr>
          <w:lang w:val="en-GB"/>
        </w:rPr>
        <w:t xml:space="preserve"> 2011)</w:t>
      </w:r>
      <w:r w:rsidR="008E64FD">
        <w:rPr>
          <w:lang w:val="en-GB"/>
        </w:rPr>
        <w:t xml:space="preserve"> to combine </w:t>
      </w:r>
      <w:r w:rsidR="008E64FD">
        <w:rPr>
          <w:lang w:val="en-GB"/>
        </w:rPr>
        <w:lastRenderedPageBreak/>
        <w:t xml:space="preserve">paired-end reads, </w:t>
      </w:r>
      <w:r w:rsidR="005C01E3">
        <w:rPr>
          <w:rFonts w:cs="Times New Roman"/>
          <w:lang w:val="en-GB"/>
        </w:rPr>
        <w:t xml:space="preserve">USEARCH </w:t>
      </w:r>
      <w:r w:rsidR="009C273A">
        <w:rPr>
          <w:lang w:val="en-GB"/>
        </w:rPr>
        <w:t>(v7.0.1090</w:t>
      </w:r>
      <w:r w:rsidR="005C01E3" w:rsidRPr="003A6273">
        <w:rPr>
          <w:lang w:val="en-GB"/>
        </w:rPr>
        <w:t xml:space="preserve">, Edgar et al. 2011) </w:t>
      </w:r>
      <w:r w:rsidR="00C77820">
        <w:rPr>
          <w:rFonts w:cs="Times New Roman"/>
          <w:lang w:val="en-GB"/>
        </w:rPr>
        <w:t>to remove chimeric reads</w:t>
      </w:r>
      <w:r w:rsidR="00E840BD">
        <w:rPr>
          <w:rFonts w:cs="Times New Roman"/>
          <w:lang w:val="en-GB"/>
        </w:rPr>
        <w:t xml:space="preserve">, legacy BLAST with blastclust (BLAST v2.2.26, </w:t>
      </w:r>
      <w:r w:rsidR="00E840BD" w:rsidRPr="00B82A45">
        <w:rPr>
          <w:lang w:val="en-GB"/>
        </w:rPr>
        <w:t>Altschul et al. 1990</w:t>
      </w:r>
      <w:r w:rsidR="00E840BD">
        <w:rPr>
          <w:rFonts w:cs="Times New Roman"/>
          <w:lang w:val="en-GB"/>
        </w:rPr>
        <w:t>) to cluster sequences</w:t>
      </w:r>
      <w:r w:rsidR="00C77820">
        <w:rPr>
          <w:rFonts w:cs="Times New Roman"/>
          <w:lang w:val="en-GB"/>
        </w:rPr>
        <w:t xml:space="preserve"> and </w:t>
      </w:r>
      <w:r w:rsidR="005C01E3">
        <w:rPr>
          <w:rFonts w:cs="Times New Roman"/>
          <w:lang w:val="en-GB"/>
        </w:rPr>
        <w:t xml:space="preserve">BLAST </w:t>
      </w:r>
      <w:r w:rsidR="005C01E3" w:rsidRPr="003A6273">
        <w:rPr>
          <w:rFonts w:cs="Times New Roman"/>
          <w:lang w:val="en-GB"/>
        </w:rPr>
        <w:t>(BLAST+ v2.</w:t>
      </w:r>
      <w:r w:rsidR="008A2551">
        <w:rPr>
          <w:rFonts w:cs="Times New Roman"/>
          <w:lang w:val="en-GB"/>
        </w:rPr>
        <w:t>5.0</w:t>
      </w:r>
      <w:r w:rsidR="005C01E3" w:rsidRPr="003A6273">
        <w:rPr>
          <w:rFonts w:cs="Times New Roman"/>
          <w:lang w:val="en-GB"/>
        </w:rPr>
        <w:t>, Camacho et al. 2009)</w:t>
      </w:r>
      <w:r w:rsidR="005C01E3">
        <w:rPr>
          <w:rFonts w:cs="Times New Roman"/>
          <w:lang w:val="en-GB"/>
        </w:rPr>
        <w:t xml:space="preserve"> to </w:t>
      </w:r>
      <w:r w:rsidR="006917BA">
        <w:rPr>
          <w:rFonts w:cs="Times New Roman"/>
          <w:lang w:val="en-GB"/>
        </w:rPr>
        <w:t>identify sequences</w:t>
      </w:r>
      <w:r w:rsidR="00C77820">
        <w:rPr>
          <w:rFonts w:cs="Times New Roman"/>
          <w:lang w:val="en-GB"/>
        </w:rPr>
        <w:t>.</w:t>
      </w:r>
      <w:r w:rsidR="006057A4">
        <w:rPr>
          <w:rFonts w:cs="Times New Roman"/>
          <w:lang w:val="en-GB"/>
        </w:rPr>
        <w:t xml:space="preserve"> </w:t>
      </w:r>
      <w:r w:rsidR="00BD7D13">
        <w:rPr>
          <w:rFonts w:cs="Times New Roman"/>
          <w:lang w:val="en-GB"/>
        </w:rPr>
        <w:t xml:space="preserve">The workflow </w:t>
      </w:r>
      <w:r w:rsidR="00CC2CFE">
        <w:rPr>
          <w:rFonts w:cs="Times New Roman"/>
          <w:lang w:val="en-GB"/>
        </w:rPr>
        <w:t xml:space="preserve">for analysing </w:t>
      </w:r>
      <w:r w:rsidR="006057A4">
        <w:rPr>
          <w:rFonts w:cs="Times New Roman"/>
          <w:lang w:val="en-GB"/>
        </w:rPr>
        <w:t xml:space="preserve">454 and Illumina sequences </w:t>
      </w:r>
      <w:r w:rsidR="00BD7D13">
        <w:rPr>
          <w:rFonts w:cs="Times New Roman"/>
          <w:lang w:val="en-GB"/>
        </w:rPr>
        <w:t>is summarised</w:t>
      </w:r>
      <w:r w:rsidR="006057A4">
        <w:rPr>
          <w:rFonts w:cs="Times New Roman"/>
          <w:lang w:val="en-GB"/>
        </w:rPr>
        <w:t xml:space="preserve"> in Fig. S</w:t>
      </w:r>
      <w:r w:rsidR="007D3D8F">
        <w:rPr>
          <w:rFonts w:cs="Times New Roman"/>
          <w:lang w:val="en-GB"/>
        </w:rPr>
        <w:t>1</w:t>
      </w:r>
      <w:r w:rsidR="00B73E6E">
        <w:rPr>
          <w:rFonts w:cs="Times New Roman"/>
          <w:lang w:val="en-GB"/>
        </w:rPr>
        <w:t xml:space="preserve"> (</w:t>
      </w:r>
      <w:r w:rsidR="003E04B4">
        <w:rPr>
          <w:rFonts w:cs="Times New Roman"/>
          <w:lang w:val="en-GB"/>
        </w:rPr>
        <w:t>Electronic S</w:t>
      </w:r>
      <w:r w:rsidR="00B73E6E">
        <w:rPr>
          <w:rFonts w:cs="Times New Roman"/>
          <w:lang w:val="en-GB"/>
        </w:rPr>
        <w:t xml:space="preserve">upplementary </w:t>
      </w:r>
      <w:r w:rsidR="003E04B4">
        <w:rPr>
          <w:rFonts w:cs="Times New Roman"/>
          <w:lang w:val="en-GB"/>
        </w:rPr>
        <w:t>M</w:t>
      </w:r>
      <w:r w:rsidR="00B73E6E">
        <w:rPr>
          <w:rFonts w:cs="Times New Roman"/>
          <w:lang w:val="en-GB"/>
        </w:rPr>
        <w:t>aterial)</w:t>
      </w:r>
      <w:r w:rsidR="006057A4">
        <w:rPr>
          <w:rFonts w:cs="Times New Roman"/>
          <w:lang w:val="en-GB"/>
        </w:rPr>
        <w:t>.</w:t>
      </w:r>
      <w:r w:rsidR="00D00746">
        <w:rPr>
          <w:rFonts w:cs="Times New Roman"/>
          <w:lang w:val="en-GB"/>
        </w:rPr>
        <w:t xml:space="preserve"> </w:t>
      </w:r>
    </w:p>
    <w:p w:rsidR="00A16BAC" w:rsidRPr="003A6273" w:rsidRDefault="00A16BAC" w:rsidP="00064F31">
      <w:pPr>
        <w:spacing w:line="360" w:lineRule="auto"/>
        <w:rPr>
          <w:lang w:val="en-GB"/>
        </w:rPr>
      </w:pPr>
    </w:p>
    <w:p w:rsidR="000631C9" w:rsidRDefault="00F61337" w:rsidP="00064F31">
      <w:pPr>
        <w:spacing w:line="360" w:lineRule="auto"/>
        <w:rPr>
          <w:rFonts w:cs="Times New Roman"/>
          <w:lang w:val="en-GB"/>
        </w:rPr>
      </w:pPr>
      <w:r>
        <w:rPr>
          <w:u w:val="single"/>
          <w:lang w:val="en-GB"/>
        </w:rPr>
        <w:t xml:space="preserve">Quality control and preparation of </w:t>
      </w:r>
      <w:r w:rsidR="00BA0EDC">
        <w:rPr>
          <w:u w:val="single"/>
          <w:lang w:val="en-GB"/>
        </w:rPr>
        <w:t>read sets</w:t>
      </w:r>
      <w:r w:rsidR="00BD7D13">
        <w:rPr>
          <w:u w:val="single"/>
          <w:lang w:val="en-GB"/>
        </w:rPr>
        <w:t>.</w:t>
      </w:r>
      <w:r w:rsidR="00297A98">
        <w:rPr>
          <w:rFonts w:cs="Times New Roman"/>
          <w:lang w:val="en-GB"/>
        </w:rPr>
        <w:t xml:space="preserve"> </w:t>
      </w:r>
      <w:r w:rsidR="00486389" w:rsidRPr="00BA1DCA">
        <w:rPr>
          <w:rStyle w:val="ResponseChar"/>
        </w:rPr>
        <w:t xml:space="preserve">Illumina and 454 sequences were divided into 4 sets to incorporate the most common analysis and cleaning protocols for both sequencing methods. For Illumina </w:t>
      </w:r>
      <w:r w:rsidR="00486389">
        <w:rPr>
          <w:rStyle w:val="ResponseChar"/>
        </w:rPr>
        <w:t xml:space="preserve">amplicon </w:t>
      </w:r>
      <w:r w:rsidR="00486389" w:rsidRPr="00BA1DCA">
        <w:rPr>
          <w:rStyle w:val="ResponseChar"/>
        </w:rPr>
        <w:t xml:space="preserve">reads, we generated </w:t>
      </w:r>
      <w:r w:rsidR="00486389">
        <w:rPr>
          <w:rStyle w:val="ResponseChar"/>
        </w:rPr>
        <w:t>following sets:</w:t>
      </w:r>
      <w:r w:rsidR="00486389" w:rsidRPr="00BA1DCA">
        <w:rPr>
          <w:rStyle w:val="ResponseChar"/>
        </w:rPr>
        <w:t xml:space="preserve"> (1) </w:t>
      </w:r>
      <w:r w:rsidR="00486389">
        <w:rPr>
          <w:rStyle w:val="ResponseChar"/>
        </w:rPr>
        <w:t xml:space="preserve">Ill-qf, </w:t>
      </w:r>
      <w:r w:rsidR="00486389" w:rsidRPr="00BA1DCA">
        <w:rPr>
          <w:rStyle w:val="ResponseChar"/>
        </w:rPr>
        <w:t>quality filtered</w:t>
      </w:r>
      <w:r w:rsidR="00486389">
        <w:rPr>
          <w:rStyle w:val="ResponseChar"/>
        </w:rPr>
        <w:t xml:space="preserve"> single reads (R1) representing a random collection of forward and reverse direction reads;</w:t>
      </w:r>
      <w:r w:rsidR="00486389" w:rsidRPr="00BA1DCA">
        <w:rPr>
          <w:rStyle w:val="ResponseChar"/>
        </w:rPr>
        <w:t xml:space="preserve"> and (2)</w:t>
      </w:r>
      <w:r w:rsidR="00486389">
        <w:rPr>
          <w:rStyle w:val="ResponseChar"/>
        </w:rPr>
        <w:t xml:space="preserve"> Ill-t,</w:t>
      </w:r>
      <w:r w:rsidR="00486389" w:rsidRPr="00BA1DCA">
        <w:rPr>
          <w:rStyle w:val="ResponseChar"/>
        </w:rPr>
        <w:t xml:space="preserve"> </w:t>
      </w:r>
      <w:r w:rsidR="00486389">
        <w:rPr>
          <w:rStyle w:val="ResponseChar"/>
        </w:rPr>
        <w:t>paired-end reads that were combined using quality-filtered forward (R1) and reverse (R2) reads and then trimmed to retain only the most variable section of the amplicon (170-300bp).</w:t>
      </w:r>
      <w:r w:rsidR="00486389" w:rsidRPr="00BA1DCA">
        <w:rPr>
          <w:rStyle w:val="ResponseChar"/>
        </w:rPr>
        <w:t xml:space="preserve"> For 454-reads, we generated </w:t>
      </w:r>
      <w:r w:rsidR="00486389">
        <w:rPr>
          <w:rStyle w:val="ResponseChar"/>
        </w:rPr>
        <w:t xml:space="preserve">partly analogous set: </w:t>
      </w:r>
      <w:r w:rsidR="00486389" w:rsidRPr="00BA1DCA">
        <w:rPr>
          <w:rStyle w:val="ResponseChar"/>
        </w:rPr>
        <w:t>(3)</w:t>
      </w:r>
      <w:r w:rsidR="00486389">
        <w:rPr>
          <w:rStyle w:val="ResponseChar"/>
        </w:rPr>
        <w:t xml:space="preserve"> 454-qf, quality filtered full-length reads; and (4) 454-t, quality-filtered reads that were trimmed to retain only the most variable amplicon section.</w:t>
      </w:r>
      <w:r w:rsidR="00486389" w:rsidRPr="00BA1DCA">
        <w:rPr>
          <w:rStyle w:val="ResponseChar"/>
        </w:rPr>
        <w:t xml:space="preserve"> </w:t>
      </w:r>
    </w:p>
    <w:p w:rsidR="00297A98" w:rsidRDefault="005A12A1" w:rsidP="00297A98">
      <w:pPr>
        <w:spacing w:line="360" w:lineRule="auto"/>
        <w:ind w:firstLine="709"/>
        <w:rPr>
          <w:lang w:val="en-GB"/>
        </w:rPr>
      </w:pPr>
      <w:r>
        <w:rPr>
          <w:lang w:val="en-GB"/>
        </w:rPr>
        <w:t xml:space="preserve">The </w:t>
      </w:r>
      <w:r w:rsidR="00781645">
        <w:rPr>
          <w:lang w:val="en-GB"/>
        </w:rPr>
        <w:t xml:space="preserve">Illumina </w:t>
      </w:r>
      <w:r w:rsidR="00BD7D13">
        <w:rPr>
          <w:lang w:val="en-GB"/>
        </w:rPr>
        <w:t xml:space="preserve">amplicon </w:t>
      </w:r>
      <w:r w:rsidR="00D97C0E" w:rsidRPr="003A6273">
        <w:rPr>
          <w:lang w:val="en-GB"/>
        </w:rPr>
        <w:t>read</w:t>
      </w:r>
      <w:r>
        <w:rPr>
          <w:lang w:val="en-GB"/>
        </w:rPr>
        <w:t xml:space="preserve"> </w:t>
      </w:r>
      <w:r w:rsidR="00D97C0E" w:rsidRPr="003A6273">
        <w:rPr>
          <w:lang w:val="en-GB"/>
        </w:rPr>
        <w:t>s</w:t>
      </w:r>
      <w:r>
        <w:rPr>
          <w:lang w:val="en-GB"/>
        </w:rPr>
        <w:t>et</w:t>
      </w:r>
      <w:r w:rsidR="00D97C0E" w:rsidRPr="003A6273">
        <w:rPr>
          <w:lang w:val="en-GB"/>
        </w:rPr>
        <w:t xml:space="preserve"> </w:t>
      </w:r>
      <w:r w:rsidRPr="003A6273">
        <w:rPr>
          <w:lang w:val="en-GB"/>
        </w:rPr>
        <w:t>w</w:t>
      </w:r>
      <w:r>
        <w:rPr>
          <w:lang w:val="en-GB"/>
        </w:rPr>
        <w:t>as</w:t>
      </w:r>
      <w:r w:rsidRPr="003A6273">
        <w:rPr>
          <w:lang w:val="en-GB"/>
        </w:rPr>
        <w:t xml:space="preserve"> </w:t>
      </w:r>
      <w:r>
        <w:rPr>
          <w:lang w:val="en-GB"/>
        </w:rPr>
        <w:t>quality</w:t>
      </w:r>
      <w:r w:rsidRPr="003A6273">
        <w:rPr>
          <w:lang w:val="en-GB"/>
        </w:rPr>
        <w:t xml:space="preserve"> </w:t>
      </w:r>
      <w:r w:rsidR="0057579C" w:rsidRPr="003A6273">
        <w:rPr>
          <w:lang w:val="en-GB"/>
        </w:rPr>
        <w:t xml:space="preserve">filtered by removing </w:t>
      </w:r>
      <w:r w:rsidR="000A2532" w:rsidRPr="003A6273">
        <w:rPr>
          <w:lang w:val="en-GB"/>
        </w:rPr>
        <w:t>sequences</w:t>
      </w:r>
      <w:r w:rsidR="00D97C0E" w:rsidRPr="003A6273">
        <w:rPr>
          <w:lang w:val="en-GB"/>
        </w:rPr>
        <w:t xml:space="preserve"> exhibiting </w:t>
      </w:r>
      <w:r w:rsidR="00B010B7">
        <w:rPr>
          <w:lang w:val="en-GB"/>
        </w:rPr>
        <w:t xml:space="preserve">Nextera </w:t>
      </w:r>
      <w:r w:rsidR="0057579C" w:rsidRPr="003A6273">
        <w:rPr>
          <w:lang w:val="en-GB"/>
        </w:rPr>
        <w:t>adapter contamination</w:t>
      </w:r>
      <w:r w:rsidR="002D725A" w:rsidRPr="003A6273">
        <w:rPr>
          <w:lang w:val="en-GB"/>
        </w:rPr>
        <w:t xml:space="preserve"> </w:t>
      </w:r>
      <w:r w:rsidR="00B010B7">
        <w:rPr>
          <w:rFonts w:cs="Times New Roman"/>
          <w:lang w:val="en-GB"/>
        </w:rPr>
        <w:t>(Fig</w:t>
      </w:r>
      <w:r w:rsidR="007D3D8F">
        <w:rPr>
          <w:rFonts w:cs="Times New Roman"/>
          <w:lang w:val="en-GB"/>
        </w:rPr>
        <w:t>. S2</w:t>
      </w:r>
      <w:r w:rsidR="00114E5C">
        <w:rPr>
          <w:rFonts w:cs="Times New Roman"/>
          <w:lang w:val="en-GB"/>
        </w:rPr>
        <w:t>a, S2b</w:t>
      </w:r>
      <w:r w:rsidR="00B010B7">
        <w:rPr>
          <w:rFonts w:cs="Times New Roman"/>
          <w:lang w:val="en-GB"/>
        </w:rPr>
        <w:t xml:space="preserve">) </w:t>
      </w:r>
      <w:r w:rsidR="002D725A" w:rsidRPr="003A6273">
        <w:rPr>
          <w:lang w:val="en-GB"/>
        </w:rPr>
        <w:t>and</w:t>
      </w:r>
      <w:r w:rsidR="000A2532" w:rsidRPr="003A6273">
        <w:rPr>
          <w:lang w:val="en-GB"/>
        </w:rPr>
        <w:t xml:space="preserve"> </w:t>
      </w:r>
      <w:r w:rsidR="0057579C" w:rsidRPr="003A6273">
        <w:rPr>
          <w:lang w:val="en-GB"/>
        </w:rPr>
        <w:t xml:space="preserve">where average quality </w:t>
      </w:r>
      <w:r w:rsidR="0070716A" w:rsidRPr="003A6273">
        <w:rPr>
          <w:lang w:val="en-GB"/>
        </w:rPr>
        <w:t xml:space="preserve">was </w:t>
      </w:r>
      <w:r w:rsidR="00D97C0E" w:rsidRPr="003A6273">
        <w:rPr>
          <w:lang w:val="en-GB"/>
        </w:rPr>
        <w:t xml:space="preserve">&lt; </w:t>
      </w:r>
      <w:r w:rsidR="002D725A" w:rsidRPr="003A6273">
        <w:rPr>
          <w:lang w:val="en-GB"/>
        </w:rPr>
        <w:t>30</w:t>
      </w:r>
      <w:r w:rsidR="003427B2" w:rsidRPr="003A6273">
        <w:rPr>
          <w:lang w:val="en-GB"/>
        </w:rPr>
        <w:t xml:space="preserve"> (maximum 41,</w:t>
      </w:r>
      <w:r w:rsidR="007A672B" w:rsidRPr="003A6273">
        <w:rPr>
          <w:lang w:val="en-GB"/>
        </w:rPr>
        <w:t xml:space="preserve"> </w:t>
      </w:r>
      <w:r w:rsidR="007E2EFA" w:rsidRPr="003A6273">
        <w:rPr>
          <w:lang w:val="en-GB"/>
        </w:rPr>
        <w:t>Cock et al. 2010</w:t>
      </w:r>
      <w:r w:rsidR="003427B2" w:rsidRPr="003A6273">
        <w:rPr>
          <w:lang w:val="en-GB"/>
        </w:rPr>
        <w:t>)</w:t>
      </w:r>
      <w:r w:rsidR="00900A0B" w:rsidRPr="003A6273">
        <w:rPr>
          <w:lang w:val="en-GB"/>
        </w:rPr>
        <w:t>.</w:t>
      </w:r>
      <w:r w:rsidR="00663EBE">
        <w:rPr>
          <w:lang w:val="en-GB"/>
        </w:rPr>
        <w:t xml:space="preserve"> The majority of reads</w:t>
      </w:r>
      <w:r w:rsidR="00FF10F6">
        <w:rPr>
          <w:lang w:val="en-GB"/>
        </w:rPr>
        <w:t xml:space="preserve"> contained Nextera tagmentation-</w:t>
      </w:r>
      <w:r w:rsidR="00663EBE">
        <w:rPr>
          <w:lang w:val="en-GB"/>
        </w:rPr>
        <w:t xml:space="preserve">based adapter </w:t>
      </w:r>
      <w:r w:rsidR="005201ED">
        <w:rPr>
          <w:lang w:val="en-GB"/>
        </w:rPr>
        <w:t xml:space="preserve">fragments </w:t>
      </w:r>
      <w:r w:rsidR="007D3D8F">
        <w:rPr>
          <w:lang w:val="en-GB"/>
        </w:rPr>
        <w:t>(Fig. S2, S3, S4</w:t>
      </w:r>
      <w:r w:rsidR="00663EBE">
        <w:rPr>
          <w:lang w:val="en-GB"/>
        </w:rPr>
        <w:t>).</w:t>
      </w:r>
      <w:r w:rsidR="007141AA">
        <w:rPr>
          <w:lang w:val="en-GB"/>
        </w:rPr>
        <w:t xml:space="preserve"> Adapter fragments were revealed at random locations (Fig. S2d) dependent on insert size, which sometimes was smaller </w:t>
      </w:r>
      <w:r w:rsidR="0078610C" w:rsidRPr="00BA1DCA">
        <w:rPr>
          <w:rStyle w:val="ResponseChar"/>
        </w:rPr>
        <w:t>than</w:t>
      </w:r>
      <w:r w:rsidR="007141AA">
        <w:rPr>
          <w:lang w:val="en-GB"/>
        </w:rPr>
        <w:t xml:space="preserve"> MiSeq read length</w:t>
      </w:r>
      <w:r w:rsidR="0078610C">
        <w:rPr>
          <w:lang w:val="en-GB"/>
        </w:rPr>
        <w:t>,</w:t>
      </w:r>
      <w:r w:rsidR="007141AA">
        <w:rPr>
          <w:lang w:val="en-GB"/>
        </w:rPr>
        <w:t xml:space="preserve"> resulting in palindrome reads where adapter read-through occurs</w:t>
      </w:r>
      <w:r w:rsidR="00663EBE">
        <w:rPr>
          <w:lang w:val="en-GB"/>
        </w:rPr>
        <w:t xml:space="preserve"> </w:t>
      </w:r>
      <w:r w:rsidR="004A7954">
        <w:rPr>
          <w:lang w:val="en-GB"/>
        </w:rPr>
        <w:t>(</w:t>
      </w:r>
      <w:r w:rsidR="00B57B8A">
        <w:rPr>
          <w:lang w:val="en-GB"/>
        </w:rPr>
        <w:t>Bolger</w:t>
      </w:r>
      <w:r w:rsidR="004A7954">
        <w:rPr>
          <w:lang w:val="en-GB"/>
        </w:rPr>
        <w:t xml:space="preserve"> et al. 2014)</w:t>
      </w:r>
      <w:r w:rsidR="00BF6F4A">
        <w:rPr>
          <w:lang w:val="en-GB"/>
        </w:rPr>
        <w:t>.</w:t>
      </w:r>
      <w:r w:rsidR="00380FF5">
        <w:rPr>
          <w:lang w:val="en-GB"/>
        </w:rPr>
        <w:t xml:space="preserve"> </w:t>
      </w:r>
      <w:r w:rsidR="00BD7D13">
        <w:rPr>
          <w:lang w:val="en-GB"/>
        </w:rPr>
        <w:t xml:space="preserve">Such </w:t>
      </w:r>
      <w:r w:rsidR="00663EBE">
        <w:rPr>
          <w:lang w:val="en-GB"/>
        </w:rPr>
        <w:t xml:space="preserve">paired-end reads </w:t>
      </w:r>
      <w:r w:rsidR="004E6650">
        <w:rPr>
          <w:lang w:val="en-GB"/>
        </w:rPr>
        <w:t xml:space="preserve">containing fragments of adapters </w:t>
      </w:r>
      <w:r w:rsidR="00663EBE">
        <w:rPr>
          <w:lang w:val="en-GB"/>
        </w:rPr>
        <w:t>were discarded</w:t>
      </w:r>
      <w:r w:rsidR="00900A0B" w:rsidRPr="003A6273">
        <w:rPr>
          <w:lang w:val="en-GB"/>
        </w:rPr>
        <w:t>.</w:t>
      </w:r>
      <w:r w:rsidR="00380FF5">
        <w:rPr>
          <w:lang w:val="en-GB"/>
        </w:rPr>
        <w:t xml:space="preserve"> </w:t>
      </w:r>
      <w:r w:rsidR="0034777B">
        <w:rPr>
          <w:lang w:val="en-GB"/>
        </w:rPr>
        <w:t>S</w:t>
      </w:r>
      <w:r w:rsidR="00052C97" w:rsidRPr="003A6273">
        <w:rPr>
          <w:lang w:val="en-GB"/>
        </w:rPr>
        <w:t>equence</w:t>
      </w:r>
      <w:r w:rsidR="00226448">
        <w:rPr>
          <w:lang w:val="en-GB"/>
        </w:rPr>
        <w:t>s were not</w:t>
      </w:r>
      <w:r w:rsidR="00052C97" w:rsidRPr="003A6273">
        <w:rPr>
          <w:lang w:val="en-GB"/>
        </w:rPr>
        <w:t xml:space="preserve"> </w:t>
      </w:r>
      <w:r w:rsidR="00226448" w:rsidRPr="003A6273">
        <w:rPr>
          <w:lang w:val="en-GB"/>
        </w:rPr>
        <w:t>trimm</w:t>
      </w:r>
      <w:r w:rsidR="00226448">
        <w:rPr>
          <w:lang w:val="en-GB"/>
        </w:rPr>
        <w:t>ed</w:t>
      </w:r>
      <w:r w:rsidR="00226448" w:rsidRPr="003A6273">
        <w:rPr>
          <w:lang w:val="en-GB"/>
        </w:rPr>
        <w:t xml:space="preserve"> </w:t>
      </w:r>
      <w:r w:rsidR="00052C97" w:rsidRPr="003A6273">
        <w:rPr>
          <w:lang w:val="en-GB"/>
        </w:rPr>
        <w:t>based on quality</w:t>
      </w:r>
      <w:r w:rsidR="00226448">
        <w:rPr>
          <w:lang w:val="en-GB"/>
        </w:rPr>
        <w:t xml:space="preserve"> scores</w:t>
      </w:r>
      <w:r w:rsidR="00052C97" w:rsidRPr="003A6273">
        <w:rPr>
          <w:lang w:val="en-GB"/>
        </w:rPr>
        <w:t xml:space="preserve"> </w:t>
      </w:r>
      <w:r w:rsidR="004D4A5E" w:rsidRPr="00417D2E">
        <w:rPr>
          <w:rStyle w:val="ResponseChar"/>
        </w:rPr>
        <w:t xml:space="preserve">as </w:t>
      </w:r>
      <w:r w:rsidR="00417D2E" w:rsidRPr="00417D2E">
        <w:rPr>
          <w:rStyle w:val="ResponseChar"/>
          <w:lang w:val="en-GB"/>
        </w:rPr>
        <w:t>this results in the loss of combined reads if overlapping sections are removed, while the criteria required for read combination themselves provide a quality filter.</w:t>
      </w:r>
      <w:r w:rsidR="00417D2E" w:rsidRPr="00417D2E">
        <w:rPr>
          <w:lang w:val="en-GB"/>
        </w:rPr>
        <w:t xml:space="preserve"> </w:t>
      </w:r>
      <w:r w:rsidR="00B46073" w:rsidRPr="003A6273">
        <w:rPr>
          <w:lang w:val="en-GB"/>
        </w:rPr>
        <w:t>In our case</w:t>
      </w:r>
      <w:r w:rsidR="00226448">
        <w:rPr>
          <w:lang w:val="en-GB"/>
        </w:rPr>
        <w:t>,</w:t>
      </w:r>
      <w:r w:rsidR="00B46073" w:rsidRPr="003A6273">
        <w:rPr>
          <w:lang w:val="en-GB"/>
        </w:rPr>
        <w:t xml:space="preserve"> R2</w:t>
      </w:r>
      <w:r w:rsidR="00226448">
        <w:rPr>
          <w:lang w:val="en-GB"/>
        </w:rPr>
        <w:t xml:space="preserve"> reads</w:t>
      </w:r>
      <w:r w:rsidR="00B46073" w:rsidRPr="003A6273">
        <w:rPr>
          <w:lang w:val="en-GB"/>
        </w:rPr>
        <w:t xml:space="preserve"> </w:t>
      </w:r>
      <w:r w:rsidR="00226448">
        <w:rPr>
          <w:lang w:val="en-GB"/>
        </w:rPr>
        <w:t>were of</w:t>
      </w:r>
      <w:r w:rsidR="00052C97" w:rsidRPr="003A6273">
        <w:rPr>
          <w:lang w:val="en-GB"/>
        </w:rPr>
        <w:t xml:space="preserve"> lower quality compared to R1</w:t>
      </w:r>
      <w:r w:rsidR="00D46981">
        <w:rPr>
          <w:lang w:val="en-GB"/>
        </w:rPr>
        <w:t xml:space="preserve"> (average quality scores: amplicon R1</w:t>
      </w:r>
      <w:r w:rsidR="0094471A">
        <w:rPr>
          <w:lang w:val="en-GB"/>
        </w:rPr>
        <w:t xml:space="preserve"> 29.9%</w:t>
      </w:r>
      <w:r w:rsidR="003A41BB">
        <w:rPr>
          <w:lang w:val="en-GB"/>
        </w:rPr>
        <w:t xml:space="preserve"> and</w:t>
      </w:r>
      <w:r w:rsidR="00D46981">
        <w:rPr>
          <w:lang w:val="en-GB"/>
        </w:rPr>
        <w:t xml:space="preserve"> R2</w:t>
      </w:r>
      <w:r w:rsidR="0094471A">
        <w:rPr>
          <w:lang w:val="en-GB"/>
        </w:rPr>
        <w:t xml:space="preserve"> 27.6%</w:t>
      </w:r>
      <w:r w:rsidR="003A41BB">
        <w:rPr>
          <w:lang w:val="en-GB"/>
        </w:rPr>
        <w:t xml:space="preserve">; metagenomic </w:t>
      </w:r>
      <w:r w:rsidR="00D46981">
        <w:rPr>
          <w:lang w:val="en-GB"/>
        </w:rPr>
        <w:t>R1</w:t>
      </w:r>
      <w:r w:rsidR="0094471A">
        <w:rPr>
          <w:lang w:val="en-GB"/>
        </w:rPr>
        <w:t xml:space="preserve"> 35%</w:t>
      </w:r>
      <w:r w:rsidR="003A41BB">
        <w:rPr>
          <w:lang w:val="en-GB"/>
        </w:rPr>
        <w:t xml:space="preserve"> and</w:t>
      </w:r>
      <w:r w:rsidR="00D46981">
        <w:rPr>
          <w:lang w:val="en-GB"/>
        </w:rPr>
        <w:t xml:space="preserve"> R2</w:t>
      </w:r>
      <w:r w:rsidR="0094471A">
        <w:rPr>
          <w:lang w:val="en-GB"/>
        </w:rPr>
        <w:t xml:space="preserve"> 31.9%</w:t>
      </w:r>
      <w:r w:rsidR="005201ED">
        <w:rPr>
          <w:lang w:val="en-GB"/>
        </w:rPr>
        <w:t>;</w:t>
      </w:r>
      <w:r w:rsidR="00414512">
        <w:rPr>
          <w:lang w:val="en-GB"/>
        </w:rPr>
        <w:t xml:space="preserve"> Fig. S5</w:t>
      </w:r>
      <w:r w:rsidR="00D46981">
        <w:rPr>
          <w:lang w:val="en-GB"/>
        </w:rPr>
        <w:t>)</w:t>
      </w:r>
      <w:r w:rsidR="003234D0" w:rsidRPr="003A6273">
        <w:rPr>
          <w:lang w:val="en-GB"/>
        </w:rPr>
        <w:t>.</w:t>
      </w:r>
      <w:r w:rsidR="0070716A" w:rsidRPr="003A6273">
        <w:rPr>
          <w:lang w:val="en-GB"/>
        </w:rPr>
        <w:t xml:space="preserve"> </w:t>
      </w:r>
      <w:r w:rsidR="00221E75">
        <w:rPr>
          <w:lang w:val="en-GB"/>
        </w:rPr>
        <w:t>After adapter removal and quality filtering</w:t>
      </w:r>
      <w:r w:rsidR="0034777B">
        <w:rPr>
          <w:lang w:val="en-GB"/>
        </w:rPr>
        <w:t>,</w:t>
      </w:r>
      <w:r w:rsidR="00221E75">
        <w:rPr>
          <w:lang w:val="en-GB"/>
        </w:rPr>
        <w:t xml:space="preserve"> reads without </w:t>
      </w:r>
      <w:r w:rsidR="00B12BB5">
        <w:rPr>
          <w:lang w:val="en-GB"/>
        </w:rPr>
        <w:t xml:space="preserve">the respective </w:t>
      </w:r>
      <w:r w:rsidR="00221E75">
        <w:rPr>
          <w:lang w:val="en-GB"/>
        </w:rPr>
        <w:t>pair</w:t>
      </w:r>
      <w:r w:rsidR="00B12BB5">
        <w:rPr>
          <w:lang w:val="en-GB"/>
        </w:rPr>
        <w:t>ed read</w:t>
      </w:r>
      <w:r w:rsidR="00221E75">
        <w:rPr>
          <w:lang w:val="en-GB"/>
        </w:rPr>
        <w:t xml:space="preserve"> were omitted, as they could not be</w:t>
      </w:r>
      <w:r w:rsidR="00052C97" w:rsidRPr="003A6273">
        <w:rPr>
          <w:lang w:val="en-GB"/>
        </w:rPr>
        <w:t xml:space="preserve"> </w:t>
      </w:r>
      <w:r w:rsidR="00221E75">
        <w:rPr>
          <w:lang w:val="en-GB"/>
        </w:rPr>
        <w:t>combined.</w:t>
      </w:r>
    </w:p>
    <w:p w:rsidR="00297A98" w:rsidRDefault="008B6AB6" w:rsidP="00297A98">
      <w:pPr>
        <w:spacing w:line="360" w:lineRule="auto"/>
        <w:ind w:firstLine="709"/>
        <w:rPr>
          <w:lang w:val="en-GB"/>
        </w:rPr>
      </w:pPr>
      <w:r w:rsidRPr="003A6273">
        <w:rPr>
          <w:lang w:val="en-GB"/>
        </w:rPr>
        <w:t>Quality filtered</w:t>
      </w:r>
      <w:r w:rsidR="00421B14" w:rsidRPr="003A6273">
        <w:rPr>
          <w:lang w:val="en-GB"/>
        </w:rPr>
        <w:t xml:space="preserve"> p</w:t>
      </w:r>
      <w:r w:rsidR="002C278A" w:rsidRPr="003A6273">
        <w:rPr>
          <w:lang w:val="en-GB"/>
        </w:rPr>
        <w:t>aired</w:t>
      </w:r>
      <w:r w:rsidR="00211141" w:rsidRPr="003A6273">
        <w:rPr>
          <w:lang w:val="en-GB"/>
        </w:rPr>
        <w:t>-</w:t>
      </w:r>
      <w:r w:rsidR="002C278A" w:rsidRPr="003A6273">
        <w:rPr>
          <w:lang w:val="en-GB"/>
        </w:rPr>
        <w:t xml:space="preserve">end reads were combined using </w:t>
      </w:r>
      <w:r w:rsidR="0068039E" w:rsidRPr="003A6273">
        <w:rPr>
          <w:lang w:val="en-GB"/>
        </w:rPr>
        <w:t>FLASh</w:t>
      </w:r>
      <w:r w:rsidR="002C278A" w:rsidRPr="003A6273">
        <w:rPr>
          <w:lang w:val="en-GB"/>
        </w:rPr>
        <w:t xml:space="preserve"> </w:t>
      </w:r>
      <w:r w:rsidR="0057579C" w:rsidRPr="003A6273">
        <w:rPr>
          <w:lang w:val="en-GB"/>
        </w:rPr>
        <w:t xml:space="preserve">with </w:t>
      </w:r>
      <w:r w:rsidR="00934F94" w:rsidRPr="003A6273">
        <w:rPr>
          <w:lang w:val="en-GB"/>
        </w:rPr>
        <w:t xml:space="preserve">the </w:t>
      </w:r>
      <w:r w:rsidR="0057579C" w:rsidRPr="003A6273">
        <w:rPr>
          <w:lang w:val="en-GB"/>
        </w:rPr>
        <w:t>default parameters</w:t>
      </w:r>
      <w:r w:rsidR="00934F94" w:rsidRPr="003A6273">
        <w:rPr>
          <w:lang w:val="en-GB"/>
        </w:rPr>
        <w:t xml:space="preserve"> (</w:t>
      </w:r>
      <w:r w:rsidR="002C278A" w:rsidRPr="003A6273">
        <w:rPr>
          <w:lang w:val="en-GB"/>
        </w:rPr>
        <w:t xml:space="preserve">minimum </w:t>
      </w:r>
      <w:r w:rsidR="00934F94" w:rsidRPr="003A6273">
        <w:rPr>
          <w:lang w:val="en-GB"/>
        </w:rPr>
        <w:t xml:space="preserve">overlap between paired reads = </w:t>
      </w:r>
      <w:r w:rsidR="0057579C" w:rsidRPr="003A6273">
        <w:rPr>
          <w:lang w:val="en-GB"/>
        </w:rPr>
        <w:t xml:space="preserve">10 </w:t>
      </w:r>
      <w:r w:rsidR="002C278A" w:rsidRPr="003A6273">
        <w:rPr>
          <w:lang w:val="en-GB"/>
        </w:rPr>
        <w:t>bp</w:t>
      </w:r>
      <w:r w:rsidR="00934F94" w:rsidRPr="003A6273">
        <w:rPr>
          <w:lang w:val="en-GB"/>
        </w:rPr>
        <w:t>; maximum</w:t>
      </w:r>
      <w:r w:rsidR="002C278A" w:rsidRPr="003A6273">
        <w:rPr>
          <w:lang w:val="en-GB"/>
        </w:rPr>
        <w:t xml:space="preserve"> mismatch density in the overlap alignment </w:t>
      </w:r>
      <w:r w:rsidR="00934F94" w:rsidRPr="003A6273">
        <w:rPr>
          <w:lang w:val="en-GB"/>
        </w:rPr>
        <w:t>= 0.25)</w:t>
      </w:r>
      <w:r w:rsidR="002C278A" w:rsidRPr="003A6273">
        <w:rPr>
          <w:lang w:val="en-GB"/>
        </w:rPr>
        <w:t xml:space="preserve">. </w:t>
      </w:r>
      <w:r w:rsidR="00286B34" w:rsidRPr="003A6273">
        <w:rPr>
          <w:lang w:val="en-GB"/>
        </w:rPr>
        <w:t xml:space="preserve">In case of mismatch in </w:t>
      </w:r>
      <w:r w:rsidR="00226448">
        <w:rPr>
          <w:lang w:val="en-GB"/>
        </w:rPr>
        <w:t xml:space="preserve">the </w:t>
      </w:r>
      <w:r w:rsidR="00D85F60" w:rsidRPr="003A6273">
        <w:rPr>
          <w:lang w:val="en-GB"/>
        </w:rPr>
        <w:t>overlapping segment</w:t>
      </w:r>
      <w:r w:rsidR="00226448">
        <w:rPr>
          <w:lang w:val="en-GB"/>
        </w:rPr>
        <w:t>s</w:t>
      </w:r>
      <w:r w:rsidR="00286B34" w:rsidRPr="003A6273">
        <w:rPr>
          <w:lang w:val="en-GB"/>
        </w:rPr>
        <w:t xml:space="preserve"> of paired-end reads</w:t>
      </w:r>
      <w:r w:rsidR="00D85F60" w:rsidRPr="003A6273">
        <w:rPr>
          <w:lang w:val="en-GB"/>
        </w:rPr>
        <w:t>, FLASh compares the quality scores for both reads and picks</w:t>
      </w:r>
      <w:r w:rsidR="001D4326" w:rsidRPr="003A6273">
        <w:rPr>
          <w:lang w:val="en-GB"/>
        </w:rPr>
        <w:t xml:space="preserve"> </w:t>
      </w:r>
      <w:r w:rsidR="00226448">
        <w:rPr>
          <w:lang w:val="en-GB"/>
        </w:rPr>
        <w:t xml:space="preserve">the </w:t>
      </w:r>
      <w:r w:rsidR="001D4326" w:rsidRPr="003A6273">
        <w:rPr>
          <w:lang w:val="en-GB"/>
        </w:rPr>
        <w:t>nucleotide with</w:t>
      </w:r>
      <w:r w:rsidR="0034777B">
        <w:rPr>
          <w:lang w:val="en-GB"/>
        </w:rPr>
        <w:t xml:space="preserve"> the</w:t>
      </w:r>
      <w:r w:rsidR="00D85F60" w:rsidRPr="003A6273">
        <w:rPr>
          <w:lang w:val="en-GB"/>
        </w:rPr>
        <w:t xml:space="preserve"> </w:t>
      </w:r>
      <w:r w:rsidR="00792294" w:rsidRPr="003A6273">
        <w:rPr>
          <w:lang w:val="en-GB"/>
        </w:rPr>
        <w:t>highest</w:t>
      </w:r>
      <w:r w:rsidR="00D85F60" w:rsidRPr="003A6273">
        <w:rPr>
          <w:lang w:val="en-GB"/>
        </w:rPr>
        <w:t xml:space="preserve"> qualit</w:t>
      </w:r>
      <w:r w:rsidR="001D4326" w:rsidRPr="003A6273">
        <w:rPr>
          <w:lang w:val="en-GB"/>
        </w:rPr>
        <w:t>y</w:t>
      </w:r>
      <w:r w:rsidR="0041757D">
        <w:rPr>
          <w:lang w:val="en-GB"/>
        </w:rPr>
        <w:t xml:space="preserve"> score</w:t>
      </w:r>
      <w:r w:rsidR="00D85F60" w:rsidRPr="003A6273">
        <w:rPr>
          <w:lang w:val="en-GB"/>
        </w:rPr>
        <w:t xml:space="preserve">. </w:t>
      </w:r>
      <w:r w:rsidR="002C278A" w:rsidRPr="003A6273">
        <w:rPr>
          <w:lang w:val="en-GB"/>
        </w:rPr>
        <w:t>The resultant combined paired-end reads exhibited lengths ranging from 251 to 4</w:t>
      </w:r>
      <w:r w:rsidR="001F2028" w:rsidRPr="003A6273">
        <w:rPr>
          <w:lang w:val="en-GB"/>
        </w:rPr>
        <w:t>9</w:t>
      </w:r>
      <w:r w:rsidR="002C278A" w:rsidRPr="003A6273">
        <w:rPr>
          <w:lang w:val="en-GB"/>
        </w:rPr>
        <w:t xml:space="preserve">2 </w:t>
      </w:r>
      <w:r w:rsidR="00B010B7">
        <w:rPr>
          <w:lang w:val="en-GB"/>
        </w:rPr>
        <w:t>nt</w:t>
      </w:r>
      <w:r w:rsidR="00AF7A14" w:rsidRPr="003A6273">
        <w:rPr>
          <w:lang w:val="en-GB"/>
        </w:rPr>
        <w:t xml:space="preserve"> </w:t>
      </w:r>
      <w:r w:rsidR="00F273B5" w:rsidRPr="003A6273">
        <w:rPr>
          <w:lang w:val="en-GB"/>
        </w:rPr>
        <w:t>(Fig</w:t>
      </w:r>
      <w:r w:rsidR="0019492E" w:rsidRPr="003A6273">
        <w:rPr>
          <w:lang w:val="en-GB"/>
        </w:rPr>
        <w:t>.</w:t>
      </w:r>
      <w:r w:rsidR="007D3D8F">
        <w:rPr>
          <w:lang w:val="en-GB"/>
        </w:rPr>
        <w:t xml:space="preserve"> S2</w:t>
      </w:r>
      <w:r w:rsidR="0041757D">
        <w:rPr>
          <w:lang w:val="en-GB"/>
        </w:rPr>
        <w:t>c</w:t>
      </w:r>
      <w:r w:rsidR="00F273B5" w:rsidRPr="003A6273">
        <w:rPr>
          <w:lang w:val="en-GB"/>
        </w:rPr>
        <w:t>)</w:t>
      </w:r>
      <w:r w:rsidR="008539DC">
        <w:rPr>
          <w:lang w:val="en-GB"/>
        </w:rPr>
        <w:t xml:space="preserve">. </w:t>
      </w:r>
      <w:r w:rsidR="00EE2E9F" w:rsidRPr="00BA1DCA">
        <w:rPr>
          <w:rStyle w:val="ResponseChar"/>
        </w:rPr>
        <w:t>We also tested pairing the reads with Pear (</w:t>
      </w:r>
      <w:r w:rsidR="002F7935" w:rsidRPr="00BA1DCA">
        <w:rPr>
          <w:rStyle w:val="ResponseChar"/>
        </w:rPr>
        <w:t>Zhang et al. 2014</w:t>
      </w:r>
      <w:r w:rsidR="00EE2E9F" w:rsidRPr="00BA1DCA">
        <w:rPr>
          <w:rStyle w:val="ResponseChar"/>
        </w:rPr>
        <w:t xml:space="preserve">) and </w:t>
      </w:r>
      <w:r w:rsidR="00EE2E9F" w:rsidRPr="00BA1DCA">
        <w:rPr>
          <w:rStyle w:val="ResponseChar"/>
        </w:rPr>
        <w:lastRenderedPageBreak/>
        <w:t>PANDAseq (</w:t>
      </w:r>
      <w:r w:rsidR="002F7935" w:rsidRPr="00BA1DCA">
        <w:rPr>
          <w:rStyle w:val="ResponseChar"/>
        </w:rPr>
        <w:t>Masella et al. 2012</w:t>
      </w:r>
      <w:r w:rsidR="00EE2E9F" w:rsidRPr="00BA1DCA">
        <w:rPr>
          <w:rStyle w:val="ResponseChar"/>
        </w:rPr>
        <w:t>).</w:t>
      </w:r>
      <w:r w:rsidR="00EE2E9F">
        <w:rPr>
          <w:lang w:val="en-GB"/>
        </w:rPr>
        <w:t xml:space="preserve"> </w:t>
      </w:r>
      <w:r w:rsidR="001D4326" w:rsidRPr="003A6273">
        <w:rPr>
          <w:lang w:val="en-GB"/>
        </w:rPr>
        <w:t>Chimeric reads w</w:t>
      </w:r>
      <w:r w:rsidRPr="003A6273">
        <w:rPr>
          <w:lang w:val="en-GB"/>
        </w:rPr>
        <w:t>e</w:t>
      </w:r>
      <w:r w:rsidR="001D4326" w:rsidRPr="003A6273">
        <w:rPr>
          <w:lang w:val="en-GB"/>
        </w:rPr>
        <w:t xml:space="preserve">re removed using </w:t>
      </w:r>
      <w:r w:rsidR="003F11B6" w:rsidRPr="003A6273">
        <w:rPr>
          <w:lang w:val="en-GB"/>
        </w:rPr>
        <w:t>USEARCH</w:t>
      </w:r>
      <w:r w:rsidR="005C01E3">
        <w:rPr>
          <w:lang w:val="en-GB"/>
        </w:rPr>
        <w:t xml:space="preserve"> </w:t>
      </w:r>
      <w:r w:rsidR="003F3E30" w:rsidRPr="003A6273">
        <w:rPr>
          <w:lang w:val="en-GB"/>
        </w:rPr>
        <w:t>in reference</w:t>
      </w:r>
      <w:r w:rsidR="00934F94" w:rsidRPr="003A6273">
        <w:rPr>
          <w:lang w:val="en-GB"/>
        </w:rPr>
        <w:t xml:space="preserve"> database</w:t>
      </w:r>
      <w:r w:rsidR="003F3E30" w:rsidRPr="003A6273">
        <w:rPr>
          <w:lang w:val="en-GB"/>
        </w:rPr>
        <w:t xml:space="preserve"> mode</w:t>
      </w:r>
      <w:r w:rsidR="009E5819">
        <w:rPr>
          <w:lang w:val="en-GB"/>
        </w:rPr>
        <w:t xml:space="preserve"> (the Maarj</w:t>
      </w:r>
      <w:r w:rsidR="009E5819" w:rsidRPr="004C129A">
        <w:rPr>
          <w:i/>
          <w:lang w:val="en-GB"/>
        </w:rPr>
        <w:t>AM</w:t>
      </w:r>
      <w:r w:rsidR="009E5819">
        <w:rPr>
          <w:lang w:val="en-GB"/>
        </w:rPr>
        <w:t xml:space="preserve"> database</w:t>
      </w:r>
      <w:r w:rsidR="005C3BD4">
        <w:rPr>
          <w:lang w:val="en-GB"/>
        </w:rPr>
        <w:t>,</w:t>
      </w:r>
      <w:r w:rsidR="009E5819">
        <w:rPr>
          <w:lang w:val="en-GB"/>
        </w:rPr>
        <w:t xml:space="preserve"> Öpik et al. 2010)</w:t>
      </w:r>
      <w:r w:rsidR="003F3E30" w:rsidRPr="003A6273">
        <w:rPr>
          <w:lang w:val="en-GB"/>
        </w:rPr>
        <w:t xml:space="preserve"> </w:t>
      </w:r>
      <w:r w:rsidR="00934F94" w:rsidRPr="003A6273">
        <w:rPr>
          <w:lang w:val="en-GB"/>
        </w:rPr>
        <w:t>with</w:t>
      </w:r>
      <w:r w:rsidR="00226448">
        <w:rPr>
          <w:lang w:val="en-GB"/>
        </w:rPr>
        <w:t xml:space="preserve"> the</w:t>
      </w:r>
      <w:r w:rsidR="00934F94" w:rsidRPr="003A6273">
        <w:rPr>
          <w:lang w:val="en-GB"/>
        </w:rPr>
        <w:t xml:space="preserve"> default</w:t>
      </w:r>
      <w:r w:rsidR="003C513D" w:rsidRPr="003A6273">
        <w:rPr>
          <w:lang w:val="en-GB"/>
        </w:rPr>
        <w:t xml:space="preserve"> parameters.</w:t>
      </w:r>
      <w:r w:rsidR="006C2CF9" w:rsidRPr="003A6273">
        <w:rPr>
          <w:lang w:val="en-GB"/>
        </w:rPr>
        <w:t xml:space="preserve"> </w:t>
      </w:r>
      <w:r w:rsidR="00D75280" w:rsidRPr="00BA1DCA">
        <w:rPr>
          <w:rStyle w:val="ResponseChar"/>
        </w:rPr>
        <w:t>The Maarj</w:t>
      </w:r>
      <w:r w:rsidR="00D75280" w:rsidRPr="003541E5">
        <w:rPr>
          <w:rStyle w:val="ResponseChar"/>
          <w:i/>
        </w:rPr>
        <w:t>AM</w:t>
      </w:r>
      <w:r w:rsidR="00D75280" w:rsidRPr="00BA1DCA">
        <w:rPr>
          <w:rStyle w:val="ResponseChar"/>
        </w:rPr>
        <w:t xml:space="preserve"> database contains representative sequences covering the NS31/AML2 amplicon from published environmental Glomeromycotina sequence groups</w:t>
      </w:r>
      <w:r w:rsidR="00EF4EC0">
        <w:rPr>
          <w:rStyle w:val="ResponseChar"/>
        </w:rPr>
        <w:t xml:space="preserve"> and morphologically described taxa, classified into</w:t>
      </w:r>
      <w:r w:rsidR="00D75280" w:rsidRPr="00BA1DCA">
        <w:rPr>
          <w:rStyle w:val="ResponseChar"/>
        </w:rPr>
        <w:t xml:space="preserve"> virtual taxa (VT, see Öpik et al. 2009, 2014). The full Maarj</w:t>
      </w:r>
      <w:r w:rsidR="00D75280" w:rsidRPr="003541E5">
        <w:rPr>
          <w:rStyle w:val="ResponseChar"/>
          <w:i/>
        </w:rPr>
        <w:t>AM</w:t>
      </w:r>
      <w:r w:rsidR="00D75280" w:rsidRPr="00BA1DCA">
        <w:rPr>
          <w:rStyle w:val="ResponseChar"/>
        </w:rPr>
        <w:t xml:space="preserve"> database (status October 2016) contains </w:t>
      </w:r>
      <w:r w:rsidR="00F35853">
        <w:rPr>
          <w:rStyle w:val="ResponseChar"/>
        </w:rPr>
        <w:t>20</w:t>
      </w:r>
      <w:r w:rsidR="00D75280" w:rsidRPr="00BA1DCA">
        <w:rPr>
          <w:rStyle w:val="ResponseChar"/>
        </w:rPr>
        <w:t xml:space="preserve"> </w:t>
      </w:r>
      <w:r w:rsidR="00F35853">
        <w:rPr>
          <w:rStyle w:val="ResponseChar"/>
        </w:rPr>
        <w:t>399</w:t>
      </w:r>
      <w:r w:rsidR="00D75280" w:rsidRPr="00BA1DCA">
        <w:rPr>
          <w:rStyle w:val="ResponseChar"/>
        </w:rPr>
        <w:t xml:space="preserve"> SSU rRNA gene sequences distributed </w:t>
      </w:r>
      <w:r w:rsidR="006F0562">
        <w:rPr>
          <w:rStyle w:val="ResponseChar"/>
        </w:rPr>
        <w:t>in</w:t>
      </w:r>
      <w:r w:rsidR="00D75280" w:rsidRPr="00BA1DCA">
        <w:rPr>
          <w:rStyle w:val="ResponseChar"/>
        </w:rPr>
        <w:t xml:space="preserve"> 352 VT.</w:t>
      </w:r>
    </w:p>
    <w:p w:rsidR="002A1219" w:rsidRDefault="005A12A1" w:rsidP="002A1219">
      <w:pPr>
        <w:spacing w:line="360" w:lineRule="auto"/>
        <w:ind w:firstLine="709"/>
        <w:rPr>
          <w:rFonts w:cs="Times New Roman"/>
          <w:lang w:val="en-GB"/>
        </w:rPr>
      </w:pPr>
      <w:r w:rsidRPr="003A6273">
        <w:rPr>
          <w:rFonts w:cs="Times New Roman"/>
          <w:lang w:val="en-GB"/>
        </w:rPr>
        <w:t>454</w:t>
      </w:r>
      <w:r w:rsidR="009E3B10">
        <w:rPr>
          <w:rFonts w:cs="Times New Roman"/>
          <w:lang w:val="en-GB"/>
        </w:rPr>
        <w:t xml:space="preserve"> </w:t>
      </w:r>
      <w:r w:rsidRPr="003A6273">
        <w:rPr>
          <w:rFonts w:cs="Times New Roman"/>
          <w:lang w:val="en-GB"/>
        </w:rPr>
        <w:t>sequencing reads were subjected to the bioinformatic procedures described in Öpik et al. (2013) and Sa</w:t>
      </w:r>
      <w:r w:rsidR="00A8072F">
        <w:rPr>
          <w:rFonts w:cs="Times New Roman"/>
          <w:lang w:val="en-GB"/>
        </w:rPr>
        <w:t xml:space="preserve">ks et al. (2014). In short, 454 </w:t>
      </w:r>
      <w:r w:rsidRPr="003A6273">
        <w:rPr>
          <w:rFonts w:cs="Times New Roman"/>
          <w:lang w:val="en-GB"/>
        </w:rPr>
        <w:t>sequencing reads were retained for analysis only if they carried the correct barcode (8 bp) and forward primer sequences (21 bp), and were ≥ 170 bp long (excluding the barcode and primer sequence).</w:t>
      </w:r>
      <w:r w:rsidRPr="003A6273">
        <w:rPr>
          <w:lang w:val="en-GB"/>
        </w:rPr>
        <w:t xml:space="preserve"> Barcode and primer sequences were trimmed from reads. Sequences longer than 520 bases </w:t>
      </w:r>
      <w:r w:rsidR="0034777B">
        <w:rPr>
          <w:lang w:val="en-GB"/>
        </w:rPr>
        <w:t>we</w:t>
      </w:r>
      <w:r w:rsidR="0034777B" w:rsidRPr="003A6273">
        <w:rPr>
          <w:lang w:val="en-GB"/>
        </w:rPr>
        <w:t xml:space="preserve">re </w:t>
      </w:r>
      <w:r w:rsidRPr="003A6273">
        <w:rPr>
          <w:lang w:val="en-GB"/>
        </w:rPr>
        <w:t>trimmed to exclude reverse primer</w:t>
      </w:r>
      <w:r>
        <w:rPr>
          <w:lang w:val="en-GB"/>
        </w:rPr>
        <w:t xml:space="preserve"> sequences</w:t>
      </w:r>
      <w:r w:rsidRPr="003A6273">
        <w:rPr>
          <w:lang w:val="en-GB"/>
        </w:rPr>
        <w:t xml:space="preserve">. </w:t>
      </w:r>
      <w:r w:rsidR="00965781">
        <w:rPr>
          <w:lang w:val="en-GB"/>
        </w:rPr>
        <w:t>C</w:t>
      </w:r>
      <w:r>
        <w:rPr>
          <w:rFonts w:cs="Times New Roman"/>
          <w:lang w:val="en-GB"/>
        </w:rPr>
        <w:t xml:space="preserve">himeric </w:t>
      </w:r>
      <w:r w:rsidRPr="003A6273">
        <w:rPr>
          <w:rFonts w:cs="Times New Roman"/>
          <w:lang w:val="en-GB"/>
        </w:rPr>
        <w:t>reads</w:t>
      </w:r>
      <w:r>
        <w:rPr>
          <w:rFonts w:cs="Times New Roman"/>
          <w:lang w:val="en-GB"/>
        </w:rPr>
        <w:t xml:space="preserve"> were</w:t>
      </w:r>
      <w:r w:rsidRPr="003A6273">
        <w:rPr>
          <w:rFonts w:cs="Times New Roman"/>
          <w:lang w:val="en-GB"/>
        </w:rPr>
        <w:t xml:space="preserve"> detected and removed from the data using USEARCH in reference database mode</w:t>
      </w:r>
      <w:r>
        <w:rPr>
          <w:rFonts w:cs="Times New Roman"/>
          <w:lang w:val="en-GB"/>
        </w:rPr>
        <w:t xml:space="preserve"> (Maarj</w:t>
      </w:r>
      <w:r w:rsidRPr="009E3D8E">
        <w:rPr>
          <w:rFonts w:cs="Times New Roman"/>
          <w:i/>
          <w:lang w:val="en-GB"/>
        </w:rPr>
        <w:t>AM</w:t>
      </w:r>
      <w:r>
        <w:rPr>
          <w:rFonts w:cs="Times New Roman"/>
          <w:lang w:val="en-GB"/>
        </w:rPr>
        <w:t xml:space="preserve"> database)</w:t>
      </w:r>
      <w:r w:rsidRPr="003A6273">
        <w:rPr>
          <w:rFonts w:cs="Times New Roman"/>
          <w:lang w:val="en-GB"/>
        </w:rPr>
        <w:t xml:space="preserve"> </w:t>
      </w:r>
      <w:r>
        <w:rPr>
          <w:rFonts w:cs="Times New Roman"/>
          <w:lang w:val="en-GB"/>
        </w:rPr>
        <w:t>with the</w:t>
      </w:r>
      <w:r w:rsidRPr="003A6273">
        <w:rPr>
          <w:rFonts w:cs="Times New Roman"/>
          <w:lang w:val="en-GB"/>
        </w:rPr>
        <w:t xml:space="preserve"> default settings.</w:t>
      </w:r>
    </w:p>
    <w:p w:rsidR="002A1219" w:rsidRPr="003A6273" w:rsidRDefault="002A1219" w:rsidP="002A1219">
      <w:pPr>
        <w:spacing w:line="360" w:lineRule="auto"/>
        <w:ind w:firstLine="709"/>
        <w:rPr>
          <w:rFonts w:cs="Times New Roman"/>
          <w:lang w:val="en-GB"/>
        </w:rPr>
      </w:pPr>
      <w:r>
        <w:rPr>
          <w:rFonts w:cs="Times New Roman"/>
          <w:lang w:val="en-GB"/>
        </w:rPr>
        <w:t xml:space="preserve">To validate BLAST search identification </w:t>
      </w:r>
      <w:r w:rsidR="00854720">
        <w:rPr>
          <w:rFonts w:cs="Times New Roman"/>
          <w:lang w:val="en-GB"/>
        </w:rPr>
        <w:t>of SSU rRNA amplicon using the</w:t>
      </w:r>
      <w:r w:rsidR="00CA4762">
        <w:rPr>
          <w:rFonts w:cs="Times New Roman"/>
          <w:lang w:val="en-GB"/>
        </w:rPr>
        <w:t xml:space="preserve"> reference</w:t>
      </w:r>
      <w:r w:rsidR="00854720">
        <w:rPr>
          <w:rFonts w:cs="Times New Roman"/>
          <w:lang w:val="en-GB"/>
        </w:rPr>
        <w:t xml:space="preserve"> database</w:t>
      </w:r>
      <w:r w:rsidR="00CA4762">
        <w:rPr>
          <w:rFonts w:cs="Times New Roman"/>
          <w:lang w:val="en-GB"/>
        </w:rPr>
        <w:t xml:space="preserve">, we conducted </w:t>
      </w:r>
      <w:r w:rsidR="00854720">
        <w:rPr>
          <w:rFonts w:cs="Times New Roman"/>
          <w:lang w:val="en-GB"/>
        </w:rPr>
        <w:t xml:space="preserve">an </w:t>
      </w:r>
      <w:r w:rsidR="00CA4762" w:rsidRPr="007262C1">
        <w:rPr>
          <w:rFonts w:cs="Times New Roman"/>
          <w:i/>
          <w:lang w:val="en-GB"/>
        </w:rPr>
        <w:t>in silico</w:t>
      </w:r>
      <w:r w:rsidR="00CA4762">
        <w:rPr>
          <w:rFonts w:cs="Times New Roman"/>
          <w:lang w:val="en-GB"/>
        </w:rPr>
        <w:t xml:space="preserve"> experiment.</w:t>
      </w:r>
      <w:r>
        <w:rPr>
          <w:rFonts w:cs="Times New Roman"/>
          <w:lang w:val="en-GB"/>
        </w:rPr>
        <w:t xml:space="preserve"> </w:t>
      </w:r>
      <w:r w:rsidRPr="0011112C">
        <w:rPr>
          <w:rFonts w:cs="Times New Roman"/>
          <w:lang w:val="en-GB"/>
        </w:rPr>
        <w:t>Two sets of</w:t>
      </w:r>
      <w:r w:rsidR="001863AE">
        <w:rPr>
          <w:rFonts w:cs="Times New Roman"/>
          <w:lang w:val="en-GB"/>
        </w:rPr>
        <w:t xml:space="preserve"> sequences</w:t>
      </w:r>
      <w:r w:rsidR="004547E8">
        <w:rPr>
          <w:rFonts w:cs="Times New Roman"/>
          <w:lang w:val="en-GB"/>
        </w:rPr>
        <w:t xml:space="preserve"> </w:t>
      </w:r>
      <w:r w:rsidR="001863AE">
        <w:rPr>
          <w:rFonts w:cs="Times New Roman"/>
          <w:lang w:val="en-GB"/>
        </w:rPr>
        <w:t>derived from the</w:t>
      </w:r>
      <w:r w:rsidR="00356287">
        <w:rPr>
          <w:rFonts w:cs="Times New Roman"/>
          <w:lang w:val="en-GB"/>
        </w:rPr>
        <w:t xml:space="preserve"> </w:t>
      </w:r>
      <w:r w:rsidRPr="0011112C">
        <w:rPr>
          <w:rFonts w:cs="Times New Roman"/>
          <w:lang w:val="en-GB"/>
        </w:rPr>
        <w:t>Maarj</w:t>
      </w:r>
      <w:r w:rsidRPr="0015301C">
        <w:rPr>
          <w:rFonts w:cs="Times New Roman"/>
          <w:i/>
          <w:lang w:val="en-GB"/>
        </w:rPr>
        <w:t>AM</w:t>
      </w:r>
      <w:r w:rsidRPr="0011112C">
        <w:rPr>
          <w:rFonts w:cs="Times New Roman"/>
          <w:lang w:val="en-GB"/>
        </w:rPr>
        <w:t xml:space="preserve"> database</w:t>
      </w:r>
      <w:r w:rsidR="004547E8">
        <w:rPr>
          <w:rFonts w:cs="Times New Roman"/>
          <w:lang w:val="en-GB"/>
        </w:rPr>
        <w:t xml:space="preserve"> </w:t>
      </w:r>
      <w:r w:rsidR="001974B5" w:rsidRPr="001974B5">
        <w:rPr>
          <w:rStyle w:val="ResponseChar"/>
        </w:rPr>
        <w:t>(6 405 sequences fitting the</w:t>
      </w:r>
      <w:r w:rsidR="001B68B3">
        <w:rPr>
          <w:rStyle w:val="ResponseChar"/>
        </w:rPr>
        <w:t xml:space="preserve"> full</w:t>
      </w:r>
      <w:r w:rsidR="001974B5" w:rsidRPr="001974B5">
        <w:rPr>
          <w:rStyle w:val="ResponseChar"/>
        </w:rPr>
        <w:t xml:space="preserve"> amplicon, 352 VT)</w:t>
      </w:r>
      <w:r w:rsidR="001974B5">
        <w:rPr>
          <w:rFonts w:cs="Times New Roman"/>
          <w:lang w:val="en-GB"/>
        </w:rPr>
        <w:t xml:space="preserve"> </w:t>
      </w:r>
      <w:r w:rsidRPr="0011112C">
        <w:rPr>
          <w:rFonts w:cs="Times New Roman"/>
          <w:lang w:val="en-GB"/>
        </w:rPr>
        <w:t xml:space="preserve">with different trimming lengths and starting positions were produced to test the effect of </w:t>
      </w:r>
      <w:r w:rsidR="0034777B">
        <w:rPr>
          <w:rFonts w:cs="Times New Roman"/>
          <w:lang w:val="en-GB"/>
        </w:rPr>
        <w:t xml:space="preserve">sequencing the </w:t>
      </w:r>
      <w:r w:rsidRPr="0011112C">
        <w:rPr>
          <w:rFonts w:cs="Times New Roman"/>
          <w:lang w:val="en-GB"/>
        </w:rPr>
        <w:t xml:space="preserve">variable versus </w:t>
      </w:r>
      <w:r w:rsidR="0034777B">
        <w:rPr>
          <w:rFonts w:cs="Times New Roman"/>
          <w:lang w:val="en-GB"/>
        </w:rPr>
        <w:t xml:space="preserve">the </w:t>
      </w:r>
      <w:r w:rsidRPr="0011112C">
        <w:rPr>
          <w:rFonts w:cs="Times New Roman"/>
          <w:lang w:val="en-GB"/>
        </w:rPr>
        <w:t>invariable part of the ampl</w:t>
      </w:r>
      <w:r w:rsidR="009E3B10">
        <w:rPr>
          <w:rFonts w:cs="Times New Roman"/>
          <w:lang w:val="en-GB"/>
        </w:rPr>
        <w:t xml:space="preserve">icon for 454-based and Illumina </w:t>
      </w:r>
      <w:r w:rsidRPr="0011112C">
        <w:rPr>
          <w:rFonts w:cs="Times New Roman"/>
          <w:lang w:val="en-GB"/>
        </w:rPr>
        <w:t xml:space="preserve">based </w:t>
      </w:r>
      <w:r w:rsidR="0034777B">
        <w:rPr>
          <w:rFonts w:cs="Times New Roman"/>
          <w:lang w:val="en-GB"/>
        </w:rPr>
        <w:t xml:space="preserve">approaches </w:t>
      </w:r>
      <w:r w:rsidR="001863AE" w:rsidRPr="0011112C">
        <w:rPr>
          <w:rFonts w:cs="Times New Roman"/>
          <w:lang w:val="en-GB"/>
        </w:rPr>
        <w:t>(Fig. S</w:t>
      </w:r>
      <w:r w:rsidR="001863AE">
        <w:rPr>
          <w:rFonts w:cs="Times New Roman"/>
          <w:lang w:val="en-GB"/>
        </w:rPr>
        <w:t>6</w:t>
      </w:r>
      <w:r w:rsidR="001863AE" w:rsidRPr="0011112C">
        <w:rPr>
          <w:rFonts w:cs="Times New Roman"/>
          <w:lang w:val="en-GB"/>
        </w:rPr>
        <w:t>)</w:t>
      </w:r>
      <w:r w:rsidRPr="0011112C">
        <w:rPr>
          <w:rFonts w:cs="Times New Roman"/>
          <w:lang w:val="en-GB"/>
        </w:rPr>
        <w:t xml:space="preserve">. </w:t>
      </w:r>
      <w:r w:rsidR="00AE4D08">
        <w:rPr>
          <w:rFonts w:cs="Times New Roman"/>
          <w:lang w:val="en-GB"/>
        </w:rPr>
        <w:t>S</w:t>
      </w:r>
      <w:r w:rsidRPr="0011112C">
        <w:rPr>
          <w:rFonts w:cs="Times New Roman"/>
          <w:lang w:val="en-GB"/>
        </w:rPr>
        <w:t>equences</w:t>
      </w:r>
      <w:r w:rsidR="00AE4D08">
        <w:rPr>
          <w:rFonts w:cs="Times New Roman"/>
          <w:lang w:val="en-GB"/>
        </w:rPr>
        <w:t xml:space="preserve"> simulating </w:t>
      </w:r>
      <w:r w:rsidR="0008395B" w:rsidRPr="00417D2E">
        <w:rPr>
          <w:rStyle w:val="ResponseChar"/>
        </w:rPr>
        <w:t>tagmentation</w:t>
      </w:r>
      <w:r w:rsidR="00DC5035">
        <w:rPr>
          <w:rStyle w:val="ResponseChar"/>
        </w:rPr>
        <w:t>-</w:t>
      </w:r>
      <w:r w:rsidR="0008395B" w:rsidRPr="00417D2E">
        <w:rPr>
          <w:rStyle w:val="ResponseChar"/>
        </w:rPr>
        <w:t>based</w:t>
      </w:r>
      <w:r w:rsidR="0008395B">
        <w:rPr>
          <w:rFonts w:cs="Times New Roman"/>
          <w:lang w:val="en-GB"/>
        </w:rPr>
        <w:t xml:space="preserve"> </w:t>
      </w:r>
      <w:r w:rsidR="00AE4D08">
        <w:rPr>
          <w:rFonts w:cs="Times New Roman"/>
          <w:lang w:val="en-GB"/>
        </w:rPr>
        <w:t>Illumina reads</w:t>
      </w:r>
      <w:r w:rsidR="0008395B">
        <w:rPr>
          <w:rFonts w:cs="Times New Roman"/>
          <w:lang w:val="en-GB"/>
        </w:rPr>
        <w:t xml:space="preserve"> </w:t>
      </w:r>
      <w:r w:rsidR="0008395B" w:rsidRPr="00417D2E">
        <w:rPr>
          <w:rStyle w:val="ResponseChar"/>
        </w:rPr>
        <w:t>(25</w:t>
      </w:r>
      <w:r w:rsidR="00EB0A2E">
        <w:rPr>
          <w:rStyle w:val="ResponseChar"/>
        </w:rPr>
        <w:t>1</w:t>
      </w:r>
      <w:r w:rsidR="001507A7" w:rsidRPr="00417D2E">
        <w:rPr>
          <w:rStyle w:val="ResponseChar"/>
        </w:rPr>
        <w:t xml:space="preserve"> </w:t>
      </w:r>
      <w:r w:rsidR="0008395B" w:rsidRPr="00417D2E">
        <w:rPr>
          <w:rStyle w:val="ResponseChar"/>
        </w:rPr>
        <w:t>bp</w:t>
      </w:r>
      <w:r w:rsidR="00C57BE0" w:rsidRPr="00417D2E">
        <w:rPr>
          <w:rStyle w:val="ResponseChar"/>
        </w:rPr>
        <w:t xml:space="preserve"> long</w:t>
      </w:r>
      <w:r w:rsidR="0008395B" w:rsidRPr="00417D2E">
        <w:rPr>
          <w:rStyle w:val="ResponseChar"/>
        </w:rPr>
        <w:t>)</w:t>
      </w:r>
      <w:r w:rsidRPr="0011112C">
        <w:rPr>
          <w:rFonts w:cs="Times New Roman"/>
          <w:lang w:val="en-GB"/>
        </w:rPr>
        <w:t xml:space="preserve"> </w:t>
      </w:r>
      <w:r w:rsidR="00B0137A" w:rsidRPr="00417D2E">
        <w:rPr>
          <w:rStyle w:val="ResponseChar"/>
        </w:rPr>
        <w:t>with a starting position</w:t>
      </w:r>
      <w:r w:rsidRPr="0011112C">
        <w:rPr>
          <w:rFonts w:cs="Times New Roman"/>
          <w:lang w:val="en-GB"/>
        </w:rPr>
        <w:t xml:space="preserve"> 250 bases </w:t>
      </w:r>
      <w:r w:rsidR="00B0137A" w:rsidRPr="00417D2E">
        <w:rPr>
          <w:rStyle w:val="ResponseChar"/>
        </w:rPr>
        <w:t>along</w:t>
      </w:r>
      <w:r w:rsidR="0008395B" w:rsidRPr="00417D2E">
        <w:rPr>
          <w:rStyle w:val="ResponseChar"/>
        </w:rPr>
        <w:t xml:space="preserve"> the amplicon</w:t>
      </w:r>
      <w:r w:rsidR="00417D2E">
        <w:rPr>
          <w:rStyle w:val="ResponseChar"/>
        </w:rPr>
        <w:t xml:space="preserve"> (after NS31 primer)</w:t>
      </w:r>
      <w:r w:rsidR="0008395B">
        <w:rPr>
          <w:rFonts w:cs="Times New Roman"/>
          <w:lang w:val="en-GB"/>
        </w:rPr>
        <w:t xml:space="preserve"> </w:t>
      </w:r>
      <w:r w:rsidR="0008395B" w:rsidRPr="00417D2E">
        <w:rPr>
          <w:rStyle w:val="ResponseChar"/>
        </w:rPr>
        <w:t>s</w:t>
      </w:r>
      <w:r w:rsidR="00C57BE0" w:rsidRPr="00417D2E">
        <w:rPr>
          <w:rStyle w:val="ResponseChar"/>
        </w:rPr>
        <w:t>h</w:t>
      </w:r>
      <w:r w:rsidR="0008395B" w:rsidRPr="00417D2E">
        <w:rPr>
          <w:rStyle w:val="ResponseChar"/>
        </w:rPr>
        <w:t>ow</w:t>
      </w:r>
      <w:r w:rsidR="00B0137A" w:rsidRPr="00417D2E">
        <w:rPr>
          <w:rStyle w:val="ResponseChar"/>
        </w:rPr>
        <w:t>ed</w:t>
      </w:r>
      <w:r w:rsidR="001863AE">
        <w:rPr>
          <w:rFonts w:cs="Times New Roman"/>
          <w:lang w:val="en-GB"/>
        </w:rPr>
        <w:t xml:space="preserve"> a</w:t>
      </w:r>
      <w:r w:rsidRPr="0011112C">
        <w:rPr>
          <w:rFonts w:cs="Times New Roman"/>
          <w:lang w:val="en-GB"/>
        </w:rPr>
        <w:t xml:space="preserve"> significant drop in correct identification, only identifying 60% of </w:t>
      </w:r>
      <w:r w:rsidR="0008395B" w:rsidRPr="00417D2E">
        <w:rPr>
          <w:rStyle w:val="ResponseChar"/>
        </w:rPr>
        <w:t>fixed length</w:t>
      </w:r>
      <w:r>
        <w:rPr>
          <w:rFonts w:cs="Times New Roman"/>
          <w:lang w:val="en-GB"/>
        </w:rPr>
        <w:t xml:space="preserve"> sequences correctly</w:t>
      </w:r>
      <w:r w:rsidRPr="0011112C">
        <w:rPr>
          <w:rFonts w:cs="Times New Roman"/>
          <w:lang w:val="en-GB"/>
        </w:rPr>
        <w:t xml:space="preserve">. </w:t>
      </w:r>
      <w:r w:rsidR="00AE4D08">
        <w:rPr>
          <w:rFonts w:cs="Times New Roman"/>
          <w:lang w:val="en-GB"/>
        </w:rPr>
        <w:t xml:space="preserve">For 454-reads </w:t>
      </w:r>
      <w:r w:rsidR="00AE4D08" w:rsidRPr="00417D2E">
        <w:rPr>
          <w:rStyle w:val="ResponseChar"/>
        </w:rPr>
        <w:t>th</w:t>
      </w:r>
      <w:r w:rsidR="00C57BE0" w:rsidRPr="00417D2E">
        <w:rPr>
          <w:rStyle w:val="ResponseChar"/>
        </w:rPr>
        <w:t>e same</w:t>
      </w:r>
      <w:r w:rsidR="00AE4D08" w:rsidRPr="00417D2E">
        <w:rPr>
          <w:rStyle w:val="ResponseChar"/>
        </w:rPr>
        <w:t xml:space="preserve"> </w:t>
      </w:r>
      <w:r w:rsidRPr="0011112C">
        <w:rPr>
          <w:rFonts w:cs="Times New Roman"/>
          <w:lang w:val="en-GB"/>
        </w:rPr>
        <w:t>experiment showed that</w:t>
      </w:r>
      <w:r w:rsidR="0034777B">
        <w:rPr>
          <w:rFonts w:cs="Times New Roman"/>
          <w:lang w:val="en-GB"/>
        </w:rPr>
        <w:t xml:space="preserve"> using</w:t>
      </w:r>
      <w:r w:rsidRPr="0011112C">
        <w:rPr>
          <w:rFonts w:cs="Times New Roman"/>
          <w:lang w:val="en-GB"/>
        </w:rPr>
        <w:t xml:space="preserve"> </w:t>
      </w:r>
      <w:r w:rsidR="0034777B">
        <w:rPr>
          <w:rFonts w:cs="Times New Roman"/>
          <w:lang w:val="en-GB"/>
        </w:rPr>
        <w:t xml:space="preserve">the </w:t>
      </w:r>
      <w:r w:rsidRPr="0011112C">
        <w:rPr>
          <w:rFonts w:cs="Times New Roman"/>
          <w:lang w:val="en-GB"/>
        </w:rPr>
        <w:t xml:space="preserve">170 bases </w:t>
      </w:r>
      <w:r w:rsidR="0034777B">
        <w:rPr>
          <w:rFonts w:cs="Times New Roman"/>
          <w:lang w:val="en-GB"/>
        </w:rPr>
        <w:t>following</w:t>
      </w:r>
      <w:r w:rsidRPr="0011112C">
        <w:rPr>
          <w:rFonts w:cs="Times New Roman"/>
          <w:lang w:val="en-GB"/>
        </w:rPr>
        <w:t xml:space="preserve"> </w:t>
      </w:r>
      <w:r w:rsidR="001863AE">
        <w:rPr>
          <w:rFonts w:cs="Times New Roman"/>
          <w:lang w:val="en-GB"/>
        </w:rPr>
        <w:t xml:space="preserve">the </w:t>
      </w:r>
      <w:r w:rsidRPr="0011112C">
        <w:rPr>
          <w:rFonts w:cs="Times New Roman"/>
          <w:lang w:val="en-GB"/>
        </w:rPr>
        <w:t xml:space="preserve">NS31 primer </w:t>
      </w:r>
      <w:r w:rsidR="00C57BE0" w:rsidRPr="00417D2E">
        <w:rPr>
          <w:rStyle w:val="ResponseChar"/>
        </w:rPr>
        <w:t>location</w:t>
      </w:r>
      <w:r w:rsidR="00C57BE0">
        <w:rPr>
          <w:rFonts w:cs="Times New Roman"/>
          <w:lang w:val="en-GB"/>
        </w:rPr>
        <w:t xml:space="preserve"> </w:t>
      </w:r>
      <w:r w:rsidRPr="0011112C">
        <w:rPr>
          <w:rFonts w:cs="Times New Roman"/>
          <w:lang w:val="en-GB"/>
        </w:rPr>
        <w:t>is sufficient to correctly identify AM</w:t>
      </w:r>
      <w:r w:rsidR="006A77C4">
        <w:rPr>
          <w:rFonts w:cs="Times New Roman"/>
          <w:lang w:val="en-GB"/>
        </w:rPr>
        <w:t xml:space="preserve"> </w:t>
      </w:r>
      <w:r w:rsidR="006A77C4" w:rsidRPr="00417D2E">
        <w:rPr>
          <w:rStyle w:val="ResponseChar"/>
        </w:rPr>
        <w:t>fungal</w:t>
      </w:r>
      <w:r w:rsidRPr="0011112C">
        <w:rPr>
          <w:rFonts w:cs="Times New Roman"/>
          <w:lang w:val="en-GB"/>
        </w:rPr>
        <w:t xml:space="preserve"> sequences</w:t>
      </w:r>
      <w:r w:rsidR="000A2B19">
        <w:rPr>
          <w:rFonts w:cs="Times New Roman"/>
          <w:lang w:val="en-GB"/>
        </w:rPr>
        <w:t xml:space="preserve">, </w:t>
      </w:r>
      <w:r w:rsidR="00840EF1">
        <w:rPr>
          <w:rFonts w:cs="Times New Roman"/>
          <w:lang w:val="en-GB"/>
        </w:rPr>
        <w:t xml:space="preserve">confirming findings made by Davison et al. </w:t>
      </w:r>
      <w:r w:rsidR="00EA7F5B">
        <w:rPr>
          <w:rFonts w:cs="Times New Roman"/>
          <w:lang w:val="en-GB"/>
        </w:rPr>
        <w:t>(</w:t>
      </w:r>
      <w:r w:rsidR="00840EF1">
        <w:rPr>
          <w:rFonts w:cs="Times New Roman"/>
          <w:lang w:val="en-GB"/>
        </w:rPr>
        <w:t>20</w:t>
      </w:r>
      <w:r w:rsidR="000939D2">
        <w:rPr>
          <w:rFonts w:cs="Times New Roman"/>
          <w:lang w:val="en-GB"/>
        </w:rPr>
        <w:t>12</w:t>
      </w:r>
      <w:r w:rsidR="00EA7F5B">
        <w:rPr>
          <w:rFonts w:cs="Times New Roman"/>
          <w:lang w:val="en-GB"/>
        </w:rPr>
        <w:t>)</w:t>
      </w:r>
      <w:r w:rsidRPr="0011112C">
        <w:rPr>
          <w:rFonts w:cs="Times New Roman"/>
          <w:lang w:val="en-GB"/>
        </w:rPr>
        <w:t>.</w:t>
      </w:r>
    </w:p>
    <w:p w:rsidR="003871A1" w:rsidRPr="00770170" w:rsidRDefault="00850F94" w:rsidP="00297A98">
      <w:pPr>
        <w:spacing w:line="360" w:lineRule="auto"/>
        <w:ind w:firstLine="709"/>
        <w:rPr>
          <w:rFonts w:cs="Times New Roman"/>
          <w:lang w:val="en-GB"/>
        </w:rPr>
      </w:pPr>
      <w:r w:rsidRPr="003A6273">
        <w:rPr>
          <w:rFonts w:cs="Times New Roman"/>
          <w:lang w:val="en-GB"/>
        </w:rPr>
        <w:t xml:space="preserve">To identify </w:t>
      </w:r>
      <w:r w:rsidR="009962C8">
        <w:rPr>
          <w:rFonts w:cs="Times New Roman"/>
          <w:lang w:val="en-GB"/>
        </w:rPr>
        <w:t>paired</w:t>
      </w:r>
      <w:r>
        <w:rPr>
          <w:rFonts w:cs="Times New Roman"/>
          <w:lang w:val="en-GB"/>
        </w:rPr>
        <w:t xml:space="preserve"> Illumina </w:t>
      </w:r>
      <w:r w:rsidR="006B5A6B">
        <w:rPr>
          <w:rFonts w:cs="Times New Roman"/>
          <w:lang w:val="en-GB"/>
        </w:rPr>
        <w:t xml:space="preserve">reads </w:t>
      </w:r>
      <w:r w:rsidR="008D50EB">
        <w:rPr>
          <w:rFonts w:cs="Times New Roman"/>
          <w:lang w:val="en-GB"/>
        </w:rPr>
        <w:t>and 454-</w:t>
      </w:r>
      <w:r w:rsidRPr="003A6273">
        <w:rPr>
          <w:rFonts w:cs="Times New Roman"/>
          <w:lang w:val="en-GB"/>
        </w:rPr>
        <w:t xml:space="preserve">reads spanning the most variable fraction of the NS31-AML2 amplicon, we first calculated nucleotide dissimilarities along the NS31-AML2 amplicon, using sequences from the </w:t>
      </w:r>
      <w:r>
        <w:rPr>
          <w:rFonts w:cs="Times New Roman"/>
          <w:lang w:val="en-GB"/>
        </w:rPr>
        <w:t>Maarj</w:t>
      </w:r>
      <w:r w:rsidRPr="00850F94">
        <w:rPr>
          <w:rFonts w:cs="Times New Roman"/>
          <w:i/>
          <w:lang w:val="en-GB"/>
        </w:rPr>
        <w:t>AM</w:t>
      </w:r>
      <w:r>
        <w:rPr>
          <w:rFonts w:cs="Times New Roman"/>
          <w:lang w:val="en-GB"/>
        </w:rPr>
        <w:t xml:space="preserve"> </w:t>
      </w:r>
      <w:r w:rsidRPr="003A6273">
        <w:rPr>
          <w:rFonts w:cs="Times New Roman"/>
          <w:lang w:val="en-GB"/>
        </w:rPr>
        <w:t>database. We identified database sequences spanning the entire amplicon by subjecting all sequences to BLAST</w:t>
      </w:r>
      <w:r w:rsidR="005C3056">
        <w:rPr>
          <w:rFonts w:cs="Times New Roman"/>
          <w:lang w:val="en-GB"/>
        </w:rPr>
        <w:t xml:space="preserve"> </w:t>
      </w:r>
      <w:r w:rsidRPr="003A6273">
        <w:rPr>
          <w:rFonts w:cs="Times New Roman"/>
          <w:lang w:val="en-GB"/>
        </w:rPr>
        <w:t>search</w:t>
      </w:r>
      <w:r w:rsidR="003871A1">
        <w:rPr>
          <w:rFonts w:cs="Times New Roman"/>
          <w:lang w:val="en-GB"/>
        </w:rPr>
        <w:t>es</w:t>
      </w:r>
      <w:r w:rsidRPr="003A6273">
        <w:rPr>
          <w:rFonts w:cs="Times New Roman"/>
          <w:lang w:val="en-GB"/>
        </w:rPr>
        <w:t xml:space="preserve"> against the NS31 and AML2 primer sequences. Only sequences </w:t>
      </w:r>
      <w:r w:rsidR="00F35853" w:rsidRPr="00F35853">
        <w:rPr>
          <w:rStyle w:val="ResponseChar"/>
        </w:rPr>
        <w:t>without ambiguous nucleotides and</w:t>
      </w:r>
      <w:r w:rsidR="00F35853">
        <w:rPr>
          <w:rFonts w:cs="Times New Roman"/>
          <w:lang w:val="en-GB"/>
        </w:rPr>
        <w:t xml:space="preserve"> </w:t>
      </w:r>
      <w:r w:rsidRPr="003A6273">
        <w:rPr>
          <w:rFonts w:cs="Times New Roman"/>
          <w:lang w:val="en-GB"/>
        </w:rPr>
        <w:t>receiving a perfect match against both primers were retained</w:t>
      </w:r>
      <w:r w:rsidR="002F16D9">
        <w:rPr>
          <w:rFonts w:cs="Times New Roman"/>
          <w:lang w:val="en-GB"/>
        </w:rPr>
        <w:t xml:space="preserve"> </w:t>
      </w:r>
      <w:r w:rsidR="002F16D9" w:rsidRPr="00CC645F">
        <w:rPr>
          <w:rStyle w:val="ResponseChar"/>
        </w:rPr>
        <w:t>totalling</w:t>
      </w:r>
      <w:r w:rsidR="000958BB" w:rsidRPr="00CC645F">
        <w:rPr>
          <w:rStyle w:val="ResponseChar"/>
        </w:rPr>
        <w:t xml:space="preserve"> 3 693 database sequences (all 352 VT represented) that included the full length amplicon (520 bases)</w:t>
      </w:r>
      <w:r w:rsidR="00CC645F" w:rsidRPr="00CC645F">
        <w:rPr>
          <w:rStyle w:val="ResponseChar"/>
        </w:rPr>
        <w:t>.</w:t>
      </w:r>
      <w:r w:rsidR="000958BB">
        <w:rPr>
          <w:rFonts w:cs="Times New Roman"/>
          <w:lang w:val="en-GB"/>
        </w:rPr>
        <w:t xml:space="preserve"> </w:t>
      </w:r>
      <w:r w:rsidR="003871A1">
        <w:rPr>
          <w:rFonts w:cs="Times New Roman"/>
          <w:lang w:val="en-GB"/>
        </w:rPr>
        <w:t xml:space="preserve">The </w:t>
      </w:r>
      <w:r>
        <w:rPr>
          <w:rFonts w:cs="Times New Roman"/>
          <w:lang w:val="en-GB"/>
        </w:rPr>
        <w:t>BLAST output was analysed and sequences trimmed to exclude primers</w:t>
      </w:r>
      <w:r w:rsidR="003871A1">
        <w:rPr>
          <w:rFonts w:cs="Times New Roman"/>
          <w:lang w:val="en-GB"/>
        </w:rPr>
        <w:t xml:space="preserve"> and sections falling outside the NS31-AML2 amplicon region</w:t>
      </w:r>
      <w:r>
        <w:rPr>
          <w:rFonts w:cs="Times New Roman"/>
          <w:lang w:val="en-GB"/>
        </w:rPr>
        <w:t>.</w:t>
      </w:r>
      <w:r w:rsidRPr="003A6273">
        <w:rPr>
          <w:rFonts w:cs="Times New Roman"/>
          <w:lang w:val="en-GB"/>
        </w:rPr>
        <w:t xml:space="preserve"> A multiple</w:t>
      </w:r>
      <w:r w:rsidR="00D36155">
        <w:rPr>
          <w:rFonts w:cs="Times New Roman"/>
          <w:lang w:val="en-GB"/>
        </w:rPr>
        <w:t xml:space="preserve"> alignment </w:t>
      </w:r>
      <w:r w:rsidRPr="003A6273">
        <w:rPr>
          <w:rFonts w:cs="Times New Roman"/>
          <w:lang w:val="en-GB"/>
        </w:rPr>
        <w:t>using</w:t>
      </w:r>
      <w:r w:rsidR="00D36155">
        <w:rPr>
          <w:rFonts w:cs="Times New Roman"/>
          <w:lang w:val="en-GB"/>
        </w:rPr>
        <w:t xml:space="preserve"> </w:t>
      </w:r>
      <w:r w:rsidR="00D36155">
        <w:rPr>
          <w:rFonts w:cs="Times New Roman"/>
          <w:lang w:val="en-GB"/>
        </w:rPr>
        <w:lastRenderedPageBreak/>
        <w:t>MAFFT</w:t>
      </w:r>
      <w:r w:rsidRPr="003A6273">
        <w:rPr>
          <w:rFonts w:cs="Times New Roman"/>
          <w:lang w:val="en-GB"/>
        </w:rPr>
        <w:t xml:space="preserve"> </w:t>
      </w:r>
      <w:r w:rsidR="006B5A6B">
        <w:rPr>
          <w:rFonts w:cs="Times New Roman"/>
          <w:lang w:val="en-GB"/>
        </w:rPr>
        <w:t xml:space="preserve">with default settings </w:t>
      </w:r>
      <w:r w:rsidRPr="003A6273">
        <w:rPr>
          <w:rFonts w:cs="Times New Roman"/>
          <w:lang w:val="en-GB"/>
        </w:rPr>
        <w:t xml:space="preserve">was used to identify misaligned or poor quality reads. This yielded an alignment containing 1187 </w:t>
      </w:r>
      <w:r w:rsidR="006E4E55" w:rsidRPr="006E4E55">
        <w:rPr>
          <w:rStyle w:val="ResponseChar"/>
        </w:rPr>
        <w:t>high</w:t>
      </w:r>
      <w:r w:rsidRPr="003A6273">
        <w:rPr>
          <w:rFonts w:cs="Times New Roman"/>
          <w:lang w:val="en-GB"/>
        </w:rPr>
        <w:t xml:space="preserve"> quality </w:t>
      </w:r>
      <w:r>
        <w:rPr>
          <w:rFonts w:cs="Times New Roman"/>
          <w:lang w:val="en-GB"/>
        </w:rPr>
        <w:t xml:space="preserve">reference </w:t>
      </w:r>
      <w:r w:rsidRPr="003A6273">
        <w:rPr>
          <w:rFonts w:cs="Times New Roman"/>
          <w:lang w:val="en-GB"/>
        </w:rPr>
        <w:t>sequences. Trimmed Maarj</w:t>
      </w:r>
      <w:r w:rsidRPr="003A6273">
        <w:rPr>
          <w:rFonts w:cs="Times New Roman"/>
          <w:i/>
          <w:lang w:val="en-GB"/>
        </w:rPr>
        <w:t>AM</w:t>
      </w:r>
      <w:r w:rsidRPr="003A6273">
        <w:rPr>
          <w:rFonts w:cs="Times New Roman"/>
          <w:lang w:val="en-GB"/>
        </w:rPr>
        <w:t xml:space="preserve"> sequences were compared to</w:t>
      </w:r>
      <w:r w:rsidR="003871A1">
        <w:rPr>
          <w:rFonts w:cs="Times New Roman"/>
          <w:lang w:val="en-GB"/>
        </w:rPr>
        <w:t xml:space="preserve"> a consensus sequence</w:t>
      </w:r>
      <w:r w:rsidRPr="003A6273">
        <w:rPr>
          <w:rFonts w:cs="Times New Roman"/>
          <w:lang w:val="en-GB"/>
        </w:rPr>
        <w:t xml:space="preserve"> from the alignment to calculate mismatch for each base</w:t>
      </w:r>
      <w:r w:rsidR="00445EA1">
        <w:rPr>
          <w:rFonts w:cs="Times New Roman"/>
          <w:lang w:val="en-GB"/>
        </w:rPr>
        <w:t xml:space="preserve">. </w:t>
      </w:r>
      <w:r w:rsidRPr="003A6273">
        <w:rPr>
          <w:rFonts w:cs="Times New Roman"/>
          <w:lang w:val="en-GB"/>
        </w:rPr>
        <w:t xml:space="preserve">Nucleotide dissimilarities varied considerably along the amplicon, and </w:t>
      </w:r>
      <w:r w:rsidR="003871A1">
        <w:rPr>
          <w:rFonts w:cs="Times New Roman"/>
          <w:lang w:val="en-GB"/>
        </w:rPr>
        <w:t xml:space="preserve">the </w:t>
      </w:r>
      <w:r w:rsidRPr="003A6273">
        <w:rPr>
          <w:rFonts w:cs="Times New Roman"/>
          <w:lang w:val="en-GB"/>
        </w:rPr>
        <w:t xml:space="preserve">most variable fragment was located between </w:t>
      </w:r>
      <w:r w:rsidR="006B5A6B">
        <w:rPr>
          <w:rFonts w:cs="Times New Roman"/>
          <w:lang w:val="en-GB"/>
        </w:rPr>
        <w:t>positions</w:t>
      </w:r>
      <w:r w:rsidR="006B5A6B" w:rsidRPr="003A6273">
        <w:rPr>
          <w:rFonts w:cs="Times New Roman"/>
          <w:lang w:val="en-GB"/>
        </w:rPr>
        <w:t xml:space="preserve"> </w:t>
      </w:r>
      <w:r w:rsidRPr="003A6273">
        <w:rPr>
          <w:rFonts w:cs="Times New Roman"/>
          <w:lang w:val="en-GB"/>
        </w:rPr>
        <w:t>70 and 300, with the section from nucleotides 70 to 170 exhibiting particularly high variation (</w:t>
      </w:r>
      <w:r w:rsidR="0082249D">
        <w:rPr>
          <w:rFonts w:cs="Times New Roman"/>
          <w:lang w:val="en-GB"/>
        </w:rPr>
        <w:t>Fig. 1d)</w:t>
      </w:r>
      <w:r w:rsidRPr="003A6273">
        <w:rPr>
          <w:rFonts w:cs="Times New Roman"/>
          <w:lang w:val="en-GB"/>
        </w:rPr>
        <w:t>.</w:t>
      </w:r>
      <w:r w:rsidR="005C3056">
        <w:rPr>
          <w:rFonts w:cs="Times New Roman"/>
          <w:lang w:val="en-GB"/>
        </w:rPr>
        <w:t xml:space="preserve"> </w:t>
      </w:r>
      <w:r w:rsidR="0011112C">
        <w:rPr>
          <w:rFonts w:cs="Times New Roman"/>
          <w:lang w:val="en-GB"/>
        </w:rPr>
        <w:t xml:space="preserve">Variable region </w:t>
      </w:r>
      <w:r w:rsidR="008833C6">
        <w:rPr>
          <w:rFonts w:cs="Times New Roman"/>
          <w:lang w:val="en-GB"/>
        </w:rPr>
        <w:t xml:space="preserve">filtering was </w:t>
      </w:r>
      <w:r w:rsidR="002677A9">
        <w:rPr>
          <w:rFonts w:cs="Times New Roman"/>
          <w:lang w:val="en-GB"/>
        </w:rPr>
        <w:t xml:space="preserve">applied to 454 and Illumina reads by conducting </w:t>
      </w:r>
      <w:r w:rsidR="00404BDF">
        <w:rPr>
          <w:rFonts w:cs="Times New Roman"/>
          <w:lang w:val="en-GB"/>
        </w:rPr>
        <w:t xml:space="preserve">a </w:t>
      </w:r>
      <w:r w:rsidR="00D14865">
        <w:rPr>
          <w:rFonts w:cs="Times New Roman"/>
          <w:lang w:val="en-GB"/>
        </w:rPr>
        <w:t>B</w:t>
      </w:r>
      <w:r w:rsidR="00730C10">
        <w:rPr>
          <w:rFonts w:cs="Times New Roman"/>
          <w:lang w:val="en-GB"/>
        </w:rPr>
        <w:t xml:space="preserve">LAST search against </w:t>
      </w:r>
      <w:r w:rsidR="00404BDF">
        <w:rPr>
          <w:rFonts w:cs="Times New Roman"/>
          <w:lang w:val="en-GB"/>
        </w:rPr>
        <w:t xml:space="preserve">the </w:t>
      </w:r>
      <w:r w:rsidR="00730C10">
        <w:rPr>
          <w:rFonts w:cs="Times New Roman"/>
          <w:lang w:val="en-GB"/>
        </w:rPr>
        <w:t xml:space="preserve">consensus sequence mentioned above to retrieve </w:t>
      </w:r>
      <w:r w:rsidR="00404BDF">
        <w:rPr>
          <w:rFonts w:cs="Times New Roman"/>
          <w:lang w:val="en-GB"/>
        </w:rPr>
        <w:t xml:space="preserve">the </w:t>
      </w:r>
      <w:r w:rsidR="00D276E7">
        <w:rPr>
          <w:rFonts w:cs="Times New Roman"/>
          <w:lang w:val="en-GB"/>
        </w:rPr>
        <w:t>read</w:t>
      </w:r>
      <w:r w:rsidR="00205614">
        <w:rPr>
          <w:rFonts w:cs="Times New Roman"/>
          <w:lang w:val="en-GB"/>
        </w:rPr>
        <w:t xml:space="preserve"> </w:t>
      </w:r>
      <w:r w:rsidR="00D276E7">
        <w:rPr>
          <w:rFonts w:cs="Times New Roman"/>
          <w:lang w:val="en-GB"/>
        </w:rPr>
        <w:t>position</w:t>
      </w:r>
      <w:r w:rsidR="00730C10">
        <w:rPr>
          <w:rFonts w:cs="Times New Roman"/>
          <w:lang w:val="en-GB"/>
        </w:rPr>
        <w:t xml:space="preserve"> on the amplicon </w:t>
      </w:r>
      <w:r w:rsidR="00D14865">
        <w:rPr>
          <w:rFonts w:cs="Times New Roman"/>
          <w:lang w:val="en-GB"/>
        </w:rPr>
        <w:t>and each read was trimmed accordingly to include only the variable region</w:t>
      </w:r>
      <w:r w:rsidR="00797945">
        <w:rPr>
          <w:rFonts w:cs="Times New Roman"/>
          <w:lang w:val="en-GB"/>
        </w:rPr>
        <w:t xml:space="preserve"> (positions 70-300</w:t>
      </w:r>
      <w:r w:rsidR="0008395B" w:rsidRPr="00A11A84">
        <w:rPr>
          <w:rStyle w:val="ResponseChar"/>
        </w:rPr>
        <w:t xml:space="preserve"> on NS31-AML2 amplicon</w:t>
      </w:r>
      <w:r w:rsidR="00797945">
        <w:rPr>
          <w:rFonts w:cs="Times New Roman"/>
          <w:lang w:val="en-GB"/>
        </w:rPr>
        <w:t>)</w:t>
      </w:r>
      <w:r w:rsidR="00D14865">
        <w:rPr>
          <w:rFonts w:cs="Times New Roman"/>
          <w:lang w:val="en-GB"/>
        </w:rPr>
        <w:t>.</w:t>
      </w:r>
      <w:r w:rsidR="005C3056">
        <w:rPr>
          <w:rFonts w:cs="Times New Roman"/>
          <w:lang w:val="en-GB"/>
        </w:rPr>
        <w:t xml:space="preserve"> </w:t>
      </w:r>
    </w:p>
    <w:p w:rsidR="00286B34" w:rsidRPr="003A6273" w:rsidRDefault="00046D8B" w:rsidP="00297A98">
      <w:pPr>
        <w:spacing w:line="360" w:lineRule="auto"/>
        <w:ind w:firstLine="709"/>
        <w:rPr>
          <w:rStyle w:val="new"/>
        </w:rPr>
      </w:pPr>
      <w:r w:rsidRPr="003A6273">
        <w:rPr>
          <w:lang w:val="en-GB"/>
        </w:rPr>
        <w:t xml:space="preserve">Metagenomic </w:t>
      </w:r>
      <w:r w:rsidR="005A12A1">
        <w:rPr>
          <w:lang w:val="en-GB"/>
        </w:rPr>
        <w:t xml:space="preserve">Illumina </w:t>
      </w:r>
      <w:r w:rsidRPr="003A6273">
        <w:rPr>
          <w:lang w:val="en-GB"/>
        </w:rPr>
        <w:t xml:space="preserve">reads were </w:t>
      </w:r>
      <w:r w:rsidR="00F64DE5" w:rsidRPr="003A6273">
        <w:rPr>
          <w:lang w:val="en-GB"/>
        </w:rPr>
        <w:t>quality filtered</w:t>
      </w:r>
      <w:r w:rsidR="009E5819">
        <w:rPr>
          <w:lang w:val="en-GB"/>
        </w:rPr>
        <w:t xml:space="preserve"> to remove reads</w:t>
      </w:r>
      <w:r w:rsidR="00F64DE5" w:rsidRPr="003A6273">
        <w:rPr>
          <w:lang w:val="en-GB"/>
        </w:rPr>
        <w:t xml:space="preserve"> with q</w:t>
      </w:r>
      <w:r w:rsidR="00083E3E">
        <w:rPr>
          <w:lang w:val="en-GB"/>
        </w:rPr>
        <w:t xml:space="preserve"> &lt; </w:t>
      </w:r>
      <w:r w:rsidR="00F64DE5" w:rsidRPr="003A6273">
        <w:rPr>
          <w:lang w:val="en-GB"/>
        </w:rPr>
        <w:t>30</w:t>
      </w:r>
      <w:r w:rsidR="009E5819">
        <w:rPr>
          <w:lang w:val="en-GB"/>
        </w:rPr>
        <w:t xml:space="preserve"> and</w:t>
      </w:r>
      <w:r w:rsidR="009E5819" w:rsidRPr="003A6273">
        <w:rPr>
          <w:lang w:val="en-GB"/>
        </w:rPr>
        <w:t xml:space="preserve"> </w:t>
      </w:r>
      <w:r w:rsidR="008100A5" w:rsidRPr="003A6273">
        <w:rPr>
          <w:lang w:val="en-GB"/>
        </w:rPr>
        <w:t>orphan reads</w:t>
      </w:r>
      <w:r w:rsidR="009E5819">
        <w:rPr>
          <w:lang w:val="en-GB"/>
        </w:rPr>
        <w:t>.</w:t>
      </w:r>
      <w:r w:rsidR="00F64DE5" w:rsidRPr="003A6273">
        <w:rPr>
          <w:lang w:val="en-GB"/>
        </w:rPr>
        <w:t xml:space="preserve"> </w:t>
      </w:r>
      <w:r w:rsidR="00FA2BC9" w:rsidRPr="003A6273">
        <w:rPr>
          <w:lang w:val="en-GB"/>
        </w:rPr>
        <w:t>We</w:t>
      </w:r>
      <w:r w:rsidR="009E5819">
        <w:rPr>
          <w:lang w:val="en-GB"/>
        </w:rPr>
        <w:t xml:space="preserve"> then</w:t>
      </w:r>
      <w:r w:rsidR="00FA2BC9" w:rsidRPr="003A6273">
        <w:rPr>
          <w:lang w:val="en-GB"/>
        </w:rPr>
        <w:t xml:space="preserve"> combined the</w:t>
      </w:r>
      <w:r w:rsidR="009E5819">
        <w:rPr>
          <w:lang w:val="en-GB"/>
        </w:rPr>
        <w:t xml:space="preserve"> remaining</w:t>
      </w:r>
      <w:r w:rsidR="00FA2BC9" w:rsidRPr="003A6273">
        <w:rPr>
          <w:lang w:val="en-GB"/>
        </w:rPr>
        <w:t xml:space="preserve"> paired-</w:t>
      </w:r>
      <w:r w:rsidR="008A090F" w:rsidRPr="003A6273">
        <w:rPr>
          <w:lang w:val="en-GB"/>
        </w:rPr>
        <w:t xml:space="preserve">end reads using FLASh with the same parameters as described above. </w:t>
      </w:r>
      <w:r w:rsidR="00F64DE5" w:rsidRPr="003A6273">
        <w:rPr>
          <w:lang w:val="en-GB"/>
        </w:rPr>
        <w:t>We further filtered paired reads based on GC% content between 20% to 42%</w:t>
      </w:r>
      <w:r w:rsidR="00E928AA" w:rsidRPr="003A6273">
        <w:rPr>
          <w:lang w:val="en-GB"/>
        </w:rPr>
        <w:t xml:space="preserve"> </w:t>
      </w:r>
      <w:r w:rsidR="007B200C">
        <w:rPr>
          <w:lang w:val="en-GB"/>
        </w:rPr>
        <w:t xml:space="preserve">following </w:t>
      </w:r>
      <w:r w:rsidR="006B5A6B">
        <w:rPr>
          <w:lang w:val="en-GB"/>
        </w:rPr>
        <w:t xml:space="preserve">published </w:t>
      </w:r>
      <w:r w:rsidR="007B200C">
        <w:rPr>
          <w:lang w:val="en-GB"/>
        </w:rPr>
        <w:t>AM</w:t>
      </w:r>
      <w:r w:rsidR="00116F83">
        <w:rPr>
          <w:lang w:val="en-GB"/>
        </w:rPr>
        <w:t xml:space="preserve"> </w:t>
      </w:r>
      <w:r w:rsidR="00116F83" w:rsidRPr="00A11A84">
        <w:rPr>
          <w:rStyle w:val="ResponseChar"/>
        </w:rPr>
        <w:t>fungal</w:t>
      </w:r>
      <w:r w:rsidR="007B200C">
        <w:rPr>
          <w:lang w:val="en-GB"/>
        </w:rPr>
        <w:t xml:space="preserve"> genom</w:t>
      </w:r>
      <w:r w:rsidR="006B5A6B">
        <w:rPr>
          <w:lang w:val="en-GB"/>
        </w:rPr>
        <w:t>e</w:t>
      </w:r>
      <w:r w:rsidR="007B200C">
        <w:rPr>
          <w:lang w:val="en-GB"/>
        </w:rPr>
        <w:t xml:space="preserve"> data</w:t>
      </w:r>
      <w:r w:rsidR="00E928AA" w:rsidRPr="003A6273">
        <w:rPr>
          <w:lang w:val="en-GB"/>
        </w:rPr>
        <w:t xml:space="preserve"> </w:t>
      </w:r>
      <w:r w:rsidR="00CA0CEB" w:rsidRPr="003A6273">
        <w:rPr>
          <w:lang w:val="en-GB"/>
        </w:rPr>
        <w:t>(</w:t>
      </w:r>
      <w:r w:rsidR="007B200C">
        <w:rPr>
          <w:lang w:val="en-GB"/>
        </w:rPr>
        <w:t>Tisserant et al. 2013, Lin et al. 2014</w:t>
      </w:r>
      <w:r w:rsidR="00CA0CEB" w:rsidRPr="003A6273">
        <w:rPr>
          <w:lang w:val="en-GB"/>
        </w:rPr>
        <w:t>)</w:t>
      </w:r>
      <w:r w:rsidR="00F64DE5" w:rsidRPr="003A6273">
        <w:rPr>
          <w:lang w:val="en-GB"/>
        </w:rPr>
        <w:t xml:space="preserve"> and assemble</w:t>
      </w:r>
      <w:r w:rsidR="006B5A6B">
        <w:rPr>
          <w:lang w:val="en-GB"/>
        </w:rPr>
        <w:t>d</w:t>
      </w:r>
      <w:r w:rsidR="00F64DE5" w:rsidRPr="003A6273">
        <w:rPr>
          <w:lang w:val="en-GB"/>
        </w:rPr>
        <w:t xml:space="preserve"> sequences into contigs </w:t>
      </w:r>
      <w:r w:rsidR="006B5A6B">
        <w:rPr>
          <w:lang w:val="en-GB"/>
        </w:rPr>
        <w:t xml:space="preserve">with Newbler </w:t>
      </w:r>
      <w:r w:rsidR="006B5A6B" w:rsidRPr="003A6273">
        <w:rPr>
          <w:lang w:val="en-GB"/>
        </w:rPr>
        <w:t>(</w:t>
      </w:r>
      <w:r w:rsidR="006B5A6B">
        <w:rPr>
          <w:lang w:val="en-GB"/>
        </w:rPr>
        <w:t xml:space="preserve">v2.6, </w:t>
      </w:r>
      <w:r w:rsidR="006B5A6B" w:rsidRPr="003A6273">
        <w:rPr>
          <w:lang w:val="en-GB"/>
        </w:rPr>
        <w:t>the 454 Life Science de novo assembler)</w:t>
      </w:r>
      <w:r w:rsidR="006B5A6B">
        <w:rPr>
          <w:lang w:val="en-GB"/>
        </w:rPr>
        <w:t xml:space="preserve"> </w:t>
      </w:r>
      <w:r w:rsidR="00F64DE5" w:rsidRPr="003A6273">
        <w:rPr>
          <w:lang w:val="en-GB"/>
        </w:rPr>
        <w:t>using</w:t>
      </w:r>
      <w:r w:rsidR="009E5819">
        <w:rPr>
          <w:lang w:val="en-GB"/>
        </w:rPr>
        <w:t xml:space="preserve"> the</w:t>
      </w:r>
      <w:r w:rsidR="00F64DE5" w:rsidRPr="003A6273">
        <w:rPr>
          <w:lang w:val="en-GB"/>
        </w:rPr>
        <w:t xml:space="preserve"> default para</w:t>
      </w:r>
      <w:r w:rsidR="00013FBD" w:rsidRPr="003A6273">
        <w:rPr>
          <w:lang w:val="en-GB"/>
        </w:rPr>
        <w:t>meters (minimum identity 96%,</w:t>
      </w:r>
      <w:r w:rsidR="00F64DE5" w:rsidRPr="003A6273">
        <w:rPr>
          <w:lang w:val="en-GB"/>
        </w:rPr>
        <w:t xml:space="preserve"> minimum length 40 bases</w:t>
      </w:r>
      <w:r w:rsidR="009944AF">
        <w:rPr>
          <w:lang w:val="en-GB"/>
        </w:rPr>
        <w:t>,</w:t>
      </w:r>
      <w:r w:rsidR="00013FBD" w:rsidRPr="003A6273">
        <w:rPr>
          <w:lang w:val="en-GB"/>
        </w:rPr>
        <w:t xml:space="preserve"> and parameter </w:t>
      </w:r>
      <w:r w:rsidR="00013FBD" w:rsidRPr="003A6273">
        <w:rPr>
          <w:i/>
          <w:lang w:val="en-GB"/>
        </w:rPr>
        <w:t>-large</w:t>
      </w:r>
      <w:r w:rsidR="00013FBD" w:rsidRPr="003A6273">
        <w:rPr>
          <w:lang w:val="en-GB"/>
        </w:rPr>
        <w:t xml:space="preserve"> to speed up assembly</w:t>
      </w:r>
      <w:r w:rsidR="008341DA">
        <w:rPr>
          <w:lang w:val="en-GB"/>
        </w:rPr>
        <w:t xml:space="preserve"> and reduce memory footprint</w:t>
      </w:r>
      <w:r w:rsidR="00F64DE5" w:rsidRPr="003A6273">
        <w:rPr>
          <w:lang w:val="en-GB"/>
        </w:rPr>
        <w:t>).</w:t>
      </w:r>
      <w:r w:rsidR="009E5819">
        <w:rPr>
          <w:lang w:val="en-GB"/>
        </w:rPr>
        <w:t xml:space="preserve"> Following</w:t>
      </w:r>
      <w:r w:rsidR="0073659C" w:rsidRPr="003A6273">
        <w:rPr>
          <w:lang w:val="en-GB"/>
        </w:rPr>
        <w:t xml:space="preserve"> assembly</w:t>
      </w:r>
      <w:r w:rsidR="009E5819">
        <w:rPr>
          <w:lang w:val="en-GB"/>
        </w:rPr>
        <w:t>,</w:t>
      </w:r>
      <w:r w:rsidR="0073659C" w:rsidRPr="003A6273">
        <w:rPr>
          <w:lang w:val="en-GB"/>
        </w:rPr>
        <w:t xml:space="preserve"> </w:t>
      </w:r>
      <w:r w:rsidR="006B5A6B">
        <w:rPr>
          <w:lang w:val="en-GB"/>
        </w:rPr>
        <w:t xml:space="preserve">we </w:t>
      </w:r>
      <w:r w:rsidR="006B5A6B" w:rsidRPr="003A6273">
        <w:rPr>
          <w:lang w:val="en-GB"/>
        </w:rPr>
        <w:t>predict</w:t>
      </w:r>
      <w:r w:rsidR="006B5A6B">
        <w:rPr>
          <w:lang w:val="en-GB"/>
        </w:rPr>
        <w:t>ed</w:t>
      </w:r>
      <w:r w:rsidR="006B5A6B" w:rsidRPr="003A6273">
        <w:rPr>
          <w:lang w:val="en-GB"/>
        </w:rPr>
        <w:t xml:space="preserve"> potential genes in </w:t>
      </w:r>
      <w:r w:rsidR="006B5A6B">
        <w:rPr>
          <w:lang w:val="en-GB"/>
        </w:rPr>
        <w:t>the contigs</w:t>
      </w:r>
      <w:r w:rsidR="006B5A6B" w:rsidRPr="003A6273">
        <w:rPr>
          <w:lang w:val="en-GB"/>
        </w:rPr>
        <w:t xml:space="preserve"> </w:t>
      </w:r>
      <w:r w:rsidR="00430A9A">
        <w:rPr>
          <w:lang w:val="en-GB"/>
        </w:rPr>
        <w:t xml:space="preserve">and </w:t>
      </w:r>
      <w:r w:rsidR="00430A9A" w:rsidRPr="003A6273">
        <w:rPr>
          <w:lang w:val="en-GB"/>
        </w:rPr>
        <w:t xml:space="preserve">translated </w:t>
      </w:r>
      <w:r w:rsidR="00BB0443">
        <w:rPr>
          <w:lang w:val="en-GB"/>
        </w:rPr>
        <w:t xml:space="preserve">these </w:t>
      </w:r>
      <w:r w:rsidR="00430A9A">
        <w:rPr>
          <w:lang w:val="en-GB"/>
        </w:rPr>
        <w:t xml:space="preserve">into proteins </w:t>
      </w:r>
      <w:r w:rsidR="006B5A6B">
        <w:rPr>
          <w:lang w:val="en-GB"/>
        </w:rPr>
        <w:t xml:space="preserve">using </w:t>
      </w:r>
      <w:r w:rsidR="00BE1208" w:rsidRPr="003A6273">
        <w:rPr>
          <w:lang w:val="en-GB"/>
        </w:rPr>
        <w:t>GeneMark</w:t>
      </w:r>
      <w:r w:rsidR="006971E8">
        <w:rPr>
          <w:lang w:val="en-GB"/>
        </w:rPr>
        <w:t>-ES</w:t>
      </w:r>
      <w:r w:rsidR="00BE1208" w:rsidRPr="003A6273">
        <w:rPr>
          <w:lang w:val="en-GB"/>
        </w:rPr>
        <w:t xml:space="preserve"> (</w:t>
      </w:r>
      <w:r w:rsidR="006971E8">
        <w:rPr>
          <w:lang w:val="en-GB"/>
        </w:rPr>
        <w:t>v4.33</w:t>
      </w:r>
      <w:r w:rsidR="00D36155">
        <w:rPr>
          <w:lang w:val="en-GB"/>
        </w:rPr>
        <w:t xml:space="preserve">, </w:t>
      </w:r>
      <w:r w:rsidR="006971E8" w:rsidRPr="006971E8">
        <w:rPr>
          <w:lang w:val="en-GB"/>
        </w:rPr>
        <w:t>Ter-Hovhannisyan</w:t>
      </w:r>
      <w:r w:rsidR="006971E8">
        <w:rPr>
          <w:lang w:val="en-GB"/>
        </w:rPr>
        <w:t xml:space="preserve"> et al. 2008</w:t>
      </w:r>
      <w:r w:rsidR="00BE1208" w:rsidRPr="003A6273">
        <w:rPr>
          <w:lang w:val="en-GB"/>
        </w:rPr>
        <w:t>)</w:t>
      </w:r>
      <w:r w:rsidR="0073659C" w:rsidRPr="003A6273">
        <w:rPr>
          <w:lang w:val="en-GB"/>
        </w:rPr>
        <w:t xml:space="preserve"> with </w:t>
      </w:r>
      <w:r w:rsidR="009E5819">
        <w:rPr>
          <w:lang w:val="en-GB"/>
        </w:rPr>
        <w:t xml:space="preserve">the </w:t>
      </w:r>
      <w:r w:rsidR="00BE1208" w:rsidRPr="003A6273">
        <w:rPr>
          <w:lang w:val="en-GB"/>
        </w:rPr>
        <w:t>prebuilt</w:t>
      </w:r>
      <w:r w:rsidR="0073659C" w:rsidRPr="003A6273">
        <w:rPr>
          <w:lang w:val="en-GB"/>
        </w:rPr>
        <w:t xml:space="preserve"> Hidden Markov Model </w:t>
      </w:r>
      <w:r w:rsidR="00BE1208" w:rsidRPr="003A6273">
        <w:rPr>
          <w:lang w:val="en-GB"/>
        </w:rPr>
        <w:t>for eukaryotes</w:t>
      </w:r>
      <w:r w:rsidR="0073659C" w:rsidRPr="003A6273">
        <w:rPr>
          <w:lang w:val="en-GB"/>
        </w:rPr>
        <w:t xml:space="preserve">. </w:t>
      </w:r>
    </w:p>
    <w:p w:rsidR="005C3056" w:rsidRDefault="00770170" w:rsidP="00297A98">
      <w:pPr>
        <w:spacing w:line="360" w:lineRule="auto"/>
        <w:ind w:firstLine="709"/>
        <w:rPr>
          <w:rFonts w:cs="Times New Roman"/>
          <w:lang w:val="en-GB"/>
        </w:rPr>
      </w:pPr>
      <w:r>
        <w:rPr>
          <w:lang w:val="en-GB"/>
        </w:rPr>
        <w:t>Sets of</w:t>
      </w:r>
      <w:r w:rsidRPr="003A6273">
        <w:rPr>
          <w:rFonts w:cs="Times New Roman"/>
          <w:lang w:val="en-GB"/>
        </w:rPr>
        <w:t xml:space="preserve"> representative </w:t>
      </w:r>
      <w:r>
        <w:rPr>
          <w:rFonts w:cs="Times New Roman"/>
          <w:lang w:val="en-GB"/>
        </w:rPr>
        <w:t xml:space="preserve">filtered paired-end Illumina and 454 </w:t>
      </w:r>
      <w:r w:rsidRPr="003A6273">
        <w:rPr>
          <w:rFonts w:cs="Times New Roman"/>
          <w:lang w:val="en-GB"/>
        </w:rPr>
        <w:t>sequence reads ha</w:t>
      </w:r>
      <w:r>
        <w:rPr>
          <w:rFonts w:cs="Times New Roman"/>
          <w:lang w:val="en-GB"/>
        </w:rPr>
        <w:t>ve</w:t>
      </w:r>
      <w:r w:rsidRPr="003A6273">
        <w:rPr>
          <w:rFonts w:cs="Times New Roman"/>
          <w:lang w:val="en-GB"/>
        </w:rPr>
        <w:t xml:space="preserve"> been deposited in the EMBL nucleotide collection (accession numbers </w:t>
      </w:r>
      <w:r w:rsidR="000D1476">
        <w:rPr>
          <w:rFonts w:cs="Times New Roman"/>
          <w:lang w:val="en-GB"/>
        </w:rPr>
        <w:t>KY685085-KY685341 and KY685342-KY685519</w:t>
      </w:r>
      <w:r w:rsidR="00797945">
        <w:rPr>
          <w:rFonts w:cs="Times New Roman"/>
          <w:lang w:val="en-GB"/>
        </w:rPr>
        <w:t xml:space="preserve"> for</w:t>
      </w:r>
      <w:r w:rsidR="000D1476">
        <w:rPr>
          <w:rFonts w:cs="Times New Roman"/>
          <w:lang w:val="en-GB"/>
        </w:rPr>
        <w:t xml:space="preserve"> 454 and Illumina read</w:t>
      </w:r>
      <w:r w:rsidR="0063138D">
        <w:rPr>
          <w:rFonts w:cs="Times New Roman"/>
          <w:lang w:val="en-GB"/>
        </w:rPr>
        <w:t>s</w:t>
      </w:r>
      <w:r w:rsidR="00797945">
        <w:rPr>
          <w:rFonts w:cs="Times New Roman"/>
          <w:lang w:val="en-GB"/>
        </w:rPr>
        <w:t>,</w:t>
      </w:r>
      <w:r w:rsidR="000D1476">
        <w:rPr>
          <w:rFonts w:cs="Times New Roman"/>
          <w:lang w:val="en-GB"/>
        </w:rPr>
        <w:t xml:space="preserve"> respectively</w:t>
      </w:r>
      <w:r w:rsidRPr="003A6273">
        <w:rPr>
          <w:rFonts w:cs="Times New Roman"/>
          <w:lang w:val="en-GB"/>
        </w:rPr>
        <w:t xml:space="preserve">; </w:t>
      </w:r>
      <w:r>
        <w:rPr>
          <w:rFonts w:cs="Times New Roman"/>
          <w:lang w:val="en-GB"/>
        </w:rPr>
        <w:t>each</w:t>
      </w:r>
      <w:r w:rsidRPr="003A6273">
        <w:rPr>
          <w:rFonts w:cs="Times New Roman"/>
          <w:lang w:val="en-GB"/>
        </w:rPr>
        <w:t xml:space="preserve"> set consists of up to two </w:t>
      </w:r>
      <w:r w:rsidR="00797945">
        <w:rPr>
          <w:rFonts w:cs="Times New Roman"/>
          <w:lang w:val="en-GB"/>
        </w:rPr>
        <w:t xml:space="preserve">of the </w:t>
      </w:r>
      <w:r w:rsidRPr="003A6273">
        <w:rPr>
          <w:rFonts w:cs="Times New Roman"/>
          <w:lang w:val="en-GB"/>
        </w:rPr>
        <w:t xml:space="preserve">longest reads representing </w:t>
      </w:r>
      <w:r>
        <w:rPr>
          <w:rFonts w:cs="Times New Roman"/>
          <w:lang w:val="en-GB"/>
        </w:rPr>
        <w:t>taxa</w:t>
      </w:r>
      <w:r w:rsidRPr="003A6273">
        <w:rPr>
          <w:rFonts w:cs="Times New Roman"/>
          <w:lang w:val="en-GB"/>
        </w:rPr>
        <w:t xml:space="preserve"> found in each of </w:t>
      </w:r>
      <w:r w:rsidR="004511E5">
        <w:rPr>
          <w:rFonts w:cs="Times New Roman"/>
          <w:lang w:val="en-GB"/>
        </w:rPr>
        <w:t>t</w:t>
      </w:r>
      <w:r w:rsidR="00264F98">
        <w:rPr>
          <w:rFonts w:cs="Times New Roman"/>
          <w:lang w:val="en-GB"/>
        </w:rPr>
        <w:t>he two studied plant species). Raw m</w:t>
      </w:r>
      <w:r w:rsidR="004511E5">
        <w:rPr>
          <w:rFonts w:cs="Times New Roman"/>
          <w:lang w:val="en-GB"/>
        </w:rPr>
        <w:t xml:space="preserve">etagenomic </w:t>
      </w:r>
      <w:r w:rsidR="00264F98">
        <w:rPr>
          <w:rFonts w:cs="Times New Roman"/>
          <w:lang w:val="en-GB"/>
        </w:rPr>
        <w:t xml:space="preserve">paired-end </w:t>
      </w:r>
      <w:r w:rsidR="004511E5">
        <w:rPr>
          <w:rFonts w:cs="Times New Roman"/>
          <w:lang w:val="en-GB"/>
        </w:rPr>
        <w:t xml:space="preserve">sequences are stored in the </w:t>
      </w:r>
      <w:r w:rsidR="00B53855">
        <w:rPr>
          <w:rFonts w:cs="Times New Roman"/>
          <w:lang w:val="en-GB"/>
        </w:rPr>
        <w:t>Sequence Read Archive (SR</w:t>
      </w:r>
      <w:r w:rsidR="00264F98">
        <w:rPr>
          <w:rFonts w:cs="Times New Roman"/>
          <w:lang w:val="en-GB"/>
        </w:rPr>
        <w:t>A)</w:t>
      </w:r>
      <w:r w:rsidR="004511E5">
        <w:rPr>
          <w:rFonts w:cs="Times New Roman"/>
          <w:lang w:val="en-GB"/>
        </w:rPr>
        <w:t xml:space="preserve"> (accession number PRJ</w:t>
      </w:r>
      <w:r w:rsidR="001077EF">
        <w:rPr>
          <w:rFonts w:cs="Times New Roman"/>
          <w:lang w:val="en-GB"/>
        </w:rPr>
        <w:t>NA377617</w:t>
      </w:r>
      <w:r w:rsidR="004511E5">
        <w:rPr>
          <w:rFonts w:cs="Times New Roman"/>
          <w:lang w:val="en-GB"/>
        </w:rPr>
        <w:t>).</w:t>
      </w:r>
    </w:p>
    <w:p w:rsidR="009B3D78" w:rsidRPr="003A6273" w:rsidRDefault="009B3D78" w:rsidP="00064F31">
      <w:pPr>
        <w:spacing w:line="360" w:lineRule="auto"/>
        <w:rPr>
          <w:lang w:val="en-GB"/>
        </w:rPr>
      </w:pPr>
    </w:p>
    <w:p w:rsidR="0011112C" w:rsidRPr="003A6273" w:rsidRDefault="00591543" w:rsidP="0011112C">
      <w:pPr>
        <w:spacing w:line="360" w:lineRule="auto"/>
        <w:rPr>
          <w:rFonts w:cs="Times New Roman"/>
          <w:lang w:val="en-GB"/>
        </w:rPr>
      </w:pPr>
      <w:r w:rsidRPr="003A6273">
        <w:rPr>
          <w:rFonts w:cs="Times New Roman"/>
          <w:u w:val="single"/>
          <w:lang w:val="en-GB"/>
        </w:rPr>
        <w:t>Identification of reads</w:t>
      </w:r>
      <w:r w:rsidR="00BD7D13">
        <w:rPr>
          <w:rFonts w:cs="Times New Roman"/>
          <w:u w:val="single"/>
          <w:lang w:val="en-GB"/>
        </w:rPr>
        <w:t>.</w:t>
      </w:r>
      <w:r w:rsidR="00297A98">
        <w:rPr>
          <w:rFonts w:cs="Times New Roman"/>
          <w:lang w:val="en-GB"/>
        </w:rPr>
        <w:t xml:space="preserve"> W</w:t>
      </w:r>
      <w:r w:rsidR="005C3056">
        <w:rPr>
          <w:rFonts w:cs="Times New Roman"/>
          <w:lang w:val="en-GB"/>
        </w:rPr>
        <w:t>e</w:t>
      </w:r>
      <w:r w:rsidR="00E777F6">
        <w:rPr>
          <w:rFonts w:cs="Times New Roman"/>
          <w:lang w:val="en-GB"/>
        </w:rPr>
        <w:t xml:space="preserve"> identif</w:t>
      </w:r>
      <w:r w:rsidR="005C3056">
        <w:rPr>
          <w:rFonts w:cs="Times New Roman"/>
          <w:lang w:val="en-GB"/>
        </w:rPr>
        <w:t>ied</w:t>
      </w:r>
      <w:r w:rsidR="00E777F6">
        <w:rPr>
          <w:rFonts w:cs="Times New Roman"/>
          <w:lang w:val="en-GB"/>
        </w:rPr>
        <w:t xml:space="preserve"> amplicon reads </w:t>
      </w:r>
      <w:r w:rsidR="005C3056">
        <w:rPr>
          <w:rFonts w:cs="Times New Roman"/>
          <w:lang w:val="en-GB"/>
        </w:rPr>
        <w:t>using</w:t>
      </w:r>
      <w:r w:rsidR="00E777F6">
        <w:rPr>
          <w:rFonts w:cs="Times New Roman"/>
          <w:lang w:val="en-GB"/>
        </w:rPr>
        <w:t xml:space="preserve"> BLAST searches</w:t>
      </w:r>
      <w:r w:rsidR="003871A1">
        <w:rPr>
          <w:rFonts w:cs="Times New Roman"/>
          <w:lang w:val="en-GB"/>
        </w:rPr>
        <w:t xml:space="preserve"> </w:t>
      </w:r>
      <w:r w:rsidR="003871A1" w:rsidRPr="003A6273">
        <w:rPr>
          <w:rFonts w:cs="Times New Roman"/>
          <w:lang w:val="en-GB"/>
        </w:rPr>
        <w:t>(soft masking with the DUST filter)</w:t>
      </w:r>
      <w:r w:rsidR="00E777F6">
        <w:rPr>
          <w:rFonts w:cs="Times New Roman"/>
          <w:lang w:val="en-GB"/>
        </w:rPr>
        <w:t xml:space="preserve"> against</w:t>
      </w:r>
      <w:r w:rsidR="00BA0EDC">
        <w:rPr>
          <w:rFonts w:cs="Times New Roman"/>
          <w:lang w:val="en-GB"/>
        </w:rPr>
        <w:t xml:space="preserve"> </w:t>
      </w:r>
      <w:r w:rsidRPr="003A6273">
        <w:rPr>
          <w:rFonts w:cs="Times New Roman"/>
          <w:lang w:val="en-GB"/>
        </w:rPr>
        <w:t>the Maarj</w:t>
      </w:r>
      <w:r w:rsidRPr="003A6273">
        <w:rPr>
          <w:rFonts w:cs="Times New Roman"/>
          <w:i/>
          <w:iCs/>
          <w:lang w:val="en-GB"/>
        </w:rPr>
        <w:t>AM</w:t>
      </w:r>
      <w:r w:rsidRPr="003A6273">
        <w:rPr>
          <w:rFonts w:cs="Times New Roman"/>
          <w:lang w:val="en-GB"/>
        </w:rPr>
        <w:t xml:space="preserve"> database</w:t>
      </w:r>
      <w:r w:rsidR="006E4E55">
        <w:rPr>
          <w:rFonts w:cs="Times New Roman"/>
          <w:lang w:val="en-GB"/>
        </w:rPr>
        <w:t xml:space="preserve"> </w:t>
      </w:r>
      <w:r w:rsidR="006E4E55" w:rsidRPr="006E4E55">
        <w:rPr>
          <w:rStyle w:val="ResponseChar"/>
        </w:rPr>
        <w:t>(3 693 sequences, 352 VT)</w:t>
      </w:r>
      <w:r w:rsidR="002F16D9">
        <w:rPr>
          <w:rFonts w:cs="Times New Roman"/>
          <w:lang w:val="en-GB"/>
        </w:rPr>
        <w:t xml:space="preserve"> </w:t>
      </w:r>
      <w:r w:rsidR="002F16D9" w:rsidRPr="006E4E55">
        <w:rPr>
          <w:rStyle w:val="ResponseChar"/>
        </w:rPr>
        <w:t>with sequences fitting the full amplicon (520 bases) between NS31 and AML2 primers (excluding both primers).</w:t>
      </w:r>
      <w:r w:rsidRPr="003A6273">
        <w:rPr>
          <w:lang w:val="en-GB"/>
        </w:rPr>
        <w:t xml:space="preserve"> Sequence</w:t>
      </w:r>
      <w:r w:rsidRPr="003A6273">
        <w:rPr>
          <w:rFonts w:cs="Times New Roman"/>
          <w:lang w:val="en-GB"/>
        </w:rPr>
        <w:t xml:space="preserve"> reads were assigned to VT with the following criteria required for a match: sequence similarity ≥ 97%; the alignment length not differing from the length of the shorter of the query (454 or Illumina read) and subject (reference database sequence) sequences by more than 5%; and a BLAST e-value &lt; 1e-50</w:t>
      </w:r>
      <w:r w:rsidR="00083E3E">
        <w:rPr>
          <w:rFonts w:cs="Times New Roman"/>
          <w:lang w:val="en-GB"/>
        </w:rPr>
        <w:t xml:space="preserve"> (</w:t>
      </w:r>
      <w:r w:rsidR="00FF56A7" w:rsidRPr="00FF56A7">
        <w:rPr>
          <w:rStyle w:val="ResponseChar"/>
          <w:lang w:val="en-GB"/>
        </w:rPr>
        <w:t>Thiéry</w:t>
      </w:r>
      <w:r w:rsidR="00FF56A7" w:rsidRPr="00FF56A7">
        <w:rPr>
          <w:rStyle w:val="ResponseChar"/>
        </w:rPr>
        <w:t xml:space="preserve"> </w:t>
      </w:r>
      <w:r w:rsidR="00083E3E" w:rsidRPr="00FF56A7">
        <w:rPr>
          <w:rStyle w:val="ResponseChar"/>
        </w:rPr>
        <w:t>et al. 201</w:t>
      </w:r>
      <w:r w:rsidR="00FF56A7" w:rsidRPr="00FF56A7">
        <w:rPr>
          <w:rStyle w:val="ResponseChar"/>
        </w:rPr>
        <w:t>6</w:t>
      </w:r>
      <w:r w:rsidR="00083E3E">
        <w:rPr>
          <w:rFonts w:cs="Times New Roman"/>
          <w:lang w:val="en-GB"/>
        </w:rPr>
        <w:t>)</w:t>
      </w:r>
      <w:r w:rsidRPr="003A6273">
        <w:rPr>
          <w:rFonts w:cs="Times New Roman"/>
          <w:lang w:val="en-GB"/>
        </w:rPr>
        <w:t xml:space="preserve">. The best hit </w:t>
      </w:r>
      <w:r w:rsidRPr="003A6273">
        <w:rPr>
          <w:rFonts w:cs="Times New Roman"/>
          <w:lang w:val="en-GB"/>
        </w:rPr>
        <w:lastRenderedPageBreak/>
        <w:t xml:space="preserve">on the basis of the BLAST score was recorded for each read. </w:t>
      </w:r>
      <w:r w:rsidR="003F6E69" w:rsidRPr="003A6273">
        <w:rPr>
          <w:rFonts w:cs="Times New Roman"/>
          <w:lang w:val="en-GB"/>
        </w:rPr>
        <w:t xml:space="preserve">Those reads </w:t>
      </w:r>
      <w:r w:rsidR="00E3308D">
        <w:rPr>
          <w:rFonts w:cs="Times New Roman"/>
          <w:lang w:val="en-GB"/>
        </w:rPr>
        <w:t>(no</w:t>
      </w:r>
      <w:r w:rsidR="00575A98">
        <w:rPr>
          <w:rFonts w:cs="Times New Roman"/>
          <w:lang w:val="en-GB"/>
        </w:rPr>
        <w:t xml:space="preserve"> </w:t>
      </w:r>
      <w:r w:rsidR="00E3308D">
        <w:rPr>
          <w:rFonts w:cs="Times New Roman"/>
          <w:lang w:val="en-GB"/>
        </w:rPr>
        <w:t xml:space="preserve">hits) </w:t>
      </w:r>
      <w:r w:rsidR="003F6E69" w:rsidRPr="003A6273">
        <w:rPr>
          <w:rFonts w:cs="Times New Roman"/>
          <w:lang w:val="en-GB"/>
        </w:rPr>
        <w:t>that BLAST did not match against the Maarj</w:t>
      </w:r>
      <w:r w:rsidR="003F6E69" w:rsidRPr="003A6273">
        <w:rPr>
          <w:rFonts w:cs="Times New Roman"/>
          <w:i/>
          <w:iCs/>
          <w:lang w:val="en-GB"/>
        </w:rPr>
        <w:t>AM</w:t>
      </w:r>
      <w:r w:rsidR="003F6E69" w:rsidRPr="003A6273">
        <w:rPr>
          <w:rFonts w:cs="Times New Roman"/>
          <w:lang w:val="en-GB"/>
        </w:rPr>
        <w:t xml:space="preserve"> database were investigated by conducting a further BLAST search against the </w:t>
      </w:r>
      <w:r w:rsidR="004B0182">
        <w:rPr>
          <w:rFonts w:cs="Times New Roman"/>
          <w:lang w:val="en-GB"/>
        </w:rPr>
        <w:t>NCBI</w:t>
      </w:r>
      <w:r w:rsidR="003F6E69" w:rsidRPr="003A6273">
        <w:rPr>
          <w:rFonts w:cs="Times New Roman"/>
          <w:lang w:val="en-GB"/>
        </w:rPr>
        <w:t xml:space="preserve"> </w:t>
      </w:r>
      <w:r w:rsidR="001C6CE4">
        <w:rPr>
          <w:rFonts w:cs="Times New Roman"/>
          <w:lang w:val="en-GB"/>
        </w:rPr>
        <w:t>(</w:t>
      </w:r>
      <w:r w:rsidR="00BF7575" w:rsidRPr="00A11A84">
        <w:rPr>
          <w:rStyle w:val="ResponseChar"/>
        </w:rPr>
        <w:t>status October 2016,</w:t>
      </w:r>
      <w:r w:rsidR="00BF7575">
        <w:rPr>
          <w:rFonts w:cs="Times New Roman"/>
          <w:lang w:val="en-GB"/>
        </w:rPr>
        <w:t xml:space="preserve"> </w:t>
      </w:r>
      <w:r w:rsidR="001C6CE4">
        <w:rPr>
          <w:rFonts w:cs="Times New Roman"/>
          <w:lang w:val="en-GB"/>
        </w:rPr>
        <w:t>Benson et al. 20</w:t>
      </w:r>
      <w:r w:rsidR="00994EEA">
        <w:rPr>
          <w:rFonts w:cs="Times New Roman"/>
          <w:lang w:val="en-GB"/>
        </w:rPr>
        <w:t>13</w:t>
      </w:r>
      <w:r w:rsidR="001C6CE4">
        <w:rPr>
          <w:rFonts w:cs="Times New Roman"/>
          <w:lang w:val="en-GB"/>
        </w:rPr>
        <w:t xml:space="preserve">) </w:t>
      </w:r>
      <w:r w:rsidR="003F6E69" w:rsidRPr="003A6273">
        <w:rPr>
          <w:rFonts w:cs="Times New Roman"/>
          <w:lang w:val="en-GB"/>
        </w:rPr>
        <w:t xml:space="preserve">non-redundant </w:t>
      </w:r>
      <w:r w:rsidR="004B0182">
        <w:rPr>
          <w:rFonts w:cs="Times New Roman"/>
          <w:lang w:val="en-GB"/>
        </w:rPr>
        <w:t xml:space="preserve">nucleotide </w:t>
      </w:r>
      <w:r w:rsidR="003F6E69" w:rsidRPr="003A6273">
        <w:rPr>
          <w:rFonts w:cs="Times New Roman"/>
          <w:lang w:val="en-GB"/>
        </w:rPr>
        <w:t>database.</w:t>
      </w:r>
    </w:p>
    <w:p w:rsidR="00D27749" w:rsidRDefault="008365CD" w:rsidP="00297A98">
      <w:pPr>
        <w:spacing w:line="360" w:lineRule="auto"/>
        <w:ind w:firstLine="709"/>
        <w:rPr>
          <w:lang w:val="en-GB"/>
        </w:rPr>
      </w:pPr>
      <w:r>
        <w:rPr>
          <w:lang w:val="en-GB"/>
        </w:rPr>
        <w:t xml:space="preserve">Putative proteins translated from metagenomic Illumina genes </w:t>
      </w:r>
      <w:r w:rsidR="00D27749">
        <w:rPr>
          <w:lang w:val="en-GB"/>
        </w:rPr>
        <w:t xml:space="preserve">were subjected to </w:t>
      </w:r>
      <w:r w:rsidR="00DA3183">
        <w:rPr>
          <w:lang w:val="en-GB"/>
        </w:rPr>
        <w:t xml:space="preserve">a </w:t>
      </w:r>
      <w:r w:rsidR="003871A1">
        <w:rPr>
          <w:lang w:val="en-GB"/>
        </w:rPr>
        <w:t xml:space="preserve">BLAST search against the </w:t>
      </w:r>
      <w:r w:rsidR="00D27749">
        <w:rPr>
          <w:lang w:val="en-GB"/>
        </w:rPr>
        <w:t xml:space="preserve">NCBI non-redundant </w:t>
      </w:r>
      <w:r w:rsidR="00520E5F">
        <w:rPr>
          <w:lang w:val="en-GB"/>
        </w:rPr>
        <w:t xml:space="preserve">protein database </w:t>
      </w:r>
      <w:r w:rsidR="0059046D">
        <w:rPr>
          <w:lang w:val="en-GB"/>
        </w:rPr>
        <w:t xml:space="preserve">(status December 2016) </w:t>
      </w:r>
      <w:r w:rsidR="00D27749">
        <w:rPr>
          <w:lang w:val="en-GB"/>
        </w:rPr>
        <w:t xml:space="preserve">using </w:t>
      </w:r>
      <w:r w:rsidR="004A618B" w:rsidRPr="004A618B">
        <w:rPr>
          <w:lang w:val="en-GB"/>
        </w:rPr>
        <w:t>protein BLAST</w:t>
      </w:r>
      <w:r w:rsidR="00270882">
        <w:rPr>
          <w:lang w:val="en-GB"/>
        </w:rPr>
        <w:t xml:space="preserve"> with 40% identity</w:t>
      </w:r>
      <w:r w:rsidR="00DD7C38">
        <w:rPr>
          <w:lang w:val="en-GB"/>
        </w:rPr>
        <w:t xml:space="preserve"> (Rost 1999)</w:t>
      </w:r>
      <w:r w:rsidR="00270882">
        <w:rPr>
          <w:lang w:val="en-GB"/>
        </w:rPr>
        <w:t xml:space="preserve"> and </w:t>
      </w:r>
      <w:r w:rsidR="003871A1">
        <w:rPr>
          <w:lang w:val="en-GB"/>
        </w:rPr>
        <w:t xml:space="preserve">a </w:t>
      </w:r>
      <w:r w:rsidR="00270882">
        <w:rPr>
          <w:lang w:val="en-GB"/>
        </w:rPr>
        <w:t>50% alignment filter of</w:t>
      </w:r>
      <w:r>
        <w:rPr>
          <w:lang w:val="en-GB"/>
        </w:rPr>
        <w:t xml:space="preserve"> the</w:t>
      </w:r>
      <w:r w:rsidR="00270882">
        <w:rPr>
          <w:lang w:val="en-GB"/>
        </w:rPr>
        <w:t xml:space="preserve"> shorter read (query or database sequence)</w:t>
      </w:r>
      <w:r w:rsidR="00083E3E">
        <w:rPr>
          <w:lang w:val="en-GB"/>
        </w:rPr>
        <w:t xml:space="preserve"> giving rough estimation of organisms found in samples</w:t>
      </w:r>
      <w:r w:rsidR="003871A1">
        <w:rPr>
          <w:lang w:val="en-GB"/>
        </w:rPr>
        <w:t xml:space="preserve">. </w:t>
      </w:r>
      <w:r>
        <w:rPr>
          <w:lang w:val="en-GB"/>
        </w:rPr>
        <w:t>The g</w:t>
      </w:r>
      <w:r w:rsidR="00BB0443">
        <w:rPr>
          <w:lang w:val="en-GB"/>
        </w:rPr>
        <w:t xml:space="preserve">enome of a </w:t>
      </w:r>
      <w:r w:rsidR="00D25393" w:rsidRPr="00D25393">
        <w:rPr>
          <w:i/>
          <w:lang w:val="en-GB"/>
        </w:rPr>
        <w:t>Gigaspora rosea</w:t>
      </w:r>
      <w:r w:rsidR="00D25393">
        <w:rPr>
          <w:lang w:val="en-GB"/>
        </w:rPr>
        <w:t xml:space="preserve"> </w:t>
      </w:r>
      <w:r w:rsidR="00BB0443">
        <w:rPr>
          <w:lang w:val="en-GB"/>
        </w:rPr>
        <w:t>(</w:t>
      </w:r>
      <w:r w:rsidR="004D3ED7">
        <w:rPr>
          <w:lang w:val="en-GB"/>
        </w:rPr>
        <w:t xml:space="preserve">Tang et al. 2016) </w:t>
      </w:r>
      <w:r w:rsidR="001A0B50" w:rsidRPr="00A11A84">
        <w:rPr>
          <w:rStyle w:val="ResponseChar"/>
        </w:rPr>
        <w:t>and</w:t>
      </w:r>
      <w:r w:rsidR="001B5485" w:rsidRPr="00A11A84">
        <w:rPr>
          <w:rStyle w:val="ResponseChar"/>
        </w:rPr>
        <w:t xml:space="preserve"> a</w:t>
      </w:r>
      <w:r w:rsidR="001A0B50" w:rsidRPr="00A11A84">
        <w:rPr>
          <w:rStyle w:val="ResponseChar"/>
        </w:rPr>
        <w:t xml:space="preserve"> </w:t>
      </w:r>
      <w:r w:rsidR="002D268A" w:rsidRPr="00BC5109">
        <w:rPr>
          <w:rStyle w:val="ResponseChar"/>
          <w:i/>
        </w:rPr>
        <w:t>Gigaspora margarita</w:t>
      </w:r>
      <w:r w:rsidR="001A0B50" w:rsidRPr="00A11A84">
        <w:rPr>
          <w:rStyle w:val="ResponseChar"/>
        </w:rPr>
        <w:t xml:space="preserve"> (Salvioli et al. 2016) </w:t>
      </w:r>
      <w:r w:rsidR="001B5485" w:rsidRPr="00A11A84">
        <w:rPr>
          <w:rStyle w:val="ResponseChar"/>
        </w:rPr>
        <w:t>were</w:t>
      </w:r>
      <w:r w:rsidR="001B5485">
        <w:rPr>
          <w:lang w:val="en-GB"/>
        </w:rPr>
        <w:t xml:space="preserve"> </w:t>
      </w:r>
      <w:r w:rsidR="00D25393">
        <w:rPr>
          <w:lang w:val="en-GB"/>
        </w:rPr>
        <w:t xml:space="preserve">missing from the protein database as </w:t>
      </w:r>
      <w:r w:rsidR="00F22862" w:rsidRPr="00A11A84">
        <w:rPr>
          <w:rStyle w:val="ResponseChar"/>
        </w:rPr>
        <w:t>they</w:t>
      </w:r>
      <w:r w:rsidR="00F22862">
        <w:rPr>
          <w:lang w:val="en-GB"/>
        </w:rPr>
        <w:t xml:space="preserve"> </w:t>
      </w:r>
      <w:r w:rsidR="00D25393">
        <w:rPr>
          <w:lang w:val="en-GB"/>
        </w:rPr>
        <w:t xml:space="preserve">existed only in </w:t>
      </w:r>
      <w:r w:rsidR="00F22862" w:rsidRPr="00A11A84">
        <w:rPr>
          <w:rStyle w:val="ResponseChar"/>
        </w:rPr>
        <w:t>the</w:t>
      </w:r>
      <w:r w:rsidR="00F22862">
        <w:rPr>
          <w:lang w:val="en-GB"/>
        </w:rPr>
        <w:t xml:space="preserve"> </w:t>
      </w:r>
      <w:r w:rsidR="00D25393">
        <w:rPr>
          <w:lang w:val="en-GB"/>
        </w:rPr>
        <w:t>nucleotide database,</w:t>
      </w:r>
      <w:r w:rsidR="00DA3183">
        <w:rPr>
          <w:lang w:val="en-GB"/>
        </w:rPr>
        <w:t xml:space="preserve"> so an</w:t>
      </w:r>
      <w:r w:rsidR="00D25393">
        <w:rPr>
          <w:lang w:val="en-GB"/>
        </w:rPr>
        <w:t xml:space="preserve"> additional </w:t>
      </w:r>
      <w:r w:rsidR="004D3ED7">
        <w:rPr>
          <w:lang w:val="en-GB"/>
        </w:rPr>
        <w:t xml:space="preserve">protein </w:t>
      </w:r>
      <w:r w:rsidR="00D25393">
        <w:rPr>
          <w:lang w:val="en-GB"/>
        </w:rPr>
        <w:t xml:space="preserve">BLAST with </w:t>
      </w:r>
      <w:r w:rsidR="006A35C0" w:rsidRPr="00A11A84">
        <w:rPr>
          <w:rStyle w:val="ResponseChar"/>
        </w:rPr>
        <w:t>tblastn</w:t>
      </w:r>
      <w:r w:rsidR="006A35C0">
        <w:rPr>
          <w:lang w:val="en-GB"/>
        </w:rPr>
        <w:t xml:space="preserve"> </w:t>
      </w:r>
      <w:r w:rsidR="00337F70">
        <w:rPr>
          <w:lang w:val="en-GB"/>
        </w:rPr>
        <w:t>(BLAST+ v2.5.0</w:t>
      </w:r>
      <w:r w:rsidR="004D3ED7">
        <w:rPr>
          <w:lang w:val="en-GB"/>
        </w:rPr>
        <w:t xml:space="preserve">, protein </w:t>
      </w:r>
      <w:r w:rsidR="002E5413">
        <w:rPr>
          <w:lang w:val="en-GB"/>
        </w:rPr>
        <w:t>against</w:t>
      </w:r>
      <w:r w:rsidR="004D3ED7">
        <w:rPr>
          <w:lang w:val="en-GB"/>
        </w:rPr>
        <w:t xml:space="preserve"> nucleotide</w:t>
      </w:r>
      <w:r w:rsidR="00337F70">
        <w:rPr>
          <w:lang w:val="en-GB"/>
        </w:rPr>
        <w:t xml:space="preserve">) </w:t>
      </w:r>
      <w:r w:rsidR="00D25393">
        <w:rPr>
          <w:lang w:val="en-GB"/>
        </w:rPr>
        <w:t xml:space="preserve">was conducted to add </w:t>
      </w:r>
      <w:r w:rsidR="00DA3183">
        <w:rPr>
          <w:lang w:val="en-GB"/>
        </w:rPr>
        <w:t xml:space="preserve">the </w:t>
      </w:r>
      <w:r w:rsidR="00D25393">
        <w:rPr>
          <w:lang w:val="en-GB"/>
        </w:rPr>
        <w:t xml:space="preserve">missing information. </w:t>
      </w:r>
      <w:r w:rsidR="003871A1">
        <w:rPr>
          <w:lang w:val="en-GB"/>
        </w:rPr>
        <w:t>The</w:t>
      </w:r>
      <w:r w:rsidR="00270882">
        <w:rPr>
          <w:lang w:val="en-GB"/>
        </w:rPr>
        <w:t xml:space="preserve"> results were visualized using Krona (</w:t>
      </w:r>
      <w:r w:rsidR="004A618B">
        <w:rPr>
          <w:lang w:val="en-GB"/>
        </w:rPr>
        <w:t xml:space="preserve">v2.7, </w:t>
      </w:r>
      <w:r w:rsidR="00270882">
        <w:rPr>
          <w:lang w:val="en-GB"/>
        </w:rPr>
        <w:t>Ondov et al. 2011).</w:t>
      </w:r>
    </w:p>
    <w:p w:rsidR="002C278A" w:rsidRPr="003A6273" w:rsidRDefault="002C278A" w:rsidP="00064F31">
      <w:pPr>
        <w:spacing w:line="360" w:lineRule="auto"/>
        <w:rPr>
          <w:lang w:val="en-GB"/>
        </w:rPr>
      </w:pPr>
    </w:p>
    <w:p w:rsidR="002C278A" w:rsidRPr="003A6273" w:rsidRDefault="002C278A" w:rsidP="00064F31">
      <w:pPr>
        <w:spacing w:line="360" w:lineRule="auto"/>
        <w:rPr>
          <w:rFonts w:cs="Times New Roman"/>
          <w:i/>
          <w:lang w:val="en-GB"/>
        </w:rPr>
      </w:pPr>
      <w:r w:rsidRPr="003A6273">
        <w:rPr>
          <w:rFonts w:cs="Times New Roman"/>
          <w:i/>
          <w:lang w:val="en-GB"/>
        </w:rPr>
        <w:t>Statistics</w:t>
      </w:r>
    </w:p>
    <w:p w:rsidR="001F1D83" w:rsidRDefault="002C278A" w:rsidP="001F1D83">
      <w:pPr>
        <w:spacing w:line="360" w:lineRule="auto"/>
        <w:rPr>
          <w:lang w:val="en-GB"/>
        </w:rPr>
      </w:pPr>
      <w:r w:rsidRPr="003A6273">
        <w:rPr>
          <w:rFonts w:cs="Times New Roman"/>
          <w:lang w:val="en-GB"/>
        </w:rPr>
        <w:t xml:space="preserve">It is common practice to exclude singleton taxa (i.e. taxa represented by a single DNA read) or rare taxa (i.e. taxa below a specified abundance) prior to conducting diversity analyses using DNA based community data. This is because singleton or rare taxa may represent sequencing artefacts (Tedersoo et al. 2010) or may be of minor interest if a description of dominant community patterns is intended. </w:t>
      </w:r>
      <w:r w:rsidR="00581B6F" w:rsidRPr="003A6273">
        <w:rPr>
          <w:rFonts w:cs="Times New Roman"/>
          <w:lang w:val="en-GB"/>
        </w:rPr>
        <w:t xml:space="preserve">We removed singleton taxa from 454 results, where </w:t>
      </w:r>
      <w:r w:rsidR="008365CD">
        <w:rPr>
          <w:rFonts w:cs="Times New Roman"/>
          <w:lang w:val="en-GB"/>
        </w:rPr>
        <w:t>each</w:t>
      </w:r>
      <w:r w:rsidR="006C3F8E">
        <w:rPr>
          <w:rFonts w:cs="Times New Roman"/>
          <w:lang w:val="en-GB"/>
        </w:rPr>
        <w:t xml:space="preserve"> </w:t>
      </w:r>
      <w:r w:rsidR="00581B6F" w:rsidRPr="003A6273">
        <w:rPr>
          <w:rFonts w:cs="Times New Roman"/>
          <w:lang w:val="en-GB"/>
        </w:rPr>
        <w:t xml:space="preserve">singleton hit </w:t>
      </w:r>
      <w:r w:rsidR="008365CD">
        <w:rPr>
          <w:rFonts w:cs="Times New Roman"/>
          <w:lang w:val="en-GB"/>
        </w:rPr>
        <w:t>represented</w:t>
      </w:r>
      <w:r w:rsidR="00581B6F" w:rsidRPr="003A6273">
        <w:rPr>
          <w:rFonts w:cs="Times New Roman"/>
          <w:lang w:val="en-GB"/>
        </w:rPr>
        <w:t xml:space="preserve"> 0.01% of all the hits. Using </w:t>
      </w:r>
      <w:r w:rsidR="006C3F8E">
        <w:rPr>
          <w:rFonts w:cs="Times New Roman"/>
          <w:lang w:val="en-GB"/>
        </w:rPr>
        <w:t xml:space="preserve">the </w:t>
      </w:r>
      <w:r w:rsidR="00581B6F" w:rsidRPr="003A6273">
        <w:rPr>
          <w:rFonts w:cs="Times New Roman"/>
          <w:lang w:val="en-GB"/>
        </w:rPr>
        <w:t xml:space="preserve">same proportion, we removed rare taxa from Illumina reads when </w:t>
      </w:r>
      <w:r w:rsidR="003871A1">
        <w:rPr>
          <w:rFonts w:cs="Times New Roman"/>
          <w:lang w:val="en-GB"/>
        </w:rPr>
        <w:t xml:space="preserve">they </w:t>
      </w:r>
      <w:r w:rsidR="00581B6F" w:rsidRPr="003A6273">
        <w:rPr>
          <w:rFonts w:cs="Times New Roman"/>
          <w:lang w:val="en-GB"/>
        </w:rPr>
        <w:t>represented less than 0.01% of total hits.</w:t>
      </w:r>
      <w:r w:rsidR="00DA3183">
        <w:rPr>
          <w:lang w:val="en-GB"/>
        </w:rPr>
        <w:t xml:space="preserve"> </w:t>
      </w:r>
      <w:r w:rsidR="00444BB1" w:rsidRPr="00444BB1">
        <w:rPr>
          <w:lang w:val="en-GB"/>
        </w:rPr>
        <w:t>Sampling efficacy was assessed using individual</w:t>
      </w:r>
      <w:r w:rsidR="008365CD">
        <w:rPr>
          <w:lang w:val="en-GB"/>
        </w:rPr>
        <w:t>-</w:t>
      </w:r>
      <w:r w:rsidR="00444BB1" w:rsidRPr="00444BB1">
        <w:rPr>
          <w:lang w:val="en-GB"/>
        </w:rPr>
        <w:t xml:space="preserve">based rarefaction (function rarefy from R package vegan; Oksanen et al. 2016). </w:t>
      </w:r>
      <w:r w:rsidR="0018046E" w:rsidRPr="00A11A84">
        <w:rPr>
          <w:rStyle w:val="ResponseChar"/>
        </w:rPr>
        <w:t>Richness estimates were calculated for each sample in each sequence set (Ill-qf, Ill-t, 454-qf, 454-t), and differences between sets and host plant species were estimated using a mixed-effects model (function lmer from R package lme4, Bates et al. 2015). Richness was log-transformed prior to inclusion in the model. Sample identity was included in the model as a random effect. The Kenward-Roger approximation was used to estimate model degrees of freedom (Kenward &amp; Roger 1997) and Tukey contrasts were used to compare group means.</w:t>
      </w:r>
      <w:r w:rsidR="005F77B0">
        <w:rPr>
          <w:lang w:val="en-GB"/>
        </w:rPr>
        <w:t xml:space="preserve"> </w:t>
      </w:r>
      <w:r w:rsidR="005F77B0" w:rsidRPr="00B557CA">
        <w:rPr>
          <w:rStyle w:val="ResponseChar"/>
        </w:rPr>
        <w:t>Richness estimates were also</w:t>
      </w:r>
      <w:r w:rsidR="00444BB1" w:rsidRPr="00B557CA">
        <w:rPr>
          <w:rStyle w:val="ResponseChar"/>
        </w:rPr>
        <w:t xml:space="preserve"> regressed against read number within </w:t>
      </w:r>
      <w:r w:rsidR="005F77B0" w:rsidRPr="00B557CA">
        <w:rPr>
          <w:rStyle w:val="ResponseChar"/>
        </w:rPr>
        <w:t>each sequence set</w:t>
      </w:r>
      <w:r w:rsidR="00866E73" w:rsidRPr="00B557CA">
        <w:rPr>
          <w:rStyle w:val="ResponseChar"/>
        </w:rPr>
        <w:t xml:space="preserve"> </w:t>
      </w:r>
      <w:r w:rsidR="00866E73" w:rsidRPr="00A11A84">
        <w:rPr>
          <w:rStyle w:val="ResponseChar"/>
        </w:rPr>
        <w:t>and against each other between sets</w:t>
      </w:r>
      <w:r w:rsidR="00444BB1" w:rsidRPr="00A11A84">
        <w:rPr>
          <w:rStyle w:val="ResponseChar"/>
        </w:rPr>
        <w:t>.</w:t>
      </w:r>
      <w:r w:rsidR="00257CA6" w:rsidRPr="00A11A84">
        <w:rPr>
          <w:rStyle w:val="ResponseChar"/>
        </w:rPr>
        <w:t xml:space="preserve"> The relative abundances of different VT in the 454-t and Ill-t sets (samples pooled within each set) were compared using Pearson’s correlation.</w:t>
      </w:r>
      <w:r w:rsidR="002817C4" w:rsidRPr="00A11A84">
        <w:rPr>
          <w:rStyle w:val="ResponseChar"/>
        </w:rPr>
        <w:t xml:space="preserve"> Pearson’s correlation was</w:t>
      </w:r>
      <w:r w:rsidR="00F22862" w:rsidRPr="00A11A84">
        <w:rPr>
          <w:rStyle w:val="ResponseChar"/>
        </w:rPr>
        <w:t xml:space="preserve"> also</w:t>
      </w:r>
      <w:r w:rsidR="002817C4" w:rsidRPr="00A11A84">
        <w:rPr>
          <w:rStyle w:val="ResponseChar"/>
        </w:rPr>
        <w:t xml:space="preserve"> used to test </w:t>
      </w:r>
      <w:r w:rsidR="00AB446F" w:rsidRPr="00A11A84">
        <w:rPr>
          <w:rStyle w:val="ResponseChar"/>
        </w:rPr>
        <w:t>the relationship</w:t>
      </w:r>
      <w:r w:rsidR="00F22862" w:rsidRPr="00A11A84">
        <w:rPr>
          <w:rStyle w:val="ResponseChar"/>
        </w:rPr>
        <w:t>s</w:t>
      </w:r>
      <w:r w:rsidR="00AB446F" w:rsidRPr="00A11A84">
        <w:rPr>
          <w:rStyle w:val="ResponseChar"/>
        </w:rPr>
        <w:t xml:space="preserve"> between </w:t>
      </w:r>
      <w:r w:rsidR="002817C4" w:rsidRPr="00A11A84">
        <w:rPr>
          <w:rStyle w:val="ResponseChar"/>
        </w:rPr>
        <w:t xml:space="preserve">sample weight </w:t>
      </w:r>
      <w:r w:rsidR="00AB446F" w:rsidRPr="00A11A84">
        <w:rPr>
          <w:rStyle w:val="ResponseChar"/>
        </w:rPr>
        <w:t>and</w:t>
      </w:r>
      <w:r w:rsidR="002817C4" w:rsidRPr="00A11A84">
        <w:rPr>
          <w:rStyle w:val="ResponseChar"/>
        </w:rPr>
        <w:t xml:space="preserve"> recorded VT richness and sequence depth.</w:t>
      </w:r>
      <w:r w:rsidR="00444BB1" w:rsidRPr="00444BB1">
        <w:rPr>
          <w:lang w:val="en-GB"/>
        </w:rPr>
        <w:t xml:space="preserve"> </w:t>
      </w:r>
    </w:p>
    <w:p w:rsidR="002C278A" w:rsidRPr="003A6273" w:rsidRDefault="002C278A" w:rsidP="00064F31">
      <w:pPr>
        <w:pageBreakBefore/>
        <w:spacing w:line="360" w:lineRule="auto"/>
        <w:rPr>
          <w:rFonts w:cs="Times New Roman"/>
          <w:b/>
          <w:lang w:val="en-GB"/>
        </w:rPr>
      </w:pPr>
      <w:r w:rsidRPr="003A6273">
        <w:rPr>
          <w:rFonts w:cs="Times New Roman"/>
          <w:b/>
          <w:lang w:val="en-GB"/>
        </w:rPr>
        <w:lastRenderedPageBreak/>
        <w:t>Results</w:t>
      </w:r>
    </w:p>
    <w:p w:rsidR="005A1738" w:rsidRPr="003A6273" w:rsidRDefault="005A1738" w:rsidP="00064F31">
      <w:pPr>
        <w:spacing w:line="360" w:lineRule="auto"/>
        <w:rPr>
          <w:rFonts w:cs="Times New Roman"/>
          <w:lang w:val="en-GB"/>
        </w:rPr>
      </w:pPr>
    </w:p>
    <w:p w:rsidR="002C278A" w:rsidRPr="003A6273" w:rsidRDefault="002C278A" w:rsidP="00064F31">
      <w:pPr>
        <w:spacing w:line="360" w:lineRule="auto"/>
        <w:rPr>
          <w:rFonts w:cs="Times New Roman"/>
          <w:i/>
          <w:lang w:val="en-GB"/>
        </w:rPr>
      </w:pPr>
      <w:r w:rsidRPr="003A6273">
        <w:rPr>
          <w:rFonts w:cs="Times New Roman"/>
          <w:i/>
          <w:lang w:val="en-GB"/>
        </w:rPr>
        <w:t>Amplicon-based Illumina MiSeq sequencing</w:t>
      </w:r>
    </w:p>
    <w:p w:rsidR="005A1738" w:rsidRDefault="002C278A" w:rsidP="00064F31">
      <w:pPr>
        <w:spacing w:line="360" w:lineRule="auto"/>
        <w:rPr>
          <w:lang w:val="en-GB"/>
        </w:rPr>
      </w:pPr>
      <w:r w:rsidRPr="003A6273">
        <w:rPr>
          <w:lang w:val="en-GB"/>
        </w:rPr>
        <w:t xml:space="preserve">We obtained </w:t>
      </w:r>
      <w:r w:rsidR="00BF35D1" w:rsidRPr="003A6273">
        <w:rPr>
          <w:lang w:val="en-GB"/>
        </w:rPr>
        <w:t xml:space="preserve">a </w:t>
      </w:r>
      <w:r w:rsidRPr="003A6273">
        <w:rPr>
          <w:lang w:val="en-GB"/>
        </w:rPr>
        <w:t>total of 8 461 400 raw reads</w:t>
      </w:r>
      <w:r w:rsidR="006057A4">
        <w:rPr>
          <w:lang w:val="en-GB"/>
        </w:rPr>
        <w:t xml:space="preserve"> </w:t>
      </w:r>
      <w:r w:rsidRPr="003A6273">
        <w:rPr>
          <w:lang w:val="en-GB"/>
        </w:rPr>
        <w:t>from 12 samples, with 164 38</w:t>
      </w:r>
      <w:r w:rsidR="00D44D8B" w:rsidRPr="003A6273">
        <w:rPr>
          <w:lang w:val="en-GB"/>
        </w:rPr>
        <w:t>5 to 1 610 065 reads per sample</w:t>
      </w:r>
      <w:r w:rsidR="00475200">
        <w:rPr>
          <w:lang w:val="en-GB"/>
        </w:rPr>
        <w:t xml:space="preserve"> (Table S1)</w:t>
      </w:r>
      <w:r w:rsidR="00D44D8B" w:rsidRPr="003A6273">
        <w:rPr>
          <w:lang w:val="en-GB"/>
        </w:rPr>
        <w:t xml:space="preserve">. </w:t>
      </w:r>
      <w:r w:rsidR="0069532A">
        <w:rPr>
          <w:lang w:val="en-GB"/>
        </w:rPr>
        <w:t xml:space="preserve">Following adapter removal and quality filtering, </w:t>
      </w:r>
      <w:r w:rsidR="00123DF6" w:rsidRPr="003A6273">
        <w:rPr>
          <w:lang w:val="en-GB"/>
        </w:rPr>
        <w:t xml:space="preserve">we </w:t>
      </w:r>
      <w:r w:rsidR="00475200">
        <w:rPr>
          <w:lang w:val="en-GB"/>
        </w:rPr>
        <w:t>detected</w:t>
      </w:r>
      <w:r w:rsidR="00123DF6" w:rsidRPr="003A6273">
        <w:rPr>
          <w:lang w:val="en-GB"/>
        </w:rPr>
        <w:t xml:space="preserve"> </w:t>
      </w:r>
      <w:r w:rsidR="00475200">
        <w:rPr>
          <w:lang w:val="en-GB"/>
        </w:rPr>
        <w:t xml:space="preserve">and removed </w:t>
      </w:r>
      <w:r w:rsidR="0042474A" w:rsidRPr="003A6273">
        <w:rPr>
          <w:lang w:val="en-GB"/>
        </w:rPr>
        <w:t>19 469 chimeras</w:t>
      </w:r>
      <w:r w:rsidR="0069532A">
        <w:rPr>
          <w:lang w:val="en-GB"/>
        </w:rPr>
        <w:t xml:space="preserve"> </w:t>
      </w:r>
      <w:r w:rsidR="00D45B96">
        <w:rPr>
          <w:lang w:val="en-GB"/>
        </w:rPr>
        <w:t>a</w:t>
      </w:r>
      <w:r w:rsidR="0069532A">
        <w:rPr>
          <w:lang w:val="en-GB"/>
        </w:rPr>
        <w:t>mong s</w:t>
      </w:r>
      <w:r w:rsidR="0069532A" w:rsidRPr="003A6273">
        <w:rPr>
          <w:lang w:val="en-GB"/>
        </w:rPr>
        <w:t>ingle-end reads (R1</w:t>
      </w:r>
      <w:r w:rsidR="0053683F">
        <w:rPr>
          <w:lang w:val="en-GB"/>
        </w:rPr>
        <w:t>, 251</w:t>
      </w:r>
      <w:r w:rsidR="00475200">
        <w:rPr>
          <w:lang w:val="en-GB"/>
        </w:rPr>
        <w:t xml:space="preserve"> bases</w:t>
      </w:r>
      <w:r w:rsidR="0069532A" w:rsidRPr="003A6273">
        <w:rPr>
          <w:lang w:val="en-GB"/>
        </w:rPr>
        <w:t>)</w:t>
      </w:r>
      <w:r w:rsidR="0042474A" w:rsidRPr="003A6273">
        <w:rPr>
          <w:lang w:val="en-GB"/>
        </w:rPr>
        <w:t xml:space="preserve">, </w:t>
      </w:r>
      <w:r w:rsidR="00D45B96">
        <w:rPr>
          <w:lang w:val="en-GB"/>
        </w:rPr>
        <w:t>leaving</w:t>
      </w:r>
      <w:r w:rsidR="0042474A" w:rsidRPr="003A6273">
        <w:rPr>
          <w:lang w:val="en-GB"/>
        </w:rPr>
        <w:t xml:space="preserve"> 937 658 </w:t>
      </w:r>
      <w:r w:rsidR="00CB5623">
        <w:rPr>
          <w:lang w:val="en-GB"/>
        </w:rPr>
        <w:t>quality filtered</w:t>
      </w:r>
      <w:r w:rsidR="00CB5623" w:rsidRPr="003A6273">
        <w:rPr>
          <w:lang w:val="en-GB"/>
        </w:rPr>
        <w:t xml:space="preserve"> </w:t>
      </w:r>
      <w:r w:rsidR="0042474A" w:rsidRPr="003A6273">
        <w:rPr>
          <w:lang w:val="en-GB"/>
        </w:rPr>
        <w:t>s</w:t>
      </w:r>
      <w:r w:rsidR="00475200">
        <w:rPr>
          <w:lang w:val="en-GB"/>
        </w:rPr>
        <w:t>equences</w:t>
      </w:r>
      <w:r w:rsidR="00982411">
        <w:rPr>
          <w:lang w:val="en-GB"/>
        </w:rPr>
        <w:t xml:space="preserve"> (Ill</w:t>
      </w:r>
      <w:r w:rsidR="0036014B">
        <w:rPr>
          <w:lang w:val="en-GB"/>
        </w:rPr>
        <w:t>-qf</w:t>
      </w:r>
      <w:r w:rsidR="00982411">
        <w:rPr>
          <w:lang w:val="en-GB"/>
        </w:rPr>
        <w:t>)</w:t>
      </w:r>
      <w:r w:rsidR="00475200">
        <w:rPr>
          <w:lang w:val="en-GB"/>
        </w:rPr>
        <w:t xml:space="preserve"> distributed randomly al</w:t>
      </w:r>
      <w:r w:rsidR="0042474A" w:rsidRPr="003A6273">
        <w:rPr>
          <w:lang w:val="en-GB"/>
        </w:rPr>
        <w:t>ong the amplicon</w:t>
      </w:r>
      <w:r w:rsidR="00206427">
        <w:rPr>
          <w:lang w:val="en-GB"/>
        </w:rPr>
        <w:t xml:space="preserve"> </w:t>
      </w:r>
      <w:r w:rsidR="00714705" w:rsidRPr="003A6273">
        <w:rPr>
          <w:lang w:val="en-GB"/>
        </w:rPr>
        <w:t>(</w:t>
      </w:r>
      <w:r w:rsidR="00E6760A" w:rsidRPr="003A6273">
        <w:rPr>
          <w:lang w:val="en-GB"/>
        </w:rPr>
        <w:t>Fig. 1</w:t>
      </w:r>
      <w:r w:rsidR="006903EA">
        <w:rPr>
          <w:lang w:val="en-GB"/>
        </w:rPr>
        <w:t>c</w:t>
      </w:r>
      <w:r w:rsidR="00714705" w:rsidRPr="003A6273">
        <w:rPr>
          <w:lang w:val="en-GB"/>
        </w:rPr>
        <w:t>)</w:t>
      </w:r>
      <w:r w:rsidR="0042474A" w:rsidRPr="003A6273">
        <w:rPr>
          <w:lang w:val="en-GB"/>
        </w:rPr>
        <w:t xml:space="preserve">. </w:t>
      </w:r>
      <w:r w:rsidR="00C42B0C">
        <w:rPr>
          <w:lang w:val="en-GB"/>
        </w:rPr>
        <w:t>Among paired-end reads, a</w:t>
      </w:r>
      <w:r w:rsidR="00D45B96">
        <w:rPr>
          <w:lang w:val="en-GB"/>
        </w:rPr>
        <w:t xml:space="preserve">fter adapter removal, quality filtering and combining </w:t>
      </w:r>
      <w:r w:rsidR="00C42B0C">
        <w:rPr>
          <w:lang w:val="en-GB"/>
        </w:rPr>
        <w:t>the</w:t>
      </w:r>
      <w:r w:rsidR="00D03A02" w:rsidRPr="003A6273">
        <w:rPr>
          <w:lang w:val="en-GB"/>
        </w:rPr>
        <w:t xml:space="preserve"> reads</w:t>
      </w:r>
      <w:r w:rsidR="0042474A" w:rsidRPr="003A6273">
        <w:rPr>
          <w:lang w:val="en-GB"/>
        </w:rPr>
        <w:t xml:space="preserve"> </w:t>
      </w:r>
      <w:r w:rsidR="000A5201" w:rsidRPr="003A6273">
        <w:rPr>
          <w:lang w:val="en-GB"/>
        </w:rPr>
        <w:t>(</w:t>
      </w:r>
      <w:r w:rsidR="00E3308D">
        <w:rPr>
          <w:lang w:val="en-GB"/>
        </w:rPr>
        <w:t>R1+R2</w:t>
      </w:r>
      <w:r w:rsidR="00D03A02" w:rsidRPr="003A6273">
        <w:rPr>
          <w:lang w:val="en-GB"/>
        </w:rPr>
        <w:t>, 251-49</w:t>
      </w:r>
      <w:r w:rsidR="00BA6BDB">
        <w:rPr>
          <w:lang w:val="en-GB"/>
        </w:rPr>
        <w:t>2</w:t>
      </w:r>
      <w:r w:rsidR="00D03A02" w:rsidRPr="003A6273">
        <w:rPr>
          <w:lang w:val="en-GB"/>
        </w:rPr>
        <w:t xml:space="preserve"> b</w:t>
      </w:r>
      <w:r w:rsidR="00475200">
        <w:rPr>
          <w:lang w:val="en-GB"/>
        </w:rPr>
        <w:t>p</w:t>
      </w:r>
      <w:r w:rsidR="000A5201" w:rsidRPr="003A6273">
        <w:rPr>
          <w:lang w:val="en-GB"/>
        </w:rPr>
        <w:t>)</w:t>
      </w:r>
      <w:r w:rsidR="00123DF6" w:rsidRPr="003A6273">
        <w:rPr>
          <w:lang w:val="en-GB"/>
        </w:rPr>
        <w:t xml:space="preserve">, we </w:t>
      </w:r>
      <w:r w:rsidR="00D45B96">
        <w:rPr>
          <w:lang w:val="en-GB"/>
        </w:rPr>
        <w:t>detected and removed</w:t>
      </w:r>
      <w:r w:rsidR="00123DF6" w:rsidRPr="003A6273">
        <w:rPr>
          <w:lang w:val="en-GB"/>
        </w:rPr>
        <w:t xml:space="preserve"> </w:t>
      </w:r>
      <w:r w:rsidR="0042474A" w:rsidRPr="003A6273">
        <w:rPr>
          <w:lang w:val="en-GB"/>
        </w:rPr>
        <w:t>23 628 chimer</w:t>
      </w:r>
      <w:r w:rsidR="00CB5623">
        <w:rPr>
          <w:lang w:val="en-GB"/>
        </w:rPr>
        <w:t>ic reads</w:t>
      </w:r>
      <w:r w:rsidR="0042474A" w:rsidRPr="003A6273">
        <w:rPr>
          <w:lang w:val="en-GB"/>
        </w:rPr>
        <w:t xml:space="preserve">. </w:t>
      </w:r>
    </w:p>
    <w:p w:rsidR="002C278A" w:rsidRPr="003A6273" w:rsidRDefault="00F80F1A" w:rsidP="00446DE7">
      <w:pPr>
        <w:spacing w:line="360" w:lineRule="auto"/>
        <w:ind w:firstLine="709"/>
        <w:rPr>
          <w:rFonts w:cs="Times New Roman"/>
          <w:lang w:val="en-GB"/>
        </w:rPr>
      </w:pPr>
      <w:r w:rsidRPr="006E4E55">
        <w:rPr>
          <w:rStyle w:val="ResponseChar"/>
        </w:rPr>
        <w:t>Maarj</w:t>
      </w:r>
      <w:r w:rsidR="00533C02" w:rsidRPr="006E4E55">
        <w:rPr>
          <w:rStyle w:val="ResponseChar"/>
          <w:i/>
        </w:rPr>
        <w:t>AM</w:t>
      </w:r>
      <w:r w:rsidRPr="006E4E55">
        <w:rPr>
          <w:rStyle w:val="ResponseChar"/>
        </w:rPr>
        <w:t xml:space="preserve"> database</w:t>
      </w:r>
      <w:r w:rsidR="00F22862" w:rsidRPr="006E4E55">
        <w:rPr>
          <w:rStyle w:val="ResponseChar"/>
        </w:rPr>
        <w:t xml:space="preserve"> SSU </w:t>
      </w:r>
      <w:r w:rsidR="006F0562">
        <w:rPr>
          <w:rStyle w:val="ResponseChar"/>
        </w:rPr>
        <w:t xml:space="preserve">rRNA gene </w:t>
      </w:r>
      <w:r w:rsidR="00F22862" w:rsidRPr="006E4E55">
        <w:rPr>
          <w:rStyle w:val="ResponseChar"/>
        </w:rPr>
        <w:t>amplicon</w:t>
      </w:r>
      <w:r w:rsidRPr="006E4E55">
        <w:rPr>
          <w:rStyle w:val="ResponseChar"/>
        </w:rPr>
        <w:t xml:space="preserve"> sequences </w:t>
      </w:r>
      <w:r w:rsidR="00F22862" w:rsidRPr="006E4E55">
        <w:rPr>
          <w:rStyle w:val="ResponseChar"/>
        </w:rPr>
        <w:t>containing full</w:t>
      </w:r>
      <w:r w:rsidRPr="006E4E55">
        <w:rPr>
          <w:rStyle w:val="ResponseChar"/>
        </w:rPr>
        <w:t xml:space="preserve"> NS31 and AML2 primer</w:t>
      </w:r>
      <w:r w:rsidR="00F22862" w:rsidRPr="006E4E55">
        <w:rPr>
          <w:rStyle w:val="ResponseChar"/>
        </w:rPr>
        <w:t xml:space="preserve"> </w:t>
      </w:r>
      <w:r w:rsidRPr="006E4E55">
        <w:rPr>
          <w:rStyle w:val="ResponseChar"/>
        </w:rPr>
        <w:t xml:space="preserve">were </w:t>
      </w:r>
      <w:r w:rsidR="00ED0B00" w:rsidRPr="006E4E55">
        <w:rPr>
          <w:rStyle w:val="ResponseChar"/>
        </w:rPr>
        <w:t>aligned together in order to compare dissimilarities</w:t>
      </w:r>
      <w:r w:rsidRPr="006E4E55">
        <w:rPr>
          <w:rStyle w:val="ResponseChar"/>
        </w:rPr>
        <w:t xml:space="preserve">. </w:t>
      </w:r>
      <w:r w:rsidR="00092F47" w:rsidRPr="006E4E55">
        <w:rPr>
          <w:rStyle w:val="ResponseChar"/>
        </w:rPr>
        <w:t>N</w:t>
      </w:r>
      <w:r w:rsidRPr="006E4E55">
        <w:rPr>
          <w:rStyle w:val="ResponseChar"/>
        </w:rPr>
        <w:t>ucleotide dissimilarities varied considerably along the amplicon, w</w:t>
      </w:r>
      <w:r w:rsidR="00F22862" w:rsidRPr="006E4E55">
        <w:rPr>
          <w:rStyle w:val="ResponseChar"/>
        </w:rPr>
        <w:t xml:space="preserve">ith </w:t>
      </w:r>
      <w:r w:rsidRPr="006E4E55">
        <w:rPr>
          <w:rStyle w:val="ResponseChar"/>
        </w:rPr>
        <w:t>the section from nucleotide</w:t>
      </w:r>
      <w:r w:rsidR="00F22862" w:rsidRPr="006E4E55">
        <w:rPr>
          <w:rStyle w:val="ResponseChar"/>
        </w:rPr>
        <w:t xml:space="preserve"> positions</w:t>
      </w:r>
      <w:r w:rsidRPr="006E4E55">
        <w:rPr>
          <w:rStyle w:val="ResponseChar"/>
        </w:rPr>
        <w:t xml:space="preserve"> 70 to 170 exhibiting particularly high variation (Fig. 1d). </w:t>
      </w:r>
      <w:r w:rsidR="00D45B96">
        <w:rPr>
          <w:lang w:val="en-GB"/>
        </w:rPr>
        <w:t>Paired</w:t>
      </w:r>
      <w:r w:rsidR="00D45B96" w:rsidRPr="003A6273">
        <w:rPr>
          <w:lang w:val="en-GB"/>
        </w:rPr>
        <w:t xml:space="preserve"> </w:t>
      </w:r>
      <w:r w:rsidR="00BE340E" w:rsidRPr="003A6273">
        <w:rPr>
          <w:lang w:val="en-GB"/>
        </w:rPr>
        <w:t>reads were</w:t>
      </w:r>
      <w:r w:rsidR="00CB5623">
        <w:rPr>
          <w:lang w:val="en-GB"/>
        </w:rPr>
        <w:t xml:space="preserve"> quality</w:t>
      </w:r>
      <w:r w:rsidR="0042474A" w:rsidRPr="003A6273">
        <w:rPr>
          <w:lang w:val="en-GB"/>
        </w:rPr>
        <w:t xml:space="preserve"> </w:t>
      </w:r>
      <w:r w:rsidR="00B9062C" w:rsidRPr="003A6273">
        <w:rPr>
          <w:lang w:val="en-GB"/>
        </w:rPr>
        <w:t xml:space="preserve">filtered and trimmed </w:t>
      </w:r>
      <w:r w:rsidR="00D45B96">
        <w:rPr>
          <w:lang w:val="en-GB"/>
        </w:rPr>
        <w:t xml:space="preserve">to </w:t>
      </w:r>
      <w:r w:rsidR="00475200" w:rsidRPr="003A6273">
        <w:rPr>
          <w:lang w:val="en-GB"/>
        </w:rPr>
        <w:t xml:space="preserve">the 70 to 300 bp </w:t>
      </w:r>
      <w:r w:rsidR="00475200">
        <w:rPr>
          <w:lang w:val="en-GB"/>
        </w:rPr>
        <w:t xml:space="preserve">portion of the </w:t>
      </w:r>
      <w:r w:rsidR="00475200" w:rsidRPr="003A6273">
        <w:rPr>
          <w:lang w:val="en-GB"/>
        </w:rPr>
        <w:t>amplicon</w:t>
      </w:r>
      <w:r w:rsidR="00367767">
        <w:rPr>
          <w:lang w:val="en-GB"/>
        </w:rPr>
        <w:t xml:space="preserve"> (F</w:t>
      </w:r>
      <w:r w:rsidR="0036014B">
        <w:rPr>
          <w:lang w:val="en-GB"/>
        </w:rPr>
        <w:t>i</w:t>
      </w:r>
      <w:r w:rsidR="00367767">
        <w:rPr>
          <w:lang w:val="en-GB"/>
        </w:rPr>
        <w:t>g. 1</w:t>
      </w:r>
      <w:r w:rsidR="00DA3193">
        <w:rPr>
          <w:lang w:val="en-GB"/>
        </w:rPr>
        <w:t>c</w:t>
      </w:r>
      <w:r w:rsidR="00367767">
        <w:rPr>
          <w:lang w:val="en-GB"/>
        </w:rPr>
        <w:t>)</w:t>
      </w:r>
      <w:r w:rsidR="00475200">
        <w:rPr>
          <w:lang w:val="en-GB"/>
        </w:rPr>
        <w:t>,</w:t>
      </w:r>
      <w:r w:rsidR="00475200" w:rsidRPr="003A6273">
        <w:rPr>
          <w:lang w:val="en-GB"/>
        </w:rPr>
        <w:t xml:space="preserve"> </w:t>
      </w:r>
      <w:r w:rsidR="00D45B96">
        <w:rPr>
          <w:lang w:val="en-GB"/>
        </w:rPr>
        <w:t>retain</w:t>
      </w:r>
      <w:r w:rsidR="00475200">
        <w:rPr>
          <w:lang w:val="en-GB"/>
        </w:rPr>
        <w:t>ing</w:t>
      </w:r>
      <w:r w:rsidR="00D45B96">
        <w:rPr>
          <w:lang w:val="en-GB"/>
        </w:rPr>
        <w:t xml:space="preserve"> </w:t>
      </w:r>
      <w:r w:rsidR="00D45B96" w:rsidRPr="003A6273">
        <w:rPr>
          <w:lang w:val="en-GB"/>
        </w:rPr>
        <w:t xml:space="preserve">159 068 </w:t>
      </w:r>
      <w:r w:rsidR="00D45B96">
        <w:rPr>
          <w:lang w:val="en-GB"/>
        </w:rPr>
        <w:t>sequences</w:t>
      </w:r>
      <w:r w:rsidR="00982411">
        <w:rPr>
          <w:lang w:val="en-GB"/>
        </w:rPr>
        <w:t xml:space="preserve"> (</w:t>
      </w:r>
      <w:r w:rsidR="00CB5623">
        <w:rPr>
          <w:lang w:val="en-GB"/>
        </w:rPr>
        <w:t>Ill</w:t>
      </w:r>
      <w:r w:rsidR="004F6F6F">
        <w:rPr>
          <w:lang w:val="en-GB"/>
        </w:rPr>
        <w:t>-t</w:t>
      </w:r>
      <w:r w:rsidR="00982411">
        <w:rPr>
          <w:lang w:val="en-GB"/>
        </w:rPr>
        <w:t>)</w:t>
      </w:r>
      <w:r w:rsidR="00D45B96">
        <w:rPr>
          <w:lang w:val="en-GB"/>
        </w:rPr>
        <w:t xml:space="preserve"> that </w:t>
      </w:r>
      <w:r w:rsidR="00B9062C" w:rsidRPr="003A6273">
        <w:rPr>
          <w:lang w:val="en-GB"/>
        </w:rPr>
        <w:t>fully</w:t>
      </w:r>
      <w:r w:rsidR="00D45B96">
        <w:rPr>
          <w:lang w:val="en-GB"/>
        </w:rPr>
        <w:t xml:space="preserve"> span</w:t>
      </w:r>
      <w:r w:rsidR="0042474A" w:rsidRPr="003A6273">
        <w:rPr>
          <w:lang w:val="en-GB"/>
        </w:rPr>
        <w:t xml:space="preserve"> variable region </w:t>
      </w:r>
      <w:r w:rsidR="00CB5623">
        <w:rPr>
          <w:lang w:val="en-GB"/>
        </w:rPr>
        <w:t xml:space="preserve">of the targeted marker </w:t>
      </w:r>
      <w:r w:rsidR="0042474A" w:rsidRPr="003A6273">
        <w:rPr>
          <w:lang w:val="en-GB"/>
        </w:rPr>
        <w:t>(</w:t>
      </w:r>
      <w:r w:rsidR="00C17608" w:rsidRPr="003A6273">
        <w:rPr>
          <w:lang w:val="en-GB"/>
        </w:rPr>
        <w:t>Fig.</w:t>
      </w:r>
      <w:r w:rsidR="0042474A" w:rsidRPr="003A6273">
        <w:rPr>
          <w:lang w:val="en-GB"/>
        </w:rPr>
        <w:t xml:space="preserve"> 1</w:t>
      </w:r>
      <w:r w:rsidR="001F6A8A">
        <w:rPr>
          <w:lang w:val="en-GB"/>
        </w:rPr>
        <w:t>d</w:t>
      </w:r>
      <w:r w:rsidR="0042474A" w:rsidRPr="003A6273">
        <w:rPr>
          <w:lang w:val="en-GB"/>
        </w:rPr>
        <w:t>)</w:t>
      </w:r>
      <w:r w:rsidR="000068C1" w:rsidRPr="003A6273">
        <w:rPr>
          <w:lang w:val="en-GB"/>
        </w:rPr>
        <w:t>.</w:t>
      </w:r>
      <w:r w:rsidR="0042474A" w:rsidRPr="003A6273">
        <w:rPr>
          <w:lang w:val="en-GB"/>
        </w:rPr>
        <w:t xml:space="preserve"> </w:t>
      </w:r>
      <w:r w:rsidR="00D45B96">
        <w:rPr>
          <w:lang w:val="en-GB"/>
        </w:rPr>
        <w:t xml:space="preserve">The </w:t>
      </w:r>
      <w:r w:rsidR="00D45B96">
        <w:rPr>
          <w:rFonts w:cs="Times New Roman"/>
          <w:lang w:val="en-GB"/>
        </w:rPr>
        <w:t>l</w:t>
      </w:r>
      <w:r w:rsidR="00D45B96" w:rsidRPr="003A6273">
        <w:rPr>
          <w:rFonts w:cs="Times New Roman"/>
          <w:lang w:val="en-GB"/>
        </w:rPr>
        <w:t xml:space="preserve">ength </w:t>
      </w:r>
      <w:r w:rsidR="00BC0DAB" w:rsidRPr="003A6273">
        <w:rPr>
          <w:rFonts w:cs="Times New Roman"/>
          <w:lang w:val="en-GB"/>
        </w:rPr>
        <w:t xml:space="preserve">distribution of Illumina </w:t>
      </w:r>
      <w:r w:rsidR="00E6760A" w:rsidRPr="003A6273">
        <w:rPr>
          <w:rFonts w:cs="Times New Roman"/>
          <w:lang w:val="en-GB"/>
        </w:rPr>
        <w:t xml:space="preserve">reads </w:t>
      </w:r>
      <w:r w:rsidR="00475200">
        <w:rPr>
          <w:rFonts w:cs="Times New Roman"/>
          <w:lang w:val="en-GB"/>
        </w:rPr>
        <w:t xml:space="preserve">is </w:t>
      </w:r>
      <w:r w:rsidR="00FB56A6">
        <w:rPr>
          <w:rFonts w:cs="Times New Roman"/>
          <w:lang w:val="en-GB"/>
        </w:rPr>
        <w:t>shown i</w:t>
      </w:r>
      <w:r w:rsidR="00BC0DAB" w:rsidRPr="003A6273">
        <w:rPr>
          <w:rFonts w:cs="Times New Roman"/>
          <w:lang w:val="en-GB"/>
        </w:rPr>
        <w:t xml:space="preserve">n </w:t>
      </w:r>
      <w:r w:rsidR="00E6760A" w:rsidRPr="003A6273">
        <w:rPr>
          <w:rFonts w:cs="Times New Roman"/>
          <w:lang w:val="en-GB"/>
        </w:rPr>
        <w:t>Fig.</w:t>
      </w:r>
      <w:r w:rsidR="007D3D8F">
        <w:rPr>
          <w:rFonts w:cs="Times New Roman"/>
          <w:lang w:val="en-GB"/>
        </w:rPr>
        <w:t xml:space="preserve"> S2</w:t>
      </w:r>
      <w:r w:rsidR="00BC0DAB" w:rsidRPr="003A6273">
        <w:rPr>
          <w:rFonts w:cs="Times New Roman"/>
          <w:lang w:val="en-GB"/>
        </w:rPr>
        <w:t>.</w:t>
      </w:r>
    </w:p>
    <w:p w:rsidR="00446FBE" w:rsidRPr="003A6273" w:rsidRDefault="00FB56A6" w:rsidP="00297A98">
      <w:pPr>
        <w:spacing w:line="360" w:lineRule="auto"/>
        <w:ind w:firstLine="709"/>
        <w:rPr>
          <w:lang w:val="en-GB"/>
        </w:rPr>
      </w:pPr>
      <w:r>
        <w:rPr>
          <w:lang w:val="en-GB"/>
        </w:rPr>
        <w:t>BLAST against the Maarj</w:t>
      </w:r>
      <w:r w:rsidRPr="00FB56A6">
        <w:rPr>
          <w:i/>
          <w:lang w:val="en-GB"/>
        </w:rPr>
        <w:t>AM</w:t>
      </w:r>
      <w:r>
        <w:rPr>
          <w:lang w:val="en-GB"/>
        </w:rPr>
        <w:t xml:space="preserve"> database identified </w:t>
      </w:r>
      <w:r w:rsidR="001537BF" w:rsidRPr="003A6273">
        <w:rPr>
          <w:lang w:val="en-GB"/>
        </w:rPr>
        <w:t xml:space="preserve">862 457 </w:t>
      </w:r>
      <w:r w:rsidR="008B56CF">
        <w:rPr>
          <w:lang w:val="en-GB"/>
        </w:rPr>
        <w:t>Ill</w:t>
      </w:r>
      <w:r w:rsidR="004F6F6F">
        <w:rPr>
          <w:lang w:val="en-GB"/>
        </w:rPr>
        <w:t>-qf</w:t>
      </w:r>
      <w:r w:rsidR="001537BF" w:rsidRPr="003A6273">
        <w:rPr>
          <w:lang w:val="en-GB"/>
        </w:rPr>
        <w:t xml:space="preserve"> reads</w:t>
      </w:r>
      <w:r>
        <w:rPr>
          <w:lang w:val="en-GB"/>
        </w:rPr>
        <w:t xml:space="preserve"> (92.0%) as belonging to </w:t>
      </w:r>
      <w:r w:rsidR="001537BF" w:rsidRPr="003A6273">
        <w:rPr>
          <w:lang w:val="en-GB"/>
        </w:rPr>
        <w:t>216 VT</w:t>
      </w:r>
      <w:r w:rsidR="001537BF">
        <w:rPr>
          <w:lang w:val="en-GB"/>
        </w:rPr>
        <w:t xml:space="preserve"> (Fig. 1</w:t>
      </w:r>
      <w:r w:rsidR="006903EA">
        <w:rPr>
          <w:lang w:val="en-GB"/>
        </w:rPr>
        <w:t>a</w:t>
      </w:r>
      <w:r w:rsidR="001537BF">
        <w:rPr>
          <w:lang w:val="en-GB"/>
        </w:rPr>
        <w:t xml:space="preserve">) and 152 375 </w:t>
      </w:r>
      <w:r w:rsidR="008B56CF">
        <w:rPr>
          <w:lang w:val="en-GB"/>
        </w:rPr>
        <w:t>Ill</w:t>
      </w:r>
      <w:r w:rsidR="004F6F6F">
        <w:rPr>
          <w:lang w:val="en-GB"/>
        </w:rPr>
        <w:t>-t</w:t>
      </w:r>
      <w:r w:rsidR="001537BF">
        <w:rPr>
          <w:lang w:val="en-GB"/>
        </w:rPr>
        <w:t xml:space="preserve"> reads</w:t>
      </w:r>
      <w:r>
        <w:rPr>
          <w:lang w:val="en-GB"/>
        </w:rPr>
        <w:t xml:space="preserve"> (95.8%)</w:t>
      </w:r>
      <w:r w:rsidR="001537BF">
        <w:rPr>
          <w:lang w:val="en-GB"/>
        </w:rPr>
        <w:t xml:space="preserve"> as 28 VT </w:t>
      </w:r>
      <w:r w:rsidR="001537BF" w:rsidRPr="003A6273">
        <w:rPr>
          <w:lang w:val="en-GB"/>
        </w:rPr>
        <w:t>(</w:t>
      </w:r>
      <w:r w:rsidR="001537BF">
        <w:rPr>
          <w:lang w:val="en-GB"/>
        </w:rPr>
        <w:t>Fig. 1</w:t>
      </w:r>
      <w:r w:rsidR="006903EA">
        <w:rPr>
          <w:lang w:val="en-GB"/>
        </w:rPr>
        <w:t>b</w:t>
      </w:r>
      <w:r w:rsidR="001537BF">
        <w:rPr>
          <w:lang w:val="en-GB"/>
        </w:rPr>
        <w:t xml:space="preserve">, </w:t>
      </w:r>
      <w:r w:rsidR="001B7F77">
        <w:rPr>
          <w:lang w:val="en-GB"/>
        </w:rPr>
        <w:t xml:space="preserve">Table </w:t>
      </w:r>
      <w:r w:rsidR="001537BF" w:rsidRPr="003A6273">
        <w:rPr>
          <w:lang w:val="en-GB"/>
        </w:rPr>
        <w:t>1</w:t>
      </w:r>
      <w:r w:rsidR="001B7F77">
        <w:rPr>
          <w:lang w:val="en-GB"/>
        </w:rPr>
        <w:t>, S2</w:t>
      </w:r>
      <w:r w:rsidR="001537BF" w:rsidRPr="003A6273">
        <w:rPr>
          <w:lang w:val="en-GB"/>
        </w:rPr>
        <w:t>).</w:t>
      </w:r>
      <w:r w:rsidR="001537BF">
        <w:rPr>
          <w:lang w:val="en-GB"/>
        </w:rPr>
        <w:t xml:space="preserve"> </w:t>
      </w:r>
      <w:r w:rsidR="002C278A" w:rsidRPr="003A6273">
        <w:rPr>
          <w:lang w:val="en-GB"/>
        </w:rPr>
        <w:t xml:space="preserve">Mapping </w:t>
      </w:r>
      <w:r w:rsidR="00570C9B">
        <w:rPr>
          <w:lang w:val="en-GB"/>
        </w:rPr>
        <w:t>Ill</w:t>
      </w:r>
      <w:r w:rsidR="004F6F6F">
        <w:rPr>
          <w:lang w:val="en-GB"/>
        </w:rPr>
        <w:t>-qf</w:t>
      </w:r>
      <w:r w:rsidR="001537BF">
        <w:rPr>
          <w:lang w:val="en-GB"/>
        </w:rPr>
        <w:t xml:space="preserve"> </w:t>
      </w:r>
      <w:r w:rsidR="002C278A" w:rsidRPr="003A6273">
        <w:rPr>
          <w:lang w:val="en-GB"/>
        </w:rPr>
        <w:t>reads on</w:t>
      </w:r>
      <w:r w:rsidR="00DA508F" w:rsidRPr="003A6273">
        <w:rPr>
          <w:lang w:val="en-GB"/>
        </w:rPr>
        <w:t>to</w:t>
      </w:r>
      <w:r w:rsidR="002C278A" w:rsidRPr="003A6273">
        <w:rPr>
          <w:lang w:val="en-GB"/>
        </w:rPr>
        <w:t xml:space="preserve"> the NS31-AML2 amplicon </w:t>
      </w:r>
      <w:r w:rsidR="0025039E" w:rsidRPr="003A6273">
        <w:rPr>
          <w:lang w:val="en-GB"/>
        </w:rPr>
        <w:t xml:space="preserve">showed </w:t>
      </w:r>
      <w:r w:rsidR="002C278A" w:rsidRPr="003A6273">
        <w:rPr>
          <w:lang w:val="en-GB"/>
        </w:rPr>
        <w:t>that</w:t>
      </w:r>
      <w:r w:rsidR="000F6B58">
        <w:rPr>
          <w:lang w:val="en-GB"/>
        </w:rPr>
        <w:t xml:space="preserve"> reads of </w:t>
      </w:r>
      <w:r w:rsidR="002C278A" w:rsidRPr="003A6273">
        <w:rPr>
          <w:lang w:val="en-GB"/>
        </w:rPr>
        <w:t xml:space="preserve">the </w:t>
      </w:r>
      <w:r w:rsidR="004B5590" w:rsidRPr="003A6273">
        <w:rPr>
          <w:lang w:val="en-GB"/>
        </w:rPr>
        <w:t>168</w:t>
      </w:r>
      <w:r w:rsidR="00A1269A" w:rsidRPr="003A6273">
        <w:rPr>
          <w:lang w:val="en-GB"/>
        </w:rPr>
        <w:t xml:space="preserve"> </w:t>
      </w:r>
      <w:r w:rsidR="002C278A" w:rsidRPr="003A6273">
        <w:rPr>
          <w:lang w:val="en-GB"/>
        </w:rPr>
        <w:t xml:space="preserve">VTs detected only </w:t>
      </w:r>
      <w:r w:rsidR="000F6B58">
        <w:rPr>
          <w:lang w:val="en-GB"/>
        </w:rPr>
        <w:t>among</w:t>
      </w:r>
      <w:r w:rsidR="002C278A" w:rsidRPr="003A6273">
        <w:rPr>
          <w:lang w:val="en-GB"/>
        </w:rPr>
        <w:t xml:space="preserve"> the </w:t>
      </w:r>
      <w:r w:rsidR="008B56CF">
        <w:rPr>
          <w:lang w:val="en-GB"/>
        </w:rPr>
        <w:t>Ill</w:t>
      </w:r>
      <w:r w:rsidR="004F6F6F">
        <w:rPr>
          <w:lang w:val="en-GB"/>
        </w:rPr>
        <w:t>-qf</w:t>
      </w:r>
      <w:r w:rsidR="00BB7887">
        <w:rPr>
          <w:lang w:val="en-GB"/>
        </w:rPr>
        <w:t xml:space="preserve"> reads, but not in the 454-qf reads,</w:t>
      </w:r>
      <w:r w:rsidR="002C278A" w:rsidRPr="003A6273">
        <w:rPr>
          <w:lang w:val="en-GB"/>
        </w:rPr>
        <w:t xml:space="preserve"> </w:t>
      </w:r>
      <w:r w:rsidR="000F6B58">
        <w:rPr>
          <w:lang w:val="en-GB"/>
        </w:rPr>
        <w:t>were</w:t>
      </w:r>
      <w:r w:rsidR="002C278A" w:rsidRPr="003A6273">
        <w:rPr>
          <w:lang w:val="en-GB"/>
        </w:rPr>
        <w:t xml:space="preserve"> position</w:t>
      </w:r>
      <w:r w:rsidR="00B9062C" w:rsidRPr="003A6273">
        <w:rPr>
          <w:lang w:val="en-GB"/>
        </w:rPr>
        <w:t xml:space="preserve">ed </w:t>
      </w:r>
      <w:r w:rsidR="00BB7887">
        <w:rPr>
          <w:lang w:val="en-GB"/>
        </w:rPr>
        <w:t>in the</w:t>
      </w:r>
      <w:r w:rsidR="002C278A" w:rsidRPr="003A6273">
        <w:rPr>
          <w:lang w:val="en-GB"/>
        </w:rPr>
        <w:t xml:space="preserve"> </w:t>
      </w:r>
      <w:r w:rsidR="000B2744">
        <w:rPr>
          <w:lang w:val="en-GB"/>
        </w:rPr>
        <w:t>2</w:t>
      </w:r>
      <w:r w:rsidR="00A1269A" w:rsidRPr="003A6273">
        <w:rPr>
          <w:lang w:val="en-GB"/>
        </w:rPr>
        <w:t xml:space="preserve">00 </w:t>
      </w:r>
      <w:r w:rsidR="002C278A" w:rsidRPr="003A6273">
        <w:rPr>
          <w:lang w:val="en-GB"/>
        </w:rPr>
        <w:t xml:space="preserve">to </w:t>
      </w:r>
      <w:r w:rsidR="00A1269A" w:rsidRPr="003A6273">
        <w:rPr>
          <w:lang w:val="en-GB"/>
        </w:rPr>
        <w:t xml:space="preserve">520 </w:t>
      </w:r>
      <w:r w:rsidR="000F6B58">
        <w:rPr>
          <w:lang w:val="en-GB"/>
        </w:rPr>
        <w:t xml:space="preserve">bp part </w:t>
      </w:r>
      <w:r w:rsidR="002C278A" w:rsidRPr="003A6273">
        <w:rPr>
          <w:lang w:val="en-GB"/>
        </w:rPr>
        <w:t xml:space="preserve">of the amplicon </w:t>
      </w:r>
      <w:r w:rsidR="000068C1" w:rsidRPr="003A6273">
        <w:rPr>
          <w:lang w:val="en-GB"/>
        </w:rPr>
        <w:t>(</w:t>
      </w:r>
      <w:r w:rsidR="00C17608" w:rsidRPr="003A6273">
        <w:rPr>
          <w:lang w:val="en-GB"/>
        </w:rPr>
        <w:t>Fig.</w:t>
      </w:r>
      <w:r w:rsidR="000068C1" w:rsidRPr="003A6273">
        <w:rPr>
          <w:lang w:val="en-GB"/>
        </w:rPr>
        <w:t xml:space="preserve"> </w:t>
      </w:r>
      <w:r w:rsidR="009C3AB9" w:rsidRPr="003A6273">
        <w:rPr>
          <w:lang w:val="en-GB"/>
        </w:rPr>
        <w:t>S</w:t>
      </w:r>
      <w:r w:rsidR="0034776D">
        <w:rPr>
          <w:lang w:val="en-GB"/>
        </w:rPr>
        <w:t>7</w:t>
      </w:r>
      <w:r w:rsidR="002C278A" w:rsidRPr="003A6273">
        <w:rPr>
          <w:lang w:val="en-GB"/>
        </w:rPr>
        <w:t xml:space="preserve">). </w:t>
      </w:r>
      <w:r w:rsidR="001537BF">
        <w:rPr>
          <w:lang w:val="en-GB"/>
        </w:rPr>
        <w:t xml:space="preserve">Alternative identification </w:t>
      </w:r>
      <w:r w:rsidR="00FA1E76">
        <w:rPr>
          <w:lang w:val="en-GB"/>
        </w:rPr>
        <w:t>of these reads (</w:t>
      </w:r>
      <w:r w:rsidR="00FA1E76" w:rsidRPr="003A6273">
        <w:rPr>
          <w:lang w:val="en-GB"/>
        </w:rPr>
        <w:t>141 634 reads</w:t>
      </w:r>
      <w:r w:rsidR="00FA1E76">
        <w:rPr>
          <w:lang w:val="en-GB"/>
        </w:rPr>
        <w:t>,</w:t>
      </w:r>
      <w:r w:rsidR="00FA1E76" w:rsidRPr="003A6273">
        <w:rPr>
          <w:lang w:val="en-GB"/>
        </w:rPr>
        <w:t xml:space="preserve"> 168 VT</w:t>
      </w:r>
      <w:r w:rsidR="00FA1E76">
        <w:rPr>
          <w:lang w:val="en-GB"/>
        </w:rPr>
        <w:t>)</w:t>
      </w:r>
      <w:r w:rsidR="00604D8D">
        <w:rPr>
          <w:lang w:val="en-GB"/>
        </w:rPr>
        <w:t xml:space="preserve"> </w:t>
      </w:r>
      <w:r w:rsidR="001537BF">
        <w:rPr>
          <w:lang w:val="en-GB"/>
        </w:rPr>
        <w:t>by clustering</w:t>
      </w:r>
      <w:r w:rsidR="001537BF" w:rsidRPr="001537BF">
        <w:rPr>
          <w:lang w:val="en-GB"/>
        </w:rPr>
        <w:t xml:space="preserve"> </w:t>
      </w:r>
      <w:r w:rsidR="001537BF">
        <w:rPr>
          <w:lang w:val="en-GB"/>
        </w:rPr>
        <w:t>using blastclust with 97% identity</w:t>
      </w:r>
      <w:r w:rsidR="001537BF" w:rsidRPr="003A6273">
        <w:rPr>
          <w:lang w:val="en-GB"/>
        </w:rPr>
        <w:t xml:space="preserve"> </w:t>
      </w:r>
      <w:r w:rsidR="00FA1E76">
        <w:rPr>
          <w:lang w:val="en-GB"/>
        </w:rPr>
        <w:t>resulted in</w:t>
      </w:r>
      <w:r w:rsidR="000E7634" w:rsidRPr="003A6273">
        <w:rPr>
          <w:lang w:val="en-GB"/>
        </w:rPr>
        <w:t xml:space="preserve"> 29 clusters</w:t>
      </w:r>
      <w:r w:rsidR="00FA1E76">
        <w:rPr>
          <w:lang w:val="en-GB"/>
        </w:rPr>
        <w:t>, where</w:t>
      </w:r>
      <w:r w:rsidR="001537BF">
        <w:rPr>
          <w:lang w:val="en-GB"/>
        </w:rPr>
        <w:t xml:space="preserve"> </w:t>
      </w:r>
      <w:r w:rsidR="00FA1E76">
        <w:rPr>
          <w:lang w:val="en-GB"/>
        </w:rPr>
        <w:t>t</w:t>
      </w:r>
      <w:r w:rsidR="0025039E" w:rsidRPr="003A6273">
        <w:rPr>
          <w:lang w:val="en-GB"/>
        </w:rPr>
        <w:t>he largest</w:t>
      </w:r>
      <w:r w:rsidR="000E7634" w:rsidRPr="003A6273">
        <w:rPr>
          <w:lang w:val="en-GB"/>
        </w:rPr>
        <w:t xml:space="preserve"> cluster </w:t>
      </w:r>
      <w:r w:rsidR="0025039E" w:rsidRPr="003A6273">
        <w:rPr>
          <w:lang w:val="en-GB"/>
        </w:rPr>
        <w:t xml:space="preserve">contained </w:t>
      </w:r>
      <w:r w:rsidR="000E7634" w:rsidRPr="003A6273">
        <w:rPr>
          <w:lang w:val="en-GB"/>
        </w:rPr>
        <w:t xml:space="preserve">139 667 </w:t>
      </w:r>
      <w:r w:rsidR="0025039E" w:rsidRPr="003A6273">
        <w:rPr>
          <w:lang w:val="en-GB"/>
        </w:rPr>
        <w:t xml:space="preserve">reads </w:t>
      </w:r>
      <w:r w:rsidR="00E840BD">
        <w:rPr>
          <w:lang w:val="en-GB"/>
        </w:rPr>
        <w:t>(96.6</w:t>
      </w:r>
      <w:r w:rsidR="000E7634" w:rsidRPr="003A6273">
        <w:rPr>
          <w:lang w:val="en-GB"/>
        </w:rPr>
        <w:t xml:space="preserve">% of the </w:t>
      </w:r>
      <w:r w:rsidR="0025039E" w:rsidRPr="003A6273">
        <w:rPr>
          <w:lang w:val="en-GB"/>
        </w:rPr>
        <w:t>reads</w:t>
      </w:r>
      <w:r w:rsidR="000E7634" w:rsidRPr="003A6273">
        <w:rPr>
          <w:lang w:val="en-GB"/>
        </w:rPr>
        <w:t>)</w:t>
      </w:r>
      <w:r w:rsidR="00557D87">
        <w:rPr>
          <w:lang w:val="en-GB"/>
        </w:rPr>
        <w:t xml:space="preserve">. This </w:t>
      </w:r>
      <w:r w:rsidR="00FE20D4">
        <w:rPr>
          <w:lang w:val="en-GB"/>
        </w:rPr>
        <w:t xml:space="preserve">indicates </w:t>
      </w:r>
      <w:r w:rsidR="00557D87">
        <w:rPr>
          <w:lang w:val="en-GB"/>
        </w:rPr>
        <w:t xml:space="preserve">that </w:t>
      </w:r>
      <w:r w:rsidR="0025039E" w:rsidRPr="003A6273">
        <w:rPr>
          <w:lang w:val="en-GB"/>
        </w:rPr>
        <w:t>BLAST</w:t>
      </w:r>
      <w:r w:rsidR="00557D87">
        <w:rPr>
          <w:lang w:val="en-GB"/>
        </w:rPr>
        <w:t xml:space="preserve">-based identity assignments of similar </w:t>
      </w:r>
      <w:r w:rsidR="0025039E" w:rsidRPr="003A6273">
        <w:rPr>
          <w:lang w:val="en-GB"/>
        </w:rPr>
        <w:t xml:space="preserve">score alignment matches </w:t>
      </w:r>
      <w:r w:rsidR="001537BF">
        <w:rPr>
          <w:lang w:val="en-GB"/>
        </w:rPr>
        <w:t>with</w:t>
      </w:r>
      <w:r w:rsidR="0025039E" w:rsidRPr="003A6273">
        <w:rPr>
          <w:lang w:val="en-GB"/>
        </w:rPr>
        <w:t>in the invariable region (</w:t>
      </w:r>
      <w:r w:rsidR="000B2744">
        <w:rPr>
          <w:lang w:val="en-GB"/>
        </w:rPr>
        <w:t>2</w:t>
      </w:r>
      <w:r w:rsidR="0025039E" w:rsidRPr="003A6273">
        <w:rPr>
          <w:lang w:val="en-GB"/>
        </w:rPr>
        <w:t xml:space="preserve">00-520 nt) </w:t>
      </w:r>
      <w:r w:rsidR="001537BF">
        <w:rPr>
          <w:lang w:val="en-GB"/>
        </w:rPr>
        <w:t xml:space="preserve">were </w:t>
      </w:r>
      <w:r w:rsidR="0025039E" w:rsidRPr="003A6273">
        <w:rPr>
          <w:lang w:val="en-GB"/>
        </w:rPr>
        <w:t>largely random.</w:t>
      </w:r>
      <w:r w:rsidR="00285F06">
        <w:rPr>
          <w:lang w:val="en-GB"/>
        </w:rPr>
        <w:t xml:space="preserve"> </w:t>
      </w:r>
      <w:r w:rsidR="00285F06" w:rsidRPr="00285F06">
        <w:rPr>
          <w:rStyle w:val="ResponseChar"/>
        </w:rPr>
        <w:t xml:space="preserve">Illumina amplicon reads </w:t>
      </w:r>
      <w:r w:rsidR="00285F06">
        <w:rPr>
          <w:rStyle w:val="ResponseChar"/>
        </w:rPr>
        <w:t xml:space="preserve">were also paired </w:t>
      </w:r>
      <w:r w:rsidR="00285F06" w:rsidRPr="00285F06">
        <w:rPr>
          <w:rStyle w:val="ResponseChar"/>
        </w:rPr>
        <w:t>with Pear and PANDAseq using same filtering parameters as Ill-t reads, but achieved the same VT</w:t>
      </w:r>
      <w:r w:rsidR="007832E0">
        <w:rPr>
          <w:rStyle w:val="ResponseChar"/>
        </w:rPr>
        <w:t xml:space="preserve"> (28)</w:t>
      </w:r>
      <w:r w:rsidR="00285F06" w:rsidRPr="00285F06">
        <w:rPr>
          <w:rStyle w:val="ResponseChar"/>
        </w:rPr>
        <w:t xml:space="preserve"> count compared to FLASh with slight changes in sequences identified (FLASh 152 375 sequences, Pear 159 289 sequences, PANDAseq 156 910 sequences). </w:t>
      </w:r>
      <w:r w:rsidR="0025039E" w:rsidRPr="00285F06">
        <w:rPr>
          <w:rStyle w:val="ResponseChar"/>
        </w:rPr>
        <w:t xml:space="preserve"> </w:t>
      </w:r>
    </w:p>
    <w:p w:rsidR="005C1654" w:rsidRDefault="00C42B0C" w:rsidP="00297A98">
      <w:pPr>
        <w:spacing w:line="360" w:lineRule="auto"/>
        <w:ind w:firstLine="709"/>
        <w:rPr>
          <w:lang w:val="en-GB"/>
        </w:rPr>
      </w:pPr>
      <w:r>
        <w:rPr>
          <w:lang w:val="en-GB"/>
        </w:rPr>
        <w:t>Among</w:t>
      </w:r>
      <w:r w:rsidR="00446FBE" w:rsidRPr="003A6273">
        <w:rPr>
          <w:lang w:val="en-GB"/>
        </w:rPr>
        <w:t xml:space="preserve"> </w:t>
      </w:r>
      <w:r w:rsidR="001B67F7">
        <w:rPr>
          <w:lang w:val="en-GB"/>
        </w:rPr>
        <w:t>Ill</w:t>
      </w:r>
      <w:r w:rsidR="004F6F6F">
        <w:rPr>
          <w:lang w:val="en-GB"/>
        </w:rPr>
        <w:t>-t</w:t>
      </w:r>
      <w:r w:rsidR="001B67F7" w:rsidRPr="003A6273">
        <w:rPr>
          <w:lang w:val="en-GB"/>
        </w:rPr>
        <w:t xml:space="preserve"> </w:t>
      </w:r>
      <w:r w:rsidR="00446FBE" w:rsidRPr="003A6273">
        <w:rPr>
          <w:lang w:val="en-GB"/>
        </w:rPr>
        <w:t>reads</w:t>
      </w:r>
      <w:r>
        <w:rPr>
          <w:lang w:val="en-GB"/>
        </w:rPr>
        <w:t>,</w:t>
      </w:r>
      <w:r w:rsidR="00446FBE" w:rsidRPr="003A6273">
        <w:rPr>
          <w:lang w:val="en-GB"/>
        </w:rPr>
        <w:t xml:space="preserve"> all sequences</w:t>
      </w:r>
      <w:r w:rsidR="008106EF">
        <w:rPr>
          <w:lang w:val="en-GB"/>
        </w:rPr>
        <w:t xml:space="preserve"> (30 726 nohits)</w:t>
      </w:r>
      <w:r w:rsidR="00446FBE" w:rsidRPr="003A6273">
        <w:rPr>
          <w:lang w:val="en-GB"/>
        </w:rPr>
        <w:t xml:space="preserve"> </w:t>
      </w:r>
      <w:r w:rsidR="00770170">
        <w:rPr>
          <w:lang w:val="en-GB"/>
        </w:rPr>
        <w:t>that did not receive a match</w:t>
      </w:r>
      <w:r w:rsidR="00446FBE" w:rsidRPr="003A6273">
        <w:rPr>
          <w:lang w:val="en-GB"/>
        </w:rPr>
        <w:t xml:space="preserve"> </w:t>
      </w:r>
      <w:r w:rsidR="00B80701">
        <w:rPr>
          <w:lang w:val="en-GB"/>
        </w:rPr>
        <w:t xml:space="preserve">against </w:t>
      </w:r>
      <w:r w:rsidR="00BB7887">
        <w:rPr>
          <w:lang w:val="en-GB"/>
        </w:rPr>
        <w:t xml:space="preserve">the </w:t>
      </w:r>
      <w:r w:rsidR="00B80701">
        <w:rPr>
          <w:lang w:val="en-GB"/>
        </w:rPr>
        <w:t>Maarj</w:t>
      </w:r>
      <w:r w:rsidR="00B80701" w:rsidRPr="00B80701">
        <w:rPr>
          <w:i/>
          <w:lang w:val="en-GB"/>
        </w:rPr>
        <w:t>AM</w:t>
      </w:r>
      <w:r w:rsidR="00B80701">
        <w:rPr>
          <w:lang w:val="en-GB"/>
        </w:rPr>
        <w:t xml:space="preserve"> </w:t>
      </w:r>
      <w:r>
        <w:rPr>
          <w:lang w:val="en-GB"/>
        </w:rPr>
        <w:t xml:space="preserve">database </w:t>
      </w:r>
      <w:r w:rsidR="00446FBE" w:rsidRPr="003A6273">
        <w:rPr>
          <w:lang w:val="en-GB"/>
        </w:rPr>
        <w:t xml:space="preserve">were </w:t>
      </w:r>
      <w:r>
        <w:rPr>
          <w:lang w:val="en-GB"/>
        </w:rPr>
        <w:t>identified by</w:t>
      </w:r>
      <w:r w:rsidR="00446FBE" w:rsidRPr="003A6273">
        <w:rPr>
          <w:lang w:val="en-GB"/>
        </w:rPr>
        <w:t xml:space="preserve"> BLAST against</w:t>
      </w:r>
      <w:r w:rsidR="00770170">
        <w:rPr>
          <w:lang w:val="en-GB"/>
        </w:rPr>
        <w:t xml:space="preserve"> the</w:t>
      </w:r>
      <w:r w:rsidR="00446FBE" w:rsidRPr="003A6273">
        <w:rPr>
          <w:lang w:val="en-GB"/>
        </w:rPr>
        <w:t xml:space="preserve"> </w:t>
      </w:r>
      <w:r w:rsidR="00B80701">
        <w:rPr>
          <w:lang w:val="en-GB"/>
        </w:rPr>
        <w:t>NCBI</w:t>
      </w:r>
      <w:r w:rsidR="00446FBE" w:rsidRPr="003A6273">
        <w:rPr>
          <w:lang w:val="en-GB"/>
        </w:rPr>
        <w:t xml:space="preserve"> non-r</w:t>
      </w:r>
      <w:r w:rsidR="009E173A" w:rsidRPr="003A6273">
        <w:rPr>
          <w:lang w:val="en-GB"/>
        </w:rPr>
        <w:t>edundant nucleotide collection</w:t>
      </w:r>
      <w:r>
        <w:rPr>
          <w:lang w:val="en-GB"/>
        </w:rPr>
        <w:t xml:space="preserve"> with 90% identity threshold:</w:t>
      </w:r>
      <w:r w:rsidR="00BB7887">
        <w:rPr>
          <w:lang w:val="en-GB"/>
        </w:rPr>
        <w:t xml:space="preserve"> of the</w:t>
      </w:r>
      <w:r w:rsidR="00951205">
        <w:rPr>
          <w:lang w:val="en-GB"/>
        </w:rPr>
        <w:t xml:space="preserve"> 29 798 sequences</w:t>
      </w:r>
      <w:r w:rsidR="00BB7887">
        <w:rPr>
          <w:lang w:val="en-GB"/>
        </w:rPr>
        <w:t>,</w:t>
      </w:r>
      <w:r w:rsidR="00951205">
        <w:rPr>
          <w:lang w:val="en-GB"/>
        </w:rPr>
        <w:t xml:space="preserve"> </w:t>
      </w:r>
      <w:r w:rsidR="008106EF">
        <w:rPr>
          <w:lang w:val="en-GB"/>
        </w:rPr>
        <w:t xml:space="preserve">53% </w:t>
      </w:r>
      <w:r w:rsidR="00BB7887">
        <w:rPr>
          <w:lang w:val="en-GB"/>
        </w:rPr>
        <w:t xml:space="preserve">were identified </w:t>
      </w:r>
      <w:r w:rsidR="00951205">
        <w:rPr>
          <w:lang w:val="en-GB"/>
        </w:rPr>
        <w:t>as</w:t>
      </w:r>
      <w:r w:rsidR="008106EF">
        <w:rPr>
          <w:lang w:val="en-GB"/>
        </w:rPr>
        <w:t xml:space="preserve"> Metazoa, </w:t>
      </w:r>
      <w:r w:rsidR="008106EF">
        <w:rPr>
          <w:rFonts w:cs="Times New Roman"/>
        </w:rPr>
        <w:t>44</w:t>
      </w:r>
      <w:r w:rsidR="00B80701">
        <w:rPr>
          <w:rFonts w:cs="Times New Roman"/>
        </w:rPr>
        <w:t>%</w:t>
      </w:r>
      <w:r w:rsidR="008106EF">
        <w:rPr>
          <w:rFonts w:cs="Times New Roman"/>
        </w:rPr>
        <w:t xml:space="preserve"> Fungi (</w:t>
      </w:r>
      <w:r w:rsidR="00791058">
        <w:rPr>
          <w:rFonts w:cs="Times New Roman"/>
        </w:rPr>
        <w:t>34% of all reads</w:t>
      </w:r>
      <w:r w:rsidR="00791058" w:rsidRPr="00791058">
        <w:rPr>
          <w:rFonts w:cs="Times New Roman"/>
        </w:rPr>
        <w:t xml:space="preserve"> as</w:t>
      </w:r>
      <w:r w:rsidR="00791058">
        <w:rPr>
          <w:rFonts w:cs="Times New Roman"/>
          <w:i/>
        </w:rPr>
        <w:t xml:space="preserve"> </w:t>
      </w:r>
      <w:r w:rsidR="008106EF" w:rsidRPr="00C148F0">
        <w:rPr>
          <w:rFonts w:cs="Times New Roman"/>
          <w:i/>
        </w:rPr>
        <w:t>Glomeraceae</w:t>
      </w:r>
      <w:r w:rsidR="008106EF">
        <w:rPr>
          <w:rFonts w:cs="Times New Roman"/>
        </w:rPr>
        <w:t>) and 3% Vir</w:t>
      </w:r>
      <w:r w:rsidR="002F412E">
        <w:rPr>
          <w:rFonts w:cs="Times New Roman"/>
        </w:rPr>
        <w:t>i</w:t>
      </w:r>
      <w:r w:rsidR="008106EF">
        <w:rPr>
          <w:rFonts w:cs="Times New Roman"/>
        </w:rPr>
        <w:t xml:space="preserve">diplantae (the </w:t>
      </w:r>
      <w:r w:rsidR="002F412E">
        <w:rPr>
          <w:rFonts w:cs="Times New Roman"/>
        </w:rPr>
        <w:t xml:space="preserve">host </w:t>
      </w:r>
      <w:r w:rsidR="008106EF">
        <w:rPr>
          <w:rFonts w:cs="Times New Roman"/>
        </w:rPr>
        <w:t xml:space="preserve">plant families: </w:t>
      </w:r>
      <w:r w:rsidR="00791058">
        <w:rPr>
          <w:rFonts w:cs="Times New Roman"/>
        </w:rPr>
        <w:t xml:space="preserve">2% </w:t>
      </w:r>
      <w:r w:rsidR="008106EF" w:rsidRPr="00C148F0">
        <w:rPr>
          <w:rFonts w:cs="Times New Roman"/>
          <w:i/>
        </w:rPr>
        <w:t>Rosaceae</w:t>
      </w:r>
      <w:r w:rsidR="008106EF">
        <w:rPr>
          <w:rFonts w:cs="Times New Roman"/>
        </w:rPr>
        <w:t xml:space="preserve"> and </w:t>
      </w:r>
      <w:r w:rsidR="00791058">
        <w:rPr>
          <w:rFonts w:cs="Times New Roman"/>
        </w:rPr>
        <w:t xml:space="preserve">&lt;1% </w:t>
      </w:r>
      <w:r w:rsidR="008106EF" w:rsidRPr="00C148F0">
        <w:rPr>
          <w:rFonts w:cs="Times New Roman"/>
          <w:i/>
        </w:rPr>
        <w:t>Asparagaceae</w:t>
      </w:r>
      <w:r w:rsidR="008106EF">
        <w:rPr>
          <w:rFonts w:cs="Times New Roman"/>
        </w:rPr>
        <w:t>)</w:t>
      </w:r>
      <w:r w:rsidR="00B80701">
        <w:rPr>
          <w:lang w:val="en-GB"/>
        </w:rPr>
        <w:t xml:space="preserve">. </w:t>
      </w:r>
    </w:p>
    <w:p w:rsidR="00B80701" w:rsidRPr="003A6273" w:rsidRDefault="00B80701" w:rsidP="00064F31">
      <w:pPr>
        <w:spacing w:line="360" w:lineRule="auto"/>
        <w:rPr>
          <w:rFonts w:cs="Times New Roman"/>
          <w:lang w:val="en-GB"/>
        </w:rPr>
      </w:pPr>
    </w:p>
    <w:p w:rsidR="002C278A" w:rsidRPr="003A6273" w:rsidRDefault="002C278A" w:rsidP="00064F31">
      <w:pPr>
        <w:spacing w:line="360" w:lineRule="auto"/>
        <w:rPr>
          <w:rFonts w:cs="Times New Roman"/>
          <w:i/>
          <w:lang w:val="en-GB"/>
        </w:rPr>
      </w:pPr>
      <w:r w:rsidRPr="003A6273">
        <w:rPr>
          <w:rFonts w:cs="Times New Roman"/>
          <w:i/>
          <w:lang w:val="en-GB"/>
        </w:rPr>
        <w:lastRenderedPageBreak/>
        <w:t>Amplicon-based 454</w:t>
      </w:r>
      <w:r w:rsidR="00A8072F">
        <w:rPr>
          <w:rFonts w:cs="Times New Roman"/>
          <w:i/>
          <w:lang w:val="en-GB"/>
        </w:rPr>
        <w:t xml:space="preserve"> </w:t>
      </w:r>
      <w:r w:rsidRPr="003A6273">
        <w:rPr>
          <w:rFonts w:cs="Times New Roman"/>
          <w:i/>
          <w:lang w:val="en-GB"/>
        </w:rPr>
        <w:t>sequencing</w:t>
      </w:r>
    </w:p>
    <w:p w:rsidR="003E219F" w:rsidRDefault="00C53402" w:rsidP="00064F31">
      <w:pPr>
        <w:spacing w:line="360" w:lineRule="auto"/>
        <w:rPr>
          <w:lang w:val="en-GB"/>
        </w:rPr>
      </w:pPr>
      <w:r w:rsidRPr="003A6273">
        <w:rPr>
          <w:lang w:val="en-GB"/>
        </w:rPr>
        <w:t xml:space="preserve">A total </w:t>
      </w:r>
      <w:r w:rsidR="002A0E8D" w:rsidRPr="003A6273">
        <w:rPr>
          <w:lang w:val="en-GB"/>
        </w:rPr>
        <w:t xml:space="preserve">of 13 611 </w:t>
      </w:r>
      <w:r w:rsidRPr="003A6273">
        <w:rPr>
          <w:lang w:val="en-GB"/>
        </w:rPr>
        <w:t>reads</w:t>
      </w:r>
      <w:r w:rsidR="00091BEC">
        <w:rPr>
          <w:lang w:val="en-GB"/>
        </w:rPr>
        <w:t xml:space="preserve"> </w:t>
      </w:r>
      <w:r w:rsidR="002A0E8D" w:rsidRPr="003A6273">
        <w:rPr>
          <w:lang w:val="en-GB"/>
        </w:rPr>
        <w:t xml:space="preserve">were </w:t>
      </w:r>
      <w:r w:rsidRPr="003A6273">
        <w:rPr>
          <w:lang w:val="en-GB"/>
        </w:rPr>
        <w:t>successfully demultiplexed</w:t>
      </w:r>
      <w:r w:rsidR="004B4788" w:rsidRPr="003A6273">
        <w:rPr>
          <w:lang w:val="en-GB"/>
        </w:rPr>
        <w:t xml:space="preserve"> using </w:t>
      </w:r>
      <w:r w:rsidR="00BB7887">
        <w:rPr>
          <w:lang w:val="en-GB"/>
        </w:rPr>
        <w:t xml:space="preserve">the </w:t>
      </w:r>
      <w:r w:rsidR="004B4788" w:rsidRPr="003A6273">
        <w:rPr>
          <w:lang w:val="en-GB"/>
        </w:rPr>
        <w:t>8</w:t>
      </w:r>
      <w:r w:rsidR="00BB7887">
        <w:rPr>
          <w:lang w:val="en-GB"/>
        </w:rPr>
        <w:t>-</w:t>
      </w:r>
      <w:r w:rsidR="004B4788" w:rsidRPr="003A6273">
        <w:rPr>
          <w:lang w:val="en-GB"/>
        </w:rPr>
        <w:t>base barcode with 100% identity</w:t>
      </w:r>
      <w:r w:rsidR="00DF4526" w:rsidRPr="003A6273">
        <w:rPr>
          <w:lang w:val="en-GB"/>
        </w:rPr>
        <w:t xml:space="preserve">, </w:t>
      </w:r>
      <w:r w:rsidR="00416078">
        <w:rPr>
          <w:lang w:val="en-GB"/>
        </w:rPr>
        <w:t xml:space="preserve">generating </w:t>
      </w:r>
      <w:r w:rsidR="00DF4526" w:rsidRPr="003A6273">
        <w:rPr>
          <w:lang w:val="en-GB"/>
        </w:rPr>
        <w:t>372 to 1790 reads</w:t>
      </w:r>
      <w:r w:rsidR="00416078">
        <w:rPr>
          <w:lang w:val="en-GB"/>
        </w:rPr>
        <w:t xml:space="preserve"> per sample</w:t>
      </w:r>
      <w:r w:rsidR="00DF4526" w:rsidRPr="003A6273">
        <w:rPr>
          <w:lang w:val="en-GB"/>
        </w:rPr>
        <w:t xml:space="preserve"> (</w:t>
      </w:r>
      <w:r w:rsidR="00C42B0C" w:rsidRPr="003A6273">
        <w:rPr>
          <w:lang w:val="en-GB"/>
        </w:rPr>
        <w:t>Fig. S</w:t>
      </w:r>
      <w:r w:rsidR="0014399C">
        <w:rPr>
          <w:lang w:val="en-GB"/>
        </w:rPr>
        <w:t>8</w:t>
      </w:r>
      <w:r w:rsidR="00C42B0C">
        <w:rPr>
          <w:lang w:val="en-GB"/>
        </w:rPr>
        <w:t xml:space="preserve">, </w:t>
      </w:r>
      <w:r w:rsidR="00091BEC">
        <w:rPr>
          <w:lang w:val="en-GB"/>
        </w:rPr>
        <w:t>Table S1</w:t>
      </w:r>
      <w:r w:rsidR="00DF4526" w:rsidRPr="003A6273">
        <w:rPr>
          <w:lang w:val="en-GB"/>
        </w:rPr>
        <w:t>)</w:t>
      </w:r>
      <w:r w:rsidR="00034FE0" w:rsidRPr="003A6273">
        <w:rPr>
          <w:lang w:val="en-GB"/>
        </w:rPr>
        <w:t xml:space="preserve">. </w:t>
      </w:r>
      <w:r w:rsidR="009A7C1B">
        <w:rPr>
          <w:lang w:val="en-GB"/>
        </w:rPr>
        <w:t xml:space="preserve">Further </w:t>
      </w:r>
      <w:r w:rsidR="00C42B0C">
        <w:rPr>
          <w:lang w:val="en-GB"/>
        </w:rPr>
        <w:t xml:space="preserve">quality </w:t>
      </w:r>
      <w:r w:rsidR="009A7C1B">
        <w:rPr>
          <w:lang w:val="en-GB"/>
        </w:rPr>
        <w:t>filtering by primer</w:t>
      </w:r>
      <w:r w:rsidR="003E219F">
        <w:rPr>
          <w:lang w:val="en-GB"/>
        </w:rPr>
        <w:t xml:space="preserve"> identity</w:t>
      </w:r>
      <w:r w:rsidR="009A7C1B">
        <w:rPr>
          <w:lang w:val="en-GB"/>
        </w:rPr>
        <w:t xml:space="preserve">, average </w:t>
      </w:r>
      <w:r w:rsidR="003E219F">
        <w:rPr>
          <w:lang w:val="en-GB"/>
        </w:rPr>
        <w:t xml:space="preserve">read </w:t>
      </w:r>
      <w:r w:rsidR="009A7C1B">
        <w:rPr>
          <w:lang w:val="en-GB"/>
        </w:rPr>
        <w:t xml:space="preserve">quality and </w:t>
      </w:r>
      <w:r w:rsidR="003E219F">
        <w:rPr>
          <w:lang w:val="en-GB"/>
        </w:rPr>
        <w:t xml:space="preserve">read </w:t>
      </w:r>
      <w:r w:rsidR="009A7C1B">
        <w:rPr>
          <w:lang w:val="en-GB"/>
        </w:rPr>
        <w:t>length re</w:t>
      </w:r>
      <w:r w:rsidR="003E219F">
        <w:rPr>
          <w:lang w:val="en-GB"/>
        </w:rPr>
        <w:t>tained</w:t>
      </w:r>
      <w:r w:rsidR="009A7C1B">
        <w:rPr>
          <w:lang w:val="en-GB"/>
        </w:rPr>
        <w:t xml:space="preserve"> 12 354 sequences. </w:t>
      </w:r>
      <w:r w:rsidR="003E219F">
        <w:rPr>
          <w:lang w:val="en-GB"/>
        </w:rPr>
        <w:t xml:space="preserve">Chimera checking identified and removed </w:t>
      </w:r>
      <w:r w:rsidR="00FE20D4">
        <w:rPr>
          <w:lang w:val="en-GB"/>
        </w:rPr>
        <w:t xml:space="preserve">a </w:t>
      </w:r>
      <w:r w:rsidR="003E219F">
        <w:rPr>
          <w:lang w:val="en-GB"/>
        </w:rPr>
        <w:t>further</w:t>
      </w:r>
      <w:r w:rsidR="009A7C1B">
        <w:rPr>
          <w:lang w:val="en-GB"/>
        </w:rPr>
        <w:t xml:space="preserve"> 525</w:t>
      </w:r>
      <w:r w:rsidRPr="003A6273">
        <w:rPr>
          <w:lang w:val="en-GB"/>
        </w:rPr>
        <w:t xml:space="preserve"> sequences, leaving a t</w:t>
      </w:r>
      <w:r w:rsidR="002C278A" w:rsidRPr="003A6273">
        <w:rPr>
          <w:lang w:val="en-GB"/>
        </w:rPr>
        <w:t xml:space="preserve">otal of </w:t>
      </w:r>
      <w:r w:rsidR="00DF4526" w:rsidRPr="003A6273">
        <w:rPr>
          <w:lang w:val="en-GB"/>
        </w:rPr>
        <w:t>11 829</w:t>
      </w:r>
      <w:r w:rsidR="006F1AFD" w:rsidRPr="003A6273">
        <w:rPr>
          <w:lang w:val="en-GB"/>
        </w:rPr>
        <w:t xml:space="preserve"> </w:t>
      </w:r>
      <w:r w:rsidR="002C278A" w:rsidRPr="003A6273">
        <w:rPr>
          <w:lang w:val="en-GB"/>
        </w:rPr>
        <w:t>clean</w:t>
      </w:r>
      <w:r w:rsidR="00FA46A1" w:rsidRPr="003A6273">
        <w:rPr>
          <w:lang w:val="en-GB"/>
        </w:rPr>
        <w:t>ed</w:t>
      </w:r>
      <w:r w:rsidR="001B67F7">
        <w:rPr>
          <w:lang w:val="en-GB"/>
        </w:rPr>
        <w:t xml:space="preserve"> </w:t>
      </w:r>
      <w:r w:rsidR="002C278A" w:rsidRPr="003A6273">
        <w:rPr>
          <w:lang w:val="en-GB"/>
        </w:rPr>
        <w:t>454</w:t>
      </w:r>
      <w:r w:rsidR="003E219F">
        <w:rPr>
          <w:lang w:val="en-GB"/>
        </w:rPr>
        <w:t>-</w:t>
      </w:r>
      <w:r w:rsidR="002C278A" w:rsidRPr="003A6273">
        <w:rPr>
          <w:lang w:val="en-GB"/>
        </w:rPr>
        <w:t>reads</w:t>
      </w:r>
      <w:r w:rsidR="001B67F7" w:rsidRPr="003A6273">
        <w:rPr>
          <w:lang w:val="en-GB"/>
        </w:rPr>
        <w:t xml:space="preserve"> </w:t>
      </w:r>
      <w:r w:rsidR="001B67F7">
        <w:rPr>
          <w:lang w:val="en-GB"/>
        </w:rPr>
        <w:t>(454</w:t>
      </w:r>
      <w:r w:rsidR="003D5838">
        <w:rPr>
          <w:lang w:val="en-GB"/>
        </w:rPr>
        <w:t>-qf</w:t>
      </w:r>
      <w:r w:rsidR="001B67F7">
        <w:rPr>
          <w:lang w:val="en-GB"/>
        </w:rPr>
        <w:t>)</w:t>
      </w:r>
      <w:r w:rsidR="002C278A" w:rsidRPr="003A6273">
        <w:rPr>
          <w:lang w:val="en-GB"/>
        </w:rPr>
        <w:t xml:space="preserve">. </w:t>
      </w:r>
      <w:r w:rsidR="00EE56B0" w:rsidRPr="00EE56B0">
        <w:rPr>
          <w:lang w:val="en-GB"/>
        </w:rPr>
        <w:t>Sequence length and quality distribution</w:t>
      </w:r>
      <w:r w:rsidR="00FE20D4">
        <w:rPr>
          <w:lang w:val="en-GB"/>
        </w:rPr>
        <w:t>s</w:t>
      </w:r>
      <w:r w:rsidR="00EE56B0">
        <w:rPr>
          <w:lang w:val="en-GB"/>
        </w:rPr>
        <w:t xml:space="preserve"> </w:t>
      </w:r>
      <w:r w:rsidR="00BB7887">
        <w:rPr>
          <w:lang w:val="en-GB"/>
        </w:rPr>
        <w:t>are shown i</w:t>
      </w:r>
      <w:r w:rsidR="001E5A9A">
        <w:rPr>
          <w:lang w:val="en-GB"/>
        </w:rPr>
        <w:t>n Fig. S9</w:t>
      </w:r>
      <w:r w:rsidR="00EE56B0" w:rsidRPr="00EE56B0">
        <w:rPr>
          <w:lang w:val="en-GB"/>
        </w:rPr>
        <w:t xml:space="preserve">. </w:t>
      </w:r>
    </w:p>
    <w:p w:rsidR="00CB67B5" w:rsidRDefault="00416078" w:rsidP="00297A98">
      <w:pPr>
        <w:spacing w:line="360" w:lineRule="auto"/>
        <w:ind w:firstLine="709"/>
        <w:rPr>
          <w:lang w:val="en-GB"/>
        </w:rPr>
      </w:pPr>
      <w:r>
        <w:rPr>
          <w:lang w:val="en-GB"/>
        </w:rPr>
        <w:t>A</w:t>
      </w:r>
      <w:r w:rsidR="003E219F">
        <w:rPr>
          <w:lang w:val="en-GB"/>
        </w:rPr>
        <w:t xml:space="preserve"> </w:t>
      </w:r>
      <w:r w:rsidR="002C278A" w:rsidRPr="003A6273">
        <w:rPr>
          <w:lang w:val="en-GB"/>
        </w:rPr>
        <w:t xml:space="preserve">total of </w:t>
      </w:r>
      <w:r w:rsidR="00DF4526" w:rsidRPr="003A6273">
        <w:rPr>
          <w:lang w:val="en-GB"/>
        </w:rPr>
        <w:t>9</w:t>
      </w:r>
      <w:r w:rsidR="003E219F">
        <w:rPr>
          <w:lang w:val="en-GB"/>
        </w:rPr>
        <w:t xml:space="preserve"> </w:t>
      </w:r>
      <w:r w:rsidR="00DF4526" w:rsidRPr="003A6273">
        <w:rPr>
          <w:lang w:val="en-GB"/>
        </w:rPr>
        <w:t>973</w:t>
      </w:r>
      <w:r w:rsidR="002C278A" w:rsidRPr="003A6273">
        <w:rPr>
          <w:lang w:val="en-GB"/>
        </w:rPr>
        <w:t xml:space="preserve"> reads </w:t>
      </w:r>
      <w:r w:rsidR="00C46699">
        <w:rPr>
          <w:lang w:val="en-GB"/>
        </w:rPr>
        <w:t>(</w:t>
      </w:r>
      <w:r w:rsidR="00563B31">
        <w:rPr>
          <w:lang w:val="en-GB"/>
        </w:rPr>
        <w:t>454</w:t>
      </w:r>
      <w:r w:rsidR="004F6F6F">
        <w:rPr>
          <w:lang w:val="en-GB"/>
        </w:rPr>
        <w:t>-qf</w:t>
      </w:r>
      <w:r w:rsidR="00C46699">
        <w:rPr>
          <w:lang w:val="en-GB"/>
        </w:rPr>
        <w:t xml:space="preserve">) </w:t>
      </w:r>
      <w:r w:rsidR="002C278A" w:rsidRPr="003A6273">
        <w:rPr>
          <w:lang w:val="en-GB"/>
        </w:rPr>
        <w:t xml:space="preserve">were </w:t>
      </w:r>
      <w:r w:rsidR="003E219F">
        <w:rPr>
          <w:lang w:val="en-GB"/>
        </w:rPr>
        <w:t>identified as</w:t>
      </w:r>
      <w:r w:rsidR="002C278A" w:rsidRPr="003A6273">
        <w:rPr>
          <w:lang w:val="en-GB"/>
        </w:rPr>
        <w:t xml:space="preserve"> </w:t>
      </w:r>
      <w:r w:rsidR="00DF4526" w:rsidRPr="003A6273">
        <w:rPr>
          <w:lang w:val="en-GB"/>
        </w:rPr>
        <w:t>52</w:t>
      </w:r>
      <w:r w:rsidR="00D50B4A" w:rsidRPr="003A6273">
        <w:rPr>
          <w:lang w:val="en-GB"/>
        </w:rPr>
        <w:t xml:space="preserve"> </w:t>
      </w:r>
      <w:r w:rsidR="002C278A" w:rsidRPr="003A6273">
        <w:rPr>
          <w:lang w:val="en-GB"/>
        </w:rPr>
        <w:t>VT</w:t>
      </w:r>
      <w:r w:rsidR="006813F1" w:rsidRPr="003A6273">
        <w:rPr>
          <w:lang w:val="en-GB"/>
        </w:rPr>
        <w:t xml:space="preserve"> </w:t>
      </w:r>
      <w:r w:rsidR="00877EB2" w:rsidRPr="003A6273">
        <w:rPr>
          <w:lang w:val="en-GB"/>
        </w:rPr>
        <w:t>(</w:t>
      </w:r>
      <w:r w:rsidR="003E219F">
        <w:rPr>
          <w:lang w:val="en-GB"/>
        </w:rPr>
        <w:t>Fig. 1</w:t>
      </w:r>
      <w:r w:rsidR="006903EA">
        <w:rPr>
          <w:lang w:val="en-GB"/>
        </w:rPr>
        <w:t>a</w:t>
      </w:r>
      <w:r w:rsidR="003E219F">
        <w:rPr>
          <w:lang w:val="en-GB"/>
        </w:rPr>
        <w:t xml:space="preserve">, </w:t>
      </w:r>
      <w:r w:rsidR="00877EB2" w:rsidRPr="003A6273">
        <w:rPr>
          <w:lang w:val="en-GB"/>
        </w:rPr>
        <w:t>Table 1)</w:t>
      </w:r>
      <w:r w:rsidR="003E219F">
        <w:rPr>
          <w:lang w:val="en-GB"/>
        </w:rPr>
        <w:t>, including 48</w:t>
      </w:r>
      <w:r w:rsidR="002C278A" w:rsidRPr="003A6273">
        <w:rPr>
          <w:lang w:val="en-GB"/>
        </w:rPr>
        <w:t xml:space="preserve"> VT </w:t>
      </w:r>
      <w:r>
        <w:rPr>
          <w:lang w:val="en-GB"/>
        </w:rPr>
        <w:t xml:space="preserve">also </w:t>
      </w:r>
      <w:r w:rsidR="002C278A" w:rsidRPr="003A6273">
        <w:rPr>
          <w:lang w:val="en-GB"/>
        </w:rPr>
        <w:t>detected in</w:t>
      </w:r>
      <w:r w:rsidR="00BB7887">
        <w:rPr>
          <w:lang w:val="en-GB"/>
        </w:rPr>
        <w:t xml:space="preserve"> the</w:t>
      </w:r>
      <w:r w:rsidR="00BA6BDB">
        <w:rPr>
          <w:lang w:val="en-GB"/>
        </w:rPr>
        <w:t xml:space="preserve"> Ill</w:t>
      </w:r>
      <w:r w:rsidR="004F6F6F">
        <w:rPr>
          <w:lang w:val="en-GB"/>
        </w:rPr>
        <w:t>-qf</w:t>
      </w:r>
      <w:r w:rsidR="002C278A" w:rsidRPr="003A6273">
        <w:rPr>
          <w:lang w:val="en-GB"/>
        </w:rPr>
        <w:t xml:space="preserve"> set</w:t>
      </w:r>
      <w:r w:rsidR="007F2255">
        <w:rPr>
          <w:lang w:val="en-GB"/>
        </w:rPr>
        <w:t xml:space="preserve"> (Table S2)</w:t>
      </w:r>
      <w:r w:rsidR="00877EB2" w:rsidRPr="003A6273">
        <w:rPr>
          <w:lang w:val="en-GB"/>
        </w:rPr>
        <w:t xml:space="preserve">. </w:t>
      </w:r>
      <w:r w:rsidR="003E219F">
        <w:rPr>
          <w:lang w:val="en-GB"/>
        </w:rPr>
        <w:t xml:space="preserve">When the </w:t>
      </w:r>
      <w:r w:rsidR="00FF2961" w:rsidRPr="003A6273">
        <w:rPr>
          <w:lang w:val="en-GB"/>
        </w:rPr>
        <w:t>454-reads</w:t>
      </w:r>
      <w:r w:rsidR="00B92AE8" w:rsidRPr="003A6273">
        <w:rPr>
          <w:lang w:val="en-GB"/>
        </w:rPr>
        <w:t xml:space="preserve"> </w:t>
      </w:r>
      <w:r w:rsidR="003E219F">
        <w:rPr>
          <w:lang w:val="en-GB"/>
        </w:rPr>
        <w:t xml:space="preserve">were trimmed to </w:t>
      </w:r>
      <w:r w:rsidR="00BB7887">
        <w:rPr>
          <w:lang w:val="en-GB"/>
        </w:rPr>
        <w:t xml:space="preserve">the </w:t>
      </w:r>
      <w:r w:rsidR="001B67F7">
        <w:rPr>
          <w:lang w:val="en-GB"/>
        </w:rPr>
        <w:t>7</w:t>
      </w:r>
      <w:r w:rsidR="003E219F">
        <w:rPr>
          <w:lang w:val="en-GB"/>
        </w:rPr>
        <w:t xml:space="preserve">0-300 bp fragment of the amplicon, </w:t>
      </w:r>
      <w:r w:rsidR="00877EB2" w:rsidRPr="003A6273">
        <w:rPr>
          <w:lang w:val="en-GB"/>
        </w:rPr>
        <w:t xml:space="preserve">9067 sequences </w:t>
      </w:r>
      <w:r w:rsidR="00C46699">
        <w:rPr>
          <w:lang w:val="en-GB"/>
        </w:rPr>
        <w:t>(</w:t>
      </w:r>
      <w:r w:rsidR="00BA6BDB">
        <w:rPr>
          <w:lang w:val="en-GB"/>
        </w:rPr>
        <w:t>454</w:t>
      </w:r>
      <w:r w:rsidR="004F6F6F">
        <w:rPr>
          <w:lang w:val="en-GB"/>
        </w:rPr>
        <w:t>-t</w:t>
      </w:r>
      <w:r w:rsidR="00C46699">
        <w:rPr>
          <w:lang w:val="en-GB"/>
        </w:rPr>
        <w:t xml:space="preserve">) </w:t>
      </w:r>
      <w:r w:rsidR="003E219F">
        <w:rPr>
          <w:lang w:val="en-GB"/>
        </w:rPr>
        <w:t xml:space="preserve">in </w:t>
      </w:r>
      <w:r w:rsidR="00877EB2" w:rsidRPr="003A6273">
        <w:rPr>
          <w:lang w:val="en-GB"/>
        </w:rPr>
        <w:t>40 VT</w:t>
      </w:r>
      <w:r w:rsidR="003E219F">
        <w:rPr>
          <w:lang w:val="en-GB"/>
        </w:rPr>
        <w:t xml:space="preserve"> were retained, including</w:t>
      </w:r>
      <w:r w:rsidR="00877EB2" w:rsidRPr="003A6273">
        <w:rPr>
          <w:lang w:val="en-GB"/>
        </w:rPr>
        <w:t xml:space="preserve"> 26</w:t>
      </w:r>
      <w:r w:rsidR="00D55F29" w:rsidRPr="003A6273">
        <w:rPr>
          <w:lang w:val="en-GB"/>
        </w:rPr>
        <w:t xml:space="preserve"> </w:t>
      </w:r>
      <w:r w:rsidR="00877EB2" w:rsidRPr="003A6273">
        <w:rPr>
          <w:lang w:val="en-GB"/>
        </w:rPr>
        <w:t>VT</w:t>
      </w:r>
      <w:r>
        <w:rPr>
          <w:lang w:val="en-GB"/>
        </w:rPr>
        <w:t xml:space="preserve"> </w:t>
      </w:r>
      <w:r w:rsidR="003E219F">
        <w:rPr>
          <w:lang w:val="en-GB"/>
        </w:rPr>
        <w:t xml:space="preserve">in common with </w:t>
      </w:r>
      <w:r w:rsidR="00BA6BDB">
        <w:rPr>
          <w:lang w:val="en-GB"/>
        </w:rPr>
        <w:t>Ill</w:t>
      </w:r>
      <w:r w:rsidR="004F6F6F">
        <w:rPr>
          <w:lang w:val="en-GB"/>
        </w:rPr>
        <w:t>-t</w:t>
      </w:r>
      <w:r w:rsidR="003E219F">
        <w:rPr>
          <w:lang w:val="en-GB"/>
        </w:rPr>
        <w:t xml:space="preserve"> set</w:t>
      </w:r>
      <w:r w:rsidR="002C278A" w:rsidRPr="003A6273">
        <w:rPr>
          <w:lang w:val="en-GB"/>
        </w:rPr>
        <w:t xml:space="preserve"> </w:t>
      </w:r>
      <w:r w:rsidR="001516F1">
        <w:rPr>
          <w:lang w:val="en-GB"/>
        </w:rPr>
        <w:t>(Fig. 1</w:t>
      </w:r>
      <w:r w:rsidR="006903EA">
        <w:rPr>
          <w:lang w:val="en-GB"/>
        </w:rPr>
        <w:t>b</w:t>
      </w:r>
      <w:r w:rsidR="001516F1">
        <w:rPr>
          <w:lang w:val="en-GB"/>
        </w:rPr>
        <w:t>)</w:t>
      </w:r>
      <w:r w:rsidR="00877EB2" w:rsidRPr="003A6273">
        <w:rPr>
          <w:lang w:val="en-GB"/>
        </w:rPr>
        <w:t>.</w:t>
      </w:r>
      <w:r w:rsidR="00B92AE8" w:rsidRPr="003A6273">
        <w:rPr>
          <w:lang w:val="en-GB"/>
        </w:rPr>
        <w:t xml:space="preserve"> </w:t>
      </w:r>
      <w:r w:rsidR="00BB7887">
        <w:rPr>
          <w:lang w:val="en-GB"/>
        </w:rPr>
        <w:t xml:space="preserve">The </w:t>
      </w:r>
      <w:r w:rsidR="008106EF">
        <w:rPr>
          <w:lang w:val="en-GB"/>
        </w:rPr>
        <w:t xml:space="preserve">2079 </w:t>
      </w:r>
      <w:r w:rsidR="00BB7887">
        <w:rPr>
          <w:lang w:val="en-GB"/>
        </w:rPr>
        <w:t xml:space="preserve">unidentified </w:t>
      </w:r>
      <w:r w:rsidR="003E219F">
        <w:rPr>
          <w:lang w:val="en-GB"/>
        </w:rPr>
        <w:t>s</w:t>
      </w:r>
      <w:r w:rsidR="00CB67B5" w:rsidRPr="003A6273">
        <w:rPr>
          <w:lang w:val="en-GB"/>
        </w:rPr>
        <w:t xml:space="preserve">equences </w:t>
      </w:r>
      <w:r w:rsidR="00BB7887">
        <w:rPr>
          <w:lang w:val="en-GB"/>
        </w:rPr>
        <w:t xml:space="preserve">from 454-t </w:t>
      </w:r>
      <w:r w:rsidR="003E219F">
        <w:rPr>
          <w:lang w:val="en-GB"/>
        </w:rPr>
        <w:t>were further identified</w:t>
      </w:r>
      <w:r w:rsidR="00CB67B5" w:rsidRPr="003A6273">
        <w:rPr>
          <w:lang w:val="en-GB"/>
        </w:rPr>
        <w:t xml:space="preserve"> against </w:t>
      </w:r>
      <w:r w:rsidR="003E219F">
        <w:rPr>
          <w:lang w:val="en-GB"/>
        </w:rPr>
        <w:t>INSDC</w:t>
      </w:r>
      <w:r w:rsidR="00C46699">
        <w:rPr>
          <w:lang w:val="en-GB"/>
        </w:rPr>
        <w:t xml:space="preserve"> with 90% identity threshold</w:t>
      </w:r>
      <w:r w:rsidR="003E219F">
        <w:rPr>
          <w:lang w:val="en-GB"/>
        </w:rPr>
        <w:t>:</w:t>
      </w:r>
      <w:r w:rsidR="00CB67B5" w:rsidRPr="003A6273">
        <w:rPr>
          <w:lang w:val="en-GB"/>
        </w:rPr>
        <w:t xml:space="preserve"> </w:t>
      </w:r>
      <w:r w:rsidR="00BB7887">
        <w:rPr>
          <w:lang w:val="en-GB"/>
        </w:rPr>
        <w:t>of the</w:t>
      </w:r>
      <w:r w:rsidR="008106EF">
        <w:rPr>
          <w:lang w:val="en-GB"/>
        </w:rPr>
        <w:t xml:space="preserve"> </w:t>
      </w:r>
      <w:r w:rsidR="00CB67B5" w:rsidRPr="003A6273">
        <w:rPr>
          <w:lang w:val="en-GB"/>
        </w:rPr>
        <w:t>1670 sequences</w:t>
      </w:r>
      <w:r w:rsidR="00BB7887">
        <w:rPr>
          <w:lang w:val="en-GB"/>
        </w:rPr>
        <w:t>,</w:t>
      </w:r>
      <w:r w:rsidR="003E219F">
        <w:rPr>
          <w:lang w:val="en-GB"/>
        </w:rPr>
        <w:t xml:space="preserve"> </w:t>
      </w:r>
      <w:r w:rsidR="00C64238">
        <w:rPr>
          <w:lang w:val="en-GB"/>
        </w:rPr>
        <w:t xml:space="preserve">39% </w:t>
      </w:r>
      <w:r w:rsidR="003E219F">
        <w:rPr>
          <w:lang w:val="en-GB"/>
        </w:rPr>
        <w:t>were</w:t>
      </w:r>
      <w:r w:rsidR="00CB67B5" w:rsidRPr="003A6273">
        <w:rPr>
          <w:lang w:val="en-GB"/>
        </w:rPr>
        <w:t xml:space="preserve"> identified</w:t>
      </w:r>
      <w:r w:rsidR="008106EF">
        <w:rPr>
          <w:lang w:val="en-GB"/>
        </w:rPr>
        <w:t xml:space="preserve"> </w:t>
      </w:r>
      <w:r w:rsidR="00CB67B5" w:rsidRPr="003A6273">
        <w:rPr>
          <w:lang w:val="en-GB"/>
        </w:rPr>
        <w:t xml:space="preserve">as Metazoa, </w:t>
      </w:r>
      <w:r w:rsidR="008106EF">
        <w:rPr>
          <w:lang w:val="en-GB"/>
        </w:rPr>
        <w:t xml:space="preserve">30% </w:t>
      </w:r>
      <w:r w:rsidR="00C64238">
        <w:rPr>
          <w:lang w:val="en-GB"/>
        </w:rPr>
        <w:t xml:space="preserve">as </w:t>
      </w:r>
      <w:r w:rsidR="008106EF">
        <w:rPr>
          <w:lang w:val="en-GB"/>
        </w:rPr>
        <w:t xml:space="preserve">Viridiplantae (the </w:t>
      </w:r>
      <w:r w:rsidR="00C64238">
        <w:rPr>
          <w:lang w:val="en-GB"/>
        </w:rPr>
        <w:t xml:space="preserve">host </w:t>
      </w:r>
      <w:r w:rsidR="008106EF">
        <w:rPr>
          <w:lang w:val="en-GB"/>
        </w:rPr>
        <w:t xml:space="preserve">plant families: </w:t>
      </w:r>
      <w:r w:rsidR="00C55435">
        <w:rPr>
          <w:lang w:val="en-GB"/>
        </w:rPr>
        <w:t xml:space="preserve">17% of all reads as </w:t>
      </w:r>
      <w:r w:rsidR="008106EF" w:rsidRPr="00C148F0">
        <w:rPr>
          <w:i/>
          <w:lang w:val="en-GB"/>
        </w:rPr>
        <w:t>Rosaceae</w:t>
      </w:r>
      <w:r w:rsidR="008106EF">
        <w:rPr>
          <w:lang w:val="en-GB"/>
        </w:rPr>
        <w:t xml:space="preserve"> and </w:t>
      </w:r>
      <w:r w:rsidR="00C55435">
        <w:rPr>
          <w:lang w:val="en-GB"/>
        </w:rPr>
        <w:t xml:space="preserve">&lt;1% </w:t>
      </w:r>
      <w:r w:rsidR="008106EF" w:rsidRPr="00C148F0">
        <w:rPr>
          <w:i/>
          <w:lang w:val="en-GB"/>
        </w:rPr>
        <w:t>Asparagaceae</w:t>
      </w:r>
      <w:r w:rsidR="008106EF">
        <w:rPr>
          <w:lang w:val="en-GB"/>
        </w:rPr>
        <w:t>)</w:t>
      </w:r>
      <w:r w:rsidR="003E219F">
        <w:rPr>
          <w:lang w:val="en-GB"/>
        </w:rPr>
        <w:t xml:space="preserve"> </w:t>
      </w:r>
      <w:r w:rsidR="001516F1">
        <w:rPr>
          <w:lang w:val="en-GB"/>
        </w:rPr>
        <w:t xml:space="preserve">and </w:t>
      </w:r>
      <w:r w:rsidR="008106EF">
        <w:rPr>
          <w:lang w:val="en-GB"/>
        </w:rPr>
        <w:t xml:space="preserve">26% </w:t>
      </w:r>
      <w:r w:rsidR="00C64238">
        <w:rPr>
          <w:lang w:val="en-GB"/>
        </w:rPr>
        <w:t xml:space="preserve">as </w:t>
      </w:r>
      <w:r w:rsidR="00CB67B5" w:rsidRPr="003A6273">
        <w:rPr>
          <w:lang w:val="en-GB"/>
        </w:rPr>
        <w:t>Fungi</w:t>
      </w:r>
      <w:r w:rsidR="008106EF">
        <w:rPr>
          <w:lang w:val="en-GB"/>
        </w:rPr>
        <w:t xml:space="preserve"> (</w:t>
      </w:r>
      <w:r w:rsidR="0003125A">
        <w:rPr>
          <w:lang w:val="en-GB"/>
        </w:rPr>
        <w:t xml:space="preserve">10% </w:t>
      </w:r>
      <w:r w:rsidR="008106EF" w:rsidRPr="00C148F0">
        <w:rPr>
          <w:i/>
          <w:lang w:val="en-GB"/>
        </w:rPr>
        <w:t>Glomeraceae</w:t>
      </w:r>
      <w:r w:rsidR="003E219F">
        <w:rPr>
          <w:lang w:val="en-GB"/>
        </w:rPr>
        <w:t>)</w:t>
      </w:r>
      <w:r w:rsidR="00CB67B5" w:rsidRPr="003A6273">
        <w:rPr>
          <w:lang w:val="en-GB"/>
        </w:rPr>
        <w:t xml:space="preserve">. </w:t>
      </w:r>
    </w:p>
    <w:p w:rsidR="008438CF" w:rsidRDefault="008438CF" w:rsidP="00064F31">
      <w:pPr>
        <w:spacing w:line="360" w:lineRule="auto"/>
        <w:rPr>
          <w:lang w:val="en-GB"/>
        </w:rPr>
      </w:pPr>
    </w:p>
    <w:p w:rsidR="008438CF" w:rsidRPr="003A6273" w:rsidRDefault="003A1A60" w:rsidP="00064F31">
      <w:pPr>
        <w:spacing w:line="360" w:lineRule="auto"/>
        <w:rPr>
          <w:rFonts w:cs="Times New Roman"/>
          <w:i/>
          <w:lang w:val="en-GB"/>
        </w:rPr>
      </w:pPr>
      <w:r>
        <w:rPr>
          <w:rFonts w:cs="Times New Roman"/>
          <w:i/>
          <w:lang w:val="en-GB"/>
        </w:rPr>
        <w:t>Compar</w:t>
      </w:r>
      <w:r w:rsidR="008739E4">
        <w:rPr>
          <w:rFonts w:cs="Times New Roman"/>
          <w:i/>
          <w:lang w:val="en-GB"/>
        </w:rPr>
        <w:t>i</w:t>
      </w:r>
      <w:r>
        <w:rPr>
          <w:rFonts w:cs="Times New Roman"/>
          <w:i/>
          <w:lang w:val="en-GB"/>
        </w:rPr>
        <w:t xml:space="preserve">son of </w:t>
      </w:r>
      <w:r w:rsidR="008438CF" w:rsidRPr="003A6273">
        <w:rPr>
          <w:rFonts w:cs="Times New Roman"/>
          <w:i/>
          <w:lang w:val="en-GB"/>
        </w:rPr>
        <w:t>AM</w:t>
      </w:r>
      <w:r w:rsidR="006A77C4">
        <w:rPr>
          <w:rFonts w:cs="Times New Roman"/>
          <w:i/>
          <w:lang w:val="en-GB"/>
        </w:rPr>
        <w:t xml:space="preserve"> </w:t>
      </w:r>
      <w:r w:rsidR="006A77C4" w:rsidRPr="006E4E55">
        <w:rPr>
          <w:rStyle w:val="ResponseChar"/>
          <w:i/>
        </w:rPr>
        <w:t>fungal</w:t>
      </w:r>
      <w:r w:rsidR="008438CF" w:rsidRPr="003A6273">
        <w:rPr>
          <w:rFonts w:cs="Times New Roman"/>
          <w:i/>
          <w:lang w:val="en-GB"/>
        </w:rPr>
        <w:t xml:space="preserve"> </w:t>
      </w:r>
      <w:r>
        <w:rPr>
          <w:rFonts w:cs="Times New Roman"/>
          <w:i/>
          <w:lang w:val="en-GB"/>
        </w:rPr>
        <w:t xml:space="preserve">diversity </w:t>
      </w:r>
      <w:r w:rsidR="008438CF" w:rsidRPr="003A6273">
        <w:rPr>
          <w:rFonts w:cs="Times New Roman"/>
          <w:i/>
          <w:lang w:val="en-GB"/>
        </w:rPr>
        <w:t>det</w:t>
      </w:r>
      <w:r w:rsidR="009E3B10">
        <w:rPr>
          <w:rFonts w:cs="Times New Roman"/>
          <w:i/>
          <w:lang w:val="en-GB"/>
        </w:rPr>
        <w:t xml:space="preserve">ected by Illumina MiSeq and 454 </w:t>
      </w:r>
      <w:r w:rsidR="008438CF" w:rsidRPr="003A6273">
        <w:rPr>
          <w:rFonts w:cs="Times New Roman"/>
          <w:i/>
          <w:lang w:val="en-GB"/>
        </w:rPr>
        <w:t>sequencing</w:t>
      </w:r>
    </w:p>
    <w:p w:rsidR="008438CF" w:rsidRDefault="008438CF" w:rsidP="00064F31">
      <w:pPr>
        <w:spacing w:line="360" w:lineRule="auto"/>
        <w:rPr>
          <w:rFonts w:cs="Times New Roman"/>
          <w:lang w:val="en-GB"/>
        </w:rPr>
      </w:pPr>
      <w:r>
        <w:rPr>
          <w:rFonts w:cs="Times New Roman"/>
          <w:lang w:val="en-GB"/>
        </w:rPr>
        <w:t xml:space="preserve">Rarefaction analysis suggested that the number </w:t>
      </w:r>
      <w:r w:rsidR="009E3B10">
        <w:rPr>
          <w:rFonts w:cs="Times New Roman"/>
          <w:lang w:val="en-GB"/>
        </w:rPr>
        <w:t>of AM</w:t>
      </w:r>
      <w:r w:rsidR="006A77C4">
        <w:rPr>
          <w:rFonts w:cs="Times New Roman"/>
          <w:lang w:val="en-GB"/>
        </w:rPr>
        <w:t xml:space="preserve"> </w:t>
      </w:r>
      <w:r w:rsidR="006A77C4" w:rsidRPr="007D3D59">
        <w:rPr>
          <w:rStyle w:val="ResponseChar"/>
        </w:rPr>
        <w:t>fungal</w:t>
      </w:r>
      <w:r w:rsidR="009E3B10">
        <w:rPr>
          <w:rFonts w:cs="Times New Roman"/>
          <w:lang w:val="en-GB"/>
        </w:rPr>
        <w:t xml:space="preserve"> reads per sample for 454 </w:t>
      </w:r>
      <w:r>
        <w:rPr>
          <w:rFonts w:cs="Times New Roman"/>
          <w:lang w:val="en-GB"/>
        </w:rPr>
        <w:t>sequencing and Illumina</w:t>
      </w:r>
      <w:r w:rsidR="009E3B10">
        <w:rPr>
          <w:rFonts w:cs="Times New Roman"/>
          <w:lang w:val="en-GB"/>
        </w:rPr>
        <w:t xml:space="preserve"> </w:t>
      </w:r>
      <w:r>
        <w:rPr>
          <w:rFonts w:cs="Times New Roman"/>
          <w:lang w:val="en-GB"/>
        </w:rPr>
        <w:t>sequencing was generally sufficient to produce asymptotic estimates of VT richness per sample</w:t>
      </w:r>
      <w:r w:rsidR="00D25D6E">
        <w:rPr>
          <w:rFonts w:cs="Times New Roman"/>
          <w:lang w:val="en-GB"/>
        </w:rPr>
        <w:t xml:space="preserve"> (Fig. S</w:t>
      </w:r>
      <w:r w:rsidR="005B2DB3">
        <w:rPr>
          <w:rFonts w:cs="Times New Roman"/>
          <w:lang w:val="en-GB"/>
        </w:rPr>
        <w:t>10</w:t>
      </w:r>
      <w:r w:rsidR="00DE4D43">
        <w:rPr>
          <w:rFonts w:cs="Times New Roman"/>
          <w:lang w:val="en-GB"/>
        </w:rPr>
        <w:t>)</w:t>
      </w:r>
      <w:r>
        <w:rPr>
          <w:rFonts w:cs="Times New Roman"/>
          <w:lang w:val="en-GB"/>
        </w:rPr>
        <w:t xml:space="preserve">. </w:t>
      </w:r>
      <w:r w:rsidR="006A77C4" w:rsidRPr="007D3D59">
        <w:rPr>
          <w:rStyle w:val="ResponseChar"/>
        </w:rPr>
        <w:t>AM fungal</w:t>
      </w:r>
      <w:r w:rsidR="00E2307D" w:rsidRPr="007D3D59">
        <w:rPr>
          <w:rStyle w:val="ResponseChar"/>
        </w:rPr>
        <w:t xml:space="preserve"> richness per sample </w:t>
      </w:r>
      <w:r w:rsidR="00A95D00" w:rsidRPr="007D3D59">
        <w:rPr>
          <w:rStyle w:val="ResponseChar"/>
        </w:rPr>
        <w:t>differed</w:t>
      </w:r>
      <w:r w:rsidR="00E2307D" w:rsidRPr="007D3D59">
        <w:rPr>
          <w:rStyle w:val="ResponseChar"/>
        </w:rPr>
        <w:t xml:space="preserve"> </w:t>
      </w:r>
      <w:r w:rsidR="00A95D00" w:rsidRPr="007D3D59">
        <w:rPr>
          <w:rStyle w:val="ResponseChar"/>
        </w:rPr>
        <w:t>between</w:t>
      </w:r>
      <w:r w:rsidR="00E2307D" w:rsidRPr="007D3D59">
        <w:rPr>
          <w:rStyle w:val="ResponseChar"/>
        </w:rPr>
        <w:t xml:space="preserve"> sequence data type</w:t>
      </w:r>
      <w:r w:rsidR="00A95D00" w:rsidRPr="007D3D59">
        <w:rPr>
          <w:rStyle w:val="ResponseChar"/>
        </w:rPr>
        <w:t>s</w:t>
      </w:r>
      <w:r w:rsidR="00E2307D" w:rsidRPr="007D3D59">
        <w:rPr>
          <w:rStyle w:val="ResponseChar"/>
        </w:rPr>
        <w:t xml:space="preserve"> (</w:t>
      </w:r>
      <w:r w:rsidR="002D268A" w:rsidRPr="007D3D59">
        <w:rPr>
          <w:rStyle w:val="ResponseChar"/>
          <w:i/>
        </w:rPr>
        <w:t>F</w:t>
      </w:r>
      <w:r w:rsidR="002D268A" w:rsidRPr="007D3D59">
        <w:rPr>
          <w:rStyle w:val="ResponseChar"/>
          <w:vertAlign w:val="subscript"/>
        </w:rPr>
        <w:t>3,33</w:t>
      </w:r>
      <w:r w:rsidR="00E2307D" w:rsidRPr="007D3D59">
        <w:rPr>
          <w:rStyle w:val="ResponseChar"/>
        </w:rPr>
        <w:t xml:space="preserve"> = 331.15, </w:t>
      </w:r>
      <w:r w:rsidR="002D268A" w:rsidRPr="007D3D59">
        <w:rPr>
          <w:rStyle w:val="ResponseChar"/>
          <w:i/>
        </w:rPr>
        <w:t>P</w:t>
      </w:r>
      <w:r w:rsidR="00E2307D" w:rsidRPr="007D3D59">
        <w:rPr>
          <w:rStyle w:val="ResponseChar"/>
        </w:rPr>
        <w:t xml:space="preserve"> &lt; 0.001; Fig. 2), but not </w:t>
      </w:r>
      <w:r w:rsidR="00A95D00" w:rsidRPr="007D3D59">
        <w:rPr>
          <w:rStyle w:val="ResponseChar"/>
        </w:rPr>
        <w:t>between</w:t>
      </w:r>
      <w:r w:rsidR="00E2307D" w:rsidRPr="007D3D59">
        <w:rPr>
          <w:rStyle w:val="ResponseChar"/>
        </w:rPr>
        <w:t xml:space="preserve"> host plant species (</w:t>
      </w:r>
      <w:r w:rsidR="002D268A" w:rsidRPr="007D3D59">
        <w:rPr>
          <w:rStyle w:val="ResponseChar"/>
          <w:i/>
        </w:rPr>
        <w:t>F</w:t>
      </w:r>
      <w:r w:rsidR="002D268A" w:rsidRPr="007D3D59">
        <w:rPr>
          <w:rStyle w:val="ResponseChar"/>
          <w:vertAlign w:val="subscript"/>
        </w:rPr>
        <w:t>1,10</w:t>
      </w:r>
      <w:r w:rsidR="00E2307D" w:rsidRPr="007D3D59">
        <w:rPr>
          <w:rStyle w:val="ResponseChar"/>
        </w:rPr>
        <w:t xml:space="preserve"> = 0.02, </w:t>
      </w:r>
      <w:r w:rsidR="002D268A" w:rsidRPr="007D3D59">
        <w:rPr>
          <w:rStyle w:val="ResponseChar"/>
          <w:i/>
        </w:rPr>
        <w:t>P</w:t>
      </w:r>
      <w:r w:rsidR="00E2307D" w:rsidRPr="007D3D59">
        <w:rPr>
          <w:rStyle w:val="ResponseChar"/>
        </w:rPr>
        <w:t xml:space="preserve"> = 0.90). </w:t>
      </w:r>
      <w:r w:rsidRPr="003A6273">
        <w:rPr>
          <w:rFonts w:cs="Times New Roman"/>
          <w:lang w:val="en-GB"/>
        </w:rPr>
        <w:t xml:space="preserve">Specifically, </w:t>
      </w:r>
      <w:r>
        <w:rPr>
          <w:rFonts w:cs="Times New Roman"/>
          <w:lang w:val="en-GB"/>
        </w:rPr>
        <w:t xml:space="preserve">the </w:t>
      </w:r>
      <w:r w:rsidRPr="003A6273">
        <w:rPr>
          <w:rFonts w:cs="Times New Roman"/>
          <w:lang w:val="en-GB"/>
        </w:rPr>
        <w:t xml:space="preserve">mean number of VT per sample was </w:t>
      </w:r>
      <w:r w:rsidRPr="003A6273">
        <w:rPr>
          <w:rFonts w:cs="Times New Roman"/>
          <w:i/>
          <w:lang w:val="en-GB"/>
        </w:rPr>
        <w:t>c.</w:t>
      </w:r>
      <w:r w:rsidRPr="003A6273">
        <w:rPr>
          <w:rFonts w:cs="Times New Roman"/>
          <w:lang w:val="en-GB"/>
        </w:rPr>
        <w:t xml:space="preserve"> </w:t>
      </w:r>
      <w:r>
        <w:rPr>
          <w:rFonts w:cs="Times New Roman"/>
          <w:lang w:val="en-GB"/>
        </w:rPr>
        <w:t>5-10</w:t>
      </w:r>
      <w:r w:rsidRPr="003A6273">
        <w:rPr>
          <w:rFonts w:cs="Times New Roman"/>
          <w:lang w:val="en-GB"/>
        </w:rPr>
        <w:t xml:space="preserve"> times higher </w:t>
      </w:r>
      <w:r>
        <w:rPr>
          <w:rFonts w:cs="Times New Roman"/>
          <w:lang w:val="en-GB"/>
        </w:rPr>
        <w:t>among</w:t>
      </w:r>
      <w:r w:rsidRPr="003A6273">
        <w:rPr>
          <w:rFonts w:cs="Times New Roman"/>
          <w:lang w:val="en-GB"/>
        </w:rPr>
        <w:t xml:space="preserve"> </w:t>
      </w:r>
      <w:r w:rsidR="009B56F9">
        <w:rPr>
          <w:rFonts w:cs="Times New Roman"/>
          <w:lang w:val="en-GB"/>
        </w:rPr>
        <w:t>Ill</w:t>
      </w:r>
      <w:r w:rsidR="0050426F">
        <w:rPr>
          <w:rFonts w:cs="Times New Roman"/>
          <w:lang w:val="en-GB"/>
        </w:rPr>
        <w:t>-qf</w:t>
      </w:r>
      <w:r w:rsidRPr="003A6273">
        <w:rPr>
          <w:rFonts w:cs="Times New Roman"/>
          <w:lang w:val="en-GB"/>
        </w:rPr>
        <w:t xml:space="preserve"> reads</w:t>
      </w:r>
      <w:r w:rsidR="00570C9B">
        <w:rPr>
          <w:rFonts w:cs="Times New Roman"/>
          <w:lang w:val="en-GB"/>
        </w:rPr>
        <w:t xml:space="preserve"> </w:t>
      </w:r>
      <w:r>
        <w:rPr>
          <w:rFonts w:cs="Times New Roman"/>
          <w:lang w:val="en-GB"/>
        </w:rPr>
        <w:t>than</w:t>
      </w:r>
      <w:r w:rsidRPr="003A6273">
        <w:rPr>
          <w:rFonts w:cs="Times New Roman"/>
          <w:lang w:val="en-GB"/>
        </w:rPr>
        <w:t xml:space="preserve"> </w:t>
      </w:r>
      <w:r>
        <w:rPr>
          <w:rFonts w:cs="Times New Roman"/>
          <w:lang w:val="en-GB"/>
        </w:rPr>
        <w:t xml:space="preserve">among </w:t>
      </w:r>
      <w:r w:rsidR="009B56F9">
        <w:rPr>
          <w:rFonts w:cs="Times New Roman"/>
          <w:lang w:val="en-GB"/>
        </w:rPr>
        <w:t>Ill</w:t>
      </w:r>
      <w:r w:rsidR="0050426F">
        <w:rPr>
          <w:rFonts w:cs="Times New Roman"/>
          <w:lang w:val="en-GB"/>
        </w:rPr>
        <w:t>-t</w:t>
      </w:r>
      <w:r>
        <w:rPr>
          <w:rFonts w:cs="Times New Roman"/>
          <w:lang w:val="en-GB"/>
        </w:rPr>
        <w:t xml:space="preserve"> </w:t>
      </w:r>
      <w:r w:rsidR="00DE4D43">
        <w:rPr>
          <w:rFonts w:cs="Times New Roman"/>
          <w:lang w:val="en-GB"/>
        </w:rPr>
        <w:t>reads</w:t>
      </w:r>
      <w:r w:rsidR="000C406A">
        <w:rPr>
          <w:rFonts w:cs="Times New Roman"/>
          <w:lang w:val="en-GB"/>
        </w:rPr>
        <w:t xml:space="preserve"> </w:t>
      </w:r>
      <w:r w:rsidRPr="003A6273">
        <w:rPr>
          <w:rFonts w:cs="Times New Roman"/>
          <w:lang w:val="en-GB"/>
        </w:rPr>
        <w:t xml:space="preserve">(Fig. </w:t>
      </w:r>
      <w:r>
        <w:rPr>
          <w:rFonts w:cs="Times New Roman"/>
          <w:lang w:val="en-GB"/>
        </w:rPr>
        <w:t>2</w:t>
      </w:r>
      <w:r w:rsidRPr="003A6273">
        <w:rPr>
          <w:rFonts w:cs="Times New Roman"/>
          <w:lang w:val="en-GB"/>
        </w:rPr>
        <w:t>)</w:t>
      </w:r>
      <w:r w:rsidR="00C64238">
        <w:rPr>
          <w:rFonts w:cs="Times New Roman"/>
          <w:lang w:val="en-GB"/>
        </w:rPr>
        <w:t xml:space="preserve">, </w:t>
      </w:r>
      <w:r w:rsidR="00C6248D">
        <w:rPr>
          <w:rFonts w:cs="Times New Roman"/>
          <w:lang w:val="en-GB"/>
        </w:rPr>
        <w:t xml:space="preserve">reflecting </w:t>
      </w:r>
      <w:r w:rsidR="00C64238">
        <w:rPr>
          <w:rFonts w:cs="Times New Roman"/>
          <w:lang w:val="en-GB"/>
        </w:rPr>
        <w:t>inflated richness estimation in the former set</w:t>
      </w:r>
      <w:r w:rsidRPr="003A6273">
        <w:rPr>
          <w:rFonts w:cs="Times New Roman"/>
          <w:lang w:val="en-GB"/>
        </w:rPr>
        <w:t>.</w:t>
      </w:r>
      <w:r>
        <w:rPr>
          <w:rFonts w:cs="Times New Roman"/>
          <w:lang w:val="en-GB"/>
        </w:rPr>
        <w:t xml:space="preserve"> </w:t>
      </w:r>
      <w:r w:rsidR="00C6248D">
        <w:rPr>
          <w:rFonts w:cs="Times New Roman"/>
          <w:lang w:val="en-GB"/>
        </w:rPr>
        <w:t xml:space="preserve">Ill-t had higher sequencing depth but lower observed richness compared with 454 sequencing (Fig. 2), and neither approach exhibited a positive relationship between sequencing depth and richness (Fig. S11). </w:t>
      </w:r>
      <w:r w:rsidR="00AC4E9E" w:rsidRPr="007D3D59">
        <w:rPr>
          <w:rStyle w:val="ResponseChar"/>
        </w:rPr>
        <w:t>There was no correlation between sample richness estimated using the 454-t and Ill-t approaches (</w:t>
      </w:r>
      <w:r w:rsidR="00E179FD">
        <w:rPr>
          <w:rStyle w:val="ResponseChar"/>
        </w:rPr>
        <w:t xml:space="preserve">Pearson’s </w:t>
      </w:r>
      <w:r w:rsidR="002D268A" w:rsidRPr="00B0201A">
        <w:rPr>
          <w:rStyle w:val="ResponseChar"/>
          <w:i/>
        </w:rPr>
        <w:t>r</w:t>
      </w:r>
      <w:r w:rsidR="00AC4E9E" w:rsidRPr="007D3D59">
        <w:rPr>
          <w:rStyle w:val="ResponseChar"/>
        </w:rPr>
        <w:t xml:space="preserve"> = 0.19, </w:t>
      </w:r>
      <w:r w:rsidR="002D268A" w:rsidRPr="00B0201A">
        <w:rPr>
          <w:rStyle w:val="ResponseChar"/>
          <w:i/>
        </w:rPr>
        <w:t>P</w:t>
      </w:r>
      <w:r w:rsidR="00AC4E9E" w:rsidRPr="007D3D59">
        <w:rPr>
          <w:rStyle w:val="ResponseChar"/>
        </w:rPr>
        <w:t xml:space="preserve"> = 0.55). However, the </w:t>
      </w:r>
      <w:r>
        <w:rPr>
          <w:rFonts w:cs="Times New Roman"/>
          <w:lang w:val="en-GB"/>
        </w:rPr>
        <w:t xml:space="preserve">relative abundance of </w:t>
      </w:r>
      <w:r w:rsidR="00DE4D43">
        <w:rPr>
          <w:rFonts w:cs="Times New Roman"/>
          <w:lang w:val="en-GB"/>
        </w:rPr>
        <w:t xml:space="preserve">individual </w:t>
      </w:r>
      <w:r>
        <w:rPr>
          <w:rFonts w:cs="Times New Roman"/>
          <w:lang w:val="en-GB"/>
        </w:rPr>
        <w:t xml:space="preserve">VT in </w:t>
      </w:r>
      <w:r w:rsidR="009B56F9">
        <w:rPr>
          <w:rFonts w:cs="Times New Roman"/>
          <w:lang w:val="en-GB"/>
        </w:rPr>
        <w:t>454</w:t>
      </w:r>
      <w:r w:rsidR="0050426F">
        <w:rPr>
          <w:rFonts w:cs="Times New Roman"/>
          <w:lang w:val="en-GB"/>
        </w:rPr>
        <w:t>-t</w:t>
      </w:r>
      <w:r>
        <w:rPr>
          <w:rFonts w:cs="Times New Roman"/>
          <w:lang w:val="en-GB"/>
        </w:rPr>
        <w:t xml:space="preserve"> and </w:t>
      </w:r>
      <w:r w:rsidR="009B56F9">
        <w:rPr>
          <w:rFonts w:cs="Times New Roman"/>
          <w:lang w:val="en-GB"/>
        </w:rPr>
        <w:t>Ill</w:t>
      </w:r>
      <w:r w:rsidR="0050426F">
        <w:rPr>
          <w:rFonts w:cs="Times New Roman"/>
          <w:lang w:val="en-GB"/>
        </w:rPr>
        <w:t>-t</w:t>
      </w:r>
      <w:r w:rsidR="009B56F9">
        <w:rPr>
          <w:rFonts w:cs="Times New Roman"/>
          <w:lang w:val="en-GB"/>
        </w:rPr>
        <w:t xml:space="preserve"> </w:t>
      </w:r>
      <w:r>
        <w:rPr>
          <w:rFonts w:cs="Times New Roman"/>
          <w:lang w:val="en-GB"/>
        </w:rPr>
        <w:t>sets was highly correlated (</w:t>
      </w:r>
      <w:r w:rsidR="00C6248D">
        <w:rPr>
          <w:rFonts w:cs="Times New Roman"/>
          <w:lang w:val="en-GB"/>
        </w:rPr>
        <w:t xml:space="preserve">Pearson’s </w:t>
      </w:r>
      <w:r w:rsidRPr="002C2A55">
        <w:rPr>
          <w:rFonts w:cs="Times New Roman"/>
          <w:i/>
          <w:lang w:val="en-GB"/>
        </w:rPr>
        <w:t>r</w:t>
      </w:r>
      <w:r w:rsidR="002C2A55">
        <w:rPr>
          <w:rFonts w:cs="Times New Roman"/>
          <w:lang w:val="en-GB"/>
        </w:rPr>
        <w:t xml:space="preserve"> </w:t>
      </w:r>
      <w:r>
        <w:rPr>
          <w:rFonts w:cs="Times New Roman"/>
          <w:lang w:val="en-GB"/>
        </w:rPr>
        <w:t>=</w:t>
      </w:r>
      <w:r w:rsidR="002C2A55">
        <w:rPr>
          <w:rFonts w:cs="Times New Roman"/>
          <w:lang w:val="en-GB"/>
        </w:rPr>
        <w:t xml:space="preserve"> </w:t>
      </w:r>
      <w:r>
        <w:rPr>
          <w:rFonts w:cs="Times New Roman"/>
          <w:lang w:val="en-GB"/>
        </w:rPr>
        <w:t>0.92</w:t>
      </w:r>
      <w:r w:rsidR="00EC3148">
        <w:rPr>
          <w:rFonts w:cs="Times New Roman"/>
          <w:lang w:val="en-GB"/>
        </w:rPr>
        <w:t xml:space="preserve">, </w:t>
      </w:r>
      <w:r w:rsidR="00BF1584" w:rsidRPr="00BF1584">
        <w:rPr>
          <w:rFonts w:cs="Times New Roman"/>
          <w:i/>
          <w:lang w:val="en-GB"/>
        </w:rPr>
        <w:t>P</w:t>
      </w:r>
      <w:r w:rsidR="00EC3148">
        <w:rPr>
          <w:rFonts w:cs="Times New Roman"/>
          <w:lang w:val="en-GB"/>
        </w:rPr>
        <w:t xml:space="preserve"> &lt; 0.001</w:t>
      </w:r>
      <w:r>
        <w:rPr>
          <w:rFonts w:cs="Times New Roman"/>
          <w:lang w:val="en-GB"/>
        </w:rPr>
        <w:t>; Fig. 3)</w:t>
      </w:r>
      <w:r w:rsidR="00524A7C">
        <w:rPr>
          <w:rFonts w:cs="Times New Roman"/>
          <w:lang w:val="en-GB"/>
        </w:rPr>
        <w:t xml:space="preserve"> and</w:t>
      </w:r>
      <w:r w:rsidR="0003122E">
        <w:rPr>
          <w:rFonts w:cs="Times New Roman"/>
          <w:lang w:val="en-GB"/>
        </w:rPr>
        <w:t xml:space="preserve"> the</w:t>
      </w:r>
      <w:r w:rsidR="00524A7C">
        <w:rPr>
          <w:rFonts w:cs="Times New Roman"/>
          <w:lang w:val="en-GB"/>
        </w:rPr>
        <w:t xml:space="preserve"> most abundant VT</w:t>
      </w:r>
      <w:r w:rsidR="0003122E">
        <w:rPr>
          <w:rFonts w:cs="Times New Roman"/>
          <w:lang w:val="en-GB"/>
        </w:rPr>
        <w:t xml:space="preserve"> </w:t>
      </w:r>
      <w:r w:rsidR="00C6248D">
        <w:rPr>
          <w:rFonts w:cs="Times New Roman"/>
          <w:lang w:val="en-GB"/>
        </w:rPr>
        <w:t xml:space="preserve">was </w:t>
      </w:r>
      <w:r w:rsidR="0003122E">
        <w:rPr>
          <w:rFonts w:cs="Times New Roman"/>
          <w:lang w:val="en-GB"/>
        </w:rPr>
        <w:t>VT74</w:t>
      </w:r>
      <w:r w:rsidR="004718DF">
        <w:rPr>
          <w:rFonts w:cs="Times New Roman"/>
          <w:lang w:val="en-GB"/>
        </w:rPr>
        <w:t xml:space="preserve"> (</w:t>
      </w:r>
      <w:r w:rsidR="004718DF" w:rsidRPr="004718DF">
        <w:rPr>
          <w:rFonts w:cs="Times New Roman"/>
          <w:i/>
          <w:lang w:val="en-GB"/>
        </w:rPr>
        <w:t>Glomus</w:t>
      </w:r>
      <w:r w:rsidR="004718DF">
        <w:rPr>
          <w:rFonts w:cs="Times New Roman"/>
          <w:lang w:val="en-GB"/>
        </w:rPr>
        <w:t>)</w:t>
      </w:r>
      <w:r w:rsidR="00524A7C">
        <w:rPr>
          <w:rFonts w:cs="Times New Roman"/>
          <w:lang w:val="en-GB"/>
        </w:rPr>
        <w:t xml:space="preserve"> </w:t>
      </w:r>
      <w:r w:rsidR="00C6248D">
        <w:rPr>
          <w:rFonts w:cs="Times New Roman"/>
          <w:lang w:val="en-GB"/>
        </w:rPr>
        <w:t xml:space="preserve">according to </w:t>
      </w:r>
      <w:r w:rsidR="00524A7C">
        <w:rPr>
          <w:rFonts w:cs="Times New Roman"/>
          <w:lang w:val="en-GB"/>
        </w:rPr>
        <w:t xml:space="preserve">both sequencing methods </w:t>
      </w:r>
      <w:r w:rsidR="003156B1">
        <w:rPr>
          <w:rFonts w:cs="Times New Roman"/>
          <w:lang w:val="en-GB"/>
        </w:rPr>
        <w:t xml:space="preserve">(Table S2). </w:t>
      </w:r>
      <w:r w:rsidR="00A95D00" w:rsidRPr="007D3D59">
        <w:rPr>
          <w:rStyle w:val="ResponseChar"/>
        </w:rPr>
        <w:t>The</w:t>
      </w:r>
      <w:r w:rsidR="00F04969">
        <w:rPr>
          <w:rFonts w:cs="Times New Roman"/>
          <w:lang w:val="en-GB"/>
        </w:rPr>
        <w:t xml:space="preserve"> 10 most abundant </w:t>
      </w:r>
      <w:r w:rsidR="002C49C7">
        <w:rPr>
          <w:rFonts w:cs="Times New Roman"/>
          <w:lang w:val="en-GB"/>
        </w:rPr>
        <w:t xml:space="preserve">shared </w:t>
      </w:r>
      <w:r w:rsidR="00F04969">
        <w:rPr>
          <w:rFonts w:cs="Times New Roman"/>
          <w:lang w:val="en-GB"/>
        </w:rPr>
        <w:t xml:space="preserve">VT for both sequencing methods </w:t>
      </w:r>
      <w:r w:rsidR="00A95D00" w:rsidRPr="007D3D59">
        <w:rPr>
          <w:rStyle w:val="ResponseChar"/>
        </w:rPr>
        <w:t>represented</w:t>
      </w:r>
      <w:r w:rsidR="00A95D00">
        <w:rPr>
          <w:rFonts w:cs="Times New Roman"/>
          <w:lang w:val="en-GB"/>
        </w:rPr>
        <w:t xml:space="preserve"> </w:t>
      </w:r>
      <w:r w:rsidR="00F04969">
        <w:rPr>
          <w:rFonts w:cs="Times New Roman"/>
          <w:lang w:val="en-GB"/>
        </w:rPr>
        <w:t>74.8% and 88% of reads for 454-t and Ill-t</w:t>
      </w:r>
      <w:r w:rsidR="00A95D00">
        <w:rPr>
          <w:rFonts w:cs="Times New Roman"/>
          <w:lang w:val="en-GB"/>
        </w:rPr>
        <w:t>,</w:t>
      </w:r>
      <w:r w:rsidR="00F04969">
        <w:rPr>
          <w:rFonts w:cs="Times New Roman"/>
          <w:lang w:val="en-GB"/>
        </w:rPr>
        <w:t xml:space="preserve"> respectively. </w:t>
      </w:r>
      <w:r w:rsidR="007C7E33" w:rsidRPr="007D3D59">
        <w:rPr>
          <w:rStyle w:val="ResponseChar"/>
        </w:rPr>
        <w:t>There was no correlation between dry root weight</w:t>
      </w:r>
      <w:r w:rsidR="00045AA1" w:rsidRPr="007D3D59">
        <w:rPr>
          <w:rStyle w:val="ResponseChar"/>
        </w:rPr>
        <w:t xml:space="preserve"> and sequence depth or </w:t>
      </w:r>
      <w:r w:rsidR="007C7E33" w:rsidRPr="007D3D59">
        <w:rPr>
          <w:rStyle w:val="ResponseChar"/>
        </w:rPr>
        <w:t>recorded AM fungal richness (Fig.</w:t>
      </w:r>
      <w:r w:rsidR="00911A16" w:rsidRPr="007D3D59">
        <w:rPr>
          <w:rStyle w:val="ResponseChar"/>
        </w:rPr>
        <w:t xml:space="preserve"> S12</w:t>
      </w:r>
      <w:r w:rsidR="007C7E33" w:rsidRPr="007D3D59">
        <w:rPr>
          <w:rStyle w:val="ResponseChar"/>
        </w:rPr>
        <w:t>).</w:t>
      </w:r>
    </w:p>
    <w:p w:rsidR="008739E4" w:rsidRPr="003A6273" w:rsidRDefault="008739E4" w:rsidP="00064F31">
      <w:pPr>
        <w:spacing w:line="360" w:lineRule="auto"/>
        <w:rPr>
          <w:lang w:val="en-GB"/>
        </w:rPr>
      </w:pPr>
    </w:p>
    <w:p w:rsidR="00FF0BC8" w:rsidRPr="003A6273" w:rsidRDefault="00FF0BC8" w:rsidP="00064F31">
      <w:pPr>
        <w:spacing w:line="360" w:lineRule="auto"/>
        <w:rPr>
          <w:rFonts w:cs="Times New Roman"/>
          <w:i/>
          <w:lang w:val="en-GB"/>
        </w:rPr>
      </w:pPr>
      <w:r w:rsidRPr="003A6273">
        <w:rPr>
          <w:rFonts w:cs="Times New Roman"/>
          <w:i/>
          <w:lang w:val="en-GB"/>
        </w:rPr>
        <w:t>Metagenomic Illumina MiSeq sequencing</w:t>
      </w:r>
    </w:p>
    <w:p w:rsidR="00FF0BC8" w:rsidRDefault="00FF0BC8" w:rsidP="00064F31">
      <w:pPr>
        <w:spacing w:line="360" w:lineRule="auto"/>
        <w:rPr>
          <w:rFonts w:cs="Times New Roman"/>
          <w:lang w:val="en-GB"/>
        </w:rPr>
      </w:pPr>
      <w:r w:rsidRPr="003A6273">
        <w:rPr>
          <w:lang w:val="en-GB"/>
        </w:rPr>
        <w:lastRenderedPageBreak/>
        <w:t>We obtained</w:t>
      </w:r>
      <w:r w:rsidR="0036087D">
        <w:rPr>
          <w:lang w:val="en-GB"/>
        </w:rPr>
        <w:t xml:space="preserve"> a</w:t>
      </w:r>
      <w:r w:rsidRPr="003A6273">
        <w:rPr>
          <w:lang w:val="en-GB"/>
        </w:rPr>
        <w:t xml:space="preserve"> total of 63 371 233 raw </w:t>
      </w:r>
      <w:r w:rsidR="007B200C">
        <w:rPr>
          <w:lang w:val="en-GB"/>
        </w:rPr>
        <w:t xml:space="preserve">metagenomic </w:t>
      </w:r>
      <w:r w:rsidRPr="003A6273">
        <w:rPr>
          <w:lang w:val="en-GB"/>
        </w:rPr>
        <w:t xml:space="preserve">reads in both directions from 12 </w:t>
      </w:r>
      <w:r w:rsidR="007340AF">
        <w:rPr>
          <w:lang w:val="en-GB"/>
        </w:rPr>
        <w:t xml:space="preserve">root </w:t>
      </w:r>
      <w:r w:rsidRPr="003A6273">
        <w:rPr>
          <w:lang w:val="en-GB"/>
        </w:rPr>
        <w:t>samples, with 376 428 to 13 057 950 reads per sample. After adapter removal and quality filtering, combining the forward and reverse reads</w:t>
      </w:r>
      <w:r w:rsidR="007B200C">
        <w:rPr>
          <w:lang w:val="en-GB"/>
        </w:rPr>
        <w:t>,</w:t>
      </w:r>
      <w:r w:rsidRPr="003A6273">
        <w:rPr>
          <w:lang w:val="en-GB"/>
        </w:rPr>
        <w:t xml:space="preserve"> </w:t>
      </w:r>
      <w:r w:rsidR="00560381">
        <w:rPr>
          <w:lang w:val="en-GB"/>
        </w:rPr>
        <w:t xml:space="preserve">a </w:t>
      </w:r>
      <w:r w:rsidRPr="003A6273">
        <w:rPr>
          <w:lang w:val="en-GB"/>
        </w:rPr>
        <w:t>total o</w:t>
      </w:r>
      <w:r w:rsidR="0009550F">
        <w:rPr>
          <w:lang w:val="en-GB"/>
        </w:rPr>
        <w:t>f 21 640 048 paired reads</w:t>
      </w:r>
      <w:r w:rsidR="007B200C">
        <w:rPr>
          <w:lang w:val="en-GB"/>
        </w:rPr>
        <w:t xml:space="preserve"> were retained</w:t>
      </w:r>
      <w:r w:rsidR="0009550F">
        <w:rPr>
          <w:lang w:val="en-GB"/>
        </w:rPr>
        <w:t xml:space="preserve"> (</w:t>
      </w:r>
      <w:r w:rsidRPr="003A6273">
        <w:rPr>
          <w:lang w:val="en-GB"/>
        </w:rPr>
        <w:t>34.</w:t>
      </w:r>
      <w:r w:rsidR="00560381">
        <w:rPr>
          <w:lang w:val="en-GB"/>
        </w:rPr>
        <w:t>2</w:t>
      </w:r>
      <w:r w:rsidRPr="003A6273">
        <w:rPr>
          <w:lang w:val="en-GB"/>
        </w:rPr>
        <w:t xml:space="preserve">% of raw </w:t>
      </w:r>
      <w:r w:rsidR="0009550F">
        <w:rPr>
          <w:lang w:val="en-GB"/>
        </w:rPr>
        <w:t>reads</w:t>
      </w:r>
      <w:r w:rsidRPr="003A6273">
        <w:rPr>
          <w:lang w:val="en-GB"/>
        </w:rPr>
        <w:t xml:space="preserve">), with 32 924 to 4 548 256 </w:t>
      </w:r>
      <w:r w:rsidR="007D3D8F">
        <w:rPr>
          <w:lang w:val="en-GB"/>
        </w:rPr>
        <w:t>paired reads per sample (Fig. S4</w:t>
      </w:r>
      <w:r w:rsidRPr="003A6273">
        <w:rPr>
          <w:lang w:val="en-GB"/>
        </w:rPr>
        <w:t xml:space="preserve">). </w:t>
      </w:r>
      <w:r w:rsidR="0009550F">
        <w:rPr>
          <w:lang w:val="en-GB"/>
        </w:rPr>
        <w:t xml:space="preserve">Identification </w:t>
      </w:r>
      <w:r w:rsidR="0009550F" w:rsidRPr="003A6273">
        <w:rPr>
          <w:lang w:val="en-GB"/>
        </w:rPr>
        <w:t>against</w:t>
      </w:r>
      <w:r w:rsidR="0009550F">
        <w:rPr>
          <w:lang w:val="en-GB"/>
        </w:rPr>
        <w:t xml:space="preserve"> the</w:t>
      </w:r>
      <w:r w:rsidR="0009550F" w:rsidRPr="003A6273">
        <w:rPr>
          <w:lang w:val="en-GB"/>
        </w:rPr>
        <w:t xml:space="preserve"> Maarj</w:t>
      </w:r>
      <w:r w:rsidR="0009550F" w:rsidRPr="003A6273">
        <w:rPr>
          <w:i/>
          <w:lang w:val="en-GB"/>
        </w:rPr>
        <w:t>AM</w:t>
      </w:r>
      <w:r w:rsidR="0009550F" w:rsidRPr="003A6273">
        <w:rPr>
          <w:lang w:val="en-GB"/>
        </w:rPr>
        <w:t xml:space="preserve"> database </w:t>
      </w:r>
      <w:r w:rsidR="0009550F">
        <w:rPr>
          <w:lang w:val="en-GB"/>
        </w:rPr>
        <w:t>resulted in</w:t>
      </w:r>
      <w:r w:rsidR="00A31F78">
        <w:rPr>
          <w:lang w:val="en-GB"/>
        </w:rPr>
        <w:t xml:space="preserve"> only 309</w:t>
      </w:r>
      <w:r w:rsidRPr="003A6273">
        <w:rPr>
          <w:lang w:val="en-GB"/>
        </w:rPr>
        <w:t xml:space="preserve"> hits,</w:t>
      </w:r>
      <w:r w:rsidR="009F417D">
        <w:rPr>
          <w:lang w:val="en-GB"/>
        </w:rPr>
        <w:t xml:space="preserve"> on average</w:t>
      </w:r>
      <w:r w:rsidR="00A31F78">
        <w:rPr>
          <w:rFonts w:cs="Times New Roman"/>
          <w:lang w:val="en-GB"/>
        </w:rPr>
        <w:t xml:space="preserve"> 26</w:t>
      </w:r>
      <w:r w:rsidRPr="003A6273">
        <w:rPr>
          <w:rFonts w:cs="Times New Roman"/>
          <w:lang w:val="en-GB"/>
        </w:rPr>
        <w:t xml:space="preserve"> sequences per sample</w:t>
      </w:r>
      <w:r w:rsidR="0009550F">
        <w:rPr>
          <w:rFonts w:cs="Times New Roman"/>
          <w:lang w:val="en-GB"/>
        </w:rPr>
        <w:t xml:space="preserve">, </w:t>
      </w:r>
      <w:r w:rsidR="00C6248D">
        <w:rPr>
          <w:rFonts w:cs="Times New Roman"/>
          <w:lang w:val="en-GB"/>
        </w:rPr>
        <w:t xml:space="preserve">to </w:t>
      </w:r>
      <w:r w:rsidR="00A31F78">
        <w:rPr>
          <w:rFonts w:cs="Times New Roman"/>
          <w:lang w:val="en-GB"/>
        </w:rPr>
        <w:t>16</w:t>
      </w:r>
      <w:r w:rsidR="0009550F">
        <w:rPr>
          <w:rFonts w:cs="Times New Roman"/>
          <w:lang w:val="en-GB"/>
        </w:rPr>
        <w:t xml:space="preserve"> VT</w:t>
      </w:r>
      <w:r w:rsidR="007340AF">
        <w:rPr>
          <w:rFonts w:cs="Times New Roman"/>
          <w:lang w:val="en-GB"/>
        </w:rPr>
        <w:t>, including 5 singleton VT</w:t>
      </w:r>
      <w:r w:rsidR="00093226">
        <w:rPr>
          <w:rFonts w:cs="Times New Roman"/>
          <w:lang w:val="en-GB"/>
        </w:rPr>
        <w:t>.</w:t>
      </w:r>
    </w:p>
    <w:p w:rsidR="002C278A" w:rsidRPr="003A6273" w:rsidRDefault="00FF0BC8" w:rsidP="00297A98">
      <w:pPr>
        <w:spacing w:line="360" w:lineRule="auto"/>
        <w:ind w:firstLine="709"/>
        <w:rPr>
          <w:lang w:val="en-GB"/>
        </w:rPr>
      </w:pPr>
      <w:r w:rsidRPr="003A6273">
        <w:rPr>
          <w:rFonts w:cs="Times New Roman"/>
          <w:lang w:val="en-GB"/>
        </w:rPr>
        <w:t xml:space="preserve">We </w:t>
      </w:r>
      <w:r w:rsidR="0009550F">
        <w:rPr>
          <w:rFonts w:cs="Times New Roman"/>
          <w:lang w:val="en-GB"/>
        </w:rPr>
        <w:t xml:space="preserve">further </w:t>
      </w:r>
      <w:r w:rsidRPr="003A6273">
        <w:rPr>
          <w:rFonts w:cs="Times New Roman"/>
          <w:lang w:val="en-GB"/>
        </w:rPr>
        <w:t xml:space="preserve">filtered paired reads </w:t>
      </w:r>
      <w:r w:rsidR="00800A1E">
        <w:rPr>
          <w:rFonts w:cs="Times New Roman"/>
          <w:lang w:val="en-GB"/>
        </w:rPr>
        <w:t>for</w:t>
      </w:r>
      <w:r w:rsidR="0009550F">
        <w:rPr>
          <w:rFonts w:cs="Times New Roman"/>
          <w:lang w:val="en-GB"/>
        </w:rPr>
        <w:t xml:space="preserve"> GC content</w:t>
      </w:r>
      <w:r w:rsidRPr="003A6273">
        <w:rPr>
          <w:rFonts w:cs="Times New Roman"/>
          <w:lang w:val="en-GB"/>
        </w:rPr>
        <w:t xml:space="preserve"> between 20% </w:t>
      </w:r>
      <w:r w:rsidR="00560381">
        <w:rPr>
          <w:rFonts w:cs="Times New Roman"/>
          <w:lang w:val="en-GB"/>
        </w:rPr>
        <w:t>and</w:t>
      </w:r>
      <w:r w:rsidR="00560381" w:rsidRPr="003A6273">
        <w:rPr>
          <w:rFonts w:cs="Times New Roman"/>
          <w:lang w:val="en-GB"/>
        </w:rPr>
        <w:t xml:space="preserve"> </w:t>
      </w:r>
      <w:r w:rsidRPr="003A6273">
        <w:rPr>
          <w:rFonts w:cs="Times New Roman"/>
          <w:lang w:val="en-GB"/>
        </w:rPr>
        <w:t>42%</w:t>
      </w:r>
      <w:r w:rsidR="0009550F">
        <w:rPr>
          <w:rFonts w:cs="Times New Roman"/>
          <w:lang w:val="en-GB"/>
        </w:rPr>
        <w:t xml:space="preserve">, </w:t>
      </w:r>
      <w:r w:rsidR="007B200C">
        <w:rPr>
          <w:rFonts w:cs="Times New Roman"/>
          <w:lang w:val="en-GB"/>
        </w:rPr>
        <w:t>retaining</w:t>
      </w:r>
      <w:r w:rsidRPr="003A6273">
        <w:rPr>
          <w:rFonts w:cs="Times New Roman"/>
          <w:lang w:val="en-GB"/>
        </w:rPr>
        <w:t xml:space="preserve"> 8 598</w:t>
      </w:r>
      <w:r w:rsidR="007B200C">
        <w:rPr>
          <w:rFonts w:cs="Times New Roman"/>
          <w:lang w:val="en-GB"/>
        </w:rPr>
        <w:t> </w:t>
      </w:r>
      <w:r w:rsidRPr="003A6273">
        <w:rPr>
          <w:rFonts w:cs="Times New Roman"/>
          <w:lang w:val="en-GB"/>
        </w:rPr>
        <w:t>087</w:t>
      </w:r>
      <w:r w:rsidR="007B200C">
        <w:rPr>
          <w:rFonts w:cs="Times New Roman"/>
          <w:lang w:val="en-GB"/>
        </w:rPr>
        <w:t xml:space="preserve"> reads, </w:t>
      </w:r>
      <w:r w:rsidRPr="003A6273">
        <w:rPr>
          <w:rFonts w:cs="Times New Roman"/>
          <w:lang w:val="en-GB"/>
        </w:rPr>
        <w:t>assembl</w:t>
      </w:r>
      <w:r w:rsidR="0009550F">
        <w:rPr>
          <w:rFonts w:cs="Times New Roman"/>
          <w:lang w:val="en-GB"/>
        </w:rPr>
        <w:t>ed</w:t>
      </w:r>
      <w:r w:rsidRPr="003A6273">
        <w:rPr>
          <w:rFonts w:cs="Times New Roman"/>
          <w:lang w:val="en-GB"/>
        </w:rPr>
        <w:t xml:space="preserve"> </w:t>
      </w:r>
      <w:r w:rsidR="007B200C">
        <w:rPr>
          <w:rFonts w:cs="Times New Roman"/>
          <w:lang w:val="en-GB"/>
        </w:rPr>
        <w:t>into</w:t>
      </w:r>
      <w:r w:rsidR="00560381">
        <w:rPr>
          <w:rFonts w:cs="Times New Roman"/>
          <w:lang w:val="en-GB"/>
        </w:rPr>
        <w:t xml:space="preserve"> </w:t>
      </w:r>
      <w:r w:rsidRPr="003A6273">
        <w:rPr>
          <w:rFonts w:cs="Times New Roman"/>
          <w:lang w:val="en-GB"/>
        </w:rPr>
        <w:t>46 653 contigs among 1 334 793 sequences</w:t>
      </w:r>
      <w:r w:rsidR="00306949">
        <w:rPr>
          <w:rFonts w:cs="Times New Roman"/>
          <w:lang w:val="en-GB"/>
        </w:rPr>
        <w:t>. C</w:t>
      </w:r>
      <w:r w:rsidRPr="003A6273">
        <w:rPr>
          <w:rFonts w:cs="Times New Roman"/>
          <w:lang w:val="en-GB"/>
        </w:rPr>
        <w:t>ontig</w:t>
      </w:r>
      <w:r w:rsidR="00306949">
        <w:rPr>
          <w:rFonts w:cs="Times New Roman"/>
          <w:lang w:val="en-GB"/>
        </w:rPr>
        <w:t xml:space="preserve"> length ranged from</w:t>
      </w:r>
      <w:r w:rsidR="00560381">
        <w:rPr>
          <w:rFonts w:cs="Times New Roman"/>
          <w:lang w:val="en-GB"/>
        </w:rPr>
        <w:t xml:space="preserve"> </w:t>
      </w:r>
      <w:r w:rsidRPr="003A6273">
        <w:rPr>
          <w:rFonts w:cs="Times New Roman"/>
          <w:lang w:val="en-GB"/>
        </w:rPr>
        <w:t>7682</w:t>
      </w:r>
      <w:r w:rsidR="00306949">
        <w:rPr>
          <w:rFonts w:cs="Times New Roman"/>
          <w:lang w:val="en-GB"/>
        </w:rPr>
        <w:t xml:space="preserve"> to </w:t>
      </w:r>
      <w:r w:rsidRPr="003A6273">
        <w:rPr>
          <w:rFonts w:cs="Times New Roman"/>
          <w:lang w:val="en-GB"/>
        </w:rPr>
        <w:t xml:space="preserve">30 345 </w:t>
      </w:r>
      <w:r w:rsidR="00306949">
        <w:rPr>
          <w:rFonts w:cs="Times New Roman"/>
          <w:lang w:val="en-GB"/>
        </w:rPr>
        <w:t>bp</w:t>
      </w:r>
      <w:r w:rsidRPr="003A6273">
        <w:rPr>
          <w:rFonts w:cs="Times New Roman"/>
          <w:lang w:val="en-GB"/>
        </w:rPr>
        <w:t>. Contigs l</w:t>
      </w:r>
      <w:r w:rsidR="00C6248D">
        <w:rPr>
          <w:rFonts w:cs="Times New Roman"/>
          <w:lang w:val="en-GB"/>
        </w:rPr>
        <w:t>on</w:t>
      </w:r>
      <w:r w:rsidRPr="003A6273">
        <w:rPr>
          <w:rFonts w:cs="Times New Roman"/>
          <w:lang w:val="en-GB"/>
        </w:rPr>
        <w:t xml:space="preserve">ger than 500 bp were </w:t>
      </w:r>
      <w:r w:rsidR="0036087D">
        <w:rPr>
          <w:rFonts w:cs="Times New Roman"/>
          <w:lang w:val="en-GB"/>
        </w:rPr>
        <w:t>subjected to gene prediction with GeneMark-ES</w:t>
      </w:r>
      <w:r w:rsidR="00306949">
        <w:rPr>
          <w:rFonts w:cs="Times New Roman"/>
          <w:lang w:val="en-GB"/>
        </w:rPr>
        <w:t>, resulting in</w:t>
      </w:r>
      <w:r w:rsidRPr="003A6273">
        <w:rPr>
          <w:rFonts w:cs="Times New Roman"/>
          <w:lang w:val="en-GB"/>
        </w:rPr>
        <w:t xml:space="preserve"> 41 732 </w:t>
      </w:r>
      <w:r w:rsidR="009F2D89">
        <w:rPr>
          <w:rFonts w:cs="Times New Roman"/>
          <w:lang w:val="en-GB"/>
        </w:rPr>
        <w:t>potential</w:t>
      </w:r>
      <w:r w:rsidRPr="003A6273">
        <w:rPr>
          <w:rFonts w:cs="Times New Roman"/>
          <w:lang w:val="en-GB"/>
        </w:rPr>
        <w:t xml:space="preserve"> genes</w:t>
      </w:r>
      <w:r w:rsidR="00306949">
        <w:rPr>
          <w:rFonts w:cs="Times New Roman"/>
          <w:lang w:val="en-GB"/>
        </w:rPr>
        <w:t xml:space="preserve"> and </w:t>
      </w:r>
      <w:r w:rsidR="00AE2FCC" w:rsidRPr="007D3D59">
        <w:rPr>
          <w:rStyle w:val="ResponseChar"/>
        </w:rPr>
        <w:t>2728</w:t>
      </w:r>
      <w:r w:rsidR="00AE2FCC">
        <w:rPr>
          <w:rFonts w:cs="Times New Roman"/>
          <w:lang w:val="en-GB"/>
        </w:rPr>
        <w:t xml:space="preserve"> </w:t>
      </w:r>
      <w:r w:rsidR="004A3A2F">
        <w:rPr>
          <w:rFonts w:cs="Times New Roman"/>
          <w:lang w:val="en-GB"/>
        </w:rPr>
        <w:t>protein sequences</w:t>
      </w:r>
      <w:r w:rsidR="00F362AB">
        <w:rPr>
          <w:rFonts w:cs="Times New Roman"/>
          <w:lang w:val="en-GB"/>
        </w:rPr>
        <w:t xml:space="preserve"> </w:t>
      </w:r>
      <w:r w:rsidR="00F362AB" w:rsidRPr="007D3D59">
        <w:rPr>
          <w:rStyle w:val="ResponseChar"/>
        </w:rPr>
        <w:t>(Fig. S4)</w:t>
      </w:r>
      <w:r w:rsidR="00306949" w:rsidRPr="007D3D59">
        <w:rPr>
          <w:rStyle w:val="ResponseChar"/>
        </w:rPr>
        <w:t>.</w:t>
      </w:r>
      <w:r w:rsidR="00306949">
        <w:rPr>
          <w:rFonts w:cs="Times New Roman"/>
          <w:lang w:val="en-GB"/>
        </w:rPr>
        <w:t xml:space="preserve"> Of the latter</w:t>
      </w:r>
      <w:r w:rsidR="00B14962">
        <w:rPr>
          <w:rFonts w:cs="Times New Roman"/>
          <w:lang w:val="en-GB"/>
        </w:rPr>
        <w:t>, 88</w:t>
      </w:r>
      <w:r w:rsidR="004A3A2F">
        <w:rPr>
          <w:rFonts w:cs="Times New Roman"/>
          <w:lang w:val="en-GB"/>
        </w:rPr>
        <w:t xml:space="preserve">% were </w:t>
      </w:r>
      <w:r w:rsidR="00560381">
        <w:rPr>
          <w:rFonts w:cs="Times New Roman"/>
          <w:lang w:val="en-GB"/>
        </w:rPr>
        <w:t>of</w:t>
      </w:r>
      <w:r w:rsidR="004A3A2F">
        <w:rPr>
          <w:rFonts w:cs="Times New Roman"/>
          <w:lang w:val="en-GB"/>
        </w:rPr>
        <w:t xml:space="preserve"> plant origin (Fig. </w:t>
      </w:r>
      <w:r w:rsidR="00A670A7">
        <w:rPr>
          <w:rFonts w:cs="Times New Roman"/>
          <w:lang w:val="en-GB"/>
        </w:rPr>
        <w:t>4</w:t>
      </w:r>
      <w:r w:rsidR="006C6589">
        <w:rPr>
          <w:rFonts w:cs="Times New Roman"/>
          <w:lang w:val="en-GB"/>
        </w:rPr>
        <w:t>a</w:t>
      </w:r>
      <w:r w:rsidR="009F2D89">
        <w:rPr>
          <w:rFonts w:cs="Times New Roman"/>
          <w:lang w:val="en-GB"/>
        </w:rPr>
        <w:t xml:space="preserve">), mostly </w:t>
      </w:r>
      <w:r w:rsidR="009F2D89" w:rsidRPr="00FF36EB">
        <w:rPr>
          <w:rFonts w:cs="Times New Roman"/>
          <w:i/>
          <w:lang w:val="en-GB"/>
        </w:rPr>
        <w:t>Rosaceae</w:t>
      </w:r>
      <w:r w:rsidR="009F2D89">
        <w:rPr>
          <w:rFonts w:cs="Times New Roman"/>
          <w:lang w:val="en-GB"/>
        </w:rPr>
        <w:t xml:space="preserve"> (28% of all reads</w:t>
      </w:r>
      <w:r w:rsidR="004A3A2F">
        <w:rPr>
          <w:rFonts w:cs="Times New Roman"/>
          <w:lang w:val="en-GB"/>
        </w:rPr>
        <w:t>)</w:t>
      </w:r>
      <w:r w:rsidR="00FF36EB">
        <w:rPr>
          <w:rFonts w:cs="Times New Roman"/>
          <w:lang w:val="en-GB"/>
        </w:rPr>
        <w:t xml:space="preserve"> and </w:t>
      </w:r>
      <w:r w:rsidR="00FF36EB" w:rsidRPr="00FF36EB">
        <w:rPr>
          <w:rFonts w:cs="Times New Roman"/>
          <w:i/>
          <w:lang w:val="en-GB"/>
        </w:rPr>
        <w:t>Asparagaceae</w:t>
      </w:r>
      <w:r w:rsidR="004A3A2F">
        <w:rPr>
          <w:rFonts w:cs="Times New Roman"/>
          <w:lang w:val="en-GB"/>
        </w:rPr>
        <w:t xml:space="preserve"> </w:t>
      </w:r>
      <w:r w:rsidR="00FF36EB">
        <w:rPr>
          <w:rFonts w:cs="Times New Roman"/>
          <w:lang w:val="en-GB"/>
        </w:rPr>
        <w:t xml:space="preserve">(12%), </w:t>
      </w:r>
      <w:r w:rsidR="004A3A2F">
        <w:rPr>
          <w:rFonts w:cs="Times New Roman"/>
          <w:lang w:val="en-GB"/>
        </w:rPr>
        <w:t xml:space="preserve">and </w:t>
      </w:r>
      <w:r w:rsidR="005A5ECA" w:rsidRPr="007D3D59">
        <w:rPr>
          <w:rStyle w:val="ResponseChar"/>
        </w:rPr>
        <w:t>11</w:t>
      </w:r>
      <w:r w:rsidR="004A3A2F" w:rsidRPr="007D3D59">
        <w:rPr>
          <w:rStyle w:val="ResponseChar"/>
        </w:rPr>
        <w:t>%</w:t>
      </w:r>
      <w:r w:rsidR="004A3A2F">
        <w:rPr>
          <w:rFonts w:cs="Times New Roman"/>
          <w:lang w:val="en-GB"/>
        </w:rPr>
        <w:t xml:space="preserve"> were </w:t>
      </w:r>
      <w:r w:rsidR="00560381">
        <w:rPr>
          <w:rFonts w:cs="Times New Roman"/>
          <w:lang w:val="en-GB"/>
        </w:rPr>
        <w:t>fungal</w:t>
      </w:r>
      <w:r w:rsidR="007D3D8F">
        <w:rPr>
          <w:rFonts w:cs="Times New Roman"/>
          <w:lang w:val="en-GB"/>
        </w:rPr>
        <w:t xml:space="preserve"> (Fig. </w:t>
      </w:r>
      <w:r w:rsidR="00A670A7">
        <w:rPr>
          <w:rFonts w:cs="Times New Roman"/>
          <w:lang w:val="en-GB"/>
        </w:rPr>
        <w:t>4</w:t>
      </w:r>
      <w:r w:rsidR="006C6589">
        <w:rPr>
          <w:rFonts w:cs="Times New Roman"/>
          <w:lang w:val="en-GB"/>
        </w:rPr>
        <w:t>b</w:t>
      </w:r>
      <w:r w:rsidR="00FB0995">
        <w:rPr>
          <w:rFonts w:cs="Times New Roman"/>
          <w:lang w:val="en-GB"/>
        </w:rPr>
        <w:t>)</w:t>
      </w:r>
      <w:r w:rsidR="004A3A2F">
        <w:rPr>
          <w:rFonts w:cs="Times New Roman"/>
          <w:lang w:val="en-GB"/>
        </w:rPr>
        <w:t xml:space="preserve">, </w:t>
      </w:r>
      <w:r w:rsidR="0036087D">
        <w:rPr>
          <w:rFonts w:cs="Times New Roman"/>
          <w:lang w:val="en-GB"/>
        </w:rPr>
        <w:t>of which most had their closest hit to</w:t>
      </w:r>
      <w:r w:rsidR="004A3A2F">
        <w:rPr>
          <w:rFonts w:cs="Times New Roman"/>
          <w:lang w:val="en-GB"/>
        </w:rPr>
        <w:t xml:space="preserve"> </w:t>
      </w:r>
      <w:r w:rsidR="004A3A2F" w:rsidRPr="009F2D89">
        <w:rPr>
          <w:rFonts w:cs="Times New Roman"/>
          <w:i/>
          <w:lang w:val="en-GB"/>
        </w:rPr>
        <w:t>Rhizophagus irregularis</w:t>
      </w:r>
      <w:r w:rsidR="004A3A2F">
        <w:rPr>
          <w:rFonts w:cs="Times New Roman"/>
          <w:lang w:val="en-GB"/>
        </w:rPr>
        <w:t xml:space="preserve"> (</w:t>
      </w:r>
      <w:r w:rsidR="009F2D89">
        <w:rPr>
          <w:rFonts w:cs="Times New Roman"/>
          <w:lang w:val="en-GB"/>
        </w:rPr>
        <w:t>7%</w:t>
      </w:r>
      <w:r w:rsidR="004A3A2F">
        <w:rPr>
          <w:rFonts w:cs="Times New Roman"/>
          <w:lang w:val="en-GB"/>
        </w:rPr>
        <w:t>).</w:t>
      </w:r>
    </w:p>
    <w:p w:rsidR="002C278A" w:rsidRPr="003A6273" w:rsidRDefault="002C278A" w:rsidP="00064F31">
      <w:pPr>
        <w:pageBreakBefore/>
        <w:spacing w:line="360" w:lineRule="auto"/>
        <w:rPr>
          <w:rFonts w:cs="Times New Roman"/>
          <w:b/>
          <w:lang w:val="en-GB"/>
        </w:rPr>
      </w:pPr>
      <w:r w:rsidRPr="003A6273">
        <w:rPr>
          <w:rFonts w:cs="Times New Roman"/>
          <w:b/>
          <w:lang w:val="en-GB"/>
        </w:rPr>
        <w:lastRenderedPageBreak/>
        <w:t>Discussion</w:t>
      </w:r>
    </w:p>
    <w:p w:rsidR="002C278A" w:rsidRPr="003A6273" w:rsidRDefault="002C278A" w:rsidP="00064F31">
      <w:pPr>
        <w:spacing w:line="360" w:lineRule="auto"/>
        <w:rPr>
          <w:lang w:val="en-GB"/>
        </w:rPr>
      </w:pPr>
    </w:p>
    <w:p w:rsidR="002773BA" w:rsidRDefault="0074754B" w:rsidP="00064F31">
      <w:pPr>
        <w:spacing w:line="360" w:lineRule="auto"/>
        <w:rPr>
          <w:rFonts w:cs="Times New Roman"/>
          <w:lang w:val="en-GB"/>
        </w:rPr>
      </w:pPr>
      <w:r>
        <w:rPr>
          <w:rFonts w:cs="Times New Roman"/>
          <w:lang w:val="en-GB"/>
        </w:rPr>
        <w:t xml:space="preserve">In this study, </w:t>
      </w:r>
      <w:r w:rsidR="002C278A" w:rsidRPr="003A6273">
        <w:rPr>
          <w:rFonts w:cs="Times New Roman"/>
          <w:lang w:val="en-GB"/>
        </w:rPr>
        <w:t>AM</w:t>
      </w:r>
      <w:r w:rsidR="006A77C4">
        <w:rPr>
          <w:rFonts w:cs="Times New Roman"/>
          <w:lang w:val="en-GB"/>
        </w:rPr>
        <w:t xml:space="preserve"> </w:t>
      </w:r>
      <w:r w:rsidR="006A77C4" w:rsidRPr="007D3D59">
        <w:rPr>
          <w:rStyle w:val="ResponseChar"/>
        </w:rPr>
        <w:t>fungal</w:t>
      </w:r>
      <w:r w:rsidR="002C278A" w:rsidRPr="003A6273">
        <w:rPr>
          <w:rFonts w:cs="Times New Roman"/>
          <w:lang w:val="en-GB"/>
        </w:rPr>
        <w:t xml:space="preserve"> communities were described from</w:t>
      </w:r>
      <w:r w:rsidR="00BD70B2" w:rsidRPr="003A6273">
        <w:rPr>
          <w:rFonts w:cs="Times New Roman"/>
          <w:lang w:val="en-GB"/>
        </w:rPr>
        <w:t xml:space="preserve"> </w:t>
      </w:r>
      <w:r w:rsidR="00D200D8">
        <w:rPr>
          <w:rFonts w:cs="Times New Roman"/>
          <w:lang w:val="en-GB"/>
        </w:rPr>
        <w:t>the same set of</w:t>
      </w:r>
      <w:r w:rsidR="00BD70B2" w:rsidRPr="003A6273">
        <w:rPr>
          <w:rFonts w:cs="Times New Roman"/>
          <w:lang w:val="en-GB"/>
        </w:rPr>
        <w:t xml:space="preserve"> plant</w:t>
      </w:r>
      <w:r w:rsidR="00D200D8">
        <w:rPr>
          <w:rFonts w:cs="Times New Roman"/>
          <w:lang w:val="en-GB"/>
        </w:rPr>
        <w:t xml:space="preserve"> root sample</w:t>
      </w:r>
      <w:r w:rsidR="00BD70B2" w:rsidRPr="003A6273">
        <w:rPr>
          <w:rFonts w:cs="Times New Roman"/>
          <w:lang w:val="en-GB"/>
        </w:rPr>
        <w:t>s</w:t>
      </w:r>
      <w:r w:rsidR="002C278A" w:rsidRPr="003A6273">
        <w:rPr>
          <w:rFonts w:cs="Times New Roman"/>
          <w:lang w:val="en-GB"/>
        </w:rPr>
        <w:t xml:space="preserve"> using Illumina MiSeq sequencing of tagmented amplicons</w:t>
      </w:r>
      <w:r w:rsidR="008E30EB">
        <w:rPr>
          <w:rFonts w:cs="Times New Roman"/>
          <w:lang w:val="en-GB"/>
        </w:rPr>
        <w:t xml:space="preserve"> (SSU rRNA gene, </w:t>
      </w:r>
      <w:r w:rsidR="008E30EB" w:rsidRPr="003A6273">
        <w:rPr>
          <w:rFonts w:cs="Times New Roman"/>
          <w:lang w:val="en-GB"/>
        </w:rPr>
        <w:t>NS31-AML2 amplicon</w:t>
      </w:r>
      <w:r w:rsidR="008E30EB">
        <w:rPr>
          <w:rFonts w:cs="Times New Roman"/>
          <w:lang w:val="en-GB"/>
        </w:rPr>
        <w:t>)</w:t>
      </w:r>
      <w:r w:rsidR="002C278A" w:rsidRPr="003A6273">
        <w:rPr>
          <w:rFonts w:cs="Times New Roman"/>
          <w:lang w:val="en-GB"/>
        </w:rPr>
        <w:t xml:space="preserve">, 454 sequencing of the same amplicons and </w:t>
      </w:r>
      <w:r w:rsidR="00BD70B2" w:rsidRPr="003A6273">
        <w:rPr>
          <w:rFonts w:cs="Times New Roman"/>
          <w:lang w:val="en-GB"/>
        </w:rPr>
        <w:t>meta</w:t>
      </w:r>
      <w:r w:rsidR="002C278A" w:rsidRPr="003A6273">
        <w:rPr>
          <w:rFonts w:cs="Times New Roman"/>
          <w:lang w:val="en-GB"/>
        </w:rPr>
        <w:t xml:space="preserve">genomic </w:t>
      </w:r>
      <w:r w:rsidR="00610BF0">
        <w:rPr>
          <w:rFonts w:cs="Times New Roman"/>
          <w:lang w:val="en-GB"/>
        </w:rPr>
        <w:t xml:space="preserve">(i.e. PCR-free) </w:t>
      </w:r>
      <w:r w:rsidR="002C278A" w:rsidRPr="003A6273">
        <w:rPr>
          <w:rFonts w:cs="Times New Roman"/>
          <w:lang w:val="en-GB"/>
        </w:rPr>
        <w:t>shotgun sequencing o</w:t>
      </w:r>
      <w:r w:rsidR="00772692">
        <w:rPr>
          <w:rFonts w:cs="Times New Roman"/>
          <w:lang w:val="en-GB"/>
        </w:rPr>
        <w:t>f</w:t>
      </w:r>
      <w:r w:rsidR="002C278A" w:rsidRPr="003A6273">
        <w:rPr>
          <w:rFonts w:cs="Times New Roman"/>
          <w:lang w:val="en-GB"/>
        </w:rPr>
        <w:t xml:space="preserve"> </w:t>
      </w:r>
      <w:r w:rsidR="00610BF0">
        <w:rPr>
          <w:rFonts w:cs="Times New Roman"/>
          <w:lang w:val="en-GB"/>
        </w:rPr>
        <w:t xml:space="preserve">DNA templates on </w:t>
      </w:r>
      <w:r w:rsidR="002C278A" w:rsidRPr="003A6273">
        <w:rPr>
          <w:rFonts w:cs="Times New Roman"/>
          <w:lang w:val="en-GB"/>
        </w:rPr>
        <w:t>the Illumina MiSeq platform.</w:t>
      </w:r>
      <w:r w:rsidR="006179DD">
        <w:rPr>
          <w:rFonts w:cs="Times New Roman"/>
          <w:lang w:val="en-GB"/>
        </w:rPr>
        <w:t xml:space="preserve"> </w:t>
      </w:r>
      <w:r w:rsidR="007C2C2A" w:rsidRPr="007D3D59">
        <w:rPr>
          <w:rStyle w:val="ResponseChar"/>
        </w:rPr>
        <w:t>We obtained relatively similar estimates of</w:t>
      </w:r>
      <w:r w:rsidR="006A77C4" w:rsidRPr="007D3D59">
        <w:rPr>
          <w:rStyle w:val="ResponseChar"/>
        </w:rPr>
        <w:t xml:space="preserve"> AM</w:t>
      </w:r>
      <w:r w:rsidR="007C2C2A" w:rsidRPr="007D3D59">
        <w:rPr>
          <w:rStyle w:val="ResponseChar"/>
        </w:rPr>
        <w:t xml:space="preserve"> </w:t>
      </w:r>
      <w:r w:rsidR="006A77C4" w:rsidRPr="007D3D59">
        <w:rPr>
          <w:rStyle w:val="ResponseChar"/>
        </w:rPr>
        <w:t xml:space="preserve">fungal </w:t>
      </w:r>
      <w:r w:rsidR="007C2C2A" w:rsidRPr="007D3D59">
        <w:rPr>
          <w:rStyle w:val="ResponseChar"/>
        </w:rPr>
        <w:t>diversity</w:t>
      </w:r>
      <w:r w:rsidR="00045AA1" w:rsidRPr="007D3D59">
        <w:rPr>
          <w:rStyle w:val="ResponseChar"/>
        </w:rPr>
        <w:t xml:space="preserve"> (richness)</w:t>
      </w:r>
      <w:r w:rsidR="007C2C2A" w:rsidRPr="007D3D59">
        <w:rPr>
          <w:rStyle w:val="ResponseChar"/>
        </w:rPr>
        <w:t xml:space="preserve"> with Illumina MiSeq amplicon sequencing and 454 sequencing of the same samples, once reads were carefully quality filtered. This is notable given that Illumina MiSeq sequencing provides two orders of magnitude greater sequencing depth than 454 sequencing. These results show that the increase in sequencing depth per sample with the Illumina appro</w:t>
      </w:r>
      <w:r w:rsidR="006A77C4" w:rsidRPr="007D3D59">
        <w:rPr>
          <w:rStyle w:val="ResponseChar"/>
        </w:rPr>
        <w:t>ach did not further increase AM fungal</w:t>
      </w:r>
      <w:r w:rsidR="007C2C2A" w:rsidRPr="007D3D59">
        <w:rPr>
          <w:rStyle w:val="ResponseChar"/>
        </w:rPr>
        <w:t xml:space="preserve"> diversity</w:t>
      </w:r>
      <w:r w:rsidR="00045AA1" w:rsidRPr="007D3D59">
        <w:rPr>
          <w:rStyle w:val="ResponseChar"/>
        </w:rPr>
        <w:t xml:space="preserve"> (richness)</w:t>
      </w:r>
      <w:r w:rsidR="007C2C2A" w:rsidRPr="007D3D59">
        <w:rPr>
          <w:rStyle w:val="ResponseChar"/>
        </w:rPr>
        <w:t xml:space="preserve"> estimates per sample or total diversity estimates.</w:t>
      </w:r>
      <w:r w:rsidR="007C2C2A">
        <w:rPr>
          <w:rFonts w:cs="Times New Roman"/>
          <w:lang w:val="en-GB"/>
        </w:rPr>
        <w:t xml:space="preserve"> </w:t>
      </w:r>
      <w:r w:rsidR="00610BF0">
        <w:rPr>
          <w:rFonts w:cs="Times New Roman"/>
          <w:lang w:val="en-GB"/>
        </w:rPr>
        <w:t>This is in strong</w:t>
      </w:r>
      <w:r w:rsidR="007D104F">
        <w:rPr>
          <w:rFonts w:cs="Times New Roman"/>
          <w:lang w:val="en-GB"/>
        </w:rPr>
        <w:t xml:space="preserve"> contrast</w:t>
      </w:r>
      <w:r w:rsidR="00610BF0">
        <w:rPr>
          <w:rFonts w:cs="Times New Roman"/>
          <w:lang w:val="en-GB"/>
        </w:rPr>
        <w:t xml:space="preserve"> with</w:t>
      </w:r>
      <w:r w:rsidR="007D104F">
        <w:rPr>
          <w:rFonts w:cs="Times New Roman"/>
          <w:lang w:val="en-GB"/>
        </w:rPr>
        <w:t xml:space="preserve"> the major improvement in</w:t>
      </w:r>
      <w:r w:rsidR="00E129F7">
        <w:rPr>
          <w:rFonts w:cs="Times New Roman"/>
          <w:lang w:val="en-GB"/>
        </w:rPr>
        <w:t xml:space="preserve"> the capture of</w:t>
      </w:r>
      <w:r w:rsidR="007D104F">
        <w:rPr>
          <w:rFonts w:cs="Times New Roman"/>
          <w:lang w:val="en-GB"/>
        </w:rPr>
        <w:t xml:space="preserve"> AM</w:t>
      </w:r>
      <w:r w:rsidR="006A77C4">
        <w:rPr>
          <w:rFonts w:cs="Times New Roman"/>
          <w:lang w:val="en-GB"/>
        </w:rPr>
        <w:t xml:space="preserve"> </w:t>
      </w:r>
      <w:r w:rsidR="006A77C4" w:rsidRPr="007D3D59">
        <w:rPr>
          <w:rStyle w:val="ResponseChar"/>
        </w:rPr>
        <w:t>fungal</w:t>
      </w:r>
      <w:r w:rsidR="007D104F">
        <w:rPr>
          <w:rFonts w:cs="Times New Roman"/>
          <w:lang w:val="en-GB"/>
        </w:rPr>
        <w:t xml:space="preserve"> diversity </w:t>
      </w:r>
      <w:r w:rsidR="00B23368">
        <w:rPr>
          <w:rFonts w:cs="Times New Roman"/>
          <w:lang w:val="en-GB"/>
        </w:rPr>
        <w:t xml:space="preserve">that accompanied </w:t>
      </w:r>
      <w:r w:rsidR="007D104F">
        <w:rPr>
          <w:rFonts w:cs="Times New Roman"/>
          <w:lang w:val="en-GB"/>
        </w:rPr>
        <w:t xml:space="preserve">replacement of cloning-Sanger sequencing </w:t>
      </w:r>
      <w:r w:rsidR="00E129F7">
        <w:rPr>
          <w:rFonts w:cs="Times New Roman"/>
          <w:lang w:val="en-GB"/>
        </w:rPr>
        <w:t>with</w:t>
      </w:r>
      <w:r w:rsidR="007D104F">
        <w:rPr>
          <w:rFonts w:cs="Times New Roman"/>
          <w:lang w:val="en-GB"/>
        </w:rPr>
        <w:t xml:space="preserve"> 454 sequencing (Öpik et al. 2009)</w:t>
      </w:r>
      <w:r w:rsidR="002773BA">
        <w:rPr>
          <w:rFonts w:cs="Times New Roman"/>
          <w:lang w:val="en-GB"/>
        </w:rPr>
        <w:t xml:space="preserve">. </w:t>
      </w:r>
      <w:r w:rsidR="00610BF0">
        <w:rPr>
          <w:rFonts w:cs="Times New Roman"/>
          <w:lang w:val="en-GB"/>
        </w:rPr>
        <w:t>Last</w:t>
      </w:r>
      <w:r w:rsidR="00E129F7">
        <w:rPr>
          <w:rFonts w:cs="Times New Roman"/>
          <w:lang w:val="en-GB"/>
        </w:rPr>
        <w:t>ly</w:t>
      </w:r>
      <w:r w:rsidR="007D104F">
        <w:rPr>
          <w:rFonts w:cs="Times New Roman"/>
          <w:lang w:val="en-GB"/>
        </w:rPr>
        <w:t>,</w:t>
      </w:r>
      <w:r w:rsidR="00F412A4">
        <w:rPr>
          <w:rFonts w:cs="Times New Roman"/>
          <w:lang w:val="en-GB"/>
        </w:rPr>
        <w:t xml:space="preserve"> metagenomic Illumina </w:t>
      </w:r>
      <w:r w:rsidR="007D104F">
        <w:rPr>
          <w:rFonts w:cs="Times New Roman"/>
          <w:lang w:val="en-GB"/>
        </w:rPr>
        <w:t xml:space="preserve">sequencing </w:t>
      </w:r>
      <w:r w:rsidR="00F412A4">
        <w:rPr>
          <w:rFonts w:cs="Times New Roman"/>
          <w:lang w:val="en-GB"/>
        </w:rPr>
        <w:t xml:space="preserve">yielded very low </w:t>
      </w:r>
      <w:r w:rsidR="00E129F7">
        <w:rPr>
          <w:rFonts w:cs="Times New Roman"/>
          <w:lang w:val="en-GB"/>
        </w:rPr>
        <w:t>numbers of AM</w:t>
      </w:r>
      <w:r w:rsidR="006A77C4">
        <w:rPr>
          <w:rFonts w:cs="Times New Roman"/>
          <w:lang w:val="en-GB"/>
        </w:rPr>
        <w:t xml:space="preserve"> </w:t>
      </w:r>
      <w:r w:rsidR="006A77C4" w:rsidRPr="007D3D59">
        <w:rPr>
          <w:rStyle w:val="ResponseChar"/>
        </w:rPr>
        <w:t>fungal</w:t>
      </w:r>
      <w:r w:rsidR="00E129F7">
        <w:rPr>
          <w:rFonts w:cs="Times New Roman"/>
          <w:lang w:val="en-GB"/>
        </w:rPr>
        <w:t xml:space="preserve"> SSU reads, and hence very low estimates of </w:t>
      </w:r>
      <w:r w:rsidR="00F412A4">
        <w:rPr>
          <w:rFonts w:cs="Times New Roman"/>
          <w:lang w:val="en-GB"/>
        </w:rPr>
        <w:t>AM</w:t>
      </w:r>
      <w:r w:rsidR="006A77C4">
        <w:rPr>
          <w:rFonts w:cs="Times New Roman"/>
          <w:lang w:val="en-GB"/>
        </w:rPr>
        <w:t xml:space="preserve"> </w:t>
      </w:r>
      <w:r w:rsidR="006A77C4" w:rsidRPr="007D3D59">
        <w:rPr>
          <w:rStyle w:val="ResponseChar"/>
        </w:rPr>
        <w:t>fungal</w:t>
      </w:r>
      <w:r w:rsidR="00F412A4">
        <w:rPr>
          <w:rFonts w:cs="Times New Roman"/>
          <w:lang w:val="en-GB"/>
        </w:rPr>
        <w:t xml:space="preserve"> </w:t>
      </w:r>
      <w:r w:rsidR="008C4148">
        <w:rPr>
          <w:rFonts w:cs="Times New Roman"/>
          <w:lang w:val="en-GB"/>
        </w:rPr>
        <w:t xml:space="preserve">diversity </w:t>
      </w:r>
      <w:r w:rsidR="00F412A4">
        <w:rPr>
          <w:rFonts w:cs="Times New Roman"/>
          <w:lang w:val="en-GB"/>
        </w:rPr>
        <w:t>in the samples, which w</w:t>
      </w:r>
      <w:r w:rsidR="00610BF0">
        <w:rPr>
          <w:rFonts w:cs="Times New Roman"/>
          <w:lang w:val="en-GB"/>
        </w:rPr>
        <w:t>ere</w:t>
      </w:r>
      <w:r w:rsidR="00F412A4">
        <w:rPr>
          <w:rFonts w:cs="Times New Roman"/>
          <w:lang w:val="en-GB"/>
        </w:rPr>
        <w:t xml:space="preserve"> dominated by </w:t>
      </w:r>
      <w:r w:rsidR="00ED774B">
        <w:rPr>
          <w:rFonts w:cs="Times New Roman"/>
          <w:lang w:val="en-GB"/>
        </w:rPr>
        <w:t>host-</w:t>
      </w:r>
      <w:r w:rsidR="00F412A4">
        <w:rPr>
          <w:rFonts w:cs="Times New Roman"/>
          <w:lang w:val="en-GB"/>
        </w:rPr>
        <w:t>plant DNA</w:t>
      </w:r>
      <w:r w:rsidR="00B23368">
        <w:rPr>
          <w:rFonts w:cs="Times New Roman"/>
          <w:lang w:val="en-GB"/>
        </w:rPr>
        <w:t xml:space="preserve">. This suggests </w:t>
      </w:r>
      <w:r w:rsidR="008C4148">
        <w:rPr>
          <w:rFonts w:cs="Times New Roman"/>
          <w:lang w:val="en-GB"/>
        </w:rPr>
        <w:t xml:space="preserve">that amendments </w:t>
      </w:r>
      <w:r w:rsidR="00B23368">
        <w:rPr>
          <w:rFonts w:cs="Times New Roman"/>
          <w:lang w:val="en-GB"/>
        </w:rPr>
        <w:t xml:space="preserve">to </w:t>
      </w:r>
      <w:r w:rsidR="008C4148">
        <w:rPr>
          <w:rFonts w:cs="Times New Roman"/>
          <w:lang w:val="en-GB"/>
        </w:rPr>
        <w:t xml:space="preserve">the metagenomic sequencing approach are </w:t>
      </w:r>
      <w:r w:rsidR="00800A1E">
        <w:rPr>
          <w:rFonts w:cs="Times New Roman"/>
          <w:lang w:val="en-GB"/>
        </w:rPr>
        <w:t xml:space="preserve">required </w:t>
      </w:r>
      <w:r w:rsidR="008C4148">
        <w:rPr>
          <w:rFonts w:cs="Times New Roman"/>
          <w:lang w:val="en-GB"/>
        </w:rPr>
        <w:t>for PCR-free description of AM</w:t>
      </w:r>
      <w:r w:rsidR="006A77C4">
        <w:rPr>
          <w:rFonts w:cs="Times New Roman"/>
          <w:lang w:val="en-GB"/>
        </w:rPr>
        <w:t xml:space="preserve"> </w:t>
      </w:r>
      <w:r w:rsidR="006A77C4" w:rsidRPr="007D3D59">
        <w:rPr>
          <w:rStyle w:val="ResponseChar"/>
        </w:rPr>
        <w:t>fungal</w:t>
      </w:r>
      <w:r w:rsidR="008C4148">
        <w:rPr>
          <w:rFonts w:cs="Times New Roman"/>
          <w:lang w:val="en-GB"/>
        </w:rPr>
        <w:t xml:space="preserve"> assemblages</w:t>
      </w:r>
      <w:r w:rsidR="00800A1E">
        <w:rPr>
          <w:rFonts w:cs="Times New Roman"/>
          <w:lang w:val="en-GB"/>
        </w:rPr>
        <w:t xml:space="preserve"> to become feasible</w:t>
      </w:r>
      <w:r w:rsidR="00F412A4">
        <w:rPr>
          <w:rFonts w:cs="Times New Roman"/>
          <w:lang w:val="en-GB"/>
        </w:rPr>
        <w:t xml:space="preserve">. </w:t>
      </w:r>
    </w:p>
    <w:p w:rsidR="007B4D73" w:rsidRDefault="007B4D73" w:rsidP="00064F31">
      <w:pPr>
        <w:spacing w:line="360" w:lineRule="auto"/>
        <w:rPr>
          <w:rFonts w:cs="Times New Roman"/>
          <w:lang w:val="en-GB"/>
        </w:rPr>
      </w:pPr>
    </w:p>
    <w:p w:rsidR="007B4D73" w:rsidRPr="00566C9D" w:rsidRDefault="00317B27" w:rsidP="00064F31">
      <w:pPr>
        <w:spacing w:line="360" w:lineRule="auto"/>
        <w:rPr>
          <w:rFonts w:cs="Times New Roman"/>
          <w:i/>
          <w:lang w:val="en-GB"/>
        </w:rPr>
      </w:pPr>
      <w:r w:rsidRPr="00317B27">
        <w:rPr>
          <w:rFonts w:cs="Times New Roman"/>
          <w:i/>
          <w:lang w:val="en-GB"/>
        </w:rPr>
        <w:t>Sequencing depth vs observed richness</w:t>
      </w:r>
    </w:p>
    <w:p w:rsidR="004933B0" w:rsidRDefault="00E129F7" w:rsidP="00064F31">
      <w:pPr>
        <w:spacing w:line="360" w:lineRule="auto"/>
        <w:rPr>
          <w:rFonts w:cs="Times New Roman"/>
          <w:lang w:val="en-GB"/>
        </w:rPr>
      </w:pPr>
      <w:r>
        <w:rPr>
          <w:rFonts w:cs="Times New Roman"/>
          <w:lang w:val="en-GB"/>
        </w:rPr>
        <w:t>An a</w:t>
      </w:r>
      <w:r w:rsidR="004933B0">
        <w:rPr>
          <w:rFonts w:cs="Times New Roman"/>
          <w:lang w:val="en-GB"/>
        </w:rPr>
        <w:t xml:space="preserve">ppropriate </w:t>
      </w:r>
      <w:r w:rsidR="00F4675B">
        <w:rPr>
          <w:rFonts w:cs="Times New Roman"/>
          <w:lang w:val="en-GB"/>
        </w:rPr>
        <w:t xml:space="preserve">number of observations (here, </w:t>
      </w:r>
      <w:r w:rsidR="004933B0">
        <w:rPr>
          <w:rFonts w:cs="Times New Roman"/>
          <w:lang w:val="en-GB"/>
        </w:rPr>
        <w:t>sequencing depth per sample</w:t>
      </w:r>
      <w:r w:rsidR="00F4675B">
        <w:rPr>
          <w:rFonts w:cs="Times New Roman"/>
          <w:lang w:val="en-GB"/>
        </w:rPr>
        <w:t>)</w:t>
      </w:r>
      <w:r w:rsidR="004933B0">
        <w:rPr>
          <w:rFonts w:cs="Times New Roman"/>
          <w:lang w:val="en-GB"/>
        </w:rPr>
        <w:t xml:space="preserve"> is required to </w:t>
      </w:r>
      <w:r w:rsidR="00B23368">
        <w:rPr>
          <w:rFonts w:cs="Times New Roman"/>
          <w:lang w:val="en-GB"/>
        </w:rPr>
        <w:t xml:space="preserve">adequately </w:t>
      </w:r>
      <w:r w:rsidR="004933B0">
        <w:rPr>
          <w:rFonts w:cs="Times New Roman"/>
          <w:lang w:val="en-GB"/>
        </w:rPr>
        <w:t xml:space="preserve">describe the diversity of organisms </w:t>
      </w:r>
      <w:r w:rsidR="00B23368">
        <w:rPr>
          <w:rFonts w:cs="Times New Roman"/>
          <w:lang w:val="en-GB"/>
        </w:rPr>
        <w:t xml:space="preserve">in a </w:t>
      </w:r>
      <w:r w:rsidR="004933B0">
        <w:rPr>
          <w:rFonts w:cs="Times New Roman"/>
          <w:lang w:val="en-GB"/>
        </w:rPr>
        <w:t>sample</w:t>
      </w:r>
      <w:r w:rsidR="00F4675B">
        <w:rPr>
          <w:rFonts w:cs="Times New Roman"/>
          <w:lang w:val="en-GB"/>
        </w:rPr>
        <w:t xml:space="preserve"> (Hart et al. 2015</w:t>
      </w:r>
      <w:r w:rsidR="0033473B">
        <w:rPr>
          <w:rFonts w:cs="Times New Roman"/>
          <w:lang w:val="en-GB"/>
        </w:rPr>
        <w:t>;</w:t>
      </w:r>
      <w:r w:rsidR="00F4675B">
        <w:rPr>
          <w:rFonts w:cs="Times New Roman"/>
          <w:lang w:val="en-GB"/>
        </w:rPr>
        <w:t xml:space="preserve"> </w:t>
      </w:r>
      <w:r w:rsidR="00673564" w:rsidRPr="004776E0">
        <w:rPr>
          <w:rStyle w:val="ResponseChar"/>
          <w:lang w:val="en-GB"/>
        </w:rPr>
        <w:t xml:space="preserve">Bálint </w:t>
      </w:r>
      <w:r w:rsidR="00610BF0" w:rsidRPr="004776E0">
        <w:rPr>
          <w:rStyle w:val="ResponseChar"/>
        </w:rPr>
        <w:t>et al. 2016</w:t>
      </w:r>
      <w:r w:rsidR="00F4675B">
        <w:rPr>
          <w:rFonts w:cs="Times New Roman"/>
          <w:lang w:val="en-GB"/>
        </w:rPr>
        <w:t>)</w:t>
      </w:r>
      <w:r w:rsidR="004933B0">
        <w:rPr>
          <w:rFonts w:cs="Times New Roman"/>
          <w:lang w:val="en-GB"/>
        </w:rPr>
        <w:t xml:space="preserve">. This </w:t>
      </w:r>
      <w:r w:rsidR="00B23368">
        <w:rPr>
          <w:rFonts w:cs="Times New Roman"/>
          <w:lang w:val="en-GB"/>
        </w:rPr>
        <w:t>number</w:t>
      </w:r>
      <w:r w:rsidR="004933B0">
        <w:rPr>
          <w:rFonts w:cs="Times New Roman"/>
          <w:lang w:val="en-GB"/>
        </w:rPr>
        <w:t xml:space="preserve"> depend</w:t>
      </w:r>
      <w:r w:rsidR="00B23368">
        <w:rPr>
          <w:rFonts w:cs="Times New Roman"/>
          <w:lang w:val="en-GB"/>
        </w:rPr>
        <w:t>s</w:t>
      </w:r>
      <w:r w:rsidR="004933B0">
        <w:rPr>
          <w:rFonts w:cs="Times New Roman"/>
          <w:lang w:val="en-GB"/>
        </w:rPr>
        <w:t xml:space="preserve"> on the complexity of the communit</w:t>
      </w:r>
      <w:r w:rsidR="00B23368">
        <w:rPr>
          <w:rFonts w:cs="Times New Roman"/>
          <w:lang w:val="en-GB"/>
        </w:rPr>
        <w:t>y.</w:t>
      </w:r>
      <w:r w:rsidR="004933B0">
        <w:rPr>
          <w:rFonts w:cs="Times New Roman"/>
          <w:lang w:val="en-GB"/>
        </w:rPr>
        <w:t xml:space="preserve"> </w:t>
      </w:r>
      <w:r w:rsidR="00B23368">
        <w:rPr>
          <w:rFonts w:cs="Times New Roman"/>
          <w:lang w:val="en-GB"/>
        </w:rPr>
        <w:t>I</w:t>
      </w:r>
      <w:r w:rsidR="004933B0">
        <w:rPr>
          <w:rFonts w:cs="Times New Roman"/>
          <w:lang w:val="en-GB"/>
        </w:rPr>
        <w:t>n the case of AM</w:t>
      </w:r>
      <w:r w:rsidR="006A77C4">
        <w:rPr>
          <w:rFonts w:cs="Times New Roman"/>
          <w:lang w:val="en-GB"/>
        </w:rPr>
        <w:t xml:space="preserve"> </w:t>
      </w:r>
      <w:r w:rsidR="006A77C4" w:rsidRPr="007D3D59">
        <w:rPr>
          <w:rStyle w:val="ResponseChar"/>
        </w:rPr>
        <w:t>fungal</w:t>
      </w:r>
      <w:r w:rsidR="004933B0">
        <w:rPr>
          <w:rFonts w:cs="Times New Roman"/>
          <w:lang w:val="en-GB"/>
        </w:rPr>
        <w:t xml:space="preserve"> assemblages</w:t>
      </w:r>
      <w:r w:rsidR="00B23368">
        <w:rPr>
          <w:rFonts w:cs="Times New Roman"/>
          <w:lang w:val="en-GB"/>
        </w:rPr>
        <w:t>,</w:t>
      </w:r>
      <w:r w:rsidR="004933B0">
        <w:rPr>
          <w:rFonts w:cs="Times New Roman"/>
          <w:lang w:val="en-GB"/>
        </w:rPr>
        <w:t xml:space="preserve"> earlier results have indicated that </w:t>
      </w:r>
      <w:r>
        <w:rPr>
          <w:rFonts w:cs="Times New Roman"/>
          <w:lang w:val="en-GB"/>
        </w:rPr>
        <w:t xml:space="preserve">a </w:t>
      </w:r>
      <w:r w:rsidR="004933B0">
        <w:rPr>
          <w:rFonts w:cs="Times New Roman"/>
          <w:lang w:val="en-GB"/>
        </w:rPr>
        <w:t>few hundreds to thousands of AM</w:t>
      </w:r>
      <w:r w:rsidR="006A77C4">
        <w:rPr>
          <w:rFonts w:cs="Times New Roman"/>
          <w:lang w:val="en-GB"/>
        </w:rPr>
        <w:t xml:space="preserve"> </w:t>
      </w:r>
      <w:r w:rsidR="006A77C4" w:rsidRPr="007D3D59">
        <w:rPr>
          <w:rStyle w:val="ResponseChar"/>
        </w:rPr>
        <w:t>fungal</w:t>
      </w:r>
      <w:r w:rsidR="004933B0">
        <w:rPr>
          <w:rFonts w:cs="Times New Roman"/>
          <w:lang w:val="en-GB"/>
        </w:rPr>
        <w:t xml:space="preserve"> sequences is sufficient </w:t>
      </w:r>
      <w:r w:rsidR="00350201">
        <w:rPr>
          <w:rFonts w:cs="Times New Roman"/>
          <w:lang w:val="en-GB"/>
        </w:rPr>
        <w:t xml:space="preserve">to capture most diversity within </w:t>
      </w:r>
      <w:r w:rsidR="00B23368">
        <w:rPr>
          <w:rFonts w:cs="Times New Roman"/>
          <w:lang w:val="en-GB"/>
        </w:rPr>
        <w:t xml:space="preserve">a root or soil </w:t>
      </w:r>
      <w:r w:rsidR="00350201">
        <w:rPr>
          <w:rFonts w:cs="Times New Roman"/>
          <w:lang w:val="en-GB"/>
        </w:rPr>
        <w:t xml:space="preserve">sample </w:t>
      </w:r>
      <w:r w:rsidR="004933B0">
        <w:rPr>
          <w:rFonts w:cs="Times New Roman"/>
          <w:lang w:val="en-GB"/>
        </w:rPr>
        <w:t>(Öpik et al. 2009</w:t>
      </w:r>
      <w:r w:rsidR="00B81A7D">
        <w:rPr>
          <w:rFonts w:cs="Times New Roman"/>
          <w:lang w:val="en-GB"/>
        </w:rPr>
        <w:t>;</w:t>
      </w:r>
      <w:r w:rsidR="004933B0">
        <w:rPr>
          <w:rFonts w:cs="Times New Roman"/>
          <w:lang w:val="en-GB"/>
        </w:rPr>
        <w:t xml:space="preserve"> Hart et al. 2015). Here, the increase of sequencing depth from several hundreds of reads to over 30 000 reads</w:t>
      </w:r>
      <w:r w:rsidR="00350201" w:rsidRPr="00350201">
        <w:rPr>
          <w:rFonts w:cs="Times New Roman"/>
          <w:lang w:val="en-GB"/>
        </w:rPr>
        <w:t xml:space="preserve"> </w:t>
      </w:r>
      <w:r w:rsidR="00350201">
        <w:rPr>
          <w:rFonts w:cs="Times New Roman"/>
          <w:lang w:val="en-GB"/>
        </w:rPr>
        <w:t>per sample</w:t>
      </w:r>
      <w:r w:rsidR="004933B0">
        <w:rPr>
          <w:rFonts w:cs="Times New Roman"/>
          <w:lang w:val="en-GB"/>
        </w:rPr>
        <w:t xml:space="preserve"> did not result in a further increase in </w:t>
      </w:r>
      <w:r w:rsidR="00B23368">
        <w:rPr>
          <w:rFonts w:cs="Times New Roman"/>
          <w:lang w:val="en-GB"/>
        </w:rPr>
        <w:t xml:space="preserve">the number of </w:t>
      </w:r>
      <w:r w:rsidR="004933B0">
        <w:rPr>
          <w:rFonts w:cs="Times New Roman"/>
          <w:lang w:val="en-GB"/>
        </w:rPr>
        <w:t>detected AM</w:t>
      </w:r>
      <w:r w:rsidR="006A77C4">
        <w:rPr>
          <w:rFonts w:cs="Times New Roman"/>
          <w:lang w:val="en-GB"/>
        </w:rPr>
        <w:t xml:space="preserve"> </w:t>
      </w:r>
      <w:r w:rsidR="006A77C4" w:rsidRPr="007D3D59">
        <w:rPr>
          <w:rStyle w:val="ResponseChar"/>
        </w:rPr>
        <w:t>fungal</w:t>
      </w:r>
      <w:r w:rsidR="00B23368">
        <w:rPr>
          <w:rFonts w:cs="Times New Roman"/>
          <w:lang w:val="en-GB"/>
        </w:rPr>
        <w:t xml:space="preserve"> species</w:t>
      </w:r>
      <w:r w:rsidR="004933B0">
        <w:rPr>
          <w:rFonts w:cs="Times New Roman"/>
          <w:lang w:val="en-GB"/>
        </w:rPr>
        <w:t>. Thus,</w:t>
      </w:r>
      <w:r w:rsidR="00B23368">
        <w:rPr>
          <w:rFonts w:cs="Times New Roman"/>
          <w:lang w:val="en-GB"/>
        </w:rPr>
        <w:t xml:space="preserve"> approximately 300 reads would appear to provide</w:t>
      </w:r>
      <w:r w:rsidR="004933B0">
        <w:rPr>
          <w:rFonts w:cs="Times New Roman"/>
          <w:lang w:val="en-GB"/>
        </w:rPr>
        <w:t xml:space="preserve"> sufficient sequencing depth </w:t>
      </w:r>
      <w:r w:rsidR="00B23368">
        <w:rPr>
          <w:rFonts w:cs="Times New Roman"/>
          <w:lang w:val="en-GB"/>
        </w:rPr>
        <w:t xml:space="preserve">to adequately describe </w:t>
      </w:r>
      <w:r w:rsidR="004933B0">
        <w:rPr>
          <w:rFonts w:cs="Times New Roman"/>
          <w:lang w:val="en-GB"/>
        </w:rPr>
        <w:t>AM</w:t>
      </w:r>
      <w:r w:rsidR="006A77C4">
        <w:rPr>
          <w:rFonts w:cs="Times New Roman"/>
          <w:lang w:val="en-GB"/>
        </w:rPr>
        <w:t xml:space="preserve"> </w:t>
      </w:r>
      <w:r w:rsidR="006A77C4" w:rsidRPr="007D3D59">
        <w:rPr>
          <w:rStyle w:val="ResponseChar"/>
        </w:rPr>
        <w:t>fungal</w:t>
      </w:r>
      <w:r w:rsidR="004933B0">
        <w:rPr>
          <w:rFonts w:cs="Times New Roman"/>
          <w:lang w:val="en-GB"/>
        </w:rPr>
        <w:t xml:space="preserve"> communities </w:t>
      </w:r>
      <w:r w:rsidR="00B23368">
        <w:rPr>
          <w:rFonts w:cs="Times New Roman"/>
          <w:lang w:val="en-GB"/>
        </w:rPr>
        <w:t xml:space="preserve">containing </w:t>
      </w:r>
      <w:r w:rsidR="004933B0">
        <w:rPr>
          <w:rFonts w:cs="Times New Roman"/>
          <w:i/>
          <w:lang w:val="en-GB"/>
        </w:rPr>
        <w:t xml:space="preserve">c. </w:t>
      </w:r>
      <w:r w:rsidR="004933B0">
        <w:rPr>
          <w:rFonts w:cs="Times New Roman"/>
          <w:lang w:val="en-GB"/>
        </w:rPr>
        <w:t xml:space="preserve">5 to 30 </w:t>
      </w:r>
      <w:r w:rsidR="00350201">
        <w:rPr>
          <w:rFonts w:cs="Times New Roman"/>
          <w:lang w:val="en-GB"/>
        </w:rPr>
        <w:t xml:space="preserve">species or </w:t>
      </w:r>
      <w:r w:rsidR="004933B0">
        <w:rPr>
          <w:rFonts w:cs="Times New Roman"/>
          <w:lang w:val="en-GB"/>
        </w:rPr>
        <w:t xml:space="preserve">VT. </w:t>
      </w:r>
      <w:r w:rsidR="00412099" w:rsidRPr="007D3D59">
        <w:rPr>
          <w:rStyle w:val="ResponseChar"/>
        </w:rPr>
        <w:t>However, this was the case only after careful quality filtering of Illumina MiSeq reads.</w:t>
      </w:r>
      <w:r w:rsidR="00412099">
        <w:rPr>
          <w:rFonts w:cs="Times New Roman"/>
          <w:lang w:val="en-GB"/>
        </w:rPr>
        <w:t xml:space="preserve"> </w:t>
      </w:r>
    </w:p>
    <w:p w:rsidR="003D1496" w:rsidRPr="007D3D59" w:rsidRDefault="00412099" w:rsidP="00610BF0">
      <w:pPr>
        <w:spacing w:line="360" w:lineRule="auto"/>
        <w:ind w:firstLine="709"/>
        <w:rPr>
          <w:rStyle w:val="ResponseChar"/>
        </w:rPr>
      </w:pPr>
      <w:r w:rsidRPr="007D3D59">
        <w:rPr>
          <w:rStyle w:val="ResponseChar"/>
        </w:rPr>
        <w:t>When</w:t>
      </w:r>
      <w:r>
        <w:rPr>
          <w:rFonts w:cs="Times New Roman"/>
          <w:lang w:val="en-GB"/>
        </w:rPr>
        <w:t xml:space="preserve"> </w:t>
      </w:r>
      <w:r w:rsidR="00566C9D">
        <w:rPr>
          <w:rFonts w:cs="Times New Roman"/>
          <w:lang w:val="en-GB"/>
        </w:rPr>
        <w:t>using t</w:t>
      </w:r>
      <w:r w:rsidR="006179DD">
        <w:rPr>
          <w:rFonts w:cs="Times New Roman"/>
          <w:lang w:val="en-GB"/>
        </w:rPr>
        <w:t>agmentation</w:t>
      </w:r>
      <w:r w:rsidR="00E129F7">
        <w:rPr>
          <w:rFonts w:cs="Times New Roman"/>
          <w:lang w:val="en-GB"/>
        </w:rPr>
        <w:t>-</w:t>
      </w:r>
      <w:r w:rsidR="009E3B10">
        <w:rPr>
          <w:rFonts w:cs="Times New Roman"/>
          <w:lang w:val="en-GB"/>
        </w:rPr>
        <w:t xml:space="preserve">based Illumina </w:t>
      </w:r>
      <w:r w:rsidR="006179DD">
        <w:rPr>
          <w:rFonts w:cs="Times New Roman"/>
          <w:lang w:val="en-GB"/>
        </w:rPr>
        <w:t>sequencing</w:t>
      </w:r>
      <w:r w:rsidR="00566C9D">
        <w:rPr>
          <w:rFonts w:cs="Times New Roman"/>
          <w:lang w:val="en-GB"/>
        </w:rPr>
        <w:t xml:space="preserve"> and BLAST-based taxonomy assignment,</w:t>
      </w:r>
      <w:r w:rsidR="006179DD">
        <w:rPr>
          <w:rFonts w:cs="Times New Roman"/>
          <w:lang w:val="en-GB"/>
        </w:rPr>
        <w:t xml:space="preserve"> </w:t>
      </w:r>
      <w:r w:rsidR="00F548AC">
        <w:rPr>
          <w:rFonts w:cs="Times New Roman"/>
          <w:lang w:val="en-GB"/>
        </w:rPr>
        <w:t xml:space="preserve">appropriate quality </w:t>
      </w:r>
      <w:r w:rsidR="006179DD">
        <w:rPr>
          <w:rFonts w:cs="Times New Roman"/>
          <w:lang w:val="en-GB"/>
        </w:rPr>
        <w:t xml:space="preserve">filtering </w:t>
      </w:r>
      <w:r w:rsidR="00566C9D">
        <w:rPr>
          <w:rFonts w:cs="Times New Roman"/>
          <w:lang w:val="en-GB"/>
        </w:rPr>
        <w:t>of data is crucial in order to avoid</w:t>
      </w:r>
      <w:r w:rsidR="006179DD">
        <w:rPr>
          <w:rFonts w:cs="Times New Roman"/>
          <w:lang w:val="en-GB"/>
        </w:rPr>
        <w:t xml:space="preserve"> </w:t>
      </w:r>
      <w:r w:rsidR="00566C9D">
        <w:rPr>
          <w:rFonts w:cs="Times New Roman"/>
          <w:lang w:val="en-GB"/>
        </w:rPr>
        <w:t xml:space="preserve">inflated richness estimates. </w:t>
      </w:r>
      <w:r w:rsidR="00E129F7">
        <w:rPr>
          <w:rFonts w:cs="Times New Roman"/>
          <w:lang w:val="en-GB"/>
        </w:rPr>
        <w:t>We</w:t>
      </w:r>
      <w:r w:rsidR="00566C9D">
        <w:rPr>
          <w:rFonts w:cs="Times New Roman"/>
          <w:lang w:val="en-GB"/>
        </w:rPr>
        <w:t xml:space="preserve"> obtained</w:t>
      </w:r>
      <w:r w:rsidR="00E129F7">
        <w:rPr>
          <w:rFonts w:cs="Times New Roman"/>
          <w:lang w:val="en-GB"/>
        </w:rPr>
        <w:t>,</w:t>
      </w:r>
      <w:r w:rsidR="00566C9D">
        <w:rPr>
          <w:rFonts w:cs="Times New Roman"/>
          <w:lang w:val="en-GB"/>
        </w:rPr>
        <w:t xml:space="preserve"> </w:t>
      </w:r>
      <w:r w:rsidR="006179DD">
        <w:rPr>
          <w:rFonts w:cs="Times New Roman"/>
          <w:lang w:val="en-GB"/>
        </w:rPr>
        <w:t>on average</w:t>
      </w:r>
      <w:r w:rsidR="00E129F7">
        <w:rPr>
          <w:rFonts w:cs="Times New Roman"/>
          <w:lang w:val="en-GB"/>
        </w:rPr>
        <w:t>, a</w:t>
      </w:r>
      <w:r w:rsidR="006179DD">
        <w:rPr>
          <w:rFonts w:cs="Times New Roman"/>
          <w:lang w:val="en-GB"/>
        </w:rPr>
        <w:t xml:space="preserve"> </w:t>
      </w:r>
      <w:r w:rsidR="00566C9D">
        <w:rPr>
          <w:rFonts w:cs="Times New Roman"/>
          <w:lang w:val="en-GB"/>
        </w:rPr>
        <w:t>five times</w:t>
      </w:r>
      <w:r w:rsidR="006179DD">
        <w:rPr>
          <w:rFonts w:cs="Times New Roman"/>
          <w:lang w:val="en-GB"/>
        </w:rPr>
        <w:t xml:space="preserve"> higher</w:t>
      </w:r>
      <w:r w:rsidR="00E129F7">
        <w:rPr>
          <w:rFonts w:cs="Times New Roman"/>
          <w:lang w:val="en-GB"/>
        </w:rPr>
        <w:t xml:space="preserve"> estimate of</w:t>
      </w:r>
      <w:r w:rsidR="006179DD">
        <w:rPr>
          <w:rFonts w:cs="Times New Roman"/>
          <w:lang w:val="en-GB"/>
        </w:rPr>
        <w:t xml:space="preserve"> </w:t>
      </w:r>
      <w:r w:rsidR="00566C9D">
        <w:rPr>
          <w:rFonts w:cs="Times New Roman"/>
          <w:lang w:val="en-GB"/>
        </w:rPr>
        <w:t>AM</w:t>
      </w:r>
      <w:r w:rsidR="006A77C4">
        <w:rPr>
          <w:rFonts w:cs="Times New Roman"/>
          <w:lang w:val="en-GB"/>
        </w:rPr>
        <w:t xml:space="preserve"> </w:t>
      </w:r>
      <w:r w:rsidR="006A77C4" w:rsidRPr="007D3D59">
        <w:rPr>
          <w:rStyle w:val="ResponseChar"/>
        </w:rPr>
        <w:t>fungal</w:t>
      </w:r>
      <w:r w:rsidR="00566C9D">
        <w:rPr>
          <w:rFonts w:cs="Times New Roman"/>
          <w:lang w:val="en-GB"/>
        </w:rPr>
        <w:t xml:space="preserve"> </w:t>
      </w:r>
      <w:r w:rsidR="006179DD">
        <w:rPr>
          <w:rFonts w:cs="Times New Roman"/>
          <w:lang w:val="en-GB"/>
        </w:rPr>
        <w:t>species richness</w:t>
      </w:r>
      <w:r w:rsidR="00566C9D">
        <w:rPr>
          <w:rFonts w:cs="Times New Roman"/>
          <w:lang w:val="en-GB"/>
        </w:rPr>
        <w:t xml:space="preserve"> per sample when the reads were not trimmed to the variable part of the SSU rRNA </w:t>
      </w:r>
      <w:r w:rsidR="00566C9D">
        <w:rPr>
          <w:rFonts w:cs="Times New Roman"/>
          <w:lang w:val="en-GB"/>
        </w:rPr>
        <w:lastRenderedPageBreak/>
        <w:t xml:space="preserve">gene amplicon. This was due to </w:t>
      </w:r>
      <w:r w:rsidR="00B23368">
        <w:rPr>
          <w:rFonts w:cs="Times New Roman"/>
          <w:lang w:val="en-GB"/>
        </w:rPr>
        <w:t>those tagmented reads that were located in the less variable part of the amplicon getting very similar</w:t>
      </w:r>
      <w:r w:rsidR="00F548AC">
        <w:rPr>
          <w:rFonts w:cs="Times New Roman"/>
          <w:lang w:val="en-GB"/>
        </w:rPr>
        <w:t xml:space="preserve"> BLAST matches to</w:t>
      </w:r>
      <w:r w:rsidR="00B23368">
        <w:rPr>
          <w:rFonts w:cs="Times New Roman"/>
          <w:lang w:val="en-GB"/>
        </w:rPr>
        <w:t xml:space="preserve"> a</w:t>
      </w:r>
      <w:r w:rsidR="00F548AC">
        <w:rPr>
          <w:rFonts w:cs="Times New Roman"/>
          <w:lang w:val="en-GB"/>
        </w:rPr>
        <w:t xml:space="preserve"> broad range of reference sequences</w:t>
      </w:r>
      <w:r w:rsidR="00566C9D">
        <w:rPr>
          <w:rFonts w:cs="Times New Roman"/>
          <w:lang w:val="en-GB"/>
        </w:rPr>
        <w:t xml:space="preserve">. It is </w:t>
      </w:r>
      <w:r w:rsidR="00A95D00" w:rsidRPr="007D3D59">
        <w:rPr>
          <w:rStyle w:val="ResponseChar"/>
        </w:rPr>
        <w:t>notable</w:t>
      </w:r>
      <w:r w:rsidR="00A95D00">
        <w:rPr>
          <w:rFonts w:cs="Times New Roman"/>
          <w:lang w:val="en-GB"/>
        </w:rPr>
        <w:t xml:space="preserve"> </w:t>
      </w:r>
      <w:r w:rsidR="00566C9D">
        <w:rPr>
          <w:rFonts w:cs="Times New Roman"/>
          <w:lang w:val="en-GB"/>
        </w:rPr>
        <w:t xml:space="preserve">that </w:t>
      </w:r>
      <w:r w:rsidR="007214B5">
        <w:rPr>
          <w:rFonts w:cs="Times New Roman"/>
          <w:lang w:val="en-GB"/>
        </w:rPr>
        <w:t>a</w:t>
      </w:r>
      <w:r w:rsidR="006179DD">
        <w:rPr>
          <w:rFonts w:cs="Times New Roman"/>
          <w:lang w:val="en-GB"/>
        </w:rPr>
        <w:t xml:space="preserve">fter </w:t>
      </w:r>
      <w:r w:rsidR="00566C9D">
        <w:rPr>
          <w:rFonts w:cs="Times New Roman"/>
          <w:lang w:val="en-GB"/>
        </w:rPr>
        <w:t xml:space="preserve">trimming the </w:t>
      </w:r>
      <w:r w:rsidR="00D73814">
        <w:rPr>
          <w:rFonts w:cs="Times New Roman"/>
          <w:lang w:val="en-GB"/>
        </w:rPr>
        <w:t xml:space="preserve">reads </w:t>
      </w:r>
      <w:r w:rsidR="00E129F7">
        <w:rPr>
          <w:rFonts w:cs="Times New Roman"/>
          <w:lang w:val="en-GB"/>
        </w:rPr>
        <w:t>to</w:t>
      </w:r>
      <w:r w:rsidR="00566C9D">
        <w:rPr>
          <w:rFonts w:cs="Times New Roman"/>
          <w:lang w:val="en-GB"/>
        </w:rPr>
        <w:t xml:space="preserve"> the most</w:t>
      </w:r>
      <w:r w:rsidR="00EC11E3">
        <w:rPr>
          <w:rFonts w:cs="Times New Roman"/>
          <w:lang w:val="en-GB"/>
        </w:rPr>
        <w:t xml:space="preserve"> </w:t>
      </w:r>
      <w:r w:rsidR="00D73814">
        <w:rPr>
          <w:rFonts w:cs="Times New Roman"/>
          <w:lang w:val="en-GB"/>
        </w:rPr>
        <w:t>variable</w:t>
      </w:r>
      <w:r w:rsidR="00566C9D">
        <w:rPr>
          <w:rFonts w:cs="Times New Roman"/>
          <w:lang w:val="en-GB"/>
        </w:rPr>
        <w:t xml:space="preserve"> portion of the NS31-AML2</w:t>
      </w:r>
      <w:r w:rsidR="00D73814">
        <w:rPr>
          <w:rFonts w:cs="Times New Roman"/>
          <w:lang w:val="en-GB"/>
        </w:rPr>
        <w:t xml:space="preserve"> amplicon</w:t>
      </w:r>
      <w:r w:rsidR="00566C9D">
        <w:rPr>
          <w:rFonts w:cs="Times New Roman"/>
          <w:lang w:val="en-GB"/>
        </w:rPr>
        <w:t>,</w:t>
      </w:r>
      <w:r w:rsidR="003D1496">
        <w:rPr>
          <w:rFonts w:cs="Times New Roman"/>
          <w:lang w:val="en-GB"/>
        </w:rPr>
        <w:t xml:space="preserve"> Illumina and 454 </w:t>
      </w:r>
      <w:r w:rsidR="00566C9D">
        <w:rPr>
          <w:rFonts w:cs="Times New Roman"/>
          <w:lang w:val="en-GB"/>
        </w:rPr>
        <w:t xml:space="preserve">read sets </w:t>
      </w:r>
      <w:r w:rsidR="003D1496">
        <w:rPr>
          <w:rFonts w:cs="Times New Roman"/>
          <w:lang w:val="en-GB"/>
        </w:rPr>
        <w:t xml:space="preserve">showed </w:t>
      </w:r>
      <w:r w:rsidR="00566C9D">
        <w:rPr>
          <w:rFonts w:cs="Times New Roman"/>
          <w:lang w:val="en-GB"/>
        </w:rPr>
        <w:t xml:space="preserve">similar </w:t>
      </w:r>
      <w:r w:rsidR="003D1496">
        <w:rPr>
          <w:rFonts w:cs="Times New Roman"/>
          <w:lang w:val="en-GB"/>
        </w:rPr>
        <w:t>relative abundance</w:t>
      </w:r>
      <w:r w:rsidR="00566C9D">
        <w:rPr>
          <w:rFonts w:cs="Times New Roman"/>
          <w:lang w:val="en-GB"/>
        </w:rPr>
        <w:t>s</w:t>
      </w:r>
      <w:r w:rsidR="003D1496">
        <w:rPr>
          <w:rFonts w:cs="Times New Roman"/>
          <w:lang w:val="en-GB"/>
        </w:rPr>
        <w:t xml:space="preserve"> of individual VT</w:t>
      </w:r>
      <w:r w:rsidR="006179DD">
        <w:rPr>
          <w:rFonts w:cs="Times New Roman"/>
          <w:lang w:val="en-GB"/>
        </w:rPr>
        <w:t>.</w:t>
      </w:r>
      <w:r w:rsidR="003D1496">
        <w:rPr>
          <w:rFonts w:cs="Times New Roman"/>
          <w:lang w:val="en-GB"/>
        </w:rPr>
        <w:t xml:space="preserve"> </w:t>
      </w:r>
      <w:r w:rsidR="00A95D00" w:rsidRPr="007D3D59">
        <w:rPr>
          <w:rStyle w:val="ResponseChar"/>
        </w:rPr>
        <w:t>W</w:t>
      </w:r>
      <w:r w:rsidR="00045AA1" w:rsidRPr="007D3D59">
        <w:rPr>
          <w:rStyle w:val="ResponseChar"/>
        </w:rPr>
        <w:t xml:space="preserve">e did not find a correlation between AM fungal richness </w:t>
      </w:r>
      <w:r w:rsidR="00A95D00" w:rsidRPr="007D3D59">
        <w:rPr>
          <w:rStyle w:val="ResponseChar"/>
        </w:rPr>
        <w:t>estimates produced by the two groups, perhaps reflecting the fairly low</w:t>
      </w:r>
      <w:r w:rsidR="00045AA1" w:rsidRPr="007D3D59">
        <w:rPr>
          <w:rStyle w:val="ResponseChar"/>
        </w:rPr>
        <w:t xml:space="preserve"> variability within each group.</w:t>
      </w:r>
    </w:p>
    <w:p w:rsidR="002073C6" w:rsidRPr="003A6273" w:rsidRDefault="002073C6" w:rsidP="00064F31">
      <w:pPr>
        <w:spacing w:line="360" w:lineRule="auto"/>
        <w:rPr>
          <w:lang w:val="en-GB"/>
        </w:rPr>
      </w:pPr>
    </w:p>
    <w:p w:rsidR="0074754B" w:rsidRDefault="00E80ED0" w:rsidP="00064F31">
      <w:pPr>
        <w:spacing w:line="360" w:lineRule="auto"/>
        <w:rPr>
          <w:i/>
          <w:lang w:val="en-GB"/>
        </w:rPr>
      </w:pPr>
      <w:r w:rsidRPr="00144438">
        <w:rPr>
          <w:i/>
          <w:lang w:val="en-GB"/>
        </w:rPr>
        <w:t>Sequencing errors and a</w:t>
      </w:r>
      <w:r w:rsidR="0074754B" w:rsidRPr="00144438">
        <w:rPr>
          <w:i/>
          <w:lang w:val="en-GB"/>
        </w:rPr>
        <w:t>ppropriate read length for correct AM</w:t>
      </w:r>
      <w:r w:rsidR="00116F83">
        <w:rPr>
          <w:i/>
          <w:lang w:val="en-GB"/>
        </w:rPr>
        <w:t xml:space="preserve"> </w:t>
      </w:r>
      <w:r w:rsidR="00116F83" w:rsidRPr="007D3D59">
        <w:rPr>
          <w:rStyle w:val="ResponseChar"/>
          <w:i/>
        </w:rPr>
        <w:t>fungal</w:t>
      </w:r>
      <w:r w:rsidR="0074754B" w:rsidRPr="00144438">
        <w:rPr>
          <w:i/>
          <w:lang w:val="en-GB"/>
        </w:rPr>
        <w:t xml:space="preserve"> identification </w:t>
      </w:r>
      <w:r w:rsidR="00C219F0" w:rsidRPr="00144438">
        <w:rPr>
          <w:i/>
          <w:lang w:val="en-GB"/>
        </w:rPr>
        <w:t xml:space="preserve">with </w:t>
      </w:r>
      <w:r w:rsidR="00E129F7">
        <w:rPr>
          <w:i/>
          <w:lang w:val="en-GB"/>
        </w:rPr>
        <w:t xml:space="preserve">the </w:t>
      </w:r>
      <w:r w:rsidR="00C219F0" w:rsidRPr="00144438">
        <w:rPr>
          <w:i/>
          <w:lang w:val="en-GB"/>
        </w:rPr>
        <w:t>SSU rRNA gene marker</w:t>
      </w:r>
    </w:p>
    <w:p w:rsidR="001A52CC" w:rsidRDefault="00830B32" w:rsidP="001A52CC">
      <w:pPr>
        <w:spacing w:line="360" w:lineRule="auto"/>
        <w:rPr>
          <w:rFonts w:cs="Times New Roman"/>
          <w:lang w:val="en-GB"/>
        </w:rPr>
      </w:pPr>
      <w:r>
        <w:rPr>
          <w:rFonts w:cs="Times New Roman"/>
          <w:lang w:val="en-GB"/>
        </w:rPr>
        <w:t>Available r</w:t>
      </w:r>
      <w:r w:rsidR="002E7D77">
        <w:rPr>
          <w:rFonts w:cs="Times New Roman"/>
          <w:lang w:val="en-GB"/>
        </w:rPr>
        <w:t xml:space="preserve">ead lengths </w:t>
      </w:r>
      <w:r w:rsidR="00B23368">
        <w:rPr>
          <w:rFonts w:cs="Times New Roman"/>
          <w:lang w:val="en-GB"/>
        </w:rPr>
        <w:t>from</w:t>
      </w:r>
      <w:r>
        <w:rPr>
          <w:rFonts w:cs="Times New Roman"/>
          <w:lang w:val="en-GB"/>
        </w:rPr>
        <w:t xml:space="preserve"> next generation sequencing (NGS) platforms </w:t>
      </w:r>
      <w:r w:rsidR="002E4F41">
        <w:rPr>
          <w:rFonts w:cs="Times New Roman"/>
          <w:lang w:val="en-GB"/>
        </w:rPr>
        <w:t>have increased with advances in</w:t>
      </w:r>
      <w:r w:rsidR="002E7D77">
        <w:rPr>
          <w:rFonts w:cs="Times New Roman"/>
          <w:lang w:val="en-GB"/>
        </w:rPr>
        <w:t xml:space="preserve"> sequencing technolog</w:t>
      </w:r>
      <w:r w:rsidR="00800A1E">
        <w:rPr>
          <w:rFonts w:cs="Times New Roman"/>
          <w:lang w:val="en-GB"/>
        </w:rPr>
        <w:t>y</w:t>
      </w:r>
      <w:r w:rsidR="002E7D77">
        <w:rPr>
          <w:rFonts w:cs="Times New Roman"/>
          <w:lang w:val="en-GB"/>
        </w:rPr>
        <w:t>,</w:t>
      </w:r>
      <w:r w:rsidR="006455F3">
        <w:rPr>
          <w:rFonts w:cs="Times New Roman"/>
          <w:lang w:val="en-GB"/>
        </w:rPr>
        <w:t xml:space="preserve"> but are </w:t>
      </w:r>
      <w:r>
        <w:rPr>
          <w:rFonts w:cs="Times New Roman"/>
          <w:lang w:val="en-GB"/>
        </w:rPr>
        <w:t>generally</w:t>
      </w:r>
      <w:r w:rsidR="00B23368">
        <w:rPr>
          <w:rFonts w:cs="Times New Roman"/>
          <w:lang w:val="en-GB"/>
        </w:rPr>
        <w:t xml:space="preserve"> (</w:t>
      </w:r>
      <w:r>
        <w:rPr>
          <w:rFonts w:cs="Times New Roman"/>
          <w:lang w:val="en-GB"/>
        </w:rPr>
        <w:t xml:space="preserve">including in the case of </w:t>
      </w:r>
      <w:r w:rsidR="002E4F41">
        <w:rPr>
          <w:rFonts w:cs="Times New Roman"/>
          <w:lang w:val="en-GB"/>
        </w:rPr>
        <w:t xml:space="preserve">the </w:t>
      </w:r>
      <w:r>
        <w:rPr>
          <w:rFonts w:cs="Times New Roman"/>
          <w:lang w:val="en-GB"/>
        </w:rPr>
        <w:t>Illumina MiSeq platform</w:t>
      </w:r>
      <w:r w:rsidR="00B23368">
        <w:rPr>
          <w:rFonts w:cs="Times New Roman"/>
          <w:lang w:val="en-GB"/>
        </w:rPr>
        <w:t>)</w:t>
      </w:r>
      <w:r>
        <w:rPr>
          <w:rFonts w:cs="Times New Roman"/>
          <w:lang w:val="en-GB"/>
        </w:rPr>
        <w:t xml:space="preserve"> </w:t>
      </w:r>
      <w:r w:rsidR="006455F3">
        <w:rPr>
          <w:rFonts w:cs="Times New Roman"/>
          <w:lang w:val="en-GB"/>
        </w:rPr>
        <w:t>still</w:t>
      </w:r>
      <w:r w:rsidR="002E4F41">
        <w:rPr>
          <w:rFonts w:cs="Times New Roman"/>
          <w:lang w:val="en-GB"/>
        </w:rPr>
        <w:t xml:space="preserve"> too</w:t>
      </w:r>
      <w:r w:rsidR="006455F3">
        <w:rPr>
          <w:rFonts w:cs="Times New Roman"/>
          <w:lang w:val="en-GB"/>
        </w:rPr>
        <w:t xml:space="preserve"> short to cover </w:t>
      </w:r>
      <w:r>
        <w:rPr>
          <w:rFonts w:cs="Times New Roman"/>
          <w:lang w:val="en-GB"/>
        </w:rPr>
        <w:t xml:space="preserve">the </w:t>
      </w:r>
      <w:r w:rsidR="006455F3">
        <w:rPr>
          <w:rFonts w:cs="Times New Roman"/>
          <w:lang w:val="en-GB"/>
        </w:rPr>
        <w:t>full amplicon</w:t>
      </w:r>
      <w:r>
        <w:rPr>
          <w:rFonts w:cs="Times New Roman"/>
          <w:lang w:val="en-GB"/>
        </w:rPr>
        <w:t xml:space="preserve"> most commonly used in AM</w:t>
      </w:r>
      <w:r w:rsidR="00116F83">
        <w:rPr>
          <w:rFonts w:cs="Times New Roman"/>
          <w:lang w:val="en-GB"/>
        </w:rPr>
        <w:t xml:space="preserve"> </w:t>
      </w:r>
      <w:r w:rsidR="00116F83" w:rsidRPr="007D3D59">
        <w:rPr>
          <w:rStyle w:val="ResponseChar"/>
        </w:rPr>
        <w:t>fungal</w:t>
      </w:r>
      <w:r>
        <w:rPr>
          <w:rFonts w:cs="Times New Roman"/>
          <w:lang w:val="en-GB"/>
        </w:rPr>
        <w:t xml:space="preserve"> ecology</w:t>
      </w:r>
      <w:r w:rsidR="002E4F41">
        <w:rPr>
          <w:rFonts w:cs="Times New Roman"/>
          <w:lang w:val="en-GB"/>
        </w:rPr>
        <w:t>, a</w:t>
      </w:r>
      <w:r>
        <w:rPr>
          <w:rFonts w:cs="Times New Roman"/>
          <w:lang w:val="en-GB"/>
        </w:rPr>
        <w:t xml:space="preserve"> </w:t>
      </w:r>
      <w:r>
        <w:rPr>
          <w:rFonts w:cs="Times New Roman"/>
          <w:i/>
          <w:lang w:val="en-GB"/>
        </w:rPr>
        <w:t xml:space="preserve">c. </w:t>
      </w:r>
      <w:r>
        <w:rPr>
          <w:rFonts w:cs="Times New Roman"/>
          <w:lang w:val="en-GB"/>
        </w:rPr>
        <w:t xml:space="preserve">520 bp amplicon of </w:t>
      </w:r>
      <w:r w:rsidR="002E4F41">
        <w:rPr>
          <w:rFonts w:cs="Times New Roman"/>
          <w:lang w:val="en-GB"/>
        </w:rPr>
        <w:t xml:space="preserve">the </w:t>
      </w:r>
      <w:r>
        <w:rPr>
          <w:rFonts w:cs="Times New Roman"/>
          <w:lang w:val="en-GB"/>
        </w:rPr>
        <w:t>SSU rRNA gene (Öpik &amp; Davison 2016)</w:t>
      </w:r>
      <w:r w:rsidR="006455F3">
        <w:rPr>
          <w:rFonts w:cs="Times New Roman"/>
          <w:lang w:val="en-GB"/>
        </w:rPr>
        <w:t xml:space="preserve">. This raises </w:t>
      </w:r>
      <w:r>
        <w:rPr>
          <w:rFonts w:cs="Times New Roman"/>
          <w:lang w:val="en-GB"/>
        </w:rPr>
        <w:t xml:space="preserve">the </w:t>
      </w:r>
      <w:r w:rsidR="006455F3">
        <w:rPr>
          <w:rFonts w:cs="Times New Roman"/>
          <w:lang w:val="en-GB"/>
        </w:rPr>
        <w:t>question</w:t>
      </w:r>
      <w:r w:rsidR="00CB4974">
        <w:rPr>
          <w:rFonts w:cs="Times New Roman"/>
          <w:lang w:val="en-GB"/>
        </w:rPr>
        <w:t xml:space="preserve"> </w:t>
      </w:r>
      <w:r w:rsidR="002E4F41">
        <w:rPr>
          <w:rFonts w:cs="Times New Roman"/>
          <w:lang w:val="en-GB"/>
        </w:rPr>
        <w:t>of</w:t>
      </w:r>
      <w:r>
        <w:rPr>
          <w:rFonts w:cs="Times New Roman"/>
          <w:lang w:val="en-GB"/>
        </w:rPr>
        <w:t xml:space="preserve"> the sufficient sequence</w:t>
      </w:r>
      <w:r w:rsidR="00CB4974">
        <w:rPr>
          <w:rFonts w:cs="Times New Roman"/>
          <w:lang w:val="en-GB"/>
        </w:rPr>
        <w:t xml:space="preserve"> length </w:t>
      </w:r>
      <w:r>
        <w:rPr>
          <w:rFonts w:cs="Times New Roman"/>
          <w:lang w:val="en-GB"/>
        </w:rPr>
        <w:t>for correct</w:t>
      </w:r>
      <w:r w:rsidR="00CB4974">
        <w:rPr>
          <w:rFonts w:cs="Times New Roman"/>
          <w:lang w:val="en-GB"/>
        </w:rPr>
        <w:t xml:space="preserve"> identif</w:t>
      </w:r>
      <w:r>
        <w:rPr>
          <w:rFonts w:cs="Times New Roman"/>
          <w:lang w:val="en-GB"/>
        </w:rPr>
        <w:t>ication of the target amplicon</w:t>
      </w:r>
      <w:r w:rsidR="00CB4974">
        <w:rPr>
          <w:rFonts w:cs="Times New Roman"/>
          <w:lang w:val="en-GB"/>
        </w:rPr>
        <w:t>.</w:t>
      </w:r>
      <w:r w:rsidR="002E4F41">
        <w:rPr>
          <w:rFonts w:cs="Times New Roman"/>
          <w:lang w:val="en-GB"/>
        </w:rPr>
        <w:t xml:space="preserve"> An</w:t>
      </w:r>
      <w:r w:rsidR="006455F3">
        <w:rPr>
          <w:rFonts w:cs="Times New Roman"/>
          <w:lang w:val="en-GB"/>
        </w:rPr>
        <w:t xml:space="preserve"> </w:t>
      </w:r>
      <w:r w:rsidR="002E4F41">
        <w:rPr>
          <w:rFonts w:cs="Times New Roman"/>
          <w:i/>
          <w:lang w:val="en-GB"/>
        </w:rPr>
        <w:t>i</w:t>
      </w:r>
      <w:r w:rsidR="00474AA0" w:rsidRPr="00474AA0">
        <w:rPr>
          <w:rFonts w:cs="Times New Roman"/>
          <w:i/>
          <w:lang w:val="en-GB"/>
        </w:rPr>
        <w:t xml:space="preserve">n silico </w:t>
      </w:r>
      <w:r w:rsidR="002E7D77">
        <w:rPr>
          <w:rFonts w:cs="Times New Roman"/>
          <w:lang w:val="en-GB"/>
        </w:rPr>
        <w:t xml:space="preserve">test </w:t>
      </w:r>
      <w:r>
        <w:rPr>
          <w:rFonts w:cs="Times New Roman"/>
          <w:lang w:val="en-GB"/>
        </w:rPr>
        <w:t xml:space="preserve">using the sequences in the </w:t>
      </w:r>
      <w:r w:rsidR="002E7D77">
        <w:rPr>
          <w:rFonts w:cs="Times New Roman"/>
          <w:lang w:val="en-GB"/>
        </w:rPr>
        <w:t>Maarj</w:t>
      </w:r>
      <w:r w:rsidR="002E7D77" w:rsidRPr="006455F3">
        <w:rPr>
          <w:rFonts w:cs="Times New Roman"/>
          <w:i/>
          <w:lang w:val="en-GB"/>
        </w:rPr>
        <w:t>AM</w:t>
      </w:r>
      <w:r w:rsidR="002E7D77">
        <w:rPr>
          <w:rFonts w:cs="Times New Roman"/>
          <w:lang w:val="en-GB"/>
        </w:rPr>
        <w:t xml:space="preserve"> data</w:t>
      </w:r>
      <w:r w:rsidR="002E4F41">
        <w:rPr>
          <w:rFonts w:cs="Times New Roman"/>
          <w:lang w:val="en-GB"/>
        </w:rPr>
        <w:t>base confirmed the importance of</w:t>
      </w:r>
      <w:r w:rsidR="002E7D77">
        <w:rPr>
          <w:rFonts w:cs="Times New Roman"/>
          <w:lang w:val="en-GB"/>
        </w:rPr>
        <w:t xml:space="preserve"> identify</w:t>
      </w:r>
      <w:r w:rsidR="002E4F41">
        <w:rPr>
          <w:rFonts w:cs="Times New Roman"/>
          <w:lang w:val="en-GB"/>
        </w:rPr>
        <w:t>ing</w:t>
      </w:r>
      <w:r w:rsidR="002E7D77">
        <w:rPr>
          <w:rFonts w:cs="Times New Roman"/>
          <w:lang w:val="en-GB"/>
        </w:rPr>
        <w:t xml:space="preserve"> reads against </w:t>
      </w:r>
      <w:r>
        <w:rPr>
          <w:rFonts w:cs="Times New Roman"/>
          <w:lang w:val="en-GB"/>
        </w:rPr>
        <w:t xml:space="preserve">the </w:t>
      </w:r>
      <w:r w:rsidR="002E7D77">
        <w:rPr>
          <w:rFonts w:cs="Times New Roman"/>
          <w:lang w:val="en-GB"/>
        </w:rPr>
        <w:t>variable section of the</w:t>
      </w:r>
      <w:r>
        <w:rPr>
          <w:rFonts w:cs="Times New Roman"/>
          <w:lang w:val="en-GB"/>
        </w:rPr>
        <w:t xml:space="preserve"> NS31-AML2</w:t>
      </w:r>
      <w:r w:rsidR="002E7D77">
        <w:rPr>
          <w:rFonts w:cs="Times New Roman"/>
          <w:lang w:val="en-GB"/>
        </w:rPr>
        <w:t xml:space="preserve"> amplicon</w:t>
      </w:r>
      <w:r>
        <w:rPr>
          <w:rFonts w:cs="Times New Roman"/>
          <w:lang w:val="en-GB"/>
        </w:rPr>
        <w:t xml:space="preserve"> located at positions 70-300 nt. Identification of relatively short reads against sufficiently variable reference read</w:t>
      </w:r>
      <w:r w:rsidR="002E4F41">
        <w:rPr>
          <w:rFonts w:cs="Times New Roman"/>
          <w:lang w:val="en-GB"/>
        </w:rPr>
        <w:t>s</w:t>
      </w:r>
      <w:r>
        <w:rPr>
          <w:rFonts w:cs="Times New Roman"/>
          <w:lang w:val="en-GB"/>
        </w:rPr>
        <w:t xml:space="preserve"> is particularly crucial when</w:t>
      </w:r>
      <w:r w:rsidR="002E7D77">
        <w:rPr>
          <w:rFonts w:cs="Times New Roman"/>
          <w:lang w:val="en-GB"/>
        </w:rPr>
        <w:t xml:space="preserve"> </w:t>
      </w:r>
      <w:r w:rsidR="002E7D77">
        <w:t xml:space="preserve">BLAST-based closed reference </w:t>
      </w:r>
      <w:r w:rsidR="002E7D77">
        <w:rPr>
          <w:rFonts w:cs="Times New Roman"/>
          <w:lang w:val="en-GB"/>
        </w:rPr>
        <w:t xml:space="preserve">OTU picking </w:t>
      </w:r>
      <w:r>
        <w:rPr>
          <w:rFonts w:cs="Times New Roman"/>
          <w:lang w:val="en-GB"/>
        </w:rPr>
        <w:t>is used</w:t>
      </w:r>
      <w:r w:rsidR="00834007">
        <w:rPr>
          <w:rFonts w:cs="Times New Roman"/>
          <w:lang w:val="en-GB"/>
        </w:rPr>
        <w:t xml:space="preserve"> </w:t>
      </w:r>
      <w:r w:rsidR="00834007">
        <w:rPr>
          <w:lang w:val="en-GB"/>
        </w:rPr>
        <w:t>(sensu Bik et al. 2012)</w:t>
      </w:r>
      <w:r w:rsidR="002E7D77">
        <w:rPr>
          <w:rFonts w:cs="Times New Roman"/>
          <w:lang w:val="en-GB"/>
        </w:rPr>
        <w:t>.</w:t>
      </w:r>
      <w:r w:rsidR="001A52CC">
        <w:rPr>
          <w:rFonts w:cs="Times New Roman"/>
          <w:lang w:val="en-GB"/>
        </w:rPr>
        <w:t xml:space="preserve"> BLAST hits located in </w:t>
      </w:r>
      <w:r>
        <w:rPr>
          <w:rFonts w:cs="Times New Roman"/>
          <w:lang w:val="en-GB"/>
        </w:rPr>
        <w:t xml:space="preserve">the </w:t>
      </w:r>
      <w:r w:rsidR="000A320F">
        <w:rPr>
          <w:rFonts w:cs="Times New Roman"/>
          <w:lang w:val="en-GB"/>
        </w:rPr>
        <w:t>invariant</w:t>
      </w:r>
      <w:r w:rsidR="001A52CC">
        <w:rPr>
          <w:rFonts w:cs="Times New Roman"/>
          <w:lang w:val="en-GB"/>
        </w:rPr>
        <w:t xml:space="preserve"> part</w:t>
      </w:r>
      <w:r>
        <w:rPr>
          <w:rFonts w:cs="Times New Roman"/>
          <w:lang w:val="en-GB"/>
        </w:rPr>
        <w:t xml:space="preserve"> of reference sequences would</w:t>
      </w:r>
      <w:r w:rsidR="001A52CC">
        <w:rPr>
          <w:rFonts w:cs="Times New Roman"/>
          <w:lang w:val="en-GB"/>
        </w:rPr>
        <w:t xml:space="preserve"> result</w:t>
      </w:r>
      <w:r>
        <w:rPr>
          <w:rFonts w:cs="Times New Roman"/>
          <w:lang w:val="en-GB"/>
        </w:rPr>
        <w:t xml:space="preserve"> in </w:t>
      </w:r>
      <w:r w:rsidR="00A22332">
        <w:rPr>
          <w:rFonts w:cs="Times New Roman"/>
          <w:lang w:val="en-GB"/>
        </w:rPr>
        <w:t xml:space="preserve">imprecise </w:t>
      </w:r>
      <w:r>
        <w:rPr>
          <w:rFonts w:cs="Times New Roman"/>
          <w:lang w:val="en-GB"/>
        </w:rPr>
        <w:t>taxonomy assignments</w:t>
      </w:r>
      <w:r w:rsidR="001A52CC">
        <w:rPr>
          <w:rFonts w:cs="Times New Roman"/>
          <w:lang w:val="en-GB"/>
        </w:rPr>
        <w:t xml:space="preserve"> and </w:t>
      </w:r>
      <w:r w:rsidR="00A22332">
        <w:rPr>
          <w:rFonts w:cs="Times New Roman"/>
          <w:lang w:val="en-GB"/>
        </w:rPr>
        <w:t>inflated</w:t>
      </w:r>
      <w:r w:rsidR="001A52CC">
        <w:rPr>
          <w:rFonts w:cs="Times New Roman"/>
          <w:lang w:val="en-GB"/>
        </w:rPr>
        <w:t xml:space="preserve"> </w:t>
      </w:r>
      <w:r w:rsidR="00045C85">
        <w:rPr>
          <w:rFonts w:cs="Times New Roman"/>
          <w:lang w:val="en-GB"/>
        </w:rPr>
        <w:t>taxon</w:t>
      </w:r>
      <w:r w:rsidR="001A52CC">
        <w:rPr>
          <w:rFonts w:cs="Times New Roman"/>
          <w:lang w:val="en-GB"/>
        </w:rPr>
        <w:t xml:space="preserve"> richness</w:t>
      </w:r>
      <w:r>
        <w:rPr>
          <w:rFonts w:cs="Times New Roman"/>
          <w:lang w:val="en-GB"/>
        </w:rPr>
        <w:t xml:space="preserve"> estimates</w:t>
      </w:r>
      <w:r w:rsidR="001A52CC">
        <w:rPr>
          <w:rFonts w:cs="Times New Roman"/>
          <w:lang w:val="en-GB"/>
        </w:rPr>
        <w:t xml:space="preserve">. </w:t>
      </w:r>
      <w:r w:rsidR="00A22332">
        <w:rPr>
          <w:rFonts w:cs="Times New Roman"/>
          <w:lang w:val="en-GB"/>
        </w:rPr>
        <w:t>The m</w:t>
      </w:r>
      <w:r w:rsidR="00841775">
        <w:rPr>
          <w:rFonts w:cs="Times New Roman"/>
          <w:lang w:val="en-GB"/>
        </w:rPr>
        <w:t xml:space="preserve">inimal read length to obtain correct taxonomy assignment with the same amplicon has been tested earlier with 170 to 400 bp long (from the NS31 end) 454-reads, i.e. located in the same variable portion of the amplicon, </w:t>
      </w:r>
      <w:r w:rsidR="00A22332">
        <w:rPr>
          <w:rFonts w:cs="Times New Roman"/>
          <w:lang w:val="en-GB"/>
        </w:rPr>
        <w:t xml:space="preserve">and indicated </w:t>
      </w:r>
      <w:r w:rsidR="00841775">
        <w:rPr>
          <w:rFonts w:cs="Times New Roman"/>
          <w:lang w:val="en-GB"/>
        </w:rPr>
        <w:t xml:space="preserve">that reads </w:t>
      </w:r>
      <w:r w:rsidR="00A22332">
        <w:rPr>
          <w:rFonts w:cs="Times New Roman"/>
          <w:lang w:val="en-GB"/>
        </w:rPr>
        <w:t>≥ 170 bp</w:t>
      </w:r>
      <w:r w:rsidR="00841775">
        <w:rPr>
          <w:rFonts w:cs="Times New Roman"/>
          <w:lang w:val="en-GB"/>
        </w:rPr>
        <w:t xml:space="preserve"> are sufficient for robust AM</w:t>
      </w:r>
      <w:r w:rsidR="00116F83">
        <w:rPr>
          <w:rFonts w:cs="Times New Roman"/>
          <w:lang w:val="en-GB"/>
        </w:rPr>
        <w:t xml:space="preserve"> </w:t>
      </w:r>
      <w:r w:rsidR="00116F83" w:rsidRPr="007D3D59">
        <w:rPr>
          <w:rStyle w:val="ResponseChar"/>
        </w:rPr>
        <w:t>fungal</w:t>
      </w:r>
      <w:r w:rsidR="00841775">
        <w:rPr>
          <w:rFonts w:cs="Times New Roman"/>
          <w:lang w:val="en-GB"/>
        </w:rPr>
        <w:t xml:space="preserve"> identification with this amplicon (Davison et al. 2012). </w:t>
      </w:r>
      <w:r w:rsidR="006F7D65" w:rsidRPr="00AB4263">
        <w:rPr>
          <w:rStyle w:val="ResponseChar"/>
        </w:rPr>
        <w:t>The findings of this study further confirm earlier conclusion.</w:t>
      </w:r>
    </w:p>
    <w:p w:rsidR="004C4090" w:rsidRDefault="00841775" w:rsidP="007039C1">
      <w:pPr>
        <w:spacing w:line="360" w:lineRule="auto"/>
        <w:ind w:firstLine="709"/>
        <w:rPr>
          <w:lang w:val="en-GB"/>
        </w:rPr>
      </w:pPr>
      <w:r>
        <w:rPr>
          <w:rFonts w:cs="Times New Roman"/>
          <w:lang w:val="en-GB"/>
        </w:rPr>
        <w:t>Ano</w:t>
      </w:r>
      <w:r w:rsidR="001A52CC">
        <w:rPr>
          <w:rFonts w:cs="Times New Roman"/>
          <w:lang w:val="en-GB"/>
        </w:rPr>
        <w:t>ther source</w:t>
      </w:r>
      <w:r w:rsidR="004547E7">
        <w:rPr>
          <w:rFonts w:cs="Times New Roman"/>
          <w:lang w:val="en-GB"/>
        </w:rPr>
        <w:t xml:space="preserve"> of </w:t>
      </w:r>
      <w:r w:rsidR="00670359">
        <w:rPr>
          <w:rFonts w:cs="Times New Roman"/>
          <w:lang w:val="en-GB"/>
        </w:rPr>
        <w:t>misidentification of</w:t>
      </w:r>
      <w:r w:rsidR="004547E7">
        <w:rPr>
          <w:rFonts w:cs="Times New Roman"/>
          <w:lang w:val="en-GB"/>
        </w:rPr>
        <w:t xml:space="preserve"> reads </w:t>
      </w:r>
      <w:r w:rsidR="00CB4974">
        <w:rPr>
          <w:rFonts w:cs="Times New Roman"/>
          <w:lang w:val="en-GB"/>
        </w:rPr>
        <w:t xml:space="preserve">is </w:t>
      </w:r>
      <w:r w:rsidR="001A52CC">
        <w:rPr>
          <w:rFonts w:cs="Times New Roman"/>
          <w:lang w:val="en-GB"/>
        </w:rPr>
        <w:t>sequencing error</w:t>
      </w:r>
      <w:r w:rsidR="00A22332">
        <w:rPr>
          <w:rFonts w:cs="Times New Roman"/>
          <w:lang w:val="en-GB"/>
        </w:rPr>
        <w:t>s, which</w:t>
      </w:r>
      <w:r w:rsidR="00C6737A">
        <w:rPr>
          <w:lang w:val="en-GB"/>
        </w:rPr>
        <w:t xml:space="preserve"> accumulate toward</w:t>
      </w:r>
      <w:r w:rsidR="00380A10">
        <w:rPr>
          <w:lang w:val="en-GB"/>
        </w:rPr>
        <w:t>s</w:t>
      </w:r>
      <w:r w:rsidR="00C6737A">
        <w:rPr>
          <w:lang w:val="en-GB"/>
        </w:rPr>
        <w:t xml:space="preserve"> the end of reads, </w:t>
      </w:r>
      <w:r w:rsidR="00380A10">
        <w:rPr>
          <w:lang w:val="en-GB"/>
        </w:rPr>
        <w:t>as the</w:t>
      </w:r>
      <w:r w:rsidR="00C6737A">
        <w:rPr>
          <w:lang w:val="en-GB"/>
        </w:rPr>
        <w:t xml:space="preserve"> quality of the called bases</w:t>
      </w:r>
      <w:r w:rsidR="00380A10">
        <w:rPr>
          <w:lang w:val="en-GB"/>
        </w:rPr>
        <w:t xml:space="preserve"> decreases</w:t>
      </w:r>
      <w:r w:rsidR="00F80553">
        <w:rPr>
          <w:lang w:val="en-GB"/>
        </w:rPr>
        <w:t>. T</w:t>
      </w:r>
      <w:r w:rsidR="00C6737A">
        <w:rPr>
          <w:lang w:val="en-GB"/>
        </w:rPr>
        <w:t xml:space="preserve">his </w:t>
      </w:r>
      <w:r w:rsidR="00A22332">
        <w:rPr>
          <w:lang w:val="en-GB"/>
        </w:rPr>
        <w:t xml:space="preserve">phenomenon </w:t>
      </w:r>
      <w:r w:rsidR="00C6737A">
        <w:rPr>
          <w:lang w:val="en-GB"/>
        </w:rPr>
        <w:t>has been rep</w:t>
      </w:r>
      <w:r w:rsidR="00CB4974">
        <w:rPr>
          <w:lang w:val="en-GB"/>
        </w:rPr>
        <w:t>orted for both Illumina and 454-</w:t>
      </w:r>
      <w:r w:rsidR="00C6737A">
        <w:rPr>
          <w:lang w:val="en-GB"/>
        </w:rPr>
        <w:t>reads (Perkins et al. 2013</w:t>
      </w:r>
      <w:r w:rsidR="00291DBC">
        <w:rPr>
          <w:lang w:val="en-GB"/>
        </w:rPr>
        <w:t>;</w:t>
      </w:r>
      <w:r w:rsidR="00C01459">
        <w:rPr>
          <w:lang w:val="en-GB"/>
        </w:rPr>
        <w:t xml:space="preserve"> Niklas et al. 2013</w:t>
      </w:r>
      <w:r w:rsidR="00C6737A">
        <w:rPr>
          <w:lang w:val="en-GB"/>
        </w:rPr>
        <w:t>)</w:t>
      </w:r>
      <w:r w:rsidR="00123598">
        <w:rPr>
          <w:lang w:val="en-GB"/>
        </w:rPr>
        <w:t xml:space="preserve">. 454-reads are prone </w:t>
      </w:r>
      <w:r w:rsidR="00670359">
        <w:rPr>
          <w:lang w:val="en-GB"/>
        </w:rPr>
        <w:t>to</w:t>
      </w:r>
      <w:r w:rsidR="00123598">
        <w:rPr>
          <w:lang w:val="en-GB"/>
        </w:rPr>
        <w:t xml:space="preserve"> errors in long homopolymeric regions, where</w:t>
      </w:r>
      <w:r w:rsidR="00670359">
        <w:rPr>
          <w:lang w:val="en-GB"/>
        </w:rPr>
        <w:t xml:space="preserve"> the</w:t>
      </w:r>
      <w:r w:rsidR="00123598">
        <w:rPr>
          <w:lang w:val="en-GB"/>
        </w:rPr>
        <w:t xml:space="preserve"> probability </w:t>
      </w:r>
      <w:r w:rsidR="00380A10">
        <w:rPr>
          <w:lang w:val="en-GB"/>
        </w:rPr>
        <w:t xml:space="preserve">of </w:t>
      </w:r>
      <w:r w:rsidR="00123598">
        <w:rPr>
          <w:lang w:val="en-GB"/>
        </w:rPr>
        <w:t>indel errors increase</w:t>
      </w:r>
      <w:r w:rsidR="00380A10">
        <w:rPr>
          <w:lang w:val="en-GB"/>
        </w:rPr>
        <w:t>s</w:t>
      </w:r>
      <w:r w:rsidR="00123598">
        <w:rPr>
          <w:lang w:val="en-GB"/>
        </w:rPr>
        <w:t xml:space="preserve"> with sequence length (Niklas et al. 2013). </w:t>
      </w:r>
      <w:r w:rsidR="00162B60">
        <w:rPr>
          <w:lang w:val="en-GB"/>
        </w:rPr>
        <w:t xml:space="preserve">In contrast, substitution errors are the most frequent </w:t>
      </w:r>
      <w:r w:rsidR="00380A10">
        <w:rPr>
          <w:lang w:val="en-GB"/>
        </w:rPr>
        <w:t xml:space="preserve">type of </w:t>
      </w:r>
      <w:r w:rsidR="00162B60">
        <w:rPr>
          <w:lang w:val="en-GB"/>
        </w:rPr>
        <w:t xml:space="preserve">errors for Illumina platform, </w:t>
      </w:r>
      <w:r w:rsidR="00380A10">
        <w:rPr>
          <w:lang w:val="en-GB"/>
        </w:rPr>
        <w:t>constituting</w:t>
      </w:r>
      <w:r w:rsidR="00162B60">
        <w:rPr>
          <w:lang w:val="en-GB"/>
        </w:rPr>
        <w:t xml:space="preserve"> 79% to 88% of all errors</w:t>
      </w:r>
      <w:r w:rsidR="004900A7">
        <w:rPr>
          <w:lang w:val="en-GB"/>
        </w:rPr>
        <w:t xml:space="preserve"> </w:t>
      </w:r>
      <w:r w:rsidR="00C01459">
        <w:rPr>
          <w:lang w:val="en-GB"/>
        </w:rPr>
        <w:t>(Nguyen et al. 2011).</w:t>
      </w:r>
      <w:r w:rsidR="00681BA7">
        <w:rPr>
          <w:lang w:val="en-GB"/>
        </w:rPr>
        <w:t xml:space="preserve"> Both sequencing technologies have a mean error rate of 1% </w:t>
      </w:r>
      <w:r w:rsidR="00380A10">
        <w:rPr>
          <w:lang w:val="en-GB"/>
        </w:rPr>
        <w:t xml:space="preserve">among unfiltered reads </w:t>
      </w:r>
      <w:r w:rsidR="00291DBC">
        <w:rPr>
          <w:lang w:val="en-GB"/>
        </w:rPr>
        <w:t>(Niklas et al. 2013;</w:t>
      </w:r>
      <w:r w:rsidR="00681BA7">
        <w:rPr>
          <w:lang w:val="en-GB"/>
        </w:rPr>
        <w:t xml:space="preserve"> Gilles et al. 2011).</w:t>
      </w:r>
      <w:r w:rsidR="00C01459">
        <w:rPr>
          <w:lang w:val="en-GB"/>
        </w:rPr>
        <w:t xml:space="preserve"> </w:t>
      </w:r>
      <w:r w:rsidR="00CB4974">
        <w:rPr>
          <w:lang w:val="en-GB"/>
        </w:rPr>
        <w:t>Errors in 454-</w:t>
      </w:r>
      <w:r w:rsidR="005879DD">
        <w:rPr>
          <w:lang w:val="en-GB"/>
        </w:rPr>
        <w:t xml:space="preserve">reads occur more </w:t>
      </w:r>
      <w:r w:rsidR="00670359">
        <w:rPr>
          <w:lang w:val="en-GB"/>
        </w:rPr>
        <w:t>often</w:t>
      </w:r>
      <w:r w:rsidR="005879DD">
        <w:rPr>
          <w:lang w:val="en-GB"/>
        </w:rPr>
        <w:t xml:space="preserve"> </w:t>
      </w:r>
      <w:r w:rsidR="00380A10">
        <w:rPr>
          <w:lang w:val="en-GB"/>
        </w:rPr>
        <w:t xml:space="preserve">after </w:t>
      </w:r>
      <w:r w:rsidR="005879DD">
        <w:rPr>
          <w:lang w:val="en-GB"/>
        </w:rPr>
        <w:t>base</w:t>
      </w:r>
      <w:r w:rsidR="00380A10">
        <w:rPr>
          <w:lang w:val="en-GB"/>
        </w:rPr>
        <w:t>s</w:t>
      </w:r>
      <w:r w:rsidR="005879DD">
        <w:rPr>
          <w:lang w:val="en-GB"/>
        </w:rPr>
        <w:t xml:space="preserve"> 200-300 (Niklas et al. 2013), where substitutions and ambiguous base calls </w:t>
      </w:r>
      <w:r w:rsidR="005879DD">
        <w:rPr>
          <w:lang w:val="en-GB"/>
        </w:rPr>
        <w:lastRenderedPageBreak/>
        <w:t xml:space="preserve">accumulate </w:t>
      </w:r>
      <w:r w:rsidR="00380A10">
        <w:rPr>
          <w:lang w:val="en-GB"/>
        </w:rPr>
        <w:t>because of</w:t>
      </w:r>
      <w:r w:rsidR="005879DD">
        <w:rPr>
          <w:lang w:val="en-GB"/>
        </w:rPr>
        <w:t xml:space="preserve"> a loss of synchronism during the sequencing process on the multi</w:t>
      </w:r>
      <w:r w:rsidR="00CB4974">
        <w:rPr>
          <w:lang w:val="en-GB"/>
        </w:rPr>
        <w:t>-</w:t>
      </w:r>
      <w:r w:rsidR="005879DD">
        <w:rPr>
          <w:lang w:val="en-GB"/>
        </w:rPr>
        <w:t>templated beads (Gilles et al</w:t>
      </w:r>
      <w:r w:rsidR="00681BA7">
        <w:rPr>
          <w:lang w:val="en-GB"/>
        </w:rPr>
        <w:t>.</w:t>
      </w:r>
      <w:r w:rsidR="005879DD">
        <w:rPr>
          <w:lang w:val="en-GB"/>
        </w:rPr>
        <w:t xml:space="preserve"> 2011). </w:t>
      </w:r>
      <w:r w:rsidR="00380A10">
        <w:rPr>
          <w:lang w:val="en-GB"/>
        </w:rPr>
        <w:t>As</w:t>
      </w:r>
      <w:r w:rsidR="005879DD">
        <w:rPr>
          <w:lang w:val="en-GB"/>
        </w:rPr>
        <w:t xml:space="preserve"> </w:t>
      </w:r>
      <w:r w:rsidR="00380A10">
        <w:rPr>
          <w:lang w:val="en-GB"/>
        </w:rPr>
        <w:t xml:space="preserve">the </w:t>
      </w:r>
      <w:r w:rsidR="005879DD">
        <w:rPr>
          <w:lang w:val="en-GB"/>
        </w:rPr>
        <w:t xml:space="preserve">most variable part of </w:t>
      </w:r>
      <w:r w:rsidR="00380A10">
        <w:rPr>
          <w:lang w:val="en-GB"/>
        </w:rPr>
        <w:t xml:space="preserve">the </w:t>
      </w:r>
      <w:r w:rsidR="005879DD">
        <w:rPr>
          <w:lang w:val="en-GB"/>
        </w:rPr>
        <w:t>amplicon</w:t>
      </w:r>
      <w:r w:rsidR="00380A10">
        <w:rPr>
          <w:lang w:val="en-GB"/>
        </w:rPr>
        <w:t xml:space="preserve"> used in this study</w:t>
      </w:r>
      <w:r w:rsidR="005879DD">
        <w:rPr>
          <w:lang w:val="en-GB"/>
        </w:rPr>
        <w:t xml:space="preserve"> </w:t>
      </w:r>
      <w:r w:rsidR="00380A10">
        <w:rPr>
          <w:lang w:val="en-GB"/>
        </w:rPr>
        <w:t xml:space="preserve">is located in the first </w:t>
      </w:r>
      <w:r w:rsidR="005879DD">
        <w:rPr>
          <w:lang w:val="en-GB"/>
        </w:rPr>
        <w:t xml:space="preserve">300 bases, </w:t>
      </w:r>
      <w:r w:rsidR="00670359">
        <w:rPr>
          <w:lang w:val="en-GB"/>
        </w:rPr>
        <w:t>the invariant</w:t>
      </w:r>
      <w:r w:rsidR="005879DD">
        <w:rPr>
          <w:lang w:val="en-GB"/>
        </w:rPr>
        <w:t xml:space="preserve"> part</w:t>
      </w:r>
      <w:r w:rsidR="00380A10">
        <w:rPr>
          <w:lang w:val="en-GB"/>
        </w:rPr>
        <w:t xml:space="preserve"> of the amplicon</w:t>
      </w:r>
      <w:r w:rsidR="005879DD">
        <w:rPr>
          <w:lang w:val="en-GB"/>
        </w:rPr>
        <w:t xml:space="preserve"> </w:t>
      </w:r>
      <w:r w:rsidR="00380A10">
        <w:rPr>
          <w:lang w:val="en-GB"/>
        </w:rPr>
        <w:t xml:space="preserve">(300-520 nt of the NS31-AML2 amplicon) </w:t>
      </w:r>
      <w:r w:rsidR="005879DD">
        <w:rPr>
          <w:lang w:val="en-GB"/>
        </w:rPr>
        <w:t xml:space="preserve">is </w:t>
      </w:r>
      <w:r w:rsidR="00800A1E">
        <w:rPr>
          <w:lang w:val="en-GB"/>
        </w:rPr>
        <w:t>more</w:t>
      </w:r>
      <w:r w:rsidR="005879DD">
        <w:rPr>
          <w:lang w:val="en-GB"/>
        </w:rPr>
        <w:t xml:space="preserve"> error</w:t>
      </w:r>
      <w:r w:rsidR="00800A1E">
        <w:rPr>
          <w:lang w:val="en-GB"/>
        </w:rPr>
        <w:t xml:space="preserve"> prone</w:t>
      </w:r>
      <w:r w:rsidR="005879DD">
        <w:rPr>
          <w:lang w:val="en-GB"/>
        </w:rPr>
        <w:t xml:space="preserve">, </w:t>
      </w:r>
      <w:r w:rsidR="00A22332">
        <w:rPr>
          <w:lang w:val="en-GB"/>
        </w:rPr>
        <w:t xml:space="preserve">and </w:t>
      </w:r>
      <w:r w:rsidR="005879DD">
        <w:rPr>
          <w:lang w:val="en-GB"/>
        </w:rPr>
        <w:t xml:space="preserve">in our case </w:t>
      </w:r>
      <w:r w:rsidR="00A22332">
        <w:rPr>
          <w:lang w:val="en-GB"/>
        </w:rPr>
        <w:t xml:space="preserve">this </w:t>
      </w:r>
      <w:r w:rsidR="00380A10">
        <w:rPr>
          <w:lang w:val="en-GB"/>
        </w:rPr>
        <w:t>was removed</w:t>
      </w:r>
      <w:r w:rsidR="005879DD">
        <w:rPr>
          <w:lang w:val="en-GB"/>
        </w:rPr>
        <w:t>.</w:t>
      </w:r>
      <w:r w:rsidR="000C1662">
        <w:rPr>
          <w:lang w:val="en-GB"/>
        </w:rPr>
        <w:t xml:space="preserve"> To overcome sequencing errors </w:t>
      </w:r>
      <w:r w:rsidR="00380A10">
        <w:rPr>
          <w:lang w:val="en-GB"/>
        </w:rPr>
        <w:t xml:space="preserve">with </w:t>
      </w:r>
      <w:r w:rsidR="000C1662">
        <w:rPr>
          <w:lang w:val="en-GB"/>
        </w:rPr>
        <w:t>Illumina</w:t>
      </w:r>
      <w:r w:rsidR="00380A10">
        <w:rPr>
          <w:lang w:val="en-GB"/>
        </w:rPr>
        <w:t xml:space="preserve"> reads</w:t>
      </w:r>
      <w:r w:rsidR="000C1662">
        <w:rPr>
          <w:lang w:val="en-GB"/>
        </w:rPr>
        <w:t xml:space="preserve">, </w:t>
      </w:r>
      <w:r w:rsidR="00867EC8">
        <w:rPr>
          <w:lang w:val="en-GB"/>
        </w:rPr>
        <w:t>Nguyen et al. (2011) reported a 5-fold decrease of the error rate</w:t>
      </w:r>
      <w:r w:rsidR="00A22332">
        <w:rPr>
          <w:lang w:val="en-GB"/>
        </w:rPr>
        <w:t xml:space="preserve"> (reducing the likelihood of false base call to &lt;0.1%)</w:t>
      </w:r>
      <w:r w:rsidR="00867EC8">
        <w:rPr>
          <w:lang w:val="en-GB"/>
        </w:rPr>
        <w:t xml:space="preserve"> by eliminating low-quality (</w:t>
      </w:r>
      <w:r w:rsidR="00037D52">
        <w:rPr>
          <w:lang w:val="en-GB"/>
        </w:rPr>
        <w:t>q</w:t>
      </w:r>
      <w:r w:rsidR="00867EC8">
        <w:rPr>
          <w:lang w:val="en-GB"/>
        </w:rPr>
        <w:t>&lt;30) sequences, resulting in loss of 24% to 35% sequences.</w:t>
      </w:r>
    </w:p>
    <w:p w:rsidR="009D66E0" w:rsidRPr="00F03953" w:rsidRDefault="002C278A" w:rsidP="00F03953">
      <w:pPr>
        <w:spacing w:line="360" w:lineRule="auto"/>
        <w:ind w:firstLine="709"/>
        <w:rPr>
          <w:lang w:val="en-GB"/>
        </w:rPr>
      </w:pPr>
      <w:r w:rsidRPr="003A6273">
        <w:rPr>
          <w:lang w:val="en-GB"/>
        </w:rPr>
        <w:t xml:space="preserve">Combining </w:t>
      </w:r>
      <w:r w:rsidR="00005579">
        <w:rPr>
          <w:lang w:val="en-GB"/>
        </w:rPr>
        <w:t xml:space="preserve">Illumina </w:t>
      </w:r>
      <w:r w:rsidRPr="003A6273">
        <w:rPr>
          <w:lang w:val="en-GB"/>
        </w:rPr>
        <w:t xml:space="preserve">paired-end reads can act </w:t>
      </w:r>
      <w:r w:rsidR="008E33FC">
        <w:rPr>
          <w:lang w:val="en-GB"/>
        </w:rPr>
        <w:t>as a quality filter by resulting in the omission of poor quality reads and improvement of low quality regions</w:t>
      </w:r>
      <w:r w:rsidR="00C370CF">
        <w:rPr>
          <w:lang w:val="en-GB"/>
        </w:rPr>
        <w:t>, thus</w:t>
      </w:r>
      <w:r w:rsidR="000F19F2">
        <w:rPr>
          <w:lang w:val="en-GB"/>
        </w:rPr>
        <w:t xml:space="preserve"> vastly improving </w:t>
      </w:r>
      <w:r w:rsidR="003132CC">
        <w:rPr>
          <w:lang w:val="en-GB"/>
        </w:rPr>
        <w:t>diversity estimates</w:t>
      </w:r>
      <w:r w:rsidR="004F10C7">
        <w:rPr>
          <w:lang w:val="en-GB"/>
        </w:rPr>
        <w:t xml:space="preserve"> (Bokulich et al. 2013)</w:t>
      </w:r>
      <w:r w:rsidRPr="003A6273">
        <w:rPr>
          <w:lang w:val="en-GB"/>
        </w:rPr>
        <w:t xml:space="preserve">. </w:t>
      </w:r>
      <w:r w:rsidR="005248BA">
        <w:rPr>
          <w:lang w:val="en-GB"/>
        </w:rPr>
        <w:t xml:space="preserve">With </w:t>
      </w:r>
      <w:r w:rsidR="00BB247F">
        <w:rPr>
          <w:lang w:val="en-GB"/>
        </w:rPr>
        <w:t xml:space="preserve">paired-end </w:t>
      </w:r>
      <w:r w:rsidR="00E43D68">
        <w:rPr>
          <w:lang w:val="en-GB"/>
        </w:rPr>
        <w:t>Illumina</w:t>
      </w:r>
      <w:r w:rsidR="00C370CF">
        <w:rPr>
          <w:lang w:val="en-GB"/>
        </w:rPr>
        <w:t xml:space="preserve"> </w:t>
      </w:r>
      <w:r w:rsidR="00BB247F">
        <w:rPr>
          <w:lang w:val="en-GB"/>
        </w:rPr>
        <w:t xml:space="preserve">sequencing, the forward read usually </w:t>
      </w:r>
      <w:r w:rsidR="000F19F2">
        <w:rPr>
          <w:lang w:val="en-GB"/>
        </w:rPr>
        <w:t xml:space="preserve">has </w:t>
      </w:r>
      <w:r w:rsidR="00BB247F">
        <w:rPr>
          <w:lang w:val="en-GB"/>
        </w:rPr>
        <w:t xml:space="preserve">slightly better quality </w:t>
      </w:r>
      <w:r w:rsidR="00C370CF">
        <w:rPr>
          <w:lang w:val="en-GB"/>
        </w:rPr>
        <w:t>than the</w:t>
      </w:r>
      <w:r w:rsidR="00BB247F">
        <w:rPr>
          <w:lang w:val="en-GB"/>
        </w:rPr>
        <w:t xml:space="preserve"> reverse read (Minoche et al. 2011). </w:t>
      </w:r>
      <w:r w:rsidR="008E33FC">
        <w:rPr>
          <w:lang w:val="en-GB"/>
        </w:rPr>
        <w:t>The</w:t>
      </w:r>
      <w:r w:rsidR="005E396F" w:rsidRPr="003A6273">
        <w:rPr>
          <w:lang w:val="en-GB"/>
        </w:rPr>
        <w:t xml:space="preserve"> reads are designed to </w:t>
      </w:r>
      <w:r w:rsidR="00B52BAC" w:rsidRPr="003A6273">
        <w:rPr>
          <w:lang w:val="en-GB"/>
        </w:rPr>
        <w:t xml:space="preserve">overlap at the end of </w:t>
      </w:r>
      <w:r w:rsidR="00044FA2">
        <w:rPr>
          <w:lang w:val="en-GB"/>
        </w:rPr>
        <w:t xml:space="preserve">both </w:t>
      </w:r>
      <w:r w:rsidR="00B52BAC" w:rsidRPr="003A6273">
        <w:rPr>
          <w:lang w:val="en-GB"/>
        </w:rPr>
        <w:t>sequence</w:t>
      </w:r>
      <w:r w:rsidR="00044FA2">
        <w:rPr>
          <w:lang w:val="en-GB"/>
        </w:rPr>
        <w:t>s</w:t>
      </w:r>
      <w:r w:rsidR="00B52BAC" w:rsidRPr="003A6273">
        <w:rPr>
          <w:lang w:val="en-GB"/>
        </w:rPr>
        <w:t xml:space="preserve"> where</w:t>
      </w:r>
      <w:r w:rsidR="00C370CF">
        <w:rPr>
          <w:lang w:val="en-GB"/>
        </w:rPr>
        <w:t xml:space="preserve"> the</w:t>
      </w:r>
      <w:r w:rsidR="00B52BAC" w:rsidRPr="003A6273">
        <w:rPr>
          <w:lang w:val="en-GB"/>
        </w:rPr>
        <w:t xml:space="preserve"> </w:t>
      </w:r>
      <w:r w:rsidR="00930EE2">
        <w:rPr>
          <w:lang w:val="en-GB"/>
        </w:rPr>
        <w:t>quality</w:t>
      </w:r>
      <w:r w:rsidR="00B52BAC" w:rsidRPr="003A6273">
        <w:rPr>
          <w:lang w:val="en-GB"/>
        </w:rPr>
        <w:t xml:space="preserve"> is </w:t>
      </w:r>
      <w:r w:rsidR="00C6737A">
        <w:rPr>
          <w:lang w:val="en-GB"/>
        </w:rPr>
        <w:t xml:space="preserve">lowest. </w:t>
      </w:r>
      <w:r w:rsidR="00DD0DF3" w:rsidRPr="003A6273">
        <w:rPr>
          <w:lang w:val="en-GB"/>
        </w:rPr>
        <w:t xml:space="preserve">This helps to </w:t>
      </w:r>
      <w:r w:rsidR="009D3487" w:rsidRPr="003A6273">
        <w:rPr>
          <w:lang w:val="en-GB"/>
        </w:rPr>
        <w:t>improve</w:t>
      </w:r>
      <w:r w:rsidR="00DD0DF3" w:rsidRPr="003A6273">
        <w:rPr>
          <w:lang w:val="en-GB"/>
        </w:rPr>
        <w:t xml:space="preserve"> </w:t>
      </w:r>
      <w:r w:rsidR="008E33FC">
        <w:rPr>
          <w:lang w:val="en-GB"/>
        </w:rPr>
        <w:t xml:space="preserve">the </w:t>
      </w:r>
      <w:r w:rsidR="00B52BAC" w:rsidRPr="003A6273">
        <w:rPr>
          <w:lang w:val="en-GB"/>
        </w:rPr>
        <w:t xml:space="preserve">quality of </w:t>
      </w:r>
      <w:r w:rsidR="00DD0DF3" w:rsidRPr="003A6273">
        <w:rPr>
          <w:lang w:val="en-GB"/>
        </w:rPr>
        <w:t>poor regions</w:t>
      </w:r>
      <w:r w:rsidR="008E33FC">
        <w:rPr>
          <w:lang w:val="en-GB"/>
        </w:rPr>
        <w:t xml:space="preserve"> (the </w:t>
      </w:r>
      <w:r w:rsidR="00475B2C" w:rsidRPr="007D3D59">
        <w:rPr>
          <w:rStyle w:val="ResponseChar"/>
        </w:rPr>
        <w:t>best-</w:t>
      </w:r>
      <w:r w:rsidR="008E33FC" w:rsidRPr="007D3D59">
        <w:rPr>
          <w:rStyle w:val="ResponseChar"/>
        </w:rPr>
        <w:t>supported</w:t>
      </w:r>
      <w:r w:rsidR="008E33FC">
        <w:rPr>
          <w:lang w:val="en-GB"/>
        </w:rPr>
        <w:t xml:space="preserve"> nucleotides are retained in the combined reads)</w:t>
      </w:r>
      <w:r w:rsidR="005E396F" w:rsidRPr="003A6273">
        <w:rPr>
          <w:lang w:val="en-GB"/>
        </w:rPr>
        <w:t>, but raises</w:t>
      </w:r>
      <w:r w:rsidR="00CB4974">
        <w:rPr>
          <w:lang w:val="en-GB"/>
        </w:rPr>
        <w:t xml:space="preserve"> </w:t>
      </w:r>
      <w:r w:rsidR="00C370CF">
        <w:rPr>
          <w:lang w:val="en-GB"/>
        </w:rPr>
        <w:t xml:space="preserve">the </w:t>
      </w:r>
      <w:r w:rsidR="00CB4974">
        <w:rPr>
          <w:lang w:val="en-GB"/>
        </w:rPr>
        <w:t>question</w:t>
      </w:r>
      <w:r w:rsidR="000A6292" w:rsidRPr="003A6273">
        <w:rPr>
          <w:lang w:val="en-GB"/>
        </w:rPr>
        <w:t xml:space="preserve"> </w:t>
      </w:r>
      <w:r w:rsidR="000F19F2">
        <w:rPr>
          <w:lang w:val="en-GB"/>
        </w:rPr>
        <w:t xml:space="preserve">of </w:t>
      </w:r>
      <w:r w:rsidR="005E396F" w:rsidRPr="003A6273">
        <w:rPr>
          <w:lang w:val="en-GB"/>
        </w:rPr>
        <w:t xml:space="preserve">how well </w:t>
      </w:r>
      <w:r w:rsidR="00C370CF">
        <w:rPr>
          <w:lang w:val="en-GB"/>
        </w:rPr>
        <w:t xml:space="preserve">the </w:t>
      </w:r>
      <w:r w:rsidR="005E396F" w:rsidRPr="003A6273">
        <w:rPr>
          <w:lang w:val="en-GB"/>
        </w:rPr>
        <w:t xml:space="preserve">algorithms can combine </w:t>
      </w:r>
      <w:r w:rsidR="004B7F71">
        <w:rPr>
          <w:lang w:val="en-GB"/>
        </w:rPr>
        <w:t>overlapping regions</w:t>
      </w:r>
      <w:r w:rsidR="00C370CF">
        <w:rPr>
          <w:lang w:val="en-GB"/>
        </w:rPr>
        <w:t xml:space="preserve"> of such quality</w:t>
      </w:r>
      <w:r w:rsidR="00930EE2">
        <w:rPr>
          <w:lang w:val="en-GB"/>
        </w:rPr>
        <w:t xml:space="preserve"> (</w:t>
      </w:r>
      <w:r w:rsidR="00930EE2" w:rsidRPr="00930EE2">
        <w:rPr>
          <w:lang w:val="en-GB"/>
        </w:rPr>
        <w:t>Parikh</w:t>
      </w:r>
      <w:r w:rsidR="00930EE2">
        <w:rPr>
          <w:lang w:val="en-GB"/>
        </w:rPr>
        <w:t xml:space="preserve"> </w:t>
      </w:r>
      <w:r w:rsidR="00FD4AEB">
        <w:rPr>
          <w:lang w:val="en-GB"/>
        </w:rPr>
        <w:t xml:space="preserve">et al. </w:t>
      </w:r>
      <w:r w:rsidR="00930EE2">
        <w:rPr>
          <w:lang w:val="en-GB"/>
        </w:rPr>
        <w:t>2016)</w:t>
      </w:r>
      <w:r w:rsidR="00DD0DF3" w:rsidRPr="003A6273">
        <w:rPr>
          <w:lang w:val="en-GB"/>
        </w:rPr>
        <w:t>.</w:t>
      </w:r>
      <w:r w:rsidR="004B7F71">
        <w:rPr>
          <w:lang w:val="en-GB"/>
        </w:rPr>
        <w:t xml:space="preserve"> Tagmentation introduced sequences </w:t>
      </w:r>
      <w:r w:rsidR="0030404C">
        <w:rPr>
          <w:lang w:val="en-GB"/>
        </w:rPr>
        <w:t>containing</w:t>
      </w:r>
      <w:r w:rsidR="004B7F71">
        <w:rPr>
          <w:lang w:val="en-GB"/>
        </w:rPr>
        <w:t xml:space="preserve"> Nextera adapters that were </w:t>
      </w:r>
      <w:r w:rsidR="00037D52">
        <w:rPr>
          <w:lang w:val="en-GB"/>
        </w:rPr>
        <w:t>removed</w:t>
      </w:r>
      <w:r w:rsidR="004B7F71">
        <w:rPr>
          <w:lang w:val="en-GB"/>
        </w:rPr>
        <w:t xml:space="preserve"> from the analyses. </w:t>
      </w:r>
      <w:r w:rsidR="007E3E0B">
        <w:rPr>
          <w:lang w:val="en-GB"/>
        </w:rPr>
        <w:t>However, t</w:t>
      </w:r>
      <w:r w:rsidR="004B7F71">
        <w:rPr>
          <w:lang w:val="en-GB"/>
        </w:rPr>
        <w:t xml:space="preserve">hese </w:t>
      </w:r>
      <w:r w:rsidR="00037D52">
        <w:rPr>
          <w:lang w:val="en-GB"/>
        </w:rPr>
        <w:t xml:space="preserve">removed reads </w:t>
      </w:r>
      <w:r w:rsidR="004B7F71">
        <w:rPr>
          <w:lang w:val="en-GB"/>
        </w:rPr>
        <w:t xml:space="preserve">can </w:t>
      </w:r>
      <w:r w:rsidR="000F19F2">
        <w:rPr>
          <w:lang w:val="en-GB"/>
        </w:rPr>
        <w:t xml:space="preserve">be </w:t>
      </w:r>
      <w:r w:rsidR="004B7F71">
        <w:rPr>
          <w:lang w:val="en-GB"/>
        </w:rPr>
        <w:t xml:space="preserve">used to </w:t>
      </w:r>
      <w:r w:rsidR="000F19F2">
        <w:rPr>
          <w:lang w:val="en-GB"/>
        </w:rPr>
        <w:t xml:space="preserve">find </w:t>
      </w:r>
      <w:r w:rsidR="004B7F71">
        <w:rPr>
          <w:lang w:val="en-GB"/>
        </w:rPr>
        <w:t>further taxon richness in samples</w:t>
      </w:r>
      <w:r w:rsidR="00037D52">
        <w:rPr>
          <w:lang w:val="en-GB"/>
        </w:rPr>
        <w:t xml:space="preserve"> by trimming </w:t>
      </w:r>
      <w:r w:rsidR="00037D52" w:rsidRPr="007D3D59">
        <w:rPr>
          <w:rStyle w:val="ResponseChar"/>
        </w:rPr>
        <w:t>adapter</w:t>
      </w:r>
      <w:r w:rsidR="00F80C5D" w:rsidRPr="007D3D59">
        <w:rPr>
          <w:rStyle w:val="ResponseChar"/>
        </w:rPr>
        <w:t>s</w:t>
      </w:r>
      <w:r w:rsidR="00037D52">
        <w:rPr>
          <w:lang w:val="en-GB"/>
        </w:rPr>
        <w:t xml:space="preserve"> from the sequence</w:t>
      </w:r>
      <w:r w:rsidR="00834007">
        <w:rPr>
          <w:lang w:val="en-GB"/>
        </w:rPr>
        <w:t>s</w:t>
      </w:r>
      <w:r w:rsidR="004B7F71">
        <w:rPr>
          <w:lang w:val="en-GB"/>
        </w:rPr>
        <w:t>. After trimming of the adapter sequences</w:t>
      </w:r>
      <w:r w:rsidR="00CA018E">
        <w:rPr>
          <w:lang w:val="en-GB"/>
        </w:rPr>
        <w:t xml:space="preserve"> (Bolger et al. 2014)</w:t>
      </w:r>
      <w:r w:rsidR="004B7F71">
        <w:rPr>
          <w:lang w:val="en-GB"/>
        </w:rPr>
        <w:t>,</w:t>
      </w:r>
      <w:r w:rsidR="000F19F2">
        <w:rPr>
          <w:lang w:val="en-GB"/>
        </w:rPr>
        <w:t xml:space="preserve"> the</w:t>
      </w:r>
      <w:r w:rsidR="004B7F71">
        <w:rPr>
          <w:lang w:val="en-GB"/>
        </w:rPr>
        <w:t xml:space="preserve"> </w:t>
      </w:r>
      <w:r w:rsidR="001235C8">
        <w:rPr>
          <w:lang w:val="en-GB"/>
        </w:rPr>
        <w:t>remaining sequences</w:t>
      </w:r>
      <w:r w:rsidR="004B7F71">
        <w:rPr>
          <w:lang w:val="en-GB"/>
        </w:rPr>
        <w:t xml:space="preserve"> are shorter than the original single-end read, 251 base pairs. </w:t>
      </w:r>
      <w:r w:rsidRPr="003A6273">
        <w:rPr>
          <w:lang w:val="en-GB"/>
        </w:rPr>
        <w:t>Shorter fragments mean that</w:t>
      </w:r>
      <w:r w:rsidR="000F19F2">
        <w:rPr>
          <w:lang w:val="en-GB"/>
        </w:rPr>
        <w:t xml:space="preserve"> the</w:t>
      </w:r>
      <w:r w:rsidRPr="003A6273">
        <w:rPr>
          <w:lang w:val="en-GB"/>
        </w:rPr>
        <w:t xml:space="preserve"> target region in </w:t>
      </w:r>
      <w:r w:rsidR="000F19F2">
        <w:rPr>
          <w:lang w:val="en-GB"/>
        </w:rPr>
        <w:t xml:space="preserve">the </w:t>
      </w:r>
      <w:r w:rsidRPr="003A6273">
        <w:rPr>
          <w:lang w:val="en-GB"/>
        </w:rPr>
        <w:t xml:space="preserve">reference database has to be carefully selected </w:t>
      </w:r>
      <w:r w:rsidR="00A22332">
        <w:rPr>
          <w:lang w:val="en-GB"/>
        </w:rPr>
        <w:t>to ensure correct species</w:t>
      </w:r>
      <w:r w:rsidRPr="003A6273">
        <w:rPr>
          <w:lang w:val="en-GB"/>
        </w:rPr>
        <w:t xml:space="preserve"> identif</w:t>
      </w:r>
      <w:r w:rsidR="00A22332">
        <w:rPr>
          <w:lang w:val="en-GB"/>
        </w:rPr>
        <w:t>ication</w:t>
      </w:r>
      <w:r w:rsidR="00B52BAC" w:rsidRPr="003A6273">
        <w:rPr>
          <w:lang w:val="en-GB"/>
        </w:rPr>
        <w:t xml:space="preserve">. Allowing sequences </w:t>
      </w:r>
      <w:r w:rsidR="000F19F2">
        <w:rPr>
          <w:lang w:val="en-GB"/>
        </w:rPr>
        <w:t xml:space="preserve">that are too short </w:t>
      </w:r>
      <w:r w:rsidR="00B52BAC" w:rsidRPr="003A6273">
        <w:rPr>
          <w:lang w:val="en-GB"/>
        </w:rPr>
        <w:t xml:space="preserve">may introduce misidentification of species, </w:t>
      </w:r>
      <w:r w:rsidR="00C370CF">
        <w:rPr>
          <w:lang w:val="en-GB"/>
        </w:rPr>
        <w:t>but on the</w:t>
      </w:r>
      <w:r w:rsidR="00C370CF" w:rsidRPr="003A6273">
        <w:rPr>
          <w:lang w:val="en-GB"/>
        </w:rPr>
        <w:t xml:space="preserve"> </w:t>
      </w:r>
      <w:r w:rsidR="00B52BAC" w:rsidRPr="003A6273">
        <w:rPr>
          <w:lang w:val="en-GB"/>
        </w:rPr>
        <w:t>other hand</w:t>
      </w:r>
      <w:r w:rsidR="00C370CF">
        <w:rPr>
          <w:lang w:val="en-GB"/>
        </w:rPr>
        <w:t>,</w:t>
      </w:r>
      <w:r w:rsidR="00B52BAC" w:rsidRPr="003A6273">
        <w:rPr>
          <w:lang w:val="en-GB"/>
        </w:rPr>
        <w:t xml:space="preserve"> u</w:t>
      </w:r>
      <w:r w:rsidRPr="003A6273">
        <w:rPr>
          <w:lang w:val="en-GB"/>
        </w:rPr>
        <w:t>s</w:t>
      </w:r>
      <w:r w:rsidR="00C370CF">
        <w:rPr>
          <w:lang w:val="en-GB"/>
        </w:rPr>
        <w:t>e of</w:t>
      </w:r>
      <w:r w:rsidRPr="003A6273">
        <w:rPr>
          <w:lang w:val="en-GB"/>
        </w:rPr>
        <w:t xml:space="preserve"> </w:t>
      </w:r>
      <w:r w:rsidR="00C370CF">
        <w:rPr>
          <w:lang w:val="en-GB"/>
        </w:rPr>
        <w:t xml:space="preserve">too </w:t>
      </w:r>
      <w:r w:rsidRPr="003A6273">
        <w:rPr>
          <w:lang w:val="en-GB"/>
        </w:rPr>
        <w:t xml:space="preserve">strict parameters </w:t>
      </w:r>
      <w:r w:rsidR="00A22332">
        <w:rPr>
          <w:lang w:val="en-GB"/>
        </w:rPr>
        <w:t xml:space="preserve">may lead to </w:t>
      </w:r>
      <w:r w:rsidRPr="003A6273">
        <w:rPr>
          <w:lang w:val="en-GB"/>
        </w:rPr>
        <w:t xml:space="preserve">rare </w:t>
      </w:r>
      <w:r w:rsidR="00A22332">
        <w:rPr>
          <w:lang w:val="en-GB"/>
        </w:rPr>
        <w:t>species being overlooked</w:t>
      </w:r>
      <w:r w:rsidR="00C370CF">
        <w:rPr>
          <w:lang w:val="en-GB"/>
        </w:rPr>
        <w:t>, thus</w:t>
      </w:r>
      <w:r w:rsidR="00A1365D" w:rsidRPr="003A6273">
        <w:rPr>
          <w:lang w:val="en-GB"/>
        </w:rPr>
        <w:t xml:space="preserve"> affecting species richness estimates</w:t>
      </w:r>
      <w:r w:rsidRPr="003A6273">
        <w:rPr>
          <w:lang w:val="en-GB"/>
        </w:rPr>
        <w:t xml:space="preserve">. </w:t>
      </w:r>
      <w:r w:rsidR="000F19F2">
        <w:rPr>
          <w:lang w:val="en-GB"/>
        </w:rPr>
        <w:t>Nextera tagmentation-</w:t>
      </w:r>
      <w:r w:rsidR="009D3487" w:rsidRPr="003A6273">
        <w:rPr>
          <w:lang w:val="en-GB"/>
        </w:rPr>
        <w:t>based</w:t>
      </w:r>
      <w:r w:rsidR="00077DA7" w:rsidRPr="003A6273">
        <w:rPr>
          <w:lang w:val="en-GB"/>
        </w:rPr>
        <w:t xml:space="preserve"> Illumina reads increase</w:t>
      </w:r>
      <w:r w:rsidR="000F19F2">
        <w:rPr>
          <w:lang w:val="en-GB"/>
        </w:rPr>
        <w:t xml:space="preserve"> the</w:t>
      </w:r>
      <w:r w:rsidR="00077DA7" w:rsidRPr="003A6273">
        <w:rPr>
          <w:lang w:val="en-GB"/>
        </w:rPr>
        <w:t xml:space="preserve"> overall complexity of </w:t>
      </w:r>
      <w:r w:rsidR="000F19F2">
        <w:rPr>
          <w:lang w:val="en-GB"/>
        </w:rPr>
        <w:t xml:space="preserve">the </w:t>
      </w:r>
      <w:r w:rsidR="00077DA7" w:rsidRPr="003A6273">
        <w:rPr>
          <w:lang w:val="en-GB"/>
        </w:rPr>
        <w:t>analy</w:t>
      </w:r>
      <w:r w:rsidR="000F19F2">
        <w:rPr>
          <w:lang w:val="en-GB"/>
        </w:rPr>
        <w:t>sis</w:t>
      </w:r>
      <w:r w:rsidR="008E33FC">
        <w:rPr>
          <w:lang w:val="en-GB"/>
        </w:rPr>
        <w:t>,</w:t>
      </w:r>
      <w:r w:rsidR="00077DA7" w:rsidRPr="003A6273">
        <w:rPr>
          <w:lang w:val="en-GB"/>
        </w:rPr>
        <w:t xml:space="preserve"> as further </w:t>
      </w:r>
      <w:r w:rsidR="000F19F2">
        <w:rPr>
          <w:lang w:val="en-GB"/>
        </w:rPr>
        <w:t>study is needed</w:t>
      </w:r>
      <w:r w:rsidR="00077DA7" w:rsidRPr="003A6273">
        <w:rPr>
          <w:lang w:val="en-GB"/>
        </w:rPr>
        <w:t xml:space="preserve"> to understand </w:t>
      </w:r>
      <w:r w:rsidR="000F19F2">
        <w:rPr>
          <w:lang w:val="en-GB"/>
        </w:rPr>
        <w:t xml:space="preserve">the </w:t>
      </w:r>
      <w:r w:rsidR="00077DA7" w:rsidRPr="003A6273">
        <w:rPr>
          <w:lang w:val="en-GB"/>
        </w:rPr>
        <w:t>reference dataset and underlying variable region properties</w:t>
      </w:r>
      <w:r w:rsidR="00A1365D" w:rsidRPr="003A6273">
        <w:rPr>
          <w:lang w:val="en-GB"/>
        </w:rPr>
        <w:t xml:space="preserve"> when using BLAST-based closed reference </w:t>
      </w:r>
      <w:r w:rsidR="00B52BAC" w:rsidRPr="003A6273">
        <w:rPr>
          <w:lang w:val="en-GB"/>
        </w:rPr>
        <w:t>OTU</w:t>
      </w:r>
      <w:r w:rsidR="00A1365D" w:rsidRPr="003A6273">
        <w:rPr>
          <w:lang w:val="en-GB"/>
        </w:rPr>
        <w:t xml:space="preserve"> picking</w:t>
      </w:r>
      <w:r w:rsidR="00AC090A">
        <w:rPr>
          <w:lang w:val="en-GB"/>
        </w:rPr>
        <w:t>.</w:t>
      </w:r>
      <w:r w:rsidR="003D1496">
        <w:rPr>
          <w:lang w:val="en-GB"/>
        </w:rPr>
        <w:t xml:space="preserve"> </w:t>
      </w:r>
    </w:p>
    <w:p w:rsidR="006645E3" w:rsidRDefault="006645E3" w:rsidP="00064F31">
      <w:pPr>
        <w:spacing w:line="360" w:lineRule="auto"/>
        <w:rPr>
          <w:rFonts w:cs="Times New Roman"/>
          <w:lang w:val="en-GB"/>
        </w:rPr>
      </w:pPr>
    </w:p>
    <w:p w:rsidR="0074754B" w:rsidRPr="0030404C" w:rsidRDefault="0074754B" w:rsidP="00064F31">
      <w:pPr>
        <w:spacing w:line="360" w:lineRule="auto"/>
        <w:rPr>
          <w:rFonts w:cs="Times New Roman"/>
          <w:i/>
          <w:lang w:val="en-GB"/>
        </w:rPr>
      </w:pPr>
      <w:r w:rsidRPr="0030404C">
        <w:rPr>
          <w:rFonts w:cs="Times New Roman"/>
          <w:i/>
          <w:lang w:val="en-GB"/>
        </w:rPr>
        <w:t>PCR-based vs metagenomic view on AM</w:t>
      </w:r>
      <w:r w:rsidR="00116F83">
        <w:rPr>
          <w:rFonts w:cs="Times New Roman"/>
          <w:i/>
          <w:lang w:val="en-GB"/>
        </w:rPr>
        <w:t xml:space="preserve"> </w:t>
      </w:r>
      <w:r w:rsidR="00116F83" w:rsidRPr="00992F2F">
        <w:rPr>
          <w:rStyle w:val="ResponseChar"/>
          <w:i/>
        </w:rPr>
        <w:t>fungal</w:t>
      </w:r>
      <w:r w:rsidRPr="0030404C">
        <w:rPr>
          <w:rFonts w:cs="Times New Roman"/>
          <w:i/>
          <w:lang w:val="en-GB"/>
        </w:rPr>
        <w:t xml:space="preserve"> communities</w:t>
      </w:r>
    </w:p>
    <w:p w:rsidR="00FA189C" w:rsidRDefault="0037046F" w:rsidP="00064F31">
      <w:pPr>
        <w:spacing w:line="360" w:lineRule="auto"/>
        <w:rPr>
          <w:rFonts w:cs="Times New Roman"/>
          <w:lang w:val="en-GB"/>
        </w:rPr>
      </w:pPr>
      <w:r>
        <w:rPr>
          <w:rFonts w:cs="Times New Roman"/>
          <w:lang w:val="en-GB"/>
        </w:rPr>
        <w:t>Caution should be exercised when drawing</w:t>
      </w:r>
      <w:r w:rsidR="006645E3">
        <w:rPr>
          <w:rFonts w:cs="Times New Roman"/>
          <w:lang w:val="en-GB"/>
        </w:rPr>
        <w:t xml:space="preserve"> biological meaning </w:t>
      </w:r>
      <w:r>
        <w:rPr>
          <w:rFonts w:cs="Times New Roman"/>
          <w:lang w:val="en-GB"/>
        </w:rPr>
        <w:t xml:space="preserve">from </w:t>
      </w:r>
      <w:r w:rsidR="008E33FC">
        <w:rPr>
          <w:rFonts w:cs="Times New Roman"/>
          <w:lang w:val="en-GB"/>
        </w:rPr>
        <w:t>PCR-amplified data sets</w:t>
      </w:r>
      <w:r w:rsidR="006645E3">
        <w:rPr>
          <w:rFonts w:cs="Times New Roman"/>
          <w:lang w:val="en-GB"/>
        </w:rPr>
        <w:t xml:space="preserve"> (Medinger et al. 2010)</w:t>
      </w:r>
      <w:r>
        <w:rPr>
          <w:rFonts w:cs="Times New Roman"/>
          <w:lang w:val="en-GB"/>
        </w:rPr>
        <w:t xml:space="preserve">, </w:t>
      </w:r>
      <w:r w:rsidR="006645E3">
        <w:rPr>
          <w:rFonts w:cs="Times New Roman"/>
          <w:lang w:val="en-GB"/>
        </w:rPr>
        <w:t xml:space="preserve">as PCR bias (Bradley et al. 2016) and </w:t>
      </w:r>
      <w:r w:rsidR="007D7255">
        <w:rPr>
          <w:rFonts w:cs="Times New Roman"/>
          <w:lang w:val="en-GB"/>
        </w:rPr>
        <w:t xml:space="preserve">technical </w:t>
      </w:r>
      <w:r w:rsidR="006645E3">
        <w:rPr>
          <w:rFonts w:cs="Times New Roman"/>
          <w:lang w:val="en-GB"/>
        </w:rPr>
        <w:t xml:space="preserve">sequencing errors can </w:t>
      </w:r>
      <w:r w:rsidR="00D90EB3">
        <w:rPr>
          <w:rFonts w:cs="Times New Roman"/>
          <w:lang w:val="en-GB"/>
        </w:rPr>
        <w:t>strongly inflate diversity estimates (Reeder &amp; Knight 2009)</w:t>
      </w:r>
      <w:r w:rsidR="00E25249">
        <w:rPr>
          <w:rFonts w:cs="Times New Roman"/>
          <w:lang w:val="en-GB"/>
        </w:rPr>
        <w:t xml:space="preserve"> and shift the abundances of individual organisms (</w:t>
      </w:r>
      <w:r w:rsidR="000219C3">
        <w:rPr>
          <w:rFonts w:cs="Times New Roman"/>
          <w:lang w:val="en-GB"/>
        </w:rPr>
        <w:t>Schmidt et al. 2013</w:t>
      </w:r>
      <w:r w:rsidR="00E25249">
        <w:rPr>
          <w:rFonts w:cs="Times New Roman"/>
          <w:lang w:val="en-GB"/>
        </w:rPr>
        <w:t>)</w:t>
      </w:r>
      <w:r w:rsidR="006645E3">
        <w:rPr>
          <w:rFonts w:cs="Times New Roman"/>
          <w:lang w:val="en-GB"/>
        </w:rPr>
        <w:t xml:space="preserve">. </w:t>
      </w:r>
      <w:r w:rsidR="00E25249">
        <w:rPr>
          <w:rFonts w:cs="Times New Roman"/>
          <w:lang w:val="en-GB"/>
        </w:rPr>
        <w:t xml:space="preserve">Furthermore, </w:t>
      </w:r>
      <w:r>
        <w:rPr>
          <w:rFonts w:cs="Times New Roman"/>
          <w:lang w:val="en-GB"/>
        </w:rPr>
        <w:t xml:space="preserve">the </w:t>
      </w:r>
      <w:r w:rsidR="00E25249">
        <w:rPr>
          <w:rFonts w:cs="Times New Roman"/>
          <w:lang w:val="en-GB"/>
        </w:rPr>
        <w:t xml:space="preserve">choice </w:t>
      </w:r>
      <w:r w:rsidR="00CB4974">
        <w:rPr>
          <w:rFonts w:cs="Times New Roman"/>
          <w:lang w:val="en-GB"/>
        </w:rPr>
        <w:t xml:space="preserve">of the PCR polymerase can have </w:t>
      </w:r>
      <w:r w:rsidR="007D7255">
        <w:rPr>
          <w:rFonts w:cs="Times New Roman"/>
          <w:lang w:val="en-GB"/>
        </w:rPr>
        <w:t xml:space="preserve">a </w:t>
      </w:r>
      <w:r w:rsidR="00CB4974">
        <w:rPr>
          <w:rFonts w:cs="Times New Roman"/>
          <w:lang w:val="en-GB"/>
        </w:rPr>
        <w:t>strong impact</w:t>
      </w:r>
      <w:r w:rsidR="00E25249">
        <w:rPr>
          <w:rFonts w:cs="Times New Roman"/>
          <w:lang w:val="en-GB"/>
        </w:rPr>
        <w:t xml:space="preserve"> on detected richness (</w:t>
      </w:r>
      <w:r w:rsidR="000219C3">
        <w:rPr>
          <w:rFonts w:cs="Times New Roman"/>
          <w:lang w:val="en-GB"/>
        </w:rPr>
        <w:t>Oliver et al. 2015</w:t>
      </w:r>
      <w:r w:rsidR="00E25249">
        <w:rPr>
          <w:rFonts w:cs="Times New Roman"/>
          <w:lang w:val="en-GB"/>
        </w:rPr>
        <w:t xml:space="preserve">). </w:t>
      </w:r>
      <w:r w:rsidR="00834D38">
        <w:rPr>
          <w:rFonts w:cs="Times New Roman"/>
          <w:lang w:val="en-GB"/>
        </w:rPr>
        <w:t xml:space="preserve">Sequencing errors can be partly </w:t>
      </w:r>
      <w:r w:rsidR="00E25249">
        <w:rPr>
          <w:rFonts w:cs="Times New Roman"/>
          <w:lang w:val="en-GB"/>
        </w:rPr>
        <w:t xml:space="preserve">detected and removed </w:t>
      </w:r>
      <w:r w:rsidR="00834D38">
        <w:rPr>
          <w:rFonts w:cs="Times New Roman"/>
          <w:lang w:val="en-GB"/>
        </w:rPr>
        <w:t xml:space="preserve">by high quality filtering and </w:t>
      </w:r>
      <w:r>
        <w:rPr>
          <w:rFonts w:cs="Times New Roman"/>
          <w:lang w:val="en-GB"/>
        </w:rPr>
        <w:t xml:space="preserve">by </w:t>
      </w:r>
      <w:r w:rsidR="00834D38">
        <w:rPr>
          <w:rFonts w:cs="Times New Roman"/>
          <w:lang w:val="en-GB"/>
        </w:rPr>
        <w:t>using chimer</w:t>
      </w:r>
      <w:r w:rsidR="00E25249">
        <w:rPr>
          <w:rFonts w:cs="Times New Roman"/>
          <w:lang w:val="en-GB"/>
        </w:rPr>
        <w:t>a</w:t>
      </w:r>
      <w:r w:rsidR="00834D38">
        <w:rPr>
          <w:rFonts w:cs="Times New Roman"/>
          <w:lang w:val="en-GB"/>
        </w:rPr>
        <w:t xml:space="preserve"> detection tools</w:t>
      </w:r>
      <w:r w:rsidR="00013E65">
        <w:rPr>
          <w:rFonts w:cs="Times New Roman"/>
          <w:lang w:val="en-GB"/>
        </w:rPr>
        <w:t xml:space="preserve"> </w:t>
      </w:r>
      <w:r w:rsidR="00013E65">
        <w:rPr>
          <w:rFonts w:cs="Times New Roman"/>
          <w:lang w:val="en-GB"/>
        </w:rPr>
        <w:lastRenderedPageBreak/>
        <w:t>(Edgar et al. 2011)</w:t>
      </w:r>
      <w:r w:rsidR="00834D38">
        <w:rPr>
          <w:rFonts w:cs="Times New Roman"/>
          <w:lang w:val="en-GB"/>
        </w:rPr>
        <w:t xml:space="preserve">. </w:t>
      </w:r>
      <w:r>
        <w:rPr>
          <w:rFonts w:cs="Times New Roman"/>
          <w:lang w:val="en-GB"/>
        </w:rPr>
        <w:t>Nonetheless</w:t>
      </w:r>
      <w:r w:rsidR="00E25249">
        <w:rPr>
          <w:rFonts w:cs="Times New Roman"/>
          <w:lang w:val="en-GB"/>
        </w:rPr>
        <w:t>, t</w:t>
      </w:r>
      <w:r w:rsidR="004A47D8">
        <w:rPr>
          <w:rFonts w:cs="Times New Roman"/>
          <w:lang w:val="en-GB"/>
        </w:rPr>
        <w:t>o overcome PCR and primer bias</w:t>
      </w:r>
      <w:r w:rsidR="006645E3">
        <w:rPr>
          <w:rFonts w:cs="Times New Roman"/>
          <w:lang w:val="en-GB"/>
        </w:rPr>
        <w:t xml:space="preserve">, metagenomic sequencing </w:t>
      </w:r>
      <w:r w:rsidR="00E25249">
        <w:rPr>
          <w:rFonts w:cs="Times New Roman"/>
          <w:lang w:val="en-GB"/>
        </w:rPr>
        <w:t>that yields data</w:t>
      </w:r>
      <w:r w:rsidR="006645E3">
        <w:rPr>
          <w:rFonts w:cs="Times New Roman"/>
          <w:lang w:val="en-GB"/>
        </w:rPr>
        <w:t xml:space="preserve"> largely </w:t>
      </w:r>
      <w:r w:rsidR="007D7255">
        <w:rPr>
          <w:rFonts w:cs="Times New Roman"/>
          <w:lang w:val="en-GB"/>
        </w:rPr>
        <w:t xml:space="preserve">proportional </w:t>
      </w:r>
      <w:r w:rsidR="006645E3">
        <w:rPr>
          <w:rFonts w:cs="Times New Roman"/>
          <w:lang w:val="en-GB"/>
        </w:rPr>
        <w:t xml:space="preserve">to the template DNA </w:t>
      </w:r>
      <w:r w:rsidR="008E33FC">
        <w:rPr>
          <w:rFonts w:cs="Times New Roman"/>
          <w:lang w:val="en-GB"/>
        </w:rPr>
        <w:t>would be</w:t>
      </w:r>
      <w:r>
        <w:rPr>
          <w:rFonts w:cs="Times New Roman"/>
          <w:lang w:val="en-GB"/>
        </w:rPr>
        <w:t xml:space="preserve"> highly desirable</w:t>
      </w:r>
      <w:r w:rsidR="00601E82">
        <w:rPr>
          <w:rFonts w:cs="Times New Roman"/>
          <w:lang w:val="en-GB"/>
        </w:rPr>
        <w:t xml:space="preserve"> </w:t>
      </w:r>
      <w:r w:rsidR="006645E3">
        <w:rPr>
          <w:rFonts w:cs="Times New Roman"/>
          <w:lang w:val="en-GB"/>
        </w:rPr>
        <w:t>(</w:t>
      </w:r>
      <w:r w:rsidR="00837490">
        <w:rPr>
          <w:rFonts w:cs="Times New Roman"/>
          <w:lang w:val="en-GB"/>
        </w:rPr>
        <w:t>Thomas et al. 2012</w:t>
      </w:r>
      <w:r w:rsidR="006645E3">
        <w:rPr>
          <w:rFonts w:cs="Times New Roman"/>
          <w:lang w:val="en-GB"/>
        </w:rPr>
        <w:t>).</w:t>
      </w:r>
      <w:r w:rsidR="00114228">
        <w:rPr>
          <w:rFonts w:cs="Times New Roman"/>
          <w:lang w:val="en-GB"/>
        </w:rPr>
        <w:t xml:space="preserve"> </w:t>
      </w:r>
    </w:p>
    <w:p w:rsidR="001A39F0" w:rsidRDefault="00E7389D" w:rsidP="00A53D4A">
      <w:pPr>
        <w:spacing w:line="360" w:lineRule="auto"/>
        <w:ind w:firstLine="709"/>
        <w:rPr>
          <w:rFonts w:cs="Times New Roman"/>
          <w:lang w:val="en-GB"/>
        </w:rPr>
      </w:pPr>
      <w:r>
        <w:rPr>
          <w:rFonts w:cs="Times New Roman"/>
          <w:lang w:val="en-GB"/>
        </w:rPr>
        <w:t>The metagenome</w:t>
      </w:r>
      <w:r w:rsidR="0037046F">
        <w:rPr>
          <w:rFonts w:cs="Times New Roman"/>
          <w:lang w:val="en-GB"/>
        </w:rPr>
        <w:t>s</w:t>
      </w:r>
      <w:r>
        <w:rPr>
          <w:rFonts w:cs="Times New Roman"/>
          <w:lang w:val="en-GB"/>
        </w:rPr>
        <w:t xml:space="preserve"> of plant root</w:t>
      </w:r>
      <w:r w:rsidR="0037046F">
        <w:rPr>
          <w:rFonts w:cs="Times New Roman"/>
          <w:lang w:val="en-GB"/>
        </w:rPr>
        <w:t>s</w:t>
      </w:r>
      <w:r>
        <w:rPr>
          <w:rFonts w:cs="Times New Roman"/>
          <w:lang w:val="en-GB"/>
        </w:rPr>
        <w:t xml:space="preserve"> present challenges of size and complexity. </w:t>
      </w:r>
      <w:r w:rsidR="00E25249">
        <w:rPr>
          <w:rFonts w:cs="Times New Roman"/>
          <w:lang w:val="en-GB"/>
        </w:rPr>
        <w:t>In this study, o</w:t>
      </w:r>
      <w:r w:rsidR="001D0BFB">
        <w:rPr>
          <w:rFonts w:cs="Times New Roman"/>
          <w:lang w:val="en-GB"/>
        </w:rPr>
        <w:t xml:space="preserve">ur workflow </w:t>
      </w:r>
      <w:r w:rsidR="008E33FC">
        <w:rPr>
          <w:rFonts w:cs="Times New Roman"/>
          <w:lang w:val="en-GB"/>
        </w:rPr>
        <w:t>detected</w:t>
      </w:r>
      <w:r w:rsidR="001D0BFB">
        <w:rPr>
          <w:rFonts w:cs="Times New Roman"/>
          <w:lang w:val="en-GB"/>
        </w:rPr>
        <w:t xml:space="preserve"> on</w:t>
      </w:r>
      <w:r w:rsidR="00E20F34">
        <w:rPr>
          <w:rFonts w:cs="Times New Roman"/>
          <w:lang w:val="en-GB"/>
        </w:rPr>
        <w:t>ly a</w:t>
      </w:r>
      <w:r w:rsidR="001D0BFB">
        <w:rPr>
          <w:rFonts w:cs="Times New Roman"/>
          <w:lang w:val="en-GB"/>
        </w:rPr>
        <w:t xml:space="preserve"> small fraction of </w:t>
      </w:r>
      <w:r w:rsidR="007D7255">
        <w:rPr>
          <w:rFonts w:cs="Times New Roman"/>
          <w:lang w:val="en-GB"/>
        </w:rPr>
        <w:t>AM</w:t>
      </w:r>
      <w:r w:rsidR="00116F83" w:rsidRPr="00992F2F">
        <w:rPr>
          <w:rStyle w:val="ResponseChar"/>
        </w:rPr>
        <w:t xml:space="preserve"> fungal</w:t>
      </w:r>
      <w:r w:rsidR="007D7255">
        <w:rPr>
          <w:rFonts w:cs="Times New Roman"/>
          <w:lang w:val="en-GB"/>
        </w:rPr>
        <w:t xml:space="preserve"> </w:t>
      </w:r>
      <w:r w:rsidR="001D0BFB">
        <w:rPr>
          <w:rFonts w:cs="Times New Roman"/>
          <w:lang w:val="en-GB"/>
        </w:rPr>
        <w:t>sequences in plant root samples</w:t>
      </w:r>
      <w:r w:rsidR="00E20F34">
        <w:rPr>
          <w:rFonts w:cs="Times New Roman"/>
          <w:lang w:val="en-GB"/>
        </w:rPr>
        <w:t>, resulting in a considerably lower detected richness than with PCR-based approach</w:t>
      </w:r>
      <w:r w:rsidR="00104EF8">
        <w:rPr>
          <w:rFonts w:cs="Times New Roman"/>
          <w:lang w:val="en-GB"/>
        </w:rPr>
        <w:t>es</w:t>
      </w:r>
      <w:r w:rsidR="00E20F34">
        <w:rPr>
          <w:rFonts w:cs="Times New Roman"/>
          <w:lang w:val="en-GB"/>
        </w:rPr>
        <w:t xml:space="preserve">. </w:t>
      </w:r>
      <w:r w:rsidR="008E33FC">
        <w:rPr>
          <w:rFonts w:cs="Times New Roman"/>
          <w:lang w:val="en-GB"/>
        </w:rPr>
        <w:t>M</w:t>
      </w:r>
      <w:r w:rsidR="00D91237">
        <w:rPr>
          <w:rFonts w:cs="Times New Roman"/>
          <w:lang w:val="en-GB"/>
        </w:rPr>
        <w:t xml:space="preserve">etagenomic Illumina has </w:t>
      </w:r>
      <w:r w:rsidR="008E33FC">
        <w:rPr>
          <w:rFonts w:cs="Times New Roman"/>
          <w:lang w:val="en-GB"/>
        </w:rPr>
        <w:t xml:space="preserve">also </w:t>
      </w:r>
      <w:r w:rsidR="00D91237">
        <w:rPr>
          <w:rFonts w:cs="Times New Roman"/>
          <w:lang w:val="en-GB"/>
        </w:rPr>
        <w:t xml:space="preserve">been reported to have uneven read coverage (Dohm </w:t>
      </w:r>
      <w:r w:rsidR="00246EB0">
        <w:rPr>
          <w:rFonts w:cs="Times New Roman"/>
          <w:lang w:val="en-GB"/>
        </w:rPr>
        <w:t>et al. 2008, Hillier et al. 2008</w:t>
      </w:r>
      <w:r w:rsidR="00383888">
        <w:rPr>
          <w:rFonts w:cs="Times New Roman"/>
          <w:lang w:val="en-GB"/>
        </w:rPr>
        <w:t>); this bias can result in</w:t>
      </w:r>
      <w:r w:rsidR="00005579">
        <w:rPr>
          <w:rFonts w:cs="Times New Roman"/>
          <w:lang w:val="en-GB"/>
        </w:rPr>
        <w:t xml:space="preserve"> </w:t>
      </w:r>
      <w:r w:rsidR="00D91237">
        <w:rPr>
          <w:rFonts w:cs="Times New Roman"/>
          <w:lang w:val="en-GB"/>
        </w:rPr>
        <w:t>gaps</w:t>
      </w:r>
      <w:r w:rsidR="00005579">
        <w:rPr>
          <w:rFonts w:cs="Times New Roman"/>
          <w:lang w:val="en-GB"/>
        </w:rPr>
        <w:t xml:space="preserve"> </w:t>
      </w:r>
      <w:r w:rsidR="00747F1D">
        <w:rPr>
          <w:rFonts w:cs="Times New Roman"/>
          <w:lang w:val="en-GB"/>
        </w:rPr>
        <w:t xml:space="preserve">in the metagenome </w:t>
      </w:r>
      <w:r w:rsidR="00005579">
        <w:rPr>
          <w:rFonts w:cs="Times New Roman"/>
          <w:lang w:val="en-GB"/>
        </w:rPr>
        <w:t>without any reads</w:t>
      </w:r>
      <w:r w:rsidR="00D91237">
        <w:rPr>
          <w:rFonts w:cs="Times New Roman"/>
          <w:lang w:val="en-GB"/>
        </w:rPr>
        <w:t xml:space="preserve"> and affect quantitative assessments. Discarding low quality reads can also result in uneven</w:t>
      </w:r>
      <w:r w:rsidR="00005579">
        <w:rPr>
          <w:rFonts w:cs="Times New Roman"/>
          <w:lang w:val="en-GB"/>
        </w:rPr>
        <w:t xml:space="preserve"> read </w:t>
      </w:r>
      <w:r w:rsidR="00D91237">
        <w:rPr>
          <w:rFonts w:cs="Times New Roman"/>
          <w:lang w:val="en-GB"/>
        </w:rPr>
        <w:t xml:space="preserve">coverage, introducing potential bias in quantitative studies (Nakamura et al. 2011). </w:t>
      </w:r>
      <w:r w:rsidR="00104EF8">
        <w:rPr>
          <w:rFonts w:cs="Times New Roman"/>
          <w:lang w:val="en-GB"/>
        </w:rPr>
        <w:t>T</w:t>
      </w:r>
      <w:r w:rsidR="00383888">
        <w:rPr>
          <w:rFonts w:cs="Times New Roman"/>
          <w:lang w:val="en-GB"/>
        </w:rPr>
        <w:t>he</w:t>
      </w:r>
      <w:r w:rsidR="00104EF8">
        <w:rPr>
          <w:rFonts w:cs="Times New Roman"/>
          <w:lang w:val="en-GB"/>
        </w:rPr>
        <w:t xml:space="preserve"> great</w:t>
      </w:r>
      <w:r w:rsidR="00E20F34">
        <w:rPr>
          <w:rFonts w:cs="Times New Roman"/>
          <w:lang w:val="en-GB"/>
        </w:rPr>
        <w:t xml:space="preserve"> majority of the</w:t>
      </w:r>
      <w:r w:rsidR="00804CC3">
        <w:rPr>
          <w:rFonts w:cs="Times New Roman"/>
          <w:lang w:val="en-GB"/>
        </w:rPr>
        <w:t xml:space="preserve"> metagenomic sequences </w:t>
      </w:r>
      <w:r w:rsidR="00601E82">
        <w:rPr>
          <w:rFonts w:cs="Times New Roman"/>
          <w:lang w:val="en-GB"/>
        </w:rPr>
        <w:t xml:space="preserve">in our dataset </w:t>
      </w:r>
      <w:r w:rsidR="00E20F34">
        <w:rPr>
          <w:rFonts w:cs="Times New Roman"/>
          <w:lang w:val="en-GB"/>
        </w:rPr>
        <w:t>were of</w:t>
      </w:r>
      <w:r w:rsidR="00804CC3">
        <w:rPr>
          <w:rFonts w:cs="Times New Roman"/>
          <w:lang w:val="en-GB"/>
        </w:rPr>
        <w:t xml:space="preserve"> host-plant origin</w:t>
      </w:r>
      <w:r w:rsidR="00104EF8">
        <w:rPr>
          <w:rFonts w:cs="Times New Roman"/>
          <w:lang w:val="en-GB"/>
        </w:rPr>
        <w:t>, with AM</w:t>
      </w:r>
      <w:r w:rsidR="00116F83">
        <w:rPr>
          <w:rFonts w:cs="Times New Roman"/>
          <w:lang w:val="en-GB"/>
        </w:rPr>
        <w:t xml:space="preserve"> </w:t>
      </w:r>
      <w:r w:rsidR="00116F83" w:rsidRPr="00992F2F">
        <w:rPr>
          <w:rStyle w:val="ResponseChar"/>
        </w:rPr>
        <w:t>fungi</w:t>
      </w:r>
      <w:r w:rsidR="00104EF8">
        <w:rPr>
          <w:rFonts w:cs="Times New Roman"/>
          <w:lang w:val="en-GB"/>
        </w:rPr>
        <w:t xml:space="preserve"> apparently present at low relative abundance in terms of DNA amount in the plant root samples</w:t>
      </w:r>
      <w:r w:rsidR="00804CC3">
        <w:rPr>
          <w:rFonts w:cs="Times New Roman"/>
          <w:lang w:val="en-GB"/>
        </w:rPr>
        <w:t>.</w:t>
      </w:r>
      <w:r w:rsidR="001A39F0">
        <w:rPr>
          <w:rFonts w:cs="Times New Roman"/>
          <w:lang w:val="en-GB"/>
        </w:rPr>
        <w:t xml:space="preserve"> </w:t>
      </w:r>
      <w:r w:rsidR="001E3224">
        <w:rPr>
          <w:rFonts w:cs="Times New Roman"/>
          <w:lang w:val="en-GB"/>
        </w:rPr>
        <w:t xml:space="preserve">It may be worth testing available approaches for enrichment </w:t>
      </w:r>
      <w:r w:rsidR="001A39F0">
        <w:rPr>
          <w:rFonts w:cs="Times New Roman"/>
          <w:lang w:val="en-GB"/>
        </w:rPr>
        <w:t xml:space="preserve">of the template </w:t>
      </w:r>
      <w:r w:rsidR="007342B9">
        <w:rPr>
          <w:rFonts w:cs="Times New Roman"/>
          <w:lang w:val="en-GB"/>
        </w:rPr>
        <w:t>DNA or targeted removal of unwanted DNA, e.g. of the plants (</w:t>
      </w:r>
      <w:r w:rsidR="00954BE1">
        <w:rPr>
          <w:rFonts w:cs="Times New Roman"/>
          <w:lang w:val="en-GB"/>
        </w:rPr>
        <w:t>Motley et al. 2014</w:t>
      </w:r>
      <w:r w:rsidR="007342B9">
        <w:rPr>
          <w:rFonts w:cs="Times New Roman"/>
          <w:lang w:val="en-GB"/>
        </w:rPr>
        <w:t>).</w:t>
      </w:r>
      <w:r w:rsidR="00234E07">
        <w:rPr>
          <w:rFonts w:cs="Times New Roman"/>
          <w:lang w:val="en-GB"/>
        </w:rPr>
        <w:t xml:space="preserve"> </w:t>
      </w:r>
      <w:r w:rsidR="00BA0F6B">
        <w:rPr>
          <w:rFonts w:cs="Times New Roman"/>
          <w:lang w:val="en-GB"/>
        </w:rPr>
        <w:t>Additionally</w:t>
      </w:r>
      <w:r w:rsidR="00601E82">
        <w:rPr>
          <w:rFonts w:cs="Times New Roman"/>
          <w:lang w:val="en-GB"/>
        </w:rPr>
        <w:t>,</w:t>
      </w:r>
      <w:r w:rsidR="00BA0F6B">
        <w:rPr>
          <w:rFonts w:cs="Times New Roman"/>
          <w:lang w:val="en-GB"/>
        </w:rPr>
        <w:t xml:space="preserve"> </w:t>
      </w:r>
      <w:r w:rsidR="00BA0F6B">
        <w:rPr>
          <w:color w:val="000000"/>
          <w:shd w:val="clear" w:color="auto" w:fill="FFFFFF"/>
        </w:rPr>
        <w:t xml:space="preserve">multiple displacement </w:t>
      </w:r>
      <w:r w:rsidR="007D611A">
        <w:rPr>
          <w:color w:val="000000"/>
          <w:shd w:val="clear" w:color="auto" w:fill="FFFFFF"/>
        </w:rPr>
        <w:t xml:space="preserve">amplification (MDA) can be used </w:t>
      </w:r>
      <w:r w:rsidR="007D611A" w:rsidRPr="007D611A">
        <w:rPr>
          <w:color w:val="000000"/>
          <w:shd w:val="clear" w:color="auto" w:fill="FFFFFF"/>
        </w:rPr>
        <w:t>by annealing random hexamer primers to the template</w:t>
      </w:r>
      <w:r w:rsidR="007D611A">
        <w:rPr>
          <w:color w:val="000000"/>
          <w:shd w:val="clear" w:color="auto" w:fill="FFFFFF"/>
        </w:rPr>
        <w:t xml:space="preserve">, where </w:t>
      </w:r>
      <w:r w:rsidR="007D611A" w:rsidRPr="007D611A">
        <w:rPr>
          <w:color w:val="000000"/>
          <w:shd w:val="clear" w:color="auto" w:fill="FFFFFF"/>
        </w:rPr>
        <w:t>DNA synthesis is carried out by a high fidelity enzyme at a constant temperature</w:t>
      </w:r>
      <w:r w:rsidR="007D611A">
        <w:rPr>
          <w:color w:val="000000"/>
          <w:shd w:val="clear" w:color="auto" w:fill="FFFFFF"/>
        </w:rPr>
        <w:t xml:space="preserve"> (Picher et al. 2016).</w:t>
      </w:r>
      <w:r w:rsidR="00BA0F6B">
        <w:rPr>
          <w:color w:val="000000"/>
          <w:shd w:val="clear" w:color="auto" w:fill="FFFFFF"/>
        </w:rPr>
        <w:t xml:space="preserve"> </w:t>
      </w:r>
      <w:r w:rsidR="00601E82">
        <w:rPr>
          <w:rFonts w:cs="Times New Roman"/>
          <w:lang w:val="en-GB"/>
        </w:rPr>
        <w:t>N</w:t>
      </w:r>
      <w:r w:rsidR="00234E07">
        <w:rPr>
          <w:rFonts w:cs="Times New Roman"/>
          <w:lang w:val="en-GB"/>
        </w:rPr>
        <w:t xml:space="preserve">on-target sequences can </w:t>
      </w:r>
      <w:r w:rsidR="00601E82">
        <w:rPr>
          <w:rFonts w:cs="Times New Roman"/>
          <w:lang w:val="en-GB"/>
        </w:rPr>
        <w:t xml:space="preserve">also </w:t>
      </w:r>
      <w:r w:rsidR="00234E07">
        <w:rPr>
          <w:rFonts w:cs="Times New Roman"/>
          <w:lang w:val="en-GB"/>
        </w:rPr>
        <w:t xml:space="preserve">be filtered out </w:t>
      </w:r>
      <w:r w:rsidR="00601E82">
        <w:rPr>
          <w:rFonts w:cs="Times New Roman"/>
          <w:lang w:val="en-GB"/>
        </w:rPr>
        <w:t>bioinformatically</w:t>
      </w:r>
      <w:r w:rsidR="00521328">
        <w:rPr>
          <w:rFonts w:cs="Times New Roman"/>
          <w:lang w:val="en-GB"/>
        </w:rPr>
        <w:t>, e.g.</w:t>
      </w:r>
      <w:r w:rsidR="00601E82">
        <w:rPr>
          <w:rFonts w:cs="Times New Roman"/>
          <w:lang w:val="en-GB"/>
        </w:rPr>
        <w:t xml:space="preserve"> if</w:t>
      </w:r>
      <w:r w:rsidR="00980A83">
        <w:rPr>
          <w:rFonts w:cs="Times New Roman"/>
          <w:lang w:val="en-GB"/>
        </w:rPr>
        <w:t xml:space="preserve"> the</w:t>
      </w:r>
      <w:r w:rsidR="00234E07">
        <w:rPr>
          <w:rFonts w:cs="Times New Roman"/>
          <w:lang w:val="en-GB"/>
        </w:rPr>
        <w:t xml:space="preserve"> GC% content</w:t>
      </w:r>
      <w:r w:rsidR="00521328">
        <w:rPr>
          <w:rFonts w:cs="Times New Roman"/>
          <w:lang w:val="en-GB"/>
        </w:rPr>
        <w:t xml:space="preserve"> of the target group is distinct</w:t>
      </w:r>
      <w:r w:rsidR="00361E07">
        <w:rPr>
          <w:rFonts w:cs="Times New Roman"/>
          <w:lang w:val="en-GB"/>
        </w:rPr>
        <w:t xml:space="preserve"> or </w:t>
      </w:r>
      <w:r w:rsidR="00521328">
        <w:rPr>
          <w:rFonts w:cs="Times New Roman"/>
          <w:lang w:val="en-GB"/>
        </w:rPr>
        <w:t xml:space="preserve">by </w:t>
      </w:r>
      <w:r w:rsidR="00361E07">
        <w:rPr>
          <w:rFonts w:cs="Times New Roman"/>
          <w:lang w:val="en-GB"/>
        </w:rPr>
        <w:t xml:space="preserve">aligning reads against </w:t>
      </w:r>
      <w:r w:rsidR="00980A83">
        <w:rPr>
          <w:rFonts w:cs="Times New Roman"/>
          <w:lang w:val="en-GB"/>
        </w:rPr>
        <w:t xml:space="preserve">a </w:t>
      </w:r>
      <w:r w:rsidR="00361E07">
        <w:rPr>
          <w:rFonts w:cs="Times New Roman"/>
          <w:lang w:val="en-GB"/>
        </w:rPr>
        <w:t>targeted reference genome</w:t>
      </w:r>
      <w:r w:rsidR="00234E07">
        <w:rPr>
          <w:rFonts w:cs="Times New Roman"/>
          <w:lang w:val="en-GB"/>
        </w:rPr>
        <w:t>.</w:t>
      </w:r>
      <w:r w:rsidR="007342B9">
        <w:rPr>
          <w:rFonts w:cs="Times New Roman"/>
          <w:lang w:val="en-GB"/>
        </w:rPr>
        <w:t xml:space="preserve"> </w:t>
      </w:r>
    </w:p>
    <w:p w:rsidR="004B7F71" w:rsidRPr="003A6273" w:rsidRDefault="007342B9" w:rsidP="00446DE7">
      <w:pPr>
        <w:spacing w:line="360" w:lineRule="auto"/>
        <w:ind w:firstLine="709"/>
        <w:rPr>
          <w:rFonts w:cs="Times New Roman"/>
          <w:lang w:val="en-GB"/>
        </w:rPr>
      </w:pPr>
      <w:r>
        <w:rPr>
          <w:rFonts w:cs="Times New Roman"/>
          <w:lang w:val="en-GB"/>
        </w:rPr>
        <w:t xml:space="preserve">A further limitation of the metagenomic </w:t>
      </w:r>
      <w:r w:rsidR="00980A83">
        <w:rPr>
          <w:rFonts w:cs="Times New Roman"/>
          <w:lang w:val="en-GB"/>
        </w:rPr>
        <w:t xml:space="preserve">approach </w:t>
      </w:r>
      <w:r>
        <w:rPr>
          <w:rFonts w:cs="Times New Roman"/>
          <w:lang w:val="en-GB"/>
        </w:rPr>
        <w:t>is that reference databases are insufficiently populated with genomic data (</w:t>
      </w:r>
      <w:r w:rsidR="001F2063" w:rsidRPr="001F2063">
        <w:rPr>
          <w:rFonts w:cs="Times New Roman"/>
          <w:lang w:val="en-GB"/>
        </w:rPr>
        <w:t>Santamaria</w:t>
      </w:r>
      <w:r w:rsidR="001F2063">
        <w:rPr>
          <w:rFonts w:cs="Times New Roman"/>
          <w:lang w:val="en-GB"/>
        </w:rPr>
        <w:t xml:space="preserve"> et al. 2012</w:t>
      </w:r>
      <w:r w:rsidR="00291DBC">
        <w:rPr>
          <w:rFonts w:cs="Times New Roman"/>
          <w:lang w:val="en-GB"/>
        </w:rPr>
        <w:t>;</w:t>
      </w:r>
      <w:r w:rsidR="006D5DEC">
        <w:rPr>
          <w:rFonts w:cs="Times New Roman"/>
          <w:lang w:val="en-GB"/>
        </w:rPr>
        <w:t xml:space="preserve"> del Campo et al. 2014</w:t>
      </w:r>
      <w:r>
        <w:rPr>
          <w:rFonts w:cs="Times New Roman"/>
          <w:lang w:val="en-GB"/>
        </w:rPr>
        <w:t>). In our data</w:t>
      </w:r>
      <w:r w:rsidR="00BB10D3">
        <w:rPr>
          <w:rFonts w:cs="Times New Roman"/>
          <w:lang w:val="en-GB"/>
        </w:rPr>
        <w:t xml:space="preserve">, </w:t>
      </w:r>
      <w:r>
        <w:rPr>
          <w:rFonts w:cs="Times New Roman"/>
          <w:lang w:val="en-GB"/>
        </w:rPr>
        <w:t>AM</w:t>
      </w:r>
      <w:r w:rsidR="00116F83">
        <w:rPr>
          <w:rFonts w:cs="Times New Roman"/>
          <w:lang w:val="en-GB"/>
        </w:rPr>
        <w:t xml:space="preserve"> </w:t>
      </w:r>
      <w:r w:rsidR="00116F83" w:rsidRPr="00992F2F">
        <w:rPr>
          <w:rStyle w:val="ResponseChar"/>
        </w:rPr>
        <w:t>fungal</w:t>
      </w:r>
      <w:r>
        <w:rPr>
          <w:rFonts w:cs="Times New Roman"/>
          <w:lang w:val="en-GB"/>
        </w:rPr>
        <w:t xml:space="preserve"> reads were </w:t>
      </w:r>
      <w:r w:rsidR="00416F0F">
        <w:rPr>
          <w:rFonts w:cs="Times New Roman"/>
          <w:lang w:val="en-GB"/>
        </w:rPr>
        <w:t xml:space="preserve">mostly </w:t>
      </w:r>
      <w:r>
        <w:rPr>
          <w:rFonts w:cs="Times New Roman"/>
          <w:lang w:val="en-GB"/>
        </w:rPr>
        <w:t>identified as belonging to a</w:t>
      </w:r>
      <w:r w:rsidR="00980A83">
        <w:rPr>
          <w:rFonts w:cs="Times New Roman"/>
          <w:lang w:val="en-GB"/>
        </w:rPr>
        <w:t>n</w:t>
      </w:r>
      <w:r>
        <w:rPr>
          <w:rFonts w:cs="Times New Roman"/>
          <w:lang w:val="en-GB"/>
        </w:rPr>
        <w:t xml:space="preserve"> </w:t>
      </w:r>
      <w:r w:rsidR="00182369">
        <w:rPr>
          <w:rFonts w:cs="Times New Roman"/>
          <w:lang w:val="en-GB"/>
        </w:rPr>
        <w:t>AM</w:t>
      </w:r>
      <w:r w:rsidR="00116F83">
        <w:rPr>
          <w:rFonts w:cs="Times New Roman"/>
          <w:lang w:val="en-GB"/>
        </w:rPr>
        <w:t xml:space="preserve"> </w:t>
      </w:r>
      <w:r w:rsidR="00116F83" w:rsidRPr="00992F2F">
        <w:rPr>
          <w:rStyle w:val="ResponseChar"/>
        </w:rPr>
        <w:t>fungal</w:t>
      </w:r>
      <w:r w:rsidR="00182369">
        <w:rPr>
          <w:rFonts w:cs="Times New Roman"/>
          <w:lang w:val="en-GB"/>
        </w:rPr>
        <w:t xml:space="preserve"> </w:t>
      </w:r>
      <w:r>
        <w:rPr>
          <w:rFonts w:cs="Times New Roman"/>
          <w:lang w:val="en-GB"/>
        </w:rPr>
        <w:t xml:space="preserve">species, </w:t>
      </w:r>
      <w:r w:rsidRPr="00182369">
        <w:rPr>
          <w:rFonts w:cs="Times New Roman"/>
          <w:i/>
          <w:lang w:val="en-GB"/>
        </w:rPr>
        <w:t>R. irregularis</w:t>
      </w:r>
      <w:r>
        <w:rPr>
          <w:rFonts w:cs="Times New Roman"/>
          <w:lang w:val="en-GB"/>
        </w:rPr>
        <w:t xml:space="preserve"> </w:t>
      </w:r>
      <w:r w:rsidR="00980A83">
        <w:rPr>
          <w:rFonts w:cs="Times New Roman"/>
          <w:lang w:val="en-GB"/>
        </w:rPr>
        <w:t xml:space="preserve">for </w:t>
      </w:r>
      <w:r>
        <w:rPr>
          <w:rFonts w:cs="Times New Roman"/>
          <w:lang w:val="en-GB"/>
        </w:rPr>
        <w:t>which genome s</w:t>
      </w:r>
      <w:r w:rsidR="00291DBC">
        <w:rPr>
          <w:rFonts w:cs="Times New Roman"/>
          <w:lang w:val="en-GB"/>
        </w:rPr>
        <w:t>equences (Tisserant et al. 2013;</w:t>
      </w:r>
      <w:r>
        <w:rPr>
          <w:rFonts w:cs="Times New Roman"/>
          <w:lang w:val="en-GB"/>
        </w:rPr>
        <w:t xml:space="preserve"> Lin et al. 2014) are available in INSDC. </w:t>
      </w:r>
      <w:r w:rsidR="00475B2C" w:rsidRPr="00992F2F">
        <w:rPr>
          <w:rStyle w:val="ResponseChar"/>
        </w:rPr>
        <w:t>Although</w:t>
      </w:r>
      <w:r w:rsidR="00475B2C">
        <w:rPr>
          <w:rFonts w:cs="Times New Roman"/>
          <w:lang w:val="en-GB"/>
        </w:rPr>
        <w:t xml:space="preserve"> </w:t>
      </w:r>
      <w:r>
        <w:rPr>
          <w:rFonts w:cs="Times New Roman"/>
          <w:lang w:val="en-GB"/>
        </w:rPr>
        <w:t xml:space="preserve">PCR-based data show that many more </w:t>
      </w:r>
      <w:r w:rsidR="00980A83">
        <w:rPr>
          <w:rFonts w:cs="Times New Roman"/>
          <w:lang w:val="en-GB"/>
        </w:rPr>
        <w:t xml:space="preserve">taxa </w:t>
      </w:r>
      <w:r>
        <w:rPr>
          <w:rFonts w:cs="Times New Roman"/>
          <w:lang w:val="en-GB"/>
        </w:rPr>
        <w:t xml:space="preserve">are present in these samples, metagenomic approaches </w:t>
      </w:r>
      <w:r w:rsidR="008E33FC">
        <w:rPr>
          <w:rFonts w:cs="Times New Roman"/>
          <w:lang w:val="en-GB"/>
        </w:rPr>
        <w:t xml:space="preserve">for </w:t>
      </w:r>
      <w:r>
        <w:rPr>
          <w:rFonts w:cs="Times New Roman"/>
          <w:lang w:val="en-GB"/>
        </w:rPr>
        <w:t>detect</w:t>
      </w:r>
      <w:r w:rsidR="00980A83">
        <w:rPr>
          <w:rFonts w:cs="Times New Roman"/>
          <w:lang w:val="en-GB"/>
        </w:rPr>
        <w:t>ing</w:t>
      </w:r>
      <w:r w:rsidR="00987D89">
        <w:rPr>
          <w:rFonts w:cs="Times New Roman"/>
          <w:lang w:val="en-GB"/>
        </w:rPr>
        <w:t xml:space="preserve"> </w:t>
      </w:r>
      <w:r w:rsidR="00980A83">
        <w:rPr>
          <w:rFonts w:cs="Times New Roman"/>
          <w:lang w:val="en-GB"/>
        </w:rPr>
        <w:t xml:space="preserve">them </w:t>
      </w:r>
      <w:r w:rsidR="008E33FC">
        <w:rPr>
          <w:rFonts w:cs="Times New Roman"/>
          <w:lang w:val="en-GB"/>
        </w:rPr>
        <w:t>will be</w:t>
      </w:r>
      <w:r>
        <w:rPr>
          <w:rFonts w:cs="Times New Roman"/>
          <w:lang w:val="en-GB"/>
        </w:rPr>
        <w:t xml:space="preserve"> limited as long as further AM</w:t>
      </w:r>
      <w:r w:rsidR="00116F83">
        <w:rPr>
          <w:rFonts w:cs="Times New Roman"/>
          <w:lang w:val="en-GB"/>
        </w:rPr>
        <w:t xml:space="preserve"> </w:t>
      </w:r>
      <w:r w:rsidR="00116F83" w:rsidRPr="00992F2F">
        <w:rPr>
          <w:rStyle w:val="ResponseChar"/>
        </w:rPr>
        <w:t>fungal</w:t>
      </w:r>
      <w:r>
        <w:rPr>
          <w:rFonts w:cs="Times New Roman"/>
          <w:lang w:val="en-GB"/>
        </w:rPr>
        <w:t xml:space="preserve"> genomes are not available in public sequence repositories. Thus,</w:t>
      </w:r>
      <w:r w:rsidR="001D0BFB">
        <w:rPr>
          <w:rFonts w:cs="Times New Roman"/>
          <w:lang w:val="en-GB"/>
        </w:rPr>
        <w:t xml:space="preserve"> PCR</w:t>
      </w:r>
      <w:r>
        <w:rPr>
          <w:rFonts w:cs="Times New Roman"/>
          <w:lang w:val="en-GB"/>
        </w:rPr>
        <w:t>-based approaches for AM</w:t>
      </w:r>
      <w:r w:rsidR="00116F83">
        <w:rPr>
          <w:rFonts w:cs="Times New Roman"/>
          <w:lang w:val="en-GB"/>
        </w:rPr>
        <w:t xml:space="preserve"> </w:t>
      </w:r>
      <w:r w:rsidR="00116F83" w:rsidRPr="00992F2F">
        <w:rPr>
          <w:rStyle w:val="ResponseChar"/>
        </w:rPr>
        <w:t>fungal</w:t>
      </w:r>
      <w:r>
        <w:rPr>
          <w:rFonts w:cs="Times New Roman"/>
          <w:lang w:val="en-GB"/>
        </w:rPr>
        <w:t xml:space="preserve"> detection</w:t>
      </w:r>
      <w:r w:rsidR="001D0BFB">
        <w:rPr>
          <w:rFonts w:cs="Times New Roman"/>
          <w:lang w:val="en-GB"/>
        </w:rPr>
        <w:t xml:space="preserve"> </w:t>
      </w:r>
      <w:r>
        <w:rPr>
          <w:rFonts w:cs="Times New Roman"/>
          <w:lang w:val="en-GB"/>
        </w:rPr>
        <w:t>remain the</w:t>
      </w:r>
      <w:r w:rsidR="00A60FFE">
        <w:rPr>
          <w:rFonts w:cs="Times New Roman"/>
          <w:lang w:val="en-GB"/>
        </w:rPr>
        <w:t xml:space="preserve"> viable </w:t>
      </w:r>
      <w:r>
        <w:rPr>
          <w:rFonts w:cs="Times New Roman"/>
          <w:lang w:val="en-GB"/>
        </w:rPr>
        <w:t>choice</w:t>
      </w:r>
      <w:r w:rsidR="00A60FFE">
        <w:rPr>
          <w:rFonts w:cs="Times New Roman"/>
          <w:lang w:val="en-GB"/>
        </w:rPr>
        <w:t>.</w:t>
      </w:r>
      <w:r w:rsidR="001D0BFB">
        <w:rPr>
          <w:rFonts w:cs="Times New Roman"/>
          <w:lang w:val="en-GB"/>
        </w:rPr>
        <w:t xml:space="preserve"> </w:t>
      </w:r>
    </w:p>
    <w:p w:rsidR="002C278A" w:rsidRDefault="002C278A" w:rsidP="00064F31">
      <w:pPr>
        <w:spacing w:line="360" w:lineRule="auto"/>
        <w:rPr>
          <w:b/>
          <w:lang w:val="en-GB"/>
        </w:rPr>
      </w:pPr>
    </w:p>
    <w:p w:rsidR="00610BF0" w:rsidRPr="00610BF0" w:rsidRDefault="00610BF0" w:rsidP="00064F31">
      <w:pPr>
        <w:spacing w:line="360" w:lineRule="auto"/>
        <w:rPr>
          <w:b/>
          <w:i/>
          <w:lang w:val="en-GB"/>
        </w:rPr>
      </w:pPr>
      <w:r>
        <w:rPr>
          <w:b/>
          <w:i/>
          <w:lang w:val="en-GB"/>
        </w:rPr>
        <w:t>Conclusion</w:t>
      </w:r>
    </w:p>
    <w:p w:rsidR="00BA6D98" w:rsidRDefault="00610BF0" w:rsidP="00064F31">
      <w:pPr>
        <w:tabs>
          <w:tab w:val="clear" w:pos="708"/>
        </w:tabs>
        <w:suppressAutoHyphens w:val="0"/>
        <w:spacing w:line="360" w:lineRule="auto"/>
        <w:rPr>
          <w:lang w:val="en-GB"/>
        </w:rPr>
      </w:pPr>
      <w:r>
        <w:rPr>
          <w:lang w:val="en-GB"/>
        </w:rPr>
        <w:t>A</w:t>
      </w:r>
      <w:r w:rsidR="00013B5D">
        <w:rPr>
          <w:lang w:val="en-GB"/>
        </w:rPr>
        <w:t xml:space="preserve">mplicon-based </w:t>
      </w:r>
      <w:r>
        <w:rPr>
          <w:lang w:val="en-GB"/>
        </w:rPr>
        <w:t>sequencing</w:t>
      </w:r>
      <w:r w:rsidR="00C16D00">
        <w:rPr>
          <w:lang w:val="en-GB"/>
        </w:rPr>
        <w:t xml:space="preserve"> using Illumina and</w:t>
      </w:r>
      <w:r w:rsidR="00013B5D">
        <w:rPr>
          <w:lang w:val="en-GB"/>
        </w:rPr>
        <w:t xml:space="preserve"> 454</w:t>
      </w:r>
      <w:r w:rsidR="009E3B10">
        <w:rPr>
          <w:lang w:val="en-GB"/>
        </w:rPr>
        <w:t xml:space="preserve"> </w:t>
      </w:r>
      <w:r w:rsidR="008001A9">
        <w:rPr>
          <w:lang w:val="en-GB"/>
        </w:rPr>
        <w:t>platforms</w:t>
      </w:r>
      <w:r w:rsidR="00013B5D">
        <w:rPr>
          <w:lang w:val="en-GB"/>
        </w:rPr>
        <w:t xml:space="preserve"> </w:t>
      </w:r>
      <w:r w:rsidR="00C16D00">
        <w:rPr>
          <w:lang w:val="en-GB"/>
        </w:rPr>
        <w:t xml:space="preserve">recorded </w:t>
      </w:r>
      <w:r w:rsidR="00114228">
        <w:rPr>
          <w:lang w:val="en-GB"/>
        </w:rPr>
        <w:t xml:space="preserve">similar </w:t>
      </w:r>
      <w:r>
        <w:rPr>
          <w:lang w:val="en-GB"/>
        </w:rPr>
        <w:t>AM</w:t>
      </w:r>
      <w:r w:rsidR="00116F83">
        <w:rPr>
          <w:lang w:val="en-GB"/>
        </w:rPr>
        <w:t xml:space="preserve"> </w:t>
      </w:r>
      <w:r w:rsidR="00116F83" w:rsidRPr="00992F2F">
        <w:rPr>
          <w:rStyle w:val="ResponseChar"/>
        </w:rPr>
        <w:t>fungal</w:t>
      </w:r>
      <w:r>
        <w:rPr>
          <w:lang w:val="en-GB"/>
        </w:rPr>
        <w:t xml:space="preserve"> </w:t>
      </w:r>
      <w:r w:rsidR="00114228">
        <w:rPr>
          <w:lang w:val="en-GB"/>
        </w:rPr>
        <w:t xml:space="preserve">taxon richness </w:t>
      </w:r>
      <w:r>
        <w:rPr>
          <w:lang w:val="en-GB"/>
        </w:rPr>
        <w:t xml:space="preserve">in samples </w:t>
      </w:r>
      <w:r w:rsidR="00114228">
        <w:rPr>
          <w:lang w:val="en-GB"/>
        </w:rPr>
        <w:t xml:space="preserve">and </w:t>
      </w:r>
      <w:r w:rsidR="00C16D00">
        <w:rPr>
          <w:lang w:val="en-GB"/>
        </w:rPr>
        <w:t xml:space="preserve">highly correlated </w:t>
      </w:r>
      <w:r w:rsidR="00114228">
        <w:rPr>
          <w:lang w:val="en-GB"/>
        </w:rPr>
        <w:t>relative abundance</w:t>
      </w:r>
      <w:r>
        <w:rPr>
          <w:lang w:val="en-GB"/>
        </w:rPr>
        <w:t>s</w:t>
      </w:r>
      <w:r w:rsidR="00114228">
        <w:rPr>
          <w:lang w:val="en-GB"/>
        </w:rPr>
        <w:t xml:space="preserve"> of individual </w:t>
      </w:r>
      <w:r w:rsidR="00013B5D">
        <w:rPr>
          <w:lang w:val="en-GB"/>
        </w:rPr>
        <w:t>VT</w:t>
      </w:r>
      <w:r w:rsidR="00114228">
        <w:rPr>
          <w:lang w:val="en-GB"/>
        </w:rPr>
        <w:t>.</w:t>
      </w:r>
      <w:r w:rsidR="00BA6D98">
        <w:rPr>
          <w:lang w:val="en-GB"/>
        </w:rPr>
        <w:t xml:space="preserve"> Thus, the two approaches yield comparable AM</w:t>
      </w:r>
      <w:r w:rsidR="00116F83">
        <w:rPr>
          <w:lang w:val="en-GB"/>
        </w:rPr>
        <w:t xml:space="preserve"> </w:t>
      </w:r>
      <w:r w:rsidR="00116F83" w:rsidRPr="00992F2F">
        <w:rPr>
          <w:rStyle w:val="ResponseChar"/>
        </w:rPr>
        <w:t>fungal</w:t>
      </w:r>
      <w:r w:rsidR="00BA6D98">
        <w:rPr>
          <w:lang w:val="en-GB"/>
        </w:rPr>
        <w:t xml:space="preserve"> diversity estimates.</w:t>
      </w:r>
      <w:r w:rsidR="00114228">
        <w:rPr>
          <w:lang w:val="en-GB"/>
        </w:rPr>
        <w:t xml:space="preserve"> </w:t>
      </w:r>
      <w:r w:rsidR="00475B2C" w:rsidRPr="00992F2F">
        <w:rPr>
          <w:rStyle w:val="ResponseChar"/>
        </w:rPr>
        <w:t>Although</w:t>
      </w:r>
      <w:r w:rsidR="00475B2C">
        <w:rPr>
          <w:lang w:val="en-GB"/>
        </w:rPr>
        <w:t xml:space="preserve"> </w:t>
      </w:r>
      <w:r w:rsidR="00C16D00">
        <w:rPr>
          <w:lang w:val="en-GB"/>
        </w:rPr>
        <w:t xml:space="preserve">Illumina sequencing using </w:t>
      </w:r>
      <w:r w:rsidR="00BA6D98">
        <w:rPr>
          <w:lang w:val="en-GB"/>
        </w:rPr>
        <w:t>t</w:t>
      </w:r>
      <w:r w:rsidR="00114228">
        <w:rPr>
          <w:lang w:val="en-GB"/>
        </w:rPr>
        <w:t xml:space="preserve">agmentation </w:t>
      </w:r>
      <w:r w:rsidR="00BA6D98">
        <w:rPr>
          <w:lang w:val="en-GB"/>
        </w:rPr>
        <w:t>is not common in community surveys, it could yield valuable</w:t>
      </w:r>
      <w:r w:rsidR="00114228">
        <w:rPr>
          <w:lang w:val="en-GB"/>
        </w:rPr>
        <w:t xml:space="preserve"> </w:t>
      </w:r>
      <w:r w:rsidR="00BA6D98">
        <w:rPr>
          <w:lang w:val="en-GB"/>
        </w:rPr>
        <w:t xml:space="preserve">data when </w:t>
      </w:r>
      <w:r w:rsidR="00114228">
        <w:rPr>
          <w:lang w:val="en-GB"/>
        </w:rPr>
        <w:t xml:space="preserve">sequencing and genotyping longer genomic fragments, such as </w:t>
      </w:r>
      <w:r w:rsidR="00BA6D98">
        <w:rPr>
          <w:lang w:val="en-GB"/>
        </w:rPr>
        <w:t xml:space="preserve">the </w:t>
      </w:r>
      <w:r w:rsidR="00114228">
        <w:rPr>
          <w:lang w:val="en-GB"/>
        </w:rPr>
        <w:t xml:space="preserve">entire SSU </w:t>
      </w:r>
      <w:r w:rsidR="00114228">
        <w:rPr>
          <w:lang w:val="en-GB"/>
        </w:rPr>
        <w:lastRenderedPageBreak/>
        <w:t>rRNA gene, or nuclear ribosomal operon</w:t>
      </w:r>
      <w:r w:rsidR="00BA6D98">
        <w:rPr>
          <w:lang w:val="en-GB"/>
        </w:rPr>
        <w:t>, which are too long for most current sequencing platforms</w:t>
      </w:r>
      <w:r w:rsidR="00114228">
        <w:rPr>
          <w:lang w:val="en-GB"/>
        </w:rPr>
        <w:t>.</w:t>
      </w:r>
      <w:r w:rsidR="0093121F">
        <w:rPr>
          <w:lang w:val="en-GB"/>
        </w:rPr>
        <w:t xml:space="preserve"> </w:t>
      </w:r>
    </w:p>
    <w:p w:rsidR="00BB3A50" w:rsidRDefault="00277AAB" w:rsidP="00EB6053">
      <w:pPr>
        <w:tabs>
          <w:tab w:val="clear" w:pos="708"/>
        </w:tabs>
        <w:suppressAutoHyphens w:val="0"/>
        <w:spacing w:line="360" w:lineRule="auto"/>
        <w:ind w:firstLine="709"/>
        <w:rPr>
          <w:b/>
          <w:lang w:val="en-GB"/>
        </w:rPr>
      </w:pPr>
      <w:r>
        <w:rPr>
          <w:lang w:val="en-GB"/>
        </w:rPr>
        <w:t>Metagenomic reads</w:t>
      </w:r>
      <w:r w:rsidR="00F80C5D">
        <w:rPr>
          <w:lang w:val="en-GB"/>
        </w:rPr>
        <w:t xml:space="preserve"> </w:t>
      </w:r>
      <w:r w:rsidR="00F80C5D" w:rsidRPr="00992F2F">
        <w:rPr>
          <w:rStyle w:val="ResponseChar"/>
        </w:rPr>
        <w:t>from plant root samples</w:t>
      </w:r>
      <w:r w:rsidRPr="00992F2F">
        <w:rPr>
          <w:rStyle w:val="ResponseChar"/>
        </w:rPr>
        <w:t xml:space="preserve"> </w:t>
      </w:r>
      <w:r w:rsidR="00F80C5D" w:rsidRPr="00992F2F">
        <w:rPr>
          <w:rStyle w:val="ResponseChar"/>
        </w:rPr>
        <w:t xml:space="preserve">included </w:t>
      </w:r>
      <w:r>
        <w:rPr>
          <w:lang w:val="en-GB"/>
        </w:rPr>
        <w:t>very few AM</w:t>
      </w:r>
      <w:r w:rsidR="00116F83">
        <w:rPr>
          <w:lang w:val="en-GB"/>
        </w:rPr>
        <w:t xml:space="preserve"> </w:t>
      </w:r>
      <w:r w:rsidR="00116F83" w:rsidRPr="00992F2F">
        <w:rPr>
          <w:rStyle w:val="ResponseChar"/>
        </w:rPr>
        <w:t>fungal</w:t>
      </w:r>
      <w:r>
        <w:rPr>
          <w:lang w:val="en-GB"/>
        </w:rPr>
        <w:t xml:space="preserve"> sequences.</w:t>
      </w:r>
      <w:r w:rsidR="00987D89">
        <w:rPr>
          <w:lang w:val="en-GB"/>
        </w:rPr>
        <w:t xml:space="preserve"> This is because </w:t>
      </w:r>
      <w:r w:rsidR="005F13D7">
        <w:rPr>
          <w:lang w:val="en-GB"/>
        </w:rPr>
        <w:t xml:space="preserve">the </w:t>
      </w:r>
      <w:r w:rsidR="00BA6D98">
        <w:rPr>
          <w:lang w:val="en-GB"/>
        </w:rPr>
        <w:t xml:space="preserve">proportion of </w:t>
      </w:r>
      <w:r w:rsidR="0093121F">
        <w:rPr>
          <w:lang w:val="en-GB"/>
        </w:rPr>
        <w:t>AM</w:t>
      </w:r>
      <w:r w:rsidR="00116F83">
        <w:rPr>
          <w:lang w:val="en-GB"/>
        </w:rPr>
        <w:t xml:space="preserve"> </w:t>
      </w:r>
      <w:r w:rsidR="00116F83" w:rsidRPr="00992F2F">
        <w:rPr>
          <w:rStyle w:val="ResponseChar"/>
        </w:rPr>
        <w:t>fungal</w:t>
      </w:r>
      <w:r w:rsidR="0093121F">
        <w:rPr>
          <w:lang w:val="en-GB"/>
        </w:rPr>
        <w:t xml:space="preserve"> </w:t>
      </w:r>
      <w:r w:rsidR="005F13D7">
        <w:rPr>
          <w:lang w:val="en-GB"/>
        </w:rPr>
        <w:t>DNA</w:t>
      </w:r>
      <w:r w:rsidR="0093121F">
        <w:rPr>
          <w:lang w:val="en-GB"/>
        </w:rPr>
        <w:t xml:space="preserve"> in </w:t>
      </w:r>
      <w:r w:rsidR="00BA6D98">
        <w:rPr>
          <w:lang w:val="en-GB"/>
        </w:rPr>
        <w:t xml:space="preserve">root </w:t>
      </w:r>
      <w:r w:rsidR="0093121F">
        <w:rPr>
          <w:lang w:val="en-GB"/>
        </w:rPr>
        <w:t>samples</w:t>
      </w:r>
      <w:r w:rsidR="00BA6D98">
        <w:rPr>
          <w:lang w:val="en-GB"/>
        </w:rPr>
        <w:t xml:space="preserve"> is </w:t>
      </w:r>
      <w:r w:rsidR="00C16D00">
        <w:rPr>
          <w:lang w:val="en-GB"/>
        </w:rPr>
        <w:t xml:space="preserve">very </w:t>
      </w:r>
      <w:r w:rsidR="00BA6D98">
        <w:rPr>
          <w:lang w:val="en-GB"/>
        </w:rPr>
        <w:t xml:space="preserve">low </w:t>
      </w:r>
      <w:r w:rsidR="00C16D00">
        <w:rPr>
          <w:lang w:val="en-GB"/>
        </w:rPr>
        <w:t xml:space="preserve">against </w:t>
      </w:r>
      <w:r w:rsidR="00BA6D98">
        <w:rPr>
          <w:lang w:val="en-GB"/>
        </w:rPr>
        <w:t>the overwhelming background of plant (and other organism) DNA, but also due to difficulties in</w:t>
      </w:r>
      <w:r w:rsidR="00987D89">
        <w:rPr>
          <w:lang w:val="en-GB"/>
        </w:rPr>
        <w:t xml:space="preserve"> </w:t>
      </w:r>
      <w:r w:rsidR="0093121F">
        <w:rPr>
          <w:lang w:val="en-GB"/>
        </w:rPr>
        <w:t>assigning sequences to reference taxa</w:t>
      </w:r>
      <w:r w:rsidR="00992F2F">
        <w:rPr>
          <w:lang w:val="en-GB"/>
        </w:rPr>
        <w:t>,</w:t>
      </w:r>
      <w:r w:rsidR="0093121F">
        <w:rPr>
          <w:lang w:val="en-GB"/>
        </w:rPr>
        <w:t xml:space="preserve"> as</w:t>
      </w:r>
      <w:r w:rsidR="00BA6D98">
        <w:rPr>
          <w:lang w:val="en-GB"/>
        </w:rPr>
        <w:t xml:space="preserve"> </w:t>
      </w:r>
      <w:r w:rsidR="00992F2F">
        <w:rPr>
          <w:lang w:val="en-GB"/>
        </w:rPr>
        <w:t xml:space="preserve">representation of genomic </w:t>
      </w:r>
      <w:r w:rsidR="00C16D00">
        <w:rPr>
          <w:lang w:val="en-GB"/>
        </w:rPr>
        <w:t>AM</w:t>
      </w:r>
      <w:r w:rsidR="00992F2F">
        <w:rPr>
          <w:lang w:val="en-GB"/>
        </w:rPr>
        <w:t xml:space="preserve"> </w:t>
      </w:r>
      <w:r w:rsidR="00116F83" w:rsidRPr="00992F2F">
        <w:rPr>
          <w:rStyle w:val="ResponseChar"/>
        </w:rPr>
        <w:t>fungal</w:t>
      </w:r>
      <w:r w:rsidR="00992F2F">
        <w:rPr>
          <w:lang w:val="en-GB"/>
        </w:rPr>
        <w:t xml:space="preserve"> sequences in </w:t>
      </w:r>
      <w:r w:rsidR="00BA6D98">
        <w:rPr>
          <w:lang w:val="en-GB"/>
        </w:rPr>
        <w:t>reference database</w:t>
      </w:r>
      <w:r w:rsidR="00C16D00">
        <w:rPr>
          <w:lang w:val="en-GB"/>
        </w:rPr>
        <w:t>s</w:t>
      </w:r>
      <w:r w:rsidR="00BA6D98">
        <w:rPr>
          <w:lang w:val="en-GB"/>
        </w:rPr>
        <w:t xml:space="preserve"> </w:t>
      </w:r>
      <w:r w:rsidR="00C16D00">
        <w:rPr>
          <w:lang w:val="en-GB"/>
        </w:rPr>
        <w:t xml:space="preserve">is very </w:t>
      </w:r>
      <w:r w:rsidR="00BA6D98">
        <w:rPr>
          <w:lang w:val="en-GB"/>
        </w:rPr>
        <w:t>limited</w:t>
      </w:r>
      <w:r w:rsidR="0093121F">
        <w:rPr>
          <w:lang w:val="en-GB"/>
        </w:rPr>
        <w:t>.</w:t>
      </w:r>
      <w:r w:rsidR="00C16D00">
        <w:rPr>
          <w:lang w:val="en-GB"/>
        </w:rPr>
        <w:t xml:space="preserve"> </w:t>
      </w:r>
      <w:r w:rsidR="00A01AAA">
        <w:rPr>
          <w:lang w:val="en-GB"/>
        </w:rPr>
        <w:t>For these reasons</w:t>
      </w:r>
      <w:r w:rsidR="00C16D00">
        <w:rPr>
          <w:lang w:val="en-GB"/>
        </w:rPr>
        <w:t>, metagenomic sequencing seems unlikely to replace amplicon-based analyses of AM</w:t>
      </w:r>
      <w:r w:rsidR="00116F83">
        <w:rPr>
          <w:lang w:val="en-GB"/>
        </w:rPr>
        <w:t xml:space="preserve"> </w:t>
      </w:r>
      <w:r w:rsidR="00116F83" w:rsidRPr="00992F2F">
        <w:rPr>
          <w:rStyle w:val="ResponseChar"/>
        </w:rPr>
        <w:t>fungal</w:t>
      </w:r>
      <w:r w:rsidR="00C16D00">
        <w:rPr>
          <w:lang w:val="en-GB"/>
        </w:rPr>
        <w:t xml:space="preserve"> diversity in the near future. Nonetheless,</w:t>
      </w:r>
      <w:r w:rsidR="0093121F">
        <w:rPr>
          <w:lang w:val="en-GB"/>
        </w:rPr>
        <w:t xml:space="preserve"> </w:t>
      </w:r>
      <w:r>
        <w:rPr>
          <w:rFonts w:cs="Times New Roman"/>
          <w:lang w:val="en-GB"/>
        </w:rPr>
        <w:t xml:space="preserve">DNA enrichment or </w:t>
      </w:r>
      <w:r w:rsidR="005F13D7">
        <w:rPr>
          <w:rFonts w:cs="Times New Roman"/>
          <w:lang w:val="en-GB"/>
        </w:rPr>
        <w:t>advances in</w:t>
      </w:r>
      <w:r w:rsidR="00987D89">
        <w:rPr>
          <w:rFonts w:cs="Times New Roman"/>
          <w:lang w:val="en-GB"/>
        </w:rPr>
        <w:t xml:space="preserve"> sequencing </w:t>
      </w:r>
      <w:r>
        <w:rPr>
          <w:rFonts w:cs="Times New Roman"/>
          <w:lang w:val="en-GB"/>
        </w:rPr>
        <w:t xml:space="preserve">approaches </w:t>
      </w:r>
      <w:r w:rsidR="00BA6D98">
        <w:rPr>
          <w:rFonts w:cs="Times New Roman"/>
          <w:lang w:val="en-GB"/>
        </w:rPr>
        <w:t xml:space="preserve">(Taylor et al. 2017) </w:t>
      </w:r>
      <w:r w:rsidR="00C16D00">
        <w:rPr>
          <w:rFonts w:cs="Times New Roman"/>
          <w:lang w:val="en-GB"/>
        </w:rPr>
        <w:t xml:space="preserve">may provide opportunities to </w:t>
      </w:r>
      <w:r w:rsidR="00BA6D98">
        <w:rPr>
          <w:rFonts w:cs="Times New Roman"/>
          <w:lang w:val="en-GB"/>
        </w:rPr>
        <w:t>better capture AM</w:t>
      </w:r>
      <w:r w:rsidR="00116F83">
        <w:rPr>
          <w:rFonts w:cs="Times New Roman"/>
          <w:lang w:val="en-GB"/>
        </w:rPr>
        <w:t xml:space="preserve"> </w:t>
      </w:r>
      <w:r w:rsidR="00116F83" w:rsidRPr="00992F2F">
        <w:rPr>
          <w:rStyle w:val="ResponseChar"/>
        </w:rPr>
        <w:t>fungal</w:t>
      </w:r>
      <w:r w:rsidR="00C16D00">
        <w:rPr>
          <w:rFonts w:cs="Times New Roman"/>
          <w:lang w:val="en-GB"/>
        </w:rPr>
        <w:t xml:space="preserve"> DNA</w:t>
      </w:r>
      <w:r w:rsidR="00BA6D98">
        <w:rPr>
          <w:rFonts w:cs="Times New Roman"/>
          <w:lang w:val="en-GB"/>
        </w:rPr>
        <w:t xml:space="preserve"> </w:t>
      </w:r>
      <w:r w:rsidR="00C16D00">
        <w:rPr>
          <w:rFonts w:cs="Times New Roman"/>
          <w:lang w:val="en-GB"/>
        </w:rPr>
        <w:t xml:space="preserve">using </w:t>
      </w:r>
      <w:r w:rsidR="00BA6D98">
        <w:rPr>
          <w:rFonts w:cs="Times New Roman"/>
          <w:lang w:val="en-GB"/>
        </w:rPr>
        <w:t>PCR-free approaches</w:t>
      </w:r>
      <w:r>
        <w:rPr>
          <w:rFonts w:cs="Times New Roman"/>
          <w:lang w:val="en-GB"/>
        </w:rPr>
        <w:t xml:space="preserve">. </w:t>
      </w:r>
      <w:r w:rsidR="00BB3A50">
        <w:rPr>
          <w:b/>
          <w:lang w:val="en-GB"/>
        </w:rPr>
        <w:br w:type="page"/>
      </w:r>
    </w:p>
    <w:p w:rsidR="00B46784" w:rsidRDefault="00B46784" w:rsidP="00064F31">
      <w:pPr>
        <w:spacing w:line="360" w:lineRule="auto"/>
        <w:rPr>
          <w:b/>
          <w:lang w:val="en-GB"/>
        </w:rPr>
      </w:pPr>
      <w:r>
        <w:rPr>
          <w:b/>
          <w:lang w:val="en-GB"/>
        </w:rPr>
        <w:lastRenderedPageBreak/>
        <w:t>Conflict of interest</w:t>
      </w:r>
    </w:p>
    <w:p w:rsidR="00B46784" w:rsidRDefault="00B46784" w:rsidP="00064F31">
      <w:pPr>
        <w:spacing w:line="360" w:lineRule="auto"/>
        <w:rPr>
          <w:lang w:val="en-GB"/>
        </w:rPr>
      </w:pPr>
    </w:p>
    <w:p w:rsidR="001334CB" w:rsidRDefault="00C37225" w:rsidP="00F30646">
      <w:pPr>
        <w:spacing w:line="360" w:lineRule="auto"/>
        <w:rPr>
          <w:b/>
          <w:lang w:val="en-GB"/>
        </w:rPr>
      </w:pPr>
      <w:r>
        <w:rPr>
          <w:lang w:val="en-GB"/>
        </w:rPr>
        <w:t>The authors declare that they have no conflict of interest.</w:t>
      </w:r>
      <w:r w:rsidR="001334CB">
        <w:rPr>
          <w:b/>
          <w:lang w:val="en-GB"/>
        </w:rPr>
        <w:br w:type="page"/>
      </w:r>
    </w:p>
    <w:p w:rsidR="000035C0" w:rsidRDefault="00D9671E" w:rsidP="000035C0">
      <w:pPr>
        <w:rPr>
          <w:b/>
          <w:lang w:val="en-GB"/>
        </w:rPr>
      </w:pPr>
      <w:r w:rsidRPr="003A6273">
        <w:rPr>
          <w:b/>
          <w:lang w:val="en-GB"/>
        </w:rPr>
        <w:lastRenderedPageBreak/>
        <w:t>References</w:t>
      </w:r>
      <w:r w:rsidR="000035C0" w:rsidRPr="000035C0">
        <w:rPr>
          <w:b/>
          <w:lang w:val="en-GB"/>
        </w:rPr>
        <w:t xml:space="preserve"> </w:t>
      </w:r>
    </w:p>
    <w:p w:rsidR="000035C0" w:rsidRDefault="00D40D79" w:rsidP="002C4E2A">
      <w:pPr>
        <w:rPr>
          <w:lang w:val="en-GB"/>
        </w:rPr>
      </w:pPr>
      <w:r w:rsidRPr="00D40D79">
        <w:rPr>
          <w:lang w:val="en-GB"/>
        </w:rPr>
        <w:t>Altschul SF, Gish W</w:t>
      </w:r>
      <w:r>
        <w:rPr>
          <w:lang w:val="en-GB"/>
        </w:rPr>
        <w:t>, Miller W, Myers EW, Lipman DJ (1990)</w:t>
      </w:r>
      <w:r w:rsidRPr="00D40D79">
        <w:rPr>
          <w:lang w:val="en-GB"/>
        </w:rPr>
        <w:t xml:space="preserve"> Basic local alignment search tool. Journal of </w:t>
      </w:r>
      <w:r>
        <w:rPr>
          <w:lang w:val="en-GB"/>
        </w:rPr>
        <w:t>M</w:t>
      </w:r>
      <w:r w:rsidRPr="00D40D79">
        <w:rPr>
          <w:lang w:val="en-GB"/>
        </w:rPr>
        <w:t xml:space="preserve">olecular </w:t>
      </w:r>
      <w:r>
        <w:rPr>
          <w:lang w:val="en-GB"/>
        </w:rPr>
        <w:t>B</w:t>
      </w:r>
      <w:r w:rsidRPr="00D40D79">
        <w:rPr>
          <w:lang w:val="en-GB"/>
        </w:rPr>
        <w:t>iology</w:t>
      </w:r>
      <w:r>
        <w:rPr>
          <w:lang w:val="en-GB"/>
        </w:rPr>
        <w:t xml:space="preserve"> 215:403-410.</w:t>
      </w:r>
    </w:p>
    <w:p w:rsidR="0018046E" w:rsidRDefault="0018046E" w:rsidP="002C4E2A">
      <w:pPr>
        <w:rPr>
          <w:lang w:val="en-GB"/>
        </w:rPr>
      </w:pPr>
    </w:p>
    <w:p w:rsidR="00673564" w:rsidRDefault="00673564" w:rsidP="002C4E2A">
      <w:pPr>
        <w:pStyle w:val="Response"/>
        <w:spacing w:line="240" w:lineRule="auto"/>
      </w:pPr>
      <w:r w:rsidRPr="00673564">
        <w:t>Bálint M, Bahram M, Eren AM, Faust K, Fuhrman JA, Lindahl B, O'Hara RB, Öpik M, Sogin ML, Unterseher M, Tedersoo L (2016) Millions of reads, thousands of taxa: microbial community structure and associations analyzed via marker genes. FEMS Microbiology Reviews 40:686-700.</w:t>
      </w:r>
    </w:p>
    <w:p w:rsidR="00673564" w:rsidRDefault="00673564" w:rsidP="002C4E2A">
      <w:pPr>
        <w:pStyle w:val="Response"/>
        <w:spacing w:line="240" w:lineRule="auto"/>
      </w:pPr>
    </w:p>
    <w:p w:rsidR="0018046E" w:rsidRDefault="0018046E" w:rsidP="002C4E2A">
      <w:pPr>
        <w:pStyle w:val="Response"/>
        <w:spacing w:line="240" w:lineRule="auto"/>
      </w:pPr>
      <w:r w:rsidRPr="0018046E">
        <w:t>Bates D, Mächler M, Bolker B, Walker S (2015) Fitting linear mixed-effects models using lme4. Journal of Statistical Software 67:1-48.</w:t>
      </w:r>
    </w:p>
    <w:p w:rsidR="00D9671E" w:rsidRDefault="00D9671E" w:rsidP="002C4E2A">
      <w:pPr>
        <w:rPr>
          <w:b/>
          <w:lang w:val="en-GB"/>
        </w:rPr>
      </w:pPr>
    </w:p>
    <w:p w:rsidR="0014121A" w:rsidRDefault="00A47B71" w:rsidP="002C4E2A">
      <w:pPr>
        <w:rPr>
          <w:lang w:val="en-GB"/>
        </w:rPr>
      </w:pPr>
      <w:r w:rsidRPr="00A47B71">
        <w:rPr>
          <w:lang w:val="en-GB"/>
        </w:rPr>
        <w:t>Benson DA, Cavanaugh M, Clark K, Karsch-Mizrachi I, Lipman DJ, Ostell J, Sayers EW</w:t>
      </w:r>
      <w:r>
        <w:rPr>
          <w:lang w:val="en-GB"/>
        </w:rPr>
        <w:t xml:space="preserve"> (2013) GenBank. Nucleic A</w:t>
      </w:r>
      <w:r w:rsidRPr="00A47B71">
        <w:rPr>
          <w:lang w:val="en-GB"/>
        </w:rPr>
        <w:t xml:space="preserve">cids </w:t>
      </w:r>
      <w:r>
        <w:rPr>
          <w:lang w:val="en-GB"/>
        </w:rPr>
        <w:t>R</w:t>
      </w:r>
      <w:r w:rsidRPr="00A47B71">
        <w:rPr>
          <w:lang w:val="en-GB"/>
        </w:rPr>
        <w:t>esearch</w:t>
      </w:r>
      <w:r>
        <w:rPr>
          <w:lang w:val="en-GB"/>
        </w:rPr>
        <w:t xml:space="preserve"> 41:D36-</w:t>
      </w:r>
      <w:r w:rsidR="00956762">
        <w:rPr>
          <w:lang w:val="en-GB"/>
        </w:rPr>
        <w:t>D</w:t>
      </w:r>
      <w:r>
        <w:rPr>
          <w:lang w:val="en-GB"/>
        </w:rPr>
        <w:t>42.</w:t>
      </w:r>
    </w:p>
    <w:p w:rsidR="00834550" w:rsidRDefault="00834550" w:rsidP="002C4E2A">
      <w:pPr>
        <w:rPr>
          <w:lang w:val="en-GB"/>
        </w:rPr>
      </w:pPr>
    </w:p>
    <w:p w:rsidR="00834550" w:rsidRPr="00A704EA" w:rsidRDefault="00834550" w:rsidP="002C4E2A">
      <w:pPr>
        <w:rPr>
          <w:lang w:val="en-GB"/>
        </w:rPr>
      </w:pPr>
      <w:r w:rsidRPr="005B12F0">
        <w:rPr>
          <w:lang w:val="en-GB"/>
        </w:rPr>
        <w:t>Bik HM, Porazinska DL, Creer S, Caporaso JG, Knight R, Thomas WK</w:t>
      </w:r>
      <w:r>
        <w:rPr>
          <w:lang w:val="en-GB"/>
        </w:rPr>
        <w:t xml:space="preserve"> (2012)</w:t>
      </w:r>
      <w:r w:rsidRPr="005B12F0">
        <w:rPr>
          <w:lang w:val="en-GB"/>
        </w:rPr>
        <w:t xml:space="preserve"> Sequencing our way towards understanding global eukaryotic biodiversity. Trends in </w:t>
      </w:r>
      <w:r>
        <w:rPr>
          <w:lang w:val="en-GB"/>
        </w:rPr>
        <w:t>E</w:t>
      </w:r>
      <w:r w:rsidRPr="005B12F0">
        <w:rPr>
          <w:lang w:val="en-GB"/>
        </w:rPr>
        <w:t xml:space="preserve">cology &amp; </w:t>
      </w:r>
      <w:r>
        <w:rPr>
          <w:lang w:val="en-GB"/>
        </w:rPr>
        <w:t>E</w:t>
      </w:r>
      <w:r w:rsidRPr="005B12F0">
        <w:rPr>
          <w:lang w:val="en-GB"/>
        </w:rPr>
        <w:t>volution</w:t>
      </w:r>
      <w:r>
        <w:rPr>
          <w:lang w:val="en-GB"/>
        </w:rPr>
        <w:t xml:space="preserve"> 27:233-243.</w:t>
      </w:r>
    </w:p>
    <w:p w:rsidR="0014121A" w:rsidRPr="0014121A" w:rsidRDefault="0014121A" w:rsidP="002C4E2A">
      <w:pPr>
        <w:rPr>
          <w:lang w:val="en-GB"/>
        </w:rPr>
      </w:pPr>
    </w:p>
    <w:p w:rsidR="0014121A" w:rsidRPr="0014121A" w:rsidRDefault="0014121A" w:rsidP="002C4E2A">
      <w:pPr>
        <w:rPr>
          <w:lang w:val="en-GB"/>
        </w:rPr>
      </w:pPr>
      <w:r w:rsidRPr="0014121A">
        <w:rPr>
          <w:lang w:val="en-GB"/>
        </w:rPr>
        <w:t>Bokulich NA, Subramanian S, Faith JJ, Gevers D, Gordon JI, Knight R, Mills DA, Caporaso JG (2013) Quality-filtering vastly improves diversity estimates from Illumina amplicon sequencing. Nature Methods 10:57</w:t>
      </w:r>
      <w:r w:rsidR="007C791C">
        <w:rPr>
          <w:lang w:val="en-GB"/>
        </w:rPr>
        <w:t>-</w:t>
      </w:r>
      <w:r w:rsidRPr="0014121A">
        <w:rPr>
          <w:lang w:val="en-GB"/>
        </w:rPr>
        <w:t>59.</w:t>
      </w:r>
    </w:p>
    <w:p w:rsidR="0014121A" w:rsidRPr="0014121A" w:rsidRDefault="0014121A" w:rsidP="002C4E2A">
      <w:pPr>
        <w:rPr>
          <w:lang w:val="en-GB"/>
        </w:rPr>
      </w:pPr>
    </w:p>
    <w:p w:rsidR="0014121A" w:rsidRPr="0014121A" w:rsidRDefault="0014121A" w:rsidP="002C4E2A">
      <w:pPr>
        <w:rPr>
          <w:lang w:val="en-GB"/>
        </w:rPr>
      </w:pPr>
      <w:r w:rsidRPr="0014121A">
        <w:rPr>
          <w:lang w:val="en-GB"/>
        </w:rPr>
        <w:t>Bolger AM, Lohse M, Usadel B (2014) Trimmomatic: a flexible trimmer for Illumina sequence data. Bioinformatics 3</w:t>
      </w:r>
      <w:r w:rsidR="008B0B68">
        <w:rPr>
          <w:lang w:val="en-GB"/>
        </w:rPr>
        <w:t>0:2114-2120.</w:t>
      </w:r>
    </w:p>
    <w:p w:rsidR="0014121A" w:rsidRPr="0014121A" w:rsidRDefault="0014121A" w:rsidP="002C4E2A">
      <w:pPr>
        <w:rPr>
          <w:lang w:val="en-GB"/>
        </w:rPr>
      </w:pPr>
    </w:p>
    <w:p w:rsidR="0014121A" w:rsidRPr="0014121A" w:rsidRDefault="0014121A" w:rsidP="002C4E2A">
      <w:pPr>
        <w:rPr>
          <w:lang w:val="en-GB"/>
        </w:rPr>
      </w:pPr>
      <w:r w:rsidRPr="0014121A">
        <w:rPr>
          <w:lang w:val="en-GB"/>
        </w:rPr>
        <w:t>Bradley IM, Pinto AJ, Guest JS (2016) Design and Evaluation of Illumina MiSeq-Compatible, 18S rRNA Gene-Specific Primers for Improved Characterization of Mixed Phototrophic Communities. Applied and Envi</w:t>
      </w:r>
      <w:r w:rsidR="008B0B68">
        <w:rPr>
          <w:lang w:val="en-GB"/>
        </w:rPr>
        <w:t>ronmental Microbiology 82</w:t>
      </w:r>
      <w:r w:rsidRPr="0014121A">
        <w:rPr>
          <w:lang w:val="en-GB"/>
        </w:rPr>
        <w:t>:5878-5891.</w:t>
      </w:r>
    </w:p>
    <w:p w:rsidR="0014121A" w:rsidRPr="0014121A" w:rsidRDefault="0014121A" w:rsidP="002C4E2A">
      <w:pPr>
        <w:rPr>
          <w:lang w:val="en-GB"/>
        </w:rPr>
      </w:pPr>
    </w:p>
    <w:p w:rsidR="0014121A" w:rsidRPr="0014121A" w:rsidRDefault="0014121A" w:rsidP="002C4E2A">
      <w:pPr>
        <w:rPr>
          <w:lang w:val="en-GB"/>
        </w:rPr>
      </w:pPr>
      <w:r w:rsidRPr="0014121A">
        <w:rPr>
          <w:lang w:val="en-GB"/>
        </w:rPr>
        <w:t>Brown SP, Callaham MA, Oliver AK, Jumpponen A (2013) Deep Ion Torrent sequencing identifies soil fungal community shifts after frequent prescribed fires in a southeastern US forest ecosystem. FEMS Microbiology Ecology 86:557-566.</w:t>
      </w:r>
    </w:p>
    <w:p w:rsidR="0014121A" w:rsidRPr="0014121A" w:rsidRDefault="0014121A" w:rsidP="002C4E2A">
      <w:pPr>
        <w:rPr>
          <w:lang w:val="en-GB"/>
        </w:rPr>
      </w:pPr>
    </w:p>
    <w:p w:rsidR="0014121A" w:rsidRPr="0014121A" w:rsidRDefault="0014121A" w:rsidP="002C4E2A">
      <w:pPr>
        <w:rPr>
          <w:lang w:val="en-GB"/>
        </w:rPr>
      </w:pPr>
      <w:r w:rsidRPr="0014121A">
        <w:rPr>
          <w:lang w:val="en-GB"/>
        </w:rPr>
        <w:t>Burke CM, Darling AE (2016) A method for high precision sequencing of near full-length 16S rRNA genes</w:t>
      </w:r>
      <w:r w:rsidR="00252490">
        <w:rPr>
          <w:lang w:val="en-GB"/>
        </w:rPr>
        <w:t xml:space="preserve"> on an Illumina MiSeq. PeerJ 4:</w:t>
      </w:r>
      <w:r w:rsidRPr="0014121A">
        <w:rPr>
          <w:lang w:val="en-GB"/>
        </w:rPr>
        <w:t>e2492.</w:t>
      </w:r>
    </w:p>
    <w:p w:rsidR="0014121A" w:rsidRPr="0014121A" w:rsidRDefault="0014121A" w:rsidP="002C4E2A">
      <w:pPr>
        <w:rPr>
          <w:lang w:val="en-GB"/>
        </w:rPr>
      </w:pPr>
    </w:p>
    <w:p w:rsidR="0014121A" w:rsidRPr="0014121A" w:rsidRDefault="0014121A" w:rsidP="002C4E2A">
      <w:pPr>
        <w:rPr>
          <w:lang w:val="en-GB"/>
        </w:rPr>
      </w:pPr>
      <w:r w:rsidRPr="0014121A">
        <w:rPr>
          <w:lang w:val="en-GB"/>
        </w:rPr>
        <w:t xml:space="preserve">Camacho C, Coulouris G, Avagyan V, Ma N, Papadopoulos J, Bealer K, Madden TL (2009) BLAST+: architecture and applications. BMC </w:t>
      </w:r>
      <w:r w:rsidR="00A47B71">
        <w:rPr>
          <w:lang w:val="en-GB"/>
        </w:rPr>
        <w:t>B</w:t>
      </w:r>
      <w:r w:rsidR="003040A0">
        <w:rPr>
          <w:lang w:val="en-GB"/>
        </w:rPr>
        <w:t>ioinformatics 10:</w:t>
      </w:r>
      <w:r w:rsidRPr="0014121A">
        <w:rPr>
          <w:lang w:val="en-GB"/>
        </w:rPr>
        <w:t>421.</w:t>
      </w:r>
    </w:p>
    <w:p w:rsidR="0014121A" w:rsidRPr="0014121A" w:rsidRDefault="0014121A" w:rsidP="002C4E2A">
      <w:pPr>
        <w:rPr>
          <w:lang w:val="en-GB"/>
        </w:rPr>
      </w:pPr>
    </w:p>
    <w:p w:rsidR="0014121A" w:rsidRPr="0014121A" w:rsidRDefault="0014121A" w:rsidP="002C4E2A">
      <w:pPr>
        <w:rPr>
          <w:lang w:val="en-GB"/>
        </w:rPr>
      </w:pPr>
      <w:r w:rsidRPr="0014121A">
        <w:rPr>
          <w:lang w:val="en-GB"/>
        </w:rPr>
        <w:t>Cline LC, Zak DR, Upchurch RA, Freedman ZB, Peschel AR (2017) Soil microbial communities and elk foraging intensity: implications for soil biogeochemical cycling in the sagebrush steppe. Ecology Letter</w:t>
      </w:r>
      <w:r w:rsidR="00F54D91">
        <w:rPr>
          <w:lang w:val="en-GB"/>
        </w:rPr>
        <w:t>s 20:</w:t>
      </w:r>
      <w:r w:rsidRPr="0014121A">
        <w:rPr>
          <w:lang w:val="en-GB"/>
        </w:rPr>
        <w:t>202-211.</w:t>
      </w:r>
    </w:p>
    <w:p w:rsidR="0014121A" w:rsidRPr="0014121A" w:rsidRDefault="0014121A" w:rsidP="002C4E2A">
      <w:pPr>
        <w:rPr>
          <w:lang w:val="en-GB"/>
        </w:rPr>
      </w:pPr>
    </w:p>
    <w:p w:rsidR="0014121A" w:rsidRPr="0014121A" w:rsidRDefault="0014121A" w:rsidP="002C4E2A">
      <w:pPr>
        <w:rPr>
          <w:lang w:val="en-GB"/>
        </w:rPr>
      </w:pPr>
      <w:r w:rsidRPr="0014121A">
        <w:rPr>
          <w:lang w:val="en-GB"/>
        </w:rPr>
        <w:t>Cock PJA, Fields CJ, Goto N, Heuer ML, Rice PM (2010) The Sanger FASTQ file format for sequences with quality scores, and the Solexa/Illumina FASTQ varia</w:t>
      </w:r>
      <w:r w:rsidR="00F54D91">
        <w:rPr>
          <w:lang w:val="en-GB"/>
        </w:rPr>
        <w:t>nts. Nucleic Acids Research 38:</w:t>
      </w:r>
      <w:r w:rsidRPr="0014121A">
        <w:rPr>
          <w:lang w:val="en-GB"/>
        </w:rPr>
        <w:t>1767-1771.</w:t>
      </w:r>
    </w:p>
    <w:p w:rsidR="0014121A" w:rsidRPr="0014121A" w:rsidRDefault="0014121A" w:rsidP="002C4E2A">
      <w:pPr>
        <w:rPr>
          <w:lang w:val="en-GB"/>
        </w:rPr>
      </w:pPr>
    </w:p>
    <w:p w:rsidR="0014121A" w:rsidRPr="0014121A" w:rsidRDefault="0014121A" w:rsidP="002C4E2A">
      <w:pPr>
        <w:rPr>
          <w:lang w:val="en-GB"/>
        </w:rPr>
      </w:pPr>
      <w:r w:rsidRPr="0014121A">
        <w:rPr>
          <w:lang w:val="en-GB"/>
        </w:rPr>
        <w:lastRenderedPageBreak/>
        <w:t>Cui XC, Hu JL, Wang JH, Yang JS, Lin XG (2016) Reclamation negatively influences arbuscular mycorrhizal fungal community structure and diversity in coastal saline-alkaline land in Eastern China as revealed by Illumina sequencing. Applied Soil Ecology 98:140-149.</w:t>
      </w:r>
    </w:p>
    <w:p w:rsidR="0014121A" w:rsidRPr="0014121A" w:rsidRDefault="0014121A" w:rsidP="002C4E2A">
      <w:pPr>
        <w:rPr>
          <w:lang w:val="en-GB"/>
        </w:rPr>
      </w:pPr>
    </w:p>
    <w:p w:rsidR="0014121A" w:rsidRPr="0014121A" w:rsidRDefault="0014121A" w:rsidP="002C4E2A">
      <w:pPr>
        <w:rPr>
          <w:lang w:val="en-GB"/>
        </w:rPr>
      </w:pPr>
      <w:r w:rsidRPr="0014121A">
        <w:rPr>
          <w:lang w:val="en-GB"/>
        </w:rPr>
        <w:t>Davison J, Moora M, Öpik M, Adholeya A, Ainsaar L, Bâ A, Burla S, Diedhiou AG, Hiiesalu I, Jairus T, Johnson NC, Kane A, Koorem K, Kochar M, Ndiaye C, Pärtel M, Reier Ü, Saks Ü, Singh R, Vasar M, Zobel M (2015) Global assessment of arbuscular mycorrhizal fungus diversity reveals very low e</w:t>
      </w:r>
      <w:r w:rsidR="00A7307E">
        <w:rPr>
          <w:lang w:val="en-GB"/>
        </w:rPr>
        <w:t>ndemism. Science 349:</w:t>
      </w:r>
      <w:r w:rsidRPr="0014121A">
        <w:rPr>
          <w:lang w:val="en-GB"/>
        </w:rPr>
        <w:t>970</w:t>
      </w:r>
      <w:r w:rsidR="007C791C">
        <w:rPr>
          <w:lang w:val="en-GB"/>
        </w:rPr>
        <w:t>-</w:t>
      </w:r>
      <w:r w:rsidR="00A7307E">
        <w:rPr>
          <w:lang w:val="en-GB"/>
        </w:rPr>
        <w:t>9</w:t>
      </w:r>
      <w:r w:rsidRPr="0014121A">
        <w:rPr>
          <w:lang w:val="en-GB"/>
        </w:rPr>
        <w:t>73.</w:t>
      </w:r>
    </w:p>
    <w:p w:rsidR="0014121A" w:rsidRPr="0014121A" w:rsidRDefault="0014121A" w:rsidP="002C4E2A">
      <w:pPr>
        <w:rPr>
          <w:lang w:val="en-GB"/>
        </w:rPr>
      </w:pPr>
    </w:p>
    <w:p w:rsidR="0014121A" w:rsidRDefault="0014121A" w:rsidP="002C4E2A">
      <w:pPr>
        <w:rPr>
          <w:lang w:val="en-GB"/>
        </w:rPr>
      </w:pPr>
      <w:r w:rsidRPr="0014121A">
        <w:rPr>
          <w:lang w:val="en-GB"/>
        </w:rPr>
        <w:t>Davison J, Öpik M, Zobel M, Vasar M, Metsis M, Moora M (2012) Communities of arbuscular mycorrhizal fungi detected in forest soil are spatially heterogeneous but do not vary throughout the growing season. PLoS One 7:e41938.</w:t>
      </w:r>
    </w:p>
    <w:p w:rsidR="006D5DEC" w:rsidRDefault="006D5DEC" w:rsidP="002C4E2A">
      <w:pPr>
        <w:rPr>
          <w:lang w:val="en-GB"/>
        </w:rPr>
      </w:pPr>
    </w:p>
    <w:p w:rsidR="006D5DEC" w:rsidRPr="0014121A" w:rsidRDefault="006D5DEC" w:rsidP="002C4E2A">
      <w:pPr>
        <w:rPr>
          <w:lang w:val="en-GB"/>
        </w:rPr>
      </w:pPr>
      <w:r w:rsidRPr="006D5DEC">
        <w:rPr>
          <w:lang w:val="en-GB"/>
        </w:rPr>
        <w:t>del Campo J, Sieracki ME, Molestina R, Keeling P, Massana R, Ruiz-Trillo I (2014) The others: our biased perspective of eukaryotic genomes. Trends in Ecology &amp; Evolution 29:252-259.</w:t>
      </w:r>
    </w:p>
    <w:p w:rsidR="0014121A" w:rsidRDefault="0014121A" w:rsidP="002C4E2A">
      <w:pPr>
        <w:rPr>
          <w:lang w:val="en-GB"/>
        </w:rPr>
      </w:pPr>
    </w:p>
    <w:p w:rsidR="00E06F57" w:rsidRDefault="00E06F57" w:rsidP="002C4E2A">
      <w:pPr>
        <w:rPr>
          <w:lang w:val="en-GB"/>
        </w:rPr>
      </w:pPr>
      <w:r w:rsidRPr="00E06F57">
        <w:rPr>
          <w:lang w:val="en-GB"/>
        </w:rPr>
        <w:t>Dohm JC, Lottaz C, Borodina T, Himmelbauer H (2008) Substantial biases in ultra-short read data sets from high-throughput DNA sequencing. Nucleic Acids Research 36:e105.</w:t>
      </w:r>
    </w:p>
    <w:p w:rsidR="00E06F57" w:rsidRPr="0014121A" w:rsidRDefault="00E06F57" w:rsidP="002C4E2A">
      <w:pPr>
        <w:rPr>
          <w:lang w:val="en-GB"/>
        </w:rPr>
      </w:pPr>
    </w:p>
    <w:p w:rsidR="0014121A" w:rsidRPr="0014121A" w:rsidRDefault="0014121A" w:rsidP="002C4E2A">
      <w:pPr>
        <w:rPr>
          <w:lang w:val="en-GB"/>
        </w:rPr>
      </w:pPr>
      <w:r w:rsidRPr="0014121A">
        <w:rPr>
          <w:lang w:val="en-GB"/>
        </w:rPr>
        <w:t>Edgar RC, Haas BJ, Clemente JC, Quince C, Knight R (2011) UCHIME improves sensitivity and speed of chimer</w:t>
      </w:r>
      <w:r w:rsidR="005D2D45">
        <w:rPr>
          <w:lang w:val="en-GB"/>
        </w:rPr>
        <w:t>a detection. Bioinformatics 27:</w:t>
      </w:r>
      <w:r w:rsidRPr="0014121A">
        <w:rPr>
          <w:lang w:val="en-GB"/>
        </w:rPr>
        <w:t>2194</w:t>
      </w:r>
      <w:r w:rsidR="007C791C">
        <w:rPr>
          <w:lang w:val="en-GB"/>
        </w:rPr>
        <w:t>-</w:t>
      </w:r>
      <w:r w:rsidRPr="0014121A">
        <w:rPr>
          <w:lang w:val="en-GB"/>
        </w:rPr>
        <w:t>2200.</w:t>
      </w:r>
    </w:p>
    <w:p w:rsidR="0014121A" w:rsidRPr="0014121A" w:rsidRDefault="0014121A" w:rsidP="002C4E2A">
      <w:pPr>
        <w:rPr>
          <w:lang w:val="en-GB"/>
        </w:rPr>
      </w:pPr>
    </w:p>
    <w:p w:rsidR="0014121A" w:rsidRPr="0014121A" w:rsidRDefault="0014121A" w:rsidP="002C4E2A">
      <w:pPr>
        <w:rPr>
          <w:lang w:val="en-GB"/>
        </w:rPr>
      </w:pPr>
      <w:r w:rsidRPr="0014121A">
        <w:rPr>
          <w:lang w:val="en-GB"/>
        </w:rPr>
        <w:t>Garcia K, Doidy J, Zimmermann SD, Wipf D, Courty PE (2016) Take a trip through the plant and fungal transportome of mycorrhi</w:t>
      </w:r>
      <w:r w:rsidR="005D2D45">
        <w:rPr>
          <w:lang w:val="en-GB"/>
        </w:rPr>
        <w:t>za. Trends in Plant Science 21:</w:t>
      </w:r>
      <w:r w:rsidRPr="0014121A">
        <w:rPr>
          <w:lang w:val="en-GB"/>
        </w:rPr>
        <w:t>937-950.</w:t>
      </w:r>
    </w:p>
    <w:p w:rsidR="0014121A" w:rsidRDefault="0014121A" w:rsidP="002C4E2A">
      <w:pPr>
        <w:rPr>
          <w:lang w:val="en-GB"/>
        </w:rPr>
      </w:pPr>
    </w:p>
    <w:p w:rsidR="00E06F57" w:rsidRDefault="00E06F57" w:rsidP="002C4E2A">
      <w:pPr>
        <w:rPr>
          <w:lang w:val="en-GB"/>
        </w:rPr>
      </w:pPr>
      <w:r w:rsidRPr="00E06F57">
        <w:rPr>
          <w:lang w:val="en-GB"/>
        </w:rPr>
        <w:t>Gilles A, Meglécz E, Pech N, Ferreira S, Malausa T, Martin JF (2011) Accuracy and quality assessment of 454 GS-FLX Titanium pyrosequencing. BMC Genomics 12:245.</w:t>
      </w:r>
    </w:p>
    <w:p w:rsidR="00E06F57" w:rsidRPr="0014121A" w:rsidRDefault="00E06F57" w:rsidP="002C4E2A">
      <w:pPr>
        <w:rPr>
          <w:lang w:val="en-GB"/>
        </w:rPr>
      </w:pPr>
    </w:p>
    <w:p w:rsidR="0014121A" w:rsidRPr="0014121A" w:rsidRDefault="0014121A" w:rsidP="002C4E2A">
      <w:pPr>
        <w:rPr>
          <w:lang w:val="en-GB"/>
        </w:rPr>
      </w:pPr>
      <w:r w:rsidRPr="0014121A">
        <w:rPr>
          <w:lang w:val="en-GB"/>
        </w:rPr>
        <w:t>Glassman SI, Peay KG, Talbot JM, Smith DP, Chung JA, Taylor JW, Vilgalys R, Bruns TD (2</w:t>
      </w:r>
      <w:r w:rsidR="00C027C8">
        <w:rPr>
          <w:lang w:val="en-GB"/>
        </w:rPr>
        <w:t>015) A continental view of pine-</w:t>
      </w:r>
      <w:r w:rsidRPr="0014121A">
        <w:rPr>
          <w:lang w:val="en-GB"/>
        </w:rPr>
        <w:t>associated ectomycorrhizal fungal spore banks: a quiescent functional guild with a strong biogeographic pattern. New Phytologist 205:1619-1631.</w:t>
      </w:r>
    </w:p>
    <w:p w:rsidR="0014121A" w:rsidRPr="0014121A" w:rsidRDefault="0014121A" w:rsidP="002C4E2A">
      <w:pPr>
        <w:rPr>
          <w:lang w:val="en-GB"/>
        </w:rPr>
      </w:pPr>
    </w:p>
    <w:p w:rsidR="0014121A" w:rsidRDefault="0014121A" w:rsidP="002C4E2A">
      <w:pPr>
        <w:rPr>
          <w:lang w:val="en-GB"/>
        </w:rPr>
      </w:pPr>
      <w:r w:rsidRPr="0014121A">
        <w:rPr>
          <w:lang w:val="en-GB"/>
        </w:rPr>
        <w:t>Hart MM, Aleklett K, Chagnon PL, Egan C, Ghignone S, Helgason T, Lekberg Y, Öpik M, Pickles BJ, Waller L (2015) Navigating the labyrinth: A guide to sequence-based, community ecology of arbuscular mycorrhi</w:t>
      </w:r>
      <w:r w:rsidR="00140B3B">
        <w:rPr>
          <w:lang w:val="en-GB"/>
        </w:rPr>
        <w:t>zal fungi. New Phytologist 207:</w:t>
      </w:r>
      <w:r w:rsidRPr="0014121A">
        <w:rPr>
          <w:lang w:val="en-GB"/>
        </w:rPr>
        <w:t>235-247.</w:t>
      </w:r>
    </w:p>
    <w:p w:rsidR="00144BFA" w:rsidRDefault="00144BFA" w:rsidP="002C4E2A">
      <w:pPr>
        <w:rPr>
          <w:lang w:val="en-GB"/>
        </w:rPr>
      </w:pPr>
    </w:p>
    <w:p w:rsidR="00144BFA" w:rsidRPr="0014121A" w:rsidRDefault="00144BFA" w:rsidP="002C4E2A">
      <w:pPr>
        <w:rPr>
          <w:lang w:val="en-GB"/>
        </w:rPr>
      </w:pPr>
      <w:r w:rsidRPr="00144BFA">
        <w:rPr>
          <w:lang w:val="en-GB"/>
        </w:rPr>
        <w:t>Hillier LW, Marth GT, Quinlan AR, Dooling D, Fewell G, Barnett D, Fox P, Glasscock JI, Hickenbotham M, Huang W, Magrini VJ (2008) Whole-genome sequencing and variant discovery in C. elegans. Nature Methods 5:183-188.</w:t>
      </w:r>
    </w:p>
    <w:p w:rsidR="0014121A" w:rsidRPr="0014121A" w:rsidRDefault="0014121A" w:rsidP="002C4E2A">
      <w:pPr>
        <w:rPr>
          <w:lang w:val="en-GB"/>
        </w:rPr>
      </w:pPr>
    </w:p>
    <w:p w:rsidR="0014121A" w:rsidRPr="0014121A" w:rsidRDefault="0014121A" w:rsidP="002C4E2A">
      <w:pPr>
        <w:rPr>
          <w:lang w:val="en-GB"/>
        </w:rPr>
      </w:pPr>
      <w:r w:rsidRPr="0014121A">
        <w:rPr>
          <w:lang w:val="en-GB"/>
        </w:rPr>
        <w:t>Johansen RB, Johnston P, Mieczkowski P, Perry GLW, Robeson MS, Burns BR, Vilgalys R (2016) A native and an invasive dune grass share similar, patchily distributed, root-associated fungal commun</w:t>
      </w:r>
      <w:r w:rsidR="00140B3B">
        <w:rPr>
          <w:lang w:val="en-GB"/>
        </w:rPr>
        <w:t>ities. Fungal Ecology 23:</w:t>
      </w:r>
      <w:r w:rsidRPr="0014121A">
        <w:rPr>
          <w:lang w:val="en-GB"/>
        </w:rPr>
        <w:t>141-155.</w:t>
      </w:r>
    </w:p>
    <w:p w:rsidR="0014121A" w:rsidRPr="0014121A" w:rsidRDefault="0014121A" w:rsidP="002C4E2A">
      <w:pPr>
        <w:rPr>
          <w:lang w:val="en-GB"/>
        </w:rPr>
      </w:pPr>
    </w:p>
    <w:p w:rsidR="0067567B" w:rsidRDefault="00E06F12" w:rsidP="002C4E2A">
      <w:pPr>
        <w:rPr>
          <w:lang w:val="en-GB"/>
        </w:rPr>
      </w:pPr>
      <w:r w:rsidRPr="00E06F12">
        <w:rPr>
          <w:lang w:val="en-GB"/>
        </w:rPr>
        <w:t>Katoh K, Standley DM</w:t>
      </w:r>
      <w:r>
        <w:rPr>
          <w:lang w:val="en-GB"/>
        </w:rPr>
        <w:t xml:space="preserve"> (2013)</w:t>
      </w:r>
      <w:r w:rsidRPr="00E06F12">
        <w:rPr>
          <w:lang w:val="en-GB"/>
        </w:rPr>
        <w:t xml:space="preserve"> MAFFT multiple sequence alignment software version 7: improvements in performance and usability. Molecular </w:t>
      </w:r>
      <w:r w:rsidR="00B778D9">
        <w:rPr>
          <w:lang w:val="en-GB"/>
        </w:rPr>
        <w:t>B</w:t>
      </w:r>
      <w:r w:rsidRPr="00E06F12">
        <w:rPr>
          <w:lang w:val="en-GB"/>
        </w:rPr>
        <w:t xml:space="preserve">iology and </w:t>
      </w:r>
      <w:r w:rsidR="00B778D9">
        <w:rPr>
          <w:lang w:val="en-GB"/>
        </w:rPr>
        <w:t>E</w:t>
      </w:r>
      <w:r w:rsidRPr="00E06F12">
        <w:rPr>
          <w:lang w:val="en-GB"/>
        </w:rPr>
        <w:t>volution</w:t>
      </w:r>
      <w:r>
        <w:rPr>
          <w:lang w:val="en-GB"/>
        </w:rPr>
        <w:t xml:space="preserve"> 30:772-780.</w:t>
      </w:r>
    </w:p>
    <w:p w:rsidR="0018046E" w:rsidRDefault="0018046E" w:rsidP="002C4E2A">
      <w:pPr>
        <w:rPr>
          <w:lang w:val="en-GB"/>
        </w:rPr>
      </w:pPr>
    </w:p>
    <w:p w:rsidR="0018046E" w:rsidRPr="0014121A" w:rsidRDefault="0018046E" w:rsidP="002C4E2A">
      <w:pPr>
        <w:pStyle w:val="Response"/>
        <w:spacing w:line="240" w:lineRule="auto"/>
      </w:pPr>
      <w:r w:rsidRPr="0018046E">
        <w:t>Kenward MG, Roger JH. (1997) Small sample inference for fixed effects from restricted maximum likelihood. Biometrics 53:983-997.</w:t>
      </w:r>
    </w:p>
    <w:p w:rsidR="0067567B" w:rsidRDefault="0067567B" w:rsidP="002C4E2A">
      <w:pPr>
        <w:rPr>
          <w:lang w:val="en-GB"/>
        </w:rPr>
      </w:pPr>
    </w:p>
    <w:p w:rsidR="0067567B" w:rsidRDefault="0067567B" w:rsidP="002C4E2A">
      <w:pPr>
        <w:rPr>
          <w:lang w:val="en-GB"/>
        </w:rPr>
      </w:pPr>
      <w:r w:rsidRPr="00F81F1A">
        <w:rPr>
          <w:lang w:val="en-GB"/>
        </w:rPr>
        <w:t>Lee HK, Lee CK, Tang JW, Loh TP, Koay ES (2016) Contamination-controlled high-throughput whole genome sequencing for influenza A viruses using the MiSeq sequencer. Scientific Reports 6:33318.</w:t>
      </w:r>
    </w:p>
    <w:p w:rsidR="0014121A" w:rsidRPr="0014121A" w:rsidRDefault="00E06F12" w:rsidP="002C4E2A">
      <w:pPr>
        <w:rPr>
          <w:lang w:val="en-GB"/>
        </w:rPr>
      </w:pPr>
      <w:r w:rsidRPr="0014121A">
        <w:rPr>
          <w:lang w:val="en-GB"/>
        </w:rPr>
        <w:t xml:space="preserve"> </w:t>
      </w:r>
    </w:p>
    <w:p w:rsidR="00F81F1A" w:rsidRDefault="0014121A" w:rsidP="002C4E2A">
      <w:pPr>
        <w:rPr>
          <w:lang w:val="en-GB"/>
        </w:rPr>
      </w:pPr>
      <w:r w:rsidRPr="0014121A">
        <w:rPr>
          <w:lang w:val="en-GB"/>
        </w:rPr>
        <w:t xml:space="preserve">Lee J, Lee S, Young JPW (2008) Improved PCR primers form the detection and identification of arbuscular mycorrhizal fungi. FEMS </w:t>
      </w:r>
      <w:r w:rsidR="00A86E9D" w:rsidRPr="00A86E9D">
        <w:rPr>
          <w:lang w:val="en-GB"/>
        </w:rPr>
        <w:t xml:space="preserve">Microbiology Ecology </w:t>
      </w:r>
      <w:r w:rsidR="00056EC8">
        <w:rPr>
          <w:lang w:val="en-GB"/>
        </w:rPr>
        <w:t>65:</w:t>
      </w:r>
      <w:r w:rsidRPr="0014121A">
        <w:rPr>
          <w:lang w:val="en-GB"/>
        </w:rPr>
        <w:t>339</w:t>
      </w:r>
      <w:r w:rsidR="007C791C">
        <w:rPr>
          <w:lang w:val="en-GB"/>
        </w:rPr>
        <w:t>-</w:t>
      </w:r>
      <w:r w:rsidRPr="0014121A">
        <w:rPr>
          <w:lang w:val="en-GB"/>
        </w:rPr>
        <w:t>349.</w:t>
      </w:r>
    </w:p>
    <w:p w:rsidR="00F81F1A" w:rsidRPr="0014121A" w:rsidRDefault="00F81F1A" w:rsidP="002C4E2A">
      <w:pPr>
        <w:rPr>
          <w:lang w:val="en-GB"/>
        </w:rPr>
      </w:pPr>
    </w:p>
    <w:p w:rsidR="0014121A" w:rsidRPr="0014121A" w:rsidRDefault="0014121A" w:rsidP="002C4E2A">
      <w:pPr>
        <w:rPr>
          <w:lang w:val="en-GB"/>
        </w:rPr>
      </w:pPr>
      <w:r w:rsidRPr="0014121A">
        <w:rPr>
          <w:lang w:val="en-GB"/>
        </w:rPr>
        <w:t>Lin K, Limpens E, Zhang Z, Ivanov S, Saunders DGO, Mu D, Pang E, Cao H, Cha H, Lin T, Zhou Q, Shang Y, Li Y, Sharma T, van Velzen R, de Ruijter N, Aanen DK, Win J, Kamoun S, Bisseling T, Geurts R, Huang S (2014) Single nucleus genome sequencing reveals high similarity among nuclei of an endomycorr</w:t>
      </w:r>
      <w:r w:rsidR="00056EC8">
        <w:rPr>
          <w:lang w:val="en-GB"/>
        </w:rPr>
        <w:t>hizal fungus. Plos Genetics 10:</w:t>
      </w:r>
      <w:r w:rsidRPr="0014121A">
        <w:rPr>
          <w:lang w:val="en-GB"/>
        </w:rPr>
        <w:t>e1004078.</w:t>
      </w:r>
    </w:p>
    <w:p w:rsidR="0014121A" w:rsidRPr="0014121A" w:rsidRDefault="0014121A" w:rsidP="002C4E2A">
      <w:pPr>
        <w:rPr>
          <w:lang w:val="en-GB"/>
        </w:rPr>
      </w:pPr>
    </w:p>
    <w:p w:rsidR="0014121A" w:rsidRPr="0014121A" w:rsidRDefault="0014121A" w:rsidP="002C4E2A">
      <w:pPr>
        <w:rPr>
          <w:lang w:val="en-GB"/>
        </w:rPr>
      </w:pPr>
      <w:r w:rsidRPr="0014121A">
        <w:rPr>
          <w:lang w:val="en-GB"/>
        </w:rPr>
        <w:t>Lindahl BD, Nilsson RH, Tedersoo L, Abarenkov K, Carlsen T, Kjoller R, Kõljalg U, Pennanen T, Rosendahl S, Stenlid J, Kauserud H (2013) Fungal community analysis by high-throughput sequencing of amplified markers - a user's guide. New Phytologist 199:288-299.</w:t>
      </w:r>
    </w:p>
    <w:p w:rsidR="0014121A" w:rsidRPr="0014121A" w:rsidRDefault="0014121A" w:rsidP="002C4E2A">
      <w:pPr>
        <w:rPr>
          <w:lang w:val="en-GB"/>
        </w:rPr>
      </w:pPr>
    </w:p>
    <w:p w:rsidR="0014121A" w:rsidRDefault="00111057" w:rsidP="002C4E2A">
      <w:pPr>
        <w:rPr>
          <w:lang w:val="en-GB"/>
        </w:rPr>
      </w:pPr>
      <w:r w:rsidRPr="00111057">
        <w:rPr>
          <w:lang w:val="en-GB"/>
        </w:rPr>
        <w:t>Liu M, Zheng R, Bai SL, Bai Y, Wang JG (2017) Slope aspect influences arbuscular mycorrhizal fungus communities in arid ecosystems of the Daqingshan Mountains, Inner Mongolia, North China. Mycorrhiza 27:189-200.</w:t>
      </w:r>
    </w:p>
    <w:p w:rsidR="00111057" w:rsidRPr="0014121A" w:rsidRDefault="00111057" w:rsidP="002C4E2A">
      <w:pPr>
        <w:rPr>
          <w:lang w:val="en-GB"/>
        </w:rPr>
      </w:pPr>
    </w:p>
    <w:p w:rsidR="0014121A" w:rsidRDefault="0014121A" w:rsidP="002C4E2A">
      <w:pPr>
        <w:rPr>
          <w:lang w:val="en-GB"/>
        </w:rPr>
      </w:pPr>
      <w:r w:rsidRPr="0014121A">
        <w:rPr>
          <w:lang w:val="en-GB"/>
        </w:rPr>
        <w:t>Mago</w:t>
      </w:r>
      <w:r w:rsidR="00FA2868" w:rsidRPr="00FA2868">
        <w:rPr>
          <w:lang w:val="en-GB"/>
        </w:rPr>
        <w:t>č</w:t>
      </w:r>
      <w:r w:rsidRPr="0014121A">
        <w:rPr>
          <w:lang w:val="en-GB"/>
        </w:rPr>
        <w:t xml:space="preserve"> T, Salzberg SL (2011) FLASH: fast length adjustment of short reads to improve genome</w:t>
      </w:r>
      <w:r w:rsidR="00790F8E">
        <w:rPr>
          <w:lang w:val="en-GB"/>
        </w:rPr>
        <w:t xml:space="preserve"> assemblies. Bioinformatics 27:</w:t>
      </w:r>
      <w:r w:rsidRPr="0014121A">
        <w:rPr>
          <w:lang w:val="en-GB"/>
        </w:rPr>
        <w:t>2957-2963.</w:t>
      </w:r>
    </w:p>
    <w:p w:rsidR="00574416" w:rsidRDefault="00574416" w:rsidP="002C4E2A">
      <w:pPr>
        <w:rPr>
          <w:lang w:val="en-GB"/>
        </w:rPr>
      </w:pPr>
    </w:p>
    <w:p w:rsidR="00574416" w:rsidRPr="0014121A" w:rsidRDefault="00574416" w:rsidP="002C4E2A">
      <w:pPr>
        <w:pStyle w:val="Response"/>
        <w:spacing w:line="240" w:lineRule="auto"/>
      </w:pPr>
      <w:r w:rsidRPr="00574416">
        <w:t>Masella AP, Bartram AK, Truszkowski JM, Brown DG, Neufeld JD (2012) PANDAseq: paired-end assembler for illumina sequences. BMC Bioinformatics 13:31.</w:t>
      </w:r>
    </w:p>
    <w:p w:rsidR="0014121A" w:rsidRPr="0014121A" w:rsidRDefault="0014121A" w:rsidP="002C4E2A">
      <w:pPr>
        <w:rPr>
          <w:lang w:val="en-GB"/>
        </w:rPr>
      </w:pPr>
    </w:p>
    <w:p w:rsidR="0014121A" w:rsidRDefault="0014121A" w:rsidP="002C4E2A">
      <w:pPr>
        <w:rPr>
          <w:lang w:val="en-GB"/>
        </w:rPr>
      </w:pPr>
      <w:r w:rsidRPr="0014121A">
        <w:rPr>
          <w:lang w:val="en-GB"/>
        </w:rPr>
        <w:t>Medinger R, Nolte V, Pandey RV, Jost S, Ottenwälder B, Schlötterer C, Boenigk J (2010) Diversity in a hidden world: potential and limitation of next-generation sequencing for surveys of molecular diversity of eukaryotic microo</w:t>
      </w:r>
      <w:r w:rsidR="007F4B7E">
        <w:rPr>
          <w:lang w:val="en-GB"/>
        </w:rPr>
        <w:t>rganisms. Molecular Ecology 19:</w:t>
      </w:r>
      <w:r w:rsidRPr="0014121A">
        <w:rPr>
          <w:lang w:val="en-GB"/>
        </w:rPr>
        <w:t>32</w:t>
      </w:r>
      <w:r w:rsidR="007C791C">
        <w:rPr>
          <w:lang w:val="en-GB"/>
        </w:rPr>
        <w:t>-</w:t>
      </w:r>
      <w:r w:rsidRPr="0014121A">
        <w:rPr>
          <w:lang w:val="en-GB"/>
        </w:rPr>
        <w:t>40.</w:t>
      </w:r>
    </w:p>
    <w:p w:rsidR="00E06F57" w:rsidRDefault="00E06F57" w:rsidP="002C4E2A">
      <w:pPr>
        <w:rPr>
          <w:lang w:val="en-GB"/>
        </w:rPr>
      </w:pPr>
    </w:p>
    <w:p w:rsidR="00E06F57" w:rsidRDefault="00E06F57" w:rsidP="002C4E2A">
      <w:pPr>
        <w:rPr>
          <w:lang w:val="en-GB"/>
        </w:rPr>
      </w:pPr>
      <w:r w:rsidRPr="00E06F57">
        <w:rPr>
          <w:lang w:val="en-GB"/>
        </w:rPr>
        <w:t>Minoche AE, Dohm JC, Himmelbauer H (2011) Evaluation of genomic high-throughput sequencing data generated on Illumina HiSeq and genome analyzer systems. Genome Biology 12:R112.</w:t>
      </w:r>
    </w:p>
    <w:p w:rsidR="00EA3E6E" w:rsidRDefault="00EA3E6E" w:rsidP="002C4E2A">
      <w:pPr>
        <w:rPr>
          <w:lang w:val="en-GB"/>
        </w:rPr>
      </w:pPr>
    </w:p>
    <w:p w:rsidR="00EA3E6E" w:rsidRDefault="00EA3E6E" w:rsidP="002C4E2A">
      <w:pPr>
        <w:rPr>
          <w:lang w:val="en-GB"/>
        </w:rPr>
      </w:pPr>
      <w:r w:rsidRPr="00EA3E6E">
        <w:rPr>
          <w:lang w:val="en-GB"/>
        </w:rPr>
        <w:t>Motley ST, Picuri JM, Crowder CD, Minich JJ, Hofstadler SA, Eshoo MW (2014) Improved multiple displacement amplification (iMDA) and ultraclean reagents. BMC Genomics 15:443.</w:t>
      </w:r>
    </w:p>
    <w:p w:rsidR="00E06F57" w:rsidRDefault="00E06F57" w:rsidP="002C4E2A">
      <w:pPr>
        <w:rPr>
          <w:lang w:val="en-GB"/>
        </w:rPr>
      </w:pPr>
    </w:p>
    <w:p w:rsidR="008E0622" w:rsidRDefault="00E06F57" w:rsidP="002C4E2A">
      <w:pPr>
        <w:rPr>
          <w:lang w:val="en-GB"/>
        </w:rPr>
      </w:pPr>
      <w:r w:rsidRPr="00E06F57">
        <w:rPr>
          <w:lang w:val="en-GB"/>
        </w:rPr>
        <w:t>Nakamura K, Oshima T, Morimoto T, Ikeda S, Yoshikawa H, Shiwa Y, Ishikawa S, Linak MC, Hirai A, Takahashi H, Altaf-Ul-Amin M (2011) Sequence-specific error profile of Illumina sequencers. Nucleic Acids Research 39:e90.</w:t>
      </w:r>
    </w:p>
    <w:p w:rsidR="00E06F57" w:rsidRDefault="00E06F57" w:rsidP="002C4E2A">
      <w:pPr>
        <w:rPr>
          <w:lang w:val="en-GB"/>
        </w:rPr>
      </w:pPr>
    </w:p>
    <w:p w:rsidR="0067567B" w:rsidRPr="0014121A" w:rsidRDefault="00E06F57" w:rsidP="002C4E2A">
      <w:pPr>
        <w:rPr>
          <w:lang w:val="en-GB"/>
        </w:rPr>
      </w:pPr>
      <w:r w:rsidRPr="00E06F57">
        <w:rPr>
          <w:lang w:val="en-GB"/>
        </w:rPr>
        <w:t>Nguyen P, Ma J, Pei D, Obert C, Cheng C, Geiger TL (2011) Identification of errors introduced during high throughput sequencing of the T cell receptor repertoire. BMC Genomics 12:106.</w:t>
      </w:r>
      <w:r w:rsidR="0067567B" w:rsidRPr="0067567B">
        <w:rPr>
          <w:lang w:val="en-GB"/>
        </w:rPr>
        <w:t xml:space="preserve"> </w:t>
      </w:r>
    </w:p>
    <w:p w:rsidR="0067567B" w:rsidRDefault="0067567B" w:rsidP="002C4E2A">
      <w:pPr>
        <w:rPr>
          <w:lang w:val="en-GB"/>
        </w:rPr>
      </w:pPr>
    </w:p>
    <w:p w:rsidR="0067567B" w:rsidRDefault="0067567B" w:rsidP="002C4E2A">
      <w:pPr>
        <w:rPr>
          <w:lang w:val="en-GB"/>
        </w:rPr>
      </w:pPr>
      <w:r w:rsidRPr="008E0622">
        <w:rPr>
          <w:lang w:val="en-GB"/>
        </w:rPr>
        <w:t>Niklas N, Pröll J, Danzer M, Stabentheiner S, Hofer K, Gabriel C (2013) Routine performance and errors of 454 HLA exon sequencing in diagnostics. BMC Bioinformatics 14:176.</w:t>
      </w:r>
    </w:p>
    <w:p w:rsidR="008E0622" w:rsidRPr="0014121A" w:rsidRDefault="008E0622" w:rsidP="002C4E2A">
      <w:pPr>
        <w:rPr>
          <w:lang w:val="en-GB"/>
        </w:rPr>
      </w:pPr>
    </w:p>
    <w:p w:rsidR="0014121A" w:rsidRDefault="00AD0542" w:rsidP="002C4E2A">
      <w:pPr>
        <w:rPr>
          <w:lang w:val="en-GB"/>
        </w:rPr>
      </w:pPr>
      <w:r w:rsidRPr="00AD0542">
        <w:rPr>
          <w:lang w:val="en-GB"/>
        </w:rPr>
        <w:lastRenderedPageBreak/>
        <w:t>Oksanen J, Blanchet GF, Kindt R, Legendre P, Minchin PR, O'Hara RB, Simpson GL, Solymos P, Stevens MHH, Wagner H (2016) vegan: Community Ecology Package. R package version 2.3-5. https://CRAN.R-project.org/package=vegan</w:t>
      </w:r>
    </w:p>
    <w:p w:rsidR="00086DE6" w:rsidRDefault="00086DE6" w:rsidP="002C4E2A">
      <w:pPr>
        <w:rPr>
          <w:lang w:val="en-GB"/>
        </w:rPr>
      </w:pPr>
    </w:p>
    <w:p w:rsidR="00086DE6" w:rsidRDefault="00086DE6" w:rsidP="002C4E2A">
      <w:pPr>
        <w:rPr>
          <w:lang w:val="en-GB"/>
        </w:rPr>
      </w:pPr>
      <w:r w:rsidRPr="00086DE6">
        <w:rPr>
          <w:lang w:val="en-GB"/>
        </w:rPr>
        <w:t xml:space="preserve">Oliver AK, Brown SP, Callaham MA, Jumpponen A (2015) Polymerase matters: non-proofreading enzymes inflate fungal community richness estimates by </w:t>
      </w:r>
      <w:r w:rsidR="00BC4740">
        <w:rPr>
          <w:lang w:val="en-GB"/>
        </w:rPr>
        <w:t>up to 15%. Fungal Ecology 15:86-</w:t>
      </w:r>
      <w:r w:rsidRPr="00086DE6">
        <w:rPr>
          <w:lang w:val="en-GB"/>
        </w:rPr>
        <w:t>89.</w:t>
      </w:r>
    </w:p>
    <w:p w:rsidR="00AD0542" w:rsidRPr="0014121A" w:rsidRDefault="00AD0542" w:rsidP="002C4E2A">
      <w:pPr>
        <w:rPr>
          <w:lang w:val="en-GB"/>
        </w:rPr>
      </w:pPr>
    </w:p>
    <w:p w:rsidR="0014121A" w:rsidRDefault="0014121A" w:rsidP="002C4E2A">
      <w:pPr>
        <w:rPr>
          <w:lang w:val="en-GB"/>
        </w:rPr>
      </w:pPr>
      <w:r w:rsidRPr="0014121A">
        <w:rPr>
          <w:lang w:val="en-GB"/>
        </w:rPr>
        <w:t>Ondov BD, Bergman NH, Phillippy AM (2011) Interactive metagenomic visualization in a Web browser. BMC Bioinformatics</w:t>
      </w:r>
      <w:r w:rsidR="007F4B7E">
        <w:rPr>
          <w:lang w:val="en-GB"/>
        </w:rPr>
        <w:t xml:space="preserve"> 12</w:t>
      </w:r>
      <w:r w:rsidRPr="0014121A">
        <w:rPr>
          <w:lang w:val="en-GB"/>
        </w:rPr>
        <w:t>:385.</w:t>
      </w:r>
    </w:p>
    <w:p w:rsidR="00834550" w:rsidRDefault="00834550" w:rsidP="002C4E2A">
      <w:pPr>
        <w:rPr>
          <w:lang w:val="en-GB"/>
        </w:rPr>
      </w:pPr>
    </w:p>
    <w:p w:rsidR="00834550" w:rsidRPr="0014121A" w:rsidRDefault="00834550" w:rsidP="002C4E2A">
      <w:pPr>
        <w:rPr>
          <w:lang w:val="en-GB"/>
        </w:rPr>
      </w:pPr>
      <w:r w:rsidRPr="0014121A">
        <w:rPr>
          <w:lang w:val="en-GB"/>
        </w:rPr>
        <w:t xml:space="preserve">Öpik M, Davison J, Moora M, Zobel M (2014) DNA-based detection and identification of Glomeromycota: The virtual </w:t>
      </w:r>
      <w:r w:rsidR="00793AE9">
        <w:rPr>
          <w:lang w:val="en-GB"/>
        </w:rPr>
        <w:t>t</w:t>
      </w:r>
      <w:r w:rsidRPr="0014121A">
        <w:rPr>
          <w:lang w:val="en-GB"/>
        </w:rPr>
        <w:t>axonomy of environmental sequences. Botany 92:135</w:t>
      </w:r>
      <w:r w:rsidR="007C791C">
        <w:rPr>
          <w:lang w:val="en-GB"/>
        </w:rPr>
        <w:t>-</w:t>
      </w:r>
      <w:r>
        <w:rPr>
          <w:lang w:val="en-GB"/>
        </w:rPr>
        <w:t>1</w:t>
      </w:r>
      <w:r w:rsidRPr="0014121A">
        <w:rPr>
          <w:lang w:val="en-GB"/>
        </w:rPr>
        <w:t>47.</w:t>
      </w:r>
    </w:p>
    <w:p w:rsidR="00834550" w:rsidRPr="0014121A" w:rsidRDefault="00834550" w:rsidP="002C4E2A">
      <w:pPr>
        <w:rPr>
          <w:lang w:val="en-GB"/>
        </w:rPr>
      </w:pPr>
    </w:p>
    <w:p w:rsidR="00834550" w:rsidRPr="0014121A" w:rsidRDefault="00834550" w:rsidP="002C4E2A">
      <w:pPr>
        <w:rPr>
          <w:lang w:val="en-GB"/>
        </w:rPr>
      </w:pPr>
      <w:r w:rsidRPr="0014121A">
        <w:rPr>
          <w:lang w:val="en-GB"/>
        </w:rPr>
        <w:t>Öpik M, Davison J (2016) Uniting species- and community-oriented approaches to understand arbuscular mycorrhizal fungal</w:t>
      </w:r>
      <w:r>
        <w:rPr>
          <w:lang w:val="en-GB"/>
        </w:rPr>
        <w:t xml:space="preserve"> diversity. Fungal Ecology 24B:</w:t>
      </w:r>
      <w:r w:rsidRPr="0014121A">
        <w:rPr>
          <w:lang w:val="en-GB"/>
        </w:rPr>
        <w:t>106-113.</w:t>
      </w:r>
    </w:p>
    <w:p w:rsidR="00834550" w:rsidRPr="0014121A" w:rsidRDefault="00834550" w:rsidP="002C4E2A">
      <w:pPr>
        <w:rPr>
          <w:lang w:val="en-GB"/>
        </w:rPr>
      </w:pPr>
    </w:p>
    <w:p w:rsidR="00834550" w:rsidRPr="0014121A" w:rsidRDefault="00834550" w:rsidP="002C4E2A">
      <w:pPr>
        <w:rPr>
          <w:lang w:val="en-GB"/>
        </w:rPr>
      </w:pPr>
      <w:r w:rsidRPr="0014121A">
        <w:rPr>
          <w:lang w:val="en-GB"/>
        </w:rPr>
        <w:t>Öpik M, Metsis M, J T, Zobel M, Moora M (2009) Large-scale parallel 454 sequencing reveals host ecological group specificity of arbuscular mycorrhizal fungi in a boreonemoral</w:t>
      </w:r>
      <w:r w:rsidR="00E96512">
        <w:rPr>
          <w:lang w:val="en-GB"/>
        </w:rPr>
        <w:t xml:space="preserve"> </w:t>
      </w:r>
      <w:r w:rsidR="00793AE9">
        <w:rPr>
          <w:lang w:val="en-GB"/>
        </w:rPr>
        <w:t>f</w:t>
      </w:r>
      <w:r>
        <w:rPr>
          <w:lang w:val="en-GB"/>
        </w:rPr>
        <w:t>orest. New Phytologist 184:</w:t>
      </w:r>
      <w:r w:rsidRPr="0014121A">
        <w:rPr>
          <w:lang w:val="en-GB"/>
        </w:rPr>
        <w:t>424</w:t>
      </w:r>
      <w:r w:rsidR="007C791C">
        <w:rPr>
          <w:lang w:val="en-GB"/>
        </w:rPr>
        <w:t>-</w:t>
      </w:r>
      <w:r w:rsidRPr="0014121A">
        <w:rPr>
          <w:lang w:val="en-GB"/>
        </w:rPr>
        <w:t>437.</w:t>
      </w:r>
    </w:p>
    <w:p w:rsidR="00834550" w:rsidRPr="0014121A" w:rsidRDefault="00834550" w:rsidP="002C4E2A">
      <w:pPr>
        <w:rPr>
          <w:lang w:val="en-GB"/>
        </w:rPr>
      </w:pPr>
    </w:p>
    <w:p w:rsidR="00834550" w:rsidRPr="0014121A" w:rsidRDefault="00834550" w:rsidP="002C4E2A">
      <w:pPr>
        <w:rPr>
          <w:lang w:val="en-GB"/>
        </w:rPr>
      </w:pPr>
      <w:r w:rsidRPr="0014121A">
        <w:rPr>
          <w:lang w:val="en-GB"/>
        </w:rPr>
        <w:t>Öpik M, Moora M, Liira J, Zobel M (2006) Composition of root-colonizing arbuscular mycorrhizal fungal communities in different ecosystems around the</w:t>
      </w:r>
      <w:r>
        <w:rPr>
          <w:lang w:val="en-GB"/>
        </w:rPr>
        <w:t xml:space="preserve"> globe. Journal of Ecology 94</w:t>
      </w:r>
      <w:r w:rsidRPr="0014121A">
        <w:rPr>
          <w:lang w:val="en-GB"/>
        </w:rPr>
        <w:t>:778</w:t>
      </w:r>
      <w:r w:rsidR="007C791C">
        <w:rPr>
          <w:lang w:val="en-GB"/>
        </w:rPr>
        <w:t>-</w:t>
      </w:r>
      <w:r w:rsidRPr="0014121A">
        <w:rPr>
          <w:lang w:val="en-GB"/>
        </w:rPr>
        <w:t>790.</w:t>
      </w:r>
    </w:p>
    <w:p w:rsidR="00834550" w:rsidRPr="0014121A" w:rsidRDefault="00834550" w:rsidP="002C4E2A">
      <w:pPr>
        <w:rPr>
          <w:lang w:val="en-GB"/>
        </w:rPr>
      </w:pPr>
    </w:p>
    <w:p w:rsidR="00834550" w:rsidRPr="0014121A" w:rsidRDefault="00834550" w:rsidP="002C4E2A">
      <w:pPr>
        <w:rPr>
          <w:lang w:val="en-GB"/>
        </w:rPr>
      </w:pPr>
      <w:r w:rsidRPr="0014121A">
        <w:rPr>
          <w:lang w:val="en-GB"/>
        </w:rPr>
        <w:t>Öpik M, Moora M, Zobel M, Saks Ü, Wheatley R, Wright F, Daniell T (2008) High diversity of arbuscular mycorrhizal fungi in a boreal herb-rich conifero</w:t>
      </w:r>
      <w:r>
        <w:rPr>
          <w:lang w:val="en-GB"/>
        </w:rPr>
        <w:t>us forest. New Phytologist 179</w:t>
      </w:r>
      <w:r w:rsidRPr="0014121A">
        <w:rPr>
          <w:lang w:val="en-GB"/>
        </w:rPr>
        <w:t>:867</w:t>
      </w:r>
      <w:r w:rsidR="007C791C">
        <w:rPr>
          <w:lang w:val="en-GB"/>
        </w:rPr>
        <w:t>-</w:t>
      </w:r>
      <w:r w:rsidRPr="0014121A">
        <w:rPr>
          <w:lang w:val="en-GB"/>
        </w:rPr>
        <w:t>876.</w:t>
      </w:r>
    </w:p>
    <w:p w:rsidR="00834550" w:rsidRPr="0014121A" w:rsidRDefault="00834550" w:rsidP="002C4E2A">
      <w:pPr>
        <w:rPr>
          <w:lang w:val="en-GB"/>
        </w:rPr>
      </w:pPr>
    </w:p>
    <w:p w:rsidR="00834550" w:rsidRPr="0014121A" w:rsidRDefault="00834550" w:rsidP="002C4E2A">
      <w:pPr>
        <w:rPr>
          <w:lang w:val="en-GB"/>
        </w:rPr>
      </w:pPr>
      <w:r w:rsidRPr="0014121A">
        <w:rPr>
          <w:lang w:val="en-GB"/>
        </w:rPr>
        <w:t>Öpik M, Vanatoa A, Vanatoa E, Moora M, Davison J, Kalwij JM, Reier Ü, Zobel M (2010) The online database MaarjAM re</w:t>
      </w:r>
      <w:r w:rsidR="00E96512">
        <w:rPr>
          <w:lang w:val="en-GB"/>
        </w:rPr>
        <w:t>veals</w:t>
      </w:r>
      <w:r w:rsidRPr="0014121A">
        <w:rPr>
          <w:lang w:val="en-GB"/>
        </w:rPr>
        <w:t xml:space="preserve"> global and ecosystemic distribution patterns in arbuscular mycorrhizal fungi (Glomeromycota). New Phytologist 188:223-241.</w:t>
      </w:r>
    </w:p>
    <w:p w:rsidR="00834550" w:rsidRPr="0014121A" w:rsidRDefault="00834550" w:rsidP="002C4E2A">
      <w:pPr>
        <w:rPr>
          <w:lang w:val="en-GB"/>
        </w:rPr>
      </w:pPr>
    </w:p>
    <w:p w:rsidR="00BF44D5" w:rsidRPr="0014121A" w:rsidRDefault="00834550" w:rsidP="002C4E2A">
      <w:pPr>
        <w:rPr>
          <w:lang w:val="en-GB"/>
        </w:rPr>
      </w:pPr>
      <w:r w:rsidRPr="0014121A">
        <w:rPr>
          <w:lang w:val="en-GB"/>
        </w:rPr>
        <w:t>Öpik M, Zobel M, Cantero JJ, Davison J, Facelli JM, Hiiesalu I, Jairus T, Kalwij JM, Koorem K, Leal ME, Liira J, Metsis M, Neshataeva V, Paal J, Phosri C, Põlme S, Reier Ü, Saks Ü, Schimann H, Thiéry O, Vasar M, Moora M (2013) Global sampling of plant roots expands the described molecular diversity of arbuscular mycorrhizal fungi. Mycorrhiza 23:411</w:t>
      </w:r>
      <w:r w:rsidR="007C791C">
        <w:rPr>
          <w:lang w:val="en-GB"/>
        </w:rPr>
        <w:t>-</w:t>
      </w:r>
      <w:r w:rsidRPr="0014121A">
        <w:rPr>
          <w:lang w:val="en-GB"/>
        </w:rPr>
        <w:t>430.</w:t>
      </w:r>
      <w:r w:rsidR="00BF44D5" w:rsidRPr="00BF44D5">
        <w:rPr>
          <w:lang w:val="en-GB"/>
        </w:rPr>
        <w:t xml:space="preserve"> </w:t>
      </w:r>
    </w:p>
    <w:p w:rsidR="00BF44D5" w:rsidRPr="0014121A" w:rsidRDefault="00BF44D5" w:rsidP="002C4E2A">
      <w:pPr>
        <w:rPr>
          <w:lang w:val="en-GB"/>
        </w:rPr>
      </w:pPr>
    </w:p>
    <w:p w:rsidR="00BF44D5" w:rsidRDefault="00BF44D5" w:rsidP="002C4E2A">
      <w:pPr>
        <w:rPr>
          <w:lang w:val="en-GB"/>
        </w:rPr>
      </w:pPr>
      <w:r w:rsidRPr="0014121A">
        <w:rPr>
          <w:lang w:val="en-GB"/>
        </w:rPr>
        <w:t>Orchard S, Hilton S, Bending GD, Dickie IA, Standish RJ, Gleeson DB, Jeffery RP, Powell JR, WALKER C, Bass D, Monk J, Simonin A, Ryan MH (2017) Fine endophytes (Glomus tenue) are related to Mucoromycotina, not Glom</w:t>
      </w:r>
      <w:r>
        <w:rPr>
          <w:lang w:val="en-GB"/>
        </w:rPr>
        <w:t>eromycota. New Phytologist 213:</w:t>
      </w:r>
      <w:r w:rsidRPr="0014121A">
        <w:rPr>
          <w:lang w:val="en-GB"/>
        </w:rPr>
        <w:t>481-86.</w:t>
      </w:r>
    </w:p>
    <w:p w:rsidR="0014121A" w:rsidRPr="0014121A" w:rsidRDefault="0014121A" w:rsidP="002C4E2A">
      <w:pPr>
        <w:rPr>
          <w:lang w:val="en-GB"/>
        </w:rPr>
      </w:pPr>
    </w:p>
    <w:p w:rsidR="0014121A" w:rsidRPr="0014121A" w:rsidRDefault="0014121A" w:rsidP="002C4E2A">
      <w:pPr>
        <w:rPr>
          <w:lang w:val="en-GB"/>
        </w:rPr>
      </w:pPr>
      <w:r w:rsidRPr="0014121A">
        <w:rPr>
          <w:lang w:val="en-GB"/>
        </w:rPr>
        <w:t xml:space="preserve">Parameswaran P, Jalili R, Tao L, Shokralla S, Gharizadeh B, Ronaghi M, Fire AZ (2007) A pyrosequencing-tailored nucleotide barcode </w:t>
      </w:r>
      <w:r w:rsidR="00AB4263">
        <w:rPr>
          <w:lang w:val="en-GB"/>
        </w:rPr>
        <w:t>design unveils opportunities fo</w:t>
      </w:r>
      <w:r w:rsidRPr="0014121A">
        <w:rPr>
          <w:lang w:val="en-GB"/>
        </w:rPr>
        <w:t>r</w:t>
      </w:r>
      <w:r w:rsidR="00AB4263">
        <w:rPr>
          <w:lang w:val="en-GB"/>
        </w:rPr>
        <w:t xml:space="preserve"> </w:t>
      </w:r>
      <w:r w:rsidRPr="0014121A">
        <w:rPr>
          <w:lang w:val="en-GB"/>
        </w:rPr>
        <w:t>large-scale sample multiplexing. Nucleic Acids Res</w:t>
      </w:r>
      <w:r w:rsidR="00F70E5A">
        <w:rPr>
          <w:lang w:val="en-GB"/>
        </w:rPr>
        <w:t>earch</w:t>
      </w:r>
      <w:r w:rsidRPr="0014121A">
        <w:rPr>
          <w:lang w:val="en-GB"/>
        </w:rPr>
        <w:t xml:space="preserve"> 35</w:t>
      </w:r>
      <w:r w:rsidR="00F70E5A">
        <w:rPr>
          <w:lang w:val="en-GB"/>
        </w:rPr>
        <w:t>:e130</w:t>
      </w:r>
      <w:r w:rsidRPr="0014121A">
        <w:rPr>
          <w:lang w:val="en-GB"/>
        </w:rPr>
        <w:t>.</w:t>
      </w:r>
    </w:p>
    <w:p w:rsidR="0014121A" w:rsidRPr="0014121A" w:rsidRDefault="0014121A" w:rsidP="002C4E2A">
      <w:pPr>
        <w:rPr>
          <w:lang w:val="en-GB"/>
        </w:rPr>
      </w:pPr>
    </w:p>
    <w:p w:rsidR="0014121A" w:rsidRDefault="0014121A" w:rsidP="002C4E2A">
      <w:pPr>
        <w:rPr>
          <w:lang w:val="en-GB"/>
        </w:rPr>
      </w:pPr>
      <w:r w:rsidRPr="0014121A">
        <w:rPr>
          <w:lang w:val="en-GB"/>
        </w:rPr>
        <w:t xml:space="preserve">Parikh HI, Koparde VN, Bradley SP, Buck GA, Sheth NU (2016) MeFiT: merging and filtering tool for illumina paired-end reads for 16S rRNA amplicon sequencing. BMC </w:t>
      </w:r>
      <w:r w:rsidR="00D91AC8">
        <w:rPr>
          <w:lang w:val="en-GB"/>
        </w:rPr>
        <w:t>B</w:t>
      </w:r>
      <w:r w:rsidRPr="0014121A">
        <w:rPr>
          <w:lang w:val="en-GB"/>
        </w:rPr>
        <w:t>ioinformatics 17:491.</w:t>
      </w:r>
    </w:p>
    <w:p w:rsidR="00E06F57" w:rsidRDefault="00E06F57" w:rsidP="002C4E2A">
      <w:pPr>
        <w:rPr>
          <w:lang w:val="en-GB"/>
        </w:rPr>
      </w:pPr>
    </w:p>
    <w:p w:rsidR="00E06F57" w:rsidRDefault="00E06F57" w:rsidP="002C4E2A">
      <w:pPr>
        <w:rPr>
          <w:lang w:val="en-GB"/>
        </w:rPr>
      </w:pPr>
      <w:r w:rsidRPr="00E06F57">
        <w:rPr>
          <w:lang w:val="en-GB"/>
        </w:rPr>
        <w:lastRenderedPageBreak/>
        <w:t>Perkins TT, Tay CY, Thirriot F, Marshall B (2013) Choosing a benchtop sequencing machine to characterise Helicobacter pylori genomes. PloS One 8:e67539.</w:t>
      </w:r>
    </w:p>
    <w:p w:rsidR="007D611A" w:rsidRDefault="007D611A" w:rsidP="002C4E2A">
      <w:pPr>
        <w:rPr>
          <w:lang w:val="en-GB"/>
        </w:rPr>
      </w:pPr>
    </w:p>
    <w:p w:rsidR="007D611A" w:rsidRPr="0014121A" w:rsidRDefault="007D611A" w:rsidP="002C4E2A">
      <w:pPr>
        <w:rPr>
          <w:lang w:val="en-GB"/>
        </w:rPr>
      </w:pPr>
      <w:r w:rsidRPr="007D611A">
        <w:rPr>
          <w:lang w:val="en-GB"/>
        </w:rPr>
        <w:t>Picher ÁJ, Budeus B, Wafzig O, Krüger C, García-Gómez S, Martínez-Jiménez MI, Díaz-Talavera A, Weber D, Blanco L, Schneider A (2016) TruePrime is a novel method for whole-genome amplification from single cells based on TthPrimPol. Nature Communications 7:13296.</w:t>
      </w:r>
    </w:p>
    <w:p w:rsidR="0014121A" w:rsidRPr="0014121A" w:rsidRDefault="0014121A" w:rsidP="002C4E2A">
      <w:pPr>
        <w:rPr>
          <w:lang w:val="en-GB"/>
        </w:rPr>
      </w:pPr>
    </w:p>
    <w:p w:rsidR="0014121A" w:rsidRPr="0014121A" w:rsidRDefault="0014121A" w:rsidP="002C4E2A">
      <w:pPr>
        <w:rPr>
          <w:lang w:val="en-GB"/>
        </w:rPr>
      </w:pPr>
      <w:r w:rsidRPr="0014121A">
        <w:rPr>
          <w:lang w:val="en-GB"/>
        </w:rPr>
        <w:t>Pozo MJ, Lopez-Raez JA, Azcon-Aguilar C, Garcia-Garrido JM (2015) Phytohormones as integrators of environmental signals in the regulation of mycorrhizal symbioses. New Phytologist 205:1431-1436.</w:t>
      </w:r>
    </w:p>
    <w:p w:rsidR="0014121A" w:rsidRDefault="0014121A" w:rsidP="002C4E2A">
      <w:pPr>
        <w:rPr>
          <w:lang w:val="en-GB"/>
        </w:rPr>
      </w:pPr>
    </w:p>
    <w:p w:rsidR="00AD1F07" w:rsidRDefault="00AD1F07" w:rsidP="002C4E2A">
      <w:pPr>
        <w:rPr>
          <w:lang w:val="en-GB"/>
        </w:rPr>
      </w:pPr>
      <w:r w:rsidRPr="00AD1F07">
        <w:rPr>
          <w:lang w:val="en-GB"/>
        </w:rPr>
        <w:t>Randle-Boggis RJ, Helgason T, Sapp M, Ashton PD (2016) Evaluating techniques for metagenome annotation using simulated sequence data. FEMS Microbiology Ecology 92:fiw095.</w:t>
      </w:r>
    </w:p>
    <w:p w:rsidR="00AD1F07" w:rsidRPr="0014121A" w:rsidRDefault="00AD1F07" w:rsidP="002C4E2A">
      <w:pPr>
        <w:rPr>
          <w:lang w:val="en-GB"/>
        </w:rPr>
      </w:pPr>
    </w:p>
    <w:p w:rsidR="0014121A" w:rsidRPr="0014121A" w:rsidRDefault="0014121A" w:rsidP="002C4E2A">
      <w:pPr>
        <w:rPr>
          <w:lang w:val="en-GB"/>
        </w:rPr>
      </w:pPr>
      <w:r w:rsidRPr="0014121A">
        <w:rPr>
          <w:lang w:val="en-GB"/>
        </w:rPr>
        <w:t>Reeder J, Knight R (2009) The 'rare biosphere': a r</w:t>
      </w:r>
      <w:r w:rsidR="000F7E8B">
        <w:rPr>
          <w:lang w:val="en-GB"/>
        </w:rPr>
        <w:t>eality check. Nature Methods 6:</w:t>
      </w:r>
      <w:r w:rsidRPr="0014121A">
        <w:rPr>
          <w:lang w:val="en-GB"/>
        </w:rPr>
        <w:t>636-637.</w:t>
      </w:r>
    </w:p>
    <w:p w:rsidR="0014121A" w:rsidRPr="0014121A" w:rsidRDefault="0014121A" w:rsidP="002C4E2A">
      <w:pPr>
        <w:rPr>
          <w:lang w:val="en-GB"/>
        </w:rPr>
      </w:pPr>
    </w:p>
    <w:p w:rsidR="0014121A" w:rsidRPr="0014121A" w:rsidRDefault="0014121A" w:rsidP="002C4E2A">
      <w:pPr>
        <w:rPr>
          <w:lang w:val="en-GB"/>
        </w:rPr>
      </w:pPr>
      <w:r w:rsidRPr="0014121A">
        <w:rPr>
          <w:lang w:val="en-GB"/>
        </w:rPr>
        <w:t>Rost B (1999) Twilight zone of protein sequence alig</w:t>
      </w:r>
      <w:r w:rsidR="000F7E8B">
        <w:rPr>
          <w:lang w:val="en-GB"/>
        </w:rPr>
        <w:t>nments. Protein Engineering</w:t>
      </w:r>
      <w:r w:rsidR="002A6DFE">
        <w:rPr>
          <w:lang w:val="en-GB"/>
        </w:rPr>
        <w:t>,</w:t>
      </w:r>
      <w:r w:rsidR="000F7E8B">
        <w:rPr>
          <w:lang w:val="en-GB"/>
        </w:rPr>
        <w:t xml:space="preserve"> Des</w:t>
      </w:r>
      <w:r w:rsidR="002A6DFE">
        <w:rPr>
          <w:lang w:val="en-GB"/>
        </w:rPr>
        <w:t>ign and</w:t>
      </w:r>
      <w:r w:rsidR="000F7E8B">
        <w:rPr>
          <w:lang w:val="en-GB"/>
        </w:rPr>
        <w:t xml:space="preserve"> Sel</w:t>
      </w:r>
      <w:r w:rsidR="002A6DFE">
        <w:rPr>
          <w:lang w:val="en-GB"/>
        </w:rPr>
        <w:t>ection</w:t>
      </w:r>
      <w:r w:rsidR="000F7E8B">
        <w:rPr>
          <w:lang w:val="en-GB"/>
        </w:rPr>
        <w:t xml:space="preserve"> 12</w:t>
      </w:r>
      <w:r w:rsidRPr="0014121A">
        <w:rPr>
          <w:lang w:val="en-GB"/>
        </w:rPr>
        <w:t>:85-94.</w:t>
      </w:r>
    </w:p>
    <w:p w:rsidR="0014121A" w:rsidRPr="0014121A" w:rsidRDefault="0014121A" w:rsidP="002C4E2A">
      <w:pPr>
        <w:rPr>
          <w:lang w:val="en-GB"/>
        </w:rPr>
      </w:pPr>
    </w:p>
    <w:p w:rsidR="0014121A" w:rsidRDefault="0014121A" w:rsidP="002C4E2A">
      <w:pPr>
        <w:rPr>
          <w:lang w:val="en-GB"/>
        </w:rPr>
      </w:pPr>
      <w:r w:rsidRPr="0014121A">
        <w:rPr>
          <w:lang w:val="en-GB"/>
        </w:rPr>
        <w:t>Saks Ü, Davison J, Öpik M, Vasar M, Moora M, Zobel M (2014) Root-colonizing and soil-borne communities of arbuscular mycorrhizal fungi in a temperate forest understory. Botany 92:277-285.</w:t>
      </w:r>
    </w:p>
    <w:p w:rsidR="002A1584" w:rsidRDefault="002A1584" w:rsidP="002C4E2A">
      <w:pPr>
        <w:rPr>
          <w:lang w:val="en-GB"/>
        </w:rPr>
      </w:pPr>
    </w:p>
    <w:p w:rsidR="002A1584" w:rsidRDefault="002A1584" w:rsidP="002C4E2A">
      <w:pPr>
        <w:pStyle w:val="Response"/>
        <w:spacing w:line="240" w:lineRule="auto"/>
      </w:pPr>
      <w:r w:rsidRPr="002A1584">
        <w:t>Salvioli A, Ghignone S, Novero M, Navazio L, Bagnaresi P, Bonfante P (2016) Symbiosis with an endobacterium increases the fitness of a mycorrhizal fungus, raising its bi</w:t>
      </w:r>
      <w:r w:rsidR="004B7E25">
        <w:t>oenergetic potential. The ISME J</w:t>
      </w:r>
      <w:r w:rsidRPr="002A1584">
        <w:t>ournal 10:130-144.</w:t>
      </w:r>
    </w:p>
    <w:p w:rsidR="00243566" w:rsidRPr="00FD7387" w:rsidRDefault="00243566" w:rsidP="002C4E2A">
      <w:pPr>
        <w:rPr>
          <w:lang w:val="et-EE"/>
        </w:rPr>
      </w:pPr>
    </w:p>
    <w:p w:rsidR="00243566" w:rsidRPr="0014121A" w:rsidRDefault="00243566" w:rsidP="002C4E2A">
      <w:pPr>
        <w:rPr>
          <w:lang w:val="en-GB"/>
        </w:rPr>
      </w:pPr>
      <w:r w:rsidRPr="00FD7387">
        <w:rPr>
          <w:lang w:val="et-EE"/>
        </w:rPr>
        <w:t xml:space="preserve">Santamaria M, Fosso B, Consiglio A, De Caro G, Grillo G, Licciulli F, Liuni S, Marzano M, Alonso-Alemany D, Valiente G, Pesole G (2012) Reference databases for taxonomic assignment in metagenomics. </w:t>
      </w:r>
      <w:r w:rsidRPr="00243566">
        <w:rPr>
          <w:lang w:val="en-GB"/>
        </w:rPr>
        <w:t>Briefings in Bioinformatics 13:682-695.</w:t>
      </w:r>
    </w:p>
    <w:p w:rsidR="0014121A" w:rsidRPr="0014121A" w:rsidRDefault="0014121A" w:rsidP="002C4E2A">
      <w:pPr>
        <w:rPr>
          <w:lang w:val="en-GB"/>
        </w:rPr>
      </w:pPr>
    </w:p>
    <w:p w:rsidR="0014121A" w:rsidRPr="0014121A" w:rsidRDefault="0014121A" w:rsidP="002C4E2A">
      <w:pPr>
        <w:rPr>
          <w:lang w:val="en-GB"/>
        </w:rPr>
      </w:pPr>
      <w:r w:rsidRPr="0014121A">
        <w:rPr>
          <w:lang w:val="en-GB"/>
        </w:rPr>
        <w:t>Schlaeppi K, Bender SF, Mascher F, Russo G, Patrignani A, Camenzind T, Hemple S, Rilling MC, van der Heijden MGA (2016) High-resolution community profiling of arbuscular mycorrhi</w:t>
      </w:r>
      <w:r w:rsidR="001D2679">
        <w:rPr>
          <w:lang w:val="en-GB"/>
        </w:rPr>
        <w:t>zal fungi. New Phytologist 212</w:t>
      </w:r>
      <w:r w:rsidRPr="0014121A">
        <w:rPr>
          <w:lang w:val="en-GB"/>
        </w:rPr>
        <w:t>:780-791.</w:t>
      </w:r>
    </w:p>
    <w:p w:rsidR="0014121A" w:rsidRDefault="0014121A" w:rsidP="002C4E2A">
      <w:pPr>
        <w:rPr>
          <w:lang w:val="en-GB"/>
        </w:rPr>
      </w:pPr>
    </w:p>
    <w:p w:rsidR="00C85B5B" w:rsidRDefault="00C85B5B" w:rsidP="002C4E2A">
      <w:pPr>
        <w:rPr>
          <w:lang w:val="en-GB"/>
        </w:rPr>
      </w:pPr>
      <w:r w:rsidRPr="00C85B5B">
        <w:rPr>
          <w:lang w:val="en-GB"/>
        </w:rPr>
        <w:t>Schmidt PA, Bálint M, Greshake B, Bandow C, Römbke J, Schmitt I (2013) Illumina metabarcoding of a soil fungal community. Soil Biology and Biochemistry 65:128-132.</w:t>
      </w:r>
    </w:p>
    <w:p w:rsidR="00C85B5B" w:rsidRPr="0014121A" w:rsidRDefault="00C85B5B" w:rsidP="002C4E2A">
      <w:pPr>
        <w:rPr>
          <w:lang w:val="en-GB"/>
        </w:rPr>
      </w:pPr>
    </w:p>
    <w:p w:rsidR="0014121A" w:rsidRPr="0014121A" w:rsidRDefault="0014121A" w:rsidP="002C4E2A">
      <w:pPr>
        <w:rPr>
          <w:lang w:val="en-GB"/>
        </w:rPr>
      </w:pPr>
      <w:r w:rsidRPr="0014121A">
        <w:rPr>
          <w:lang w:val="en-GB"/>
        </w:rPr>
        <w:t>Shokralla S, Spall JL, Gibson JF, Hajibabaei M (2012) Next-generation sequencing technologies for environmental DNA research. Molecular Ecology 21:1794-1805.</w:t>
      </w:r>
    </w:p>
    <w:p w:rsidR="0014121A" w:rsidRPr="0014121A" w:rsidRDefault="0014121A" w:rsidP="002C4E2A">
      <w:pPr>
        <w:rPr>
          <w:lang w:val="en-GB"/>
        </w:rPr>
      </w:pPr>
    </w:p>
    <w:p w:rsidR="0014121A" w:rsidRPr="0014121A" w:rsidRDefault="0014121A" w:rsidP="002C4E2A">
      <w:pPr>
        <w:rPr>
          <w:lang w:val="en-GB"/>
        </w:rPr>
      </w:pPr>
      <w:r w:rsidRPr="0014121A">
        <w:rPr>
          <w:lang w:val="en-GB"/>
        </w:rPr>
        <w:t>Simon L, Lalonde M, Bruns TD (1992) Specific amplification of 18S fungal ribosomal genes from vesicular-arbuscular endomycorrhizal fungi colonizing roots. Applied and Environmental Microbiology 58:291</w:t>
      </w:r>
      <w:r w:rsidR="007C791C">
        <w:rPr>
          <w:lang w:val="en-GB"/>
        </w:rPr>
        <w:t>-</w:t>
      </w:r>
      <w:r w:rsidRPr="0014121A">
        <w:rPr>
          <w:lang w:val="en-GB"/>
        </w:rPr>
        <w:t>295.</w:t>
      </w:r>
    </w:p>
    <w:p w:rsidR="0014121A" w:rsidRPr="0014121A" w:rsidRDefault="0014121A" w:rsidP="002C4E2A">
      <w:pPr>
        <w:rPr>
          <w:lang w:val="en-GB"/>
        </w:rPr>
      </w:pPr>
    </w:p>
    <w:p w:rsidR="0014121A" w:rsidRPr="0014121A" w:rsidRDefault="0014121A" w:rsidP="002C4E2A">
      <w:pPr>
        <w:rPr>
          <w:lang w:val="en-GB"/>
        </w:rPr>
      </w:pPr>
      <w:r w:rsidRPr="0014121A">
        <w:rPr>
          <w:lang w:val="en-GB"/>
        </w:rPr>
        <w:t>Smith SE, Read DJ (2008) Mycorrhizal symbiosis. Academic Press. Amsterdam.</w:t>
      </w:r>
    </w:p>
    <w:p w:rsidR="0014121A" w:rsidRPr="0014121A" w:rsidRDefault="0014121A" w:rsidP="002C4E2A">
      <w:pPr>
        <w:rPr>
          <w:lang w:val="en-GB"/>
        </w:rPr>
      </w:pPr>
    </w:p>
    <w:p w:rsidR="0014121A" w:rsidRDefault="0014121A" w:rsidP="002C4E2A">
      <w:pPr>
        <w:rPr>
          <w:lang w:val="en-GB"/>
        </w:rPr>
      </w:pPr>
      <w:r w:rsidRPr="0014121A">
        <w:rPr>
          <w:lang w:val="en-GB"/>
        </w:rPr>
        <w:lastRenderedPageBreak/>
        <w:t>Spatafora JW, Chang Y, Benny GL, Lazarus KL, Smith ME, Berbee ML, Bonito G, Corradi N, Grigoriev I, Gryganskyi A, James TY, O'Donnell K, Roberson RW, Taylor TN, Uehling J, Vilgalys R, White MM, Stajich JE (2016) A phylum-level phylogenetic classification of zygomycete fungi based on genome-scale data. Mycologia 108:1028-1046.</w:t>
      </w:r>
      <w:r w:rsidR="00F81F1A" w:rsidRPr="0014121A">
        <w:rPr>
          <w:lang w:val="en-GB"/>
        </w:rPr>
        <w:t xml:space="preserve"> </w:t>
      </w:r>
    </w:p>
    <w:p w:rsidR="00411E8A" w:rsidRDefault="00411E8A" w:rsidP="002C4E2A">
      <w:pPr>
        <w:rPr>
          <w:lang w:val="en-GB"/>
        </w:rPr>
      </w:pPr>
    </w:p>
    <w:p w:rsidR="00411E8A" w:rsidRPr="0014121A" w:rsidRDefault="00411E8A" w:rsidP="002C4E2A">
      <w:pPr>
        <w:rPr>
          <w:lang w:val="en-GB"/>
        </w:rPr>
      </w:pPr>
      <w:r w:rsidRPr="00411E8A">
        <w:rPr>
          <w:lang w:val="en-GB"/>
        </w:rPr>
        <w:t xml:space="preserve">Tang N, San Clemente H, </w:t>
      </w:r>
      <w:r>
        <w:rPr>
          <w:lang w:val="en-GB"/>
        </w:rPr>
        <w:t>Roy S, Bécard G, Zhao B, Roux C (2016)</w:t>
      </w:r>
      <w:r w:rsidRPr="00411E8A">
        <w:rPr>
          <w:lang w:val="en-GB"/>
        </w:rPr>
        <w:t xml:space="preserve"> A survey of the gene repertoire of Gigaspora rosea unravels conserved features among Glomeromycota for ob</w:t>
      </w:r>
      <w:r>
        <w:rPr>
          <w:lang w:val="en-GB"/>
        </w:rPr>
        <w:t>ligate biotrophy. Frontiers in M</w:t>
      </w:r>
      <w:r w:rsidRPr="00411E8A">
        <w:rPr>
          <w:lang w:val="en-GB"/>
        </w:rPr>
        <w:t>icrobiology</w:t>
      </w:r>
      <w:r>
        <w:rPr>
          <w:lang w:val="en-GB"/>
        </w:rPr>
        <w:t xml:space="preserve"> 7:233.</w:t>
      </w:r>
    </w:p>
    <w:p w:rsidR="0014121A" w:rsidRPr="0014121A" w:rsidRDefault="0014121A" w:rsidP="002C4E2A">
      <w:pPr>
        <w:rPr>
          <w:lang w:val="en-GB"/>
        </w:rPr>
      </w:pPr>
    </w:p>
    <w:p w:rsidR="0014121A" w:rsidRPr="0014121A" w:rsidRDefault="0014121A" w:rsidP="002C4E2A">
      <w:pPr>
        <w:rPr>
          <w:lang w:val="en-GB"/>
        </w:rPr>
      </w:pPr>
      <w:r w:rsidRPr="0014121A">
        <w:rPr>
          <w:lang w:val="en-GB"/>
        </w:rPr>
        <w:t>Taylor JD, Helgason T, Öpik M (2017) Molecular community ecology of arbuscular mycorrhizal fungi. In: Dighton J, White JF, eds. The Fungal Community: Its Organization and Role in the Ecosystem, 4th edn. CRC Press, 00.</w:t>
      </w:r>
    </w:p>
    <w:p w:rsidR="0014121A" w:rsidRPr="0014121A" w:rsidRDefault="0014121A" w:rsidP="002C4E2A">
      <w:pPr>
        <w:rPr>
          <w:lang w:val="en-GB"/>
        </w:rPr>
      </w:pPr>
    </w:p>
    <w:p w:rsidR="0014121A" w:rsidRPr="0014121A" w:rsidRDefault="0014121A" w:rsidP="002C4E2A">
      <w:pPr>
        <w:rPr>
          <w:lang w:val="en-GB"/>
        </w:rPr>
      </w:pPr>
      <w:r w:rsidRPr="0014121A">
        <w:rPr>
          <w:lang w:val="en-GB"/>
        </w:rPr>
        <w:t>Tedersoo L, Anslan S, Bahram M, Põlme S, Riit T, Liiv I, Kõljalg U, Kisand V, Nilsson H, Hildebrand F, Bork P, Abarenkov K (2015) Shotgun metagenomes and multiple primer pair-barcode combinations of amplicons reveal biases in metabarcoding of fungi. MycoKeys 10:1-43.</w:t>
      </w:r>
    </w:p>
    <w:p w:rsidR="0014121A" w:rsidRPr="0014121A" w:rsidRDefault="0014121A" w:rsidP="002C4E2A">
      <w:pPr>
        <w:rPr>
          <w:lang w:val="en-GB"/>
        </w:rPr>
      </w:pPr>
    </w:p>
    <w:p w:rsidR="0014121A" w:rsidRDefault="0014121A" w:rsidP="002C4E2A">
      <w:pPr>
        <w:rPr>
          <w:lang w:val="en-GB"/>
        </w:rPr>
      </w:pPr>
      <w:r w:rsidRPr="0014121A">
        <w:rPr>
          <w:lang w:val="en-GB"/>
        </w:rPr>
        <w:t>Tedersoo L, Nilsson RH, Abarenkov K, Jairus T, Sadam A, Saar I, Bahram M, Bechem E, Chuyong G and Kõljalg U (2010) 454 Pyrosequencing and Sanger sequencing of tropical mycorrhizal fungi provide similar results but reveal substantial methodological biases. New</w:t>
      </w:r>
      <w:r w:rsidR="00A77511">
        <w:rPr>
          <w:lang w:val="en-GB"/>
        </w:rPr>
        <w:t xml:space="preserve"> Phytologist 188:</w:t>
      </w:r>
      <w:r w:rsidRPr="0014121A">
        <w:rPr>
          <w:lang w:val="en-GB"/>
        </w:rPr>
        <w:t>291</w:t>
      </w:r>
      <w:r w:rsidR="007C791C">
        <w:rPr>
          <w:lang w:val="en-GB"/>
        </w:rPr>
        <w:t>-</w:t>
      </w:r>
      <w:r w:rsidRPr="0014121A">
        <w:rPr>
          <w:lang w:val="en-GB"/>
        </w:rPr>
        <w:t>301.</w:t>
      </w:r>
    </w:p>
    <w:p w:rsidR="00897334" w:rsidRDefault="00897334" w:rsidP="002C4E2A">
      <w:pPr>
        <w:rPr>
          <w:lang w:val="en-GB"/>
        </w:rPr>
      </w:pPr>
    </w:p>
    <w:p w:rsidR="00897334" w:rsidRDefault="00897334" w:rsidP="002C4E2A">
      <w:pPr>
        <w:rPr>
          <w:lang w:val="en-GB"/>
        </w:rPr>
      </w:pPr>
      <w:r w:rsidRPr="00897334">
        <w:rPr>
          <w:lang w:val="en-GB"/>
        </w:rPr>
        <w:t>Ter-Hovhannisyan V, Lomsadze A, Chernoff YO, Borodovsky M</w:t>
      </w:r>
      <w:r>
        <w:rPr>
          <w:lang w:val="en-GB"/>
        </w:rPr>
        <w:t xml:space="preserve"> (2008)</w:t>
      </w:r>
      <w:r w:rsidRPr="00897334">
        <w:rPr>
          <w:lang w:val="en-GB"/>
        </w:rPr>
        <w:t xml:space="preserve"> Gene prediction in novel fungal genomes using an ab initio algorithm with unsupervised training. Genome </w:t>
      </w:r>
      <w:r>
        <w:rPr>
          <w:lang w:val="en-GB"/>
        </w:rPr>
        <w:t>R</w:t>
      </w:r>
      <w:r w:rsidRPr="00897334">
        <w:rPr>
          <w:lang w:val="en-GB"/>
        </w:rPr>
        <w:t>esearch</w:t>
      </w:r>
      <w:r>
        <w:rPr>
          <w:lang w:val="en-GB"/>
        </w:rPr>
        <w:t xml:space="preserve"> 18:1979-1990.</w:t>
      </w:r>
    </w:p>
    <w:p w:rsidR="00FF56A7" w:rsidRDefault="00FF56A7" w:rsidP="002C4E2A">
      <w:pPr>
        <w:rPr>
          <w:lang w:val="en-GB"/>
        </w:rPr>
      </w:pPr>
    </w:p>
    <w:p w:rsidR="00FF56A7" w:rsidRDefault="00FF56A7" w:rsidP="00FF56A7">
      <w:pPr>
        <w:pStyle w:val="Response"/>
        <w:spacing w:line="240" w:lineRule="auto"/>
      </w:pPr>
      <w:r w:rsidRPr="00FF56A7">
        <w:t>Thiéry O, Vasar M, Jairus T, Davison J, Roux C, Kivistik PA, Metspalu A, Milani L, Saks Ü, Moora M, Zobel M (2016) Sequence variation in nuclear ribosomal small subunit, internal transcribed spacer and large subunit regions of Rhizophagus irregularis and Gigaspora margarita is high and isolate</w:t>
      </w:r>
      <w:r w:rsidRPr="00FF56A7">
        <w:rPr>
          <w:rFonts w:ascii="Cambria Math" w:hAnsi="Cambria Math" w:cs="Cambria Math"/>
        </w:rPr>
        <w:t>‐</w:t>
      </w:r>
      <w:r w:rsidRPr="00FF56A7">
        <w:rPr>
          <w:rFonts w:cs="Times New Roman"/>
        </w:rPr>
        <w:t>dependent. Molecular Ecology 25:2816-2832.</w:t>
      </w:r>
    </w:p>
    <w:p w:rsidR="00AD1F07" w:rsidRDefault="00AD1F07" w:rsidP="002C4E2A">
      <w:pPr>
        <w:rPr>
          <w:lang w:val="en-GB"/>
        </w:rPr>
      </w:pPr>
    </w:p>
    <w:p w:rsidR="00AD1F07" w:rsidRPr="0014121A" w:rsidRDefault="00AD1F07" w:rsidP="002C4E2A">
      <w:pPr>
        <w:rPr>
          <w:lang w:val="en-GB"/>
        </w:rPr>
      </w:pPr>
      <w:r w:rsidRPr="00AD1F07">
        <w:rPr>
          <w:lang w:val="en-GB"/>
        </w:rPr>
        <w:t>Thomas T, Gilbert J, Meyer F (2012) Metagenomics-a guide from sampling to data analysis. Microbial Informatics and Experimentation 2:3.</w:t>
      </w:r>
    </w:p>
    <w:p w:rsidR="0014121A" w:rsidRPr="0014121A" w:rsidRDefault="0014121A" w:rsidP="002C4E2A">
      <w:pPr>
        <w:rPr>
          <w:lang w:val="en-GB"/>
        </w:rPr>
      </w:pPr>
    </w:p>
    <w:p w:rsidR="0014121A" w:rsidRPr="0014121A" w:rsidRDefault="0014121A" w:rsidP="002C4E2A">
      <w:pPr>
        <w:rPr>
          <w:lang w:val="en-GB"/>
        </w:rPr>
      </w:pPr>
      <w:r w:rsidRPr="0014121A">
        <w:rPr>
          <w:lang w:val="en-GB"/>
        </w:rPr>
        <w:t xml:space="preserve">Tisserant E, Malbreil M, Kuo A, Kohler A, Symeonidi A, Balestrini R, Charron P, Duensing N, Frei dit Frey N, Gianinazzi-Pearson V, Gilbert LB, Handa Y, Herr JR, Hijri M, Koul R, Kawaguchi M, Krajinski F, Lammers PJ, Masclaux FG, Murat C, Morin E, Ndikumana S, Pagni M, Petitpierre D, Requena N, Rosikiewicz P, Riley R, Saito K, San Clemente H, Shapiro H, van Tuinen D, Becard G, Bonfante P, Paszkowski U, Shachar-Hill Y, Tuskan GA, Young JPW, Sanders IR, Henrissat B, Rensing SA, Grigoriev IV, Corradi N, Roux C, Martin F (2013) Genome of an arbuscular mycorrhizal fungus provides insight into the oldest plant symbiosis. </w:t>
      </w:r>
      <w:r w:rsidR="001252B0" w:rsidRPr="001252B0">
        <w:rPr>
          <w:lang w:val="en-GB"/>
        </w:rPr>
        <w:t xml:space="preserve">Proc Natl Acad Sci USA </w:t>
      </w:r>
      <w:r w:rsidRPr="0014121A">
        <w:rPr>
          <w:lang w:val="en-GB"/>
        </w:rPr>
        <w:t>110:20117-20122.</w:t>
      </w:r>
    </w:p>
    <w:p w:rsidR="0014121A" w:rsidRPr="0014121A" w:rsidRDefault="0014121A" w:rsidP="002C4E2A">
      <w:pPr>
        <w:rPr>
          <w:lang w:val="en-GB"/>
        </w:rPr>
      </w:pPr>
    </w:p>
    <w:p w:rsidR="0014121A" w:rsidRDefault="0014121A" w:rsidP="002C4E2A">
      <w:pPr>
        <w:rPr>
          <w:lang w:val="en-GB"/>
        </w:rPr>
      </w:pPr>
      <w:r w:rsidRPr="0014121A">
        <w:rPr>
          <w:lang w:val="en-GB"/>
        </w:rPr>
        <w:t>Treseder KK (2016) Model behavior of arbuscular mycorrhizal fungi: Predicting soil carbon dynamics under climate change. Botany 94:417-423.</w:t>
      </w:r>
    </w:p>
    <w:p w:rsidR="00834550" w:rsidRDefault="00834550" w:rsidP="002C4E2A">
      <w:pPr>
        <w:rPr>
          <w:lang w:val="en-GB"/>
        </w:rPr>
      </w:pPr>
    </w:p>
    <w:p w:rsidR="00834550" w:rsidRPr="0014121A" w:rsidRDefault="00834550" w:rsidP="002C4E2A">
      <w:pPr>
        <w:rPr>
          <w:lang w:val="en-GB"/>
        </w:rPr>
      </w:pPr>
      <w:r w:rsidRPr="0014121A">
        <w:rPr>
          <w:lang w:val="en-GB"/>
        </w:rPr>
        <w:t xml:space="preserve">van der Heijden MGA, de Bruin S, Luckerhoff L, van Logtestijn RSP, Schlaeppi K (2015) A widespread plant-fungal-bacterial symbiosis promotes plant biodiversity, plant nutrition and seedling recruitment. </w:t>
      </w:r>
      <w:r w:rsidR="00BC4740">
        <w:rPr>
          <w:lang w:val="en-GB"/>
        </w:rPr>
        <w:t>The ISME Journal</w:t>
      </w:r>
      <w:r w:rsidRPr="0014121A">
        <w:rPr>
          <w:lang w:val="en-GB"/>
        </w:rPr>
        <w:t xml:space="preserve"> 10:389-399.</w:t>
      </w:r>
    </w:p>
    <w:p w:rsidR="000D785D" w:rsidRDefault="000D785D" w:rsidP="002C4E2A">
      <w:pPr>
        <w:rPr>
          <w:lang w:val="en-GB"/>
        </w:rPr>
      </w:pPr>
    </w:p>
    <w:p w:rsidR="0014121A" w:rsidRPr="0014121A" w:rsidRDefault="0014121A" w:rsidP="002C4E2A">
      <w:pPr>
        <w:rPr>
          <w:lang w:val="en-GB"/>
        </w:rPr>
      </w:pPr>
      <w:r w:rsidRPr="0014121A">
        <w:rPr>
          <w:lang w:val="en-GB"/>
        </w:rPr>
        <w:t xml:space="preserve">Wang C, White PJ, Li CJ (2016) Colonization and community structure of arbuscular mycorrhizal fungi in maize roots at different depths in the soil profile respond differently to phosphorus inputs on a long-term experimental site. Mycorrhiza </w:t>
      </w:r>
      <w:r w:rsidR="00FA45AB">
        <w:rPr>
          <w:lang w:val="en-GB"/>
        </w:rPr>
        <w:t>27:</w:t>
      </w:r>
      <w:r w:rsidR="00FA45AB" w:rsidRPr="00FA45AB">
        <w:t xml:space="preserve"> </w:t>
      </w:r>
      <w:r w:rsidR="00FA45AB" w:rsidRPr="00FA45AB">
        <w:rPr>
          <w:lang w:val="en-GB"/>
        </w:rPr>
        <w:t>369</w:t>
      </w:r>
      <w:r w:rsidR="007C791C">
        <w:rPr>
          <w:lang w:val="en-GB"/>
        </w:rPr>
        <w:t>-</w:t>
      </w:r>
      <w:r w:rsidR="00FA45AB" w:rsidRPr="00FA45AB">
        <w:rPr>
          <w:lang w:val="en-GB"/>
        </w:rPr>
        <w:t>381</w:t>
      </w:r>
      <w:r w:rsidR="00FA45AB">
        <w:rPr>
          <w:lang w:val="en-GB"/>
        </w:rPr>
        <w:t>.</w:t>
      </w:r>
    </w:p>
    <w:p w:rsidR="0014121A" w:rsidRPr="0014121A" w:rsidRDefault="0014121A" w:rsidP="002C4E2A">
      <w:pPr>
        <w:rPr>
          <w:lang w:val="en-GB"/>
        </w:rPr>
      </w:pPr>
    </w:p>
    <w:p w:rsidR="0014121A" w:rsidRDefault="0014121A" w:rsidP="002C4E2A">
      <w:pPr>
        <w:rPr>
          <w:lang w:val="en-GB"/>
        </w:rPr>
      </w:pPr>
      <w:r w:rsidRPr="0014121A">
        <w:rPr>
          <w:lang w:val="en-GB"/>
        </w:rPr>
        <w:t>Xu TL, Veresoglou SD, Chen YL, Rillig MC, Xiang D, Ondrej D, Hao ZP, Liu L, Deng Y, Hu YJ, Chen WP, Wang JT, He JZ, Chen BD (2016) Plant community, geographic distance and abiotic factors play different roles in predicting AMF biogeography at the regional scale in northern China. Enviro</w:t>
      </w:r>
      <w:r w:rsidR="000D785D">
        <w:rPr>
          <w:lang w:val="en-GB"/>
        </w:rPr>
        <w:t>nmental Microbiology Reports 8:</w:t>
      </w:r>
      <w:r w:rsidRPr="0014121A">
        <w:rPr>
          <w:lang w:val="en-GB"/>
        </w:rPr>
        <w:t>1048-1057.</w:t>
      </w:r>
    </w:p>
    <w:p w:rsidR="00574416" w:rsidRDefault="00574416" w:rsidP="002C4E2A">
      <w:pPr>
        <w:rPr>
          <w:lang w:val="en-GB"/>
        </w:rPr>
      </w:pPr>
    </w:p>
    <w:p w:rsidR="004975C9" w:rsidRPr="0098653C" w:rsidRDefault="00574416" w:rsidP="002C4E2A">
      <w:pPr>
        <w:pStyle w:val="Response"/>
        <w:spacing w:line="240" w:lineRule="auto"/>
        <w:sectPr w:rsidR="004975C9" w:rsidRPr="0098653C" w:rsidSect="000E201A">
          <w:footerReference w:type="default" r:id="rId9"/>
          <w:pgSz w:w="11906" w:h="16838"/>
          <w:pgMar w:top="1417" w:right="1417" w:bottom="1417" w:left="1417" w:header="720" w:footer="720" w:gutter="0"/>
          <w:lnNumType w:countBy="1" w:restart="continuous"/>
          <w:cols w:space="720"/>
          <w:docGrid w:linePitch="360"/>
        </w:sectPr>
      </w:pPr>
      <w:r w:rsidRPr="00574416">
        <w:t>Zhang J, Kobert K, Flouri T, Stamatakis A (2014) PEAR: a fast and accurate Illumina Paired-End reAd mergeR. Bioinformatics 30:614-620.</w:t>
      </w:r>
    </w:p>
    <w:p w:rsidR="004975C9" w:rsidRDefault="004975C9" w:rsidP="00F947E8">
      <w:pPr>
        <w:spacing w:line="360" w:lineRule="auto"/>
      </w:pPr>
      <w:r w:rsidRPr="004975C9">
        <w:rPr>
          <w:b/>
        </w:rPr>
        <w:lastRenderedPageBreak/>
        <w:t xml:space="preserve">Table 1. </w:t>
      </w:r>
      <w:r>
        <w:t xml:space="preserve">Quantitative aspects of </w:t>
      </w:r>
      <w:r w:rsidR="00E845C6">
        <w:t xml:space="preserve">amplicon-based </w:t>
      </w:r>
      <w:r>
        <w:t>AM</w:t>
      </w:r>
      <w:r w:rsidR="00116F83">
        <w:t xml:space="preserve"> </w:t>
      </w:r>
      <w:r w:rsidR="00116F83" w:rsidRPr="0025444C">
        <w:rPr>
          <w:rStyle w:val="ResponseChar"/>
        </w:rPr>
        <w:t>fungal</w:t>
      </w:r>
      <w:r>
        <w:t xml:space="preserve"> SSU rRNA sequencing </w:t>
      </w:r>
      <w:r w:rsidR="00E845C6">
        <w:t>using</w:t>
      </w:r>
      <w:r w:rsidR="00013B5D">
        <w:t xml:space="preserve"> 454</w:t>
      </w:r>
      <w:r w:rsidR="00E845C6">
        <w:t xml:space="preserve"> and Illumina MiSeq </w:t>
      </w:r>
      <w:r w:rsidR="00013B5D">
        <w:t xml:space="preserve">sequencing </w:t>
      </w:r>
      <w:r w:rsidR="00E845C6">
        <w:t xml:space="preserve">platforms. </w:t>
      </w:r>
      <w:r>
        <w:t xml:space="preserve">For each data set </w:t>
      </w:r>
      <w:r w:rsidR="00E845C6">
        <w:t xml:space="preserve">the </w:t>
      </w:r>
      <w:r>
        <w:t>number of quality filtered and</w:t>
      </w:r>
      <w:r w:rsidR="00E845C6">
        <w:t xml:space="preserve"> position-</w:t>
      </w:r>
      <w:r>
        <w:t>filtered reads are shown</w:t>
      </w:r>
      <w:r w:rsidR="00E845C6">
        <w:t>,</w:t>
      </w:r>
      <w:r>
        <w:t xml:space="preserve"> with</w:t>
      </w:r>
      <w:r w:rsidR="00E845C6">
        <w:t xml:space="preserve"> the</w:t>
      </w:r>
      <w:r>
        <w:t xml:space="preserve"> number of reads identified as AM</w:t>
      </w:r>
      <w:r w:rsidR="00116F83">
        <w:t xml:space="preserve"> </w:t>
      </w:r>
      <w:r w:rsidR="00116F83" w:rsidRPr="0025444C">
        <w:rPr>
          <w:rStyle w:val="ResponseChar"/>
        </w:rPr>
        <w:t>fungi</w:t>
      </w:r>
      <w:r w:rsidR="00E845C6">
        <w:t xml:space="preserve"> by BLAST hits in the Maarj</w:t>
      </w:r>
      <w:r w:rsidR="00E845C6" w:rsidRPr="00E845C6">
        <w:rPr>
          <w:i/>
        </w:rPr>
        <w:t>AM</w:t>
      </w:r>
      <w:r w:rsidR="00E845C6">
        <w:t xml:space="preserve"> database</w:t>
      </w:r>
      <w:r>
        <w:t xml:space="preserve">. </w:t>
      </w:r>
    </w:p>
    <w:tbl>
      <w:tblPr>
        <w:tblW w:w="13913" w:type="dxa"/>
        <w:tblInd w:w="56" w:type="dxa"/>
        <w:tblCellMar>
          <w:left w:w="70" w:type="dxa"/>
          <w:right w:w="70" w:type="dxa"/>
        </w:tblCellMar>
        <w:tblLook w:val="04A0"/>
      </w:tblPr>
      <w:tblGrid>
        <w:gridCol w:w="1065"/>
        <w:gridCol w:w="1065"/>
        <w:gridCol w:w="1065"/>
        <w:gridCol w:w="1065"/>
        <w:gridCol w:w="1065"/>
        <w:gridCol w:w="1065"/>
        <w:gridCol w:w="1065"/>
        <w:gridCol w:w="1065"/>
        <w:gridCol w:w="1065"/>
        <w:gridCol w:w="1065"/>
        <w:gridCol w:w="34"/>
        <w:gridCol w:w="1054"/>
        <w:gridCol w:w="1087"/>
        <w:gridCol w:w="1088"/>
      </w:tblGrid>
      <w:tr w:rsidR="00834E8E" w:rsidRPr="009E6C72" w:rsidTr="002E7D77">
        <w:trPr>
          <w:trHeight w:val="320"/>
        </w:trPr>
        <w:tc>
          <w:tcPr>
            <w:tcW w:w="1065" w:type="dxa"/>
            <w:tcBorders>
              <w:top w:val="nil"/>
              <w:left w:val="nil"/>
              <w:bottom w:val="single" w:sz="4" w:space="0" w:color="auto"/>
              <w:right w:val="nil"/>
            </w:tcBorders>
            <w:shd w:val="clear" w:color="auto" w:fill="auto"/>
            <w:noWrap/>
            <w:vAlign w:val="bottom"/>
            <w:hideMark/>
          </w:tcPr>
          <w:p w:rsidR="00834E8E" w:rsidRPr="009E6C72" w:rsidRDefault="00834E8E" w:rsidP="00213B41">
            <w:pPr>
              <w:rPr>
                <w:color w:val="000000"/>
                <w:lang w:eastAsia="et-EE"/>
              </w:rPr>
            </w:pPr>
            <w:r w:rsidRPr="009E6C72">
              <w:rPr>
                <w:color w:val="000000"/>
                <w:lang w:eastAsia="et-EE"/>
              </w:rPr>
              <w:t> </w:t>
            </w:r>
          </w:p>
        </w:tc>
        <w:tc>
          <w:tcPr>
            <w:tcW w:w="2130" w:type="dxa"/>
            <w:gridSpan w:val="2"/>
            <w:tcBorders>
              <w:top w:val="nil"/>
              <w:left w:val="nil"/>
              <w:bottom w:val="single" w:sz="4" w:space="0" w:color="auto"/>
              <w:right w:val="nil"/>
            </w:tcBorders>
            <w:shd w:val="clear" w:color="auto" w:fill="auto"/>
            <w:noWrap/>
            <w:vAlign w:val="bottom"/>
            <w:hideMark/>
          </w:tcPr>
          <w:p w:rsidR="00834E8E" w:rsidRDefault="00834E8E" w:rsidP="00213B41">
            <w:pPr>
              <w:rPr>
                <w:color w:val="000000"/>
                <w:lang w:eastAsia="et-EE"/>
              </w:rPr>
            </w:pPr>
            <w:r w:rsidRPr="009E6C72">
              <w:rPr>
                <w:color w:val="000000"/>
                <w:lang w:eastAsia="et-EE"/>
              </w:rPr>
              <w:t>454</w:t>
            </w:r>
            <w:r w:rsidR="008D50EB">
              <w:rPr>
                <w:color w:val="000000"/>
                <w:lang w:eastAsia="et-EE"/>
              </w:rPr>
              <w:t>-</w:t>
            </w:r>
            <w:r w:rsidR="0008795E">
              <w:rPr>
                <w:color w:val="000000"/>
                <w:lang w:eastAsia="et-EE"/>
              </w:rPr>
              <w:t>reads</w:t>
            </w:r>
          </w:p>
          <w:p w:rsidR="00834E8E" w:rsidRPr="009E6C72" w:rsidRDefault="00834E8E" w:rsidP="00A5553A">
            <w:pPr>
              <w:rPr>
                <w:color w:val="000000"/>
                <w:lang w:eastAsia="et-EE"/>
              </w:rPr>
            </w:pPr>
            <w:r>
              <w:rPr>
                <w:color w:val="000000"/>
                <w:lang w:eastAsia="et-EE"/>
              </w:rPr>
              <w:t>454</w:t>
            </w:r>
            <w:r w:rsidR="00A5553A">
              <w:rPr>
                <w:color w:val="000000"/>
                <w:lang w:eastAsia="et-EE"/>
              </w:rPr>
              <w:t>-qf</w:t>
            </w: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834E8E" w:rsidRPr="009E6C72" w:rsidRDefault="00834E8E"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834E8E" w:rsidRPr="009E6C72" w:rsidRDefault="00834E8E" w:rsidP="00A5553A">
            <w:pPr>
              <w:rPr>
                <w:color w:val="000000"/>
                <w:lang w:eastAsia="et-EE"/>
              </w:rPr>
            </w:pPr>
            <w:r>
              <w:rPr>
                <w:color w:val="000000"/>
                <w:lang w:eastAsia="et-EE"/>
              </w:rPr>
              <w:t>454</w:t>
            </w:r>
            <w:r w:rsidR="00A5553A">
              <w:rPr>
                <w:color w:val="000000"/>
                <w:lang w:eastAsia="et-EE"/>
              </w:rPr>
              <w:t>-t</w:t>
            </w: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834E8E" w:rsidRPr="009E6C72" w:rsidRDefault="00834E8E"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834E8E" w:rsidRPr="009E6C72" w:rsidRDefault="00834E8E" w:rsidP="00213B41">
            <w:pPr>
              <w:rPr>
                <w:color w:val="000000"/>
                <w:lang w:eastAsia="et-EE"/>
              </w:rPr>
            </w:pPr>
            <w:r w:rsidRPr="009E6C72">
              <w:rPr>
                <w:color w:val="000000"/>
                <w:lang w:eastAsia="et-EE"/>
              </w:rPr>
              <w:t> </w:t>
            </w:r>
          </w:p>
        </w:tc>
        <w:tc>
          <w:tcPr>
            <w:tcW w:w="3229" w:type="dxa"/>
            <w:gridSpan w:val="4"/>
            <w:tcBorders>
              <w:top w:val="nil"/>
              <w:left w:val="nil"/>
              <w:bottom w:val="single" w:sz="4" w:space="0" w:color="auto"/>
              <w:right w:val="nil"/>
            </w:tcBorders>
            <w:shd w:val="clear" w:color="auto" w:fill="auto"/>
            <w:noWrap/>
            <w:vAlign w:val="bottom"/>
            <w:hideMark/>
          </w:tcPr>
          <w:p w:rsidR="00834E8E" w:rsidRDefault="00834E8E" w:rsidP="00213B41">
            <w:pPr>
              <w:rPr>
                <w:color w:val="000000"/>
                <w:lang w:eastAsia="et-EE"/>
              </w:rPr>
            </w:pPr>
            <w:r w:rsidRPr="009E6C72">
              <w:rPr>
                <w:color w:val="000000"/>
                <w:lang w:eastAsia="et-EE"/>
              </w:rPr>
              <w:t>Illumina</w:t>
            </w:r>
            <w:r>
              <w:rPr>
                <w:color w:val="000000"/>
                <w:lang w:eastAsia="et-EE"/>
              </w:rPr>
              <w:t xml:space="preserve"> amplicon </w:t>
            </w:r>
            <w:r w:rsidR="0008795E">
              <w:rPr>
                <w:color w:val="000000"/>
                <w:lang w:eastAsia="et-EE"/>
              </w:rPr>
              <w:t>reads</w:t>
            </w:r>
          </w:p>
          <w:p w:rsidR="00834E8E" w:rsidRDefault="00834E8E" w:rsidP="00A5553A">
            <w:pPr>
              <w:rPr>
                <w:color w:val="000000"/>
                <w:lang w:eastAsia="et-EE"/>
              </w:rPr>
            </w:pPr>
            <w:r>
              <w:rPr>
                <w:color w:val="000000"/>
                <w:lang w:eastAsia="et-EE"/>
              </w:rPr>
              <w:t>Ill</w:t>
            </w:r>
            <w:r w:rsidR="00A5553A">
              <w:rPr>
                <w:color w:val="000000"/>
                <w:lang w:eastAsia="et-EE"/>
              </w:rPr>
              <w:t>-qf</w:t>
            </w:r>
          </w:p>
        </w:tc>
        <w:tc>
          <w:tcPr>
            <w:tcW w:w="3229" w:type="dxa"/>
            <w:gridSpan w:val="3"/>
            <w:tcBorders>
              <w:top w:val="nil"/>
              <w:left w:val="nil"/>
              <w:bottom w:val="single" w:sz="4" w:space="0" w:color="auto"/>
              <w:right w:val="nil"/>
            </w:tcBorders>
            <w:shd w:val="clear" w:color="auto" w:fill="auto"/>
            <w:vAlign w:val="bottom"/>
          </w:tcPr>
          <w:p w:rsidR="00834E8E" w:rsidRPr="009E6C72" w:rsidRDefault="00834E8E" w:rsidP="00A5553A">
            <w:pPr>
              <w:rPr>
                <w:color w:val="000000"/>
                <w:lang w:eastAsia="et-EE"/>
              </w:rPr>
            </w:pPr>
            <w:r>
              <w:rPr>
                <w:color w:val="000000"/>
                <w:lang w:eastAsia="et-EE"/>
              </w:rPr>
              <w:t>Ill</w:t>
            </w:r>
            <w:r w:rsidR="00A5553A">
              <w:rPr>
                <w:color w:val="000000"/>
                <w:lang w:eastAsia="et-EE"/>
              </w:rPr>
              <w:t>-t</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2130" w:type="dxa"/>
            <w:gridSpan w:val="2"/>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Quality filtered</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2130" w:type="dxa"/>
            <w:gridSpan w:val="2"/>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Filtered 70-300bp</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2130" w:type="dxa"/>
            <w:gridSpan w:val="2"/>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Quality filtered R1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3263" w:type="dxa"/>
            <w:gridSpan w:val="4"/>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Paired reads filtered 70-300bp</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Reads</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hits</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Reads</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hits</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Reads</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hits</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Reads</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hits</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center"/>
              <w:rPr>
                <w:color w:val="000000"/>
                <w:lang w:eastAsia="et-EE"/>
              </w:rPr>
            </w:pPr>
            <w:r w:rsidRPr="009E6C72">
              <w:rPr>
                <w:color w:val="000000"/>
                <w:lang w:eastAsia="et-EE"/>
              </w:rPr>
              <w:t>%</w:t>
            </w:r>
          </w:p>
        </w:tc>
      </w:tr>
      <w:tr w:rsidR="004975C9" w:rsidRPr="009E6C72" w:rsidTr="00213B41">
        <w:trPr>
          <w:trHeight w:val="320"/>
        </w:trPr>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Plot 1</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88" w:type="dxa"/>
            <w:gridSpan w:val="2"/>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87"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88"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CM</w:t>
            </w:r>
            <w:r w:rsidR="00466485">
              <w:rPr>
                <w:color w:val="000000"/>
                <w:lang w:eastAsia="et-EE"/>
              </w:rPr>
              <w:t>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514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450</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87.</w:t>
            </w:r>
            <w:r w:rsidR="004975C9" w:rsidRPr="009E6C72">
              <w:rPr>
                <w:b/>
                <w:color w:val="000000"/>
                <w:lang w:eastAsia="et-EE"/>
              </w:rPr>
              <w:t>55%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499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425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85</w:t>
            </w:r>
            <w:r w:rsidR="00EA55E7">
              <w:rPr>
                <w:b/>
                <w:color w:val="000000"/>
                <w:lang w:eastAsia="et-EE"/>
              </w:rPr>
              <w:t>.</w:t>
            </w:r>
            <w:r w:rsidRPr="009E6C72">
              <w:rPr>
                <w:b/>
                <w:color w:val="000000"/>
                <w:lang w:eastAsia="et-EE"/>
              </w:rPr>
              <w:t>17%</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48177</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45965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95</w:t>
            </w:r>
            <w:r w:rsidR="00EA55E7">
              <w:rPr>
                <w:b/>
                <w:color w:val="000000"/>
                <w:lang w:eastAsia="et-EE"/>
              </w:rPr>
              <w:t>.</w:t>
            </w:r>
            <w:r w:rsidRPr="009E6C72">
              <w:rPr>
                <w:b/>
                <w:color w:val="000000"/>
                <w:lang w:eastAsia="et-EE"/>
              </w:rPr>
              <w:t>41%</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10122</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10066</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99</w:t>
            </w:r>
            <w:r w:rsidR="00EA55E7">
              <w:rPr>
                <w:b/>
                <w:color w:val="000000"/>
                <w:lang w:eastAsia="et-EE"/>
              </w:rPr>
              <w:t>.</w:t>
            </w:r>
            <w:r w:rsidRPr="009E6C72">
              <w:rPr>
                <w:b/>
                <w:color w:val="000000"/>
                <w:lang w:eastAsia="et-EE"/>
              </w:rPr>
              <w:t>45%</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CM</w:t>
            </w:r>
            <w:r w:rsidR="00466485">
              <w:rPr>
                <w:color w:val="000000"/>
                <w:lang w:eastAsia="et-EE"/>
              </w:rPr>
              <w:t>2</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781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709</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90.</w:t>
            </w:r>
            <w:r w:rsidR="004975C9" w:rsidRPr="009E6C72">
              <w:rPr>
                <w:b/>
                <w:color w:val="000000"/>
                <w:lang w:eastAsia="et-EE"/>
              </w:rPr>
              <w:t>78%</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757</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629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83</w:t>
            </w:r>
            <w:r w:rsidR="00EA55E7">
              <w:rPr>
                <w:b/>
                <w:color w:val="000000"/>
                <w:lang w:eastAsia="et-EE"/>
              </w:rPr>
              <w:t>.</w:t>
            </w:r>
            <w:r w:rsidRPr="009E6C72">
              <w:rPr>
                <w:b/>
                <w:color w:val="000000"/>
                <w:lang w:eastAsia="et-EE"/>
              </w:rPr>
              <w:t>09%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24906</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21861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87</w:t>
            </w:r>
            <w:r w:rsidR="00EA55E7">
              <w:rPr>
                <w:b/>
                <w:color w:val="000000"/>
                <w:lang w:eastAsia="et-EE"/>
              </w:rPr>
              <w:t>.</w:t>
            </w:r>
            <w:r w:rsidRPr="009E6C72">
              <w:rPr>
                <w:b/>
                <w:color w:val="000000"/>
                <w:lang w:eastAsia="et-EE"/>
              </w:rPr>
              <w:t>77%</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3484</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3200</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91</w:t>
            </w:r>
            <w:r w:rsidR="00EA55E7">
              <w:rPr>
                <w:b/>
                <w:color w:val="000000"/>
                <w:lang w:eastAsia="et-EE"/>
              </w:rPr>
              <w:t>.</w:t>
            </w:r>
            <w:r w:rsidRPr="009E6C72">
              <w:rPr>
                <w:b/>
                <w:color w:val="000000"/>
                <w:lang w:eastAsia="et-EE"/>
              </w:rPr>
              <w:t>85%</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CM</w:t>
            </w:r>
            <w:r w:rsidR="00466485">
              <w:rPr>
                <w:color w:val="000000"/>
                <w:lang w:eastAsia="et-EE"/>
              </w:rPr>
              <w:t>3</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1290</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1018</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78.</w:t>
            </w:r>
            <w:r w:rsidR="004975C9" w:rsidRPr="009E6C72">
              <w:rPr>
                <w:b/>
                <w:color w:val="000000"/>
                <w:lang w:eastAsia="et-EE"/>
              </w:rPr>
              <w:t>91%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1207</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935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77</w:t>
            </w:r>
            <w:r w:rsidR="00EA55E7">
              <w:rPr>
                <w:b/>
                <w:color w:val="000000"/>
                <w:lang w:eastAsia="et-EE"/>
              </w:rPr>
              <w:t>.</w:t>
            </w:r>
            <w:r w:rsidRPr="009E6C72">
              <w:rPr>
                <w:b/>
                <w:color w:val="000000"/>
                <w:lang w:eastAsia="et-EE"/>
              </w:rPr>
              <w:t>46%</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62551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47898</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76</w:t>
            </w:r>
            <w:r w:rsidR="00EA55E7">
              <w:rPr>
                <w:b/>
                <w:color w:val="000000"/>
                <w:lang w:eastAsia="et-EE"/>
              </w:rPr>
              <w:t>.</w:t>
            </w:r>
            <w:r w:rsidRPr="009E6C72">
              <w:rPr>
                <w:b/>
                <w:color w:val="000000"/>
                <w:lang w:eastAsia="et-EE"/>
              </w:rPr>
              <w:t>57%</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9062</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8263</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91</w:t>
            </w:r>
            <w:r w:rsidR="00EA55E7">
              <w:rPr>
                <w:b/>
                <w:color w:val="000000"/>
                <w:lang w:eastAsia="et-EE"/>
              </w:rPr>
              <w:t>.</w:t>
            </w:r>
            <w:r w:rsidRPr="009E6C72">
              <w:rPr>
                <w:b/>
                <w:color w:val="000000"/>
                <w:lang w:eastAsia="et-EE"/>
              </w:rPr>
              <w:t>18%</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RS</w:t>
            </w:r>
            <w:r w:rsidR="00466485">
              <w:rPr>
                <w:color w:val="000000"/>
                <w:lang w:eastAsia="et-EE"/>
              </w:rPr>
              <w:t>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1380</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1186</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85.</w:t>
            </w:r>
            <w:r w:rsidR="004975C9" w:rsidRPr="009E6C72">
              <w:rPr>
                <w:b/>
                <w:color w:val="000000"/>
                <w:lang w:eastAsia="et-EE"/>
              </w:rPr>
              <w:t>94%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1335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1099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82</w:t>
            </w:r>
            <w:r w:rsidR="00EA55E7">
              <w:rPr>
                <w:b/>
                <w:color w:val="000000"/>
                <w:lang w:eastAsia="et-EE"/>
              </w:rPr>
              <w:t>.</w:t>
            </w:r>
            <w:r w:rsidRPr="009E6C72">
              <w:rPr>
                <w:b/>
                <w:color w:val="000000"/>
                <w:lang w:eastAsia="et-EE"/>
              </w:rPr>
              <w:t>32%</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90021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83488</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92</w:t>
            </w:r>
            <w:r w:rsidR="00EA55E7">
              <w:rPr>
                <w:b/>
                <w:color w:val="000000"/>
                <w:lang w:eastAsia="et-EE"/>
              </w:rPr>
              <w:t>.</w:t>
            </w:r>
            <w:r w:rsidRPr="009E6C72">
              <w:rPr>
                <w:b/>
                <w:color w:val="000000"/>
                <w:lang w:eastAsia="et-EE"/>
              </w:rPr>
              <w:t>74%</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17903</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16821</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93</w:t>
            </w:r>
            <w:r w:rsidR="00EA55E7">
              <w:rPr>
                <w:b/>
                <w:color w:val="000000"/>
                <w:lang w:eastAsia="et-EE"/>
              </w:rPr>
              <w:t>.</w:t>
            </w:r>
            <w:r w:rsidRPr="009E6C72">
              <w:rPr>
                <w:b/>
                <w:color w:val="000000"/>
                <w:lang w:eastAsia="et-EE"/>
              </w:rPr>
              <w:t>96%</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RS</w:t>
            </w:r>
            <w:r w:rsidR="00466485">
              <w:rPr>
                <w:color w:val="000000"/>
                <w:lang w:eastAsia="et-EE"/>
              </w:rPr>
              <w:t>2</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1255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981</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78.</w:t>
            </w:r>
            <w:r w:rsidR="004975C9" w:rsidRPr="009E6C72">
              <w:rPr>
                <w:b/>
                <w:color w:val="000000"/>
                <w:lang w:eastAsia="et-EE"/>
              </w:rPr>
              <w:t>17%</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1234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953</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77</w:t>
            </w:r>
            <w:r w:rsidR="00EA55E7">
              <w:rPr>
                <w:b/>
                <w:color w:val="000000"/>
                <w:lang w:eastAsia="et-EE"/>
              </w:rPr>
              <w:t>.</w:t>
            </w:r>
            <w:r w:rsidRPr="009E6C72">
              <w:rPr>
                <w:b/>
                <w:color w:val="000000"/>
                <w:lang w:eastAsia="et-EE"/>
              </w:rPr>
              <w:t>23%</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73915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62765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84</w:t>
            </w:r>
            <w:r w:rsidR="00EA55E7">
              <w:rPr>
                <w:b/>
                <w:color w:val="000000"/>
                <w:lang w:eastAsia="et-EE"/>
              </w:rPr>
              <w:t>.</w:t>
            </w:r>
            <w:r w:rsidRPr="009E6C72">
              <w:rPr>
                <w:b/>
                <w:color w:val="000000"/>
                <w:lang w:eastAsia="et-EE"/>
              </w:rPr>
              <w:t>92%</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13498</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12646</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93</w:t>
            </w:r>
            <w:r w:rsidR="00EA55E7">
              <w:rPr>
                <w:b/>
                <w:color w:val="000000"/>
                <w:lang w:eastAsia="et-EE"/>
              </w:rPr>
              <w:t>.</w:t>
            </w:r>
            <w:r w:rsidRPr="009E6C72">
              <w:rPr>
                <w:b/>
                <w:color w:val="000000"/>
                <w:lang w:eastAsia="et-EE"/>
              </w:rPr>
              <w:t>69%</w:t>
            </w:r>
          </w:p>
        </w:tc>
      </w:tr>
      <w:tr w:rsidR="004975C9" w:rsidRPr="009E6C72" w:rsidTr="00213B41">
        <w:trPr>
          <w:trHeight w:val="320"/>
        </w:trPr>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RS</w:t>
            </w:r>
            <w:r w:rsidR="00466485">
              <w:rPr>
                <w:color w:val="000000"/>
                <w:lang w:eastAsia="et-EE"/>
              </w:rPr>
              <w:t>3</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1200</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992</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82.</w:t>
            </w:r>
            <w:r w:rsidR="004975C9" w:rsidRPr="009E6C72">
              <w:rPr>
                <w:b/>
                <w:color w:val="000000"/>
                <w:lang w:eastAsia="et-EE"/>
              </w:rPr>
              <w:t>67%</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1119</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872</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77</w:t>
            </w:r>
            <w:r w:rsidR="00EA55E7">
              <w:rPr>
                <w:b/>
                <w:color w:val="000000"/>
                <w:lang w:eastAsia="et-EE"/>
              </w:rPr>
              <w:t>.</w:t>
            </w:r>
            <w:r w:rsidRPr="009E6C72">
              <w:rPr>
                <w:b/>
                <w:color w:val="000000"/>
                <w:lang w:eastAsia="et-EE"/>
              </w:rPr>
              <w:t>93%</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50861</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46312</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91</w:t>
            </w:r>
            <w:r w:rsidR="00EA55E7">
              <w:rPr>
                <w:b/>
                <w:color w:val="000000"/>
                <w:lang w:eastAsia="et-EE"/>
              </w:rPr>
              <w:t>.</w:t>
            </w:r>
            <w:r w:rsidRPr="009E6C72">
              <w:rPr>
                <w:b/>
                <w:color w:val="000000"/>
                <w:lang w:eastAsia="et-EE"/>
              </w:rPr>
              <w:t>06%</w:t>
            </w:r>
          </w:p>
        </w:tc>
        <w:tc>
          <w:tcPr>
            <w:tcW w:w="1088" w:type="dxa"/>
            <w:gridSpan w:val="2"/>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9128</w:t>
            </w:r>
          </w:p>
        </w:tc>
        <w:tc>
          <w:tcPr>
            <w:tcW w:w="1087"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8959</w:t>
            </w:r>
          </w:p>
        </w:tc>
        <w:tc>
          <w:tcPr>
            <w:tcW w:w="1088"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98</w:t>
            </w:r>
            <w:r w:rsidR="00EA55E7">
              <w:rPr>
                <w:b/>
                <w:color w:val="000000"/>
                <w:lang w:eastAsia="et-EE"/>
              </w:rPr>
              <w:t>.</w:t>
            </w:r>
            <w:r w:rsidRPr="009E6C72">
              <w:rPr>
                <w:b/>
                <w:color w:val="000000"/>
                <w:lang w:eastAsia="et-EE"/>
              </w:rPr>
              <w:t>15%</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b/>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b/>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bottom w:val="nil"/>
              <w:right w:val="nil"/>
            </w:tcBorders>
            <w:shd w:val="clear" w:color="auto" w:fill="auto"/>
            <w:noWrap/>
            <w:vAlign w:val="bottom"/>
            <w:hideMark/>
          </w:tcPr>
          <w:p w:rsidR="004975C9" w:rsidRPr="009E6C72" w:rsidRDefault="004975C9" w:rsidP="00213B41">
            <w:pPr>
              <w:rPr>
                <w:b/>
                <w:color w:val="000000"/>
                <w:lang w:eastAsia="et-EE"/>
              </w:rPr>
            </w:pP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87" w:type="dxa"/>
            <w:tcBorders>
              <w:top w:val="nil"/>
              <w:left w:val="nil"/>
              <w:bottom w:val="nil"/>
              <w:right w:val="nil"/>
            </w:tcBorders>
            <w:shd w:val="clear" w:color="auto" w:fill="auto"/>
            <w:noWrap/>
            <w:vAlign w:val="bottom"/>
            <w:hideMark/>
          </w:tcPr>
          <w:p w:rsidR="004975C9" w:rsidRPr="009E6C72" w:rsidRDefault="004975C9" w:rsidP="00213B41">
            <w:pPr>
              <w:rPr>
                <w:color w:val="000000"/>
                <w:lang w:eastAsia="et-EE"/>
              </w:rPr>
            </w:pPr>
          </w:p>
        </w:tc>
        <w:tc>
          <w:tcPr>
            <w:tcW w:w="1088" w:type="dxa"/>
            <w:tcBorders>
              <w:top w:val="nil"/>
              <w:left w:val="nil"/>
              <w:bottom w:val="nil"/>
              <w:right w:val="nil"/>
            </w:tcBorders>
            <w:shd w:val="clear" w:color="auto" w:fill="auto"/>
            <w:noWrap/>
            <w:vAlign w:val="bottom"/>
            <w:hideMark/>
          </w:tcPr>
          <w:p w:rsidR="004975C9" w:rsidRPr="009E6C72" w:rsidRDefault="004975C9" w:rsidP="00213B41">
            <w:pPr>
              <w:rPr>
                <w:b/>
                <w:color w:val="000000"/>
                <w:lang w:eastAsia="et-EE"/>
              </w:rPr>
            </w:pPr>
          </w:p>
        </w:tc>
      </w:tr>
      <w:tr w:rsidR="004975C9" w:rsidRPr="009E6C72" w:rsidTr="00213B41">
        <w:trPr>
          <w:trHeight w:val="320"/>
        </w:trPr>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Plot 2</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b/>
                <w:color w:val="000000"/>
                <w:lang w:eastAsia="et-EE"/>
              </w:rPr>
            </w:pPr>
            <w:r w:rsidRPr="009E6C72">
              <w:rPr>
                <w:b/>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b/>
                <w:color w:val="000000"/>
                <w:lang w:eastAsia="et-EE"/>
              </w:rPr>
            </w:pPr>
            <w:r w:rsidRPr="009E6C72">
              <w:rPr>
                <w:b/>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b/>
                <w:color w:val="000000"/>
                <w:lang w:eastAsia="et-EE"/>
              </w:rPr>
            </w:pPr>
            <w:r w:rsidRPr="009E6C72">
              <w:rPr>
                <w:b/>
                <w:color w:val="000000"/>
                <w:lang w:eastAsia="et-EE"/>
              </w:rPr>
              <w:t> </w:t>
            </w:r>
          </w:p>
        </w:tc>
        <w:tc>
          <w:tcPr>
            <w:tcW w:w="1088" w:type="dxa"/>
            <w:gridSpan w:val="2"/>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87"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 </w:t>
            </w:r>
          </w:p>
        </w:tc>
        <w:tc>
          <w:tcPr>
            <w:tcW w:w="1088" w:type="dxa"/>
            <w:tcBorders>
              <w:top w:val="nil"/>
              <w:left w:val="nil"/>
              <w:bottom w:val="single" w:sz="4" w:space="0" w:color="auto"/>
              <w:right w:val="nil"/>
            </w:tcBorders>
            <w:shd w:val="clear" w:color="auto" w:fill="auto"/>
            <w:noWrap/>
            <w:vAlign w:val="bottom"/>
            <w:hideMark/>
          </w:tcPr>
          <w:p w:rsidR="004975C9" w:rsidRPr="009E6C72" w:rsidRDefault="004975C9" w:rsidP="00213B41">
            <w:pPr>
              <w:rPr>
                <w:b/>
                <w:color w:val="000000"/>
                <w:lang w:eastAsia="et-EE"/>
              </w:rPr>
            </w:pPr>
            <w:r w:rsidRPr="009E6C72">
              <w:rPr>
                <w:b/>
                <w:color w:val="000000"/>
                <w:lang w:eastAsia="et-EE"/>
              </w:rPr>
              <w:t> </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CM</w:t>
            </w:r>
            <w:r w:rsidR="00466485">
              <w:rPr>
                <w:color w:val="000000"/>
                <w:lang w:eastAsia="et-EE"/>
              </w:rPr>
              <w:t>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1131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1093</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96.</w:t>
            </w:r>
            <w:r w:rsidR="004975C9" w:rsidRPr="009E6C72">
              <w:rPr>
                <w:b/>
                <w:color w:val="000000"/>
                <w:lang w:eastAsia="et-EE"/>
              </w:rPr>
              <w:t>64%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1120</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1024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91</w:t>
            </w:r>
            <w:r w:rsidR="00EA55E7">
              <w:rPr>
                <w:b/>
                <w:color w:val="000000"/>
                <w:lang w:eastAsia="et-EE"/>
              </w:rPr>
              <w:t>.</w:t>
            </w:r>
            <w:r w:rsidRPr="009E6C72">
              <w:rPr>
                <w:b/>
                <w:color w:val="000000"/>
                <w:lang w:eastAsia="et-EE"/>
              </w:rPr>
              <w:t>43%</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48899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44039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90</w:t>
            </w:r>
            <w:r w:rsidR="00EA55E7">
              <w:rPr>
                <w:b/>
                <w:color w:val="000000"/>
                <w:lang w:eastAsia="et-EE"/>
              </w:rPr>
              <w:t>.</w:t>
            </w:r>
            <w:r w:rsidRPr="009E6C72">
              <w:rPr>
                <w:b/>
                <w:color w:val="000000"/>
                <w:lang w:eastAsia="et-EE"/>
              </w:rPr>
              <w:t>06%</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5882</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5609</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95</w:t>
            </w:r>
            <w:r w:rsidR="00EA55E7">
              <w:rPr>
                <w:b/>
                <w:color w:val="000000"/>
                <w:lang w:eastAsia="et-EE"/>
              </w:rPr>
              <w:t>.</w:t>
            </w:r>
            <w:r w:rsidRPr="009E6C72">
              <w:rPr>
                <w:b/>
                <w:color w:val="000000"/>
                <w:lang w:eastAsia="et-EE"/>
              </w:rPr>
              <w:t>36%</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CM</w:t>
            </w:r>
            <w:r w:rsidR="00466485">
              <w:rPr>
                <w:color w:val="000000"/>
                <w:lang w:eastAsia="et-EE"/>
              </w:rPr>
              <w:t>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1328</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1070</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80.</w:t>
            </w:r>
            <w:r w:rsidR="004975C9" w:rsidRPr="009E6C72">
              <w:rPr>
                <w:b/>
                <w:color w:val="000000"/>
                <w:lang w:eastAsia="et-EE"/>
              </w:rPr>
              <w:t>57%</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1250</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894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71</w:t>
            </w:r>
            <w:r w:rsidR="00EA55E7">
              <w:rPr>
                <w:b/>
                <w:color w:val="000000"/>
                <w:lang w:eastAsia="et-EE"/>
              </w:rPr>
              <w:t>.</w:t>
            </w:r>
            <w:r w:rsidRPr="009E6C72">
              <w:rPr>
                <w:b/>
                <w:color w:val="000000"/>
                <w:lang w:eastAsia="et-EE"/>
              </w:rPr>
              <w:t>52%</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61249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52768</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86</w:t>
            </w:r>
            <w:r w:rsidR="00EA55E7">
              <w:rPr>
                <w:b/>
                <w:color w:val="000000"/>
                <w:lang w:eastAsia="et-EE"/>
              </w:rPr>
              <w:t>.</w:t>
            </w:r>
            <w:r w:rsidRPr="009E6C72">
              <w:rPr>
                <w:b/>
                <w:color w:val="000000"/>
                <w:lang w:eastAsia="et-EE"/>
              </w:rPr>
              <w:t>15%</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7523</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6889</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91</w:t>
            </w:r>
            <w:r w:rsidR="00EA55E7">
              <w:rPr>
                <w:b/>
                <w:color w:val="000000"/>
                <w:lang w:eastAsia="et-EE"/>
              </w:rPr>
              <w:t>.</w:t>
            </w:r>
            <w:r w:rsidRPr="009E6C72">
              <w:rPr>
                <w:b/>
                <w:color w:val="000000"/>
                <w:lang w:eastAsia="et-EE"/>
              </w:rPr>
              <w:t>57%</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CM</w:t>
            </w:r>
            <w:r w:rsidR="00466485">
              <w:rPr>
                <w:color w:val="000000"/>
                <w:lang w:eastAsia="et-EE"/>
              </w:rPr>
              <w:t>6</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294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236</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80.</w:t>
            </w:r>
            <w:r w:rsidR="004975C9" w:rsidRPr="009E6C72">
              <w:rPr>
                <w:b/>
                <w:color w:val="000000"/>
                <w:lang w:eastAsia="et-EE"/>
              </w:rPr>
              <w:t>27%</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277</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210</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75</w:t>
            </w:r>
            <w:r w:rsidR="00EA55E7">
              <w:rPr>
                <w:b/>
                <w:color w:val="000000"/>
                <w:lang w:eastAsia="et-EE"/>
              </w:rPr>
              <w:t>.</w:t>
            </w:r>
            <w:r w:rsidRPr="009E6C72">
              <w:rPr>
                <w:b/>
                <w:color w:val="000000"/>
                <w:lang w:eastAsia="et-EE"/>
              </w:rPr>
              <w:t>81%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72126</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65651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91</w:t>
            </w:r>
            <w:r w:rsidR="00EA55E7">
              <w:rPr>
                <w:b/>
                <w:color w:val="000000"/>
                <w:lang w:eastAsia="et-EE"/>
              </w:rPr>
              <w:t>.</w:t>
            </w:r>
            <w:r w:rsidRPr="009E6C72">
              <w:rPr>
                <w:b/>
                <w:color w:val="000000"/>
                <w:lang w:eastAsia="et-EE"/>
              </w:rPr>
              <w:t>02%</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11402</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11204</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98</w:t>
            </w:r>
            <w:r w:rsidR="00EA55E7">
              <w:rPr>
                <w:b/>
                <w:color w:val="000000"/>
                <w:lang w:eastAsia="et-EE"/>
              </w:rPr>
              <w:t>.</w:t>
            </w:r>
            <w:r w:rsidRPr="009E6C72">
              <w:rPr>
                <w:b/>
                <w:color w:val="000000"/>
                <w:lang w:eastAsia="et-EE"/>
              </w:rPr>
              <w:t>26%</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RS</w:t>
            </w:r>
            <w:r w:rsidR="00466485">
              <w:rPr>
                <w:color w:val="000000"/>
                <w:lang w:eastAsia="et-EE"/>
              </w:rPr>
              <w:t>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465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393</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84.</w:t>
            </w:r>
            <w:r w:rsidR="004975C9" w:rsidRPr="009E6C72">
              <w:rPr>
                <w:b/>
                <w:color w:val="000000"/>
                <w:lang w:eastAsia="et-EE"/>
              </w:rPr>
              <w:t>52%</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434</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326</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75</w:t>
            </w:r>
            <w:r w:rsidR="00EA55E7">
              <w:rPr>
                <w:b/>
                <w:color w:val="000000"/>
                <w:lang w:eastAsia="et-EE"/>
              </w:rPr>
              <w:t>.</w:t>
            </w:r>
            <w:r w:rsidRPr="009E6C72">
              <w:rPr>
                <w:b/>
                <w:color w:val="000000"/>
                <w:lang w:eastAsia="et-EE"/>
              </w:rPr>
              <w:t>12%</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163006</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151810</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93</w:t>
            </w:r>
            <w:r w:rsidR="00EA55E7">
              <w:rPr>
                <w:b/>
                <w:color w:val="000000"/>
                <w:lang w:eastAsia="et-EE"/>
              </w:rPr>
              <w:t>.</w:t>
            </w:r>
            <w:r w:rsidRPr="009E6C72">
              <w:rPr>
                <w:b/>
                <w:color w:val="000000"/>
                <w:lang w:eastAsia="et-EE"/>
              </w:rPr>
              <w:t>13%</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26842</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26157</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97</w:t>
            </w:r>
            <w:r w:rsidR="00EA55E7">
              <w:rPr>
                <w:b/>
                <w:color w:val="000000"/>
                <w:lang w:eastAsia="et-EE"/>
              </w:rPr>
              <w:t>.</w:t>
            </w:r>
            <w:r w:rsidRPr="009E6C72">
              <w:rPr>
                <w:b/>
                <w:color w:val="000000"/>
                <w:lang w:eastAsia="et-EE"/>
              </w:rPr>
              <w:t>45%</w:t>
            </w:r>
          </w:p>
        </w:tc>
      </w:tr>
      <w:tr w:rsidR="004975C9" w:rsidRPr="009E6C72" w:rsidTr="00213B41">
        <w:trPr>
          <w:trHeight w:val="320"/>
        </w:trPr>
        <w:tc>
          <w:tcPr>
            <w:tcW w:w="1065" w:type="dxa"/>
            <w:tcBorders>
              <w:top w:val="nil"/>
              <w:left w:val="nil"/>
              <w:bottom w:val="nil"/>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RS</w:t>
            </w:r>
            <w:r w:rsidR="00466485">
              <w:rPr>
                <w:color w:val="000000"/>
                <w:lang w:eastAsia="et-EE"/>
              </w:rPr>
              <w:t>5</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1199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1031</w:t>
            </w:r>
          </w:p>
        </w:tc>
        <w:tc>
          <w:tcPr>
            <w:tcW w:w="1065" w:type="dxa"/>
            <w:tcBorders>
              <w:top w:val="nil"/>
              <w:left w:val="nil"/>
              <w:bottom w:val="nil"/>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85.</w:t>
            </w:r>
            <w:r w:rsidR="004975C9" w:rsidRPr="009E6C72">
              <w:rPr>
                <w:b/>
                <w:color w:val="000000"/>
                <w:lang w:eastAsia="et-EE"/>
              </w:rPr>
              <w:t>99%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1139</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967</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84</w:t>
            </w:r>
            <w:r w:rsidR="00EA55E7">
              <w:rPr>
                <w:b/>
                <w:color w:val="000000"/>
                <w:lang w:eastAsia="et-EE"/>
              </w:rPr>
              <w:t>.</w:t>
            </w:r>
            <w:r w:rsidRPr="009E6C72">
              <w:rPr>
                <w:b/>
                <w:color w:val="000000"/>
                <w:lang w:eastAsia="et-EE"/>
              </w:rPr>
              <w:t>90%</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146471</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135712</w:t>
            </w:r>
          </w:p>
        </w:tc>
        <w:tc>
          <w:tcPr>
            <w:tcW w:w="1065"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92</w:t>
            </w:r>
            <w:r w:rsidR="00EA55E7">
              <w:rPr>
                <w:b/>
                <w:color w:val="000000"/>
                <w:lang w:eastAsia="et-EE"/>
              </w:rPr>
              <w:t>.</w:t>
            </w:r>
            <w:r w:rsidRPr="009E6C72">
              <w:rPr>
                <w:b/>
                <w:color w:val="000000"/>
                <w:lang w:eastAsia="et-EE"/>
              </w:rPr>
              <w:t>65%</w:t>
            </w:r>
          </w:p>
        </w:tc>
        <w:tc>
          <w:tcPr>
            <w:tcW w:w="1088" w:type="dxa"/>
            <w:gridSpan w:val="2"/>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23862</w:t>
            </w:r>
          </w:p>
        </w:tc>
        <w:tc>
          <w:tcPr>
            <w:tcW w:w="1087" w:type="dxa"/>
            <w:tcBorders>
              <w:top w:val="nil"/>
              <w:left w:val="nil"/>
              <w:bottom w:val="nil"/>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23715</w:t>
            </w:r>
          </w:p>
        </w:tc>
        <w:tc>
          <w:tcPr>
            <w:tcW w:w="1088" w:type="dxa"/>
            <w:tcBorders>
              <w:top w:val="nil"/>
              <w:left w:val="nil"/>
              <w:bottom w:val="nil"/>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99</w:t>
            </w:r>
            <w:r w:rsidR="00EA55E7">
              <w:rPr>
                <w:b/>
                <w:color w:val="000000"/>
                <w:lang w:eastAsia="et-EE"/>
              </w:rPr>
              <w:t>.</w:t>
            </w:r>
            <w:r w:rsidRPr="009E6C72">
              <w:rPr>
                <w:b/>
                <w:color w:val="000000"/>
                <w:lang w:eastAsia="et-EE"/>
              </w:rPr>
              <w:t>38%</w:t>
            </w:r>
          </w:p>
        </w:tc>
      </w:tr>
      <w:tr w:rsidR="004975C9" w:rsidRPr="009E6C72" w:rsidTr="00213B41">
        <w:trPr>
          <w:trHeight w:val="320"/>
        </w:trPr>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466485">
            <w:pPr>
              <w:rPr>
                <w:color w:val="000000"/>
                <w:lang w:eastAsia="et-EE"/>
              </w:rPr>
            </w:pPr>
            <w:r w:rsidRPr="009E6C72">
              <w:rPr>
                <w:color w:val="000000"/>
                <w:lang w:eastAsia="et-EE"/>
              </w:rPr>
              <w:t>RS</w:t>
            </w:r>
            <w:r w:rsidR="00466485">
              <w:rPr>
                <w:color w:val="000000"/>
                <w:lang w:eastAsia="et-EE"/>
              </w:rPr>
              <w:t>6</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992</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814</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EA55E7" w:rsidP="00213B41">
            <w:pPr>
              <w:jc w:val="right"/>
              <w:rPr>
                <w:b/>
                <w:color w:val="000000"/>
                <w:lang w:eastAsia="et-EE"/>
              </w:rPr>
            </w:pPr>
            <w:r>
              <w:rPr>
                <w:b/>
                <w:color w:val="000000"/>
                <w:lang w:eastAsia="et-EE"/>
              </w:rPr>
              <w:t>82.</w:t>
            </w:r>
            <w:r w:rsidR="004975C9" w:rsidRPr="009E6C72">
              <w:rPr>
                <w:b/>
                <w:color w:val="000000"/>
                <w:lang w:eastAsia="et-EE"/>
              </w:rPr>
              <w:t>06%</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957</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733</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76</w:t>
            </w:r>
            <w:r w:rsidR="00EA55E7">
              <w:rPr>
                <w:b/>
                <w:color w:val="000000"/>
                <w:lang w:eastAsia="et-EE"/>
              </w:rPr>
              <w:t>.</w:t>
            </w:r>
            <w:r w:rsidRPr="009E6C72">
              <w:rPr>
                <w:b/>
                <w:color w:val="000000"/>
                <w:lang w:eastAsia="et-EE"/>
              </w:rPr>
              <w:t>59%</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114945</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104188</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90</w:t>
            </w:r>
            <w:r w:rsidR="00EA55E7">
              <w:rPr>
                <w:b/>
                <w:color w:val="000000"/>
                <w:lang w:eastAsia="et-EE"/>
              </w:rPr>
              <w:t>.</w:t>
            </w:r>
            <w:r w:rsidRPr="009E6C72">
              <w:rPr>
                <w:b/>
                <w:color w:val="000000"/>
                <w:lang w:eastAsia="et-EE"/>
              </w:rPr>
              <w:t>64%</w:t>
            </w:r>
          </w:p>
        </w:tc>
        <w:tc>
          <w:tcPr>
            <w:tcW w:w="1088" w:type="dxa"/>
            <w:gridSpan w:val="2"/>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20360</w:t>
            </w:r>
          </w:p>
        </w:tc>
        <w:tc>
          <w:tcPr>
            <w:tcW w:w="1087"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color w:val="000000"/>
                <w:lang w:eastAsia="et-EE"/>
              </w:rPr>
            </w:pPr>
            <w:r w:rsidRPr="009E6C72">
              <w:rPr>
                <w:color w:val="000000"/>
                <w:lang w:eastAsia="et-EE"/>
              </w:rPr>
              <w:t>18846</w:t>
            </w:r>
          </w:p>
        </w:tc>
        <w:tc>
          <w:tcPr>
            <w:tcW w:w="1088"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color w:val="000000"/>
                <w:lang w:eastAsia="et-EE"/>
              </w:rPr>
            </w:pPr>
            <w:r w:rsidRPr="009E6C72">
              <w:rPr>
                <w:b/>
                <w:color w:val="000000"/>
                <w:lang w:eastAsia="et-EE"/>
              </w:rPr>
              <w:t>92</w:t>
            </w:r>
            <w:r w:rsidR="00EA55E7">
              <w:rPr>
                <w:b/>
                <w:color w:val="000000"/>
                <w:lang w:eastAsia="et-EE"/>
              </w:rPr>
              <w:t>.</w:t>
            </w:r>
            <w:r w:rsidRPr="009E6C72">
              <w:rPr>
                <w:b/>
                <w:color w:val="000000"/>
                <w:lang w:eastAsia="et-EE"/>
              </w:rPr>
              <w:t>56%</w:t>
            </w:r>
          </w:p>
        </w:tc>
      </w:tr>
      <w:tr w:rsidR="004975C9" w:rsidRPr="009E6C72" w:rsidTr="000B62FF">
        <w:trPr>
          <w:trHeight w:val="320"/>
        </w:trPr>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65"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88" w:type="dxa"/>
            <w:gridSpan w:val="2"/>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87"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c>
          <w:tcPr>
            <w:tcW w:w="1088" w:type="dxa"/>
            <w:tcBorders>
              <w:top w:val="nil"/>
              <w:left w:val="nil"/>
              <w:right w:val="nil"/>
            </w:tcBorders>
            <w:shd w:val="clear" w:color="auto" w:fill="auto"/>
            <w:noWrap/>
            <w:vAlign w:val="bottom"/>
            <w:hideMark/>
          </w:tcPr>
          <w:p w:rsidR="004975C9" w:rsidRPr="009E6C72" w:rsidRDefault="004975C9" w:rsidP="00213B41">
            <w:pPr>
              <w:rPr>
                <w:color w:val="000000"/>
                <w:lang w:eastAsia="et-EE"/>
              </w:rPr>
            </w:pPr>
          </w:p>
        </w:tc>
      </w:tr>
      <w:tr w:rsidR="004975C9" w:rsidRPr="009E6C72" w:rsidTr="000B62FF">
        <w:trPr>
          <w:trHeight w:val="320"/>
        </w:trPr>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rPr>
                <w:color w:val="000000"/>
                <w:lang w:eastAsia="et-EE"/>
              </w:rPr>
            </w:pPr>
            <w:r w:rsidRPr="009E6C72">
              <w:rPr>
                <w:color w:val="000000"/>
                <w:lang w:eastAsia="et-EE"/>
              </w:rPr>
              <w:t>Total</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11829</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9973</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EA55E7" w:rsidP="00213B41">
            <w:pPr>
              <w:jc w:val="right"/>
              <w:rPr>
                <w:b/>
                <w:bCs/>
                <w:color w:val="000000"/>
                <w:lang w:eastAsia="et-EE"/>
              </w:rPr>
            </w:pPr>
            <w:r>
              <w:rPr>
                <w:b/>
                <w:bCs/>
                <w:color w:val="000000"/>
                <w:lang w:eastAsia="et-EE"/>
              </w:rPr>
              <w:t>84.</w:t>
            </w:r>
            <w:r w:rsidR="004975C9" w:rsidRPr="009E6C72">
              <w:rPr>
                <w:b/>
                <w:bCs/>
                <w:color w:val="000000"/>
                <w:lang w:eastAsia="et-EE"/>
              </w:rPr>
              <w:t>31%</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11328</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9067</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80</w:t>
            </w:r>
            <w:r w:rsidR="00EA55E7">
              <w:rPr>
                <w:b/>
                <w:bCs/>
                <w:color w:val="000000"/>
                <w:lang w:eastAsia="et-EE"/>
              </w:rPr>
              <w:t>.</w:t>
            </w:r>
            <w:r w:rsidRPr="009E6C72">
              <w:rPr>
                <w:b/>
                <w:bCs/>
                <w:color w:val="000000"/>
                <w:lang w:eastAsia="et-EE"/>
              </w:rPr>
              <w:t>04%</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957127</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862457</w:t>
            </w:r>
          </w:p>
        </w:tc>
        <w:tc>
          <w:tcPr>
            <w:tcW w:w="1065"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90</w:t>
            </w:r>
            <w:r w:rsidR="00EA55E7">
              <w:rPr>
                <w:b/>
                <w:bCs/>
                <w:color w:val="000000"/>
                <w:lang w:eastAsia="et-EE"/>
              </w:rPr>
              <w:t>.</w:t>
            </w:r>
            <w:r w:rsidRPr="009E6C72">
              <w:rPr>
                <w:b/>
                <w:bCs/>
                <w:color w:val="000000"/>
                <w:lang w:eastAsia="et-EE"/>
              </w:rPr>
              <w:t>11%</w:t>
            </w:r>
          </w:p>
        </w:tc>
        <w:tc>
          <w:tcPr>
            <w:tcW w:w="1088" w:type="dxa"/>
            <w:gridSpan w:val="2"/>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159068</w:t>
            </w:r>
          </w:p>
        </w:tc>
        <w:tc>
          <w:tcPr>
            <w:tcW w:w="1087"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152375</w:t>
            </w:r>
          </w:p>
        </w:tc>
        <w:tc>
          <w:tcPr>
            <w:tcW w:w="1088" w:type="dxa"/>
            <w:tcBorders>
              <w:top w:val="nil"/>
              <w:left w:val="nil"/>
              <w:bottom w:val="single" w:sz="4" w:space="0" w:color="auto"/>
              <w:right w:val="nil"/>
            </w:tcBorders>
            <w:shd w:val="clear" w:color="auto" w:fill="auto"/>
            <w:noWrap/>
            <w:vAlign w:val="bottom"/>
            <w:hideMark/>
          </w:tcPr>
          <w:p w:rsidR="004975C9" w:rsidRPr="009E6C72" w:rsidRDefault="004975C9" w:rsidP="00213B41">
            <w:pPr>
              <w:jc w:val="right"/>
              <w:rPr>
                <w:b/>
                <w:bCs/>
                <w:color w:val="000000"/>
                <w:lang w:eastAsia="et-EE"/>
              </w:rPr>
            </w:pPr>
            <w:r w:rsidRPr="009E6C72">
              <w:rPr>
                <w:b/>
                <w:bCs/>
                <w:color w:val="000000"/>
                <w:lang w:eastAsia="et-EE"/>
              </w:rPr>
              <w:t>95</w:t>
            </w:r>
            <w:r w:rsidR="00EA55E7">
              <w:rPr>
                <w:b/>
                <w:bCs/>
                <w:color w:val="000000"/>
                <w:lang w:eastAsia="et-EE"/>
              </w:rPr>
              <w:t>.</w:t>
            </w:r>
            <w:r w:rsidRPr="009E6C72">
              <w:rPr>
                <w:b/>
                <w:bCs/>
                <w:color w:val="000000"/>
                <w:lang w:eastAsia="et-EE"/>
              </w:rPr>
              <w:t>79%</w:t>
            </w:r>
          </w:p>
        </w:tc>
      </w:tr>
      <w:tr w:rsidR="00CE2FA6" w:rsidRPr="009E6C72" w:rsidTr="000B62FF">
        <w:trPr>
          <w:trHeight w:val="320"/>
        </w:trPr>
        <w:tc>
          <w:tcPr>
            <w:tcW w:w="13913" w:type="dxa"/>
            <w:gridSpan w:val="14"/>
            <w:tcBorders>
              <w:top w:val="single" w:sz="4" w:space="0" w:color="auto"/>
              <w:left w:val="nil"/>
              <w:bottom w:val="nil"/>
              <w:right w:val="nil"/>
            </w:tcBorders>
            <w:shd w:val="clear" w:color="auto" w:fill="auto"/>
            <w:noWrap/>
            <w:vAlign w:val="bottom"/>
            <w:hideMark/>
          </w:tcPr>
          <w:p w:rsidR="00CE2FA6" w:rsidRPr="009E6C72" w:rsidRDefault="00CE2FA6" w:rsidP="00213B41">
            <w:pPr>
              <w:jc w:val="right"/>
              <w:rPr>
                <w:b/>
                <w:bCs/>
                <w:color w:val="000000"/>
                <w:lang w:eastAsia="et-EE"/>
              </w:rPr>
            </w:pPr>
          </w:p>
        </w:tc>
      </w:tr>
      <w:tr w:rsidR="00CE2FA6" w:rsidRPr="009E6C72" w:rsidTr="009325F7">
        <w:trPr>
          <w:trHeight w:val="320"/>
        </w:trPr>
        <w:tc>
          <w:tcPr>
            <w:tcW w:w="13913" w:type="dxa"/>
            <w:gridSpan w:val="14"/>
            <w:tcBorders>
              <w:top w:val="nil"/>
              <w:left w:val="nil"/>
              <w:bottom w:val="nil"/>
              <w:right w:val="nil"/>
            </w:tcBorders>
            <w:shd w:val="clear" w:color="auto" w:fill="auto"/>
            <w:noWrap/>
            <w:vAlign w:val="bottom"/>
            <w:hideMark/>
          </w:tcPr>
          <w:p w:rsidR="002D268A" w:rsidRPr="002D268A" w:rsidRDefault="00CE2FA6" w:rsidP="007C791C">
            <w:pPr>
              <w:pStyle w:val="Response"/>
            </w:pPr>
            <w:r>
              <w:t xml:space="preserve">CM </w:t>
            </w:r>
            <w:r w:rsidR="007C791C">
              <w:t>-</w:t>
            </w:r>
            <w:r>
              <w:t xml:space="preserve"> Host plant </w:t>
            </w:r>
            <w:r w:rsidR="002D268A" w:rsidRPr="002D268A">
              <w:rPr>
                <w:i/>
              </w:rPr>
              <w:t>Convallaria majalis</w:t>
            </w:r>
            <w:r>
              <w:t xml:space="preserve">. RS </w:t>
            </w:r>
            <w:r w:rsidR="007C791C">
              <w:t>-</w:t>
            </w:r>
            <w:r>
              <w:t xml:space="preserve"> Host plant </w:t>
            </w:r>
            <w:r w:rsidR="002D268A" w:rsidRPr="002D268A">
              <w:rPr>
                <w:i/>
              </w:rPr>
              <w:t>Rubus saxatilis</w:t>
            </w:r>
            <w:r w:rsidR="002D268A" w:rsidRPr="002D268A">
              <w:t xml:space="preserve">. </w:t>
            </w:r>
            <w:r>
              <w:t xml:space="preserve">R1 </w:t>
            </w:r>
            <w:r w:rsidR="007C791C">
              <w:t>-</w:t>
            </w:r>
            <w:r>
              <w:t xml:space="preserve"> Illumina raw forward read</w:t>
            </w:r>
            <w:r w:rsidR="00447DD2">
              <w:t>s</w:t>
            </w:r>
            <w:r>
              <w:t xml:space="preserve">. 454-qf </w:t>
            </w:r>
            <w:r w:rsidR="007C791C">
              <w:t>-</w:t>
            </w:r>
            <w:r>
              <w:t xml:space="preserve"> quality filtered 454 reads. 454-t </w:t>
            </w:r>
            <w:r w:rsidR="007C791C">
              <w:t>-</w:t>
            </w:r>
            <w:r>
              <w:t xml:space="preserve"> trimmed 454 reads. Ill-qf </w:t>
            </w:r>
            <w:r w:rsidR="007C791C">
              <w:t>-</w:t>
            </w:r>
            <w:r>
              <w:t xml:space="preserve"> quality filtered Illumina reads. 454-t trimmed Illumina reads.</w:t>
            </w:r>
          </w:p>
        </w:tc>
      </w:tr>
    </w:tbl>
    <w:p w:rsidR="00A704EA" w:rsidRDefault="00A704EA" w:rsidP="00A704EA">
      <w:pPr>
        <w:tabs>
          <w:tab w:val="clear" w:pos="708"/>
          <w:tab w:val="left" w:pos="709"/>
        </w:tabs>
        <w:rPr>
          <w:lang w:val="en-GB"/>
        </w:rPr>
        <w:sectPr w:rsidR="00A704EA" w:rsidSect="00C34D57">
          <w:pgSz w:w="16838" w:h="11906" w:orient="landscape" w:code="9"/>
          <w:pgMar w:top="1418" w:right="1418" w:bottom="1418" w:left="1418" w:header="720" w:footer="720" w:gutter="0"/>
          <w:lnNumType w:countBy="1" w:restart="continuous"/>
          <w:cols w:space="720"/>
          <w:docGrid w:linePitch="360"/>
        </w:sectPr>
      </w:pPr>
    </w:p>
    <w:p w:rsidR="00A704EA" w:rsidRDefault="00A704EA" w:rsidP="00F947E8">
      <w:pPr>
        <w:tabs>
          <w:tab w:val="clear" w:pos="708"/>
          <w:tab w:val="left" w:pos="709"/>
        </w:tabs>
        <w:spacing w:line="360" w:lineRule="auto"/>
        <w:rPr>
          <w:lang w:val="en-GB"/>
        </w:rPr>
      </w:pPr>
      <w:r>
        <w:rPr>
          <w:lang w:val="en-GB"/>
        </w:rPr>
        <w:lastRenderedPageBreak/>
        <w:t>Figure legends</w:t>
      </w:r>
    </w:p>
    <w:p w:rsidR="00A704EA" w:rsidRDefault="00A704EA" w:rsidP="00F947E8">
      <w:pPr>
        <w:tabs>
          <w:tab w:val="clear" w:pos="708"/>
          <w:tab w:val="left" w:pos="709"/>
        </w:tabs>
        <w:spacing w:line="360" w:lineRule="auto"/>
        <w:rPr>
          <w:lang w:val="en-GB"/>
        </w:rPr>
      </w:pPr>
    </w:p>
    <w:p w:rsidR="00A704EA" w:rsidRDefault="00784567" w:rsidP="00F947E8">
      <w:pPr>
        <w:tabs>
          <w:tab w:val="clear" w:pos="708"/>
          <w:tab w:val="left" w:pos="709"/>
        </w:tabs>
        <w:spacing w:line="360" w:lineRule="auto"/>
        <w:rPr>
          <w:lang w:val="en-GB"/>
        </w:rPr>
      </w:pPr>
      <w:r w:rsidRPr="00784567">
        <w:rPr>
          <w:b/>
          <w:lang w:val="en-GB"/>
        </w:rPr>
        <w:t>Fig 1</w:t>
      </w:r>
      <w:r w:rsidR="00A704EA">
        <w:rPr>
          <w:lang w:val="en-GB"/>
        </w:rPr>
        <w:t xml:space="preserve"> </w:t>
      </w:r>
      <w:r w:rsidR="00A704EA" w:rsidRPr="0023744D">
        <w:t>Summa</w:t>
      </w:r>
      <w:r w:rsidR="00A704EA">
        <w:t>ry</w:t>
      </w:r>
      <w:r w:rsidR="00A704EA" w:rsidRPr="0023744D">
        <w:t xml:space="preserve"> of </w:t>
      </w:r>
      <w:r w:rsidR="00A704EA">
        <w:t>AM</w:t>
      </w:r>
      <w:r w:rsidR="00116F83">
        <w:t xml:space="preserve"> </w:t>
      </w:r>
      <w:r w:rsidR="00116F83" w:rsidRPr="0025444C">
        <w:rPr>
          <w:rStyle w:val="ResponseChar"/>
        </w:rPr>
        <w:t>fungal</w:t>
      </w:r>
      <w:r w:rsidR="00A704EA" w:rsidRPr="0025444C">
        <w:rPr>
          <w:rStyle w:val="ResponseChar"/>
        </w:rPr>
        <w:t xml:space="preserve"> </w:t>
      </w:r>
      <w:r w:rsidR="00475B2C" w:rsidRPr="0025444C">
        <w:rPr>
          <w:rStyle w:val="ResponseChar"/>
        </w:rPr>
        <w:t>virtual taxa (</w:t>
      </w:r>
      <w:r w:rsidR="00A704EA" w:rsidRPr="0025444C">
        <w:rPr>
          <w:rStyle w:val="ResponseChar"/>
        </w:rPr>
        <w:t>VT</w:t>
      </w:r>
      <w:r w:rsidR="00475B2C" w:rsidRPr="0025444C">
        <w:rPr>
          <w:rStyle w:val="ResponseChar"/>
        </w:rPr>
        <w:t>)</w:t>
      </w:r>
      <w:r w:rsidR="00A704EA">
        <w:t xml:space="preserve"> identified in root samples by</w:t>
      </w:r>
      <w:r w:rsidR="00A704EA" w:rsidRPr="0023744D">
        <w:t xml:space="preserve"> 454</w:t>
      </w:r>
      <w:r w:rsidR="009E3B10">
        <w:t xml:space="preserve"> </w:t>
      </w:r>
      <w:r w:rsidR="00A704EA">
        <w:t>sequencing or</w:t>
      </w:r>
      <w:r w:rsidR="00A704EA" w:rsidRPr="0023744D">
        <w:t xml:space="preserve"> Illumina</w:t>
      </w:r>
      <w:r w:rsidR="00A704EA">
        <w:t xml:space="preserve"> MiSeq paired-end </w:t>
      </w:r>
      <w:r w:rsidR="00A704EA" w:rsidRPr="0023744D">
        <w:t xml:space="preserve">sequencing. </w:t>
      </w:r>
      <w:r w:rsidR="00A704EA" w:rsidRPr="0023744D">
        <w:rPr>
          <w:b/>
        </w:rPr>
        <w:t>a)</w:t>
      </w:r>
      <w:r w:rsidR="00A704EA" w:rsidRPr="0023744D">
        <w:t xml:space="preserve"> taxon distribution </w:t>
      </w:r>
      <w:r w:rsidR="00045F46">
        <w:t>between</w:t>
      </w:r>
      <w:r w:rsidR="00A704EA" w:rsidRPr="0023744D">
        <w:t xml:space="preserve"> quality filtered 454 (454</w:t>
      </w:r>
      <w:r w:rsidR="00A5553A">
        <w:t>-qf</w:t>
      </w:r>
      <w:r w:rsidR="00A704EA" w:rsidRPr="0023744D">
        <w:t>) and Illumina single-end reads (Ill</w:t>
      </w:r>
      <w:r w:rsidR="00A5553A">
        <w:t>-qf</w:t>
      </w:r>
      <w:r w:rsidR="00A704EA" w:rsidRPr="0023744D">
        <w:t>, R1)</w:t>
      </w:r>
      <w:r w:rsidR="00A704EA">
        <w:t>;</w:t>
      </w:r>
      <w:r w:rsidR="00A704EA" w:rsidRPr="0023744D">
        <w:t xml:space="preserve"> </w:t>
      </w:r>
      <w:r w:rsidR="00A704EA" w:rsidRPr="0023744D">
        <w:rPr>
          <w:b/>
        </w:rPr>
        <w:t>b)</w:t>
      </w:r>
      <w:r w:rsidR="00A704EA" w:rsidRPr="0023744D">
        <w:t xml:space="preserve"> taxon distribution between amplicon filtered 454 (454</w:t>
      </w:r>
      <w:r w:rsidR="00A5553A">
        <w:t>-t</w:t>
      </w:r>
      <w:r w:rsidR="00A704EA" w:rsidRPr="0023744D">
        <w:t>) and Illumina paired-end reads (Ill</w:t>
      </w:r>
      <w:r w:rsidR="00A5553A">
        <w:t>-t</w:t>
      </w:r>
      <w:r w:rsidR="00A704EA" w:rsidRPr="0023744D">
        <w:t>).</w:t>
      </w:r>
      <w:r w:rsidR="00E353DC">
        <w:t xml:space="preserve"> Illumina reads are presented in italic.</w:t>
      </w:r>
      <w:r w:rsidR="00A704EA" w:rsidRPr="0023744D">
        <w:t xml:space="preserve"> </w:t>
      </w:r>
      <w:r w:rsidR="00A704EA" w:rsidRPr="0023744D">
        <w:rPr>
          <w:b/>
        </w:rPr>
        <w:t>c)</w:t>
      </w:r>
      <w:r w:rsidR="00045F46">
        <w:t xml:space="preserve"> Location of </w:t>
      </w:r>
      <w:r w:rsidR="00A704EA" w:rsidRPr="0023744D">
        <w:t>quality</w:t>
      </w:r>
      <w:r w:rsidR="00045F46">
        <w:t>-</w:t>
      </w:r>
      <w:r w:rsidR="00A704EA" w:rsidRPr="0023744D">
        <w:t>filtered Illumina single-end (Ill</w:t>
      </w:r>
      <w:r w:rsidR="00A5553A">
        <w:t>-qf</w:t>
      </w:r>
      <w:r w:rsidR="00A704EA" w:rsidRPr="0023744D">
        <w:t>, R1</w:t>
      </w:r>
      <w:r w:rsidR="00396C93" w:rsidRPr="0025444C">
        <w:rPr>
          <w:rStyle w:val="ResponseChar"/>
        </w:rPr>
        <w:t xml:space="preserve">, </w:t>
      </w:r>
      <w:r w:rsidR="00683AC2" w:rsidRPr="0025444C">
        <w:rPr>
          <w:rStyle w:val="ResponseChar"/>
        </w:rPr>
        <w:t>solid</w:t>
      </w:r>
      <w:r w:rsidR="00396C93" w:rsidRPr="0025444C">
        <w:rPr>
          <w:rStyle w:val="ResponseChar"/>
        </w:rPr>
        <w:t xml:space="preserve"> line</w:t>
      </w:r>
      <w:r w:rsidR="00A704EA" w:rsidRPr="0023744D">
        <w:t>) and amplicon filtered paired-end reads (Ill</w:t>
      </w:r>
      <w:r w:rsidR="00A5553A">
        <w:t>-t</w:t>
      </w:r>
      <w:r w:rsidR="00396C93" w:rsidRPr="0025444C">
        <w:rPr>
          <w:rStyle w:val="ResponseChar"/>
        </w:rPr>
        <w:t xml:space="preserve">, </w:t>
      </w:r>
      <w:r w:rsidR="00683AC2" w:rsidRPr="0025444C">
        <w:rPr>
          <w:rStyle w:val="ResponseChar"/>
        </w:rPr>
        <w:t>dashed</w:t>
      </w:r>
      <w:r w:rsidR="00396C93" w:rsidRPr="0025444C">
        <w:rPr>
          <w:rStyle w:val="ResponseChar"/>
        </w:rPr>
        <w:t xml:space="preserve"> line</w:t>
      </w:r>
      <w:r w:rsidR="00A704EA" w:rsidRPr="0023744D">
        <w:t xml:space="preserve">) on </w:t>
      </w:r>
      <w:r w:rsidR="00DD677D">
        <w:t xml:space="preserve">the </w:t>
      </w:r>
      <w:r w:rsidR="00A704EA" w:rsidRPr="0023744D">
        <w:t>NS31-AML2 amplicon</w:t>
      </w:r>
      <w:r w:rsidR="00475B2C">
        <w:t xml:space="preserve"> </w:t>
      </w:r>
      <w:r w:rsidR="00475B2C" w:rsidRPr="0025444C">
        <w:rPr>
          <w:rStyle w:val="ResponseChar"/>
        </w:rPr>
        <w:t xml:space="preserve">with most variable </w:t>
      </w:r>
      <w:r w:rsidR="00227E42" w:rsidRPr="0025444C">
        <w:rPr>
          <w:rStyle w:val="ResponseChar"/>
        </w:rPr>
        <w:t>fragment</w:t>
      </w:r>
      <w:r w:rsidR="000B62FF" w:rsidRPr="0025444C">
        <w:rPr>
          <w:rStyle w:val="ResponseChar"/>
        </w:rPr>
        <w:t xml:space="preserve"> shaded with hatched lines</w:t>
      </w:r>
      <w:r w:rsidR="00A704EA" w:rsidRPr="0025444C">
        <w:rPr>
          <w:rStyle w:val="ResponseChar"/>
        </w:rPr>
        <w:t>.</w:t>
      </w:r>
      <w:r w:rsidR="00A704EA" w:rsidRPr="0023744D">
        <w:t xml:space="preserve"> </w:t>
      </w:r>
      <w:r w:rsidR="00A704EA" w:rsidRPr="0023744D">
        <w:rPr>
          <w:b/>
        </w:rPr>
        <w:t>d)</w:t>
      </w:r>
      <w:r w:rsidR="00A704EA" w:rsidRPr="0023744D">
        <w:t xml:space="preserve"> Maarj</w:t>
      </w:r>
      <w:r w:rsidR="00A704EA" w:rsidRPr="0023744D">
        <w:rPr>
          <w:i/>
        </w:rPr>
        <w:t>AM</w:t>
      </w:r>
      <w:r w:rsidR="00A704EA" w:rsidRPr="0023744D">
        <w:t xml:space="preserve"> database multiple alignment consensus dissimilarity for each base </w:t>
      </w:r>
      <w:r w:rsidR="00045F46">
        <w:t xml:space="preserve">with </w:t>
      </w:r>
      <w:r w:rsidR="00A704EA" w:rsidRPr="0023744D">
        <w:t xml:space="preserve">most variable region </w:t>
      </w:r>
      <w:r w:rsidR="00045F46">
        <w:t>shaded</w:t>
      </w:r>
    </w:p>
    <w:p w:rsidR="00A704EA" w:rsidRPr="0025444C" w:rsidRDefault="00784567" w:rsidP="00F947E8">
      <w:pPr>
        <w:tabs>
          <w:tab w:val="clear" w:pos="708"/>
          <w:tab w:val="left" w:pos="709"/>
        </w:tabs>
        <w:spacing w:line="360" w:lineRule="auto"/>
        <w:rPr>
          <w:rStyle w:val="ResponseChar"/>
        </w:rPr>
      </w:pPr>
      <w:r w:rsidRPr="00784567">
        <w:rPr>
          <w:b/>
          <w:lang w:val="en-GB"/>
        </w:rPr>
        <w:t>Fig 2</w:t>
      </w:r>
      <w:r w:rsidR="00A704EA">
        <w:rPr>
          <w:lang w:val="en-GB"/>
        </w:rPr>
        <w:t xml:space="preserve"> </w:t>
      </w:r>
      <w:r w:rsidR="00A704EA" w:rsidRPr="0023744D">
        <w:t>Average number of AM</w:t>
      </w:r>
      <w:r w:rsidR="00116F83">
        <w:t xml:space="preserve"> </w:t>
      </w:r>
      <w:r w:rsidR="00116F83" w:rsidRPr="0025444C">
        <w:rPr>
          <w:rStyle w:val="ResponseChar"/>
        </w:rPr>
        <w:t>fungal</w:t>
      </w:r>
      <w:r w:rsidR="00A704EA" w:rsidRPr="0023744D">
        <w:t xml:space="preserve"> virtual taxa (VT) per sample </w:t>
      </w:r>
      <w:r w:rsidR="00A704EA">
        <w:t>when</w:t>
      </w:r>
      <w:r w:rsidR="00A704EA" w:rsidRPr="0023744D">
        <w:t xml:space="preserve"> amplified by 454</w:t>
      </w:r>
      <w:r w:rsidR="009E3B10">
        <w:t xml:space="preserve"> </w:t>
      </w:r>
      <w:r w:rsidR="00A704EA" w:rsidRPr="0023744D">
        <w:t>sequencing or Illumina</w:t>
      </w:r>
      <w:r w:rsidR="00A704EA">
        <w:t xml:space="preserve"> MiSeq paired</w:t>
      </w:r>
      <w:r w:rsidR="00A27892">
        <w:t>-</w:t>
      </w:r>
      <w:r w:rsidR="00A704EA">
        <w:t xml:space="preserve">end </w:t>
      </w:r>
      <w:r w:rsidR="00A704EA" w:rsidRPr="0023744D">
        <w:t xml:space="preserve">sequencing </w:t>
      </w:r>
      <w:r w:rsidR="00A704EA">
        <w:t>after</w:t>
      </w:r>
      <w:r w:rsidR="00A704EA" w:rsidRPr="0023744D">
        <w:t xml:space="preserve"> quality</w:t>
      </w:r>
      <w:r w:rsidR="00A704EA">
        <w:t>-filtering</w:t>
      </w:r>
      <w:r w:rsidR="00A704EA" w:rsidRPr="0023744D">
        <w:t xml:space="preserve"> (</w:t>
      </w:r>
      <w:r w:rsidR="007B07E0">
        <w:t>454</w:t>
      </w:r>
      <w:r w:rsidR="00A5553A">
        <w:t>-qf</w:t>
      </w:r>
      <w:r w:rsidR="007B07E0">
        <w:t>, Ill</w:t>
      </w:r>
      <w:r w:rsidR="00A5553A">
        <w:t>-qf</w:t>
      </w:r>
      <w:r w:rsidR="00A704EA" w:rsidRPr="0023744D">
        <w:t xml:space="preserve">) </w:t>
      </w:r>
      <w:r w:rsidR="00A704EA">
        <w:t>or quality filtering and trimming</w:t>
      </w:r>
      <w:r w:rsidR="007B07E0">
        <w:t xml:space="preserve"> </w:t>
      </w:r>
      <w:r w:rsidR="00A704EA">
        <w:t xml:space="preserve">to </w:t>
      </w:r>
      <w:r w:rsidR="00DD677D">
        <w:t xml:space="preserve">the most variable </w:t>
      </w:r>
      <w:r w:rsidR="00A704EA">
        <w:t xml:space="preserve">fragment </w:t>
      </w:r>
      <w:r w:rsidR="00DD677D">
        <w:t>(</w:t>
      </w:r>
      <w:r w:rsidR="00A704EA">
        <w:t>70-300 bp</w:t>
      </w:r>
      <w:r w:rsidR="00DD677D">
        <w:t>)</w:t>
      </w:r>
      <w:r w:rsidR="00A704EA">
        <w:t xml:space="preserve"> of </w:t>
      </w:r>
      <w:r w:rsidR="00DD677D">
        <w:t xml:space="preserve">the </w:t>
      </w:r>
      <w:r w:rsidR="00A704EA">
        <w:t xml:space="preserve">NS31-AML2 amplicon </w:t>
      </w:r>
      <w:r w:rsidR="00BA6978">
        <w:t>(454-t, Ill-t)</w:t>
      </w:r>
      <w:r w:rsidR="00227E42">
        <w:t xml:space="preserve">. </w:t>
      </w:r>
      <w:r w:rsidR="00227E42" w:rsidRPr="0025444C">
        <w:rPr>
          <w:rStyle w:val="ResponseChar"/>
        </w:rPr>
        <w:t xml:space="preserve">Bars topped by the same letter do not differ significantly at </w:t>
      </w:r>
      <w:r w:rsidR="00F01783" w:rsidRPr="00F964A7">
        <w:rPr>
          <w:rStyle w:val="ResponseChar"/>
          <w:i/>
        </w:rPr>
        <w:t>P</w:t>
      </w:r>
      <w:r w:rsidR="00227E42" w:rsidRPr="0025444C">
        <w:rPr>
          <w:rStyle w:val="ResponseChar"/>
        </w:rPr>
        <w:t xml:space="preserve"> ≤ 0.05 by </w:t>
      </w:r>
      <w:r w:rsidR="0010118D" w:rsidRPr="0025444C">
        <w:rPr>
          <w:rStyle w:val="ResponseChar"/>
        </w:rPr>
        <w:t>Tukey’s HSD</w:t>
      </w:r>
      <w:r w:rsidR="00227E42" w:rsidRPr="0025444C">
        <w:rPr>
          <w:rStyle w:val="ResponseChar"/>
        </w:rPr>
        <w:t xml:space="preserve"> test.</w:t>
      </w:r>
    </w:p>
    <w:p w:rsidR="00A704EA" w:rsidRDefault="00784567" w:rsidP="00F947E8">
      <w:pPr>
        <w:tabs>
          <w:tab w:val="clear" w:pos="708"/>
          <w:tab w:val="left" w:pos="709"/>
        </w:tabs>
        <w:spacing w:line="360" w:lineRule="auto"/>
      </w:pPr>
      <w:r w:rsidRPr="00784567">
        <w:rPr>
          <w:b/>
          <w:lang w:val="en-GB"/>
        </w:rPr>
        <w:t>Fig 3</w:t>
      </w:r>
      <w:r w:rsidR="00A704EA" w:rsidRPr="00A704EA">
        <w:t xml:space="preserve"> </w:t>
      </w:r>
      <w:r w:rsidR="00DD677D">
        <w:t>Pearson’s c</w:t>
      </w:r>
      <w:r w:rsidR="00DD677D" w:rsidRPr="0023744D">
        <w:t xml:space="preserve">orrelation </w:t>
      </w:r>
      <w:r w:rsidR="00A704EA" w:rsidRPr="0023744D">
        <w:t>between proportional abundance</w:t>
      </w:r>
      <w:r w:rsidR="00A704EA">
        <w:t>s</w:t>
      </w:r>
      <w:r w:rsidR="00A704EA" w:rsidRPr="0023744D">
        <w:t xml:space="preserve"> of shared VT between </w:t>
      </w:r>
      <w:r w:rsidR="00A704EA">
        <w:t>trimmed</w:t>
      </w:r>
      <w:r w:rsidR="00A704EA" w:rsidRPr="0023744D">
        <w:t xml:space="preserve"> 454</w:t>
      </w:r>
      <w:r w:rsidR="008D50EB">
        <w:t>-</w:t>
      </w:r>
      <w:r w:rsidR="00A704EA">
        <w:t>reads</w:t>
      </w:r>
      <w:r w:rsidR="00A704EA" w:rsidRPr="0023744D">
        <w:t xml:space="preserve"> (454</w:t>
      </w:r>
      <w:r w:rsidR="00A5553A">
        <w:t>-t</w:t>
      </w:r>
      <w:r w:rsidR="00A704EA" w:rsidRPr="0023744D">
        <w:t xml:space="preserve">) and Illumina </w:t>
      </w:r>
      <w:r w:rsidR="00A704EA">
        <w:t xml:space="preserve">MiSeq paired-end </w:t>
      </w:r>
      <w:r w:rsidR="00A704EA" w:rsidRPr="0023744D">
        <w:t>sequences (Ill</w:t>
      </w:r>
      <w:r w:rsidR="00A5553A">
        <w:t>-t</w:t>
      </w:r>
      <w:r w:rsidR="00A704EA" w:rsidRPr="0023744D">
        <w:t>)</w:t>
      </w:r>
      <w:r w:rsidR="00DD677D">
        <w:t xml:space="preserve"> (Pearson’s c</w:t>
      </w:r>
      <w:r w:rsidR="00DD677D" w:rsidRPr="0023744D">
        <w:t>orrelation</w:t>
      </w:r>
      <w:r w:rsidR="00DD677D">
        <w:t xml:space="preserve"> </w:t>
      </w:r>
      <w:r w:rsidR="00A704EA" w:rsidRPr="00C93E58">
        <w:rPr>
          <w:i/>
        </w:rPr>
        <w:t>r</w:t>
      </w:r>
      <w:r w:rsidR="00C93E58">
        <w:t xml:space="preserve"> </w:t>
      </w:r>
      <w:r w:rsidR="00A704EA" w:rsidRPr="0023744D">
        <w:t>=</w:t>
      </w:r>
      <w:r w:rsidR="00C93E58">
        <w:t xml:space="preserve"> </w:t>
      </w:r>
      <w:r w:rsidR="00A704EA" w:rsidRPr="0023744D">
        <w:t>0.92</w:t>
      </w:r>
      <w:r w:rsidR="00170289">
        <w:t xml:space="preserve">, </w:t>
      </w:r>
      <w:r w:rsidR="00170289" w:rsidRPr="00C93E58">
        <w:rPr>
          <w:i/>
        </w:rPr>
        <w:t>P</w:t>
      </w:r>
      <w:r w:rsidR="00C93E58">
        <w:t xml:space="preserve"> </w:t>
      </w:r>
      <w:r w:rsidR="008E4AC1">
        <w:t>&lt;</w:t>
      </w:r>
      <w:r w:rsidR="00C93E58">
        <w:t xml:space="preserve"> </w:t>
      </w:r>
      <w:r w:rsidR="008E4AC1">
        <w:t>0.001</w:t>
      </w:r>
      <w:r w:rsidR="00DD677D">
        <w:t>; omitting</w:t>
      </w:r>
      <w:r w:rsidR="00A704EA">
        <w:t xml:space="preserve"> the outlier</w:t>
      </w:r>
      <w:r w:rsidR="002F19D8">
        <w:t xml:space="preserve"> </w:t>
      </w:r>
      <w:r w:rsidR="00726134">
        <w:t>(</w:t>
      </w:r>
      <w:r w:rsidR="00DB0446">
        <w:t>VT74</w:t>
      </w:r>
      <w:r w:rsidR="00726134">
        <w:t>)</w:t>
      </w:r>
      <w:r w:rsidR="00A704EA">
        <w:t>:</w:t>
      </w:r>
      <w:r w:rsidR="00170289">
        <w:t xml:space="preserve"> </w:t>
      </w:r>
      <w:r w:rsidR="00170289" w:rsidRPr="00C93E58">
        <w:rPr>
          <w:i/>
        </w:rPr>
        <w:t>r</w:t>
      </w:r>
      <w:r w:rsidR="00C93E58">
        <w:t xml:space="preserve"> </w:t>
      </w:r>
      <w:r w:rsidR="00170289">
        <w:t>=</w:t>
      </w:r>
      <w:r w:rsidR="00C93E58">
        <w:t xml:space="preserve"> </w:t>
      </w:r>
      <w:r w:rsidR="00170289">
        <w:t xml:space="preserve">0.73, </w:t>
      </w:r>
      <w:r w:rsidR="00170289" w:rsidRPr="00C93E58">
        <w:rPr>
          <w:i/>
        </w:rPr>
        <w:t>P</w:t>
      </w:r>
      <w:r w:rsidR="00C93E58">
        <w:t xml:space="preserve"> </w:t>
      </w:r>
      <w:r w:rsidR="00637871">
        <w:t>&lt;</w:t>
      </w:r>
      <w:r w:rsidR="00C93E58">
        <w:t xml:space="preserve"> </w:t>
      </w:r>
      <w:r w:rsidR="00637871">
        <w:t>0.001</w:t>
      </w:r>
      <w:r w:rsidR="00DD677D">
        <w:t>)</w:t>
      </w:r>
    </w:p>
    <w:p w:rsidR="005830EA" w:rsidRPr="005830EA" w:rsidRDefault="00784567" w:rsidP="00F947E8">
      <w:pPr>
        <w:spacing w:line="360" w:lineRule="auto"/>
        <w:rPr>
          <w:rFonts w:cs="Times New Roman"/>
          <w:lang w:val="en-GB"/>
        </w:rPr>
      </w:pPr>
      <w:r w:rsidRPr="00784567">
        <w:rPr>
          <w:b/>
          <w:lang w:val="en-GB"/>
        </w:rPr>
        <w:t xml:space="preserve">Fig </w:t>
      </w:r>
      <w:r>
        <w:rPr>
          <w:b/>
          <w:lang w:val="en-GB"/>
        </w:rPr>
        <w:t>4</w:t>
      </w:r>
      <w:r w:rsidR="00A704EA">
        <w:rPr>
          <w:lang w:val="en-GB"/>
        </w:rPr>
        <w:t xml:space="preserve"> </w:t>
      </w:r>
      <w:r w:rsidR="00A704EA">
        <w:rPr>
          <w:rFonts w:cs="Times New Roman"/>
          <w:lang w:val="en-GB"/>
        </w:rPr>
        <w:t>Metagenomic</w:t>
      </w:r>
      <w:r w:rsidR="00A704EA" w:rsidRPr="00710444">
        <w:rPr>
          <w:rFonts w:cs="Times New Roman"/>
          <w:lang w:val="en-GB"/>
        </w:rPr>
        <w:t xml:space="preserve"> Illumina sequences translated into genes and protein BLAST by graph drawing tool Krona</w:t>
      </w:r>
      <w:r w:rsidR="00A704EA">
        <w:rPr>
          <w:rFonts w:cs="Times New Roman"/>
          <w:lang w:val="en-GB"/>
        </w:rPr>
        <w:t>.</w:t>
      </w:r>
      <w:r w:rsidR="00A704EA" w:rsidRPr="00710444">
        <w:rPr>
          <w:rFonts w:cs="Times New Roman"/>
          <w:lang w:val="en-GB"/>
        </w:rPr>
        <w:t xml:space="preserve"> </w:t>
      </w:r>
      <w:r w:rsidR="00A704EA">
        <w:rPr>
          <w:rFonts w:cs="Times New Roman"/>
          <w:lang w:val="en-GB"/>
        </w:rPr>
        <w:t>Taxonomic ranks</w:t>
      </w:r>
      <w:r w:rsidR="00A704EA" w:rsidRPr="00710444">
        <w:rPr>
          <w:rFonts w:cs="Times New Roman"/>
          <w:lang w:val="en-GB"/>
        </w:rPr>
        <w:t xml:space="preserve"> are shown as nested sectors </w:t>
      </w:r>
      <w:r w:rsidR="00A704EA">
        <w:rPr>
          <w:rFonts w:cs="Times New Roman"/>
          <w:lang w:val="en-GB"/>
        </w:rPr>
        <w:t>with higher ranks</w:t>
      </w:r>
      <w:r w:rsidR="00A704EA" w:rsidRPr="00710444">
        <w:rPr>
          <w:rFonts w:cs="Times New Roman"/>
          <w:lang w:val="en-GB"/>
        </w:rPr>
        <w:t xml:space="preserve"> at the center. </w:t>
      </w:r>
      <w:r w:rsidR="00A704EA" w:rsidRPr="00A40339">
        <w:rPr>
          <w:rFonts w:cs="Times New Roman"/>
          <w:b/>
          <w:lang w:val="en-GB"/>
        </w:rPr>
        <w:t>a)</w:t>
      </w:r>
      <w:r w:rsidR="00A704EA">
        <w:rPr>
          <w:rFonts w:cs="Times New Roman"/>
          <w:lang w:val="en-GB"/>
        </w:rPr>
        <w:t xml:space="preserve"> all identified data; </w:t>
      </w:r>
      <w:r w:rsidR="00A704EA" w:rsidRPr="00A40339">
        <w:rPr>
          <w:rFonts w:cs="Times New Roman"/>
          <w:b/>
          <w:lang w:val="en-GB"/>
        </w:rPr>
        <w:t>b</w:t>
      </w:r>
      <w:bookmarkStart w:id="1" w:name="_GoBack"/>
      <w:bookmarkEnd w:id="1"/>
      <w:r w:rsidR="00A704EA" w:rsidRPr="00A40339">
        <w:rPr>
          <w:rFonts w:cs="Times New Roman"/>
          <w:b/>
          <w:lang w:val="en-GB"/>
        </w:rPr>
        <w:t>)</w:t>
      </w:r>
      <w:r w:rsidR="00A704EA">
        <w:rPr>
          <w:rFonts w:cs="Times New Roman"/>
          <w:lang w:val="en-GB"/>
        </w:rPr>
        <w:t xml:space="preserve"> Fungi</w:t>
      </w:r>
    </w:p>
    <w:sectPr w:rsidR="005830EA" w:rsidRPr="005830EA" w:rsidSect="00C34D57">
      <w:pgSz w:w="11906" w:h="16838" w:code="9"/>
      <w:pgMar w:top="1418" w:right="1418" w:bottom="1418" w:left="1418"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35D466" w15:done="0"/>
  <w15:commentEx w15:paraId="25223834" w15:done="0"/>
  <w15:commentEx w15:paraId="2CD2F2FE" w15:done="0"/>
  <w15:commentEx w15:paraId="33C0B46B" w15:done="0"/>
  <w15:commentEx w15:paraId="02D644EA" w15:done="0"/>
  <w15:commentEx w15:paraId="711E88E4" w15:done="0"/>
  <w15:commentEx w15:paraId="3B768266" w15:done="0"/>
  <w15:commentEx w15:paraId="4C755F4A" w15:done="0"/>
  <w15:commentEx w15:paraId="4DD58AB9" w15:done="0"/>
  <w15:commentEx w15:paraId="1437CA2E" w15:done="0"/>
  <w15:commentEx w15:paraId="3B53FA90" w15:done="0"/>
  <w15:commentEx w15:paraId="1FC03477" w15:done="0"/>
  <w15:commentEx w15:paraId="2BA97E04" w15:paraIdParent="1FC03477" w15:done="0"/>
  <w15:commentEx w15:paraId="20542F8E" w15:done="0"/>
  <w15:commentEx w15:paraId="58B114BB" w15:done="0"/>
  <w15:commentEx w15:paraId="1C7521FA" w15:paraIdParent="58B114BB" w15:done="0"/>
  <w15:commentEx w15:paraId="6156E3F5" w15:done="0"/>
  <w15:commentEx w15:paraId="5D741999" w15:done="0"/>
  <w15:commentEx w15:paraId="4A06FC7D" w15:done="0"/>
  <w15:commentEx w15:paraId="0911358F" w15:done="0"/>
  <w15:commentEx w15:paraId="54BBE4BA" w15:done="0"/>
  <w15:commentEx w15:paraId="651E007E" w15:done="0"/>
  <w15:commentEx w15:paraId="4B05C8CD" w15:done="0"/>
  <w15:commentEx w15:paraId="37F530F2" w15:done="0"/>
  <w15:commentEx w15:paraId="546390E6" w15:done="0"/>
  <w15:commentEx w15:paraId="0ABAB15B" w15:done="0"/>
  <w15:commentEx w15:paraId="1921A6FB" w15:done="0"/>
  <w15:commentEx w15:paraId="3732B5D1" w15:done="0"/>
  <w15:commentEx w15:paraId="2F75F0E3" w15:done="0"/>
  <w15:commentEx w15:paraId="5AA705C3" w15:done="0"/>
  <w15:commentEx w15:paraId="5494E6C0" w15:done="0"/>
  <w15:commentEx w15:paraId="6F653694" w15:done="0"/>
  <w15:commentEx w15:paraId="4C24C6C7" w15:done="0"/>
  <w15:commentEx w15:paraId="18EBBC03" w15:done="0"/>
  <w15:commentEx w15:paraId="26987677" w15:done="0"/>
  <w15:commentEx w15:paraId="42056F9F" w15:done="0"/>
  <w15:commentEx w15:paraId="65981009" w15:done="0"/>
  <w15:commentEx w15:paraId="15AC0AFB" w15:done="0"/>
  <w15:commentEx w15:paraId="042DED45" w15:done="0"/>
  <w15:commentEx w15:paraId="70F41860" w15:done="0"/>
  <w15:commentEx w15:paraId="5E39AAA5" w15:paraIdParent="70F4186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707" w:rsidRDefault="00B51707" w:rsidP="00D56607">
      <w:r>
        <w:separator/>
      </w:r>
    </w:p>
  </w:endnote>
  <w:endnote w:type="continuationSeparator" w:id="0">
    <w:p w:rsidR="00B51707" w:rsidRDefault="00B51707" w:rsidP="00D56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031547"/>
      <w:docPartObj>
        <w:docPartGallery w:val="Page Numbers (Bottom of Page)"/>
        <w:docPartUnique/>
      </w:docPartObj>
    </w:sdtPr>
    <w:sdtContent>
      <w:p w:rsidR="00473ADC" w:rsidRDefault="0039229D">
        <w:pPr>
          <w:pStyle w:val="Footer"/>
          <w:jc w:val="right"/>
        </w:pPr>
        <w:fldSimple w:instr=" PAGE   \* MERGEFORMAT ">
          <w:r w:rsidR="001B68B3">
            <w:rPr>
              <w:noProof/>
            </w:rPr>
            <w:t>9</w:t>
          </w:r>
        </w:fldSimple>
      </w:p>
    </w:sdtContent>
  </w:sdt>
  <w:p w:rsidR="00473ADC" w:rsidRDefault="00473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707" w:rsidRDefault="00B51707" w:rsidP="00D56607">
      <w:r>
        <w:separator/>
      </w:r>
    </w:p>
  </w:footnote>
  <w:footnote w:type="continuationSeparator" w:id="0">
    <w:p w:rsidR="00B51707" w:rsidRDefault="00B51707" w:rsidP="00D56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213D2"/>
    <w:multiLevelType w:val="hybridMultilevel"/>
    <w:tmpl w:val="1190306C"/>
    <w:lvl w:ilvl="0" w:tplc="84A2A15E">
      <w:numFmt w:val="bullet"/>
      <w:lvlText w:val="-"/>
      <w:lvlJc w:val="left"/>
      <w:pPr>
        <w:ind w:left="720" w:hanging="360"/>
      </w:pPr>
      <w:rPr>
        <w:rFonts w:ascii="Times New Roman" w:eastAsia="Times New Roman" w:hAnsi="Times New Roman" w:cs="Times New Roman"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F94D5C"/>
    <w:multiLevelType w:val="hybridMultilevel"/>
    <w:tmpl w:val="6AF2632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Davison">
    <w15:presenceInfo w15:providerId="None" w15:userId="John Davis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3F01"/>
  <w:defaultTabStop w:val="709"/>
  <w:hyphenationZone w:val="357"/>
  <w:drawingGridHorizontalSpacing w:val="12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rsids>
    <w:rsidRoot w:val="00970E9B"/>
    <w:rsid w:val="00000A28"/>
    <w:rsid w:val="000035C0"/>
    <w:rsid w:val="00004755"/>
    <w:rsid w:val="000054E8"/>
    <w:rsid w:val="00005579"/>
    <w:rsid w:val="0000579F"/>
    <w:rsid w:val="000064A5"/>
    <w:rsid w:val="000068C1"/>
    <w:rsid w:val="00006B92"/>
    <w:rsid w:val="0001105D"/>
    <w:rsid w:val="000123C1"/>
    <w:rsid w:val="00013B5D"/>
    <w:rsid w:val="00013C1A"/>
    <w:rsid w:val="00013E65"/>
    <w:rsid w:val="00013FBD"/>
    <w:rsid w:val="000143C7"/>
    <w:rsid w:val="0001545E"/>
    <w:rsid w:val="00016789"/>
    <w:rsid w:val="000219C3"/>
    <w:rsid w:val="00023C13"/>
    <w:rsid w:val="00024656"/>
    <w:rsid w:val="00024747"/>
    <w:rsid w:val="0002522C"/>
    <w:rsid w:val="00027666"/>
    <w:rsid w:val="00027E8F"/>
    <w:rsid w:val="00030FB5"/>
    <w:rsid w:val="0003122E"/>
    <w:rsid w:val="0003125A"/>
    <w:rsid w:val="00031AFA"/>
    <w:rsid w:val="00034AE8"/>
    <w:rsid w:val="00034FE0"/>
    <w:rsid w:val="00036A12"/>
    <w:rsid w:val="000377DA"/>
    <w:rsid w:val="00037D52"/>
    <w:rsid w:val="000406E6"/>
    <w:rsid w:val="000417D6"/>
    <w:rsid w:val="00042F45"/>
    <w:rsid w:val="00044FA2"/>
    <w:rsid w:val="000451C4"/>
    <w:rsid w:val="00045AA1"/>
    <w:rsid w:val="00045C85"/>
    <w:rsid w:val="00045F46"/>
    <w:rsid w:val="00046769"/>
    <w:rsid w:val="00046D8B"/>
    <w:rsid w:val="000510F1"/>
    <w:rsid w:val="00052C97"/>
    <w:rsid w:val="00053468"/>
    <w:rsid w:val="00055363"/>
    <w:rsid w:val="00056EC8"/>
    <w:rsid w:val="00057C55"/>
    <w:rsid w:val="0006022E"/>
    <w:rsid w:val="000631C9"/>
    <w:rsid w:val="00064028"/>
    <w:rsid w:val="00064F31"/>
    <w:rsid w:val="000661FB"/>
    <w:rsid w:val="00067979"/>
    <w:rsid w:val="00072558"/>
    <w:rsid w:val="00072BEE"/>
    <w:rsid w:val="00073314"/>
    <w:rsid w:val="000736D4"/>
    <w:rsid w:val="00073B92"/>
    <w:rsid w:val="00074BDA"/>
    <w:rsid w:val="00076AF3"/>
    <w:rsid w:val="00077DA7"/>
    <w:rsid w:val="00082859"/>
    <w:rsid w:val="00083909"/>
    <w:rsid w:val="0008395B"/>
    <w:rsid w:val="00083E3E"/>
    <w:rsid w:val="00085301"/>
    <w:rsid w:val="00086DE6"/>
    <w:rsid w:val="0008795E"/>
    <w:rsid w:val="00090E12"/>
    <w:rsid w:val="00091BEC"/>
    <w:rsid w:val="00092F47"/>
    <w:rsid w:val="00093226"/>
    <w:rsid w:val="000939D2"/>
    <w:rsid w:val="0009464B"/>
    <w:rsid w:val="000950F2"/>
    <w:rsid w:val="000954B8"/>
    <w:rsid w:val="0009550F"/>
    <w:rsid w:val="000958BB"/>
    <w:rsid w:val="00095C8F"/>
    <w:rsid w:val="00095D53"/>
    <w:rsid w:val="000976AF"/>
    <w:rsid w:val="000A02F9"/>
    <w:rsid w:val="000A1EA8"/>
    <w:rsid w:val="000A2098"/>
    <w:rsid w:val="000A2532"/>
    <w:rsid w:val="000A2B19"/>
    <w:rsid w:val="000A320F"/>
    <w:rsid w:val="000A418E"/>
    <w:rsid w:val="000A4F9B"/>
    <w:rsid w:val="000A5201"/>
    <w:rsid w:val="000A6292"/>
    <w:rsid w:val="000B1F64"/>
    <w:rsid w:val="000B2744"/>
    <w:rsid w:val="000B4642"/>
    <w:rsid w:val="000B62FF"/>
    <w:rsid w:val="000B67C9"/>
    <w:rsid w:val="000C1662"/>
    <w:rsid w:val="000C28C4"/>
    <w:rsid w:val="000C35C4"/>
    <w:rsid w:val="000C3CDC"/>
    <w:rsid w:val="000C406A"/>
    <w:rsid w:val="000C431C"/>
    <w:rsid w:val="000C56B6"/>
    <w:rsid w:val="000D1067"/>
    <w:rsid w:val="000D1476"/>
    <w:rsid w:val="000D2087"/>
    <w:rsid w:val="000D3646"/>
    <w:rsid w:val="000D496D"/>
    <w:rsid w:val="000D785D"/>
    <w:rsid w:val="000E0741"/>
    <w:rsid w:val="000E1280"/>
    <w:rsid w:val="000E1811"/>
    <w:rsid w:val="000E201A"/>
    <w:rsid w:val="000E5B7A"/>
    <w:rsid w:val="000E6035"/>
    <w:rsid w:val="000E6923"/>
    <w:rsid w:val="000E7634"/>
    <w:rsid w:val="000F19F2"/>
    <w:rsid w:val="000F25D0"/>
    <w:rsid w:val="000F3867"/>
    <w:rsid w:val="000F388E"/>
    <w:rsid w:val="000F4FEE"/>
    <w:rsid w:val="000F5C20"/>
    <w:rsid w:val="000F6B58"/>
    <w:rsid w:val="000F7E8B"/>
    <w:rsid w:val="000F7F3E"/>
    <w:rsid w:val="000F7F49"/>
    <w:rsid w:val="00100F8A"/>
    <w:rsid w:val="0010118D"/>
    <w:rsid w:val="00101920"/>
    <w:rsid w:val="00102238"/>
    <w:rsid w:val="00103A83"/>
    <w:rsid w:val="00104EF8"/>
    <w:rsid w:val="001077EF"/>
    <w:rsid w:val="00110371"/>
    <w:rsid w:val="00111057"/>
    <w:rsid w:val="0011108F"/>
    <w:rsid w:val="0011112C"/>
    <w:rsid w:val="00114228"/>
    <w:rsid w:val="00114713"/>
    <w:rsid w:val="00114E5C"/>
    <w:rsid w:val="00116F83"/>
    <w:rsid w:val="00120BD3"/>
    <w:rsid w:val="0012272B"/>
    <w:rsid w:val="00123598"/>
    <w:rsid w:val="001235C8"/>
    <w:rsid w:val="001235D4"/>
    <w:rsid w:val="00123B16"/>
    <w:rsid w:val="00123DF6"/>
    <w:rsid w:val="00124EA6"/>
    <w:rsid w:val="001252B0"/>
    <w:rsid w:val="00125351"/>
    <w:rsid w:val="00125980"/>
    <w:rsid w:val="0012704D"/>
    <w:rsid w:val="00127B55"/>
    <w:rsid w:val="00127C0E"/>
    <w:rsid w:val="001334CB"/>
    <w:rsid w:val="001334D2"/>
    <w:rsid w:val="001408C6"/>
    <w:rsid w:val="0014099D"/>
    <w:rsid w:val="00140B3B"/>
    <w:rsid w:val="0014121A"/>
    <w:rsid w:val="0014240F"/>
    <w:rsid w:val="001432FA"/>
    <w:rsid w:val="0014399C"/>
    <w:rsid w:val="00144438"/>
    <w:rsid w:val="00144BFA"/>
    <w:rsid w:val="00146B5E"/>
    <w:rsid w:val="00146FF8"/>
    <w:rsid w:val="001507A7"/>
    <w:rsid w:val="00150A79"/>
    <w:rsid w:val="001516F1"/>
    <w:rsid w:val="0015222A"/>
    <w:rsid w:val="0015301C"/>
    <w:rsid w:val="0015377A"/>
    <w:rsid w:val="001537BF"/>
    <w:rsid w:val="00153A15"/>
    <w:rsid w:val="0016138F"/>
    <w:rsid w:val="00162B60"/>
    <w:rsid w:val="001634BA"/>
    <w:rsid w:val="00164B05"/>
    <w:rsid w:val="0016589C"/>
    <w:rsid w:val="0016684F"/>
    <w:rsid w:val="00170289"/>
    <w:rsid w:val="001714F4"/>
    <w:rsid w:val="00174CF3"/>
    <w:rsid w:val="00175A90"/>
    <w:rsid w:val="00175D80"/>
    <w:rsid w:val="00176FE3"/>
    <w:rsid w:val="0018046E"/>
    <w:rsid w:val="0018056E"/>
    <w:rsid w:val="001814A5"/>
    <w:rsid w:val="00182369"/>
    <w:rsid w:val="0018337F"/>
    <w:rsid w:val="00183506"/>
    <w:rsid w:val="0018399A"/>
    <w:rsid w:val="00183FE0"/>
    <w:rsid w:val="00184EC2"/>
    <w:rsid w:val="00185378"/>
    <w:rsid w:val="001863AE"/>
    <w:rsid w:val="001864C0"/>
    <w:rsid w:val="00190254"/>
    <w:rsid w:val="00191E8E"/>
    <w:rsid w:val="001925D0"/>
    <w:rsid w:val="00192CB3"/>
    <w:rsid w:val="00193D85"/>
    <w:rsid w:val="0019492E"/>
    <w:rsid w:val="00196AF3"/>
    <w:rsid w:val="001974B5"/>
    <w:rsid w:val="00197BEC"/>
    <w:rsid w:val="001A0A0B"/>
    <w:rsid w:val="001A0B50"/>
    <w:rsid w:val="001A39F0"/>
    <w:rsid w:val="001A5048"/>
    <w:rsid w:val="001A52CC"/>
    <w:rsid w:val="001A6AF8"/>
    <w:rsid w:val="001A7156"/>
    <w:rsid w:val="001B0EBA"/>
    <w:rsid w:val="001B1435"/>
    <w:rsid w:val="001B3054"/>
    <w:rsid w:val="001B5485"/>
    <w:rsid w:val="001B5940"/>
    <w:rsid w:val="001B67F7"/>
    <w:rsid w:val="001B68B3"/>
    <w:rsid w:val="001B6B93"/>
    <w:rsid w:val="001B7F77"/>
    <w:rsid w:val="001C0D39"/>
    <w:rsid w:val="001C22A4"/>
    <w:rsid w:val="001C31A0"/>
    <w:rsid w:val="001C5E6C"/>
    <w:rsid w:val="001C630D"/>
    <w:rsid w:val="001C6CE4"/>
    <w:rsid w:val="001D02EA"/>
    <w:rsid w:val="001D05FB"/>
    <w:rsid w:val="001D0BFB"/>
    <w:rsid w:val="001D2679"/>
    <w:rsid w:val="001D3103"/>
    <w:rsid w:val="001D33B8"/>
    <w:rsid w:val="001D430C"/>
    <w:rsid w:val="001D4326"/>
    <w:rsid w:val="001D73AD"/>
    <w:rsid w:val="001D7C5F"/>
    <w:rsid w:val="001D7C7F"/>
    <w:rsid w:val="001E1C8B"/>
    <w:rsid w:val="001E2E46"/>
    <w:rsid w:val="001E3224"/>
    <w:rsid w:val="001E5A9A"/>
    <w:rsid w:val="001E64F6"/>
    <w:rsid w:val="001E6562"/>
    <w:rsid w:val="001F0B6E"/>
    <w:rsid w:val="001F0C98"/>
    <w:rsid w:val="001F1D83"/>
    <w:rsid w:val="001F2028"/>
    <w:rsid w:val="001F2063"/>
    <w:rsid w:val="001F3302"/>
    <w:rsid w:val="001F3A80"/>
    <w:rsid w:val="001F4E89"/>
    <w:rsid w:val="001F55CD"/>
    <w:rsid w:val="001F6A8A"/>
    <w:rsid w:val="002012FB"/>
    <w:rsid w:val="002019FB"/>
    <w:rsid w:val="00202B22"/>
    <w:rsid w:val="00204E0A"/>
    <w:rsid w:val="00205282"/>
    <w:rsid w:val="00205614"/>
    <w:rsid w:val="00206427"/>
    <w:rsid w:val="00206566"/>
    <w:rsid w:val="002073C6"/>
    <w:rsid w:val="00211141"/>
    <w:rsid w:val="0021182F"/>
    <w:rsid w:val="00213B41"/>
    <w:rsid w:val="002156D8"/>
    <w:rsid w:val="002160A1"/>
    <w:rsid w:val="00221E75"/>
    <w:rsid w:val="00226448"/>
    <w:rsid w:val="002266B7"/>
    <w:rsid w:val="002267D4"/>
    <w:rsid w:val="00227E42"/>
    <w:rsid w:val="00227F8F"/>
    <w:rsid w:val="002348EF"/>
    <w:rsid w:val="00234E07"/>
    <w:rsid w:val="00237BE9"/>
    <w:rsid w:val="00240358"/>
    <w:rsid w:val="00243566"/>
    <w:rsid w:val="002461B8"/>
    <w:rsid w:val="00246CBD"/>
    <w:rsid w:val="00246EB0"/>
    <w:rsid w:val="0025039E"/>
    <w:rsid w:val="00250769"/>
    <w:rsid w:val="00251C24"/>
    <w:rsid w:val="00252490"/>
    <w:rsid w:val="002529B8"/>
    <w:rsid w:val="00252ADF"/>
    <w:rsid w:val="0025444C"/>
    <w:rsid w:val="002548F1"/>
    <w:rsid w:val="0025513D"/>
    <w:rsid w:val="00255DF3"/>
    <w:rsid w:val="002570AF"/>
    <w:rsid w:val="002573DF"/>
    <w:rsid w:val="002576C9"/>
    <w:rsid w:val="00257B6B"/>
    <w:rsid w:val="00257CA6"/>
    <w:rsid w:val="00260769"/>
    <w:rsid w:val="002639D3"/>
    <w:rsid w:val="00263F00"/>
    <w:rsid w:val="00263FAE"/>
    <w:rsid w:val="00264F98"/>
    <w:rsid w:val="002652BD"/>
    <w:rsid w:val="002661A2"/>
    <w:rsid w:val="0026646F"/>
    <w:rsid w:val="002677A9"/>
    <w:rsid w:val="00270882"/>
    <w:rsid w:val="002715C0"/>
    <w:rsid w:val="00273BEA"/>
    <w:rsid w:val="00273DFF"/>
    <w:rsid w:val="0027509B"/>
    <w:rsid w:val="002756FE"/>
    <w:rsid w:val="00276165"/>
    <w:rsid w:val="002773BA"/>
    <w:rsid w:val="00277AAB"/>
    <w:rsid w:val="002803E1"/>
    <w:rsid w:val="00280AB1"/>
    <w:rsid w:val="002817C4"/>
    <w:rsid w:val="00281B3F"/>
    <w:rsid w:val="0028350A"/>
    <w:rsid w:val="00283BEE"/>
    <w:rsid w:val="002855E6"/>
    <w:rsid w:val="00285F06"/>
    <w:rsid w:val="00286B34"/>
    <w:rsid w:val="00291464"/>
    <w:rsid w:val="00291DBC"/>
    <w:rsid w:val="002924E8"/>
    <w:rsid w:val="0029257A"/>
    <w:rsid w:val="0029541A"/>
    <w:rsid w:val="0029561F"/>
    <w:rsid w:val="00296F2C"/>
    <w:rsid w:val="00297A98"/>
    <w:rsid w:val="002A0E8D"/>
    <w:rsid w:val="002A1219"/>
    <w:rsid w:val="002A1584"/>
    <w:rsid w:val="002A25B8"/>
    <w:rsid w:val="002A3C8A"/>
    <w:rsid w:val="002A48FE"/>
    <w:rsid w:val="002A51A0"/>
    <w:rsid w:val="002A6DFE"/>
    <w:rsid w:val="002A7C23"/>
    <w:rsid w:val="002A7CC2"/>
    <w:rsid w:val="002A7CDE"/>
    <w:rsid w:val="002B02D7"/>
    <w:rsid w:val="002B3F47"/>
    <w:rsid w:val="002B5747"/>
    <w:rsid w:val="002C124E"/>
    <w:rsid w:val="002C1DFB"/>
    <w:rsid w:val="002C1E82"/>
    <w:rsid w:val="002C278A"/>
    <w:rsid w:val="002C2A55"/>
    <w:rsid w:val="002C3EA0"/>
    <w:rsid w:val="002C4714"/>
    <w:rsid w:val="002C480A"/>
    <w:rsid w:val="002C4841"/>
    <w:rsid w:val="002C49C7"/>
    <w:rsid w:val="002C4E2A"/>
    <w:rsid w:val="002C5134"/>
    <w:rsid w:val="002C5C84"/>
    <w:rsid w:val="002D25A7"/>
    <w:rsid w:val="002D268A"/>
    <w:rsid w:val="002D35D1"/>
    <w:rsid w:val="002D36E0"/>
    <w:rsid w:val="002D4B96"/>
    <w:rsid w:val="002D725A"/>
    <w:rsid w:val="002E1439"/>
    <w:rsid w:val="002E1C3B"/>
    <w:rsid w:val="002E4F41"/>
    <w:rsid w:val="002E4F52"/>
    <w:rsid w:val="002E5413"/>
    <w:rsid w:val="002E5942"/>
    <w:rsid w:val="002E5B62"/>
    <w:rsid w:val="002E62FC"/>
    <w:rsid w:val="002E6C7A"/>
    <w:rsid w:val="002E7D77"/>
    <w:rsid w:val="002E7F3C"/>
    <w:rsid w:val="002F115F"/>
    <w:rsid w:val="002F16D9"/>
    <w:rsid w:val="002F19D8"/>
    <w:rsid w:val="002F412E"/>
    <w:rsid w:val="002F71FB"/>
    <w:rsid w:val="002F7935"/>
    <w:rsid w:val="003002B1"/>
    <w:rsid w:val="00301381"/>
    <w:rsid w:val="00301557"/>
    <w:rsid w:val="003021A0"/>
    <w:rsid w:val="003023AA"/>
    <w:rsid w:val="00302C11"/>
    <w:rsid w:val="003031BF"/>
    <w:rsid w:val="0030378C"/>
    <w:rsid w:val="0030404C"/>
    <w:rsid w:val="003040A0"/>
    <w:rsid w:val="0030655B"/>
    <w:rsid w:val="00306949"/>
    <w:rsid w:val="00306F79"/>
    <w:rsid w:val="0031074C"/>
    <w:rsid w:val="00312064"/>
    <w:rsid w:val="003132CC"/>
    <w:rsid w:val="00313FD8"/>
    <w:rsid w:val="003156B1"/>
    <w:rsid w:val="003179AD"/>
    <w:rsid w:val="00317B27"/>
    <w:rsid w:val="00320CB4"/>
    <w:rsid w:val="003225D6"/>
    <w:rsid w:val="00322731"/>
    <w:rsid w:val="00322D31"/>
    <w:rsid w:val="003234D0"/>
    <w:rsid w:val="0032615B"/>
    <w:rsid w:val="00330CD6"/>
    <w:rsid w:val="0033473B"/>
    <w:rsid w:val="00335292"/>
    <w:rsid w:val="003361D6"/>
    <w:rsid w:val="00337F70"/>
    <w:rsid w:val="00340F30"/>
    <w:rsid w:val="003427B2"/>
    <w:rsid w:val="00346192"/>
    <w:rsid w:val="00346E7C"/>
    <w:rsid w:val="00346FC8"/>
    <w:rsid w:val="00347144"/>
    <w:rsid w:val="0034776D"/>
    <w:rsid w:val="0034777B"/>
    <w:rsid w:val="00350201"/>
    <w:rsid w:val="00350888"/>
    <w:rsid w:val="00351ECD"/>
    <w:rsid w:val="003532BE"/>
    <w:rsid w:val="003541E5"/>
    <w:rsid w:val="00356287"/>
    <w:rsid w:val="00356945"/>
    <w:rsid w:val="0035699F"/>
    <w:rsid w:val="003571CE"/>
    <w:rsid w:val="0036014B"/>
    <w:rsid w:val="0036087D"/>
    <w:rsid w:val="00361E07"/>
    <w:rsid w:val="003622FE"/>
    <w:rsid w:val="00364DBF"/>
    <w:rsid w:val="00364FA5"/>
    <w:rsid w:val="00365718"/>
    <w:rsid w:val="00367767"/>
    <w:rsid w:val="0037046F"/>
    <w:rsid w:val="00370E16"/>
    <w:rsid w:val="003715F0"/>
    <w:rsid w:val="003739C2"/>
    <w:rsid w:val="00374D1E"/>
    <w:rsid w:val="00376E7F"/>
    <w:rsid w:val="00380A10"/>
    <w:rsid w:val="00380FF5"/>
    <w:rsid w:val="003819E8"/>
    <w:rsid w:val="00383888"/>
    <w:rsid w:val="00384318"/>
    <w:rsid w:val="00385D4F"/>
    <w:rsid w:val="003871A1"/>
    <w:rsid w:val="00387C72"/>
    <w:rsid w:val="00390C65"/>
    <w:rsid w:val="0039229D"/>
    <w:rsid w:val="00394C59"/>
    <w:rsid w:val="00396C93"/>
    <w:rsid w:val="00397E7A"/>
    <w:rsid w:val="003A1A60"/>
    <w:rsid w:val="003A3053"/>
    <w:rsid w:val="003A41BB"/>
    <w:rsid w:val="003A4A30"/>
    <w:rsid w:val="003A6273"/>
    <w:rsid w:val="003A7E1F"/>
    <w:rsid w:val="003A7FA1"/>
    <w:rsid w:val="003B1078"/>
    <w:rsid w:val="003B26DE"/>
    <w:rsid w:val="003B7987"/>
    <w:rsid w:val="003C0B16"/>
    <w:rsid w:val="003C1CBF"/>
    <w:rsid w:val="003C347D"/>
    <w:rsid w:val="003C4A37"/>
    <w:rsid w:val="003C513D"/>
    <w:rsid w:val="003D0162"/>
    <w:rsid w:val="003D1496"/>
    <w:rsid w:val="003D5838"/>
    <w:rsid w:val="003D6BCA"/>
    <w:rsid w:val="003D6EC2"/>
    <w:rsid w:val="003D770B"/>
    <w:rsid w:val="003E04B4"/>
    <w:rsid w:val="003E0841"/>
    <w:rsid w:val="003E219F"/>
    <w:rsid w:val="003E639A"/>
    <w:rsid w:val="003F0726"/>
    <w:rsid w:val="003F11B6"/>
    <w:rsid w:val="003F1383"/>
    <w:rsid w:val="003F29CA"/>
    <w:rsid w:val="003F3C5E"/>
    <w:rsid w:val="003F3E30"/>
    <w:rsid w:val="003F40C5"/>
    <w:rsid w:val="003F5936"/>
    <w:rsid w:val="003F6E69"/>
    <w:rsid w:val="003F7204"/>
    <w:rsid w:val="004008A2"/>
    <w:rsid w:val="00401000"/>
    <w:rsid w:val="00404BDF"/>
    <w:rsid w:val="00404ED3"/>
    <w:rsid w:val="00405AA7"/>
    <w:rsid w:val="00405B7A"/>
    <w:rsid w:val="004109B7"/>
    <w:rsid w:val="00411E8A"/>
    <w:rsid w:val="00412099"/>
    <w:rsid w:val="00413397"/>
    <w:rsid w:val="00414512"/>
    <w:rsid w:val="0041470C"/>
    <w:rsid w:val="00415ECF"/>
    <w:rsid w:val="00416078"/>
    <w:rsid w:val="00416471"/>
    <w:rsid w:val="00416765"/>
    <w:rsid w:val="00416F0F"/>
    <w:rsid w:val="0041757D"/>
    <w:rsid w:val="00417D2E"/>
    <w:rsid w:val="00417ED0"/>
    <w:rsid w:val="00421B14"/>
    <w:rsid w:val="00421DF5"/>
    <w:rsid w:val="00422D2E"/>
    <w:rsid w:val="0042474A"/>
    <w:rsid w:val="004256C9"/>
    <w:rsid w:val="00426479"/>
    <w:rsid w:val="0043061A"/>
    <w:rsid w:val="004307A6"/>
    <w:rsid w:val="00430A9A"/>
    <w:rsid w:val="00432038"/>
    <w:rsid w:val="004323B9"/>
    <w:rsid w:val="004332D7"/>
    <w:rsid w:val="00434A1E"/>
    <w:rsid w:val="00435160"/>
    <w:rsid w:val="0043653B"/>
    <w:rsid w:val="004371F2"/>
    <w:rsid w:val="00437710"/>
    <w:rsid w:val="00443E67"/>
    <w:rsid w:val="00444BB1"/>
    <w:rsid w:val="004451E9"/>
    <w:rsid w:val="00445EA1"/>
    <w:rsid w:val="00446DE7"/>
    <w:rsid w:val="00446FBE"/>
    <w:rsid w:val="00447DD2"/>
    <w:rsid w:val="00450B40"/>
    <w:rsid w:val="004511E5"/>
    <w:rsid w:val="004533E1"/>
    <w:rsid w:val="004547E7"/>
    <w:rsid w:val="004547E8"/>
    <w:rsid w:val="0045543C"/>
    <w:rsid w:val="00456BF8"/>
    <w:rsid w:val="00456FA4"/>
    <w:rsid w:val="004573DF"/>
    <w:rsid w:val="0046646E"/>
    <w:rsid w:val="00466485"/>
    <w:rsid w:val="004704F9"/>
    <w:rsid w:val="00470775"/>
    <w:rsid w:val="004718DF"/>
    <w:rsid w:val="00472F64"/>
    <w:rsid w:val="00473062"/>
    <w:rsid w:val="00473315"/>
    <w:rsid w:val="00473ADC"/>
    <w:rsid w:val="00474662"/>
    <w:rsid w:val="00474AA0"/>
    <w:rsid w:val="00474F2F"/>
    <w:rsid w:val="00475200"/>
    <w:rsid w:val="00475363"/>
    <w:rsid w:val="00475459"/>
    <w:rsid w:val="00475B2C"/>
    <w:rsid w:val="004770FE"/>
    <w:rsid w:val="004776E0"/>
    <w:rsid w:val="00477995"/>
    <w:rsid w:val="004835F8"/>
    <w:rsid w:val="004839CE"/>
    <w:rsid w:val="00483A0C"/>
    <w:rsid w:val="00486116"/>
    <w:rsid w:val="00486389"/>
    <w:rsid w:val="00486CF2"/>
    <w:rsid w:val="00487578"/>
    <w:rsid w:val="004900A7"/>
    <w:rsid w:val="004933B0"/>
    <w:rsid w:val="00497519"/>
    <w:rsid w:val="004975C9"/>
    <w:rsid w:val="004A1274"/>
    <w:rsid w:val="004A3A2F"/>
    <w:rsid w:val="004A47D8"/>
    <w:rsid w:val="004A5373"/>
    <w:rsid w:val="004A618B"/>
    <w:rsid w:val="004A6884"/>
    <w:rsid w:val="004A721F"/>
    <w:rsid w:val="004A7954"/>
    <w:rsid w:val="004B0182"/>
    <w:rsid w:val="004B1551"/>
    <w:rsid w:val="004B4545"/>
    <w:rsid w:val="004B4788"/>
    <w:rsid w:val="004B5549"/>
    <w:rsid w:val="004B5590"/>
    <w:rsid w:val="004B6E2D"/>
    <w:rsid w:val="004B75BA"/>
    <w:rsid w:val="004B7D24"/>
    <w:rsid w:val="004B7E25"/>
    <w:rsid w:val="004B7F71"/>
    <w:rsid w:val="004C129A"/>
    <w:rsid w:val="004C4090"/>
    <w:rsid w:val="004C4AF5"/>
    <w:rsid w:val="004C53CF"/>
    <w:rsid w:val="004C540A"/>
    <w:rsid w:val="004C57B0"/>
    <w:rsid w:val="004D01FA"/>
    <w:rsid w:val="004D03F4"/>
    <w:rsid w:val="004D19B8"/>
    <w:rsid w:val="004D3A0D"/>
    <w:rsid w:val="004D3ED7"/>
    <w:rsid w:val="004D46DE"/>
    <w:rsid w:val="004D4A5E"/>
    <w:rsid w:val="004E0623"/>
    <w:rsid w:val="004E4B01"/>
    <w:rsid w:val="004E4B59"/>
    <w:rsid w:val="004E6650"/>
    <w:rsid w:val="004E6FA4"/>
    <w:rsid w:val="004E709B"/>
    <w:rsid w:val="004F10C7"/>
    <w:rsid w:val="004F4D09"/>
    <w:rsid w:val="004F6F6F"/>
    <w:rsid w:val="005019B5"/>
    <w:rsid w:val="00503648"/>
    <w:rsid w:val="00503659"/>
    <w:rsid w:val="00503F93"/>
    <w:rsid w:val="0050426F"/>
    <w:rsid w:val="00505EA8"/>
    <w:rsid w:val="005106BA"/>
    <w:rsid w:val="00511121"/>
    <w:rsid w:val="00513B9B"/>
    <w:rsid w:val="005201ED"/>
    <w:rsid w:val="00520E5F"/>
    <w:rsid w:val="00521328"/>
    <w:rsid w:val="00521417"/>
    <w:rsid w:val="00523B18"/>
    <w:rsid w:val="005248BA"/>
    <w:rsid w:val="00524A7C"/>
    <w:rsid w:val="0052502C"/>
    <w:rsid w:val="00530A3C"/>
    <w:rsid w:val="00530F50"/>
    <w:rsid w:val="005323DE"/>
    <w:rsid w:val="005335AF"/>
    <w:rsid w:val="00533C02"/>
    <w:rsid w:val="0053683F"/>
    <w:rsid w:val="00536D57"/>
    <w:rsid w:val="00540A13"/>
    <w:rsid w:val="00540F3C"/>
    <w:rsid w:val="005431D5"/>
    <w:rsid w:val="0054356B"/>
    <w:rsid w:val="005442A0"/>
    <w:rsid w:val="0054547D"/>
    <w:rsid w:val="00545D40"/>
    <w:rsid w:val="00547157"/>
    <w:rsid w:val="00552177"/>
    <w:rsid w:val="005548D6"/>
    <w:rsid w:val="00557D87"/>
    <w:rsid w:val="00560381"/>
    <w:rsid w:val="005609E0"/>
    <w:rsid w:val="00562095"/>
    <w:rsid w:val="00562E55"/>
    <w:rsid w:val="00563B31"/>
    <w:rsid w:val="00566C9D"/>
    <w:rsid w:val="00570C9B"/>
    <w:rsid w:val="00571322"/>
    <w:rsid w:val="0057274F"/>
    <w:rsid w:val="00573922"/>
    <w:rsid w:val="00574416"/>
    <w:rsid w:val="0057579C"/>
    <w:rsid w:val="00575A98"/>
    <w:rsid w:val="005804D7"/>
    <w:rsid w:val="00580DC1"/>
    <w:rsid w:val="005817CB"/>
    <w:rsid w:val="00581B6F"/>
    <w:rsid w:val="005830EA"/>
    <w:rsid w:val="00584D43"/>
    <w:rsid w:val="00587670"/>
    <w:rsid w:val="005877F1"/>
    <w:rsid w:val="005878BA"/>
    <w:rsid w:val="005879DD"/>
    <w:rsid w:val="00587AA6"/>
    <w:rsid w:val="00587FFD"/>
    <w:rsid w:val="0059046D"/>
    <w:rsid w:val="00590C0E"/>
    <w:rsid w:val="00590EFC"/>
    <w:rsid w:val="00591543"/>
    <w:rsid w:val="00591777"/>
    <w:rsid w:val="00592C35"/>
    <w:rsid w:val="00596434"/>
    <w:rsid w:val="00596E08"/>
    <w:rsid w:val="005A12A1"/>
    <w:rsid w:val="005A1738"/>
    <w:rsid w:val="005A1C79"/>
    <w:rsid w:val="005A246E"/>
    <w:rsid w:val="005A3179"/>
    <w:rsid w:val="005A4270"/>
    <w:rsid w:val="005A46A6"/>
    <w:rsid w:val="005A4C37"/>
    <w:rsid w:val="005A5ECA"/>
    <w:rsid w:val="005B0191"/>
    <w:rsid w:val="005B0CE9"/>
    <w:rsid w:val="005B12F0"/>
    <w:rsid w:val="005B2DB3"/>
    <w:rsid w:val="005B3AAF"/>
    <w:rsid w:val="005B4273"/>
    <w:rsid w:val="005C01E3"/>
    <w:rsid w:val="005C1654"/>
    <w:rsid w:val="005C18F4"/>
    <w:rsid w:val="005C21F4"/>
    <w:rsid w:val="005C22D2"/>
    <w:rsid w:val="005C2722"/>
    <w:rsid w:val="005C2BAB"/>
    <w:rsid w:val="005C2C95"/>
    <w:rsid w:val="005C2CD7"/>
    <w:rsid w:val="005C3056"/>
    <w:rsid w:val="005C39F9"/>
    <w:rsid w:val="005C3BD4"/>
    <w:rsid w:val="005C4AFB"/>
    <w:rsid w:val="005C5D53"/>
    <w:rsid w:val="005C6D85"/>
    <w:rsid w:val="005C71DE"/>
    <w:rsid w:val="005C78B2"/>
    <w:rsid w:val="005C7ED7"/>
    <w:rsid w:val="005D1CB1"/>
    <w:rsid w:val="005D2D45"/>
    <w:rsid w:val="005D4ADD"/>
    <w:rsid w:val="005D6461"/>
    <w:rsid w:val="005D6B37"/>
    <w:rsid w:val="005D6CD3"/>
    <w:rsid w:val="005E09DE"/>
    <w:rsid w:val="005E0A55"/>
    <w:rsid w:val="005E396F"/>
    <w:rsid w:val="005E4E0A"/>
    <w:rsid w:val="005E590A"/>
    <w:rsid w:val="005F13D7"/>
    <w:rsid w:val="005F1B9C"/>
    <w:rsid w:val="005F33F5"/>
    <w:rsid w:val="005F397A"/>
    <w:rsid w:val="005F658E"/>
    <w:rsid w:val="005F77B0"/>
    <w:rsid w:val="00601E82"/>
    <w:rsid w:val="00602151"/>
    <w:rsid w:val="00602F12"/>
    <w:rsid w:val="00604B88"/>
    <w:rsid w:val="00604D8D"/>
    <w:rsid w:val="006057A4"/>
    <w:rsid w:val="006065F4"/>
    <w:rsid w:val="00607B67"/>
    <w:rsid w:val="00607D60"/>
    <w:rsid w:val="006109AC"/>
    <w:rsid w:val="00610B71"/>
    <w:rsid w:val="00610BF0"/>
    <w:rsid w:val="006158C3"/>
    <w:rsid w:val="0061739D"/>
    <w:rsid w:val="00617556"/>
    <w:rsid w:val="006179DD"/>
    <w:rsid w:val="00620579"/>
    <w:rsid w:val="00624F23"/>
    <w:rsid w:val="006252D3"/>
    <w:rsid w:val="00626ABB"/>
    <w:rsid w:val="0063138D"/>
    <w:rsid w:val="0063178A"/>
    <w:rsid w:val="00632FE7"/>
    <w:rsid w:val="00634A84"/>
    <w:rsid w:val="00637871"/>
    <w:rsid w:val="00637B56"/>
    <w:rsid w:val="00641324"/>
    <w:rsid w:val="0064213E"/>
    <w:rsid w:val="0064309F"/>
    <w:rsid w:val="006431E6"/>
    <w:rsid w:val="006448B9"/>
    <w:rsid w:val="006455F3"/>
    <w:rsid w:val="00646D02"/>
    <w:rsid w:val="00651EFC"/>
    <w:rsid w:val="006531AF"/>
    <w:rsid w:val="00653508"/>
    <w:rsid w:val="0065658E"/>
    <w:rsid w:val="006618D3"/>
    <w:rsid w:val="00663738"/>
    <w:rsid w:val="00663EB3"/>
    <w:rsid w:val="00663EBE"/>
    <w:rsid w:val="006645E3"/>
    <w:rsid w:val="00664A00"/>
    <w:rsid w:val="00666127"/>
    <w:rsid w:val="00666CC8"/>
    <w:rsid w:val="00667354"/>
    <w:rsid w:val="00670359"/>
    <w:rsid w:val="0067247D"/>
    <w:rsid w:val="00673564"/>
    <w:rsid w:val="00673770"/>
    <w:rsid w:val="0067567B"/>
    <w:rsid w:val="00677CA7"/>
    <w:rsid w:val="0068039E"/>
    <w:rsid w:val="00680FC3"/>
    <w:rsid w:val="006813F1"/>
    <w:rsid w:val="00681BA7"/>
    <w:rsid w:val="0068258F"/>
    <w:rsid w:val="00683AC2"/>
    <w:rsid w:val="00685D2F"/>
    <w:rsid w:val="0068799F"/>
    <w:rsid w:val="00687FA3"/>
    <w:rsid w:val="006903EA"/>
    <w:rsid w:val="00690C03"/>
    <w:rsid w:val="006917BA"/>
    <w:rsid w:val="00692831"/>
    <w:rsid w:val="0069387B"/>
    <w:rsid w:val="00693E29"/>
    <w:rsid w:val="0069532A"/>
    <w:rsid w:val="006967BF"/>
    <w:rsid w:val="00696B53"/>
    <w:rsid w:val="0069718D"/>
    <w:rsid w:val="006971E8"/>
    <w:rsid w:val="00697633"/>
    <w:rsid w:val="006A2681"/>
    <w:rsid w:val="006A35C0"/>
    <w:rsid w:val="006A40EB"/>
    <w:rsid w:val="006A48F6"/>
    <w:rsid w:val="006A6C86"/>
    <w:rsid w:val="006A6FED"/>
    <w:rsid w:val="006A77C4"/>
    <w:rsid w:val="006B022E"/>
    <w:rsid w:val="006B0452"/>
    <w:rsid w:val="006B5A6B"/>
    <w:rsid w:val="006B5F82"/>
    <w:rsid w:val="006B6D57"/>
    <w:rsid w:val="006B735F"/>
    <w:rsid w:val="006C1B13"/>
    <w:rsid w:val="006C1BD2"/>
    <w:rsid w:val="006C2CF9"/>
    <w:rsid w:val="006C3F8E"/>
    <w:rsid w:val="006C6589"/>
    <w:rsid w:val="006C66D0"/>
    <w:rsid w:val="006C7A06"/>
    <w:rsid w:val="006D0B0A"/>
    <w:rsid w:val="006D0CB1"/>
    <w:rsid w:val="006D0DCC"/>
    <w:rsid w:val="006D0F14"/>
    <w:rsid w:val="006D1525"/>
    <w:rsid w:val="006D4CD2"/>
    <w:rsid w:val="006D5DEC"/>
    <w:rsid w:val="006E1BFB"/>
    <w:rsid w:val="006E2B1A"/>
    <w:rsid w:val="006E4E55"/>
    <w:rsid w:val="006E58F8"/>
    <w:rsid w:val="006E60FA"/>
    <w:rsid w:val="006F0562"/>
    <w:rsid w:val="006F07ED"/>
    <w:rsid w:val="006F1AFD"/>
    <w:rsid w:val="006F4F17"/>
    <w:rsid w:val="006F5C03"/>
    <w:rsid w:val="006F7D65"/>
    <w:rsid w:val="00700233"/>
    <w:rsid w:val="00701AFD"/>
    <w:rsid w:val="007034D0"/>
    <w:rsid w:val="007039C1"/>
    <w:rsid w:val="0070513C"/>
    <w:rsid w:val="00706705"/>
    <w:rsid w:val="0070716A"/>
    <w:rsid w:val="007106D9"/>
    <w:rsid w:val="00711609"/>
    <w:rsid w:val="00712373"/>
    <w:rsid w:val="007140A9"/>
    <w:rsid w:val="007141AA"/>
    <w:rsid w:val="00714705"/>
    <w:rsid w:val="00715596"/>
    <w:rsid w:val="00715AB6"/>
    <w:rsid w:val="00715C5C"/>
    <w:rsid w:val="00715DA5"/>
    <w:rsid w:val="007214B5"/>
    <w:rsid w:val="00723658"/>
    <w:rsid w:val="00726134"/>
    <w:rsid w:val="007262C1"/>
    <w:rsid w:val="007270C0"/>
    <w:rsid w:val="00730C10"/>
    <w:rsid w:val="007340AF"/>
    <w:rsid w:val="007342B9"/>
    <w:rsid w:val="0073479D"/>
    <w:rsid w:val="00734824"/>
    <w:rsid w:val="007348DF"/>
    <w:rsid w:val="00735B7F"/>
    <w:rsid w:val="0073659C"/>
    <w:rsid w:val="00736D5B"/>
    <w:rsid w:val="00737043"/>
    <w:rsid w:val="00742AB3"/>
    <w:rsid w:val="00743FEE"/>
    <w:rsid w:val="00744FB7"/>
    <w:rsid w:val="00745E86"/>
    <w:rsid w:val="00746266"/>
    <w:rsid w:val="00746A13"/>
    <w:rsid w:val="00746A16"/>
    <w:rsid w:val="0074754B"/>
    <w:rsid w:val="00747F1D"/>
    <w:rsid w:val="00750FD1"/>
    <w:rsid w:val="007513B7"/>
    <w:rsid w:val="0075283E"/>
    <w:rsid w:val="00754CF0"/>
    <w:rsid w:val="00756F66"/>
    <w:rsid w:val="00757913"/>
    <w:rsid w:val="0076277B"/>
    <w:rsid w:val="00763A0D"/>
    <w:rsid w:val="007648CA"/>
    <w:rsid w:val="00765161"/>
    <w:rsid w:val="00770170"/>
    <w:rsid w:val="00772692"/>
    <w:rsid w:val="0077303F"/>
    <w:rsid w:val="0077769E"/>
    <w:rsid w:val="00780216"/>
    <w:rsid w:val="00780CF9"/>
    <w:rsid w:val="00780F63"/>
    <w:rsid w:val="00781645"/>
    <w:rsid w:val="00782D72"/>
    <w:rsid w:val="00783103"/>
    <w:rsid w:val="007832E0"/>
    <w:rsid w:val="00784567"/>
    <w:rsid w:val="0078542D"/>
    <w:rsid w:val="0078610C"/>
    <w:rsid w:val="0078706F"/>
    <w:rsid w:val="00790C85"/>
    <w:rsid w:val="00790F8A"/>
    <w:rsid w:val="00790F8E"/>
    <w:rsid w:val="00791058"/>
    <w:rsid w:val="00792294"/>
    <w:rsid w:val="00793333"/>
    <w:rsid w:val="00793AE3"/>
    <w:rsid w:val="00793AE9"/>
    <w:rsid w:val="00793C3B"/>
    <w:rsid w:val="00794038"/>
    <w:rsid w:val="0079519D"/>
    <w:rsid w:val="00797945"/>
    <w:rsid w:val="007A0979"/>
    <w:rsid w:val="007A2405"/>
    <w:rsid w:val="007A260B"/>
    <w:rsid w:val="007A2A50"/>
    <w:rsid w:val="007A66B1"/>
    <w:rsid w:val="007A672B"/>
    <w:rsid w:val="007A72A0"/>
    <w:rsid w:val="007B07E0"/>
    <w:rsid w:val="007B16CD"/>
    <w:rsid w:val="007B200C"/>
    <w:rsid w:val="007B4D73"/>
    <w:rsid w:val="007B5CC0"/>
    <w:rsid w:val="007B6E3D"/>
    <w:rsid w:val="007B73AE"/>
    <w:rsid w:val="007C2C2A"/>
    <w:rsid w:val="007C3C5D"/>
    <w:rsid w:val="007C4020"/>
    <w:rsid w:val="007C4437"/>
    <w:rsid w:val="007C584F"/>
    <w:rsid w:val="007C6210"/>
    <w:rsid w:val="007C791C"/>
    <w:rsid w:val="007C7E33"/>
    <w:rsid w:val="007D104F"/>
    <w:rsid w:val="007D1C74"/>
    <w:rsid w:val="007D3D59"/>
    <w:rsid w:val="007D3D8F"/>
    <w:rsid w:val="007D611A"/>
    <w:rsid w:val="007D63EF"/>
    <w:rsid w:val="007D7255"/>
    <w:rsid w:val="007D7A2B"/>
    <w:rsid w:val="007E1362"/>
    <w:rsid w:val="007E2EFA"/>
    <w:rsid w:val="007E3E0B"/>
    <w:rsid w:val="007F0989"/>
    <w:rsid w:val="007F1A43"/>
    <w:rsid w:val="007F2255"/>
    <w:rsid w:val="007F45E5"/>
    <w:rsid w:val="007F47FF"/>
    <w:rsid w:val="007F4B7E"/>
    <w:rsid w:val="007F7021"/>
    <w:rsid w:val="008001A9"/>
    <w:rsid w:val="00800A1E"/>
    <w:rsid w:val="008013BF"/>
    <w:rsid w:val="00801D66"/>
    <w:rsid w:val="00802E60"/>
    <w:rsid w:val="00802EB7"/>
    <w:rsid w:val="00802F2A"/>
    <w:rsid w:val="00804CC3"/>
    <w:rsid w:val="00805FFA"/>
    <w:rsid w:val="00807436"/>
    <w:rsid w:val="00807921"/>
    <w:rsid w:val="00807A4F"/>
    <w:rsid w:val="0081008F"/>
    <w:rsid w:val="008100A5"/>
    <w:rsid w:val="008106EF"/>
    <w:rsid w:val="008121B9"/>
    <w:rsid w:val="008131A4"/>
    <w:rsid w:val="00813DC9"/>
    <w:rsid w:val="008148A7"/>
    <w:rsid w:val="00814E3E"/>
    <w:rsid w:val="00817570"/>
    <w:rsid w:val="00820FF5"/>
    <w:rsid w:val="00822370"/>
    <w:rsid w:val="0082249D"/>
    <w:rsid w:val="00825BF3"/>
    <w:rsid w:val="00827082"/>
    <w:rsid w:val="008276A1"/>
    <w:rsid w:val="00830AA8"/>
    <w:rsid w:val="00830B32"/>
    <w:rsid w:val="00830C77"/>
    <w:rsid w:val="0083392F"/>
    <w:rsid w:val="00834007"/>
    <w:rsid w:val="008341DA"/>
    <w:rsid w:val="00834550"/>
    <w:rsid w:val="00834D38"/>
    <w:rsid w:val="00834E8E"/>
    <w:rsid w:val="00834EDC"/>
    <w:rsid w:val="00835A92"/>
    <w:rsid w:val="008365CD"/>
    <w:rsid w:val="00837490"/>
    <w:rsid w:val="00840EF1"/>
    <w:rsid w:val="00841258"/>
    <w:rsid w:val="00841775"/>
    <w:rsid w:val="00842FDB"/>
    <w:rsid w:val="008438CF"/>
    <w:rsid w:val="008461C9"/>
    <w:rsid w:val="00847B43"/>
    <w:rsid w:val="00847C53"/>
    <w:rsid w:val="0085008D"/>
    <w:rsid w:val="0085081C"/>
    <w:rsid w:val="00850948"/>
    <w:rsid w:val="00850DFF"/>
    <w:rsid w:val="00850F94"/>
    <w:rsid w:val="0085129F"/>
    <w:rsid w:val="008539DC"/>
    <w:rsid w:val="00854720"/>
    <w:rsid w:val="00855648"/>
    <w:rsid w:val="00855B6A"/>
    <w:rsid w:val="008576C3"/>
    <w:rsid w:val="00866E73"/>
    <w:rsid w:val="008679A7"/>
    <w:rsid w:val="00867BEF"/>
    <w:rsid w:val="00867EC8"/>
    <w:rsid w:val="00871FA4"/>
    <w:rsid w:val="008725A0"/>
    <w:rsid w:val="008739E4"/>
    <w:rsid w:val="00874049"/>
    <w:rsid w:val="008749E0"/>
    <w:rsid w:val="0087549F"/>
    <w:rsid w:val="0087568A"/>
    <w:rsid w:val="0087643A"/>
    <w:rsid w:val="00877EB2"/>
    <w:rsid w:val="00880A5E"/>
    <w:rsid w:val="008833C6"/>
    <w:rsid w:val="008842F3"/>
    <w:rsid w:val="00884C50"/>
    <w:rsid w:val="00886B00"/>
    <w:rsid w:val="0088749A"/>
    <w:rsid w:val="00890664"/>
    <w:rsid w:val="00891F98"/>
    <w:rsid w:val="00894D27"/>
    <w:rsid w:val="008960B0"/>
    <w:rsid w:val="00896FD4"/>
    <w:rsid w:val="00897334"/>
    <w:rsid w:val="008A02D8"/>
    <w:rsid w:val="008A090F"/>
    <w:rsid w:val="008A10B6"/>
    <w:rsid w:val="008A15C3"/>
    <w:rsid w:val="008A2551"/>
    <w:rsid w:val="008A29D4"/>
    <w:rsid w:val="008A40B0"/>
    <w:rsid w:val="008A5EAA"/>
    <w:rsid w:val="008A6654"/>
    <w:rsid w:val="008A6945"/>
    <w:rsid w:val="008A6BAC"/>
    <w:rsid w:val="008A7878"/>
    <w:rsid w:val="008A7CED"/>
    <w:rsid w:val="008B0B68"/>
    <w:rsid w:val="008B56CF"/>
    <w:rsid w:val="008B6AB6"/>
    <w:rsid w:val="008B7AFD"/>
    <w:rsid w:val="008C1D07"/>
    <w:rsid w:val="008C1F1D"/>
    <w:rsid w:val="008C219B"/>
    <w:rsid w:val="008C4148"/>
    <w:rsid w:val="008C72F3"/>
    <w:rsid w:val="008D267A"/>
    <w:rsid w:val="008D2C71"/>
    <w:rsid w:val="008D50EB"/>
    <w:rsid w:val="008D6281"/>
    <w:rsid w:val="008D6C8A"/>
    <w:rsid w:val="008E0622"/>
    <w:rsid w:val="008E1AA1"/>
    <w:rsid w:val="008E30EB"/>
    <w:rsid w:val="008E33FC"/>
    <w:rsid w:val="008E4AC1"/>
    <w:rsid w:val="008E64FD"/>
    <w:rsid w:val="008F06EE"/>
    <w:rsid w:val="008F09D9"/>
    <w:rsid w:val="008F1DA4"/>
    <w:rsid w:val="008F2615"/>
    <w:rsid w:val="008F46AE"/>
    <w:rsid w:val="008F59A9"/>
    <w:rsid w:val="008F5AFC"/>
    <w:rsid w:val="008F6BD0"/>
    <w:rsid w:val="008F74A2"/>
    <w:rsid w:val="008F7579"/>
    <w:rsid w:val="00900226"/>
    <w:rsid w:val="009009A0"/>
    <w:rsid w:val="00900A0B"/>
    <w:rsid w:val="00902455"/>
    <w:rsid w:val="00902A84"/>
    <w:rsid w:val="00905C6E"/>
    <w:rsid w:val="0090694B"/>
    <w:rsid w:val="00911A16"/>
    <w:rsid w:val="00911C7C"/>
    <w:rsid w:val="00913835"/>
    <w:rsid w:val="009200AD"/>
    <w:rsid w:val="009219C6"/>
    <w:rsid w:val="00921CE3"/>
    <w:rsid w:val="0092515C"/>
    <w:rsid w:val="0092575C"/>
    <w:rsid w:val="00925AB4"/>
    <w:rsid w:val="00925D3D"/>
    <w:rsid w:val="00925D4C"/>
    <w:rsid w:val="00930CE9"/>
    <w:rsid w:val="00930EE2"/>
    <w:rsid w:val="0093121F"/>
    <w:rsid w:val="009325F7"/>
    <w:rsid w:val="00934F94"/>
    <w:rsid w:val="00935BBC"/>
    <w:rsid w:val="00936C2C"/>
    <w:rsid w:val="00937D7E"/>
    <w:rsid w:val="00940677"/>
    <w:rsid w:val="00940D69"/>
    <w:rsid w:val="009418BB"/>
    <w:rsid w:val="0094471A"/>
    <w:rsid w:val="0094534A"/>
    <w:rsid w:val="00946761"/>
    <w:rsid w:val="00951205"/>
    <w:rsid w:val="0095359F"/>
    <w:rsid w:val="00954BE1"/>
    <w:rsid w:val="00955942"/>
    <w:rsid w:val="00956762"/>
    <w:rsid w:val="00962072"/>
    <w:rsid w:val="0096237E"/>
    <w:rsid w:val="00962FF3"/>
    <w:rsid w:val="00963BD8"/>
    <w:rsid w:val="00965781"/>
    <w:rsid w:val="00970E9B"/>
    <w:rsid w:val="0097450F"/>
    <w:rsid w:val="00974730"/>
    <w:rsid w:val="00974FCF"/>
    <w:rsid w:val="00976224"/>
    <w:rsid w:val="00980A83"/>
    <w:rsid w:val="00982411"/>
    <w:rsid w:val="009830A3"/>
    <w:rsid w:val="009844E6"/>
    <w:rsid w:val="00984D7B"/>
    <w:rsid w:val="0098653C"/>
    <w:rsid w:val="009866A3"/>
    <w:rsid w:val="00987D89"/>
    <w:rsid w:val="00990B15"/>
    <w:rsid w:val="00991508"/>
    <w:rsid w:val="009917E6"/>
    <w:rsid w:val="00992F2F"/>
    <w:rsid w:val="00993B59"/>
    <w:rsid w:val="009944AF"/>
    <w:rsid w:val="00994679"/>
    <w:rsid w:val="00994EEA"/>
    <w:rsid w:val="009952BC"/>
    <w:rsid w:val="009962C8"/>
    <w:rsid w:val="00996417"/>
    <w:rsid w:val="009A0378"/>
    <w:rsid w:val="009A15B6"/>
    <w:rsid w:val="009A1E84"/>
    <w:rsid w:val="009A2FEE"/>
    <w:rsid w:val="009A49B2"/>
    <w:rsid w:val="009A4CE8"/>
    <w:rsid w:val="009A4F6B"/>
    <w:rsid w:val="009A6746"/>
    <w:rsid w:val="009A7305"/>
    <w:rsid w:val="009A7746"/>
    <w:rsid w:val="009A7C1B"/>
    <w:rsid w:val="009B01A2"/>
    <w:rsid w:val="009B09F3"/>
    <w:rsid w:val="009B1426"/>
    <w:rsid w:val="009B1B04"/>
    <w:rsid w:val="009B1D66"/>
    <w:rsid w:val="009B2307"/>
    <w:rsid w:val="009B2313"/>
    <w:rsid w:val="009B2B36"/>
    <w:rsid w:val="009B3D78"/>
    <w:rsid w:val="009B56F9"/>
    <w:rsid w:val="009B5E92"/>
    <w:rsid w:val="009B719A"/>
    <w:rsid w:val="009B749B"/>
    <w:rsid w:val="009C08ED"/>
    <w:rsid w:val="009C273A"/>
    <w:rsid w:val="009C369A"/>
    <w:rsid w:val="009C3AB9"/>
    <w:rsid w:val="009C5220"/>
    <w:rsid w:val="009C6087"/>
    <w:rsid w:val="009C6201"/>
    <w:rsid w:val="009D0086"/>
    <w:rsid w:val="009D0CD5"/>
    <w:rsid w:val="009D1440"/>
    <w:rsid w:val="009D3487"/>
    <w:rsid w:val="009D3838"/>
    <w:rsid w:val="009D3899"/>
    <w:rsid w:val="009D3970"/>
    <w:rsid w:val="009D4CBC"/>
    <w:rsid w:val="009D66E0"/>
    <w:rsid w:val="009E0D0D"/>
    <w:rsid w:val="009E173A"/>
    <w:rsid w:val="009E20CE"/>
    <w:rsid w:val="009E36BB"/>
    <w:rsid w:val="009E3B10"/>
    <w:rsid w:val="009E5819"/>
    <w:rsid w:val="009F08AA"/>
    <w:rsid w:val="009F24B4"/>
    <w:rsid w:val="009F2575"/>
    <w:rsid w:val="009F2D89"/>
    <w:rsid w:val="009F417D"/>
    <w:rsid w:val="009F4FF2"/>
    <w:rsid w:val="009F6D10"/>
    <w:rsid w:val="009F7217"/>
    <w:rsid w:val="00A00753"/>
    <w:rsid w:val="00A01AAA"/>
    <w:rsid w:val="00A043E1"/>
    <w:rsid w:val="00A04FDF"/>
    <w:rsid w:val="00A073C3"/>
    <w:rsid w:val="00A11A84"/>
    <w:rsid w:val="00A11BC9"/>
    <w:rsid w:val="00A1269A"/>
    <w:rsid w:val="00A12882"/>
    <w:rsid w:val="00A13558"/>
    <w:rsid w:val="00A1365D"/>
    <w:rsid w:val="00A16BAC"/>
    <w:rsid w:val="00A16ECB"/>
    <w:rsid w:val="00A2063F"/>
    <w:rsid w:val="00A2072F"/>
    <w:rsid w:val="00A20FB7"/>
    <w:rsid w:val="00A2201A"/>
    <w:rsid w:val="00A22332"/>
    <w:rsid w:val="00A22DCA"/>
    <w:rsid w:val="00A2314D"/>
    <w:rsid w:val="00A25ECD"/>
    <w:rsid w:val="00A27892"/>
    <w:rsid w:val="00A27D13"/>
    <w:rsid w:val="00A31F78"/>
    <w:rsid w:val="00A3272E"/>
    <w:rsid w:val="00A336BC"/>
    <w:rsid w:val="00A40339"/>
    <w:rsid w:val="00A43768"/>
    <w:rsid w:val="00A43FD1"/>
    <w:rsid w:val="00A44295"/>
    <w:rsid w:val="00A4563D"/>
    <w:rsid w:val="00A4598F"/>
    <w:rsid w:val="00A46B60"/>
    <w:rsid w:val="00A47B71"/>
    <w:rsid w:val="00A50960"/>
    <w:rsid w:val="00A52257"/>
    <w:rsid w:val="00A524BD"/>
    <w:rsid w:val="00A53307"/>
    <w:rsid w:val="00A53421"/>
    <w:rsid w:val="00A53D4A"/>
    <w:rsid w:val="00A5553A"/>
    <w:rsid w:val="00A56F47"/>
    <w:rsid w:val="00A60B3A"/>
    <w:rsid w:val="00A60FFE"/>
    <w:rsid w:val="00A615E5"/>
    <w:rsid w:val="00A62D00"/>
    <w:rsid w:val="00A66F48"/>
    <w:rsid w:val="00A67060"/>
    <w:rsid w:val="00A670A7"/>
    <w:rsid w:val="00A700FD"/>
    <w:rsid w:val="00A704EA"/>
    <w:rsid w:val="00A71658"/>
    <w:rsid w:val="00A7307E"/>
    <w:rsid w:val="00A77511"/>
    <w:rsid w:val="00A7790F"/>
    <w:rsid w:val="00A8072F"/>
    <w:rsid w:val="00A8485F"/>
    <w:rsid w:val="00A8679C"/>
    <w:rsid w:val="00A86B59"/>
    <w:rsid w:val="00A86E9D"/>
    <w:rsid w:val="00A87B46"/>
    <w:rsid w:val="00A9408D"/>
    <w:rsid w:val="00A94E98"/>
    <w:rsid w:val="00A95D00"/>
    <w:rsid w:val="00A97729"/>
    <w:rsid w:val="00A97C52"/>
    <w:rsid w:val="00AA05F5"/>
    <w:rsid w:val="00AA1A68"/>
    <w:rsid w:val="00AA423F"/>
    <w:rsid w:val="00AA5898"/>
    <w:rsid w:val="00AA7134"/>
    <w:rsid w:val="00AA7AF4"/>
    <w:rsid w:val="00AB3854"/>
    <w:rsid w:val="00AB4263"/>
    <w:rsid w:val="00AB446F"/>
    <w:rsid w:val="00AB7BE1"/>
    <w:rsid w:val="00AC090A"/>
    <w:rsid w:val="00AC15FB"/>
    <w:rsid w:val="00AC2A67"/>
    <w:rsid w:val="00AC2C0E"/>
    <w:rsid w:val="00AC30DA"/>
    <w:rsid w:val="00AC4E9E"/>
    <w:rsid w:val="00AC5694"/>
    <w:rsid w:val="00AC59F7"/>
    <w:rsid w:val="00AC5BE1"/>
    <w:rsid w:val="00AC6AC6"/>
    <w:rsid w:val="00AC7764"/>
    <w:rsid w:val="00AD0542"/>
    <w:rsid w:val="00AD1F07"/>
    <w:rsid w:val="00AD4F9B"/>
    <w:rsid w:val="00AD6FBD"/>
    <w:rsid w:val="00AD7C44"/>
    <w:rsid w:val="00AE2FCC"/>
    <w:rsid w:val="00AE31EF"/>
    <w:rsid w:val="00AE424A"/>
    <w:rsid w:val="00AE4D08"/>
    <w:rsid w:val="00AE5B3B"/>
    <w:rsid w:val="00AE6618"/>
    <w:rsid w:val="00AF2E10"/>
    <w:rsid w:val="00AF3F9B"/>
    <w:rsid w:val="00AF427E"/>
    <w:rsid w:val="00AF5054"/>
    <w:rsid w:val="00AF6FBD"/>
    <w:rsid w:val="00AF7030"/>
    <w:rsid w:val="00AF7517"/>
    <w:rsid w:val="00AF78B8"/>
    <w:rsid w:val="00AF7A14"/>
    <w:rsid w:val="00B003B1"/>
    <w:rsid w:val="00B010B7"/>
    <w:rsid w:val="00B0137A"/>
    <w:rsid w:val="00B01699"/>
    <w:rsid w:val="00B0201A"/>
    <w:rsid w:val="00B1038C"/>
    <w:rsid w:val="00B117C8"/>
    <w:rsid w:val="00B12BB5"/>
    <w:rsid w:val="00B136E9"/>
    <w:rsid w:val="00B14962"/>
    <w:rsid w:val="00B156A4"/>
    <w:rsid w:val="00B15FA1"/>
    <w:rsid w:val="00B20A9B"/>
    <w:rsid w:val="00B220D4"/>
    <w:rsid w:val="00B2241F"/>
    <w:rsid w:val="00B23368"/>
    <w:rsid w:val="00B23A46"/>
    <w:rsid w:val="00B243E7"/>
    <w:rsid w:val="00B32022"/>
    <w:rsid w:val="00B36AE1"/>
    <w:rsid w:val="00B41A33"/>
    <w:rsid w:val="00B4335E"/>
    <w:rsid w:val="00B4447F"/>
    <w:rsid w:val="00B46073"/>
    <w:rsid w:val="00B46784"/>
    <w:rsid w:val="00B51707"/>
    <w:rsid w:val="00B52150"/>
    <w:rsid w:val="00B52BAC"/>
    <w:rsid w:val="00B53432"/>
    <w:rsid w:val="00B53855"/>
    <w:rsid w:val="00B557CA"/>
    <w:rsid w:val="00B55CAB"/>
    <w:rsid w:val="00B57438"/>
    <w:rsid w:val="00B576FE"/>
    <w:rsid w:val="00B57B8A"/>
    <w:rsid w:val="00B60A37"/>
    <w:rsid w:val="00B61721"/>
    <w:rsid w:val="00B62EF6"/>
    <w:rsid w:val="00B632A6"/>
    <w:rsid w:val="00B66B15"/>
    <w:rsid w:val="00B67AEB"/>
    <w:rsid w:val="00B72476"/>
    <w:rsid w:val="00B737BE"/>
    <w:rsid w:val="00B73E6E"/>
    <w:rsid w:val="00B75C47"/>
    <w:rsid w:val="00B77472"/>
    <w:rsid w:val="00B778D9"/>
    <w:rsid w:val="00B804B0"/>
    <w:rsid w:val="00B80701"/>
    <w:rsid w:val="00B80CD4"/>
    <w:rsid w:val="00B80D4C"/>
    <w:rsid w:val="00B81747"/>
    <w:rsid w:val="00B81A7D"/>
    <w:rsid w:val="00B82A45"/>
    <w:rsid w:val="00B85073"/>
    <w:rsid w:val="00B8511A"/>
    <w:rsid w:val="00B85AA6"/>
    <w:rsid w:val="00B875BC"/>
    <w:rsid w:val="00B876DC"/>
    <w:rsid w:val="00B9062C"/>
    <w:rsid w:val="00B92AE8"/>
    <w:rsid w:val="00B92BD7"/>
    <w:rsid w:val="00B941E1"/>
    <w:rsid w:val="00B96003"/>
    <w:rsid w:val="00B97132"/>
    <w:rsid w:val="00BA02DF"/>
    <w:rsid w:val="00BA07DE"/>
    <w:rsid w:val="00BA0EDC"/>
    <w:rsid w:val="00BA0F6B"/>
    <w:rsid w:val="00BA1DCA"/>
    <w:rsid w:val="00BA3BAA"/>
    <w:rsid w:val="00BA3C3A"/>
    <w:rsid w:val="00BA6978"/>
    <w:rsid w:val="00BA6BDB"/>
    <w:rsid w:val="00BA6D98"/>
    <w:rsid w:val="00BA7A35"/>
    <w:rsid w:val="00BB0443"/>
    <w:rsid w:val="00BB10D3"/>
    <w:rsid w:val="00BB247F"/>
    <w:rsid w:val="00BB395C"/>
    <w:rsid w:val="00BB3A50"/>
    <w:rsid w:val="00BB3B2C"/>
    <w:rsid w:val="00BB4AD9"/>
    <w:rsid w:val="00BB5D63"/>
    <w:rsid w:val="00BB7887"/>
    <w:rsid w:val="00BC0DAB"/>
    <w:rsid w:val="00BC0F64"/>
    <w:rsid w:val="00BC173E"/>
    <w:rsid w:val="00BC182F"/>
    <w:rsid w:val="00BC1B59"/>
    <w:rsid w:val="00BC33C3"/>
    <w:rsid w:val="00BC3502"/>
    <w:rsid w:val="00BC4740"/>
    <w:rsid w:val="00BC5109"/>
    <w:rsid w:val="00BC5DA6"/>
    <w:rsid w:val="00BC695F"/>
    <w:rsid w:val="00BC7102"/>
    <w:rsid w:val="00BC7744"/>
    <w:rsid w:val="00BD00B9"/>
    <w:rsid w:val="00BD0C5A"/>
    <w:rsid w:val="00BD0FD4"/>
    <w:rsid w:val="00BD145A"/>
    <w:rsid w:val="00BD303D"/>
    <w:rsid w:val="00BD3C0D"/>
    <w:rsid w:val="00BD3DE9"/>
    <w:rsid w:val="00BD5E5A"/>
    <w:rsid w:val="00BD70B2"/>
    <w:rsid w:val="00BD757A"/>
    <w:rsid w:val="00BD7D13"/>
    <w:rsid w:val="00BD7E06"/>
    <w:rsid w:val="00BE0048"/>
    <w:rsid w:val="00BE0168"/>
    <w:rsid w:val="00BE1208"/>
    <w:rsid w:val="00BE1C91"/>
    <w:rsid w:val="00BE340E"/>
    <w:rsid w:val="00BE3B32"/>
    <w:rsid w:val="00BE5033"/>
    <w:rsid w:val="00BF1584"/>
    <w:rsid w:val="00BF355B"/>
    <w:rsid w:val="00BF35D1"/>
    <w:rsid w:val="00BF44D5"/>
    <w:rsid w:val="00BF4592"/>
    <w:rsid w:val="00BF46BE"/>
    <w:rsid w:val="00BF4C07"/>
    <w:rsid w:val="00BF58D6"/>
    <w:rsid w:val="00BF6F4A"/>
    <w:rsid w:val="00BF7575"/>
    <w:rsid w:val="00BF7C99"/>
    <w:rsid w:val="00C01459"/>
    <w:rsid w:val="00C027C8"/>
    <w:rsid w:val="00C03BD7"/>
    <w:rsid w:val="00C05F57"/>
    <w:rsid w:val="00C10DCE"/>
    <w:rsid w:val="00C1133D"/>
    <w:rsid w:val="00C113BF"/>
    <w:rsid w:val="00C12EEB"/>
    <w:rsid w:val="00C136F9"/>
    <w:rsid w:val="00C148F0"/>
    <w:rsid w:val="00C14D8F"/>
    <w:rsid w:val="00C151B4"/>
    <w:rsid w:val="00C16B9E"/>
    <w:rsid w:val="00C16C81"/>
    <w:rsid w:val="00C16D00"/>
    <w:rsid w:val="00C17608"/>
    <w:rsid w:val="00C1795E"/>
    <w:rsid w:val="00C219F0"/>
    <w:rsid w:val="00C21A59"/>
    <w:rsid w:val="00C25B42"/>
    <w:rsid w:val="00C25EF9"/>
    <w:rsid w:val="00C31B6A"/>
    <w:rsid w:val="00C3334C"/>
    <w:rsid w:val="00C3391E"/>
    <w:rsid w:val="00C34D57"/>
    <w:rsid w:val="00C34DEC"/>
    <w:rsid w:val="00C35BDA"/>
    <w:rsid w:val="00C35DF0"/>
    <w:rsid w:val="00C3652B"/>
    <w:rsid w:val="00C370CF"/>
    <w:rsid w:val="00C37225"/>
    <w:rsid w:val="00C374FE"/>
    <w:rsid w:val="00C400D8"/>
    <w:rsid w:val="00C40D7E"/>
    <w:rsid w:val="00C40FF8"/>
    <w:rsid w:val="00C42B0C"/>
    <w:rsid w:val="00C43B1B"/>
    <w:rsid w:val="00C4439B"/>
    <w:rsid w:val="00C443D6"/>
    <w:rsid w:val="00C46699"/>
    <w:rsid w:val="00C47415"/>
    <w:rsid w:val="00C5063D"/>
    <w:rsid w:val="00C52EB6"/>
    <w:rsid w:val="00C53402"/>
    <w:rsid w:val="00C537B0"/>
    <w:rsid w:val="00C538D2"/>
    <w:rsid w:val="00C54DD2"/>
    <w:rsid w:val="00C55435"/>
    <w:rsid w:val="00C5742F"/>
    <w:rsid w:val="00C57BE0"/>
    <w:rsid w:val="00C57E21"/>
    <w:rsid w:val="00C6248D"/>
    <w:rsid w:val="00C6253A"/>
    <w:rsid w:val="00C626E0"/>
    <w:rsid w:val="00C64238"/>
    <w:rsid w:val="00C64A90"/>
    <w:rsid w:val="00C65383"/>
    <w:rsid w:val="00C65918"/>
    <w:rsid w:val="00C665A4"/>
    <w:rsid w:val="00C66688"/>
    <w:rsid w:val="00C6737A"/>
    <w:rsid w:val="00C704D2"/>
    <w:rsid w:val="00C70750"/>
    <w:rsid w:val="00C75B3D"/>
    <w:rsid w:val="00C776E9"/>
    <w:rsid w:val="00C77820"/>
    <w:rsid w:val="00C8080F"/>
    <w:rsid w:val="00C81DC5"/>
    <w:rsid w:val="00C83A74"/>
    <w:rsid w:val="00C85B5B"/>
    <w:rsid w:val="00C86EAB"/>
    <w:rsid w:val="00C92644"/>
    <w:rsid w:val="00C93E58"/>
    <w:rsid w:val="00C9556A"/>
    <w:rsid w:val="00C95B84"/>
    <w:rsid w:val="00C967B1"/>
    <w:rsid w:val="00CA018E"/>
    <w:rsid w:val="00CA01CA"/>
    <w:rsid w:val="00CA0CEB"/>
    <w:rsid w:val="00CA0EDF"/>
    <w:rsid w:val="00CA3C3B"/>
    <w:rsid w:val="00CA4762"/>
    <w:rsid w:val="00CA535D"/>
    <w:rsid w:val="00CA5BD3"/>
    <w:rsid w:val="00CB16C2"/>
    <w:rsid w:val="00CB230F"/>
    <w:rsid w:val="00CB234B"/>
    <w:rsid w:val="00CB2B8F"/>
    <w:rsid w:val="00CB381D"/>
    <w:rsid w:val="00CB4974"/>
    <w:rsid w:val="00CB5152"/>
    <w:rsid w:val="00CB53A5"/>
    <w:rsid w:val="00CB5623"/>
    <w:rsid w:val="00CB67B5"/>
    <w:rsid w:val="00CB68D7"/>
    <w:rsid w:val="00CC0284"/>
    <w:rsid w:val="00CC0D36"/>
    <w:rsid w:val="00CC23D3"/>
    <w:rsid w:val="00CC2531"/>
    <w:rsid w:val="00CC2CFE"/>
    <w:rsid w:val="00CC2FC6"/>
    <w:rsid w:val="00CC49B4"/>
    <w:rsid w:val="00CC645F"/>
    <w:rsid w:val="00CD0AE1"/>
    <w:rsid w:val="00CD1477"/>
    <w:rsid w:val="00CD37A3"/>
    <w:rsid w:val="00CD3E7D"/>
    <w:rsid w:val="00CD43E8"/>
    <w:rsid w:val="00CD483A"/>
    <w:rsid w:val="00CD4925"/>
    <w:rsid w:val="00CD4D6B"/>
    <w:rsid w:val="00CD6C56"/>
    <w:rsid w:val="00CE1123"/>
    <w:rsid w:val="00CE2D71"/>
    <w:rsid w:val="00CE2FA6"/>
    <w:rsid w:val="00CE4CFE"/>
    <w:rsid w:val="00CE4FF6"/>
    <w:rsid w:val="00CE6C35"/>
    <w:rsid w:val="00CE70C1"/>
    <w:rsid w:val="00CF0489"/>
    <w:rsid w:val="00CF3EE0"/>
    <w:rsid w:val="00CF4E69"/>
    <w:rsid w:val="00CF5495"/>
    <w:rsid w:val="00CF745E"/>
    <w:rsid w:val="00D00746"/>
    <w:rsid w:val="00D03A02"/>
    <w:rsid w:val="00D03B21"/>
    <w:rsid w:val="00D04127"/>
    <w:rsid w:val="00D04927"/>
    <w:rsid w:val="00D05164"/>
    <w:rsid w:val="00D05492"/>
    <w:rsid w:val="00D0589D"/>
    <w:rsid w:val="00D10845"/>
    <w:rsid w:val="00D10DC3"/>
    <w:rsid w:val="00D14865"/>
    <w:rsid w:val="00D155D0"/>
    <w:rsid w:val="00D17362"/>
    <w:rsid w:val="00D200D8"/>
    <w:rsid w:val="00D21EEA"/>
    <w:rsid w:val="00D22208"/>
    <w:rsid w:val="00D22259"/>
    <w:rsid w:val="00D22828"/>
    <w:rsid w:val="00D23D48"/>
    <w:rsid w:val="00D2536B"/>
    <w:rsid w:val="00D25393"/>
    <w:rsid w:val="00D25D32"/>
    <w:rsid w:val="00D25D50"/>
    <w:rsid w:val="00D25D6E"/>
    <w:rsid w:val="00D27627"/>
    <w:rsid w:val="00D276E7"/>
    <w:rsid w:val="00D27749"/>
    <w:rsid w:val="00D30082"/>
    <w:rsid w:val="00D34B93"/>
    <w:rsid w:val="00D36155"/>
    <w:rsid w:val="00D37996"/>
    <w:rsid w:val="00D37AAC"/>
    <w:rsid w:val="00D40D79"/>
    <w:rsid w:val="00D4309F"/>
    <w:rsid w:val="00D43EC1"/>
    <w:rsid w:val="00D44D8B"/>
    <w:rsid w:val="00D45B96"/>
    <w:rsid w:val="00D46981"/>
    <w:rsid w:val="00D4791E"/>
    <w:rsid w:val="00D5051C"/>
    <w:rsid w:val="00D50B4A"/>
    <w:rsid w:val="00D5111F"/>
    <w:rsid w:val="00D525F1"/>
    <w:rsid w:val="00D526C1"/>
    <w:rsid w:val="00D53181"/>
    <w:rsid w:val="00D5338F"/>
    <w:rsid w:val="00D54297"/>
    <w:rsid w:val="00D55D4A"/>
    <w:rsid w:val="00D55F29"/>
    <w:rsid w:val="00D56607"/>
    <w:rsid w:val="00D57859"/>
    <w:rsid w:val="00D60B11"/>
    <w:rsid w:val="00D62E80"/>
    <w:rsid w:val="00D65CD9"/>
    <w:rsid w:val="00D6659B"/>
    <w:rsid w:val="00D73814"/>
    <w:rsid w:val="00D744D5"/>
    <w:rsid w:val="00D75280"/>
    <w:rsid w:val="00D765C4"/>
    <w:rsid w:val="00D77876"/>
    <w:rsid w:val="00D81917"/>
    <w:rsid w:val="00D82485"/>
    <w:rsid w:val="00D84C65"/>
    <w:rsid w:val="00D85A50"/>
    <w:rsid w:val="00D85EA7"/>
    <w:rsid w:val="00D85F60"/>
    <w:rsid w:val="00D874F6"/>
    <w:rsid w:val="00D90EB3"/>
    <w:rsid w:val="00D91237"/>
    <w:rsid w:val="00D91AC8"/>
    <w:rsid w:val="00D92052"/>
    <w:rsid w:val="00D93C80"/>
    <w:rsid w:val="00D94861"/>
    <w:rsid w:val="00D94D1E"/>
    <w:rsid w:val="00D95A37"/>
    <w:rsid w:val="00D95B68"/>
    <w:rsid w:val="00D9671E"/>
    <w:rsid w:val="00D9747C"/>
    <w:rsid w:val="00D975AE"/>
    <w:rsid w:val="00D976F5"/>
    <w:rsid w:val="00D97C0E"/>
    <w:rsid w:val="00DA263F"/>
    <w:rsid w:val="00DA3183"/>
    <w:rsid w:val="00DA3193"/>
    <w:rsid w:val="00DA508F"/>
    <w:rsid w:val="00DA5E4A"/>
    <w:rsid w:val="00DA6FEF"/>
    <w:rsid w:val="00DB0446"/>
    <w:rsid w:val="00DB12A3"/>
    <w:rsid w:val="00DB41BD"/>
    <w:rsid w:val="00DB46B4"/>
    <w:rsid w:val="00DB4B87"/>
    <w:rsid w:val="00DB6B51"/>
    <w:rsid w:val="00DB7576"/>
    <w:rsid w:val="00DC2020"/>
    <w:rsid w:val="00DC2D36"/>
    <w:rsid w:val="00DC331E"/>
    <w:rsid w:val="00DC4092"/>
    <w:rsid w:val="00DC5035"/>
    <w:rsid w:val="00DC52E3"/>
    <w:rsid w:val="00DC57EB"/>
    <w:rsid w:val="00DD0DF3"/>
    <w:rsid w:val="00DD18EB"/>
    <w:rsid w:val="00DD325A"/>
    <w:rsid w:val="00DD4D6D"/>
    <w:rsid w:val="00DD677D"/>
    <w:rsid w:val="00DD6A60"/>
    <w:rsid w:val="00DD7325"/>
    <w:rsid w:val="00DD7C38"/>
    <w:rsid w:val="00DE0A1B"/>
    <w:rsid w:val="00DE1485"/>
    <w:rsid w:val="00DE240F"/>
    <w:rsid w:val="00DE3A5D"/>
    <w:rsid w:val="00DE3C53"/>
    <w:rsid w:val="00DE488F"/>
    <w:rsid w:val="00DE4D43"/>
    <w:rsid w:val="00DE5907"/>
    <w:rsid w:val="00DE682C"/>
    <w:rsid w:val="00DF256E"/>
    <w:rsid w:val="00DF2F5E"/>
    <w:rsid w:val="00DF4526"/>
    <w:rsid w:val="00DF472B"/>
    <w:rsid w:val="00DF5526"/>
    <w:rsid w:val="00DF5810"/>
    <w:rsid w:val="00DF7828"/>
    <w:rsid w:val="00DF7CCD"/>
    <w:rsid w:val="00E065BC"/>
    <w:rsid w:val="00E06F12"/>
    <w:rsid w:val="00E06F57"/>
    <w:rsid w:val="00E07970"/>
    <w:rsid w:val="00E11AAF"/>
    <w:rsid w:val="00E129F7"/>
    <w:rsid w:val="00E1452A"/>
    <w:rsid w:val="00E179FD"/>
    <w:rsid w:val="00E20F34"/>
    <w:rsid w:val="00E2190A"/>
    <w:rsid w:val="00E219EB"/>
    <w:rsid w:val="00E21DB5"/>
    <w:rsid w:val="00E2254C"/>
    <w:rsid w:val="00E2307D"/>
    <w:rsid w:val="00E23D47"/>
    <w:rsid w:val="00E25249"/>
    <w:rsid w:val="00E255D2"/>
    <w:rsid w:val="00E256A0"/>
    <w:rsid w:val="00E257B3"/>
    <w:rsid w:val="00E2628C"/>
    <w:rsid w:val="00E301A1"/>
    <w:rsid w:val="00E31E8E"/>
    <w:rsid w:val="00E3308D"/>
    <w:rsid w:val="00E3397C"/>
    <w:rsid w:val="00E353DC"/>
    <w:rsid w:val="00E35F9E"/>
    <w:rsid w:val="00E367EA"/>
    <w:rsid w:val="00E37FB6"/>
    <w:rsid w:val="00E40189"/>
    <w:rsid w:val="00E418B7"/>
    <w:rsid w:val="00E4194C"/>
    <w:rsid w:val="00E41B5E"/>
    <w:rsid w:val="00E439BF"/>
    <w:rsid w:val="00E43D68"/>
    <w:rsid w:val="00E452A3"/>
    <w:rsid w:val="00E45361"/>
    <w:rsid w:val="00E46028"/>
    <w:rsid w:val="00E46E84"/>
    <w:rsid w:val="00E47D42"/>
    <w:rsid w:val="00E509C6"/>
    <w:rsid w:val="00E51D43"/>
    <w:rsid w:val="00E572D4"/>
    <w:rsid w:val="00E57963"/>
    <w:rsid w:val="00E62D61"/>
    <w:rsid w:val="00E63F4E"/>
    <w:rsid w:val="00E64701"/>
    <w:rsid w:val="00E661D4"/>
    <w:rsid w:val="00E6760A"/>
    <w:rsid w:val="00E703EB"/>
    <w:rsid w:val="00E70842"/>
    <w:rsid w:val="00E71430"/>
    <w:rsid w:val="00E72508"/>
    <w:rsid w:val="00E72E20"/>
    <w:rsid w:val="00E731F2"/>
    <w:rsid w:val="00E7389D"/>
    <w:rsid w:val="00E777F6"/>
    <w:rsid w:val="00E80E34"/>
    <w:rsid w:val="00E80E69"/>
    <w:rsid w:val="00E80ED0"/>
    <w:rsid w:val="00E81380"/>
    <w:rsid w:val="00E840BD"/>
    <w:rsid w:val="00E845C6"/>
    <w:rsid w:val="00E862EA"/>
    <w:rsid w:val="00E90056"/>
    <w:rsid w:val="00E928AA"/>
    <w:rsid w:val="00E93A42"/>
    <w:rsid w:val="00E93B24"/>
    <w:rsid w:val="00E93CC7"/>
    <w:rsid w:val="00E949D5"/>
    <w:rsid w:val="00E95BBF"/>
    <w:rsid w:val="00E95BC8"/>
    <w:rsid w:val="00E96512"/>
    <w:rsid w:val="00E97070"/>
    <w:rsid w:val="00EA0574"/>
    <w:rsid w:val="00EA086D"/>
    <w:rsid w:val="00EA3E6E"/>
    <w:rsid w:val="00EA3ED8"/>
    <w:rsid w:val="00EA55E7"/>
    <w:rsid w:val="00EA5796"/>
    <w:rsid w:val="00EA6104"/>
    <w:rsid w:val="00EA649B"/>
    <w:rsid w:val="00EA756C"/>
    <w:rsid w:val="00EA7A56"/>
    <w:rsid w:val="00EA7C87"/>
    <w:rsid w:val="00EA7F5B"/>
    <w:rsid w:val="00EB0378"/>
    <w:rsid w:val="00EB0A2E"/>
    <w:rsid w:val="00EB0A57"/>
    <w:rsid w:val="00EB1400"/>
    <w:rsid w:val="00EB23A1"/>
    <w:rsid w:val="00EB2A0D"/>
    <w:rsid w:val="00EB3154"/>
    <w:rsid w:val="00EB53FD"/>
    <w:rsid w:val="00EB6053"/>
    <w:rsid w:val="00EB6B68"/>
    <w:rsid w:val="00EC06A6"/>
    <w:rsid w:val="00EC11E3"/>
    <w:rsid w:val="00EC3148"/>
    <w:rsid w:val="00EC39AC"/>
    <w:rsid w:val="00EC4B8E"/>
    <w:rsid w:val="00EC66CC"/>
    <w:rsid w:val="00ED0B00"/>
    <w:rsid w:val="00ED0E9C"/>
    <w:rsid w:val="00ED3911"/>
    <w:rsid w:val="00ED3B72"/>
    <w:rsid w:val="00ED517F"/>
    <w:rsid w:val="00ED5CAF"/>
    <w:rsid w:val="00ED6E3D"/>
    <w:rsid w:val="00ED774B"/>
    <w:rsid w:val="00ED7882"/>
    <w:rsid w:val="00EE2E9F"/>
    <w:rsid w:val="00EE34C1"/>
    <w:rsid w:val="00EE52D6"/>
    <w:rsid w:val="00EE56B0"/>
    <w:rsid w:val="00EE58F0"/>
    <w:rsid w:val="00EE7077"/>
    <w:rsid w:val="00EE7EBE"/>
    <w:rsid w:val="00EF00EB"/>
    <w:rsid w:val="00EF3371"/>
    <w:rsid w:val="00EF445F"/>
    <w:rsid w:val="00EF475D"/>
    <w:rsid w:val="00EF4EC0"/>
    <w:rsid w:val="00EF5525"/>
    <w:rsid w:val="00EF5C29"/>
    <w:rsid w:val="00EF6317"/>
    <w:rsid w:val="00F01783"/>
    <w:rsid w:val="00F01A87"/>
    <w:rsid w:val="00F02097"/>
    <w:rsid w:val="00F02896"/>
    <w:rsid w:val="00F02C33"/>
    <w:rsid w:val="00F02FDE"/>
    <w:rsid w:val="00F03953"/>
    <w:rsid w:val="00F04969"/>
    <w:rsid w:val="00F0571E"/>
    <w:rsid w:val="00F05FA1"/>
    <w:rsid w:val="00F0647B"/>
    <w:rsid w:val="00F12E43"/>
    <w:rsid w:val="00F12F22"/>
    <w:rsid w:val="00F14C1F"/>
    <w:rsid w:val="00F15DAE"/>
    <w:rsid w:val="00F1756A"/>
    <w:rsid w:val="00F22862"/>
    <w:rsid w:val="00F245A8"/>
    <w:rsid w:val="00F2492E"/>
    <w:rsid w:val="00F273B5"/>
    <w:rsid w:val="00F3022C"/>
    <w:rsid w:val="00F30646"/>
    <w:rsid w:val="00F30C03"/>
    <w:rsid w:val="00F30C21"/>
    <w:rsid w:val="00F30E31"/>
    <w:rsid w:val="00F33694"/>
    <w:rsid w:val="00F35853"/>
    <w:rsid w:val="00F35909"/>
    <w:rsid w:val="00F362AB"/>
    <w:rsid w:val="00F3754A"/>
    <w:rsid w:val="00F412A4"/>
    <w:rsid w:val="00F41C4E"/>
    <w:rsid w:val="00F426BB"/>
    <w:rsid w:val="00F42A62"/>
    <w:rsid w:val="00F432D9"/>
    <w:rsid w:val="00F4675B"/>
    <w:rsid w:val="00F50B7B"/>
    <w:rsid w:val="00F50FA1"/>
    <w:rsid w:val="00F51931"/>
    <w:rsid w:val="00F51C2C"/>
    <w:rsid w:val="00F53EF3"/>
    <w:rsid w:val="00F54233"/>
    <w:rsid w:val="00F543A8"/>
    <w:rsid w:val="00F548AC"/>
    <w:rsid w:val="00F54D91"/>
    <w:rsid w:val="00F55DAE"/>
    <w:rsid w:val="00F57348"/>
    <w:rsid w:val="00F60B42"/>
    <w:rsid w:val="00F6132A"/>
    <w:rsid w:val="00F61337"/>
    <w:rsid w:val="00F63B4A"/>
    <w:rsid w:val="00F64708"/>
    <w:rsid w:val="00F64DE5"/>
    <w:rsid w:val="00F64E42"/>
    <w:rsid w:val="00F65B36"/>
    <w:rsid w:val="00F66924"/>
    <w:rsid w:val="00F66EE2"/>
    <w:rsid w:val="00F70439"/>
    <w:rsid w:val="00F7051B"/>
    <w:rsid w:val="00F70E5A"/>
    <w:rsid w:val="00F71237"/>
    <w:rsid w:val="00F71309"/>
    <w:rsid w:val="00F723FB"/>
    <w:rsid w:val="00F76328"/>
    <w:rsid w:val="00F77DB4"/>
    <w:rsid w:val="00F800B9"/>
    <w:rsid w:val="00F80553"/>
    <w:rsid w:val="00F80C5D"/>
    <w:rsid w:val="00F80F1A"/>
    <w:rsid w:val="00F813B0"/>
    <w:rsid w:val="00F81B94"/>
    <w:rsid w:val="00F81F1A"/>
    <w:rsid w:val="00F84301"/>
    <w:rsid w:val="00F84490"/>
    <w:rsid w:val="00F84F22"/>
    <w:rsid w:val="00F85729"/>
    <w:rsid w:val="00F85DFA"/>
    <w:rsid w:val="00F87452"/>
    <w:rsid w:val="00F911BC"/>
    <w:rsid w:val="00F947E8"/>
    <w:rsid w:val="00F94DF2"/>
    <w:rsid w:val="00F95E48"/>
    <w:rsid w:val="00F964A7"/>
    <w:rsid w:val="00F964DF"/>
    <w:rsid w:val="00F970A8"/>
    <w:rsid w:val="00FA0AE6"/>
    <w:rsid w:val="00FA189C"/>
    <w:rsid w:val="00FA1DDC"/>
    <w:rsid w:val="00FA1E21"/>
    <w:rsid w:val="00FA1E76"/>
    <w:rsid w:val="00FA2868"/>
    <w:rsid w:val="00FA2BC9"/>
    <w:rsid w:val="00FA45AB"/>
    <w:rsid w:val="00FA46A1"/>
    <w:rsid w:val="00FA4E06"/>
    <w:rsid w:val="00FA5432"/>
    <w:rsid w:val="00FA712B"/>
    <w:rsid w:val="00FB0995"/>
    <w:rsid w:val="00FB141F"/>
    <w:rsid w:val="00FB1485"/>
    <w:rsid w:val="00FB1666"/>
    <w:rsid w:val="00FB3691"/>
    <w:rsid w:val="00FB4118"/>
    <w:rsid w:val="00FB4947"/>
    <w:rsid w:val="00FB4D5E"/>
    <w:rsid w:val="00FB56A6"/>
    <w:rsid w:val="00FB60F5"/>
    <w:rsid w:val="00FB7E65"/>
    <w:rsid w:val="00FC1924"/>
    <w:rsid w:val="00FC1AFC"/>
    <w:rsid w:val="00FC3887"/>
    <w:rsid w:val="00FC509F"/>
    <w:rsid w:val="00FC5D30"/>
    <w:rsid w:val="00FC73DC"/>
    <w:rsid w:val="00FC74FE"/>
    <w:rsid w:val="00FD05EE"/>
    <w:rsid w:val="00FD07F1"/>
    <w:rsid w:val="00FD43AE"/>
    <w:rsid w:val="00FD4AEB"/>
    <w:rsid w:val="00FD587B"/>
    <w:rsid w:val="00FD5E84"/>
    <w:rsid w:val="00FD7167"/>
    <w:rsid w:val="00FD7387"/>
    <w:rsid w:val="00FD763D"/>
    <w:rsid w:val="00FE0874"/>
    <w:rsid w:val="00FE1CAE"/>
    <w:rsid w:val="00FE20D4"/>
    <w:rsid w:val="00FE398C"/>
    <w:rsid w:val="00FE5DEF"/>
    <w:rsid w:val="00FF0BC8"/>
    <w:rsid w:val="00FF10F6"/>
    <w:rsid w:val="00FF2961"/>
    <w:rsid w:val="00FF353C"/>
    <w:rsid w:val="00FF36EB"/>
    <w:rsid w:val="00FF3DAE"/>
    <w:rsid w:val="00FF4289"/>
    <w:rsid w:val="00FF56A7"/>
    <w:rsid w:val="00FF5E70"/>
    <w:rsid w:val="00FF6FB3"/>
    <w:rsid w:val="081F4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89"/>
    <w:pPr>
      <w:tabs>
        <w:tab w:val="left" w:pos="708"/>
      </w:tabs>
      <w:suppressAutoHyphens/>
    </w:pPr>
    <w:rPr>
      <w:rFonts w:cs="Lohit Hindi"/>
      <w:color w:val="00000A"/>
      <w:kern w:val="1"/>
      <w:sz w:val="24"/>
      <w:szCs w:val="24"/>
      <w:lang w:val="en-US" w:eastAsia="hi-IN" w:bidi="hi-IN"/>
    </w:rPr>
  </w:style>
  <w:style w:type="paragraph" w:styleId="Heading1">
    <w:name w:val="heading 1"/>
    <w:basedOn w:val="Normal"/>
    <w:next w:val="Normal"/>
    <w:link w:val="Heading1Char"/>
    <w:uiPriority w:val="9"/>
    <w:qFormat/>
    <w:rsid w:val="00477995"/>
    <w:pPr>
      <w:keepNext/>
      <w:spacing w:before="240" w:after="60"/>
      <w:outlineLvl w:val="0"/>
    </w:pPr>
    <w:rPr>
      <w:rFonts w:ascii="Cambria" w:hAnsi="Cambria" w:cs="Times New Roman"/>
      <w:b/>
      <w:kern w:val="32"/>
      <w:sz w:val="2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
    <w:name w:val="new"/>
    <w:qFormat/>
    <w:rsid w:val="00C40FF8"/>
    <w:rPr>
      <w:rFonts w:cs="Times New Roman"/>
      <w:bdr w:val="none" w:sz="0" w:space="0" w:color="auto"/>
      <w:shd w:val="clear" w:color="auto" w:fill="DAEEF3"/>
      <w:lang w:val="en-GB"/>
    </w:rPr>
  </w:style>
  <w:style w:type="character" w:customStyle="1" w:styleId="CommentReference1">
    <w:name w:val="Comment Reference1"/>
    <w:rsid w:val="001F4E89"/>
    <w:rPr>
      <w:sz w:val="16"/>
    </w:rPr>
  </w:style>
  <w:style w:type="character" w:customStyle="1" w:styleId="CommentTextChar">
    <w:name w:val="Comment Text Char"/>
    <w:uiPriority w:val="99"/>
    <w:rsid w:val="001F4E89"/>
    <w:rPr>
      <w:sz w:val="20"/>
    </w:rPr>
  </w:style>
  <w:style w:type="character" w:customStyle="1" w:styleId="CommentSubjectChar">
    <w:name w:val="Comment Subject Char"/>
    <w:rsid w:val="001F4E89"/>
    <w:rPr>
      <w:b/>
      <w:sz w:val="20"/>
    </w:rPr>
  </w:style>
  <w:style w:type="character" w:customStyle="1" w:styleId="BalloonTextChar">
    <w:name w:val="Balloon Text Char"/>
    <w:rsid w:val="001F4E89"/>
    <w:rPr>
      <w:rFonts w:ascii="Tahoma" w:hAnsi="Tahoma"/>
      <w:sz w:val="16"/>
    </w:rPr>
  </w:style>
  <w:style w:type="character" w:customStyle="1" w:styleId="ListLabel1">
    <w:name w:val="ListLabel 1"/>
    <w:rsid w:val="001F4E89"/>
  </w:style>
  <w:style w:type="character" w:customStyle="1" w:styleId="ListLabel2">
    <w:name w:val="ListLabel 2"/>
    <w:rsid w:val="001F4E89"/>
  </w:style>
  <w:style w:type="paragraph" w:customStyle="1" w:styleId="Heading">
    <w:name w:val="Heading"/>
    <w:basedOn w:val="Normal"/>
    <w:next w:val="BodyText"/>
    <w:rsid w:val="001F4E89"/>
    <w:pPr>
      <w:keepNext/>
      <w:spacing w:before="240" w:after="120"/>
    </w:pPr>
    <w:rPr>
      <w:rFonts w:ascii="Arial" w:hAnsi="Arial"/>
      <w:sz w:val="28"/>
      <w:szCs w:val="28"/>
    </w:rPr>
  </w:style>
  <w:style w:type="paragraph" w:styleId="BodyText">
    <w:name w:val="Body Text"/>
    <w:basedOn w:val="Normal"/>
    <w:rsid w:val="001F4E89"/>
    <w:pPr>
      <w:spacing w:after="120"/>
    </w:pPr>
  </w:style>
  <w:style w:type="paragraph" w:styleId="List">
    <w:name w:val="List"/>
    <w:basedOn w:val="BodyText"/>
    <w:rsid w:val="001F4E89"/>
  </w:style>
  <w:style w:type="paragraph" w:styleId="Caption">
    <w:name w:val="caption"/>
    <w:basedOn w:val="Normal"/>
    <w:qFormat/>
    <w:rsid w:val="007B73AE"/>
    <w:pPr>
      <w:suppressLineNumbers/>
      <w:spacing w:before="120" w:after="120"/>
    </w:pPr>
    <w:rPr>
      <w:iCs/>
    </w:rPr>
  </w:style>
  <w:style w:type="paragraph" w:customStyle="1" w:styleId="Index">
    <w:name w:val="Index"/>
    <w:basedOn w:val="Normal"/>
    <w:rsid w:val="001F4E89"/>
    <w:pPr>
      <w:suppressLineNumbers/>
    </w:pPr>
  </w:style>
  <w:style w:type="paragraph" w:styleId="ListParagraph">
    <w:name w:val="List Paragraph"/>
    <w:basedOn w:val="Normal"/>
    <w:qFormat/>
    <w:rsid w:val="001F4E89"/>
    <w:pPr>
      <w:ind w:left="720"/>
    </w:pPr>
  </w:style>
  <w:style w:type="paragraph" w:customStyle="1" w:styleId="CommentText1">
    <w:name w:val="Comment Text1"/>
    <w:basedOn w:val="Normal"/>
    <w:rsid w:val="001F4E89"/>
    <w:pPr>
      <w:spacing w:line="100" w:lineRule="atLeast"/>
    </w:pPr>
    <w:rPr>
      <w:sz w:val="20"/>
      <w:szCs w:val="20"/>
    </w:rPr>
  </w:style>
  <w:style w:type="paragraph" w:customStyle="1" w:styleId="CommentSubject1">
    <w:name w:val="Comment Subject1"/>
    <w:basedOn w:val="CommentText1"/>
    <w:rsid w:val="001F4E89"/>
    <w:rPr>
      <w:b/>
      <w:bCs/>
    </w:rPr>
  </w:style>
  <w:style w:type="paragraph" w:styleId="BalloonText">
    <w:name w:val="Balloon Text"/>
    <w:basedOn w:val="Normal"/>
    <w:semiHidden/>
    <w:rsid w:val="001F4E89"/>
    <w:pPr>
      <w:spacing w:line="100" w:lineRule="atLeast"/>
    </w:pPr>
    <w:rPr>
      <w:rFonts w:ascii="Tahoma" w:hAnsi="Tahoma" w:cs="Tahoma"/>
      <w:sz w:val="16"/>
      <w:szCs w:val="16"/>
    </w:rPr>
  </w:style>
  <w:style w:type="character" w:styleId="CommentReference">
    <w:name w:val="annotation reference"/>
    <w:uiPriority w:val="99"/>
    <w:semiHidden/>
    <w:rsid w:val="00DD6A60"/>
    <w:rPr>
      <w:sz w:val="16"/>
    </w:rPr>
  </w:style>
  <w:style w:type="paragraph" w:styleId="CommentText">
    <w:name w:val="annotation text"/>
    <w:basedOn w:val="Normal"/>
    <w:uiPriority w:val="99"/>
    <w:semiHidden/>
    <w:rsid w:val="00DD6A60"/>
    <w:rPr>
      <w:sz w:val="20"/>
      <w:szCs w:val="20"/>
    </w:rPr>
  </w:style>
  <w:style w:type="paragraph" w:styleId="CommentSubject">
    <w:name w:val="annotation subject"/>
    <w:basedOn w:val="CommentText"/>
    <w:next w:val="CommentText"/>
    <w:semiHidden/>
    <w:rsid w:val="00DD6A60"/>
    <w:rPr>
      <w:b/>
      <w:bCs/>
    </w:rPr>
  </w:style>
  <w:style w:type="table" w:styleId="TableGrid">
    <w:name w:val="Table Grid"/>
    <w:basedOn w:val="TableNormal"/>
    <w:rsid w:val="00356945"/>
    <w:pPr>
      <w:tabs>
        <w:tab w:val="left" w:pos="708"/>
      </w:tabs>
      <w:suppressAutoHyphen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locked/>
    <w:rsid w:val="00477995"/>
    <w:rPr>
      <w:rFonts w:ascii="Cambria" w:hAnsi="Cambria"/>
      <w:b/>
      <w:color w:val="00000A"/>
      <w:kern w:val="32"/>
      <w:sz w:val="29"/>
      <w:lang w:eastAsia="hi-IN" w:bidi="hi-IN"/>
    </w:rPr>
  </w:style>
  <w:style w:type="paragraph" w:styleId="Revision">
    <w:name w:val="Revision"/>
    <w:hidden/>
    <w:semiHidden/>
    <w:rsid w:val="00477995"/>
    <w:rPr>
      <w:rFonts w:cs="Mangal"/>
      <w:color w:val="00000A"/>
      <w:kern w:val="1"/>
      <w:sz w:val="24"/>
      <w:szCs w:val="21"/>
      <w:lang w:val="en-US" w:eastAsia="hi-IN" w:bidi="hi-IN"/>
    </w:rPr>
  </w:style>
  <w:style w:type="paragraph" w:styleId="Quote">
    <w:name w:val="Quote"/>
    <w:basedOn w:val="Normal"/>
    <w:next w:val="Normal"/>
    <w:link w:val="QuoteChar"/>
    <w:uiPriority w:val="29"/>
    <w:qFormat/>
    <w:rsid w:val="00750FD1"/>
    <w:rPr>
      <w:rFonts w:cs="Mangal"/>
      <w:iCs/>
      <w:color w:val="000000"/>
      <w:szCs w:val="21"/>
    </w:rPr>
  </w:style>
  <w:style w:type="character" w:customStyle="1" w:styleId="QuoteChar">
    <w:name w:val="Quote Char"/>
    <w:link w:val="Quote"/>
    <w:uiPriority w:val="29"/>
    <w:rsid w:val="00750FD1"/>
    <w:rPr>
      <w:rFonts w:cs="Mangal"/>
      <w:iCs/>
      <w:color w:val="000000"/>
      <w:kern w:val="1"/>
      <w:sz w:val="24"/>
      <w:szCs w:val="21"/>
      <w:lang w:eastAsia="hi-IN" w:bidi="hi-IN"/>
    </w:rPr>
  </w:style>
  <w:style w:type="character" w:styleId="Emphasis">
    <w:name w:val="Emphasis"/>
    <w:qFormat/>
    <w:locked/>
    <w:rsid w:val="000E1280"/>
    <w:rPr>
      <w:iCs/>
    </w:rPr>
  </w:style>
  <w:style w:type="paragraph" w:styleId="EndnoteText">
    <w:name w:val="endnote text"/>
    <w:basedOn w:val="Normal"/>
    <w:link w:val="EndnoteTextChar"/>
    <w:rsid w:val="00D56607"/>
    <w:rPr>
      <w:rFonts w:cs="Mangal"/>
      <w:sz w:val="20"/>
      <w:szCs w:val="18"/>
    </w:rPr>
  </w:style>
  <w:style w:type="character" w:customStyle="1" w:styleId="EndnoteTextChar">
    <w:name w:val="Endnote Text Char"/>
    <w:link w:val="EndnoteText"/>
    <w:rsid w:val="00D56607"/>
    <w:rPr>
      <w:rFonts w:cs="Mangal"/>
      <w:color w:val="00000A"/>
      <w:kern w:val="1"/>
      <w:szCs w:val="18"/>
      <w:lang w:val="en-US" w:eastAsia="hi-IN" w:bidi="hi-IN"/>
    </w:rPr>
  </w:style>
  <w:style w:type="character" w:styleId="EndnoteReference">
    <w:name w:val="endnote reference"/>
    <w:rsid w:val="00D56607"/>
    <w:rPr>
      <w:vertAlign w:val="superscript"/>
    </w:rPr>
  </w:style>
  <w:style w:type="paragraph" w:styleId="FootnoteText">
    <w:name w:val="footnote text"/>
    <w:basedOn w:val="Normal"/>
    <w:link w:val="FootnoteTextChar"/>
    <w:rsid w:val="00D56607"/>
    <w:rPr>
      <w:rFonts w:cs="Mangal"/>
      <w:sz w:val="20"/>
      <w:szCs w:val="18"/>
    </w:rPr>
  </w:style>
  <w:style w:type="character" w:customStyle="1" w:styleId="FootnoteTextChar">
    <w:name w:val="Footnote Text Char"/>
    <w:link w:val="FootnoteText"/>
    <w:rsid w:val="00D56607"/>
    <w:rPr>
      <w:rFonts w:cs="Mangal"/>
      <w:color w:val="00000A"/>
      <w:kern w:val="1"/>
      <w:szCs w:val="18"/>
      <w:lang w:val="en-US" w:eastAsia="hi-IN" w:bidi="hi-IN"/>
    </w:rPr>
  </w:style>
  <w:style w:type="character" w:styleId="FootnoteReference">
    <w:name w:val="footnote reference"/>
    <w:rsid w:val="00D56607"/>
    <w:rPr>
      <w:vertAlign w:val="superscript"/>
    </w:rPr>
  </w:style>
  <w:style w:type="paragraph" w:styleId="Header">
    <w:name w:val="header"/>
    <w:basedOn w:val="Normal"/>
    <w:link w:val="HeaderChar"/>
    <w:rsid w:val="00D22208"/>
    <w:pPr>
      <w:tabs>
        <w:tab w:val="clear" w:pos="708"/>
        <w:tab w:val="center" w:pos="4536"/>
        <w:tab w:val="right" w:pos="9072"/>
      </w:tabs>
    </w:pPr>
    <w:rPr>
      <w:rFonts w:cs="Mangal"/>
      <w:szCs w:val="21"/>
    </w:rPr>
  </w:style>
  <w:style w:type="character" w:customStyle="1" w:styleId="HeaderChar">
    <w:name w:val="Header Char"/>
    <w:link w:val="Header"/>
    <w:rsid w:val="00D22208"/>
    <w:rPr>
      <w:rFonts w:cs="Mangal"/>
      <w:color w:val="00000A"/>
      <w:kern w:val="1"/>
      <w:sz w:val="24"/>
      <w:szCs w:val="21"/>
      <w:lang w:val="en-US" w:eastAsia="hi-IN" w:bidi="hi-IN"/>
    </w:rPr>
  </w:style>
  <w:style w:type="paragraph" w:styleId="Footer">
    <w:name w:val="footer"/>
    <w:basedOn w:val="Normal"/>
    <w:link w:val="FooterChar"/>
    <w:uiPriority w:val="99"/>
    <w:rsid w:val="00D22208"/>
    <w:pPr>
      <w:tabs>
        <w:tab w:val="clear" w:pos="708"/>
        <w:tab w:val="center" w:pos="4536"/>
        <w:tab w:val="right" w:pos="9072"/>
      </w:tabs>
    </w:pPr>
    <w:rPr>
      <w:rFonts w:cs="Mangal"/>
      <w:szCs w:val="21"/>
    </w:rPr>
  </w:style>
  <w:style w:type="character" w:customStyle="1" w:styleId="FooterChar">
    <w:name w:val="Footer Char"/>
    <w:link w:val="Footer"/>
    <w:uiPriority w:val="99"/>
    <w:rsid w:val="00D22208"/>
    <w:rPr>
      <w:rFonts w:cs="Mangal"/>
      <w:color w:val="00000A"/>
      <w:kern w:val="1"/>
      <w:sz w:val="24"/>
      <w:szCs w:val="21"/>
      <w:lang w:val="en-US" w:eastAsia="hi-IN" w:bidi="hi-IN"/>
    </w:rPr>
  </w:style>
  <w:style w:type="character" w:styleId="LineNumber">
    <w:name w:val="line number"/>
    <w:basedOn w:val="DefaultParagraphFont"/>
    <w:rsid w:val="00D22208"/>
  </w:style>
  <w:style w:type="character" w:styleId="Hyperlink">
    <w:name w:val="Hyperlink"/>
    <w:rsid w:val="00D22208"/>
    <w:rPr>
      <w:color w:val="0000FF"/>
      <w:u w:val="single"/>
    </w:rPr>
  </w:style>
  <w:style w:type="paragraph" w:customStyle="1" w:styleId="Response">
    <w:name w:val="Response"/>
    <w:basedOn w:val="Normal"/>
    <w:link w:val="ResponseChar"/>
    <w:qFormat/>
    <w:rsid w:val="005830EA"/>
    <w:pPr>
      <w:tabs>
        <w:tab w:val="clear" w:pos="708"/>
      </w:tabs>
      <w:suppressAutoHyphens w:val="0"/>
      <w:spacing w:line="276" w:lineRule="auto"/>
    </w:pPr>
    <w:rPr>
      <w:rFonts w:eastAsiaTheme="minorHAnsi" w:cstheme="minorBidi"/>
      <w:color w:val="2E6CB8"/>
      <w:kern w:val="0"/>
      <w:szCs w:val="22"/>
      <w:lang w:val="et-EE" w:eastAsia="en-US" w:bidi="ar-SA"/>
    </w:rPr>
  </w:style>
  <w:style w:type="character" w:customStyle="1" w:styleId="ResponseChar">
    <w:name w:val="Response Char"/>
    <w:basedOn w:val="DefaultParagraphFont"/>
    <w:link w:val="Response"/>
    <w:rsid w:val="007C4437"/>
    <w:rPr>
      <w:rFonts w:eastAsiaTheme="minorHAnsi" w:cstheme="minorBidi"/>
      <w:color w:val="2E6CB8"/>
      <w:sz w:val="24"/>
      <w:szCs w:val="22"/>
      <w:lang w:val="et-EE"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0488477">
      <w:bodyDiv w:val="1"/>
      <w:marLeft w:val="0"/>
      <w:marRight w:val="0"/>
      <w:marTop w:val="0"/>
      <w:marBottom w:val="0"/>
      <w:divBdr>
        <w:top w:val="none" w:sz="0" w:space="0" w:color="auto"/>
        <w:left w:val="none" w:sz="0" w:space="0" w:color="auto"/>
        <w:bottom w:val="none" w:sz="0" w:space="0" w:color="auto"/>
        <w:right w:val="none" w:sz="0" w:space="0" w:color="auto"/>
      </w:divBdr>
    </w:div>
    <w:div w:id="192960992">
      <w:bodyDiv w:val="1"/>
      <w:marLeft w:val="0"/>
      <w:marRight w:val="0"/>
      <w:marTop w:val="0"/>
      <w:marBottom w:val="0"/>
      <w:divBdr>
        <w:top w:val="none" w:sz="0" w:space="0" w:color="auto"/>
        <w:left w:val="none" w:sz="0" w:space="0" w:color="auto"/>
        <w:bottom w:val="none" w:sz="0" w:space="0" w:color="auto"/>
        <w:right w:val="none" w:sz="0" w:space="0" w:color="auto"/>
      </w:divBdr>
    </w:div>
    <w:div w:id="270481945">
      <w:bodyDiv w:val="1"/>
      <w:marLeft w:val="0"/>
      <w:marRight w:val="0"/>
      <w:marTop w:val="0"/>
      <w:marBottom w:val="0"/>
      <w:divBdr>
        <w:top w:val="none" w:sz="0" w:space="0" w:color="auto"/>
        <w:left w:val="none" w:sz="0" w:space="0" w:color="auto"/>
        <w:bottom w:val="none" w:sz="0" w:space="0" w:color="auto"/>
        <w:right w:val="none" w:sz="0" w:space="0" w:color="auto"/>
      </w:divBdr>
    </w:div>
    <w:div w:id="360060350">
      <w:bodyDiv w:val="1"/>
      <w:marLeft w:val="0"/>
      <w:marRight w:val="0"/>
      <w:marTop w:val="0"/>
      <w:marBottom w:val="0"/>
      <w:divBdr>
        <w:top w:val="none" w:sz="0" w:space="0" w:color="auto"/>
        <w:left w:val="none" w:sz="0" w:space="0" w:color="auto"/>
        <w:bottom w:val="none" w:sz="0" w:space="0" w:color="auto"/>
        <w:right w:val="none" w:sz="0" w:space="0" w:color="auto"/>
      </w:divBdr>
    </w:div>
    <w:div w:id="513610588">
      <w:bodyDiv w:val="1"/>
      <w:marLeft w:val="0"/>
      <w:marRight w:val="0"/>
      <w:marTop w:val="0"/>
      <w:marBottom w:val="0"/>
      <w:divBdr>
        <w:top w:val="none" w:sz="0" w:space="0" w:color="auto"/>
        <w:left w:val="none" w:sz="0" w:space="0" w:color="auto"/>
        <w:bottom w:val="none" w:sz="0" w:space="0" w:color="auto"/>
        <w:right w:val="none" w:sz="0" w:space="0" w:color="auto"/>
      </w:divBdr>
    </w:div>
    <w:div w:id="654072254">
      <w:bodyDiv w:val="1"/>
      <w:marLeft w:val="0"/>
      <w:marRight w:val="0"/>
      <w:marTop w:val="0"/>
      <w:marBottom w:val="0"/>
      <w:divBdr>
        <w:top w:val="none" w:sz="0" w:space="0" w:color="auto"/>
        <w:left w:val="none" w:sz="0" w:space="0" w:color="auto"/>
        <w:bottom w:val="none" w:sz="0" w:space="0" w:color="auto"/>
        <w:right w:val="none" w:sz="0" w:space="0" w:color="auto"/>
      </w:divBdr>
    </w:div>
    <w:div w:id="708839289">
      <w:bodyDiv w:val="1"/>
      <w:marLeft w:val="0"/>
      <w:marRight w:val="0"/>
      <w:marTop w:val="0"/>
      <w:marBottom w:val="0"/>
      <w:divBdr>
        <w:top w:val="none" w:sz="0" w:space="0" w:color="auto"/>
        <w:left w:val="none" w:sz="0" w:space="0" w:color="auto"/>
        <w:bottom w:val="none" w:sz="0" w:space="0" w:color="auto"/>
        <w:right w:val="none" w:sz="0" w:space="0" w:color="auto"/>
      </w:divBdr>
      <w:divsChild>
        <w:div w:id="961232144">
          <w:marLeft w:val="0"/>
          <w:marRight w:val="0"/>
          <w:marTop w:val="0"/>
          <w:marBottom w:val="120"/>
          <w:divBdr>
            <w:top w:val="none" w:sz="0" w:space="0" w:color="auto"/>
            <w:left w:val="none" w:sz="0" w:space="0" w:color="auto"/>
            <w:bottom w:val="none" w:sz="0" w:space="0" w:color="auto"/>
            <w:right w:val="none" w:sz="0" w:space="0" w:color="auto"/>
          </w:divBdr>
        </w:div>
      </w:divsChild>
    </w:div>
    <w:div w:id="783036347">
      <w:bodyDiv w:val="1"/>
      <w:marLeft w:val="0"/>
      <w:marRight w:val="0"/>
      <w:marTop w:val="0"/>
      <w:marBottom w:val="0"/>
      <w:divBdr>
        <w:top w:val="none" w:sz="0" w:space="0" w:color="auto"/>
        <w:left w:val="none" w:sz="0" w:space="0" w:color="auto"/>
        <w:bottom w:val="none" w:sz="0" w:space="0" w:color="auto"/>
        <w:right w:val="none" w:sz="0" w:space="0" w:color="auto"/>
      </w:divBdr>
    </w:div>
    <w:div w:id="817919317">
      <w:bodyDiv w:val="1"/>
      <w:marLeft w:val="0"/>
      <w:marRight w:val="0"/>
      <w:marTop w:val="0"/>
      <w:marBottom w:val="0"/>
      <w:divBdr>
        <w:top w:val="none" w:sz="0" w:space="0" w:color="auto"/>
        <w:left w:val="none" w:sz="0" w:space="0" w:color="auto"/>
        <w:bottom w:val="none" w:sz="0" w:space="0" w:color="auto"/>
        <w:right w:val="none" w:sz="0" w:space="0" w:color="auto"/>
      </w:divBdr>
    </w:div>
    <w:div w:id="1028871836">
      <w:bodyDiv w:val="1"/>
      <w:marLeft w:val="0"/>
      <w:marRight w:val="0"/>
      <w:marTop w:val="0"/>
      <w:marBottom w:val="0"/>
      <w:divBdr>
        <w:top w:val="none" w:sz="0" w:space="0" w:color="auto"/>
        <w:left w:val="none" w:sz="0" w:space="0" w:color="auto"/>
        <w:bottom w:val="none" w:sz="0" w:space="0" w:color="auto"/>
        <w:right w:val="none" w:sz="0" w:space="0" w:color="auto"/>
      </w:divBdr>
    </w:div>
    <w:div w:id="1046413547">
      <w:bodyDiv w:val="1"/>
      <w:marLeft w:val="0"/>
      <w:marRight w:val="0"/>
      <w:marTop w:val="0"/>
      <w:marBottom w:val="0"/>
      <w:divBdr>
        <w:top w:val="none" w:sz="0" w:space="0" w:color="auto"/>
        <w:left w:val="none" w:sz="0" w:space="0" w:color="auto"/>
        <w:bottom w:val="none" w:sz="0" w:space="0" w:color="auto"/>
        <w:right w:val="none" w:sz="0" w:space="0" w:color="auto"/>
      </w:divBdr>
    </w:div>
    <w:div w:id="1103915342">
      <w:bodyDiv w:val="1"/>
      <w:marLeft w:val="0"/>
      <w:marRight w:val="0"/>
      <w:marTop w:val="0"/>
      <w:marBottom w:val="0"/>
      <w:divBdr>
        <w:top w:val="none" w:sz="0" w:space="0" w:color="auto"/>
        <w:left w:val="none" w:sz="0" w:space="0" w:color="auto"/>
        <w:bottom w:val="none" w:sz="0" w:space="0" w:color="auto"/>
        <w:right w:val="none" w:sz="0" w:space="0" w:color="auto"/>
      </w:divBdr>
    </w:div>
    <w:div w:id="1185241957">
      <w:bodyDiv w:val="1"/>
      <w:marLeft w:val="0"/>
      <w:marRight w:val="0"/>
      <w:marTop w:val="0"/>
      <w:marBottom w:val="0"/>
      <w:divBdr>
        <w:top w:val="none" w:sz="0" w:space="0" w:color="auto"/>
        <w:left w:val="none" w:sz="0" w:space="0" w:color="auto"/>
        <w:bottom w:val="none" w:sz="0" w:space="0" w:color="auto"/>
        <w:right w:val="none" w:sz="0" w:space="0" w:color="auto"/>
      </w:divBdr>
    </w:div>
    <w:div w:id="1321154968">
      <w:bodyDiv w:val="1"/>
      <w:marLeft w:val="0"/>
      <w:marRight w:val="0"/>
      <w:marTop w:val="0"/>
      <w:marBottom w:val="0"/>
      <w:divBdr>
        <w:top w:val="none" w:sz="0" w:space="0" w:color="auto"/>
        <w:left w:val="none" w:sz="0" w:space="0" w:color="auto"/>
        <w:bottom w:val="none" w:sz="0" w:space="0" w:color="auto"/>
        <w:right w:val="none" w:sz="0" w:space="0" w:color="auto"/>
      </w:divBdr>
    </w:div>
    <w:div w:id="1325474041">
      <w:bodyDiv w:val="1"/>
      <w:marLeft w:val="0"/>
      <w:marRight w:val="0"/>
      <w:marTop w:val="0"/>
      <w:marBottom w:val="0"/>
      <w:divBdr>
        <w:top w:val="none" w:sz="0" w:space="0" w:color="auto"/>
        <w:left w:val="none" w:sz="0" w:space="0" w:color="auto"/>
        <w:bottom w:val="none" w:sz="0" w:space="0" w:color="auto"/>
        <w:right w:val="none" w:sz="0" w:space="0" w:color="auto"/>
      </w:divBdr>
    </w:div>
    <w:div w:id="1363557145">
      <w:bodyDiv w:val="1"/>
      <w:marLeft w:val="0"/>
      <w:marRight w:val="0"/>
      <w:marTop w:val="0"/>
      <w:marBottom w:val="0"/>
      <w:divBdr>
        <w:top w:val="none" w:sz="0" w:space="0" w:color="auto"/>
        <w:left w:val="none" w:sz="0" w:space="0" w:color="auto"/>
        <w:bottom w:val="none" w:sz="0" w:space="0" w:color="auto"/>
        <w:right w:val="none" w:sz="0" w:space="0" w:color="auto"/>
      </w:divBdr>
    </w:div>
    <w:div w:id="1382513863">
      <w:bodyDiv w:val="1"/>
      <w:marLeft w:val="0"/>
      <w:marRight w:val="0"/>
      <w:marTop w:val="0"/>
      <w:marBottom w:val="0"/>
      <w:divBdr>
        <w:top w:val="none" w:sz="0" w:space="0" w:color="auto"/>
        <w:left w:val="none" w:sz="0" w:space="0" w:color="auto"/>
        <w:bottom w:val="none" w:sz="0" w:space="0" w:color="auto"/>
        <w:right w:val="none" w:sz="0" w:space="0" w:color="auto"/>
      </w:divBdr>
    </w:div>
    <w:div w:id="1499076572">
      <w:bodyDiv w:val="1"/>
      <w:marLeft w:val="0"/>
      <w:marRight w:val="0"/>
      <w:marTop w:val="0"/>
      <w:marBottom w:val="0"/>
      <w:divBdr>
        <w:top w:val="none" w:sz="0" w:space="0" w:color="auto"/>
        <w:left w:val="none" w:sz="0" w:space="0" w:color="auto"/>
        <w:bottom w:val="none" w:sz="0" w:space="0" w:color="auto"/>
        <w:right w:val="none" w:sz="0" w:space="0" w:color="auto"/>
      </w:divBdr>
    </w:div>
    <w:div w:id="1687320970">
      <w:bodyDiv w:val="1"/>
      <w:marLeft w:val="0"/>
      <w:marRight w:val="0"/>
      <w:marTop w:val="0"/>
      <w:marBottom w:val="0"/>
      <w:divBdr>
        <w:top w:val="none" w:sz="0" w:space="0" w:color="auto"/>
        <w:left w:val="none" w:sz="0" w:space="0" w:color="auto"/>
        <w:bottom w:val="none" w:sz="0" w:space="0" w:color="auto"/>
        <w:right w:val="none" w:sz="0" w:space="0" w:color="auto"/>
      </w:divBdr>
    </w:div>
    <w:div w:id="1779836014">
      <w:bodyDiv w:val="1"/>
      <w:marLeft w:val="0"/>
      <w:marRight w:val="0"/>
      <w:marTop w:val="0"/>
      <w:marBottom w:val="0"/>
      <w:divBdr>
        <w:top w:val="none" w:sz="0" w:space="0" w:color="auto"/>
        <w:left w:val="none" w:sz="0" w:space="0" w:color="auto"/>
        <w:bottom w:val="none" w:sz="0" w:space="0" w:color="auto"/>
        <w:right w:val="none" w:sz="0" w:space="0" w:color="auto"/>
      </w:divBdr>
    </w:div>
    <w:div w:id="1926961604">
      <w:bodyDiv w:val="1"/>
      <w:marLeft w:val="0"/>
      <w:marRight w:val="0"/>
      <w:marTop w:val="0"/>
      <w:marBottom w:val="0"/>
      <w:divBdr>
        <w:top w:val="none" w:sz="0" w:space="0" w:color="auto"/>
        <w:left w:val="none" w:sz="0" w:space="0" w:color="auto"/>
        <w:bottom w:val="none" w:sz="0" w:space="0" w:color="auto"/>
        <w:right w:val="none" w:sz="0" w:space="0" w:color="auto"/>
      </w:divBdr>
    </w:div>
    <w:div w:id="1935893905">
      <w:bodyDiv w:val="1"/>
      <w:marLeft w:val="0"/>
      <w:marRight w:val="0"/>
      <w:marTop w:val="0"/>
      <w:marBottom w:val="0"/>
      <w:divBdr>
        <w:top w:val="none" w:sz="0" w:space="0" w:color="auto"/>
        <w:left w:val="none" w:sz="0" w:space="0" w:color="auto"/>
        <w:bottom w:val="none" w:sz="0" w:space="0" w:color="auto"/>
        <w:right w:val="none" w:sz="0" w:space="0" w:color="auto"/>
      </w:divBdr>
    </w:div>
    <w:div w:id="1965185424">
      <w:bodyDiv w:val="1"/>
      <w:marLeft w:val="0"/>
      <w:marRight w:val="0"/>
      <w:marTop w:val="0"/>
      <w:marBottom w:val="0"/>
      <w:divBdr>
        <w:top w:val="none" w:sz="0" w:space="0" w:color="auto"/>
        <w:left w:val="none" w:sz="0" w:space="0" w:color="auto"/>
        <w:bottom w:val="none" w:sz="0" w:space="0" w:color="auto"/>
        <w:right w:val="none" w:sz="0" w:space="0" w:color="auto"/>
      </w:divBdr>
    </w:div>
    <w:div w:id="1967546040">
      <w:bodyDiv w:val="1"/>
      <w:marLeft w:val="0"/>
      <w:marRight w:val="0"/>
      <w:marTop w:val="0"/>
      <w:marBottom w:val="0"/>
      <w:divBdr>
        <w:top w:val="none" w:sz="0" w:space="0" w:color="auto"/>
        <w:left w:val="none" w:sz="0" w:space="0" w:color="auto"/>
        <w:bottom w:val="none" w:sz="0" w:space="0" w:color="auto"/>
        <w:right w:val="none" w:sz="0" w:space="0" w:color="auto"/>
      </w:divBdr>
    </w:div>
    <w:div w:id="2049260939">
      <w:bodyDiv w:val="1"/>
      <w:marLeft w:val="0"/>
      <w:marRight w:val="0"/>
      <w:marTop w:val="0"/>
      <w:marBottom w:val="0"/>
      <w:divBdr>
        <w:top w:val="none" w:sz="0" w:space="0" w:color="auto"/>
        <w:left w:val="none" w:sz="0" w:space="0" w:color="auto"/>
        <w:bottom w:val="none" w:sz="0" w:space="0" w:color="auto"/>
        <w:right w:val="none" w:sz="0" w:space="0" w:color="auto"/>
      </w:divBdr>
    </w:div>
    <w:div w:id="2072077175">
      <w:bodyDiv w:val="1"/>
      <w:marLeft w:val="0"/>
      <w:marRight w:val="0"/>
      <w:marTop w:val="0"/>
      <w:marBottom w:val="0"/>
      <w:divBdr>
        <w:top w:val="none" w:sz="0" w:space="0" w:color="auto"/>
        <w:left w:val="none" w:sz="0" w:space="0" w:color="auto"/>
        <w:bottom w:val="none" w:sz="0" w:space="0" w:color="auto"/>
        <w:right w:val="none" w:sz="0" w:space="0" w:color="auto"/>
      </w:divBdr>
    </w:div>
    <w:div w:id="21018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ti.vasar@ut.e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B876-1504-4045-9034-B4CD90B7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29</Pages>
  <Words>9573</Words>
  <Characters>54570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Illumina sequencing of arbuscular mycorrhizal fungal communities</vt:lpstr>
    </vt:vector>
  </TitlesOfParts>
  <Company>LIOWARE</Company>
  <LinksUpToDate>false</LinksUpToDate>
  <CharactersWithSpaces>64015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Illumina sequencing of arbuscular mycorrhizal fungal communities</dc:title>
  <dc:creator>maarja</dc:creator>
  <cp:lastModifiedBy>MV</cp:lastModifiedBy>
  <cp:revision>43</cp:revision>
  <cp:lastPrinted>2017-01-20T14:02:00Z</cp:lastPrinted>
  <dcterms:created xsi:type="dcterms:W3CDTF">2017-07-02T16:23:00Z</dcterms:created>
  <dcterms:modified xsi:type="dcterms:W3CDTF">2017-07-07T12:18:00Z</dcterms:modified>
</cp:coreProperties>
</file>