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andard"/>
        <w:spacing w:lineRule="auto" w:line="480"/>
        <w:jc w:val="center"/>
        <w:rPr>
          <w:rFonts w:ascii="Arial" w:hAnsi="Arial"/>
        </w:rPr>
      </w:pPr>
      <w:r>
        <w:rPr>
          <w:rFonts w:ascii="Arial" w:hAnsi="Arial"/>
          <w:b/>
          <w:bCs/>
          <w:sz w:val="24"/>
          <w:szCs w:val="24"/>
          <w:lang w:val="en-GB"/>
        </w:rPr>
        <w:t>Title :</w:t>
      </w:r>
      <w:r>
        <w:rPr>
          <w:rFonts w:ascii="Arial" w:hAnsi="Arial"/>
          <w:b/>
          <w:bCs/>
          <w:sz w:val="30"/>
          <w:szCs w:val="30"/>
          <w:lang w:val="en-GB"/>
        </w:rPr>
        <w:t xml:space="preserve"> Supergene evolution triggered by the introgression of a chromosomal inversion.</w:t>
      </w:r>
    </w:p>
    <w:p>
      <w:pPr>
        <w:pStyle w:val="Standard"/>
        <w:spacing w:lineRule="auto" w:line="480"/>
        <w:jc w:val="center"/>
        <w:rPr/>
      </w:pPr>
      <w:r>
        <w:rPr>
          <w:rFonts w:ascii="Arial" w:hAnsi="Arial"/>
          <w:b/>
          <w:bCs/>
          <w:lang w:val="es-PE"/>
        </w:rPr>
        <w:t>Authors:</w:t>
      </w:r>
      <w:r>
        <w:rPr>
          <w:rFonts w:ascii="Arial" w:hAnsi="Arial"/>
          <w:lang w:val="es-PE"/>
        </w:rPr>
        <w:t xml:space="preserve"> Paul Jay</w:t>
      </w:r>
      <w:r>
        <w:rPr>
          <w:rFonts w:ascii="Arial" w:hAnsi="Arial"/>
          <w:vertAlign w:val="superscript"/>
          <w:lang w:val="es-PE"/>
        </w:rPr>
        <w:t>1</w:t>
      </w:r>
      <w:r>
        <w:rPr>
          <w:rFonts w:ascii="Arial" w:hAnsi="Arial"/>
          <w:position w:val="0"/>
          <w:sz w:val="24"/>
          <w:sz w:val="24"/>
          <w:vertAlign w:val="baseline"/>
          <w:lang w:val="es-PE"/>
        </w:rPr>
        <w:t>*</w:t>
      </w:r>
      <w:r>
        <w:rPr>
          <w:rFonts w:ascii="Arial" w:hAnsi="Arial"/>
          <w:lang w:val="es-PE"/>
        </w:rPr>
        <w:t>, Annabel Whibley</w:t>
      </w:r>
      <w:r>
        <w:rPr>
          <w:rFonts w:ascii="Arial" w:hAnsi="Arial"/>
          <w:vertAlign w:val="superscript"/>
          <w:lang w:val="es-PE"/>
        </w:rPr>
        <w:t>2</w:t>
      </w:r>
      <w:r>
        <w:rPr>
          <w:rFonts w:ascii="Arial" w:hAnsi="Arial"/>
          <w:lang w:val="es-PE"/>
        </w:rPr>
        <w:t>, Lise Frezal</w:t>
      </w:r>
      <w:r>
        <w:rPr>
          <w:rFonts w:ascii="Arial" w:hAnsi="Arial"/>
          <w:vertAlign w:val="superscript"/>
          <w:lang w:val="es-PE"/>
        </w:rPr>
        <w:t>3</w:t>
      </w:r>
      <w:r>
        <w:rPr>
          <w:rFonts w:ascii="Arial" w:hAnsi="Arial"/>
          <w:lang w:val="es-PE"/>
        </w:rPr>
        <w:t xml:space="preserve">, María </w:t>
      </w:r>
      <w:r>
        <w:rPr>
          <w:rFonts w:ascii="Arial" w:hAnsi="Arial"/>
          <w:color w:val="00000A"/>
          <w:sz w:val="24"/>
          <w:szCs w:val="24"/>
          <w:lang w:val="es-PE"/>
        </w:rPr>
        <w:t>Á</w:t>
      </w:r>
      <w:r>
        <w:rPr>
          <w:rFonts w:ascii="Arial" w:hAnsi="Arial"/>
          <w:lang w:val="es-PE"/>
        </w:rPr>
        <w:t>ngeles Rodríguez de Cara</w:t>
      </w:r>
      <w:r>
        <w:rPr>
          <w:rFonts w:ascii="Arial" w:hAnsi="Arial"/>
          <w:vertAlign w:val="superscript"/>
          <w:lang w:val="es-PE"/>
        </w:rPr>
        <w:t>4</w:t>
      </w:r>
      <w:r>
        <w:rPr>
          <w:rFonts w:ascii="Arial" w:hAnsi="Arial"/>
          <w:lang w:val="es-PE"/>
        </w:rPr>
        <w:t>, Reuben W. Nowell</w:t>
      </w:r>
      <w:r>
        <w:rPr>
          <w:rFonts w:ascii="Arial" w:hAnsi="Arial"/>
          <w:vertAlign w:val="superscript"/>
          <w:lang w:val="es-PE"/>
        </w:rPr>
        <w:t>5</w:t>
      </w:r>
      <w:r>
        <w:rPr>
          <w:rFonts w:ascii="Arial" w:hAnsi="Arial"/>
          <w:lang w:val="es-PE"/>
        </w:rPr>
        <w:t>, James Mallet</w:t>
      </w:r>
      <w:r>
        <w:rPr>
          <w:rFonts w:ascii="Arial" w:hAnsi="Arial"/>
          <w:vertAlign w:val="superscript"/>
          <w:lang w:val="es-PE"/>
        </w:rPr>
        <w:t>6</w:t>
      </w:r>
      <w:r>
        <w:rPr>
          <w:rFonts w:ascii="Arial" w:hAnsi="Arial"/>
          <w:lang w:val="es-PE"/>
        </w:rPr>
        <w:t>, Kanchon K. Dasmahapatra</w:t>
      </w:r>
      <w:r>
        <w:rPr>
          <w:rFonts w:ascii="Arial" w:hAnsi="Arial"/>
          <w:vertAlign w:val="superscript"/>
          <w:lang w:val="es-PE"/>
        </w:rPr>
        <w:t>7</w:t>
      </w:r>
      <w:r>
        <w:rPr>
          <w:rFonts w:ascii="Arial" w:hAnsi="Arial"/>
          <w:lang w:val="es-PE"/>
        </w:rPr>
        <w:t>, Mathieu Joron</w:t>
      </w:r>
      <w:r>
        <w:rPr>
          <w:rFonts w:ascii="Arial" w:hAnsi="Arial"/>
          <w:vertAlign w:val="superscript"/>
          <w:lang w:val="es-PE"/>
        </w:rPr>
        <w:t>4</w:t>
      </w:r>
      <w:r>
        <w:rPr>
          <w:rFonts w:ascii="Arial" w:hAnsi="Arial"/>
          <w:position w:val="0"/>
          <w:sz w:val="24"/>
          <w:sz w:val="24"/>
          <w:vertAlign w:val="baseline"/>
          <w:lang w:val="es-PE"/>
        </w:rPr>
        <w:t>*</w:t>
      </w:r>
    </w:p>
    <w:p>
      <w:pPr>
        <w:pStyle w:val="Standard"/>
        <w:spacing w:lineRule="auto" w:line="480"/>
        <w:jc w:val="center"/>
        <w:rPr>
          <w:rFonts w:ascii="Arial" w:hAnsi="Arial"/>
          <w:position w:val="0"/>
          <w:sz w:val="24"/>
          <w:sz w:val="24"/>
          <w:vertAlign w:val="baseline"/>
          <w:lang w:val="es-PE"/>
        </w:rPr>
      </w:pPr>
      <w:r>
        <w:rPr>
          <w:rFonts w:ascii="Arial" w:hAnsi="Arial"/>
          <w:position w:val="0"/>
          <w:sz w:val="24"/>
          <w:sz w:val="24"/>
          <w:vertAlign w:val="baseline"/>
          <w:lang w:val="es-PE"/>
        </w:rPr>
      </w:r>
    </w:p>
    <w:p>
      <w:pPr>
        <w:pStyle w:val="Standard"/>
        <w:spacing w:lineRule="auto" w:line="480"/>
        <w:jc w:val="left"/>
        <w:rPr>
          <w:rFonts w:ascii="Arial" w:hAnsi="Arial"/>
          <w:b/>
          <w:b/>
          <w:bCs/>
          <w:position w:val="0"/>
          <w:sz w:val="24"/>
          <w:sz w:val="24"/>
          <w:vertAlign w:val="baseline"/>
          <w:lang w:val="es-PE"/>
        </w:rPr>
      </w:pPr>
      <w:r>
        <w:rPr>
          <w:rFonts w:ascii="Arial" w:hAnsi="Arial"/>
          <w:b/>
          <w:bCs/>
          <w:position w:val="0"/>
          <w:sz w:val="24"/>
          <w:sz w:val="24"/>
          <w:vertAlign w:val="baseline"/>
          <w:lang w:val="es-PE"/>
        </w:rPr>
        <w:t>Affiliations:</w:t>
      </w:r>
    </w:p>
    <w:p>
      <w:pPr>
        <w:pStyle w:val="Normal"/>
        <w:spacing w:lineRule="auto" w:line="480" w:before="0" w:after="0"/>
        <w:jc w:val="left"/>
        <w:rPr>
          <w:rFonts w:ascii="Arial" w:hAnsi="Arial"/>
        </w:rPr>
      </w:pPr>
      <w:r>
        <w:rPr>
          <w:rFonts w:ascii="Arial" w:hAnsi="Arial"/>
          <w:sz w:val="24"/>
          <w:szCs w:val="24"/>
          <w:vertAlign w:val="superscript"/>
          <w:lang w:val="es-PE"/>
        </w:rPr>
        <w:t xml:space="preserve">1 </w:t>
      </w:r>
      <w:r>
        <w:rPr>
          <w:rFonts w:ascii="Arial" w:hAnsi="Arial"/>
          <w:position w:val="0"/>
          <w:sz w:val="24"/>
          <w:sz w:val="24"/>
          <w:szCs w:val="24"/>
          <w:vertAlign w:val="baseline"/>
          <w:lang w:val="es-PE"/>
        </w:rPr>
        <w:t>CEFE, Univ Montpellier, CNRS, Univ Paul Valéry Montpellier 3, EPHE, IRD, Montpellier, France</w:t>
      </w:r>
    </w:p>
    <w:p>
      <w:pPr>
        <w:pStyle w:val="Normal"/>
        <w:spacing w:lineRule="auto" w:line="480" w:before="0" w:after="0"/>
        <w:jc w:val="left"/>
        <w:rPr>
          <w:rFonts w:ascii="Arial" w:hAnsi="Arial"/>
        </w:rPr>
      </w:pPr>
      <w:r>
        <w:rPr>
          <w:rFonts w:ascii="Arial" w:hAnsi="Arial"/>
          <w:sz w:val="24"/>
          <w:szCs w:val="24"/>
          <w:vertAlign w:val="superscript"/>
          <w:lang w:val="es-PE"/>
        </w:rPr>
        <w:t xml:space="preserve">2  </w:t>
      </w:r>
      <w:r>
        <w:rPr>
          <w:rFonts w:ascii="Arial" w:hAnsi="Arial"/>
          <w:sz w:val="24"/>
          <w:szCs w:val="24"/>
        </w:rPr>
        <w:t>Department of Cell and Developmental Biology, John Innes Centre, Norwich, NR4 7UH, UK</w:t>
      </w:r>
    </w:p>
    <w:p>
      <w:pPr>
        <w:pStyle w:val="Normal"/>
        <w:spacing w:lineRule="auto" w:line="480" w:before="0" w:after="0"/>
        <w:jc w:val="left"/>
        <w:rPr>
          <w:rFonts w:ascii="Arial" w:hAnsi="Arial"/>
        </w:rPr>
      </w:pPr>
      <w:r>
        <w:rPr>
          <w:rFonts w:ascii="Arial" w:hAnsi="Arial"/>
          <w:sz w:val="24"/>
          <w:szCs w:val="24"/>
          <w:vertAlign w:val="superscript"/>
        </w:rPr>
        <w:t xml:space="preserve">3  </w:t>
      </w:r>
      <w:r>
        <w:rPr>
          <w:rFonts w:ascii="Arial" w:hAnsi="Arial"/>
          <w:sz w:val="24"/>
          <w:szCs w:val="24"/>
        </w:rPr>
        <w:t>IBENS, Département de Biologie, Ecole Normale Supérieure, CNRS, Inserm, PSL Research University, Paris</w:t>
      </w:r>
    </w:p>
    <w:p>
      <w:pPr>
        <w:pStyle w:val="Normal"/>
        <w:spacing w:lineRule="auto" w:line="480" w:before="0" w:after="0"/>
        <w:jc w:val="left"/>
        <w:rPr>
          <w:rFonts w:ascii="Arial" w:hAnsi="Arial"/>
        </w:rPr>
      </w:pPr>
      <w:r>
        <w:rPr>
          <w:rFonts w:ascii="Arial" w:hAnsi="Arial"/>
          <w:sz w:val="24"/>
          <w:szCs w:val="24"/>
          <w:vertAlign w:val="superscript"/>
        </w:rPr>
        <w:t xml:space="preserve">4 </w:t>
      </w:r>
      <w:r>
        <w:rPr>
          <w:rFonts w:ascii="Arial" w:hAnsi="Arial"/>
          <w:position w:val="0"/>
          <w:sz w:val="24"/>
          <w:sz w:val="24"/>
          <w:szCs w:val="24"/>
          <w:vertAlign w:val="baseline"/>
        </w:rPr>
        <w:t>CEFE, CNRS, Univ Montpellier, Univ Paul Valéry Montpellier 3, EPHE, IRD, Montpellier, France</w:t>
      </w:r>
    </w:p>
    <w:p>
      <w:pPr>
        <w:pStyle w:val="Normal"/>
        <w:spacing w:lineRule="auto" w:line="480" w:before="0" w:after="0"/>
        <w:jc w:val="left"/>
        <w:rPr>
          <w:rFonts w:ascii="Arial" w:hAnsi="Arial"/>
        </w:rPr>
      </w:pPr>
      <w:r>
        <w:rPr>
          <w:rFonts w:ascii="Arial" w:hAnsi="Arial"/>
          <w:sz w:val="24"/>
          <w:szCs w:val="24"/>
          <w:vertAlign w:val="superscript"/>
        </w:rPr>
        <w:t xml:space="preserve">5 </w:t>
      </w:r>
      <w:r>
        <w:rPr>
          <w:rFonts w:ascii="Arial" w:hAnsi="Arial"/>
          <w:sz w:val="24"/>
          <w:szCs w:val="24"/>
        </w:rPr>
        <w:t>Department of Life Sciences, Imperial College London, Silwood Park Campus, Buckhurst Road, Ascot, Berkshire, SL5 7PY, UK</w:t>
      </w:r>
    </w:p>
    <w:p>
      <w:pPr>
        <w:pStyle w:val="Normal"/>
        <w:spacing w:lineRule="auto" w:line="480" w:before="0" w:after="0"/>
        <w:jc w:val="left"/>
        <w:rPr>
          <w:rFonts w:ascii="Arial" w:hAnsi="Arial"/>
        </w:rPr>
      </w:pPr>
      <w:r>
        <w:rPr>
          <w:rFonts w:ascii="Arial" w:hAnsi="Arial"/>
          <w:sz w:val="24"/>
          <w:szCs w:val="24"/>
          <w:vertAlign w:val="superscript"/>
        </w:rPr>
        <w:t xml:space="preserve">6 </w:t>
      </w:r>
      <w:r>
        <w:rPr>
          <w:rFonts w:ascii="Arial" w:hAnsi="Arial"/>
          <w:sz w:val="24"/>
          <w:szCs w:val="24"/>
        </w:rPr>
        <w:t>Department of Organismic and Evolutionary Biology, Biology Laboratories, Harvard University, 16 Divinity Avenue, CAMBRIDGE, MA 02138, USA</w:t>
      </w:r>
    </w:p>
    <w:p>
      <w:pPr>
        <w:pStyle w:val="Normal"/>
        <w:spacing w:lineRule="auto" w:line="480" w:before="0" w:after="0"/>
        <w:jc w:val="left"/>
        <w:rPr>
          <w:rFonts w:ascii="Arial" w:hAnsi="Arial"/>
        </w:rPr>
      </w:pPr>
      <w:r>
        <w:rPr>
          <w:rFonts w:ascii="Arial" w:hAnsi="Arial"/>
          <w:sz w:val="24"/>
          <w:szCs w:val="24"/>
          <w:vertAlign w:val="superscript"/>
        </w:rPr>
        <w:t xml:space="preserve">7 </w:t>
      </w:r>
      <w:r>
        <w:rPr>
          <w:rFonts w:ascii="Arial" w:hAnsi="Arial"/>
        </w:rPr>
        <w:t>Department of Biology, University of York Wentworth Way, Heslington YO10 5DD</w:t>
      </w:r>
    </w:p>
    <w:p>
      <w:pPr>
        <w:pStyle w:val="Normal"/>
        <w:spacing w:lineRule="auto" w:line="480" w:before="0" w:after="0"/>
        <w:jc w:val="left"/>
        <w:rPr/>
      </w:pPr>
      <w:r>
        <w:rPr>
          <w:rFonts w:ascii="Arial" w:hAnsi="Arial"/>
          <w:b/>
          <w:bCs/>
        </w:rPr>
        <w:t>*Correspondence:</w:t>
      </w:r>
      <w:r>
        <w:rPr>
          <w:rFonts w:ascii="Arial" w:hAnsi="Arial"/>
        </w:rPr>
        <w:br/>
        <w:t xml:space="preserve"> </w:t>
        <w:tab/>
        <w:t xml:space="preserve">PJ: </w:t>
      </w:r>
      <w:r>
        <w:rPr>
          <w:rStyle w:val="LienInternet"/>
          <w:rFonts w:ascii="Arial" w:hAnsi="Arial"/>
        </w:rPr>
        <w:t>paul.jay@cefe.cnrs.fr</w:t>
      </w:r>
      <w:r>
        <w:rPr>
          <w:rFonts w:ascii="Arial" w:hAnsi="Arial"/>
        </w:rPr>
        <w:t xml:space="preserve"> </w:t>
        <w:br/>
        <w:tab/>
        <w:t xml:space="preserve">MJ: </w:t>
      </w:r>
      <w:hyperlink r:id="rId2">
        <w:r>
          <w:rPr>
            <w:rStyle w:val="LienInternet"/>
            <w:rFonts w:ascii="Arial" w:hAnsi="Arial"/>
          </w:rPr>
          <w:t>mathieu.joron@cefe.cnrs.fr</w:t>
        </w:r>
      </w:hyperlink>
      <w:r>
        <w:rPr>
          <w:rFonts w:ascii="Arial" w:hAnsi="Arial"/>
        </w:rPr>
        <w:t xml:space="preserve"> (lead contact)</w:t>
      </w:r>
      <w:r>
        <w:br w:type="page"/>
      </w:r>
    </w:p>
    <w:p>
      <w:pPr>
        <w:pStyle w:val="Standard"/>
        <w:spacing w:lineRule="auto" w:line="480"/>
        <w:rPr>
          <w:rFonts w:ascii="Arial" w:hAnsi="Arial"/>
          <w:b/>
          <w:b/>
          <w:lang w:val="en-GB"/>
        </w:rPr>
      </w:pPr>
      <w:r>
        <w:rPr>
          <w:rFonts w:ascii="Arial" w:hAnsi="Arial"/>
          <w:b/>
          <w:lang w:val="en-GB"/>
        </w:rPr>
        <w:t xml:space="preserve">Summary: </w:t>
      </w:r>
    </w:p>
    <w:p>
      <w:pPr>
        <w:pStyle w:val="Standard"/>
        <w:spacing w:lineRule="auto" w:line="480"/>
        <w:rPr>
          <w:rFonts w:ascii="Arial" w:hAnsi="Arial"/>
        </w:rPr>
      </w:pPr>
      <w:r>
        <w:rPr>
          <w:rFonts w:ascii="Arial" w:hAnsi="Arial"/>
          <w:b w:val="false"/>
          <w:bCs w:val="false"/>
          <w:color w:val="00000A"/>
          <w:lang w:val="en-GB"/>
        </w:rPr>
        <w:t xml:space="preserve">Supergenes are groups of tightly linked loci whose variation is inherited as a single Mendelian locus and are a common genetic architecture for complex traits under balancing selection </w:t>
      </w:r>
      <w:r>
        <w:rPr>
          <w:rFonts w:ascii="Arial" w:hAnsi="Arial"/>
          <w:b w:val="false"/>
          <w:bCs w:val="false"/>
          <w:i w:val="false"/>
          <w:caps w:val="false"/>
          <w:smallCaps w:val="false"/>
          <w:color w:val="00000A"/>
          <w:position w:val="0"/>
          <w:sz w:val="24"/>
          <w:sz w:val="24"/>
          <w:u w:val="none"/>
          <w:vertAlign w:val="baseline"/>
          <w:lang w:val="en-GB"/>
        </w:rPr>
        <w:t>[1</w:t>
      </w:r>
      <w:r>
        <w:rPr>
          <w:rFonts w:ascii="Arial" w:hAnsi="Arial"/>
          <w:b w:val="false"/>
          <w:i w:val="false"/>
          <w:caps w:val="false"/>
          <w:smallCaps w:val="false"/>
          <w:position w:val="0"/>
          <w:sz w:val="24"/>
          <w:sz w:val="24"/>
          <w:u w:val="none"/>
          <w:vertAlign w:val="baseline"/>
        </w:rPr>
        <w:t>–8]</w:t>
      </w:r>
      <w:r>
        <w:rPr>
          <w:rFonts w:ascii="Arial" w:hAnsi="Arial"/>
          <w:b w:val="false"/>
          <w:bCs w:val="false"/>
          <w:color w:val="00000A"/>
          <w:lang w:val="en-GB"/>
        </w:rPr>
        <w:t xml:space="preserve">. Supergene alleles are long-range haplotypes with numerous mutations underlying distinct adaptive strategies, often maintained in linkage disequilibrium through the suppression of recombination by chromosomal rearrangements </w:t>
      </w:r>
      <w:r>
        <w:rPr>
          <w:rFonts w:ascii="Arial" w:hAnsi="Arial"/>
          <w:b w:val="false"/>
          <w:bCs w:val="false"/>
          <w:i w:val="false"/>
          <w:caps w:val="false"/>
          <w:smallCaps w:val="false"/>
          <w:color w:val="00000A"/>
          <w:position w:val="0"/>
          <w:sz w:val="24"/>
          <w:sz w:val="24"/>
          <w:u w:val="none"/>
          <w:vertAlign w:val="baseline"/>
          <w:lang w:val="en-GB"/>
        </w:rPr>
        <w:t>[1,5,7</w:t>
      </w:r>
      <w:r>
        <w:rPr>
          <w:rFonts w:ascii="Arial" w:hAnsi="Arial"/>
          <w:b w:val="false"/>
          <w:i w:val="false"/>
          <w:caps w:val="false"/>
          <w:smallCaps w:val="false"/>
          <w:position w:val="0"/>
          <w:sz w:val="24"/>
          <w:sz w:val="24"/>
          <w:u w:val="none"/>
          <w:vertAlign w:val="baseline"/>
        </w:rPr>
        <w:t>–9]</w:t>
      </w:r>
      <w:r>
        <w:rPr>
          <w:rFonts w:ascii="Arial" w:hAnsi="Arial"/>
          <w:b w:val="false"/>
          <w:bCs w:val="false"/>
          <w:color w:val="00000A"/>
          <w:lang w:val="en-GB"/>
        </w:rPr>
        <w:t>. However, the mechanism governing the formation of supergenes is not well understood,</w:t>
      </w:r>
      <w:r>
        <w:rPr>
          <w:rFonts w:ascii="Arial" w:hAnsi="Arial"/>
          <w:b w:val="false"/>
          <w:bCs w:val="false"/>
          <w:color w:val="FF0000"/>
          <w:lang w:val="en-GB"/>
        </w:rPr>
        <w:t xml:space="preserve"> </w:t>
      </w:r>
      <w:r>
        <w:rPr>
          <w:rFonts w:ascii="Arial" w:hAnsi="Arial"/>
          <w:b w:val="false"/>
          <w:bCs w:val="false"/>
          <w:color w:val="000000"/>
          <w:lang w:val="en-GB"/>
        </w:rPr>
        <w:t>and poses the paradox of establishing divergent functional haplotypes in face of recombination</w:t>
      </w:r>
      <w:r>
        <w:rPr>
          <w:rFonts w:ascii="Arial" w:hAnsi="Arial"/>
          <w:b w:val="false"/>
          <w:bCs w:val="false"/>
          <w:color w:val="00000A"/>
          <w:lang w:val="en-GB"/>
        </w:rPr>
        <w:t xml:space="preserve">. Here, we show that the formation of the supergene alleles encoding mimicry polymorphism in the butterfly </w:t>
      </w:r>
      <w:r>
        <w:rPr>
          <w:rFonts w:ascii="Arial" w:hAnsi="Arial"/>
          <w:b w:val="false"/>
          <w:bCs w:val="false"/>
          <w:i/>
          <w:color w:val="00000A"/>
          <w:lang w:val="en-GB"/>
        </w:rPr>
        <w:t>Heliconius numata</w:t>
      </w:r>
      <w:r>
        <w:rPr>
          <w:rFonts w:ascii="Arial" w:hAnsi="Arial"/>
          <w:b w:val="false"/>
          <w:bCs w:val="false"/>
          <w:color w:val="00000A"/>
          <w:lang w:val="en-GB"/>
        </w:rPr>
        <w:t xml:space="preserve"> is associated with the introgression of a divergent, inverted chromosomal segment. Haplotype divergence and linkage disequilibrium indicate that supergene alleles, each allowing precise wing-pattern resemblance to distinct butterfly models, originate from over a million years of independent chromosomal evolution in separate lineages. These “superalleles” have evolved from a chromosomal inversion captured by introgression and maintained in balanced polymorphism, triggering supergene inheritance. This mode of evolution involving the introgression of a chromosomal rearrangement is likely to be a common feature of complex structural polymorphisms associated with the coexistence of distinct adaptive syndromes.  This shows that the reticulation of genealogies may have a powerful influence on the evolution of genetic architectures in nature.</w:t>
      </w:r>
      <w:r>
        <w:br w:type="page"/>
      </w:r>
    </w:p>
    <w:p>
      <w:pPr>
        <w:pStyle w:val="Standard"/>
        <w:bidi w:val="0"/>
        <w:spacing w:lineRule="auto" w:line="480"/>
        <w:jc w:val="both"/>
        <w:rPr>
          <w:rFonts w:ascii="Arial" w:hAnsi="Arial"/>
          <w:b/>
          <w:b/>
          <w:lang w:val="en-GB"/>
        </w:rPr>
      </w:pPr>
      <w:r>
        <w:rPr>
          <w:rFonts w:ascii="Arial" w:hAnsi="Arial"/>
          <w:b/>
          <w:lang w:val="en-GB"/>
        </w:rPr>
        <w:t>Results</w:t>
      </w:r>
    </w:p>
    <w:p>
      <w:pPr>
        <w:pStyle w:val="Normal"/>
        <w:spacing w:lineRule="auto" w:line="480"/>
        <w:rPr>
          <w:rFonts w:ascii="Arial" w:hAnsi="Arial"/>
        </w:rPr>
      </w:pPr>
      <w:r>
        <w:rPr>
          <w:rFonts w:ascii="Arial" w:hAnsi="Arial"/>
          <w:lang w:val="en-GB"/>
        </w:rPr>
        <w:t>How new beneficial traits which require more than one novel mutation emerge in natural populations is a long-standing question in biology</w:t>
      </w:r>
      <w:r>
        <w:rPr>
          <w:rFonts w:ascii="Arial" w:hAnsi="Arial"/>
          <w:b w:val="false"/>
          <w:i w:val="false"/>
          <w:caps w:val="false"/>
          <w:smallCaps w:val="false"/>
          <w:position w:val="0"/>
          <w:sz w:val="24"/>
          <w:sz w:val="24"/>
          <w:u w:val="none"/>
          <w:vertAlign w:val="baseline"/>
          <w:lang w:val="en-GB"/>
        </w:rPr>
        <w:t xml:space="preserve"> [10</w:t>
      </w:r>
      <w:r>
        <w:rPr>
          <w:rFonts w:ascii="Arial" w:hAnsi="Arial"/>
          <w:b w:val="false"/>
          <w:i w:val="false"/>
          <w:caps w:val="false"/>
          <w:smallCaps w:val="false"/>
          <w:position w:val="0"/>
          <w:sz w:val="24"/>
          <w:sz w:val="24"/>
          <w:u w:val="none"/>
          <w:vertAlign w:val="baseline"/>
        </w:rPr>
        <w:t>–12]</w:t>
      </w:r>
      <w:r>
        <w:rPr>
          <w:rFonts w:ascii="Arial" w:hAnsi="Arial"/>
          <w:lang w:val="en-GB"/>
        </w:rPr>
        <w:t xml:space="preserve"> . </w:t>
      </w:r>
      <w:r>
        <w:rPr>
          <w:rFonts w:ascii="Arial" w:hAnsi="Arial"/>
          <w:color w:val="000000"/>
          <w:lang w:val="en-GB"/>
        </w:rPr>
        <w:t xml:space="preserve">Supergenes control alternative adaptive strategies that require the association of multiple co-adapted characters, and have evolved repeatedly in many taxa under balancing selection. Examples include floral heteromorphy determining alternative pollination strategies [1] , butterfly mimicry of alternative wing-pattern and behaviours of toxic models </w:t>
      </w:r>
      <w:r>
        <w:rPr>
          <w:rFonts w:ascii="Arial" w:hAnsi="Arial"/>
          <w:b w:val="false"/>
          <w:i w:val="false"/>
          <w:caps w:val="false"/>
          <w:smallCaps w:val="false"/>
          <w:color w:val="000000"/>
          <w:position w:val="0"/>
          <w:sz w:val="24"/>
          <w:sz w:val="24"/>
          <w:u w:val="none"/>
          <w:vertAlign w:val="baseline"/>
          <w:lang w:val="en-GB"/>
        </w:rPr>
        <w:t>[2</w:t>
      </w:r>
      <w:r>
        <w:rPr>
          <w:rFonts w:ascii="Arial" w:hAnsi="Arial"/>
          <w:b w:val="false"/>
          <w:i w:val="false"/>
          <w:caps w:val="false"/>
          <w:smallCaps w:val="false"/>
          <w:position w:val="0"/>
          <w:sz w:val="24"/>
          <w:sz w:val="24"/>
          <w:u w:val="none"/>
          <w:vertAlign w:val="baseline"/>
        </w:rPr>
        <w:t>–4]</w:t>
      </w:r>
      <w:r>
        <w:rPr>
          <w:rFonts w:ascii="Arial" w:hAnsi="Arial"/>
          <w:color w:val="000000"/>
          <w:lang w:val="en-GB"/>
        </w:rPr>
        <w:t xml:space="preserve">, </w:t>
      </w:r>
      <w:bookmarkStart w:id="0" w:name="ZOTERO_BREF_f6rtbwmLzHvz"/>
      <w:bookmarkStart w:id="1" w:name="__UnoMark__4559_1294527133"/>
      <w:bookmarkStart w:id="2" w:name="ZOTERO_BREF_1oac0mfLLUUU"/>
      <w:bookmarkStart w:id="3" w:name="__UnoMark__4441_1294527133"/>
      <w:bookmarkStart w:id="4" w:name="__UnoMark__4789_1294527133"/>
      <w:bookmarkStart w:id="5" w:name="__UnoMark__4904_1294527133"/>
      <w:bookmarkStart w:id="6" w:name="__UnoMark__5019_1294527133"/>
      <w:bookmarkStart w:id="7" w:name="__UnoMark__4674_1294527133"/>
      <w:bookmarkStart w:id="8" w:name="__UnoMark__5134_1294527133"/>
      <w:bookmarkEnd w:id="0"/>
      <w:bookmarkEnd w:id="1"/>
      <w:bookmarkEnd w:id="2"/>
      <w:bookmarkEnd w:id="3"/>
      <w:bookmarkEnd w:id="4"/>
      <w:bookmarkEnd w:id="5"/>
      <w:bookmarkEnd w:id="6"/>
      <w:bookmarkEnd w:id="7"/>
      <w:bookmarkEnd w:id="8"/>
      <w:r>
        <w:rPr>
          <w:rFonts w:ascii="Arial" w:hAnsi="Arial"/>
          <w:color w:val="000000"/>
          <w:lang w:val="en-GB"/>
        </w:rPr>
        <w:t>contrasting mating tactics in several bird</w:t>
      </w:r>
      <w:r>
        <w:rPr>
          <w:rFonts w:ascii="Arial" w:hAnsi="Arial"/>
          <w:i/>
          <w:iCs/>
          <w:color w:val="000000"/>
          <w:lang w:val="en-GB"/>
        </w:rPr>
        <w:t xml:space="preserve">s </w:t>
      </w:r>
      <w:r>
        <w:rPr>
          <w:rFonts w:ascii="Arial" w:hAnsi="Arial"/>
          <w:i w:val="false"/>
          <w:iCs w:val="false"/>
          <w:color w:val="000000"/>
          <w:lang w:val="en-GB"/>
        </w:rPr>
        <w:t>[5,6]</w:t>
      </w:r>
      <w:r>
        <w:rPr>
          <w:rFonts w:ascii="Arial" w:hAnsi="Arial"/>
          <w:i/>
          <w:iCs/>
          <w:color w:val="000000"/>
          <w:lang w:val="en-GB"/>
        </w:rPr>
        <w:t xml:space="preserve"> </w:t>
      </w:r>
      <w:r>
        <w:rPr>
          <w:rFonts w:ascii="Arial" w:hAnsi="Arial"/>
          <w:color w:val="000000"/>
          <w:lang w:val="en-GB"/>
        </w:rPr>
        <w:t>, and</w:t>
      </w:r>
      <w:r>
        <w:rPr>
          <w:rFonts w:ascii="Arial" w:hAnsi="Arial"/>
          <w:lang w:val="en-GB"/>
        </w:rPr>
        <w:t xml:space="preserve"> alternative social organization in ant colonies [7]. In most documented cases, the maintenance of character associations is mediated by polymorphic rearrangements, such as inversions, which suppress local recombination and allow the differentiated supergene alleles to persist </w:t>
      </w:r>
      <w:r>
        <w:rPr>
          <w:rFonts w:ascii="Arial" w:hAnsi="Arial"/>
          <w:b w:val="false"/>
          <w:i w:val="false"/>
          <w:caps w:val="false"/>
          <w:smallCaps w:val="false"/>
          <w:position w:val="0"/>
          <w:sz w:val="24"/>
          <w:sz w:val="24"/>
          <w:u w:val="none"/>
          <w:vertAlign w:val="baseline"/>
          <w:lang w:val="en-GB"/>
        </w:rPr>
        <w:t>[1,5,7</w:t>
      </w:r>
      <w:r>
        <w:rPr>
          <w:rFonts w:ascii="Arial" w:hAnsi="Arial"/>
          <w:b w:val="false"/>
          <w:i w:val="false"/>
          <w:caps w:val="false"/>
          <w:smallCaps w:val="false"/>
          <w:position w:val="0"/>
          <w:sz w:val="24"/>
          <w:sz w:val="24"/>
          <w:u w:val="none"/>
          <w:vertAlign w:val="baseline"/>
        </w:rPr>
        <w:t>–9]</w:t>
      </w:r>
      <w:r>
        <w:rPr>
          <w:rFonts w:ascii="Arial" w:hAnsi="Arial"/>
          <w:lang w:val="en-GB"/>
        </w:rPr>
        <w:t xml:space="preserve">. However, the build-up of differentiated haplotypes from initially recombining loci is poorly understood [13,14]. Recombination is necessary to bring into linkage mutations that arise on different haplotypes, but also acts to break down co-adapted combinations. While inversions may capture epistatic alleles at adjacent loci, this requires adaptive polymorphism at both loci prior to the rearrangement. Furthermore, linkage disequilibrium around functional mutations under balancing selection persists only over short evolutionary times [15]. The few models of supergene evolution [10,16] do not readily yield the conditions for the formation of differentiated haplotypes or the evolutionary trajectory of functional genetic elements within rearranged non-recombining regions after the initial structural variation. </w:t>
      </w:r>
    </w:p>
    <w:p>
      <w:pPr>
        <w:pStyle w:val="Normal"/>
        <w:spacing w:lineRule="auto" w:line="480"/>
        <w:rPr>
          <w:rFonts w:ascii="Arial" w:hAnsi="Arial"/>
        </w:rPr>
      </w:pPr>
      <w:r>
        <w:rPr>
          <w:rFonts w:ascii="Arial" w:hAnsi="Arial"/>
          <w:lang w:val="en-GB"/>
        </w:rPr>
        <w:t xml:space="preserve">To understand allelic evolution in supergenes, we studied Amazonian populations of the butterfly </w:t>
      </w:r>
      <w:r>
        <w:rPr>
          <w:rFonts w:ascii="Arial" w:hAnsi="Arial"/>
          <w:i/>
          <w:lang w:val="en-GB"/>
        </w:rPr>
        <w:t>Heliconius numata</w:t>
      </w:r>
      <w:r>
        <w:rPr>
          <w:rFonts w:ascii="Arial" w:hAnsi="Arial"/>
          <w:lang w:val="en-GB"/>
        </w:rPr>
        <w:t>, in which up to seven distinct wing-pattern morphs coexist (Figure 1A), each one matching to near perfection the colours and shapes of other toxic Lepidoptera (Heliconiinae, Danainae, Pericopiinae) [12]. This balanced polymorphism is controlled by a supergene locus (</w:t>
      </w:r>
      <w:r>
        <w:rPr>
          <w:rFonts w:ascii="Arial" w:hAnsi="Arial"/>
          <w:i/>
          <w:lang w:val="en-GB"/>
        </w:rPr>
        <w:t>P</w:t>
      </w:r>
      <w:r>
        <w:rPr>
          <w:rFonts w:ascii="Arial" w:hAnsi="Arial"/>
          <w:lang w:val="en-GB"/>
        </w:rPr>
        <w:t xml:space="preserve">) associated with an inversion polymorphism [12] that captures multiple genetic loci controlling wing-pattern variation in butterflies and moths </w:t>
      </w:r>
      <w:r>
        <w:rPr>
          <w:rFonts w:ascii="Arial" w:hAnsi="Arial"/>
          <w:b w:val="false"/>
          <w:i w:val="false"/>
          <w:caps w:val="false"/>
          <w:smallCaps w:val="false"/>
          <w:position w:val="0"/>
          <w:sz w:val="24"/>
          <w:sz w:val="24"/>
          <w:u w:val="none"/>
          <w:vertAlign w:val="baseline"/>
          <w:lang w:val="en-GB"/>
        </w:rPr>
        <w:t>[4,17</w:t>
      </w:r>
      <w:r>
        <w:rPr>
          <w:rFonts w:ascii="Arial" w:hAnsi="Arial"/>
          <w:b w:val="false"/>
          <w:i w:val="false"/>
          <w:caps w:val="false"/>
          <w:smallCaps w:val="false"/>
          <w:position w:val="0"/>
          <w:sz w:val="24"/>
          <w:sz w:val="24"/>
          <w:u w:val="none"/>
          <w:vertAlign w:val="baseline"/>
        </w:rPr>
        <w:t>–20]</w:t>
      </w:r>
      <w:r>
        <w:rPr>
          <w:rFonts w:ascii="Arial" w:hAnsi="Arial"/>
          <w:lang w:val="en-GB"/>
        </w:rPr>
        <w:t xml:space="preserve"> and allows multiple wing elements to be inherited as a single Mendelian character. The ancestral chromosomal arrangement, called </w:t>
      </w:r>
      <w:r>
        <w:rPr>
          <w:rFonts w:ascii="Arial" w:hAnsi="Arial"/>
          <w:i/>
          <w:iCs/>
          <w:lang w:val="en-GB"/>
        </w:rPr>
        <w:t>Hn0</w:t>
      </w:r>
      <w:r>
        <w:rPr>
          <w:rFonts w:ascii="Arial" w:hAnsi="Arial"/>
          <w:lang w:val="en-GB"/>
        </w:rPr>
        <w:t xml:space="preserve">, is associated with the recessive supergene allele [21] which controls the widely distributed morph </w:t>
      </w:r>
      <w:r>
        <w:rPr>
          <w:rFonts w:ascii="Arial" w:hAnsi="Arial"/>
          <w:i/>
          <w:lang w:val="en-GB"/>
        </w:rPr>
        <w:t>silvana.</w:t>
      </w:r>
      <w:r>
        <w:rPr>
          <w:rFonts w:ascii="Arial" w:hAnsi="Arial"/>
          <w:lang w:val="en-GB"/>
        </w:rPr>
        <w:t xml:space="preserve"> All other characterized supergene alleles, grouped into a family of alleles called </w:t>
      </w:r>
      <w:r>
        <w:rPr>
          <w:rFonts w:ascii="Arial" w:hAnsi="Arial"/>
          <w:i/>
          <w:iCs/>
          <w:lang w:val="en-GB"/>
        </w:rPr>
        <w:t>Hn1</w:t>
      </w:r>
      <w:r>
        <w:rPr>
          <w:rFonts w:ascii="Arial" w:hAnsi="Arial"/>
          <w:lang w:val="en-GB"/>
        </w:rPr>
        <w:t xml:space="preserve">, determine a diversity of mimetic morphs dominant to </w:t>
      </w:r>
      <w:r>
        <w:rPr>
          <w:rFonts w:ascii="Arial" w:hAnsi="Arial"/>
          <w:i/>
          <w:lang w:val="en-GB"/>
        </w:rPr>
        <w:t>silvana</w:t>
      </w:r>
      <w:r>
        <w:rPr>
          <w:rFonts w:ascii="Arial" w:hAnsi="Arial"/>
          <w:lang w:val="en-GB"/>
        </w:rPr>
        <w:t xml:space="preserve"> and associated with the 400-kb inversion P</w:t>
      </w:r>
      <w:r>
        <w:rPr>
          <w:rFonts w:ascii="Arial" w:hAnsi="Arial"/>
          <w:vertAlign w:val="subscript"/>
          <w:lang w:val="en-GB"/>
        </w:rPr>
        <w:t>1</w:t>
      </w:r>
      <w:r>
        <w:rPr>
          <w:rFonts w:ascii="Arial" w:hAnsi="Arial"/>
          <w:lang w:val="en-GB"/>
        </w:rPr>
        <w:t xml:space="preserve"> (Figure 1A; Ref. [9,21]. A subset of these alleles is associated with additional rearrangements (P</w:t>
      </w:r>
      <w:r>
        <w:rPr>
          <w:rFonts w:ascii="Arial" w:hAnsi="Arial"/>
          <w:vertAlign w:val="subscript"/>
          <w:lang w:val="en-GB"/>
        </w:rPr>
        <w:t>2</w:t>
      </w:r>
      <w:r>
        <w:rPr>
          <w:rFonts w:ascii="Arial" w:hAnsi="Arial"/>
          <w:lang w:val="en-GB"/>
        </w:rPr>
        <w:t>) in adjacent positions [12]. The emergence of the P supergene architecture is therefore associated with the introduction of inversion P</w:t>
      </w:r>
      <w:r>
        <w:rPr>
          <w:rFonts w:ascii="Arial" w:hAnsi="Arial"/>
          <w:vertAlign w:val="subscript"/>
          <w:lang w:val="en-GB"/>
        </w:rPr>
        <w:t>1,</w:t>
      </w:r>
      <w:r>
        <w:rPr>
          <w:rFonts w:ascii="Arial" w:hAnsi="Arial"/>
          <w:position w:val="0"/>
          <w:sz w:val="24"/>
          <w:sz w:val="24"/>
          <w:vertAlign w:val="baseline"/>
          <w:lang w:val="en-GB"/>
        </w:rPr>
        <w:t xml:space="preserve"> maintained at intermediate frequency by balancing selection and followed by adjacent rearrangements. </w:t>
      </w:r>
      <w:r>
        <w:rPr>
          <w:rFonts w:ascii="Arial" w:hAnsi="Arial"/>
          <w:color w:val="000000"/>
          <w:position w:val="0"/>
          <w:sz w:val="24"/>
          <w:sz w:val="24"/>
          <w:vertAlign w:val="baseline"/>
          <w:lang w:val="en-US"/>
        </w:rPr>
        <w:t>To explore the origin and evolution of the P supergene, we thus tracked the history of inversion P</w:t>
      </w:r>
      <w:r>
        <w:rPr>
          <w:rFonts w:ascii="Arial" w:hAnsi="Arial"/>
          <w:color w:val="000000"/>
          <w:sz w:val="24"/>
          <w:vertAlign w:val="subscript"/>
          <w:lang w:val="en-US"/>
        </w:rPr>
        <w:t>1</w:t>
      </w:r>
      <w:r>
        <w:rPr>
          <w:rFonts w:ascii="Arial" w:hAnsi="Arial"/>
          <w:color w:val="000000"/>
          <w:position w:val="0"/>
          <w:sz w:val="24"/>
          <w:sz w:val="24"/>
          <w:vertAlign w:val="baseline"/>
          <w:lang w:val="en-US"/>
        </w:rPr>
        <w:t>. This inversion</w:t>
      </w:r>
      <w:r>
        <w:rPr>
          <w:rFonts w:ascii="Arial" w:hAnsi="Arial"/>
          <w:lang w:val="en-GB"/>
        </w:rPr>
        <w:t xml:space="preserve"> forms a well-differentiated haplotype distinct from the ancestral haplotype along its entire length (Figure 4B), and with extreme values of linkage disequilibrium (LD) [12] . Inversion P</w:t>
      </w:r>
      <w:r>
        <w:rPr>
          <w:rFonts w:ascii="Arial" w:hAnsi="Arial"/>
          <w:vertAlign w:val="subscript"/>
          <w:lang w:val="en-GB"/>
        </w:rPr>
        <w:t>1</w:t>
      </w:r>
      <w:r>
        <w:rPr>
          <w:rFonts w:ascii="Arial" w:hAnsi="Arial"/>
          <w:lang w:val="en-GB"/>
        </w:rPr>
        <w:t xml:space="preserve"> therefore stands as a block of up to 7000 differentiated SNPs along its 400 kb length, associated with supergene evolution, adaptive diversification and dominance variation.</w:t>
      </w:r>
    </w:p>
    <w:p>
      <w:pPr>
        <w:pStyle w:val="Standard"/>
        <w:bidi w:val="0"/>
        <w:spacing w:lineRule="auto" w:line="480"/>
        <w:jc w:val="left"/>
        <w:rPr/>
      </w:pPr>
      <w:r>
        <w:rPr>
          <w:rFonts w:ascii="Arial" w:hAnsi="Arial"/>
          <w:i/>
          <w:lang w:val="en-GB"/>
        </w:rPr>
        <w:t>Heliconius numata</w:t>
      </w:r>
      <w:r>
        <w:rPr>
          <w:rFonts w:ascii="Arial" w:hAnsi="Arial"/>
          <w:lang w:val="en-GB"/>
        </w:rPr>
        <w:t xml:space="preserve"> belongs to the so-called silvaniform clade of ten species which diverged ca. 4 </w:t>
      </w:r>
      <w:r>
        <w:rPr>
          <w:rFonts w:ascii="Arial" w:hAnsi="Arial"/>
          <w:lang w:val="en-US"/>
        </w:rPr>
        <w:t>My ago from its sister clade</w:t>
      </w:r>
      <w:r>
        <w:rPr>
          <w:rFonts w:ascii="Arial" w:hAnsi="Arial"/>
          <w:vertAlign w:val="superscript"/>
          <w:lang w:val="en-US"/>
        </w:rPr>
        <w:t xml:space="preserve"> </w:t>
      </w:r>
      <w:r>
        <w:rPr>
          <w:rFonts w:ascii="Arial" w:hAnsi="Arial"/>
          <w:lang w:val="en-US"/>
        </w:rPr>
        <w:t xml:space="preserve">(Figure 1b ; Figure 2a; Figure S1; Ref. [22]). The Heliconius, and silvaniform members particularly are knows to be highly connected by gene flow, and to notably exchange wing pattern loci </w:t>
      </w:r>
      <w:r>
        <w:rPr>
          <w:rFonts w:ascii="Arial" w:hAnsi="Arial"/>
          <w:b w:val="false"/>
          <w:i w:val="false"/>
          <w:caps w:val="false"/>
          <w:smallCaps w:val="false"/>
          <w:position w:val="0"/>
          <w:sz w:val="24"/>
          <w:sz w:val="24"/>
          <w:u w:val="none"/>
          <w:vertAlign w:val="baseline"/>
          <w:lang w:val="en-US"/>
        </w:rPr>
        <w:t>[18,23</w:t>
      </w:r>
      <w:r>
        <w:rPr>
          <w:rFonts w:ascii="Arial" w:hAnsi="Arial"/>
          <w:b w:val="false"/>
          <w:i w:val="false"/>
          <w:caps w:val="false"/>
          <w:smallCaps w:val="false"/>
          <w:position w:val="0"/>
          <w:sz w:val="24"/>
          <w:sz w:val="24"/>
          <w:u w:val="none"/>
          <w:vertAlign w:val="baseline"/>
        </w:rPr>
        <w:t>–26]</w:t>
      </w:r>
      <w:r>
        <w:rPr>
          <w:rFonts w:ascii="Arial" w:hAnsi="Arial"/>
          <w:lang w:val="en-US"/>
        </w:rPr>
        <w:t xml:space="preserve">. </w:t>
      </w:r>
      <w:r>
        <w:rPr>
          <w:rFonts w:ascii="Arial" w:hAnsi="Arial"/>
          <w:color w:val="000000"/>
          <w:lang w:val="en-US"/>
        </w:rPr>
        <w:t>To investigate the history of inversion P</w:t>
      </w:r>
      <w:r>
        <w:rPr>
          <w:rFonts w:ascii="Arial" w:hAnsi="Arial"/>
          <w:color w:val="000000"/>
          <w:vertAlign w:val="subscript"/>
          <w:lang w:val="en-US"/>
        </w:rPr>
        <w:t>1</w:t>
      </w:r>
      <w:r>
        <w:rPr>
          <w:rFonts w:ascii="Arial" w:hAnsi="Arial"/>
          <w:color w:val="000000"/>
          <w:lang w:val="en-US"/>
        </w:rPr>
        <w:t xml:space="preserve">, we surveyed the presence of this inversion in other species of the clade. </w:t>
      </w:r>
      <w:r>
        <w:rPr>
          <w:rFonts w:ascii="Arial" w:hAnsi="Arial"/>
          <w:lang w:val="en-US"/>
        </w:rPr>
        <w:t xml:space="preserve">PCR amplification of inversion breakpoints showed that inversion </w:t>
      </w:r>
      <w:r>
        <w:rPr>
          <w:rFonts w:ascii="Arial" w:hAnsi="Arial"/>
          <w:i/>
          <w:lang w:val="en-US"/>
        </w:rPr>
        <w:t>P</w:t>
      </w:r>
      <w:r>
        <w:rPr>
          <w:rFonts w:ascii="Arial" w:hAnsi="Arial"/>
          <w:i/>
          <w:vertAlign w:val="subscript"/>
          <w:lang w:val="en-US"/>
        </w:rPr>
        <w:t>1</w:t>
      </w:r>
      <w:r>
        <w:rPr>
          <w:rFonts w:ascii="Arial" w:hAnsi="Arial"/>
          <w:lang w:val="en-US"/>
        </w:rPr>
        <w:t xml:space="preserve"> was polymorphic in </w:t>
      </w:r>
      <w:r>
        <w:rPr>
          <w:rFonts w:ascii="Arial" w:hAnsi="Arial"/>
          <w:i/>
          <w:iCs/>
          <w:lang w:val="en-US"/>
        </w:rPr>
        <w:t xml:space="preserve">H. numata (Hn) </w:t>
      </w:r>
      <w:r>
        <w:rPr>
          <w:rFonts w:ascii="Arial" w:hAnsi="Arial"/>
          <w:iCs/>
          <w:lang w:val="en-US"/>
        </w:rPr>
        <w:t>across its Amazonian range</w:t>
      </w:r>
      <w:r>
        <w:rPr>
          <w:rFonts w:ascii="Arial" w:hAnsi="Arial"/>
          <w:i/>
          <w:iCs/>
          <w:lang w:val="en-US"/>
        </w:rPr>
        <w:t xml:space="preserve">, </w:t>
      </w:r>
      <w:r>
        <w:rPr>
          <w:rFonts w:ascii="Arial" w:hAnsi="Arial"/>
          <w:lang w:val="en-US"/>
        </w:rPr>
        <w:t xml:space="preserve">and was also found fixed in all population of </w:t>
      </w:r>
      <w:r>
        <w:rPr>
          <w:rFonts w:ascii="Arial" w:hAnsi="Arial"/>
          <w:i/>
          <w:iCs/>
          <w:lang w:val="en-US"/>
        </w:rPr>
        <w:t>H. pardalinus</w:t>
      </w:r>
      <w:r>
        <w:rPr>
          <w:rFonts w:ascii="Arial" w:hAnsi="Arial"/>
          <w:lang w:val="en-US"/>
        </w:rPr>
        <w:t xml:space="preserve"> (</w:t>
      </w:r>
      <w:r>
        <w:rPr>
          <w:rFonts w:ascii="Arial" w:hAnsi="Arial"/>
          <w:i/>
          <w:iCs/>
          <w:lang w:val="en-US"/>
        </w:rPr>
        <w:t>Hp</w:t>
      </w:r>
      <w:r>
        <w:rPr>
          <w:rFonts w:ascii="Arial" w:hAnsi="Arial"/>
          <w:lang w:val="en-US"/>
        </w:rPr>
        <w:t xml:space="preserve">), a non-sister species deeply divergent from </w:t>
      </w:r>
      <w:r>
        <w:rPr>
          <w:rFonts w:ascii="Arial" w:hAnsi="Arial"/>
          <w:i/>
          <w:lang w:val="en-US"/>
        </w:rPr>
        <w:t>H. numata</w:t>
      </w:r>
      <w:r>
        <w:rPr>
          <w:rFonts w:ascii="Arial" w:hAnsi="Arial"/>
          <w:lang w:val="en-US"/>
        </w:rPr>
        <w:t xml:space="preserve"> within the silvaniform clade (Figure 1B and Table S3). All other taxa</w:t>
      </w:r>
      <w:r>
        <w:rPr>
          <w:rFonts w:ascii="Arial" w:hAnsi="Arial"/>
          <w:i/>
          <w:iCs/>
          <w:lang w:val="en-US"/>
        </w:rPr>
        <w:t xml:space="preserve"> </w:t>
      </w:r>
      <w:r>
        <w:rPr>
          <w:rFonts w:ascii="Arial" w:hAnsi="Arial"/>
          <w:iCs/>
          <w:lang w:val="en-US"/>
        </w:rPr>
        <w:t xml:space="preserve">including the sister species of </w:t>
      </w:r>
      <w:r>
        <w:rPr>
          <w:rFonts w:ascii="Arial" w:hAnsi="Arial"/>
          <w:i/>
          <w:iCs/>
          <w:lang w:val="en-US"/>
        </w:rPr>
        <w:t>H. numata</w:t>
      </w:r>
      <w:r>
        <w:rPr>
          <w:rFonts w:ascii="Arial" w:hAnsi="Arial"/>
          <w:iCs/>
          <w:lang w:val="en-US"/>
        </w:rPr>
        <w:t xml:space="preserve"> and that of </w:t>
      </w:r>
      <w:r>
        <w:rPr>
          <w:rFonts w:ascii="Arial" w:hAnsi="Arial"/>
          <w:i/>
          <w:iCs/>
          <w:lang w:val="en-US"/>
        </w:rPr>
        <w:t xml:space="preserve">H. pardalinus </w:t>
      </w:r>
      <w:r>
        <w:rPr>
          <w:rFonts w:ascii="Arial" w:hAnsi="Arial"/>
          <w:lang w:val="en-US"/>
        </w:rPr>
        <w:t>were positive only for markers diagnostic of the ancestral gene order. Furthermore, a 4kb duplication associated with P</w:t>
      </w:r>
      <w:r>
        <w:rPr>
          <w:rFonts w:ascii="Arial" w:hAnsi="Arial"/>
          <w:vertAlign w:val="subscript"/>
          <w:lang w:val="en-US"/>
        </w:rPr>
        <w:t>1</w:t>
      </w:r>
      <w:r>
        <w:rPr>
          <w:rFonts w:ascii="Arial" w:hAnsi="Arial"/>
          <w:lang w:val="en-US"/>
        </w:rPr>
        <w:t xml:space="preserve"> in </w:t>
      </w:r>
      <w:r>
        <w:rPr>
          <w:rFonts w:ascii="Arial" w:hAnsi="Arial"/>
          <w:i/>
          <w:lang w:val="en-US"/>
        </w:rPr>
        <w:t>Hn</w:t>
      </w:r>
      <w:r>
        <w:rPr>
          <w:rFonts w:ascii="Arial" w:hAnsi="Arial"/>
          <w:lang w:val="en-US"/>
        </w:rPr>
        <w:t xml:space="preserve"> was also found in whole genome sequence datasets for </w:t>
      </w:r>
      <w:r>
        <w:rPr>
          <w:rFonts w:ascii="Arial" w:hAnsi="Arial"/>
          <w:iCs/>
          <w:lang w:val="en-US"/>
        </w:rPr>
        <w:t xml:space="preserve">all </w:t>
      </w:r>
      <w:r>
        <w:rPr>
          <w:rFonts w:ascii="Arial" w:hAnsi="Arial"/>
          <w:i/>
          <w:iCs/>
          <w:lang w:val="en-US"/>
        </w:rPr>
        <w:t>Hp</w:t>
      </w:r>
      <w:r>
        <w:rPr>
          <w:rFonts w:ascii="Arial" w:hAnsi="Arial"/>
          <w:lang w:val="en-US"/>
        </w:rPr>
        <w:t xml:space="preserve"> individuals and no other taxon (Figure 1B and Table S2). Breakpoint homology and similar molecular s</w:t>
      </w:r>
      <w:r>
        <w:rPr>
          <w:rFonts w:ascii="Arial" w:hAnsi="Arial"/>
          <w:lang w:val="en-GB"/>
        </w:rPr>
        <w:t xml:space="preserve">ignatures in </w:t>
      </w:r>
      <w:r>
        <w:rPr>
          <w:rFonts w:ascii="Arial" w:hAnsi="Arial"/>
          <w:i/>
          <w:lang w:val="en-GB"/>
        </w:rPr>
        <w:t>Hp</w:t>
      </w:r>
      <w:r>
        <w:rPr>
          <w:rFonts w:ascii="Arial" w:hAnsi="Arial"/>
          <w:lang w:val="en-GB"/>
        </w:rPr>
        <w:t xml:space="preserve"> and </w:t>
      </w:r>
      <w:r>
        <w:rPr>
          <w:rFonts w:ascii="Arial" w:hAnsi="Arial"/>
          <w:i/>
          <w:lang w:val="en-GB"/>
        </w:rPr>
        <w:t>Hn</w:t>
      </w:r>
      <w:r>
        <w:rPr>
          <w:rFonts w:ascii="Arial" w:hAnsi="Arial"/>
          <w:lang w:val="en-GB"/>
        </w:rPr>
        <w:t xml:space="preserve"> are thus consistent with a single origin of this inversion. This sharing of P</w:t>
      </w:r>
      <w:r>
        <w:rPr>
          <w:rFonts w:ascii="Arial" w:hAnsi="Arial"/>
          <w:vertAlign w:val="subscript"/>
          <w:lang w:val="en-GB"/>
        </w:rPr>
        <w:t>1</w:t>
      </w:r>
      <w:r>
        <w:rPr>
          <w:rFonts w:ascii="Arial" w:hAnsi="Arial"/>
          <w:lang w:val="en-GB"/>
        </w:rPr>
        <w:t xml:space="preserve"> between non-sister species could be </w:t>
      </w:r>
      <w:r>
        <w:rPr>
          <w:rFonts w:ascii="Arial" w:hAnsi="Arial"/>
          <w:iCs/>
          <w:lang w:val="en-GB"/>
        </w:rPr>
        <w:t xml:space="preserve">due to </w:t>
      </w:r>
      <w:r>
        <w:rPr>
          <w:rFonts w:ascii="Arial" w:hAnsi="Arial"/>
          <w:lang w:val="en-GB"/>
        </w:rPr>
        <w:t xml:space="preserve">the differential fixation of an ancient polymorphic inversion (incomplete lineage sorting, ILS), or </w:t>
      </w:r>
      <w:r>
        <w:rPr>
          <w:rFonts w:ascii="Arial" w:hAnsi="Arial"/>
          <w:iCs/>
          <w:lang w:val="en-GB"/>
        </w:rPr>
        <w:t xml:space="preserve">to </w:t>
      </w:r>
      <w:r>
        <w:rPr>
          <w:rFonts w:ascii="Arial" w:hAnsi="Arial"/>
          <w:lang w:val="en-GB"/>
        </w:rPr>
        <w:t>a secondary transfer through introgression.</w:t>
      </w:r>
    </w:p>
    <w:p>
      <w:pPr>
        <w:pStyle w:val="Standard"/>
        <w:bidi w:val="0"/>
        <w:spacing w:lineRule="auto" w:line="480"/>
        <w:jc w:val="left"/>
        <w:rPr/>
      </w:pPr>
      <w:r>
        <w:rPr>
          <w:rFonts w:ascii="Arial" w:hAnsi="Arial"/>
          <w:lang w:val="en-GB"/>
        </w:rPr>
        <w:t>To clarify whether this sharing</w:t>
      </w:r>
      <w:r>
        <w:rPr>
          <w:rFonts w:ascii="Arial" w:hAnsi="Arial"/>
          <w:vertAlign w:val="subscript"/>
          <w:lang w:val="en-GB"/>
        </w:rPr>
        <w:t xml:space="preserve"> </w:t>
      </w:r>
      <w:r>
        <w:rPr>
          <w:rFonts w:ascii="Arial" w:hAnsi="Arial"/>
          <w:lang w:val="en-GB"/>
        </w:rPr>
        <w:t xml:space="preserve">between </w:t>
      </w:r>
      <w:r>
        <w:rPr>
          <w:rFonts w:ascii="Arial" w:hAnsi="Arial"/>
          <w:i/>
          <w:lang w:val="en-GB"/>
        </w:rPr>
        <w:t>Hp</w:t>
      </w:r>
      <w:r>
        <w:rPr>
          <w:rFonts w:ascii="Arial" w:hAnsi="Arial"/>
          <w:lang w:val="en-GB"/>
        </w:rPr>
        <w:t xml:space="preserve"> and </w:t>
      </w:r>
      <w:r>
        <w:rPr>
          <w:rFonts w:ascii="Arial" w:hAnsi="Arial"/>
          <w:i/>
          <w:lang w:val="en-GB"/>
        </w:rPr>
        <w:t>Hn</w:t>
      </w:r>
      <w:r>
        <w:rPr>
          <w:rFonts w:ascii="Arial" w:hAnsi="Arial"/>
          <w:lang w:val="en-GB"/>
        </w:rPr>
        <w:t xml:space="preserve"> is a rare anomaly, specifically associated with the supergene locus, or is a common feature that is also found elsewhere in the genome, we estimated the excess of shared derived mutations between sympatric </w:t>
      </w:r>
      <w:r>
        <w:rPr>
          <w:rFonts w:ascii="Arial" w:hAnsi="Arial"/>
          <w:i/>
          <w:lang w:val="en-GB"/>
        </w:rPr>
        <w:t>Hp</w:t>
      </w:r>
      <w:r>
        <w:rPr>
          <w:rFonts w:ascii="Arial" w:hAnsi="Arial"/>
          <w:lang w:val="en-GB"/>
        </w:rPr>
        <w:t xml:space="preserve"> and </w:t>
      </w:r>
      <w:r>
        <w:rPr>
          <w:rFonts w:ascii="Arial" w:hAnsi="Arial"/>
          <w:i/>
          <w:lang w:val="en-GB"/>
        </w:rPr>
        <w:t>Hn</w:t>
      </w:r>
      <w:r>
        <w:rPr>
          <w:rFonts w:ascii="Arial" w:hAnsi="Arial"/>
          <w:lang w:val="en-GB"/>
        </w:rPr>
        <w:t xml:space="preserve">, relative to an allopatric control, </w:t>
      </w:r>
      <w:r>
        <w:rPr>
          <w:rFonts w:ascii="Arial" w:hAnsi="Arial"/>
          <w:i/>
          <w:lang w:val="en-GB"/>
        </w:rPr>
        <w:t>H</w:t>
      </w:r>
      <w:r>
        <w:rPr>
          <w:rFonts w:ascii="Arial" w:hAnsi="Arial"/>
          <w:lang w:val="en-GB"/>
        </w:rPr>
        <w:t xml:space="preserve">. </w:t>
      </w:r>
      <w:r>
        <w:rPr>
          <w:rFonts w:ascii="Arial" w:hAnsi="Arial"/>
          <w:i/>
          <w:iCs/>
          <w:lang w:val="en-GB"/>
        </w:rPr>
        <w:t>ismenius</w:t>
      </w:r>
      <w:r>
        <w:rPr>
          <w:rFonts w:ascii="Arial" w:hAnsi="Arial"/>
          <w:iCs/>
          <w:lang w:val="en-GB"/>
        </w:rPr>
        <w:t xml:space="preserve"> (</w:t>
      </w:r>
      <w:r>
        <w:rPr>
          <w:rFonts w:ascii="Arial" w:hAnsi="Arial"/>
          <w:i/>
          <w:iCs/>
          <w:lang w:val="en-GB"/>
        </w:rPr>
        <w:t>Hi</w:t>
      </w:r>
      <w:r>
        <w:rPr>
          <w:rFonts w:ascii="Arial" w:hAnsi="Arial"/>
          <w:iCs/>
          <w:lang w:val="en-GB"/>
        </w:rPr>
        <w:t xml:space="preserve">,  sister species of </w:t>
      </w:r>
      <w:r>
        <w:rPr>
          <w:rFonts w:ascii="Arial" w:hAnsi="Arial"/>
          <w:i/>
          <w:iCs/>
          <w:lang w:val="en-GB"/>
        </w:rPr>
        <w:t>Hn</w:t>
      </w:r>
      <w:r>
        <w:rPr>
          <w:rFonts w:ascii="Arial" w:hAnsi="Arial"/>
          <w:iCs/>
          <w:lang w:val="en-GB"/>
        </w:rPr>
        <w:t>)</w:t>
      </w:r>
      <w:r>
        <w:rPr>
          <w:rFonts w:ascii="Arial" w:hAnsi="Arial"/>
          <w:lang w:val="en-GB"/>
        </w:rPr>
        <w:t xml:space="preserve">, using the </w:t>
      </w:r>
      <w:r>
        <w:rPr>
          <w:rFonts w:ascii="Arial" w:hAnsi="Arial"/>
          <w:i/>
          <w:iCs/>
          <w:lang w:val="en-GB"/>
        </w:rPr>
        <w:t>fd</w:t>
      </w:r>
      <w:r>
        <w:rPr>
          <w:rFonts w:ascii="Arial" w:hAnsi="Arial"/>
          <w:lang w:val="en-GB"/>
        </w:rPr>
        <w:t xml:space="preserve"> statistic [27] .</w:t>
      </w:r>
      <w:r>
        <w:rPr>
          <w:rFonts w:ascii="Arial" w:hAnsi="Arial"/>
          <w:i/>
          <w:iCs/>
          <w:lang w:val="en-GB"/>
        </w:rPr>
        <w:t xml:space="preserve"> </w:t>
      </w:r>
      <w:r>
        <w:rPr>
          <w:rFonts w:ascii="Arial" w:hAnsi="Arial"/>
          <w:lang w:val="en-GB"/>
        </w:rPr>
        <w:t xml:space="preserve">We estimated that a significant 6.2 % of the genome was shared via gene flow between </w:t>
      </w:r>
      <w:r>
        <w:rPr>
          <w:rFonts w:ascii="Arial" w:hAnsi="Arial"/>
          <w:i/>
          <w:iCs/>
          <w:lang w:val="en-GB"/>
        </w:rPr>
        <w:t>Hn</w:t>
      </w:r>
      <w:r>
        <w:rPr>
          <w:rFonts w:ascii="Arial" w:hAnsi="Arial"/>
          <w:lang w:val="en-GB"/>
        </w:rPr>
        <w:t xml:space="preserve"> and </w:t>
      </w:r>
      <w:r>
        <w:rPr>
          <w:rFonts w:ascii="Arial" w:hAnsi="Arial"/>
          <w:i/>
          <w:iCs/>
          <w:lang w:val="en-GB"/>
        </w:rPr>
        <w:t>Hp</w:t>
      </w:r>
      <w:r>
        <w:rPr>
          <w:rFonts w:ascii="Arial" w:hAnsi="Arial"/>
          <w:lang w:val="en-GB"/>
        </w:rPr>
        <w:t xml:space="preserve"> (mean </w:t>
      </w:r>
      <w:r>
        <w:rPr>
          <w:rFonts w:ascii="Arial" w:hAnsi="Arial"/>
          <w:i/>
          <w:iCs/>
          <w:lang w:val="en-GB"/>
        </w:rPr>
        <w:t xml:space="preserve">fd </w:t>
      </w:r>
      <w:r>
        <w:rPr>
          <w:rFonts w:ascii="Arial" w:hAnsi="Arial"/>
          <w:iCs/>
          <w:lang w:val="en-GB"/>
        </w:rPr>
        <w:t>=</w:t>
      </w:r>
      <w:r>
        <w:rPr>
          <w:rFonts w:ascii="Arial" w:hAnsi="Arial"/>
          <w:lang w:val="en-GB"/>
        </w:rPr>
        <w:t xml:space="preserve"> 0.062*. Figure 3 and Figure S2C), consistent with a general signal of genome-wide gene flow between </w:t>
      </w:r>
      <w:r>
        <w:rPr>
          <w:rFonts w:ascii="Arial" w:hAnsi="Arial"/>
          <w:i/>
          <w:iCs/>
          <w:lang w:val="en-GB"/>
        </w:rPr>
        <w:t>Hn</w:t>
      </w:r>
      <w:r>
        <w:rPr>
          <w:rFonts w:ascii="Arial" w:hAnsi="Arial"/>
          <w:lang w:val="en-GB"/>
        </w:rPr>
        <w:t xml:space="preserve"> and other species within the silvaniform clade (Figure S2) and between other </w:t>
      </w:r>
      <w:r>
        <w:rPr>
          <w:rFonts w:ascii="Arial" w:hAnsi="Arial"/>
          <w:i/>
          <w:lang w:val="en-GB"/>
        </w:rPr>
        <w:t xml:space="preserve">Heliconius </w:t>
      </w:r>
      <w:r>
        <w:rPr>
          <w:rFonts w:ascii="Arial" w:hAnsi="Arial"/>
          <w:lang w:val="en-GB"/>
        </w:rPr>
        <w:t>species [23]</w:t>
      </w:r>
      <w:r>
        <w:rPr>
          <w:rFonts w:ascii="Arial" w:hAnsi="Arial"/>
          <w:i/>
          <w:lang w:val="en-GB"/>
        </w:rPr>
        <w:t>.</w:t>
      </w:r>
      <w:r>
        <w:rPr>
          <w:rFonts w:ascii="Arial" w:hAnsi="Arial"/>
          <w:lang w:val="en-GB"/>
        </w:rPr>
        <w:t xml:space="preserve"> </w:t>
      </w:r>
      <w:r>
        <w:rPr>
          <w:rFonts w:ascii="Arial" w:hAnsi="Arial"/>
          <w:iCs/>
          <w:lang w:val="en-GB"/>
        </w:rPr>
        <w:t xml:space="preserve">When </w:t>
      </w:r>
      <w:r>
        <w:rPr>
          <w:rFonts w:ascii="Arial" w:hAnsi="Arial"/>
          <w:i/>
          <w:iCs/>
          <w:lang w:val="en-GB"/>
        </w:rPr>
        <w:t>f</w:t>
      </w:r>
      <w:r>
        <w:rPr>
          <w:rFonts w:ascii="Arial" w:hAnsi="Arial"/>
          <w:i/>
          <w:iCs/>
          <w:position w:val="0"/>
          <w:sz w:val="24"/>
          <w:sz w:val="24"/>
          <w:vertAlign w:val="baseline"/>
          <w:lang w:val="en-GB"/>
        </w:rPr>
        <w:t>d</w:t>
      </w:r>
      <w:r>
        <w:rPr>
          <w:rFonts w:ascii="Arial" w:hAnsi="Arial"/>
          <w:iCs/>
          <w:lang w:val="en-GB"/>
        </w:rPr>
        <w:t xml:space="preserve"> is estimated using </w:t>
      </w:r>
      <w:r>
        <w:rPr>
          <w:rFonts w:ascii="Arial" w:hAnsi="Arial"/>
          <w:i/>
          <w:iCs/>
          <w:lang w:val="en-GB"/>
        </w:rPr>
        <w:t>Hn</w:t>
      </w:r>
      <w:r>
        <w:rPr>
          <w:rFonts w:ascii="Arial" w:hAnsi="Arial"/>
          <w:iCs/>
          <w:lang w:val="en-GB"/>
        </w:rPr>
        <w:t xml:space="preserve"> specimens homozygous for inversion P</w:t>
      </w:r>
      <w:r>
        <w:rPr>
          <w:rFonts w:ascii="Arial" w:hAnsi="Arial"/>
          <w:iCs/>
          <w:vertAlign w:val="subscript"/>
          <w:lang w:val="en-GB"/>
        </w:rPr>
        <w:t>1</w:t>
      </w:r>
      <w:r>
        <w:rPr>
          <w:rFonts w:ascii="Arial" w:hAnsi="Arial"/>
          <w:iCs/>
          <w:lang w:val="en-GB"/>
        </w:rPr>
        <w:t xml:space="preserve"> </w:t>
      </w:r>
      <w:r>
        <w:rPr>
          <w:rFonts w:ascii="Arial" w:hAnsi="Arial"/>
          <w:lang w:val="en-GB"/>
        </w:rPr>
        <w:t>(</w:t>
      </w:r>
      <w:r>
        <w:rPr>
          <w:rFonts w:ascii="Arial" w:hAnsi="Arial"/>
          <w:i/>
          <w:iCs/>
          <w:lang w:val="en-GB"/>
        </w:rPr>
        <w:t>Hn1</w:t>
      </w:r>
      <w:r>
        <w:rPr>
          <w:rFonts w:ascii="Arial" w:hAnsi="Arial"/>
          <w:iCs/>
          <w:lang w:val="en-GB"/>
        </w:rPr>
        <w:t>),</w:t>
      </w:r>
      <w:r>
        <w:rPr>
          <w:rFonts w:ascii="Arial" w:hAnsi="Arial"/>
          <w:lang w:val="en-GB"/>
        </w:rPr>
        <w:t xml:space="preserve"> the supergene scaffold is associated with a strong peak of shared derived mutations between </w:t>
      </w:r>
      <w:r>
        <w:rPr>
          <w:rFonts w:ascii="Arial" w:hAnsi="Arial"/>
          <w:i/>
          <w:lang w:val="en-GB"/>
        </w:rPr>
        <w:t>Hn</w:t>
      </w:r>
      <w:r>
        <w:rPr>
          <w:rFonts w:ascii="Arial" w:hAnsi="Arial"/>
          <w:lang w:val="en-GB"/>
        </w:rPr>
        <w:t xml:space="preserve"> and </w:t>
      </w:r>
      <w:r>
        <w:rPr>
          <w:rFonts w:ascii="Arial" w:hAnsi="Arial"/>
          <w:i/>
          <w:lang w:val="en-GB"/>
        </w:rPr>
        <w:t>Hp</w:t>
      </w:r>
      <w:r>
        <w:rPr>
          <w:rFonts w:ascii="Arial" w:hAnsi="Arial"/>
          <w:lang w:val="en-GB"/>
        </w:rPr>
        <w:t xml:space="preserve"> (mean= 0.38, 95% interval 0,34-0.41, Figure 3, blue arrow). This is not observed between </w:t>
      </w:r>
      <w:r>
        <w:rPr>
          <w:rFonts w:ascii="Arial" w:hAnsi="Arial"/>
          <w:i/>
          <w:lang w:val="en-GB"/>
        </w:rPr>
        <w:t>Hn1</w:t>
      </w:r>
      <w:r>
        <w:rPr>
          <w:rFonts w:ascii="Arial" w:hAnsi="Arial"/>
          <w:lang w:val="en-GB"/>
        </w:rPr>
        <w:t xml:space="preserve"> and other silvaniforms (Figure S2) nor when using </w:t>
      </w:r>
      <w:r>
        <w:rPr>
          <w:rFonts w:ascii="Arial" w:hAnsi="Arial"/>
          <w:i/>
          <w:lang w:val="en-GB"/>
        </w:rPr>
        <w:t>Hn</w:t>
      </w:r>
      <w:r>
        <w:rPr>
          <w:rFonts w:ascii="Arial" w:hAnsi="Arial"/>
          <w:lang w:val="en-GB"/>
        </w:rPr>
        <w:t xml:space="preserve"> specimens homozygous for the ancestral supergene arrangement (</w:t>
      </w:r>
      <w:r>
        <w:rPr>
          <w:rFonts w:ascii="Arial" w:hAnsi="Arial"/>
          <w:i/>
          <w:iCs/>
          <w:lang w:val="en-GB"/>
        </w:rPr>
        <w:t xml:space="preserve">Hn0 </w:t>
      </w:r>
      <w:r>
        <w:rPr>
          <w:rFonts w:ascii="Arial" w:hAnsi="Arial"/>
          <w:iCs/>
          <w:lang w:val="en-GB"/>
        </w:rPr>
        <w:t xml:space="preserve">; </w:t>
      </w:r>
      <w:r>
        <w:rPr>
          <w:rFonts w:ascii="Arial" w:hAnsi="Arial"/>
          <w:lang w:val="en-GB"/>
        </w:rPr>
        <w:t xml:space="preserve">Figure S2C). </w:t>
      </w:r>
      <w:r>
        <w:rPr>
          <w:rFonts w:ascii="Arial" w:hAnsi="Arial"/>
          <w:iCs/>
          <w:lang w:val="en-GB"/>
        </w:rPr>
        <w:t xml:space="preserve">Between </w:t>
      </w:r>
      <w:r>
        <w:rPr>
          <w:rFonts w:ascii="Arial" w:hAnsi="Arial"/>
          <w:i/>
          <w:iCs/>
          <w:lang w:val="en-GB"/>
        </w:rPr>
        <w:t>Hn1</w:t>
      </w:r>
      <w:r>
        <w:rPr>
          <w:rFonts w:ascii="Arial" w:hAnsi="Arial"/>
          <w:iCs/>
          <w:lang w:val="en-GB"/>
        </w:rPr>
        <w:t xml:space="preserve"> and </w:t>
      </w:r>
      <w:r>
        <w:rPr>
          <w:rFonts w:ascii="Arial" w:hAnsi="Arial"/>
          <w:i/>
          <w:iCs/>
          <w:lang w:val="en-GB"/>
        </w:rPr>
        <w:t>Hp</w:t>
      </w:r>
      <w:r>
        <w:rPr>
          <w:rFonts w:ascii="Arial" w:hAnsi="Arial"/>
          <w:lang w:val="en-GB"/>
        </w:rPr>
        <w:t>, the entire P</w:t>
      </w:r>
      <w:r>
        <w:rPr>
          <w:rFonts w:ascii="Arial" w:hAnsi="Arial"/>
          <w:vertAlign w:val="subscript"/>
          <w:lang w:val="en-GB"/>
        </w:rPr>
        <w:t>1</w:t>
      </w:r>
      <w:r>
        <w:rPr>
          <w:rFonts w:ascii="Arial" w:hAnsi="Arial"/>
          <w:lang w:val="en-GB"/>
        </w:rPr>
        <w:t xml:space="preserve"> inversion shows a high level of </w:t>
      </w:r>
      <w:r>
        <w:rPr>
          <w:rFonts w:ascii="Arial" w:hAnsi="Arial"/>
          <w:i/>
          <w:iCs/>
          <w:lang w:val="en-GB"/>
        </w:rPr>
        <w:t xml:space="preserve">fd, </w:t>
      </w:r>
      <w:r>
        <w:rPr>
          <w:rFonts w:ascii="Arial" w:hAnsi="Arial"/>
          <w:lang w:val="en-GB"/>
        </w:rPr>
        <w:t xml:space="preserve">which drops to background levels precisely at inversion breakpoints (Figure 4C). </w:t>
      </w:r>
      <w:r>
        <w:rPr>
          <w:rFonts w:ascii="Arial" w:hAnsi="Arial"/>
          <w:i/>
          <w:iCs/>
          <w:lang w:val="en-GB"/>
        </w:rPr>
        <w:t>Hn1</w:t>
      </w:r>
      <w:r>
        <w:rPr>
          <w:rFonts w:ascii="Arial" w:hAnsi="Arial"/>
          <w:iCs/>
          <w:lang w:val="en-GB"/>
        </w:rPr>
        <w:t xml:space="preserve"> and </w:t>
      </w:r>
      <w:r>
        <w:rPr>
          <w:rFonts w:ascii="Arial" w:hAnsi="Arial"/>
          <w:i/>
          <w:iCs/>
          <w:lang w:val="en-GB"/>
        </w:rPr>
        <w:t>Hp</w:t>
      </w:r>
      <w:r>
        <w:rPr>
          <w:rFonts w:ascii="Arial" w:hAnsi="Arial"/>
          <w:iCs/>
          <w:lang w:val="en-GB"/>
        </w:rPr>
        <w:t xml:space="preserve"> therefore share </w:t>
      </w:r>
      <w:r>
        <w:rPr>
          <w:rFonts w:ascii="Arial" w:hAnsi="Arial"/>
          <w:iCs/>
          <w:color w:val="00000A"/>
          <w:lang w:val="en-GB"/>
        </w:rPr>
        <w:t xml:space="preserve">a block of derived mutations </w:t>
      </w:r>
      <w:r>
        <w:rPr>
          <w:rFonts w:ascii="Arial" w:hAnsi="Arial"/>
          <w:iCs/>
          <w:lang w:val="en-GB"/>
        </w:rPr>
        <w:t>associated with the inversion</w:t>
      </w:r>
      <w:r>
        <w:rPr>
          <w:rFonts w:ascii="Arial" w:hAnsi="Arial"/>
          <w:lang w:val="en-GB"/>
        </w:rPr>
        <w:t>.</w:t>
      </w:r>
    </w:p>
    <w:p>
      <w:pPr>
        <w:pStyle w:val="Standard"/>
        <w:bidi w:val="0"/>
        <w:spacing w:lineRule="auto" w:line="480"/>
        <w:jc w:val="both"/>
        <w:rPr>
          <w:rFonts w:ascii="Arial" w:hAnsi="Arial"/>
        </w:rPr>
      </w:pPr>
      <w:r>
        <w:rPr>
          <w:rFonts w:ascii="Arial" w:hAnsi="Arial"/>
          <w:lang w:val="en-GB"/>
        </w:rPr>
        <w:t xml:space="preserve">Contrary to estimates from the whole genome, a local excess of </w:t>
      </w:r>
      <w:r>
        <w:rPr>
          <w:rFonts w:ascii="Arial" w:hAnsi="Arial"/>
          <w:i/>
          <w:iCs/>
          <w:lang w:val="en-GB"/>
        </w:rPr>
        <w:t>fd</w:t>
      </w:r>
      <w:r>
        <w:rPr>
          <w:rFonts w:ascii="Arial" w:hAnsi="Arial"/>
          <w:lang w:val="en-GB"/>
        </w:rPr>
        <w:t xml:space="preserve">, denoting an local excess of derived mutation between two taxa, may be due to incomplete lineage sorting or to gene flow. We estimated the divergence times of </w:t>
      </w:r>
      <w:r>
        <w:rPr>
          <w:rFonts w:ascii="Arial" w:hAnsi="Arial"/>
          <w:i/>
          <w:iCs/>
          <w:lang w:val="en-GB"/>
        </w:rPr>
        <w:t xml:space="preserve">Hn1 </w:t>
      </w:r>
      <w:r>
        <w:rPr>
          <w:rFonts w:ascii="Arial" w:hAnsi="Arial"/>
          <w:lang w:val="en-GB"/>
        </w:rPr>
        <w:t xml:space="preserve">and </w:t>
      </w:r>
      <w:r>
        <w:rPr>
          <w:rFonts w:ascii="Arial" w:hAnsi="Arial"/>
          <w:i/>
          <w:lang w:val="en-GB"/>
        </w:rPr>
        <w:t>Hp</w:t>
      </w:r>
      <w:r>
        <w:rPr>
          <w:rFonts w:ascii="Arial" w:hAnsi="Arial"/>
          <w:i/>
          <w:iCs/>
          <w:lang w:val="en-GB"/>
        </w:rPr>
        <w:t xml:space="preserve"> </w:t>
      </w:r>
      <w:r>
        <w:rPr>
          <w:rFonts w:ascii="Arial" w:hAnsi="Arial"/>
          <w:lang w:val="en-GB"/>
        </w:rPr>
        <w:t>within and outside of inversion P</w:t>
      </w:r>
      <w:r>
        <w:rPr>
          <w:rFonts w:ascii="Arial" w:hAnsi="Arial"/>
          <w:vertAlign w:val="subscript"/>
          <w:lang w:val="en-GB"/>
        </w:rPr>
        <w:t>1</w:t>
      </w:r>
      <w:r>
        <w:rPr>
          <w:rFonts w:ascii="Arial" w:hAnsi="Arial"/>
          <w:position w:val="0"/>
          <w:sz w:val="24"/>
          <w:sz w:val="24"/>
          <w:vertAlign w:val="baseline"/>
          <w:lang w:val="en-GB"/>
        </w:rPr>
        <w:t xml:space="preserve"> to determine the cause of the local excess of fd at the supergene</w:t>
      </w:r>
      <w:r>
        <w:rPr>
          <w:rFonts w:ascii="Arial" w:hAnsi="Arial"/>
          <w:lang w:val="en-GB"/>
        </w:rPr>
        <w:t>. The unique ancestor of inversion P</w:t>
      </w:r>
      <w:r>
        <w:rPr>
          <w:rFonts w:ascii="Arial" w:hAnsi="Arial"/>
          <w:vertAlign w:val="subscript"/>
          <w:lang w:val="en-GB"/>
        </w:rPr>
        <w:t xml:space="preserve">1 </w:t>
      </w:r>
      <w:r>
        <w:rPr>
          <w:rFonts w:ascii="Arial" w:hAnsi="Arial"/>
          <w:lang w:val="en-GB"/>
        </w:rPr>
        <w:t xml:space="preserve">in </w:t>
      </w:r>
      <w:r>
        <w:rPr>
          <w:rFonts w:ascii="Arial" w:hAnsi="Arial"/>
          <w:i/>
          <w:iCs/>
          <w:lang w:val="en-GB"/>
        </w:rPr>
        <w:t xml:space="preserve">Hp </w:t>
      </w:r>
      <w:r>
        <w:rPr>
          <w:rFonts w:ascii="Arial" w:hAnsi="Arial"/>
          <w:lang w:val="en-GB"/>
        </w:rPr>
        <w:t xml:space="preserve">and </w:t>
      </w:r>
      <w:r>
        <w:rPr>
          <w:rFonts w:ascii="Arial" w:hAnsi="Arial"/>
          <w:i/>
          <w:iCs/>
          <w:lang w:val="en-GB"/>
        </w:rPr>
        <w:t xml:space="preserve">Hn1 </w:t>
      </w:r>
      <w:r>
        <w:rPr>
          <w:rFonts w:ascii="Arial" w:hAnsi="Arial"/>
          <w:lang w:val="en-GB"/>
        </w:rPr>
        <w:t xml:space="preserve">was estimated to be 2.30 My old (95% interval 1.98-2.63 Mya, Figure 4D; Pink triangles in Figure 2), significantly more recent than the divergence time of the rest of the genome (3,59 Mya; 95% interval 3.37-3.75 Mya; Figure 4D), which indicates that the inversion was shared by gene flow among lineages well after their split. This introgression can be dated to an interval between the time to the most recent common ancestor (TMRCA) of </w:t>
      </w:r>
      <w:r>
        <w:rPr>
          <w:rFonts w:ascii="Arial" w:hAnsi="Arial"/>
          <w:i/>
          <w:iCs/>
          <w:lang w:val="en-GB"/>
        </w:rPr>
        <w:t>Hp</w:t>
      </w:r>
      <w:r>
        <w:rPr>
          <w:rFonts w:ascii="Arial" w:hAnsi="Arial"/>
          <w:lang w:val="en-GB"/>
        </w:rPr>
        <w:t xml:space="preserve"> and </w:t>
      </w:r>
      <w:r>
        <w:rPr>
          <w:rFonts w:ascii="Arial" w:hAnsi="Arial"/>
          <w:i/>
          <w:iCs/>
          <w:lang w:val="en-GB"/>
        </w:rPr>
        <w:t>Hn1</w:t>
      </w:r>
      <w:r>
        <w:rPr>
          <w:rFonts w:ascii="Arial" w:hAnsi="Arial"/>
          <w:lang w:val="en-GB"/>
        </w:rPr>
        <w:t xml:space="preserve"> inversions (</w:t>
      </w:r>
      <w:r>
        <w:rPr>
          <w:rFonts w:eastAsia="Noto Sans CJK SC Regular;Times New Roman" w:cs="FreeSans;Times New Roman" w:ascii="Arial" w:hAnsi="Arial"/>
          <w:i/>
          <w:iCs/>
          <w:color w:val="00000A"/>
          <w:sz w:val="24"/>
          <w:szCs w:val="24"/>
          <w:lang w:val="en-GB" w:eastAsia="zh-CN" w:bidi="hi-IN"/>
        </w:rPr>
        <w:t>i</w:t>
      </w:r>
      <w:r>
        <w:rPr>
          <w:rFonts w:ascii="Arial" w:hAnsi="Arial"/>
          <w:i/>
          <w:iCs/>
          <w:lang w:val="en-GB"/>
        </w:rPr>
        <w:t>.e.</w:t>
      </w:r>
      <w:r>
        <w:rPr>
          <w:rFonts w:ascii="Arial" w:hAnsi="Arial"/>
          <w:lang w:val="en-GB"/>
        </w:rPr>
        <w:t xml:space="preserve"> 2.30 Mya) and the TMRCA of all </w:t>
      </w:r>
      <w:r>
        <w:rPr>
          <w:rFonts w:ascii="Arial" w:hAnsi="Arial"/>
          <w:i/>
          <w:iCs/>
          <w:lang w:val="en-GB"/>
        </w:rPr>
        <w:t xml:space="preserve">Hn1 </w:t>
      </w:r>
      <w:r>
        <w:rPr>
          <w:rFonts w:ascii="Arial" w:hAnsi="Arial"/>
          <w:iCs/>
          <w:lang w:val="en-GB"/>
        </w:rPr>
        <w:t>inversions (</w:t>
      </w:r>
      <w:r>
        <w:rPr>
          <w:rFonts w:ascii="Arial" w:hAnsi="Arial"/>
          <w:lang w:val="en-GB"/>
        </w:rPr>
        <w:t xml:space="preserve">2.24 Mya, 95 % interval 1.89-2.59 Mya, Figure S3D ; Orange triangle in Figure 2), i.e. about 1.30 My after </w:t>
      </w:r>
      <w:r>
        <w:rPr>
          <w:rFonts w:ascii="Arial" w:hAnsi="Arial"/>
          <w:i/>
          <w:lang w:val="en-GB"/>
        </w:rPr>
        <w:t xml:space="preserve">Hp-Hn </w:t>
      </w:r>
      <w:r>
        <w:rPr>
          <w:rFonts w:ascii="Arial" w:hAnsi="Arial"/>
          <w:lang w:val="en-GB"/>
        </w:rPr>
        <w:t xml:space="preserve">speciation. We then estimated the age of the inversion considering that its </w:t>
      </w:r>
      <w:r>
        <w:rPr>
          <w:rFonts w:eastAsia="Noto Sans CJK SC;Times New Roman" w:cs="FreeSans;Times New Roman" w:ascii="Arial" w:hAnsi="Arial"/>
          <w:color w:val="00000A"/>
          <w:sz w:val="24"/>
          <w:szCs w:val="24"/>
          <w:lang w:val="en-GB" w:eastAsia="zh-CN" w:bidi="hi-IN"/>
        </w:rPr>
        <w:t>occurrence also induce the 4kb duplication we detected.</w:t>
      </w:r>
      <w:r>
        <w:rPr>
          <w:rFonts w:ascii="Arial" w:hAnsi="Arial"/>
          <w:lang w:val="en-GB"/>
        </w:rPr>
        <w:t xml:space="preserve"> We identified the two sequences of the duplicated region associated with the inversion in an </w:t>
      </w:r>
      <w:r>
        <w:rPr>
          <w:rFonts w:ascii="Arial" w:hAnsi="Arial"/>
          <w:i/>
          <w:lang w:val="en-GB"/>
        </w:rPr>
        <w:t>Hn1</w:t>
      </w:r>
      <w:r>
        <w:rPr>
          <w:rFonts w:ascii="Arial" w:hAnsi="Arial"/>
          <w:lang w:val="en-GB"/>
        </w:rPr>
        <w:t xml:space="preserve"> BAC library and in an </w:t>
      </w:r>
      <w:r>
        <w:rPr>
          <w:rFonts w:ascii="Arial" w:hAnsi="Arial"/>
          <w:i/>
          <w:lang w:val="en-GB"/>
        </w:rPr>
        <w:t>Hn1</w:t>
      </w:r>
      <w:r>
        <w:rPr>
          <w:rFonts w:ascii="Arial" w:hAnsi="Arial"/>
          <w:lang w:val="en-GB"/>
        </w:rPr>
        <w:t xml:space="preserve"> genome assembly, and estimated their divergence time. We found that the duplication and most probably the inversion occurred 2.41 Mya (95% interval 1.96-2.71 Mya). This indicate that inversion P</w:t>
      </w:r>
      <w:r>
        <w:rPr>
          <w:rFonts w:ascii="Arial" w:hAnsi="Arial"/>
          <w:vertAlign w:val="subscript"/>
          <w:lang w:val="en-GB"/>
        </w:rPr>
        <w:t xml:space="preserve">1 </w:t>
      </w:r>
      <w:r>
        <w:rPr>
          <w:rFonts w:ascii="Arial" w:hAnsi="Arial"/>
          <w:lang w:val="en-GB"/>
        </w:rPr>
        <w:t xml:space="preserve">may have spread between lineage </w:t>
      </w:r>
      <w:r>
        <w:rPr>
          <w:rFonts w:ascii="Arial" w:hAnsi="Arial"/>
          <w:i/>
          <w:iCs/>
          <w:lang w:val="en-GB"/>
        </w:rPr>
        <w:t>Hp</w:t>
      </w:r>
      <w:r>
        <w:rPr>
          <w:rFonts w:ascii="Arial" w:hAnsi="Arial"/>
          <w:lang w:val="en-GB"/>
        </w:rPr>
        <w:t xml:space="preserve"> and </w:t>
      </w:r>
      <w:r>
        <w:rPr>
          <w:rFonts w:ascii="Arial" w:hAnsi="Arial"/>
          <w:i/>
          <w:iCs/>
          <w:lang w:val="en-GB"/>
        </w:rPr>
        <w:t>Hn</w:t>
      </w:r>
      <w:r>
        <w:rPr>
          <w:rFonts w:ascii="Arial" w:hAnsi="Arial"/>
          <w:lang w:val="en-GB"/>
        </w:rPr>
        <w:t xml:space="preserve"> shortly after the its occurrence.</w:t>
      </w:r>
    </w:p>
    <w:p>
      <w:pPr>
        <w:pStyle w:val="Standard"/>
        <w:bidi w:val="0"/>
        <w:spacing w:lineRule="auto" w:line="480"/>
        <w:jc w:val="left"/>
        <w:rPr/>
      </w:pPr>
      <w:r>
        <w:rPr>
          <w:rFonts w:ascii="Arial" w:hAnsi="Arial"/>
          <w:lang w:val="en-GB"/>
        </w:rPr>
        <w:t xml:space="preserve">To determine the direction of introgression, we surveyed the position of the sister species to </w:t>
      </w:r>
      <w:r>
        <w:rPr>
          <w:rFonts w:ascii="Arial" w:hAnsi="Arial"/>
          <w:i/>
          <w:iCs/>
          <w:lang w:val="en-GB"/>
        </w:rPr>
        <w:t>Hn</w:t>
      </w:r>
      <w:r>
        <w:rPr>
          <w:rFonts w:ascii="Arial" w:hAnsi="Arial"/>
          <w:lang w:val="en-GB"/>
        </w:rPr>
        <w:t xml:space="preserve"> (</w:t>
      </w:r>
      <w:r>
        <w:rPr>
          <w:rFonts w:ascii="Arial" w:hAnsi="Arial"/>
          <w:i/>
          <w:iCs/>
          <w:lang w:val="en-GB"/>
        </w:rPr>
        <w:t>Hi</w:t>
      </w:r>
      <w:r>
        <w:rPr>
          <w:rFonts w:ascii="Arial" w:hAnsi="Arial"/>
          <w:lang w:val="en-GB"/>
        </w:rPr>
        <w:t xml:space="preserve">) and to </w:t>
      </w:r>
      <w:r>
        <w:rPr>
          <w:rFonts w:ascii="Arial" w:hAnsi="Arial"/>
          <w:i/>
          <w:iCs/>
          <w:lang w:val="en-GB"/>
        </w:rPr>
        <w:t xml:space="preserve">Hp </w:t>
      </w:r>
      <w:r>
        <w:rPr>
          <w:rFonts w:ascii="Arial" w:hAnsi="Arial"/>
          <w:lang w:val="en-GB"/>
        </w:rPr>
        <w:t>(</w:t>
      </w:r>
      <w:r>
        <w:rPr>
          <w:rFonts w:ascii="Arial" w:hAnsi="Arial"/>
          <w:i/>
          <w:iCs/>
          <w:lang w:val="en-GB"/>
        </w:rPr>
        <w:t>H. elevatus, He</w:t>
      </w:r>
      <w:r>
        <w:rPr>
          <w:rFonts w:ascii="Arial" w:hAnsi="Arial"/>
          <w:lang w:val="en-GB"/>
        </w:rPr>
        <w:t xml:space="preserve">) in phylogenies computed along the supergene scaffold and in other regions of the genome. The genome as a whole and regions flanking the inversion all show a similar topology to the one found by Kozak </w:t>
      </w:r>
      <w:r>
        <w:rPr>
          <w:rFonts w:ascii="Arial" w:hAnsi="Arial"/>
          <w:i/>
          <w:iCs/>
          <w:lang w:val="en-GB"/>
        </w:rPr>
        <w:t>et al.</w:t>
      </w:r>
      <w:r>
        <w:rPr>
          <w:rFonts w:ascii="Arial" w:hAnsi="Arial"/>
          <w:i/>
          <w:iCs/>
          <w:vertAlign w:val="superscript"/>
          <w:lang w:val="en-GB"/>
        </w:rPr>
        <w:t xml:space="preserve"> </w:t>
      </w:r>
      <w:r>
        <w:rPr>
          <w:rFonts w:ascii="Arial" w:hAnsi="Arial"/>
          <w:b w:val="false"/>
          <w:bCs w:val="false"/>
          <w:i w:val="false"/>
          <w:iCs w:val="false"/>
          <w:position w:val="0"/>
          <w:sz w:val="24"/>
          <w:sz w:val="24"/>
          <w:vertAlign w:val="baseline"/>
          <w:lang w:val="en-GB"/>
        </w:rPr>
        <w:t>[22]</w:t>
      </w:r>
      <w:r>
        <w:rPr>
          <w:rFonts w:ascii="Arial" w:hAnsi="Arial"/>
          <w:i w:val="false"/>
          <w:iCs w:val="false"/>
          <w:lang w:val="en-GB"/>
        </w:rPr>
        <w:t>,</w:t>
      </w:r>
      <w:r>
        <w:rPr>
          <w:rFonts w:ascii="Arial" w:hAnsi="Arial"/>
          <w:lang w:val="en-GB"/>
        </w:rPr>
        <w:t xml:space="preserve"> with expected sister relationships of </w:t>
      </w:r>
      <w:r>
        <w:rPr>
          <w:rFonts w:ascii="Arial" w:hAnsi="Arial"/>
          <w:i/>
          <w:iCs/>
          <w:lang w:val="en-GB"/>
        </w:rPr>
        <w:t>Hi</w:t>
      </w:r>
      <w:r>
        <w:rPr>
          <w:rFonts w:ascii="Arial" w:hAnsi="Arial"/>
          <w:lang w:val="en-GB"/>
        </w:rPr>
        <w:t xml:space="preserve"> and </w:t>
      </w:r>
      <w:r>
        <w:rPr>
          <w:rFonts w:ascii="Arial" w:hAnsi="Arial"/>
          <w:i/>
          <w:iCs/>
          <w:lang w:val="en-GB"/>
        </w:rPr>
        <w:t>Hn</w:t>
      </w:r>
      <w:r>
        <w:rPr>
          <w:rFonts w:ascii="Arial" w:hAnsi="Arial"/>
          <w:lang w:val="en-GB"/>
        </w:rPr>
        <w:t xml:space="preserve"> and of </w:t>
      </w:r>
      <w:r>
        <w:rPr>
          <w:rFonts w:ascii="Arial" w:hAnsi="Arial"/>
          <w:i/>
          <w:iCs/>
          <w:lang w:val="en-GB"/>
        </w:rPr>
        <w:t>He</w:t>
      </w:r>
      <w:r>
        <w:rPr>
          <w:rFonts w:ascii="Arial" w:hAnsi="Arial"/>
          <w:lang w:val="en-GB"/>
        </w:rPr>
        <w:t xml:space="preserve"> and </w:t>
      </w:r>
      <w:r>
        <w:rPr>
          <w:rFonts w:ascii="Arial" w:hAnsi="Arial"/>
          <w:i/>
          <w:iCs/>
          <w:lang w:val="en-GB"/>
        </w:rPr>
        <w:t>H</w:t>
      </w:r>
      <w:bookmarkStart w:id="9" w:name="move478743869"/>
      <w:bookmarkEnd w:id="9"/>
      <w:r>
        <w:rPr>
          <w:rFonts w:ascii="Arial" w:hAnsi="Arial"/>
          <w:i/>
          <w:iCs/>
          <w:lang w:val="en-GB"/>
        </w:rPr>
        <w:t>p</w:t>
      </w:r>
      <w:r>
        <w:rPr>
          <w:rFonts w:ascii="Arial" w:hAnsi="Arial"/>
          <w:lang w:val="en-GB"/>
        </w:rPr>
        <w:t xml:space="preserve"> (Figure 2A and Figure S1). Evaluating the support for each possible topology among the five informative taxa (</w:t>
      </w:r>
      <w:r>
        <w:rPr>
          <w:rFonts w:ascii="Arial" w:hAnsi="Arial"/>
          <w:i/>
          <w:lang w:val="en-GB"/>
        </w:rPr>
        <w:t>Hn0, Hn1, Hi, Hp, He</w:t>
      </w:r>
      <w:r>
        <w:rPr>
          <w:rFonts w:ascii="Arial" w:hAnsi="Arial"/>
          <w:lang w:val="en-GB"/>
        </w:rPr>
        <w:t>) using Twisst [28]</w:t>
      </w:r>
      <w:r>
        <w:rPr>
          <w:rFonts w:ascii="Arial" w:hAnsi="Arial"/>
          <w:vertAlign w:val="superscript"/>
          <w:lang w:val="en-GB"/>
        </w:rPr>
        <w:t xml:space="preserve"> </w:t>
      </w:r>
      <w:r>
        <w:rPr>
          <w:rFonts w:ascii="Arial" w:hAnsi="Arial"/>
          <w:lang w:val="en-GB"/>
        </w:rPr>
        <w:t>confirmed the consistent support for the separation of (</w:t>
      </w:r>
      <w:r>
        <w:rPr>
          <w:rFonts w:ascii="Arial" w:hAnsi="Arial"/>
          <w:i/>
          <w:iCs/>
          <w:lang w:val="en-GB"/>
        </w:rPr>
        <w:t>Hn, Hi</w:t>
      </w:r>
      <w:r>
        <w:rPr>
          <w:rFonts w:ascii="Arial" w:hAnsi="Arial"/>
          <w:iCs/>
          <w:lang w:val="en-GB"/>
        </w:rPr>
        <w:t>)</w:t>
      </w:r>
      <w:r>
        <w:rPr>
          <w:rFonts w:ascii="Arial" w:hAnsi="Arial"/>
          <w:lang w:val="en-GB"/>
        </w:rPr>
        <w:t xml:space="preserve"> and (</w:t>
      </w:r>
      <w:r>
        <w:rPr>
          <w:rFonts w:ascii="Arial" w:hAnsi="Arial"/>
          <w:i/>
          <w:iCs/>
          <w:lang w:val="en-GB"/>
        </w:rPr>
        <w:t>Hp, He</w:t>
      </w:r>
      <w:r>
        <w:rPr>
          <w:rFonts w:ascii="Arial" w:hAnsi="Arial"/>
          <w:iCs/>
          <w:lang w:val="en-GB"/>
        </w:rPr>
        <w:t>)</w:t>
      </w:r>
      <w:r>
        <w:rPr>
          <w:rFonts w:ascii="Arial" w:hAnsi="Arial"/>
          <w:lang w:val="en-GB"/>
        </w:rPr>
        <w:t xml:space="preserve"> clades despite a high level of incomplete lineage sorting within each clade (Figure 4A and Figure S4). By contrast, the inversion P</w:t>
      </w:r>
      <w:r>
        <w:rPr>
          <w:rFonts w:ascii="Arial" w:hAnsi="Arial"/>
          <w:vertAlign w:val="subscript"/>
          <w:lang w:val="en-GB"/>
        </w:rPr>
        <w:t xml:space="preserve">1 </w:t>
      </w:r>
      <w:r>
        <w:rPr>
          <w:rFonts w:ascii="Arial" w:hAnsi="Arial"/>
          <w:lang w:val="en-GB"/>
        </w:rPr>
        <w:t xml:space="preserve">shows strong support for topologies that group </w:t>
      </w:r>
      <w:r>
        <w:rPr>
          <w:rFonts w:ascii="Arial" w:hAnsi="Arial"/>
          <w:i/>
          <w:iCs/>
          <w:lang w:val="en-GB"/>
        </w:rPr>
        <w:t xml:space="preserve">Hn1 </w:t>
      </w:r>
      <w:r>
        <w:rPr>
          <w:rFonts w:ascii="Arial" w:hAnsi="Arial"/>
          <w:lang w:val="en-GB"/>
        </w:rPr>
        <w:t xml:space="preserve">with </w:t>
      </w:r>
      <w:r>
        <w:rPr>
          <w:rFonts w:ascii="Arial" w:hAnsi="Arial"/>
          <w:i/>
          <w:iCs/>
          <w:lang w:val="en-GB"/>
        </w:rPr>
        <w:t>Hp</w:t>
      </w:r>
      <w:r>
        <w:rPr>
          <w:rFonts w:ascii="Arial" w:hAnsi="Arial"/>
          <w:lang w:val="en-GB"/>
        </w:rPr>
        <w:t xml:space="preserve">, and major topology changes coincide with inversion breakpoints (Figures 2B and 4A and Figure S4), consistent with a single origin of the inversion. Within the inversion, the highest support consistently goes to </w:t>
      </w:r>
      <w:r>
        <w:rPr>
          <w:rFonts w:ascii="Arial" w:hAnsi="Arial"/>
          <w:i/>
          <w:iCs/>
          <w:lang w:val="en-GB"/>
        </w:rPr>
        <w:t xml:space="preserve">Hn1 </w:t>
      </w:r>
      <w:r>
        <w:rPr>
          <w:rFonts w:ascii="Arial" w:hAnsi="Arial"/>
          <w:i w:val="false"/>
          <w:iCs/>
          <w:lang w:val="en-GB"/>
        </w:rPr>
        <w:t>grouping</w:t>
      </w:r>
      <w:r>
        <w:rPr>
          <w:rFonts w:ascii="Arial" w:hAnsi="Arial"/>
          <w:i/>
          <w:iCs/>
          <w:lang w:val="en-GB"/>
        </w:rPr>
        <w:t xml:space="preserve"> </w:t>
      </w:r>
      <w:r>
        <w:rPr>
          <w:rFonts w:ascii="Arial" w:hAnsi="Arial"/>
          <w:lang w:val="en-GB"/>
        </w:rPr>
        <w:t>within (</w:t>
      </w:r>
      <w:r>
        <w:rPr>
          <w:rFonts w:ascii="Arial" w:hAnsi="Arial"/>
          <w:i/>
          <w:iCs/>
          <w:lang w:val="en-GB"/>
        </w:rPr>
        <w:t>Hp</w:t>
      </w:r>
      <w:r>
        <w:rPr>
          <w:rFonts w:ascii="Arial" w:hAnsi="Arial"/>
          <w:lang w:val="en-GB"/>
        </w:rPr>
        <w:t xml:space="preserve">, </w:t>
      </w:r>
      <w:r>
        <w:rPr>
          <w:rFonts w:ascii="Arial" w:hAnsi="Arial"/>
          <w:i/>
          <w:iCs/>
          <w:lang w:val="en-GB"/>
        </w:rPr>
        <w:t>He</w:t>
      </w:r>
      <w:r>
        <w:rPr>
          <w:rFonts w:ascii="Arial" w:hAnsi="Arial"/>
          <w:lang w:val="en-GB"/>
        </w:rPr>
        <w:t>) and away from (</w:t>
      </w:r>
      <w:r>
        <w:rPr>
          <w:rFonts w:ascii="Arial" w:hAnsi="Arial"/>
          <w:i/>
          <w:iCs/>
          <w:lang w:val="en-GB"/>
        </w:rPr>
        <w:t>Hn</w:t>
      </w:r>
      <w:r>
        <w:rPr>
          <w:rFonts w:ascii="Arial" w:hAnsi="Arial"/>
          <w:lang w:val="en-GB"/>
        </w:rPr>
        <w:t xml:space="preserve">, </w:t>
      </w:r>
      <w:r>
        <w:rPr>
          <w:rFonts w:ascii="Arial" w:hAnsi="Arial"/>
          <w:i/>
          <w:iCs/>
          <w:lang w:val="en-GB"/>
        </w:rPr>
        <w:t>Hi</w:t>
      </w:r>
      <w:r>
        <w:rPr>
          <w:rFonts w:ascii="Arial" w:hAnsi="Arial"/>
          <w:lang w:val="en-GB"/>
        </w:rPr>
        <w:t>)</w:t>
      </w:r>
      <w:r>
        <w:rPr>
          <w:rFonts w:ascii="Arial" w:hAnsi="Arial"/>
          <w:i/>
          <w:iCs/>
          <w:lang w:val="en-GB"/>
        </w:rPr>
        <w:t xml:space="preserve"> </w:t>
      </w:r>
      <w:r>
        <w:rPr>
          <w:rFonts w:ascii="Arial" w:hAnsi="Arial"/>
          <w:lang w:val="en-GB"/>
        </w:rPr>
        <w:t xml:space="preserve">(Figure 4C, topology 2), indicating an introgression from </w:t>
      </w:r>
      <w:r>
        <w:rPr>
          <w:rFonts w:ascii="Arial" w:hAnsi="Arial"/>
          <w:i/>
          <w:iCs/>
          <w:lang w:val="en-GB"/>
        </w:rPr>
        <w:t xml:space="preserve">Hp </w:t>
      </w:r>
      <w:r>
        <w:rPr>
          <w:rFonts w:ascii="Arial" w:hAnsi="Arial"/>
          <w:lang w:val="en-GB"/>
        </w:rPr>
        <w:t xml:space="preserve">to </w:t>
      </w:r>
      <w:r>
        <w:rPr>
          <w:rFonts w:ascii="Arial" w:hAnsi="Arial"/>
          <w:i/>
          <w:iCs/>
          <w:lang w:val="en-GB"/>
        </w:rPr>
        <w:t>Hn</w:t>
      </w:r>
      <w:r>
        <w:rPr>
          <w:rFonts w:ascii="Arial" w:hAnsi="Arial"/>
          <w:lang w:val="en-GB"/>
        </w:rPr>
        <w:t xml:space="preserve">. This conclusion is robust to the species used as sister groups to </w:t>
      </w:r>
      <w:r>
        <w:rPr>
          <w:rFonts w:ascii="Arial" w:hAnsi="Arial"/>
          <w:i/>
          <w:iCs/>
          <w:lang w:val="en-GB"/>
        </w:rPr>
        <w:t>Hn</w:t>
      </w:r>
      <w:r>
        <w:rPr>
          <w:rFonts w:ascii="Arial" w:hAnsi="Arial"/>
          <w:lang w:val="en-GB"/>
        </w:rPr>
        <w:t xml:space="preserve"> or </w:t>
      </w:r>
      <w:r>
        <w:rPr>
          <w:rFonts w:ascii="Arial" w:hAnsi="Arial"/>
          <w:i/>
          <w:iCs/>
          <w:lang w:val="en-GB"/>
        </w:rPr>
        <w:t>Hp</w:t>
      </w:r>
      <w:r>
        <w:rPr>
          <w:rFonts w:ascii="Arial" w:hAnsi="Arial"/>
          <w:lang w:val="en-GB"/>
        </w:rPr>
        <w:t xml:space="preserve"> (Figure S4D-G). Alternative topologies (3 and 4) are also found in relatively high proportions in the interval ~650-850kb, presumably owing to high levels of incomplete lineage sorting at the clade level in this region, or ancient gene flow among other species of the clade. Supporting these interpretations, topology analysis with taxa unaffected by </w:t>
      </w:r>
      <w:r>
        <w:rPr>
          <w:rFonts w:ascii="Arial" w:hAnsi="Arial"/>
          <w:i/>
          <w:lang w:val="en-GB"/>
        </w:rPr>
        <w:t>Hn1-Hp</w:t>
      </w:r>
      <w:r>
        <w:rPr>
          <w:rFonts w:ascii="Arial" w:hAnsi="Arial"/>
          <w:lang w:val="en-GB"/>
        </w:rPr>
        <w:t xml:space="preserve"> introgression (for instance using </w:t>
      </w:r>
      <w:r>
        <w:rPr>
          <w:rFonts w:ascii="Arial" w:hAnsi="Arial"/>
          <w:i/>
          <w:iCs/>
          <w:lang w:val="en-GB"/>
        </w:rPr>
        <w:t xml:space="preserve">Hn0 </w:t>
      </w:r>
      <w:r>
        <w:rPr>
          <w:rFonts w:ascii="Arial" w:hAnsi="Arial"/>
          <w:lang w:val="en-GB"/>
        </w:rPr>
        <w:t xml:space="preserve">and replacing </w:t>
      </w:r>
      <w:r>
        <w:rPr>
          <w:rFonts w:ascii="Arial" w:hAnsi="Arial"/>
          <w:i/>
          <w:iCs/>
          <w:lang w:val="en-GB"/>
        </w:rPr>
        <w:t>Hp</w:t>
      </w:r>
      <w:r>
        <w:rPr>
          <w:rFonts w:ascii="Arial" w:hAnsi="Arial"/>
          <w:lang w:val="en-GB"/>
        </w:rPr>
        <w:t xml:space="preserve"> with a closely related species, </w:t>
      </w:r>
      <w:r>
        <w:rPr>
          <w:rFonts w:ascii="Arial" w:hAnsi="Arial"/>
          <w:i/>
          <w:iCs/>
          <w:lang w:val="en-GB"/>
        </w:rPr>
        <w:t>H. hecale)</w:t>
      </w:r>
      <w:r>
        <w:rPr>
          <w:rFonts w:ascii="Arial" w:hAnsi="Arial"/>
          <w:lang w:val="en-GB"/>
        </w:rPr>
        <w:t xml:space="preserve"> still showed the same pattern of unresolved phylogenetic signal in this interval between the two major branches of the clade (</w:t>
      </w:r>
      <w:r>
        <w:rPr>
          <w:rFonts w:ascii="Arial" w:hAnsi="Arial"/>
          <w:i/>
          <w:iCs/>
          <w:lang w:val="en-GB"/>
        </w:rPr>
        <w:t xml:space="preserve">Hp-He-H. hecale </w:t>
      </w:r>
      <w:r>
        <w:rPr>
          <w:rFonts w:ascii="Arial" w:hAnsi="Arial"/>
          <w:lang w:val="en-GB"/>
        </w:rPr>
        <w:t xml:space="preserve">vs. </w:t>
      </w:r>
      <w:r>
        <w:rPr>
          <w:rFonts w:ascii="Arial" w:hAnsi="Arial"/>
          <w:i/>
          <w:iCs/>
          <w:lang w:val="en-GB"/>
        </w:rPr>
        <w:t>Hn-Hi</w:t>
      </w:r>
      <w:r>
        <w:rPr>
          <w:rFonts w:ascii="Arial" w:hAnsi="Arial"/>
          <w:lang w:val="en-GB"/>
        </w:rPr>
        <w:t xml:space="preserve">) (Figure S4H-I). This suggests that the mixed phylogenetic signal found in this interval is independent of the introgression.   Overall, our results show </w:t>
      </w:r>
      <w:r>
        <w:rPr>
          <w:rFonts w:eastAsia="Noto Sans CJK SC;Times New Roman" w:cs="FreeSans;Times New Roman" w:ascii="Arial" w:hAnsi="Arial"/>
          <w:color w:val="00000A"/>
          <w:sz w:val="24"/>
          <w:szCs w:val="24"/>
          <w:lang w:val="en-GB" w:eastAsia="zh-CN" w:bidi="hi-IN"/>
        </w:rPr>
        <w:t>that the inversion P</w:t>
      </w:r>
      <w:r>
        <w:rPr>
          <w:rFonts w:eastAsia="Noto Sans CJK SC;Times New Roman" w:cs="FreeSans;Times New Roman" w:ascii="Arial" w:hAnsi="Arial"/>
          <w:color w:val="00000A"/>
          <w:sz w:val="24"/>
          <w:szCs w:val="24"/>
          <w:vertAlign w:val="subscript"/>
          <w:lang w:val="en-GB" w:eastAsia="zh-CN" w:bidi="hi-IN"/>
        </w:rPr>
        <w:t>1</w:t>
      </w:r>
      <w:r>
        <w:rPr>
          <w:rFonts w:eastAsia="Noto Sans CJK SC;Times New Roman" w:cs="FreeSans;Times New Roman" w:ascii="Arial" w:hAnsi="Arial"/>
          <w:color w:val="00000A"/>
          <w:sz w:val="24"/>
          <w:szCs w:val="24"/>
          <w:lang w:val="en-GB" w:eastAsia="zh-CN" w:bidi="hi-IN"/>
        </w:rPr>
        <w:t xml:space="preserve"> most likely occurred in </w:t>
      </w:r>
      <w:r>
        <w:rPr>
          <w:rFonts w:eastAsia="Noto Sans CJK SC;Times New Roman" w:cs="FreeSans;Times New Roman" w:ascii="Arial" w:hAnsi="Arial"/>
          <w:i/>
          <w:iCs/>
          <w:color w:val="00000A"/>
          <w:sz w:val="24"/>
          <w:szCs w:val="24"/>
          <w:lang w:val="en-GB" w:eastAsia="zh-CN" w:bidi="hi-IN"/>
        </w:rPr>
        <w:t>Hp</w:t>
      </w:r>
      <w:r>
        <w:rPr>
          <w:rFonts w:eastAsia="Noto Sans CJK SC;Times New Roman" w:cs="FreeSans;Times New Roman" w:ascii="Arial" w:hAnsi="Arial"/>
          <w:color w:val="00000A"/>
          <w:sz w:val="24"/>
          <w:szCs w:val="24"/>
          <w:lang w:val="en-GB" w:eastAsia="zh-CN" w:bidi="hi-IN"/>
        </w:rPr>
        <w:t xml:space="preserve"> 2.41 Mya and was introgressed in </w:t>
      </w:r>
      <w:r>
        <w:rPr>
          <w:rFonts w:eastAsia="Noto Sans CJK SC;Times New Roman" w:cs="FreeSans;Times New Roman" w:ascii="Arial" w:hAnsi="Arial"/>
          <w:i/>
          <w:iCs/>
          <w:color w:val="00000A"/>
          <w:sz w:val="24"/>
          <w:szCs w:val="24"/>
          <w:lang w:val="en-GB" w:eastAsia="zh-CN" w:bidi="hi-IN"/>
        </w:rPr>
        <w:t>Hn</w:t>
      </w:r>
      <w:r>
        <w:rPr>
          <w:rFonts w:eastAsia="Noto Sans CJK SC;Times New Roman" w:cs="FreeSans;Times New Roman" w:ascii="Arial" w:hAnsi="Arial"/>
          <w:color w:val="00000A"/>
          <w:sz w:val="24"/>
          <w:szCs w:val="24"/>
          <w:lang w:val="en-GB" w:eastAsia="zh-CN" w:bidi="hi-IN"/>
        </w:rPr>
        <w:t xml:space="preserve"> between 2.24 and 2.30 Mya, where it remained polymorphic, forming the P supergene.</w:t>
      </w:r>
    </w:p>
    <w:p>
      <w:pPr>
        <w:pStyle w:val="Standard"/>
        <w:bidi w:val="0"/>
        <w:spacing w:lineRule="auto" w:line="480"/>
        <w:jc w:val="both"/>
        <w:rPr>
          <w:rFonts w:ascii="Arial" w:hAnsi="Arial" w:eastAsia="Noto Sans CJK SC;Times New Roman" w:cs="FreeSans;Times New Roman"/>
          <w:b/>
          <w:b/>
          <w:bCs/>
          <w:color w:val="00000A"/>
          <w:sz w:val="24"/>
          <w:szCs w:val="24"/>
          <w:lang w:val="en-GB" w:eastAsia="zh-CN" w:bidi="hi-IN"/>
        </w:rPr>
      </w:pPr>
      <w:r>
        <w:rPr>
          <w:rFonts w:eastAsia="Noto Sans CJK SC;Times New Roman" w:cs="FreeSans;Times New Roman" w:ascii="Arial" w:hAnsi="Arial"/>
          <w:b/>
          <w:bCs/>
          <w:color w:val="00000A"/>
          <w:sz w:val="24"/>
          <w:szCs w:val="24"/>
          <w:lang w:val="en-GB" w:eastAsia="zh-CN" w:bidi="hi-IN"/>
        </w:rPr>
        <w:t>Discussion</w:t>
      </w:r>
    </w:p>
    <w:p>
      <w:pPr>
        <w:pStyle w:val="Standard"/>
        <w:bidi w:val="0"/>
        <w:spacing w:lineRule="auto" w:line="480"/>
        <w:jc w:val="left"/>
        <w:rPr/>
      </w:pPr>
      <w:r>
        <w:rPr>
          <w:rFonts w:ascii="Arial" w:hAnsi="Arial"/>
          <w:lang w:val="en-GB"/>
        </w:rPr>
        <w:t xml:space="preserve">Sustained differentiation between </w:t>
      </w:r>
      <w:r>
        <w:rPr>
          <w:rFonts w:ascii="Arial" w:hAnsi="Arial"/>
          <w:i/>
          <w:lang w:val="en-GB"/>
        </w:rPr>
        <w:t xml:space="preserve">P </w:t>
      </w:r>
      <w:r>
        <w:rPr>
          <w:rFonts w:ascii="Arial" w:hAnsi="Arial"/>
          <w:lang w:val="en-GB"/>
        </w:rPr>
        <w:t xml:space="preserve">alleles over the entire length of the inversion in </w:t>
      </w:r>
      <w:r>
        <w:rPr>
          <w:rFonts w:ascii="Arial" w:hAnsi="Arial"/>
          <w:i/>
          <w:iCs/>
          <w:lang w:val="en-GB"/>
        </w:rPr>
        <w:t>H. numata</w:t>
      </w:r>
      <w:r>
        <w:rPr>
          <w:rFonts w:ascii="Arial" w:hAnsi="Arial"/>
          <w:lang w:val="en-GB"/>
        </w:rPr>
        <w:t xml:space="preserve"> is therefore explained by the 1.3 My of independent evolution of an inverted haplotype within </w:t>
      </w:r>
      <w:r>
        <w:rPr>
          <w:rFonts w:ascii="Arial" w:hAnsi="Arial"/>
          <w:i/>
          <w:iCs/>
          <w:lang w:val="en-GB"/>
        </w:rPr>
        <w:t xml:space="preserve">H. pardalinus. </w:t>
      </w:r>
      <w:r>
        <w:rPr>
          <w:rFonts w:ascii="Arial" w:hAnsi="Arial"/>
          <w:i w:val="false"/>
          <w:iCs w:val="false"/>
          <w:lang w:val="en-GB"/>
        </w:rPr>
        <w:t>This differentiation</w:t>
      </w:r>
      <w:r>
        <w:rPr>
          <w:rFonts w:ascii="Arial" w:hAnsi="Arial"/>
          <w:iCs/>
          <w:lang w:val="en-GB"/>
        </w:rPr>
        <w:t xml:space="preserve"> was</w:t>
      </w:r>
      <w:r>
        <w:rPr>
          <w:rFonts w:ascii="Arial" w:hAnsi="Arial"/>
          <w:i/>
          <w:iCs/>
          <w:lang w:val="en-GB"/>
        </w:rPr>
        <w:t xml:space="preserve"> </w:t>
      </w:r>
      <w:r>
        <w:rPr>
          <w:rFonts w:ascii="Arial" w:hAnsi="Arial"/>
          <w:iCs/>
          <w:lang w:val="en-GB"/>
        </w:rPr>
        <w:t xml:space="preserve">maintained and accentuated after introgression by the suppression of recombination. </w:t>
      </w:r>
      <w:r>
        <w:rPr>
          <w:rFonts w:ascii="Arial" w:hAnsi="Arial"/>
          <w:lang w:val="en-GB"/>
        </w:rPr>
        <w:t>Our results show that, as previously hypothesised [5,13,14], complex balanced polymorphism such as those controlled by supergene may evolve via the differentiation of rearranged haplotypes in separate lineages, followed by adaptive introgression in a host population where differentiated haplotypes are preserved through suppression of recombination, and maintained by balancing selection. This provides the first empirical evidence for a mechanism to explain the formation of supergene, and offers a parsimonious solution to the paradox of the evolution of divergent haplotypes in face of recombination</w:t>
      </w:r>
      <w:bookmarkStart w:id="10" w:name="__UnoMark__1763_1638639884"/>
      <w:bookmarkEnd w:id="10"/>
      <w:r>
        <w:rPr>
          <w:rFonts w:ascii="Arial" w:hAnsi="Arial"/>
          <w:lang w:val="en-GB"/>
        </w:rPr>
        <w:t>. This mecanism may be widespread and may explain how other supergenes have evolved, from the social organisation supergene in ant [7] to the coloration and behaviour supergene of the white-throated sparrow [5].</w:t>
      </w:r>
    </w:p>
    <w:p>
      <w:pPr>
        <w:pStyle w:val="Standard"/>
        <w:bidi w:val="0"/>
        <w:spacing w:lineRule="auto" w:line="480"/>
        <w:jc w:val="left"/>
        <w:rPr/>
      </w:pPr>
      <w:r>
        <w:rPr>
          <w:rFonts w:ascii="Arial" w:hAnsi="Arial"/>
          <w:iCs/>
          <w:lang w:val="en-GB"/>
        </w:rPr>
        <w:t xml:space="preserve">Supergene formation through adaptive introgression requires an initial selective advantage to the inversion in the recipient population, and balancing selection maintaining the polymorphism. In </w:t>
      </w:r>
      <w:r>
        <w:rPr>
          <w:rFonts w:ascii="Arial" w:hAnsi="Arial"/>
          <w:i/>
          <w:iCs/>
          <w:lang w:val="en-GB"/>
        </w:rPr>
        <w:t>H. numata</w:t>
      </w:r>
      <w:r>
        <w:rPr>
          <w:rFonts w:ascii="Arial" w:hAnsi="Arial"/>
          <w:iCs/>
          <w:lang w:val="en-GB"/>
        </w:rPr>
        <w:t>, the introgressed arrangement is associated with a successful melanic phenotype (</w:t>
      </w:r>
      <w:r>
        <w:rPr>
          <w:rFonts w:ascii="Arial" w:hAnsi="Arial"/>
          <w:i/>
          <w:iCs/>
          <w:lang w:val="en-GB"/>
        </w:rPr>
        <w:t>bicoloratus</w:t>
      </w:r>
      <w:r>
        <w:rPr>
          <w:rFonts w:ascii="Arial" w:hAnsi="Arial"/>
          <w:iCs/>
          <w:lang w:val="en-GB"/>
        </w:rPr>
        <w:t>) mimicking abundant local species in the foothills of the Andes and enjoying a 7-fold increased protection relative to ancestral arrangements [29]</w:t>
      </w:r>
      <w:r>
        <w:rPr>
          <w:rFonts w:ascii="Arial" w:hAnsi="Arial"/>
          <w:lang w:val="en-GB"/>
        </w:rPr>
        <w:t>.</w:t>
      </w:r>
      <w:r>
        <w:rPr>
          <w:rFonts w:ascii="Arial" w:hAnsi="Arial"/>
          <w:iCs/>
          <w:lang w:val="en-GB"/>
        </w:rPr>
        <w:t xml:space="preserve"> This introgression likely constitutes an ecological and altitudinal expansion to premontane Andean foothills where the melanic wing mimicry ring dominates, and an empirical example for the theoretical role of inversions as “adaptive cassettes” triggering eco-geographical expansions in an introgressed lineage [30]. </w:t>
      </w:r>
      <w:r>
        <w:rPr>
          <w:rFonts w:ascii="Arial" w:hAnsi="Arial"/>
          <w:lang w:val="en-GB"/>
        </w:rPr>
        <w:t>Despite their role in reproductive isolation [31], inversions may be prone to adaptive introgression through combined selection on linked mutations [32]. This is supported by the rapid introgression of inversion P</w:t>
      </w:r>
      <w:r>
        <w:rPr>
          <w:rFonts w:ascii="Arial" w:hAnsi="Arial"/>
          <w:vertAlign w:val="subscript"/>
          <w:lang w:val="en-GB"/>
        </w:rPr>
        <w:t>1</w:t>
      </w:r>
      <w:r>
        <w:rPr>
          <w:rFonts w:ascii="Arial" w:hAnsi="Arial"/>
          <w:lang w:val="en-GB"/>
        </w:rPr>
        <w:t xml:space="preserve"> after it was formed.</w:t>
      </w:r>
    </w:p>
    <w:p>
      <w:pPr>
        <w:pStyle w:val="Standard"/>
        <w:bidi w:val="0"/>
        <w:spacing w:lineRule="auto" w:line="480"/>
        <w:jc w:val="left"/>
        <w:rPr/>
      </w:pPr>
      <w:r>
        <w:rPr>
          <w:rFonts w:ascii="Arial" w:hAnsi="Arial"/>
          <w:iCs/>
          <w:lang w:val="en-GB"/>
        </w:rPr>
        <w:t>Inversion P</w:t>
      </w:r>
      <w:r>
        <w:rPr>
          <w:rFonts w:ascii="Arial" w:hAnsi="Arial"/>
          <w:iCs/>
          <w:vertAlign w:val="subscript"/>
          <w:lang w:val="en-GB"/>
        </w:rPr>
        <w:t>1</w:t>
      </w:r>
      <w:r>
        <w:rPr>
          <w:rFonts w:ascii="Arial" w:hAnsi="Arial"/>
          <w:iCs/>
          <w:position w:val="0"/>
          <w:sz w:val="24"/>
          <w:sz w:val="24"/>
          <w:vertAlign w:val="baseline"/>
          <w:lang w:val="en-GB"/>
        </w:rPr>
        <w:t xml:space="preserve"> </w:t>
      </w:r>
      <w:r>
        <w:rPr>
          <w:rFonts w:ascii="Arial" w:hAnsi="Arial"/>
          <w:iCs/>
          <w:lang w:val="en-GB"/>
        </w:rPr>
        <w:t>linked</w:t>
      </w:r>
      <w:r>
        <w:rPr>
          <w:rFonts w:ascii="Arial" w:hAnsi="Arial"/>
          <w:iCs/>
          <w:position w:val="0"/>
          <w:sz w:val="24"/>
          <w:sz w:val="24"/>
          <w:vertAlign w:val="baseline"/>
          <w:lang w:val="en-GB"/>
        </w:rPr>
        <w:t xml:space="preserve"> </w:t>
      </w:r>
      <w:r>
        <w:rPr>
          <w:rFonts w:ascii="Arial" w:hAnsi="Arial"/>
          <w:iCs/>
          <w:lang w:val="en-GB"/>
        </w:rPr>
        <w:t>with the adjacent rearrangement P</w:t>
      </w:r>
      <w:r>
        <w:rPr>
          <w:rFonts w:ascii="Arial" w:hAnsi="Arial"/>
          <w:iCs/>
          <w:vertAlign w:val="subscript"/>
          <w:lang w:val="en-GB"/>
        </w:rPr>
        <w:t>2,</w:t>
      </w:r>
      <w:r>
        <w:rPr>
          <w:rFonts w:ascii="Arial" w:hAnsi="Arial"/>
          <w:iCs/>
          <w:lang w:val="en-GB"/>
        </w:rPr>
        <w:t xml:space="preserve"> is also associated with other well-protected mimetic forms [9,29]</w:t>
      </w:r>
      <w:r>
        <w:rPr>
          <w:rFonts w:ascii="Arial" w:hAnsi="Arial"/>
          <w:lang w:val="en-GB"/>
        </w:rPr>
        <w:t xml:space="preserve">, and most </w:t>
      </w:r>
      <w:r>
        <w:rPr>
          <w:rFonts w:ascii="Arial" w:hAnsi="Arial"/>
          <w:i/>
          <w:iCs/>
          <w:lang w:val="en-GB"/>
        </w:rPr>
        <w:t xml:space="preserve">H. numata </w:t>
      </w:r>
      <w:r>
        <w:rPr>
          <w:rFonts w:ascii="Arial" w:hAnsi="Arial"/>
          <w:lang w:val="en-GB"/>
        </w:rPr>
        <w:t xml:space="preserve">phenotypes associated with the inversion are unmatched in </w:t>
      </w:r>
      <w:r>
        <w:rPr>
          <w:rFonts w:ascii="Arial" w:hAnsi="Arial"/>
          <w:i/>
          <w:lang w:val="en-GB"/>
        </w:rPr>
        <w:t>H. pardalinus</w:t>
      </w:r>
      <w:r>
        <w:rPr>
          <w:rFonts w:ascii="Arial" w:hAnsi="Arial"/>
          <w:lang w:val="en-GB"/>
        </w:rPr>
        <w:t xml:space="preserve">, indicating that introgression was followed by further adaptive diversification to local mimicry niches. Balancing selection, mediated by </w:t>
      </w:r>
      <w:r>
        <w:rPr>
          <w:rFonts w:ascii="Arial" w:hAnsi="Arial"/>
          <w:iCs/>
          <w:lang w:val="en-GB"/>
        </w:rPr>
        <w:t>negative assortative mating among inversion genotypes, prevents the fixation of the inversion, as reflected by a deficit of homozygotes for the introgressed haplotype in the wild [33]</w:t>
      </w:r>
      <w:r>
        <w:rPr>
          <w:rFonts w:ascii="Arial" w:hAnsi="Arial"/>
          <w:lang w:val="en-GB"/>
        </w:rPr>
        <w:t>. Supergene evolution is therefore consistent with the introgressed inversion having a strong advantage under mimicry selection but being maintained in a polymorphism with ancestral haplotypes by negative frequency-dependence.</w:t>
      </w:r>
    </w:p>
    <w:p>
      <w:pPr>
        <w:pStyle w:val="Standard"/>
        <w:bidi w:val="0"/>
        <w:spacing w:lineRule="auto" w:line="480"/>
        <w:jc w:val="left"/>
        <w:rPr/>
      </w:pPr>
      <w:r>
        <w:rPr>
          <w:rFonts w:ascii="Arial" w:hAnsi="Arial"/>
          <w:lang w:val="en-GB"/>
        </w:rPr>
        <w:t xml:space="preserve">Beyond suggesting a mecanism for supergene evolution, these findings demonstrate how introgression, when involving structural variants, can trigger the emergence of novel genetic architectures. This scenario may underlie the evolution of many complex polymorphisms under balancing selection in a wide variety of organisms, such as MHC loci in vertebrates [34], self-incompatibility loci in plants [35], mating types in fungi [36] or, much more generally, sex chromosomes. </w:t>
      </w:r>
      <w:r>
        <w:rPr>
          <w:rStyle w:val="Marquedecommentaire3"/>
          <w:rFonts w:cs="Mangal" w:ascii="Arial" w:hAnsi="Arial"/>
          <w:sz w:val="24"/>
          <w:szCs w:val="24"/>
          <w:lang w:val="en-US"/>
        </w:rPr>
        <w:t xml:space="preserve">Our results therefore </w:t>
      </w:r>
      <w:r>
        <w:rPr>
          <w:rFonts w:ascii="Arial" w:hAnsi="Arial"/>
          <w:lang w:val="en-GB"/>
        </w:rPr>
        <w:t xml:space="preserve">shed new light on </w:t>
      </w:r>
      <w:r>
        <w:rPr>
          <w:rStyle w:val="Marquedecommentaire3"/>
          <w:rFonts w:cs="Mangal" w:ascii="Arial" w:hAnsi="Arial"/>
          <w:sz w:val="24"/>
          <w:szCs w:val="24"/>
          <w:lang w:val="en-US"/>
        </w:rPr>
        <w:t xml:space="preserve">the importance of introgression as a mechanism shaping the architecture of genomes and assisting the evolution of complex adaptive strategies. </w:t>
      </w:r>
      <w:r>
        <w:br w:type="page"/>
      </w:r>
    </w:p>
    <w:p>
      <w:pPr>
        <w:pStyle w:val="Standard"/>
        <w:spacing w:lineRule="auto" w:line="480"/>
        <w:jc w:val="both"/>
        <w:rPr>
          <w:rFonts w:ascii="Arial" w:hAnsi="Arial"/>
          <w:b/>
          <w:b/>
          <w:bCs/>
          <w:lang w:val="en-GB"/>
        </w:rPr>
      </w:pPr>
      <w:r>
        <w:rPr>
          <w:rFonts w:ascii="Arial" w:hAnsi="Arial"/>
          <w:b/>
          <w:bCs/>
          <w:lang w:val="en-GB"/>
        </w:rPr>
        <w:t>Acknowledgements</w:t>
      </w:r>
    </w:p>
    <w:p>
      <w:pPr>
        <w:pStyle w:val="Standard"/>
        <w:spacing w:lineRule="auto" w:line="480"/>
        <w:jc w:val="both"/>
        <w:rPr>
          <w:rFonts w:ascii="Arial" w:hAnsi="Arial"/>
        </w:rPr>
      </w:pPr>
      <w:r>
        <w:rPr>
          <w:rFonts w:ascii="Arial" w:hAnsi="Arial"/>
          <w:bCs/>
          <w:lang w:val="en-GB"/>
        </w:rPr>
        <w:t xml:space="preserve">The authors thank Mathieu Chouteau, Violaine Llaurens, Marianne Elias, Stéphanie Gallusser, César Ramírez, Benigno Calderón, Moisés Abanto, Lisa de Silva, Armando Silva, for help during fieldwork, Gerardo Lamas for help with research permits in Peru, Florence Piron-Prunier, Agnès Bulski, Guillaume Achaz, and Mark Blaxter, for help with lab and analytical work. Analyses were conducted with the support of bioinformatic platforms Genotoul (Toulouse) and MBB (Montpellier). This research was conducted under SERFOR research permits from the Peruvian Ministry of Agriculture, and was supported by ANR Grant HYBEVOL (ANR-12-JSV7-0005) and European Research Council Grant MimEvol (StG-243179) to MJ. </w:t>
      </w:r>
      <w:r>
        <w:rPr>
          <w:rFonts w:ascii="Arial" w:hAnsi="Arial"/>
          <w:b/>
          <w:bCs/>
          <w:lang w:val="en-GB"/>
        </w:rPr>
        <w:t>Author contributions</w:t>
      </w:r>
    </w:p>
    <w:p>
      <w:pPr>
        <w:pStyle w:val="Standard"/>
        <w:bidi w:val="0"/>
        <w:spacing w:lineRule="auto" w:line="480"/>
        <w:jc w:val="both"/>
        <w:rPr>
          <w:rFonts w:ascii="Arial" w:hAnsi="Arial"/>
          <w:bCs/>
          <w:lang w:val="en-GB"/>
        </w:rPr>
      </w:pPr>
      <w:r>
        <w:rPr>
          <w:rFonts w:ascii="Arial" w:hAnsi="Arial"/>
          <w:bCs/>
          <w:lang w:val="en-GB"/>
        </w:rPr>
        <w:t>P.J., A.W. and M.J., designed the study and wrote the paper. A.W., J.M., K.K.D. and M.J. generated the genomic data. P.J., A.W. and M.A.R.C. performed the genomic analyses. A.W., L.F.,  R.W.N. and M.J. performed marker analyses. All authors contributed to editing the manuscript.</w:t>
      </w:r>
    </w:p>
    <w:p>
      <w:pPr>
        <w:pStyle w:val="Standard"/>
        <w:spacing w:lineRule="auto" w:line="480"/>
        <w:jc w:val="both"/>
        <w:rPr>
          <w:rFonts w:ascii="Arial" w:hAnsi="Arial"/>
          <w:b/>
          <w:b/>
          <w:bCs/>
          <w:lang w:val="en-GB"/>
        </w:rPr>
      </w:pPr>
      <w:r>
        <w:rPr>
          <w:rFonts w:ascii="Arial" w:hAnsi="Arial"/>
          <w:b/>
          <w:bCs/>
          <w:lang w:val="en-GB"/>
        </w:rPr>
        <w:t>Declaration of interests</w:t>
      </w:r>
    </w:p>
    <w:p>
      <w:pPr>
        <w:pStyle w:val="Standard"/>
        <w:spacing w:lineRule="auto" w:line="480"/>
        <w:jc w:val="both"/>
        <w:rPr>
          <w:rFonts w:ascii="Arial" w:hAnsi="Arial"/>
          <w:bCs/>
          <w:lang w:val="en-GB"/>
        </w:rPr>
      </w:pPr>
      <w:r>
        <w:rPr>
          <w:rFonts w:ascii="Arial" w:hAnsi="Arial"/>
          <w:bCs/>
          <w:lang w:val="en-GB"/>
        </w:rPr>
        <w:t xml:space="preserve">The authors declare no competing interests. </w:t>
      </w:r>
    </w:p>
    <w:p>
      <w:pPr>
        <w:pStyle w:val="Standard"/>
        <w:spacing w:lineRule="auto" w:line="480"/>
        <w:jc w:val="both"/>
        <w:rPr>
          <w:rFonts w:ascii="Arial" w:hAnsi="Arial"/>
          <w:b/>
          <w:b/>
          <w:bCs/>
        </w:rPr>
      </w:pPr>
      <w:r>
        <w:rPr>
          <w:rFonts w:ascii="Arial" w:hAnsi="Arial"/>
          <w:b/>
          <w:bCs/>
        </w:rPr>
      </w:r>
      <w:r>
        <w:br w:type="page"/>
      </w:r>
    </w:p>
    <w:p>
      <w:pPr>
        <w:pStyle w:val="Standard"/>
        <w:spacing w:lineRule="auto" w:line="480"/>
        <w:jc w:val="both"/>
        <w:rPr>
          <w:rFonts w:ascii="Arial" w:hAnsi="Arial"/>
          <w:b/>
          <w:b/>
          <w:bCs/>
        </w:rPr>
      </w:pPr>
      <w:r>
        <w:rPr>
          <w:rFonts w:ascii="Arial" w:hAnsi="Arial"/>
          <w:b/>
          <w:bCs/>
        </w:rPr>
        <w:t>References</w:t>
      </w:r>
    </w:p>
    <w:p>
      <w:pPr>
        <w:pStyle w:val="Bibliographie1"/>
        <w:rPr>
          <w:rFonts w:ascii="Arial" w:hAnsi="Arial"/>
          <w:sz w:val="24"/>
          <w:szCs w:val="24"/>
        </w:rPr>
      </w:pPr>
      <w:r>
        <w:rPr>
          <w:rFonts w:ascii="Arial" w:hAnsi="Arial"/>
          <w:sz w:val="24"/>
          <w:szCs w:val="24"/>
        </w:rPr>
        <w:t>1.</w:t>
        <w:tab/>
        <w:t xml:space="preserve">Li, J., Cocker, J.M., Wright, J., Webster, M.A., McMullan, M., Dyer, S., Swarbreck, D., Caccamo, M., Oosterhout, C. van, and Gilmartin, P.M. (2016). Genetic architecture and evolution of the S locus supergene in Primula vulgaris. Nat. Plants </w:t>
      </w:r>
      <w:r>
        <w:rPr>
          <w:rFonts w:ascii="Arial" w:hAnsi="Arial"/>
          <w:i/>
          <w:sz w:val="24"/>
          <w:szCs w:val="24"/>
        </w:rPr>
        <w:t>2</w:t>
      </w:r>
      <w:r>
        <w:rPr>
          <w:rFonts w:ascii="Arial" w:hAnsi="Arial"/>
          <w:sz w:val="24"/>
          <w:szCs w:val="24"/>
        </w:rPr>
        <w:t>, 16188.</w:t>
      </w:r>
    </w:p>
    <w:p>
      <w:pPr>
        <w:pStyle w:val="Bibliographie1"/>
        <w:rPr>
          <w:rFonts w:ascii="Arial" w:hAnsi="Arial"/>
          <w:sz w:val="24"/>
          <w:szCs w:val="24"/>
        </w:rPr>
      </w:pPr>
      <w:r>
        <w:rPr>
          <w:rFonts w:ascii="Arial" w:hAnsi="Arial"/>
          <w:sz w:val="24"/>
          <w:szCs w:val="24"/>
        </w:rPr>
        <w:t>2.</w:t>
        <w:tab/>
        <w:t xml:space="preserve">Timmermans, M.J.T.N., Baxter, S.W., Clark, R., Heckel, D.G., Vogel, H., Collins, S., Papanicolaou, A., Fukova, I., Joron, M., Thompson, M.J., </w:t>
      </w:r>
      <w:r>
        <w:rPr>
          <w:rFonts w:ascii="Arial" w:hAnsi="Arial"/>
          <w:i/>
          <w:sz w:val="24"/>
          <w:szCs w:val="24"/>
        </w:rPr>
        <w:t>et al.</w:t>
      </w:r>
      <w:r>
        <w:rPr>
          <w:rFonts w:ascii="Arial" w:hAnsi="Arial"/>
          <w:sz w:val="24"/>
          <w:szCs w:val="24"/>
        </w:rPr>
        <w:t xml:space="preserve"> (2014). Comparative genomics of the mimicry switch in Papilio dardanus. Proc R Soc B </w:t>
      </w:r>
      <w:r>
        <w:rPr>
          <w:rFonts w:ascii="Arial" w:hAnsi="Arial"/>
          <w:i/>
          <w:sz w:val="24"/>
          <w:szCs w:val="24"/>
        </w:rPr>
        <w:t>281</w:t>
      </w:r>
      <w:r>
        <w:rPr>
          <w:rFonts w:ascii="Arial" w:hAnsi="Arial"/>
          <w:sz w:val="24"/>
          <w:szCs w:val="24"/>
        </w:rPr>
        <w:t>, 20140465.</w:t>
      </w:r>
    </w:p>
    <w:p>
      <w:pPr>
        <w:pStyle w:val="Bibliographie1"/>
        <w:rPr>
          <w:rFonts w:ascii="Arial" w:hAnsi="Arial"/>
          <w:sz w:val="24"/>
          <w:szCs w:val="24"/>
        </w:rPr>
      </w:pPr>
      <w:r>
        <w:rPr>
          <w:rFonts w:ascii="Arial" w:hAnsi="Arial"/>
          <w:sz w:val="24"/>
          <w:szCs w:val="24"/>
        </w:rPr>
        <w:t>3.</w:t>
        <w:tab/>
        <w:t xml:space="preserve">Kunte, K., Zhang, W., Tenger-Trolander, A., Palmer, D.H., Martin, A., Reed, R.D., Mullen, S.P., and Kronforst, M.R. (2014). doublesex is a mimicry supergene. Nature </w:t>
      </w:r>
      <w:r>
        <w:rPr>
          <w:rFonts w:ascii="Arial" w:hAnsi="Arial"/>
          <w:i/>
          <w:sz w:val="24"/>
          <w:szCs w:val="24"/>
        </w:rPr>
        <w:t>507</w:t>
      </w:r>
      <w:r>
        <w:rPr>
          <w:rFonts w:ascii="Arial" w:hAnsi="Arial"/>
          <w:sz w:val="24"/>
          <w:szCs w:val="24"/>
        </w:rPr>
        <w:t>, 229–232.</w:t>
      </w:r>
    </w:p>
    <w:p>
      <w:pPr>
        <w:pStyle w:val="Bibliographie1"/>
        <w:rPr>
          <w:rFonts w:ascii="Arial" w:hAnsi="Arial"/>
          <w:sz w:val="24"/>
          <w:szCs w:val="24"/>
        </w:rPr>
      </w:pPr>
      <w:r>
        <w:rPr>
          <w:rFonts w:ascii="Arial" w:hAnsi="Arial"/>
          <w:sz w:val="24"/>
          <w:szCs w:val="24"/>
        </w:rPr>
        <w:t>4.</w:t>
        <w:tab/>
        <w:t xml:space="preserve">Joron, M., Papa, R., Beltrán, M., Chamberlain, N., Mavárez, J., Baxter, S., Abanto, M., Bermingham, E., Humphray, S.J., Rogers, J., </w:t>
      </w:r>
      <w:r>
        <w:rPr>
          <w:rFonts w:ascii="Arial" w:hAnsi="Arial"/>
          <w:i/>
          <w:sz w:val="24"/>
          <w:szCs w:val="24"/>
        </w:rPr>
        <w:t>et al.</w:t>
      </w:r>
      <w:r>
        <w:rPr>
          <w:rFonts w:ascii="Arial" w:hAnsi="Arial"/>
          <w:sz w:val="24"/>
          <w:szCs w:val="24"/>
        </w:rPr>
        <w:t xml:space="preserve"> (2006). A Conserved Supergene Locus Controls Colour Pattern Diversity in Heliconius Butterflies. PLOS Biol. </w:t>
      </w:r>
      <w:r>
        <w:rPr>
          <w:rFonts w:ascii="Arial" w:hAnsi="Arial"/>
          <w:i/>
          <w:sz w:val="24"/>
          <w:szCs w:val="24"/>
        </w:rPr>
        <w:t>4</w:t>
      </w:r>
      <w:r>
        <w:rPr>
          <w:rFonts w:ascii="Arial" w:hAnsi="Arial"/>
          <w:sz w:val="24"/>
          <w:szCs w:val="24"/>
        </w:rPr>
        <w:t>, e303.</w:t>
      </w:r>
    </w:p>
    <w:p>
      <w:pPr>
        <w:pStyle w:val="Bibliographie1"/>
        <w:rPr>
          <w:rFonts w:ascii="Arial" w:hAnsi="Arial"/>
          <w:sz w:val="24"/>
          <w:szCs w:val="24"/>
        </w:rPr>
      </w:pPr>
      <w:r>
        <w:rPr>
          <w:rFonts w:ascii="Arial" w:hAnsi="Arial"/>
          <w:sz w:val="24"/>
          <w:szCs w:val="24"/>
        </w:rPr>
        <w:t>5.</w:t>
        <w:tab/>
        <w:t xml:space="preserve">Tuttle, E.M., Bergland, A.O., Korody, M.L., Brewer, M.S., Newhouse, D.J., Minx, P., Stager, M., Betuel, A., Cheviron, Z.A., Warren, W.C., </w:t>
      </w:r>
      <w:r>
        <w:rPr>
          <w:rFonts w:ascii="Arial" w:hAnsi="Arial"/>
          <w:i/>
          <w:sz w:val="24"/>
          <w:szCs w:val="24"/>
        </w:rPr>
        <w:t>et al.</w:t>
      </w:r>
      <w:r>
        <w:rPr>
          <w:rFonts w:ascii="Arial" w:hAnsi="Arial"/>
          <w:sz w:val="24"/>
          <w:szCs w:val="24"/>
        </w:rPr>
        <w:t xml:space="preserve"> (2016). Divergence and Functional Degradation of a Sex Chromosome-like Supergene. Curr. Biol.</w:t>
      </w:r>
    </w:p>
    <w:p>
      <w:pPr>
        <w:pStyle w:val="Bibliographie1"/>
        <w:rPr>
          <w:rFonts w:ascii="Arial" w:hAnsi="Arial"/>
          <w:sz w:val="24"/>
          <w:szCs w:val="24"/>
        </w:rPr>
      </w:pPr>
      <w:r>
        <w:rPr>
          <w:rFonts w:ascii="Arial" w:hAnsi="Arial"/>
          <w:sz w:val="24"/>
          <w:szCs w:val="24"/>
        </w:rPr>
        <w:t>6.</w:t>
        <w:tab/>
        <w:t xml:space="preserve">Küpper, C., Stocks, M., Risse, J.E., dos Remedios, N., Farrell, L.L., McRae, S.B., Morgan, T.C., Karlionova, N., Pinchuk, P., Verkuil, Y.I., </w:t>
      </w:r>
      <w:r>
        <w:rPr>
          <w:rFonts w:ascii="Arial" w:hAnsi="Arial"/>
          <w:i/>
          <w:sz w:val="24"/>
          <w:szCs w:val="24"/>
        </w:rPr>
        <w:t>et al.</w:t>
      </w:r>
      <w:r>
        <w:rPr>
          <w:rFonts w:ascii="Arial" w:hAnsi="Arial"/>
          <w:sz w:val="24"/>
          <w:szCs w:val="24"/>
        </w:rPr>
        <w:t xml:space="preserve"> (2016). A supergene determines highly divergent male reproductive morphs in the ruff. Nat. Genet. </w:t>
      </w:r>
      <w:r>
        <w:rPr>
          <w:rFonts w:ascii="Arial" w:hAnsi="Arial"/>
          <w:i/>
          <w:sz w:val="24"/>
          <w:szCs w:val="24"/>
        </w:rPr>
        <w:t>48</w:t>
      </w:r>
      <w:r>
        <w:rPr>
          <w:rFonts w:ascii="Arial" w:hAnsi="Arial"/>
          <w:sz w:val="24"/>
          <w:szCs w:val="24"/>
        </w:rPr>
        <w:t>, 79–83.</w:t>
      </w:r>
    </w:p>
    <w:p>
      <w:pPr>
        <w:pStyle w:val="Bibliographie1"/>
        <w:rPr>
          <w:rFonts w:ascii="Arial" w:hAnsi="Arial"/>
          <w:sz w:val="24"/>
          <w:szCs w:val="24"/>
        </w:rPr>
      </w:pPr>
      <w:r>
        <w:rPr>
          <w:rFonts w:ascii="Arial" w:hAnsi="Arial"/>
          <w:sz w:val="24"/>
          <w:szCs w:val="24"/>
        </w:rPr>
        <w:t>7.</w:t>
        <w:tab/>
        <w:t xml:space="preserve">Wang, J., Wurm, Y., Nipitwattanaphon, M., Riba-Grognuz, O., Huang, Y.-C., Shoemaker, D., and Keller, L. (2013). A Y-like social chromosome causes alternative colony organization in fire ants. Nature </w:t>
      </w:r>
      <w:r>
        <w:rPr>
          <w:rFonts w:ascii="Arial" w:hAnsi="Arial"/>
          <w:i/>
          <w:sz w:val="24"/>
          <w:szCs w:val="24"/>
        </w:rPr>
        <w:t>493</w:t>
      </w:r>
      <w:r>
        <w:rPr>
          <w:rFonts w:ascii="Arial" w:hAnsi="Arial"/>
          <w:sz w:val="24"/>
          <w:szCs w:val="24"/>
        </w:rPr>
        <w:t>, 664–668.</w:t>
      </w:r>
    </w:p>
    <w:p>
      <w:pPr>
        <w:pStyle w:val="Bibliographie1"/>
        <w:rPr>
          <w:rFonts w:ascii="Arial" w:hAnsi="Arial"/>
          <w:sz w:val="24"/>
          <w:szCs w:val="24"/>
        </w:rPr>
      </w:pPr>
      <w:r>
        <w:rPr>
          <w:rFonts w:ascii="Arial" w:hAnsi="Arial"/>
          <w:sz w:val="24"/>
          <w:szCs w:val="24"/>
        </w:rPr>
        <w:t>8.</w:t>
        <w:tab/>
        <w:t xml:space="preserve">Lamichhaney, S., Fan, G., Widemo, F., Gunnarsson, U., Thalmann, D.S., Hoeppner, M.P., Kerje, S., Gustafson, U., Shi, C., Zhang, H., </w:t>
      </w:r>
      <w:r>
        <w:rPr>
          <w:rFonts w:ascii="Arial" w:hAnsi="Arial"/>
          <w:i/>
          <w:sz w:val="24"/>
          <w:szCs w:val="24"/>
        </w:rPr>
        <w:t>et al.</w:t>
      </w:r>
      <w:r>
        <w:rPr>
          <w:rFonts w:ascii="Arial" w:hAnsi="Arial"/>
          <w:sz w:val="24"/>
          <w:szCs w:val="24"/>
        </w:rPr>
        <w:t xml:space="preserve"> (2016). Structural genomic changes underlie alternative reproductive strategies in the ruff (Philomachus pugnax). Nat. Genet. </w:t>
      </w:r>
      <w:r>
        <w:rPr>
          <w:rFonts w:ascii="Arial" w:hAnsi="Arial"/>
          <w:i/>
          <w:sz w:val="24"/>
          <w:szCs w:val="24"/>
        </w:rPr>
        <w:t>48</w:t>
      </w:r>
      <w:r>
        <w:rPr>
          <w:rFonts w:ascii="Arial" w:hAnsi="Arial"/>
          <w:sz w:val="24"/>
          <w:szCs w:val="24"/>
        </w:rPr>
        <w:t>, 84–88.</w:t>
      </w:r>
    </w:p>
    <w:p>
      <w:pPr>
        <w:pStyle w:val="Bibliographie1"/>
        <w:rPr>
          <w:rFonts w:ascii="Arial" w:hAnsi="Arial"/>
          <w:sz w:val="24"/>
          <w:szCs w:val="24"/>
        </w:rPr>
      </w:pPr>
      <w:r>
        <w:rPr>
          <w:rFonts w:ascii="Arial" w:hAnsi="Arial"/>
          <w:sz w:val="24"/>
          <w:szCs w:val="24"/>
        </w:rPr>
        <w:t>9.</w:t>
        <w:tab/>
        <w:t xml:space="preserve">Joron, M., Frezal, L., Jones, R.T., Chamberlain, N.L., Lee, S.F., Haag, C.R., Whibley, A., Becuwe, M., Baxter, S.W., Ferguson, L., </w:t>
      </w:r>
      <w:r>
        <w:rPr>
          <w:rFonts w:ascii="Arial" w:hAnsi="Arial"/>
          <w:i/>
          <w:sz w:val="24"/>
          <w:szCs w:val="24"/>
        </w:rPr>
        <w:t>et al.</w:t>
      </w:r>
      <w:r>
        <w:rPr>
          <w:rFonts w:ascii="Arial" w:hAnsi="Arial"/>
          <w:sz w:val="24"/>
          <w:szCs w:val="24"/>
        </w:rPr>
        <w:t xml:space="preserve"> (2011). Chromosomal rearrangements maintain a polymorphic supergene controlling butterfly mimicry. Nature </w:t>
      </w:r>
      <w:r>
        <w:rPr>
          <w:rFonts w:ascii="Arial" w:hAnsi="Arial"/>
          <w:i/>
          <w:sz w:val="24"/>
          <w:szCs w:val="24"/>
        </w:rPr>
        <w:t>477</w:t>
      </w:r>
      <w:r>
        <w:rPr>
          <w:rFonts w:ascii="Arial" w:hAnsi="Arial"/>
          <w:sz w:val="24"/>
          <w:szCs w:val="24"/>
        </w:rPr>
        <w:t>, 203–206.</w:t>
      </w:r>
    </w:p>
    <w:p>
      <w:pPr>
        <w:pStyle w:val="Bibliographie1"/>
        <w:rPr>
          <w:rFonts w:ascii="Arial" w:hAnsi="Arial"/>
          <w:sz w:val="24"/>
          <w:szCs w:val="24"/>
        </w:rPr>
      </w:pPr>
      <w:r>
        <w:rPr>
          <w:rFonts w:ascii="Arial" w:hAnsi="Arial"/>
          <w:sz w:val="24"/>
          <w:szCs w:val="24"/>
        </w:rPr>
        <w:t>10.</w:t>
        <w:tab/>
        <w:t xml:space="preserve">Charlesworth, D., and Charlesworth, B. (1975). Theoretical genetics of Batesian mimicry II. Evolution of supergenes. J. Theor. Biol. </w:t>
      </w:r>
      <w:r>
        <w:rPr>
          <w:rFonts w:ascii="Arial" w:hAnsi="Arial"/>
          <w:i/>
          <w:sz w:val="24"/>
          <w:szCs w:val="24"/>
        </w:rPr>
        <w:t>55</w:t>
      </w:r>
      <w:r>
        <w:rPr>
          <w:rFonts w:ascii="Arial" w:hAnsi="Arial"/>
          <w:sz w:val="24"/>
          <w:szCs w:val="24"/>
        </w:rPr>
        <w:t>, 305–324.</w:t>
      </w:r>
    </w:p>
    <w:p>
      <w:pPr>
        <w:pStyle w:val="Bibliographie1"/>
        <w:rPr>
          <w:rFonts w:ascii="Arial" w:hAnsi="Arial"/>
          <w:sz w:val="24"/>
          <w:szCs w:val="24"/>
        </w:rPr>
      </w:pPr>
      <w:r>
        <w:rPr>
          <w:rFonts w:ascii="Arial" w:hAnsi="Arial"/>
          <w:sz w:val="24"/>
          <w:szCs w:val="24"/>
        </w:rPr>
        <w:t>11.</w:t>
        <w:tab/>
        <w:t>Fisher, R.A. (1930). The Genetical Theory Of Natural Selection (At The Clarendon Press) Available at: http://archive.org/details/geneticaltheoryo031631mbp [Accessed December 4, 2017].</w:t>
      </w:r>
    </w:p>
    <w:p>
      <w:pPr>
        <w:pStyle w:val="Bibliographie1"/>
        <w:rPr>
          <w:rFonts w:ascii="Arial" w:hAnsi="Arial"/>
          <w:sz w:val="24"/>
          <w:szCs w:val="24"/>
        </w:rPr>
      </w:pPr>
      <w:r>
        <w:rPr>
          <w:rFonts w:ascii="Arial" w:hAnsi="Arial"/>
          <w:sz w:val="24"/>
          <w:szCs w:val="24"/>
        </w:rPr>
        <w:t>12.</w:t>
        <w:tab/>
        <w:t xml:space="preserve">Franks, D.W., and Sherratt, T.N. (2007). The evolution of multicomponent mimicry. J. Theor. Biol. </w:t>
      </w:r>
      <w:r>
        <w:rPr>
          <w:rFonts w:ascii="Arial" w:hAnsi="Arial"/>
          <w:i/>
          <w:sz w:val="24"/>
          <w:szCs w:val="24"/>
        </w:rPr>
        <w:t>244</w:t>
      </w:r>
      <w:r>
        <w:rPr>
          <w:rFonts w:ascii="Arial" w:hAnsi="Arial"/>
          <w:sz w:val="24"/>
          <w:szCs w:val="24"/>
        </w:rPr>
        <w:t>, 631–639.</w:t>
      </w:r>
    </w:p>
    <w:p>
      <w:pPr>
        <w:pStyle w:val="Bibliographie1"/>
        <w:rPr>
          <w:rFonts w:ascii="Arial" w:hAnsi="Arial"/>
          <w:sz w:val="24"/>
          <w:szCs w:val="24"/>
        </w:rPr>
      </w:pPr>
      <w:r>
        <w:rPr>
          <w:rFonts w:ascii="Arial" w:hAnsi="Arial"/>
          <w:sz w:val="24"/>
          <w:szCs w:val="24"/>
        </w:rPr>
        <w:t>13.</w:t>
        <w:tab/>
        <w:t xml:space="preserve">Llaurens, V., Whibley, A., and Joron, M. (2017). Genetic architecture and balancing selection: the life and death of differentiated variants. Mol. Ecol. </w:t>
      </w:r>
      <w:r>
        <w:rPr>
          <w:rFonts w:ascii="Arial" w:hAnsi="Arial"/>
          <w:i/>
          <w:sz w:val="24"/>
          <w:szCs w:val="24"/>
        </w:rPr>
        <w:t>26</w:t>
      </w:r>
      <w:r>
        <w:rPr>
          <w:rFonts w:ascii="Arial" w:hAnsi="Arial"/>
          <w:sz w:val="24"/>
          <w:szCs w:val="24"/>
        </w:rPr>
        <w:t>, 2430–2448.</w:t>
      </w:r>
    </w:p>
    <w:p>
      <w:pPr>
        <w:pStyle w:val="Bibliographie1"/>
        <w:rPr>
          <w:rFonts w:ascii="Arial" w:hAnsi="Arial"/>
          <w:sz w:val="24"/>
          <w:szCs w:val="24"/>
        </w:rPr>
      </w:pPr>
      <w:r>
        <w:rPr>
          <w:rFonts w:ascii="Arial" w:hAnsi="Arial"/>
          <w:sz w:val="24"/>
          <w:szCs w:val="24"/>
        </w:rPr>
        <w:t>14.</w:t>
        <w:tab/>
        <w:t xml:space="preserve">Schwander, T., Libbrecht, R., and Keller, L. (2014). Supergenes and Complex Phenotypes. Curr. Biol. </w:t>
      </w:r>
      <w:r>
        <w:rPr>
          <w:rFonts w:ascii="Arial" w:hAnsi="Arial"/>
          <w:i/>
          <w:sz w:val="24"/>
          <w:szCs w:val="24"/>
        </w:rPr>
        <w:t>24</w:t>
      </w:r>
      <w:r>
        <w:rPr>
          <w:rFonts w:ascii="Arial" w:hAnsi="Arial"/>
          <w:sz w:val="24"/>
          <w:szCs w:val="24"/>
        </w:rPr>
        <w:t>, R288–R294.</w:t>
      </w:r>
    </w:p>
    <w:p>
      <w:pPr>
        <w:pStyle w:val="Bibliographie1"/>
        <w:rPr>
          <w:rFonts w:ascii="Arial" w:hAnsi="Arial"/>
          <w:sz w:val="24"/>
          <w:szCs w:val="24"/>
        </w:rPr>
      </w:pPr>
      <w:r>
        <w:rPr>
          <w:rFonts w:ascii="Arial" w:hAnsi="Arial"/>
          <w:sz w:val="24"/>
          <w:szCs w:val="24"/>
        </w:rPr>
        <w:t>15.</w:t>
        <w:tab/>
        <w:t xml:space="preserve">Charlesworth, D. (2006). Balancing selection and its effects on sequences in nearby genome regions. PLoS Genet. </w:t>
      </w:r>
      <w:r>
        <w:rPr>
          <w:rFonts w:ascii="Arial" w:hAnsi="Arial"/>
          <w:i/>
          <w:sz w:val="24"/>
          <w:szCs w:val="24"/>
        </w:rPr>
        <w:t>2</w:t>
      </w:r>
      <w:r>
        <w:rPr>
          <w:rFonts w:ascii="Arial" w:hAnsi="Arial"/>
          <w:sz w:val="24"/>
          <w:szCs w:val="24"/>
        </w:rPr>
        <w:t>, e64.</w:t>
      </w:r>
    </w:p>
    <w:p>
      <w:pPr>
        <w:pStyle w:val="Bibliographie1"/>
        <w:rPr>
          <w:rFonts w:ascii="Arial" w:hAnsi="Arial"/>
          <w:sz w:val="24"/>
          <w:szCs w:val="24"/>
        </w:rPr>
      </w:pPr>
      <w:r>
        <w:rPr>
          <w:rFonts w:ascii="Arial" w:hAnsi="Arial"/>
          <w:sz w:val="24"/>
          <w:szCs w:val="24"/>
        </w:rPr>
        <w:t>16.</w:t>
        <w:tab/>
        <w:t xml:space="preserve">Yeaman, S. (2013). Genomic rearrangements and the evolution of clusters of locally adaptive loci. Proc. Natl. Acad. Sci. </w:t>
      </w:r>
      <w:r>
        <w:rPr>
          <w:rFonts w:ascii="Arial" w:hAnsi="Arial"/>
          <w:i/>
          <w:sz w:val="24"/>
          <w:szCs w:val="24"/>
        </w:rPr>
        <w:t>110</w:t>
      </w:r>
      <w:r>
        <w:rPr>
          <w:rFonts w:ascii="Arial" w:hAnsi="Arial"/>
          <w:sz w:val="24"/>
          <w:szCs w:val="24"/>
        </w:rPr>
        <w:t>, E1743–E1751.</w:t>
      </w:r>
    </w:p>
    <w:p>
      <w:pPr>
        <w:pStyle w:val="Bibliographie1"/>
        <w:rPr>
          <w:rFonts w:ascii="Arial" w:hAnsi="Arial"/>
          <w:sz w:val="24"/>
          <w:szCs w:val="24"/>
        </w:rPr>
      </w:pPr>
      <w:r>
        <w:rPr>
          <w:rFonts w:ascii="Arial" w:hAnsi="Arial"/>
          <w:sz w:val="24"/>
          <w:szCs w:val="24"/>
        </w:rPr>
        <w:t>17.</w:t>
        <w:tab/>
        <w:t xml:space="preserve">Huber, B., Whibley, A., Poul, Y.L., Navarro, N., Martin, A., Baxter, S., Shah, A., Gilles, B., Wirth, T., McMillan, W.O., </w:t>
      </w:r>
      <w:r>
        <w:rPr>
          <w:rFonts w:ascii="Arial" w:hAnsi="Arial"/>
          <w:i/>
          <w:sz w:val="24"/>
          <w:szCs w:val="24"/>
        </w:rPr>
        <w:t>et al.</w:t>
      </w:r>
      <w:r>
        <w:rPr>
          <w:rFonts w:ascii="Arial" w:hAnsi="Arial"/>
          <w:sz w:val="24"/>
          <w:szCs w:val="24"/>
        </w:rPr>
        <w:t xml:space="preserve"> (2015). Conservatism and novelty in the genetic architecture of adaptation in Heliconius butterflies. Heredity </w:t>
      </w:r>
      <w:r>
        <w:rPr>
          <w:rFonts w:ascii="Arial" w:hAnsi="Arial"/>
          <w:i/>
          <w:sz w:val="24"/>
          <w:szCs w:val="24"/>
        </w:rPr>
        <w:t>114</w:t>
      </w:r>
      <w:r>
        <w:rPr>
          <w:rFonts w:ascii="Arial" w:hAnsi="Arial"/>
          <w:sz w:val="24"/>
          <w:szCs w:val="24"/>
        </w:rPr>
        <w:t>, 515–524.</w:t>
      </w:r>
    </w:p>
    <w:p>
      <w:pPr>
        <w:pStyle w:val="Bibliographie1"/>
        <w:rPr>
          <w:rFonts w:ascii="Arial" w:hAnsi="Arial"/>
          <w:sz w:val="24"/>
          <w:szCs w:val="24"/>
        </w:rPr>
      </w:pPr>
      <w:r>
        <w:rPr>
          <w:rFonts w:ascii="Arial" w:hAnsi="Arial"/>
          <w:sz w:val="24"/>
          <w:szCs w:val="24"/>
        </w:rPr>
        <w:t>18.</w:t>
        <w:tab/>
        <w:t xml:space="preserve">Nadeau, N.J., Pardo-Diaz, C., Whibley, A., Supple, M.A., Saenko, S.V., Wallbank, R.W.R., Wu, G.C., Maroja, L., Ferguson, L., Hanly, J.J., </w:t>
      </w:r>
      <w:r>
        <w:rPr>
          <w:rFonts w:ascii="Arial" w:hAnsi="Arial"/>
          <w:i/>
          <w:sz w:val="24"/>
          <w:szCs w:val="24"/>
        </w:rPr>
        <w:t>et al.</w:t>
      </w:r>
      <w:r>
        <w:rPr>
          <w:rFonts w:ascii="Arial" w:hAnsi="Arial"/>
          <w:sz w:val="24"/>
          <w:szCs w:val="24"/>
        </w:rPr>
        <w:t xml:space="preserve"> (2016). The gene cortex controls mimicry and crypsis in butterflies and moths. Nature </w:t>
      </w:r>
      <w:r>
        <w:rPr>
          <w:rFonts w:ascii="Arial" w:hAnsi="Arial"/>
          <w:i/>
          <w:sz w:val="24"/>
          <w:szCs w:val="24"/>
        </w:rPr>
        <w:t>534</w:t>
      </w:r>
      <w:r>
        <w:rPr>
          <w:rFonts w:ascii="Arial" w:hAnsi="Arial"/>
          <w:sz w:val="24"/>
          <w:szCs w:val="24"/>
        </w:rPr>
        <w:t>, 106–110.</w:t>
      </w:r>
    </w:p>
    <w:p>
      <w:pPr>
        <w:pStyle w:val="Bibliographie1"/>
        <w:rPr>
          <w:rFonts w:ascii="Arial" w:hAnsi="Arial"/>
          <w:sz w:val="24"/>
          <w:szCs w:val="24"/>
        </w:rPr>
      </w:pPr>
      <w:r>
        <w:rPr>
          <w:rFonts w:ascii="Arial" w:hAnsi="Arial"/>
          <w:sz w:val="24"/>
          <w:szCs w:val="24"/>
        </w:rPr>
        <w:t>19.</w:t>
        <w:tab/>
        <w:t xml:space="preserve">van’t Hof, A.E., Campagne, P., Rigden, D.J., Yung, C.J., Lingley, J., Quail, M.A., Hall, N., Darby, A.C., and Saccheri, I.J. (2016). The industrial melanism mutation in British peppered moths is a transposable element. Nature </w:t>
      </w:r>
      <w:r>
        <w:rPr>
          <w:rFonts w:ascii="Arial" w:hAnsi="Arial"/>
          <w:i/>
          <w:sz w:val="24"/>
          <w:szCs w:val="24"/>
        </w:rPr>
        <w:t>534</w:t>
      </w:r>
      <w:r>
        <w:rPr>
          <w:rFonts w:ascii="Arial" w:hAnsi="Arial"/>
          <w:sz w:val="24"/>
          <w:szCs w:val="24"/>
        </w:rPr>
        <w:t>, 102–105.</w:t>
      </w:r>
    </w:p>
    <w:p>
      <w:pPr>
        <w:pStyle w:val="Bibliographie1"/>
        <w:rPr>
          <w:rFonts w:ascii="Arial" w:hAnsi="Arial"/>
          <w:sz w:val="24"/>
          <w:szCs w:val="24"/>
        </w:rPr>
      </w:pPr>
      <w:r>
        <w:rPr>
          <w:rFonts w:ascii="Arial" w:hAnsi="Arial"/>
          <w:sz w:val="24"/>
          <w:szCs w:val="24"/>
        </w:rPr>
        <w:t>20.</w:t>
        <w:tab/>
        <w:t xml:space="preserve">Van Belleghem, S.M., Rastas, P., Papanicolaou, A., Martin, S.H., Arias, C.F., Supple, M.A., Hanly, J.J., Mallet, J., Lewis, J.J., and Hines, H.M. (2017). Complex modular architecture around a simple toolkit of wing pattern genes. Nat. Ecol. Evol. </w:t>
      </w:r>
      <w:r>
        <w:rPr>
          <w:rFonts w:ascii="Arial" w:hAnsi="Arial"/>
          <w:i/>
          <w:sz w:val="24"/>
          <w:szCs w:val="24"/>
        </w:rPr>
        <w:t>1</w:t>
      </w:r>
      <w:r>
        <w:rPr>
          <w:rFonts w:ascii="Arial" w:hAnsi="Arial"/>
          <w:sz w:val="24"/>
          <w:szCs w:val="24"/>
        </w:rPr>
        <w:t>, 0052.</w:t>
      </w:r>
    </w:p>
    <w:p>
      <w:pPr>
        <w:pStyle w:val="Bibliographie1"/>
        <w:rPr>
          <w:rFonts w:ascii="Arial" w:hAnsi="Arial"/>
          <w:sz w:val="24"/>
          <w:szCs w:val="24"/>
        </w:rPr>
      </w:pPr>
      <w:r>
        <w:rPr>
          <w:rFonts w:ascii="Arial" w:hAnsi="Arial"/>
          <w:sz w:val="24"/>
          <w:szCs w:val="24"/>
        </w:rPr>
        <w:t>21.</w:t>
        <w:tab/>
        <w:t xml:space="preserve">Le Poul, Y., Whibley, A., Chouteau, M., Prunier, F., Llaurens, V., and Joron, M. (2014). Evolution of dominance mechanisms at a butterfly mimicry supergene. Nat. Commun. </w:t>
      </w:r>
      <w:r>
        <w:rPr>
          <w:rFonts w:ascii="Arial" w:hAnsi="Arial"/>
          <w:i/>
          <w:sz w:val="24"/>
          <w:szCs w:val="24"/>
        </w:rPr>
        <w:t>5</w:t>
      </w:r>
      <w:r>
        <w:rPr>
          <w:rFonts w:ascii="Arial" w:hAnsi="Arial"/>
          <w:sz w:val="24"/>
          <w:szCs w:val="24"/>
        </w:rPr>
        <w:t>, 5644.</w:t>
      </w:r>
    </w:p>
    <w:p>
      <w:pPr>
        <w:pStyle w:val="Bibliographie1"/>
        <w:rPr>
          <w:rFonts w:ascii="Arial" w:hAnsi="Arial"/>
          <w:sz w:val="24"/>
          <w:szCs w:val="24"/>
        </w:rPr>
      </w:pPr>
      <w:r>
        <w:rPr>
          <w:rFonts w:ascii="Arial" w:hAnsi="Arial"/>
          <w:sz w:val="24"/>
          <w:szCs w:val="24"/>
        </w:rPr>
        <w:t>22.</w:t>
        <w:tab/>
        <w:t>Kozak, K.M., Wahlberg, N., Neild, A., Dasmahapatra, K.K., Mallet, J., and Jiggins, C.D. (2015). Multilocus Species Trees Show the Recent Adaptive Radiation of the Mimetic Heliconius Butterflies. Syst. Biol.</w:t>
      </w:r>
    </w:p>
    <w:p>
      <w:pPr>
        <w:pStyle w:val="Bibliographie1"/>
        <w:rPr>
          <w:rFonts w:ascii="Arial" w:hAnsi="Arial"/>
          <w:sz w:val="24"/>
          <w:szCs w:val="24"/>
        </w:rPr>
      </w:pPr>
      <w:r>
        <w:rPr>
          <w:rFonts w:ascii="Arial" w:hAnsi="Arial"/>
          <w:sz w:val="24"/>
          <w:szCs w:val="24"/>
        </w:rPr>
        <w:t>23.</w:t>
        <w:tab/>
        <w:t xml:space="preserve">The Heliconius Genome Consortium (2012). Butterfly genome reveals promiscuous exchange of mimicry adaptations among species. Nature </w:t>
      </w:r>
      <w:r>
        <w:rPr>
          <w:rFonts w:ascii="Arial" w:hAnsi="Arial"/>
          <w:i/>
          <w:sz w:val="24"/>
          <w:szCs w:val="24"/>
        </w:rPr>
        <w:t>487</w:t>
      </w:r>
      <w:r>
        <w:rPr>
          <w:rFonts w:ascii="Arial" w:hAnsi="Arial"/>
          <w:sz w:val="24"/>
          <w:szCs w:val="24"/>
        </w:rPr>
        <w:t>, 94–98.</w:t>
      </w:r>
    </w:p>
    <w:p>
      <w:pPr>
        <w:pStyle w:val="Bibliographie1"/>
        <w:rPr>
          <w:rFonts w:ascii="Arial" w:hAnsi="Arial"/>
          <w:sz w:val="24"/>
          <w:szCs w:val="24"/>
        </w:rPr>
      </w:pPr>
      <w:r>
        <w:rPr>
          <w:rFonts w:ascii="Arial" w:hAnsi="Arial"/>
          <w:sz w:val="24"/>
          <w:szCs w:val="24"/>
        </w:rPr>
        <w:t>24.</w:t>
        <w:tab/>
        <w:t xml:space="preserve">Enciso-Romero, J., Pardo-Díaz, C., Martin, S.H., Arias, C.F., Linares, M., McMillan, W.O., Jiggins, C.D., and Salazar, C. (2017). Evolution of novel mimicry rings facilitated by adaptive introgression in tropical butterflies. Mol. Ecol. </w:t>
      </w:r>
      <w:r>
        <w:rPr>
          <w:rFonts w:ascii="Arial" w:hAnsi="Arial"/>
          <w:i/>
          <w:sz w:val="24"/>
          <w:szCs w:val="24"/>
        </w:rPr>
        <w:t>26</w:t>
      </w:r>
      <w:r>
        <w:rPr>
          <w:rFonts w:ascii="Arial" w:hAnsi="Arial"/>
          <w:sz w:val="24"/>
          <w:szCs w:val="24"/>
        </w:rPr>
        <w:t>, 5160–5172.</w:t>
      </w:r>
    </w:p>
    <w:p>
      <w:pPr>
        <w:pStyle w:val="Bibliographie1"/>
        <w:rPr>
          <w:rFonts w:ascii="Arial" w:hAnsi="Arial"/>
          <w:sz w:val="24"/>
          <w:szCs w:val="24"/>
        </w:rPr>
      </w:pPr>
      <w:r>
        <w:rPr>
          <w:rFonts w:ascii="Arial" w:hAnsi="Arial"/>
          <w:sz w:val="24"/>
          <w:szCs w:val="24"/>
        </w:rPr>
        <w:t>25.</w:t>
        <w:tab/>
        <w:t xml:space="preserve">Wallbank, R.W.R., Baxter, S.W., Pardo-Diaz, C., Hanly, J.J., Martin, S.H., Mallet, J., Dasmahapatra, K.K., Salazar, C., Joron, M., Nadeau, N., </w:t>
      </w:r>
      <w:r>
        <w:rPr>
          <w:rFonts w:ascii="Arial" w:hAnsi="Arial"/>
          <w:i/>
          <w:sz w:val="24"/>
          <w:szCs w:val="24"/>
        </w:rPr>
        <w:t>et al.</w:t>
      </w:r>
      <w:r>
        <w:rPr>
          <w:rFonts w:ascii="Arial" w:hAnsi="Arial"/>
          <w:sz w:val="24"/>
          <w:szCs w:val="24"/>
        </w:rPr>
        <w:t xml:space="preserve"> (2016). Evolutionary Novelty in a Butterfly Wing Pattern through Enhancer Shuffling. PLOS Biol. </w:t>
      </w:r>
      <w:r>
        <w:rPr>
          <w:rFonts w:ascii="Arial" w:hAnsi="Arial"/>
          <w:i/>
          <w:sz w:val="24"/>
          <w:szCs w:val="24"/>
        </w:rPr>
        <w:t>14</w:t>
      </w:r>
      <w:r>
        <w:rPr>
          <w:rFonts w:ascii="Arial" w:hAnsi="Arial"/>
          <w:sz w:val="24"/>
          <w:szCs w:val="24"/>
        </w:rPr>
        <w:t>, e1002353.</w:t>
      </w:r>
    </w:p>
    <w:p>
      <w:pPr>
        <w:pStyle w:val="Bibliographie1"/>
        <w:rPr>
          <w:rFonts w:ascii="Arial" w:hAnsi="Arial"/>
          <w:sz w:val="24"/>
          <w:szCs w:val="24"/>
        </w:rPr>
      </w:pPr>
      <w:r>
        <w:rPr>
          <w:rFonts w:ascii="Arial" w:hAnsi="Arial"/>
          <w:sz w:val="24"/>
          <w:szCs w:val="24"/>
        </w:rPr>
        <w:t>26.</w:t>
        <w:tab/>
        <w:t xml:space="preserve">Zhang, W., Dasmahapatra, K.K., Mallet, J., Moreira, G.R.P., and Kronforst, M.R. (2016). Genome-wide introgression among distantly related Heliconius butterfly species. Genome Biol. </w:t>
      </w:r>
      <w:r>
        <w:rPr>
          <w:rFonts w:ascii="Arial" w:hAnsi="Arial"/>
          <w:i/>
          <w:sz w:val="24"/>
          <w:szCs w:val="24"/>
        </w:rPr>
        <w:t>17</w:t>
      </w:r>
      <w:r>
        <w:rPr>
          <w:rFonts w:ascii="Arial" w:hAnsi="Arial"/>
          <w:sz w:val="24"/>
          <w:szCs w:val="24"/>
        </w:rPr>
        <w:t>, 25.</w:t>
      </w:r>
    </w:p>
    <w:p>
      <w:pPr>
        <w:pStyle w:val="Bibliographie1"/>
        <w:rPr>
          <w:rFonts w:ascii="Arial" w:hAnsi="Arial"/>
          <w:sz w:val="24"/>
          <w:szCs w:val="24"/>
        </w:rPr>
      </w:pPr>
      <w:r>
        <w:rPr>
          <w:rFonts w:ascii="Arial" w:hAnsi="Arial"/>
          <w:sz w:val="24"/>
          <w:szCs w:val="24"/>
        </w:rPr>
        <w:t>27.</w:t>
        <w:tab/>
        <w:t xml:space="preserve">Martin, S.H., Davey, J.W., and Jiggins, C.D. (2015). Evaluating the Use of ABBA–BABA Statistics to Locate Introgressed Loci. Mol. Biol. Evol. </w:t>
      </w:r>
      <w:r>
        <w:rPr>
          <w:rFonts w:ascii="Arial" w:hAnsi="Arial"/>
          <w:i/>
          <w:sz w:val="24"/>
          <w:szCs w:val="24"/>
        </w:rPr>
        <w:t>32</w:t>
      </w:r>
      <w:r>
        <w:rPr>
          <w:rFonts w:ascii="Arial" w:hAnsi="Arial"/>
          <w:sz w:val="24"/>
          <w:szCs w:val="24"/>
        </w:rPr>
        <w:t>, 244–257.</w:t>
      </w:r>
    </w:p>
    <w:p>
      <w:pPr>
        <w:pStyle w:val="Bibliographie1"/>
        <w:rPr>
          <w:rFonts w:ascii="Arial" w:hAnsi="Arial"/>
          <w:sz w:val="24"/>
          <w:szCs w:val="24"/>
        </w:rPr>
      </w:pPr>
      <w:r>
        <w:rPr>
          <w:rFonts w:ascii="Arial" w:hAnsi="Arial"/>
          <w:sz w:val="24"/>
          <w:szCs w:val="24"/>
        </w:rPr>
        <w:t>28.</w:t>
        <w:tab/>
        <w:t xml:space="preserve">Martin, S.H., and Van Belleghem, S.M. (2017). Exploring evolutionary relationships across the genome using topology weighting. Genetics </w:t>
      </w:r>
      <w:r>
        <w:rPr>
          <w:rFonts w:ascii="Arial" w:hAnsi="Arial"/>
          <w:i/>
          <w:sz w:val="24"/>
          <w:szCs w:val="24"/>
        </w:rPr>
        <w:t>206</w:t>
      </w:r>
      <w:r>
        <w:rPr>
          <w:rFonts w:ascii="Arial" w:hAnsi="Arial"/>
          <w:sz w:val="24"/>
          <w:szCs w:val="24"/>
        </w:rPr>
        <w:t>, 429–438.</w:t>
      </w:r>
    </w:p>
    <w:p>
      <w:pPr>
        <w:pStyle w:val="Bibliographie1"/>
        <w:rPr>
          <w:rFonts w:ascii="Arial" w:hAnsi="Arial"/>
          <w:sz w:val="24"/>
          <w:szCs w:val="24"/>
        </w:rPr>
      </w:pPr>
      <w:r>
        <w:rPr>
          <w:rFonts w:ascii="Arial" w:hAnsi="Arial"/>
          <w:sz w:val="24"/>
          <w:szCs w:val="24"/>
        </w:rPr>
        <w:t>29.</w:t>
        <w:tab/>
        <w:t xml:space="preserve">Chouteau, M., Arias, M., and Joron, M. (2016). Warning signals are under positive frequency-dependent selection in nature. Proc. Natl. Acad. Sci. U. S. A. </w:t>
      </w:r>
      <w:r>
        <w:rPr>
          <w:rFonts w:ascii="Arial" w:hAnsi="Arial"/>
          <w:i/>
          <w:sz w:val="24"/>
          <w:szCs w:val="24"/>
        </w:rPr>
        <w:t>113</w:t>
      </w:r>
      <w:r>
        <w:rPr>
          <w:rFonts w:ascii="Arial" w:hAnsi="Arial"/>
          <w:sz w:val="24"/>
          <w:szCs w:val="24"/>
        </w:rPr>
        <w:t>, 2164–2169.</w:t>
      </w:r>
    </w:p>
    <w:p>
      <w:pPr>
        <w:pStyle w:val="Bibliographie1"/>
        <w:rPr>
          <w:rFonts w:ascii="Arial" w:hAnsi="Arial"/>
          <w:sz w:val="24"/>
          <w:szCs w:val="24"/>
        </w:rPr>
      </w:pPr>
      <w:r>
        <w:rPr>
          <w:rFonts w:ascii="Arial" w:hAnsi="Arial"/>
          <w:sz w:val="24"/>
          <w:szCs w:val="24"/>
        </w:rPr>
        <w:t>30.</w:t>
        <w:tab/>
        <w:t xml:space="preserve">Kirkpatrick, M., and Barrett, B. (2015). Chromosome inversions, adaptive cassettes and the evolution of species’ ranges. Mol. Ecol. </w:t>
      </w:r>
      <w:r>
        <w:rPr>
          <w:rFonts w:ascii="Arial" w:hAnsi="Arial"/>
          <w:i/>
          <w:sz w:val="24"/>
          <w:szCs w:val="24"/>
        </w:rPr>
        <w:t>24</w:t>
      </w:r>
      <w:r>
        <w:rPr>
          <w:rFonts w:ascii="Arial" w:hAnsi="Arial"/>
          <w:sz w:val="24"/>
          <w:szCs w:val="24"/>
        </w:rPr>
        <w:t>, 2046–2055.</w:t>
      </w:r>
    </w:p>
    <w:p>
      <w:pPr>
        <w:pStyle w:val="Bibliographie1"/>
        <w:rPr>
          <w:rFonts w:ascii="Arial" w:hAnsi="Arial"/>
          <w:sz w:val="24"/>
          <w:szCs w:val="24"/>
        </w:rPr>
      </w:pPr>
      <w:r>
        <w:rPr>
          <w:rFonts w:ascii="Arial" w:hAnsi="Arial"/>
          <w:sz w:val="24"/>
          <w:szCs w:val="24"/>
        </w:rPr>
        <w:t>31.</w:t>
        <w:tab/>
        <w:t xml:space="preserve">Hoffmann, A.A., and Rieseberg, L.H. (2008). Revisiting the Impact of Inversions in Evolution: From Population Genetic Markers to Drivers of Adaptive Shifts and Speciation? Annu. Rev. Ecol. Evol. Syst. </w:t>
      </w:r>
      <w:r>
        <w:rPr>
          <w:rFonts w:ascii="Arial" w:hAnsi="Arial"/>
          <w:i/>
          <w:sz w:val="24"/>
          <w:szCs w:val="24"/>
        </w:rPr>
        <w:t>39</w:t>
      </w:r>
      <w:r>
        <w:rPr>
          <w:rFonts w:ascii="Arial" w:hAnsi="Arial"/>
          <w:sz w:val="24"/>
          <w:szCs w:val="24"/>
        </w:rPr>
        <w:t>, 21–42.</w:t>
      </w:r>
    </w:p>
    <w:p>
      <w:pPr>
        <w:pStyle w:val="Bibliographie1"/>
        <w:rPr>
          <w:rFonts w:ascii="Arial" w:hAnsi="Arial"/>
          <w:sz w:val="24"/>
          <w:szCs w:val="24"/>
        </w:rPr>
      </w:pPr>
      <w:r>
        <w:rPr>
          <w:rFonts w:ascii="Arial" w:hAnsi="Arial"/>
          <w:sz w:val="24"/>
          <w:szCs w:val="24"/>
        </w:rPr>
        <w:t>32.</w:t>
        <w:tab/>
        <w:t xml:space="preserve">Kirkpatrick, M., and Barton, N. (2006). Chromosome inversions, local adaptation and speciation. Genetics </w:t>
      </w:r>
      <w:r>
        <w:rPr>
          <w:rFonts w:ascii="Arial" w:hAnsi="Arial"/>
          <w:i/>
          <w:sz w:val="24"/>
          <w:szCs w:val="24"/>
        </w:rPr>
        <w:t>173</w:t>
      </w:r>
      <w:r>
        <w:rPr>
          <w:rFonts w:ascii="Arial" w:hAnsi="Arial"/>
          <w:sz w:val="24"/>
          <w:szCs w:val="24"/>
        </w:rPr>
        <w:t>, 419–434.</w:t>
      </w:r>
    </w:p>
    <w:p>
      <w:pPr>
        <w:pStyle w:val="Bibliographie1"/>
        <w:rPr>
          <w:rFonts w:ascii="Arial" w:hAnsi="Arial"/>
          <w:sz w:val="24"/>
          <w:szCs w:val="24"/>
        </w:rPr>
      </w:pPr>
      <w:r>
        <w:rPr>
          <w:rFonts w:ascii="Arial" w:hAnsi="Arial"/>
          <w:sz w:val="24"/>
          <w:szCs w:val="24"/>
        </w:rPr>
        <w:t>33.</w:t>
        <w:tab/>
        <w:t xml:space="preserve">Chouteau, M., Llaurens, V., Piron-Prunier, F., and Joron, M. (2017). Polymorphism at a mimicry supergene maintained by opposing frequency-dependent selection pressures. Proc. Natl. Acad. Sci. </w:t>
      </w:r>
      <w:r>
        <w:rPr>
          <w:rFonts w:ascii="Arial" w:hAnsi="Arial"/>
          <w:i/>
          <w:sz w:val="24"/>
          <w:szCs w:val="24"/>
        </w:rPr>
        <w:t>114</w:t>
      </w:r>
      <w:r>
        <w:rPr>
          <w:rFonts w:ascii="Arial" w:hAnsi="Arial"/>
          <w:sz w:val="24"/>
          <w:szCs w:val="24"/>
        </w:rPr>
        <w:t>, 8325–8329.</w:t>
      </w:r>
    </w:p>
    <w:p>
      <w:pPr>
        <w:pStyle w:val="Bibliographie1"/>
        <w:rPr>
          <w:rFonts w:ascii="Arial" w:hAnsi="Arial"/>
          <w:sz w:val="24"/>
          <w:szCs w:val="24"/>
        </w:rPr>
      </w:pPr>
      <w:r>
        <w:rPr>
          <w:rFonts w:ascii="Arial" w:hAnsi="Arial"/>
          <w:sz w:val="24"/>
          <w:szCs w:val="24"/>
        </w:rPr>
        <w:t>34.</w:t>
        <w:tab/>
        <w:t xml:space="preserve">Grossen, C., Keller, L., Biebach, I., International Goat Genome Consortium, and Croll, D. (2014). Introgression from domestic goat generated variation at the major histocompatibility complex of Alpine ibex. PLoS Genet. </w:t>
      </w:r>
      <w:r>
        <w:rPr>
          <w:rFonts w:ascii="Arial" w:hAnsi="Arial"/>
          <w:i/>
          <w:sz w:val="24"/>
          <w:szCs w:val="24"/>
        </w:rPr>
        <w:t>10</w:t>
      </w:r>
      <w:r>
        <w:rPr>
          <w:rFonts w:ascii="Arial" w:hAnsi="Arial"/>
          <w:sz w:val="24"/>
          <w:szCs w:val="24"/>
        </w:rPr>
        <w:t>, e1004438.</w:t>
      </w:r>
    </w:p>
    <w:p>
      <w:pPr>
        <w:pStyle w:val="Bibliographie1"/>
        <w:rPr>
          <w:rFonts w:ascii="Arial" w:hAnsi="Arial"/>
          <w:sz w:val="24"/>
          <w:szCs w:val="24"/>
        </w:rPr>
      </w:pPr>
      <w:r>
        <w:rPr>
          <w:rFonts w:ascii="Arial" w:hAnsi="Arial"/>
          <w:sz w:val="24"/>
          <w:szCs w:val="24"/>
        </w:rPr>
        <w:t>35.</w:t>
        <w:tab/>
        <w:t xml:space="preserve">Castric, V., Bechsgaard, J., Schierup, M.H., and Vekemans, X. (2008). Repeated adaptive introgression at a gene under multiallelic balancing selection. PLoS Genet. </w:t>
      </w:r>
      <w:r>
        <w:rPr>
          <w:rFonts w:ascii="Arial" w:hAnsi="Arial"/>
          <w:i/>
          <w:sz w:val="24"/>
          <w:szCs w:val="24"/>
        </w:rPr>
        <w:t>4</w:t>
      </w:r>
      <w:r>
        <w:rPr>
          <w:rFonts w:ascii="Arial" w:hAnsi="Arial"/>
          <w:sz w:val="24"/>
          <w:szCs w:val="24"/>
        </w:rPr>
        <w:t>, e1000168.</w:t>
      </w:r>
    </w:p>
    <w:p>
      <w:pPr>
        <w:pStyle w:val="Bibliographie1"/>
        <w:rPr>
          <w:rFonts w:ascii="Arial" w:hAnsi="Arial"/>
          <w:sz w:val="24"/>
          <w:szCs w:val="24"/>
        </w:rPr>
      </w:pPr>
      <w:r>
        <w:rPr>
          <w:rFonts w:ascii="Arial" w:hAnsi="Arial"/>
          <w:sz w:val="24"/>
          <w:szCs w:val="24"/>
        </w:rPr>
        <w:t>36.</w:t>
        <w:tab/>
        <w:t xml:space="preserve">Corcoran, P., Anderson, J.L., Jacobson, D.J., Sun, Y., Ni, P., Lascoux, M., and Johannesson, H. (2016). Introgression maintains the genetic integrity of the mating-type determining chromosome of the fungus Neurospora tetrasperma. Genome Res. </w:t>
      </w:r>
      <w:r>
        <w:rPr>
          <w:rFonts w:ascii="Arial" w:hAnsi="Arial"/>
          <w:i/>
          <w:sz w:val="24"/>
          <w:szCs w:val="24"/>
        </w:rPr>
        <w:t>26</w:t>
      </w:r>
      <w:r>
        <w:rPr>
          <w:rFonts w:ascii="Arial" w:hAnsi="Arial"/>
          <w:sz w:val="24"/>
          <w:szCs w:val="24"/>
        </w:rPr>
        <w:t>, 486–498.</w:t>
      </w:r>
    </w:p>
    <w:p>
      <w:pPr>
        <w:pStyle w:val="Bibliographie1"/>
        <w:rPr>
          <w:rFonts w:ascii="Arial" w:hAnsi="Arial"/>
          <w:sz w:val="24"/>
          <w:szCs w:val="24"/>
        </w:rPr>
      </w:pPr>
      <w:r>
        <w:rPr>
          <w:rFonts w:ascii="Arial" w:hAnsi="Arial"/>
          <w:sz w:val="24"/>
          <w:szCs w:val="24"/>
        </w:rPr>
        <w:t>37.</w:t>
        <w:tab/>
        <w:t xml:space="preserve">Lunter, G., and Goodson, M. (2011). Stampy: a statistical algorithm for sensitive and fast mapping of Illumina sequence reads. Genome Res. </w:t>
      </w:r>
      <w:r>
        <w:rPr>
          <w:rFonts w:ascii="Arial" w:hAnsi="Arial"/>
          <w:i/>
          <w:sz w:val="24"/>
          <w:szCs w:val="24"/>
        </w:rPr>
        <w:t>21</w:t>
      </w:r>
      <w:r>
        <w:rPr>
          <w:rFonts w:ascii="Arial" w:hAnsi="Arial"/>
          <w:sz w:val="24"/>
          <w:szCs w:val="24"/>
        </w:rPr>
        <w:t>, 936–939.</w:t>
      </w:r>
    </w:p>
    <w:p>
      <w:pPr>
        <w:pStyle w:val="Bibliographie1"/>
        <w:rPr>
          <w:rFonts w:ascii="Arial" w:hAnsi="Arial"/>
          <w:sz w:val="24"/>
          <w:szCs w:val="24"/>
        </w:rPr>
      </w:pPr>
      <w:r>
        <w:rPr>
          <w:rFonts w:ascii="Arial" w:hAnsi="Arial"/>
          <w:sz w:val="24"/>
          <w:szCs w:val="24"/>
        </w:rPr>
        <w:t>38.</w:t>
        <w:tab/>
        <w:t xml:space="preserve">Li, H., Handsaker, B., Wysoker, A., Fennell, T., Ruan, J., Homer, N., Marth, G., Abecasis, G., Durbin, R., and others (2009). The sequence alignment/map format and SAMtools. Bioinformatics </w:t>
      </w:r>
      <w:r>
        <w:rPr>
          <w:rFonts w:ascii="Arial" w:hAnsi="Arial"/>
          <w:i/>
          <w:sz w:val="24"/>
          <w:szCs w:val="24"/>
        </w:rPr>
        <w:t>25</w:t>
      </w:r>
      <w:r>
        <w:rPr>
          <w:rFonts w:ascii="Arial" w:hAnsi="Arial"/>
          <w:sz w:val="24"/>
          <w:szCs w:val="24"/>
        </w:rPr>
        <w:t>, 2078–2079.</w:t>
      </w:r>
    </w:p>
    <w:p>
      <w:pPr>
        <w:pStyle w:val="Bibliographie1"/>
        <w:rPr>
          <w:rFonts w:ascii="Arial" w:hAnsi="Arial"/>
          <w:sz w:val="24"/>
          <w:szCs w:val="24"/>
        </w:rPr>
      </w:pPr>
      <w:r>
        <w:rPr>
          <w:rFonts w:ascii="Arial" w:hAnsi="Arial"/>
          <w:sz w:val="24"/>
          <w:szCs w:val="24"/>
        </w:rPr>
        <w:t>39.</w:t>
        <w:tab/>
        <w:t xml:space="preserve">DePristo, M.A., Banks, E., Poplin, R., Garimella, K.V., Maguire, J.R., Hartl, C., Philippakis, A.A., Del Angel, G., Rivas, M.A., Hanna, M., </w:t>
      </w:r>
      <w:r>
        <w:rPr>
          <w:rFonts w:ascii="Arial" w:hAnsi="Arial"/>
          <w:i/>
          <w:sz w:val="24"/>
          <w:szCs w:val="24"/>
        </w:rPr>
        <w:t>et al.</w:t>
      </w:r>
      <w:r>
        <w:rPr>
          <w:rFonts w:ascii="Arial" w:hAnsi="Arial"/>
          <w:sz w:val="24"/>
          <w:szCs w:val="24"/>
        </w:rPr>
        <w:t xml:space="preserve"> (2011). A framework for variation discovery and genotyping using next-generation DNA sequencing data. Nat. Genet. </w:t>
      </w:r>
      <w:r>
        <w:rPr>
          <w:rFonts w:ascii="Arial" w:hAnsi="Arial"/>
          <w:i/>
          <w:sz w:val="24"/>
          <w:szCs w:val="24"/>
        </w:rPr>
        <w:t>43</w:t>
      </w:r>
      <w:r>
        <w:rPr>
          <w:rFonts w:ascii="Arial" w:hAnsi="Arial"/>
          <w:sz w:val="24"/>
          <w:szCs w:val="24"/>
        </w:rPr>
        <w:t>, 491–498.</w:t>
      </w:r>
    </w:p>
    <w:p>
      <w:pPr>
        <w:pStyle w:val="Bibliographie1"/>
        <w:rPr>
          <w:rFonts w:ascii="Arial" w:hAnsi="Arial"/>
          <w:sz w:val="24"/>
          <w:szCs w:val="24"/>
        </w:rPr>
      </w:pPr>
      <w:r>
        <w:rPr>
          <w:rFonts w:ascii="Arial" w:hAnsi="Arial"/>
          <w:sz w:val="24"/>
          <w:szCs w:val="24"/>
        </w:rPr>
        <w:t>40.</w:t>
        <w:tab/>
        <w:t xml:space="preserve">Cingolani, P., Patel, V.M., Coon, M., Nguyen, T., Land, S.J., Ruden, D.M., and Lu, X. (2012). Using Drosophila melanogaster as a Model for Genotoxic Chemical Mutational Studies with a New Program, SnpSift. Front. Genet. </w:t>
      </w:r>
      <w:r>
        <w:rPr>
          <w:rFonts w:ascii="Arial" w:hAnsi="Arial"/>
          <w:i/>
          <w:sz w:val="24"/>
          <w:szCs w:val="24"/>
        </w:rPr>
        <w:t>3</w:t>
      </w:r>
      <w:r>
        <w:rPr>
          <w:rFonts w:ascii="Arial" w:hAnsi="Arial"/>
          <w:sz w:val="24"/>
          <w:szCs w:val="24"/>
        </w:rPr>
        <w:t>, 35.</w:t>
      </w:r>
    </w:p>
    <w:p>
      <w:pPr>
        <w:pStyle w:val="Bibliographie1"/>
        <w:rPr>
          <w:rFonts w:ascii="Arial" w:hAnsi="Arial"/>
          <w:sz w:val="24"/>
          <w:szCs w:val="24"/>
        </w:rPr>
      </w:pPr>
      <w:r>
        <w:rPr>
          <w:rFonts w:ascii="Arial" w:hAnsi="Arial"/>
          <w:sz w:val="24"/>
          <w:szCs w:val="24"/>
        </w:rPr>
        <w:t>41.</w:t>
        <w:tab/>
        <w:t xml:space="preserve">Abyzov, A., Urban, A.E., Snyder, M., and Gerstein, M. (2011). CNVnator: An approach to discover, genotype, and characterize typical and atypical CNVs from family and population genome sequencing. Genome Res. </w:t>
      </w:r>
      <w:r>
        <w:rPr>
          <w:rFonts w:ascii="Arial" w:hAnsi="Arial"/>
          <w:i/>
          <w:sz w:val="24"/>
          <w:szCs w:val="24"/>
        </w:rPr>
        <w:t>21</w:t>
      </w:r>
      <w:r>
        <w:rPr>
          <w:rFonts w:ascii="Arial" w:hAnsi="Arial"/>
          <w:sz w:val="24"/>
          <w:szCs w:val="24"/>
        </w:rPr>
        <w:t>, 974–984.</w:t>
      </w:r>
    </w:p>
    <w:p>
      <w:pPr>
        <w:pStyle w:val="Bibliographie1"/>
        <w:rPr>
          <w:rFonts w:ascii="Arial" w:hAnsi="Arial"/>
          <w:sz w:val="24"/>
          <w:szCs w:val="24"/>
        </w:rPr>
      </w:pPr>
      <w:r>
        <w:rPr>
          <w:rFonts w:ascii="Arial" w:hAnsi="Arial"/>
          <w:sz w:val="24"/>
          <w:szCs w:val="24"/>
        </w:rPr>
        <w:t>42.</w:t>
        <w:tab/>
        <w:t xml:space="preserve">Altschul, S.F., Gish, W., Miller, W., Myers, E.W., and Lipman, D.J. (1990). Basic local alignment search tool. J. Mol. Biol. </w:t>
      </w:r>
      <w:r>
        <w:rPr>
          <w:rFonts w:ascii="Arial" w:hAnsi="Arial"/>
          <w:i/>
          <w:sz w:val="24"/>
          <w:szCs w:val="24"/>
        </w:rPr>
        <w:t>215</w:t>
      </w:r>
      <w:r>
        <w:rPr>
          <w:rFonts w:ascii="Arial" w:hAnsi="Arial"/>
          <w:sz w:val="24"/>
          <w:szCs w:val="24"/>
        </w:rPr>
        <w:t>, 403–410.</w:t>
      </w:r>
    </w:p>
    <w:p>
      <w:pPr>
        <w:pStyle w:val="Bibliographie1"/>
        <w:rPr>
          <w:rFonts w:ascii="Arial" w:hAnsi="Arial"/>
          <w:sz w:val="24"/>
          <w:szCs w:val="24"/>
        </w:rPr>
      </w:pPr>
      <w:r>
        <w:rPr>
          <w:rFonts w:ascii="Arial" w:hAnsi="Arial"/>
          <w:sz w:val="24"/>
          <w:szCs w:val="24"/>
        </w:rPr>
        <w:t>43.</w:t>
        <w:tab/>
        <w:t xml:space="preserve">Edgar, R.C. (2004). MUSCLE: multiple sequence alignment with high accuracy and high throughput. Nucleic Acids Res. </w:t>
      </w:r>
      <w:r>
        <w:rPr>
          <w:rFonts w:ascii="Arial" w:hAnsi="Arial"/>
          <w:i/>
          <w:sz w:val="24"/>
          <w:szCs w:val="24"/>
        </w:rPr>
        <w:t>32</w:t>
      </w:r>
      <w:r>
        <w:rPr>
          <w:rFonts w:ascii="Arial" w:hAnsi="Arial"/>
          <w:sz w:val="24"/>
          <w:szCs w:val="24"/>
        </w:rPr>
        <w:t>, 1792–1797.</w:t>
      </w:r>
    </w:p>
    <w:p>
      <w:pPr>
        <w:pStyle w:val="Bibliographie1"/>
        <w:rPr>
          <w:rFonts w:ascii="Arial" w:hAnsi="Arial"/>
          <w:sz w:val="24"/>
          <w:szCs w:val="24"/>
        </w:rPr>
      </w:pPr>
      <w:r>
        <w:rPr>
          <w:rFonts w:ascii="Arial" w:hAnsi="Arial"/>
          <w:sz w:val="24"/>
          <w:szCs w:val="24"/>
        </w:rPr>
        <w:t>44.</w:t>
        <w:tab/>
        <w:t xml:space="preserve">Lee, T.-H., Guo, H., Wang, X., Kim, C., and Paterson, A.H. (2014). SNPhylo: a pipeline to construct a phylogenetic tree from huge SNP data. BMC Genomics </w:t>
      </w:r>
      <w:r>
        <w:rPr>
          <w:rFonts w:ascii="Arial" w:hAnsi="Arial"/>
          <w:i/>
          <w:sz w:val="24"/>
          <w:szCs w:val="24"/>
        </w:rPr>
        <w:t>15</w:t>
      </w:r>
      <w:r>
        <w:rPr>
          <w:rFonts w:ascii="Arial" w:hAnsi="Arial"/>
          <w:sz w:val="24"/>
          <w:szCs w:val="24"/>
        </w:rPr>
        <w:t>, 162.</w:t>
      </w:r>
    </w:p>
    <w:p>
      <w:pPr>
        <w:pStyle w:val="Bibliographie1"/>
        <w:rPr>
          <w:rFonts w:ascii="Arial" w:hAnsi="Arial"/>
          <w:sz w:val="24"/>
          <w:szCs w:val="24"/>
        </w:rPr>
      </w:pPr>
      <w:r>
        <w:rPr>
          <w:rFonts w:ascii="Arial" w:hAnsi="Arial"/>
          <w:sz w:val="24"/>
          <w:szCs w:val="24"/>
        </w:rPr>
        <w:t>45.</w:t>
        <w:tab/>
        <w:t xml:space="preserve">Stamatakis, A. (2014). RAxML version 8: a tool for phylogenetic analysis and post-analysis of large phylogenies. Bioinformatics </w:t>
      </w:r>
      <w:r>
        <w:rPr>
          <w:rFonts w:ascii="Arial" w:hAnsi="Arial"/>
          <w:i/>
          <w:sz w:val="24"/>
          <w:szCs w:val="24"/>
        </w:rPr>
        <w:t>30</w:t>
      </w:r>
      <w:r>
        <w:rPr>
          <w:rFonts w:ascii="Arial" w:hAnsi="Arial"/>
          <w:sz w:val="24"/>
          <w:szCs w:val="24"/>
        </w:rPr>
        <w:t>, 1312–1313.</w:t>
      </w:r>
    </w:p>
    <w:p>
      <w:pPr>
        <w:pStyle w:val="Bibliographie1"/>
        <w:rPr>
          <w:rFonts w:ascii="Arial" w:hAnsi="Arial"/>
          <w:sz w:val="24"/>
          <w:szCs w:val="24"/>
        </w:rPr>
      </w:pPr>
      <w:r>
        <w:rPr>
          <w:rFonts w:ascii="Arial" w:hAnsi="Arial"/>
          <w:sz w:val="24"/>
          <w:szCs w:val="24"/>
        </w:rPr>
        <w:t>46.</w:t>
        <w:tab/>
        <w:t xml:space="preserve">Browning, S.R., and Browning, B.L. (2007). Rapid and Accurate Haplotype Phasing and Missing-Data Inference for Whole-Genome Association Studies By Use of Localized Haplotype Clustering. Am. J. Hum. Genet. </w:t>
      </w:r>
      <w:r>
        <w:rPr>
          <w:rFonts w:ascii="Arial" w:hAnsi="Arial"/>
          <w:i/>
          <w:sz w:val="24"/>
          <w:szCs w:val="24"/>
        </w:rPr>
        <w:t>81</w:t>
      </w:r>
      <w:r>
        <w:rPr>
          <w:rFonts w:ascii="Arial" w:hAnsi="Arial"/>
          <w:sz w:val="24"/>
          <w:szCs w:val="24"/>
        </w:rPr>
        <w:t>, 1084–1097.</w:t>
      </w:r>
    </w:p>
    <w:p>
      <w:pPr>
        <w:pStyle w:val="Bibliographie1"/>
        <w:rPr>
          <w:rFonts w:ascii="Arial" w:hAnsi="Arial"/>
          <w:sz w:val="24"/>
          <w:szCs w:val="24"/>
        </w:rPr>
      </w:pPr>
      <w:r>
        <w:rPr>
          <w:rFonts w:ascii="Arial" w:hAnsi="Arial"/>
          <w:sz w:val="24"/>
          <w:szCs w:val="24"/>
        </w:rPr>
        <w:t>47.</w:t>
        <w:tab/>
        <w:t xml:space="preserve">Lartillot, N., Lepage, T., and Blanquart, S. (2009). PhyloBayes 3: a Bayesian software package for phylogenetic reconstruction and molecular dating. Bioinformatics </w:t>
      </w:r>
      <w:r>
        <w:rPr>
          <w:rFonts w:ascii="Arial" w:hAnsi="Arial"/>
          <w:i/>
          <w:sz w:val="24"/>
          <w:szCs w:val="24"/>
        </w:rPr>
        <w:t>25</w:t>
      </w:r>
      <w:r>
        <w:rPr>
          <w:rFonts w:ascii="Arial" w:hAnsi="Arial"/>
          <w:sz w:val="24"/>
          <w:szCs w:val="24"/>
        </w:rPr>
        <w:t>, 2286–2288.</w:t>
      </w:r>
    </w:p>
    <w:p>
      <w:pPr>
        <w:pStyle w:val="Bibliographie1"/>
        <w:rPr/>
      </w:pPr>
      <w:r>
        <w:rPr>
          <w:rFonts w:ascii="Arial" w:hAnsi="Arial"/>
          <w:sz w:val="24"/>
          <w:szCs w:val="24"/>
        </w:rPr>
        <w:t>48.</w:t>
        <w:tab/>
        <w:t xml:space="preserve">Huerta-Cepas, J., Serra, F., and Bork, P. (2016). ETE 3: Reconstruction, Analysis, and Visualization of Phylogenomic Data. Mol. Biol. Evol. </w:t>
      </w:r>
      <w:r>
        <w:rPr>
          <w:rFonts w:ascii="Arial" w:hAnsi="Arial"/>
          <w:i/>
          <w:sz w:val="24"/>
          <w:szCs w:val="24"/>
        </w:rPr>
        <w:t>33</w:t>
      </w:r>
      <w:r>
        <w:rPr>
          <w:rFonts w:ascii="Arial" w:hAnsi="Arial"/>
          <w:sz w:val="24"/>
          <w:szCs w:val="24"/>
        </w:rPr>
        <w:t>, 1635–1638.</w:t>
      </w:r>
      <w:r>
        <w:br w:type="page"/>
      </w:r>
    </w:p>
    <w:p>
      <w:pPr>
        <w:pStyle w:val="Bibliographie1"/>
        <w:rPr>
          <w:rFonts w:ascii="Arial" w:hAnsi="Arial"/>
          <w:sz w:val="24"/>
          <w:szCs w:val="24"/>
        </w:rPr>
      </w:pPr>
      <w:r>
        <w:rPr/>
      </w:r>
    </w:p>
    <w:p>
      <w:pPr>
        <w:sectPr>
          <w:footerReference w:type="default" r:id="rId3"/>
          <w:type w:val="nextPage"/>
          <w:pgSz w:w="11906" w:h="16838"/>
          <w:pgMar w:left="907" w:right="907" w:header="0" w:top="1134" w:footer="1134" w:bottom="1700" w:gutter="0"/>
          <w:lnNumType w:countBy="1" w:restart="continuous" w:distance="283"/>
          <w:pgNumType w:fmt="decimal"/>
          <w:formProt w:val="false"/>
          <w:textDirection w:val="lrTb"/>
          <w:docGrid w:type="default" w:linePitch="360" w:charSpace="4294961151"/>
        </w:sectPr>
      </w:pPr>
    </w:p>
    <w:p>
      <w:pPr>
        <w:pStyle w:val="Standard"/>
        <w:spacing w:lineRule="auto" w:line="480"/>
        <w:jc w:val="both"/>
        <w:rPr>
          <w:rFonts w:ascii="Arial" w:hAnsi="Arial"/>
        </w:rPr>
      </w:pPr>
      <w:r>
        <w:rPr>
          <w:rFonts w:ascii="Arial" w:hAnsi="Arial"/>
          <w:b/>
          <w:bCs/>
          <w:lang w:val="en-GB"/>
        </w:rPr>
        <w:t xml:space="preserve">Figure 1 | Distribution of supergene inversions in the silvaniform clade of </w:t>
      </w:r>
      <w:r>
        <w:rPr>
          <w:rFonts w:ascii="Arial" w:hAnsi="Arial"/>
          <w:b/>
          <w:bCs/>
          <w:i/>
          <w:lang w:val="en-GB"/>
        </w:rPr>
        <w:t>Heliconius</w:t>
      </w:r>
      <w:r>
        <w:rPr>
          <w:rFonts w:ascii="Arial" w:hAnsi="Arial"/>
          <w:b/>
          <w:bCs/>
          <w:lang w:val="en-GB"/>
        </w:rPr>
        <w:t xml:space="preserve">.  </w:t>
      </w:r>
    </w:p>
    <w:p>
      <w:pPr>
        <w:pStyle w:val="Standard"/>
        <w:bidi w:val="0"/>
        <w:spacing w:lineRule="auto" w:line="480"/>
        <w:jc w:val="left"/>
        <w:rPr/>
      </w:pPr>
      <w:r>
        <w:rPr>
          <w:rFonts w:ascii="Arial" w:hAnsi="Arial"/>
          <w:b/>
          <w:bCs/>
          <w:sz w:val="24"/>
          <w:szCs w:val="24"/>
          <w:lang w:val="en-GB"/>
        </w:rPr>
        <w:t xml:space="preserve">A </w:t>
      </w:r>
      <w:r>
        <w:rPr>
          <w:rFonts w:ascii="Arial" w:hAnsi="Arial"/>
          <w:sz w:val="24"/>
          <w:szCs w:val="24"/>
          <w:lang w:val="en-GB"/>
        </w:rPr>
        <w:t xml:space="preserve">Structure of the </w:t>
      </w:r>
      <w:r>
        <w:rPr>
          <w:rFonts w:ascii="Arial" w:hAnsi="Arial"/>
          <w:i/>
          <w:iCs/>
          <w:sz w:val="24"/>
          <w:szCs w:val="24"/>
          <w:lang w:val="en-GB"/>
        </w:rPr>
        <w:t xml:space="preserve">H. numata </w:t>
      </w:r>
      <w:r>
        <w:rPr>
          <w:rFonts w:ascii="Arial" w:hAnsi="Arial"/>
          <w:iCs/>
          <w:sz w:val="24"/>
          <w:szCs w:val="24"/>
          <w:lang w:val="en-GB"/>
        </w:rPr>
        <w:t>(</w:t>
      </w:r>
      <w:r>
        <w:rPr>
          <w:rFonts w:ascii="Arial" w:hAnsi="Arial"/>
          <w:i/>
          <w:iCs/>
          <w:sz w:val="24"/>
          <w:szCs w:val="24"/>
          <w:lang w:val="en-GB"/>
        </w:rPr>
        <w:t>Hn</w:t>
      </w:r>
      <w:r>
        <w:rPr>
          <w:rFonts w:ascii="Arial" w:hAnsi="Arial"/>
          <w:iCs/>
          <w:sz w:val="24"/>
          <w:szCs w:val="24"/>
          <w:lang w:val="en-GB"/>
        </w:rPr>
        <w:t xml:space="preserve">) mimicry </w:t>
      </w:r>
      <w:r>
        <w:rPr>
          <w:rFonts w:ascii="Arial" w:hAnsi="Arial"/>
          <w:sz w:val="24"/>
          <w:szCs w:val="24"/>
          <w:lang w:val="en-GB"/>
        </w:rPr>
        <w:t xml:space="preserve">supergene </w:t>
      </w:r>
      <w:r>
        <w:rPr>
          <w:rFonts w:ascii="Arial" w:hAnsi="Arial"/>
          <w:i/>
          <w:sz w:val="24"/>
          <w:szCs w:val="24"/>
          <w:lang w:val="en-GB"/>
        </w:rPr>
        <w:t xml:space="preserve">P </w:t>
      </w:r>
      <w:r>
        <w:rPr>
          <w:rFonts w:ascii="Arial" w:hAnsi="Arial"/>
          <w:sz w:val="24"/>
          <w:szCs w:val="24"/>
          <w:lang w:val="en-GB"/>
        </w:rPr>
        <w:t xml:space="preserve">characterised by polymorphic inversions and some of the morphs associated with each arrangement. </w:t>
      </w:r>
      <w:r>
        <w:rPr>
          <w:rFonts w:ascii="Arial" w:hAnsi="Arial"/>
          <w:i/>
          <w:sz w:val="24"/>
          <w:szCs w:val="24"/>
          <w:lang w:val="en-GB"/>
        </w:rPr>
        <w:t>P</w:t>
      </w:r>
      <w:r>
        <w:rPr>
          <w:rFonts w:ascii="Arial" w:hAnsi="Arial"/>
          <w:sz w:val="24"/>
          <w:szCs w:val="24"/>
          <w:lang w:val="en-GB"/>
        </w:rPr>
        <w:t xml:space="preserve"> allows </w:t>
      </w:r>
      <w:r>
        <w:rPr>
          <w:rFonts w:ascii="Arial" w:hAnsi="Arial"/>
          <w:i/>
          <w:iCs/>
          <w:sz w:val="24"/>
          <w:szCs w:val="24"/>
          <w:lang w:val="en-GB"/>
        </w:rPr>
        <w:t>Hn</w:t>
      </w:r>
      <w:r>
        <w:rPr>
          <w:rFonts w:ascii="Arial" w:hAnsi="Arial"/>
          <w:sz w:val="24"/>
          <w:szCs w:val="24"/>
          <w:lang w:val="en-GB"/>
        </w:rPr>
        <w:t xml:space="preserve"> to produce highly distinguishable morphs in the same location. The first derived inversion (P</w:t>
      </w:r>
      <w:r>
        <w:rPr>
          <w:rFonts w:ascii="Arial" w:hAnsi="Arial"/>
          <w:sz w:val="24"/>
          <w:szCs w:val="24"/>
          <w:vertAlign w:val="subscript"/>
          <w:lang w:val="en-GB"/>
        </w:rPr>
        <w:t>1</w:t>
      </w:r>
      <w:r>
        <w:rPr>
          <w:rFonts w:ascii="Arial" w:hAnsi="Arial"/>
          <w:sz w:val="24"/>
          <w:szCs w:val="24"/>
          <w:lang w:val="en-GB"/>
        </w:rPr>
        <w:t>, blue), is common to all rearranged alleles (</w:t>
      </w:r>
      <w:r>
        <w:rPr>
          <w:rFonts w:ascii="Arial" w:hAnsi="Arial"/>
          <w:i/>
          <w:iCs/>
          <w:sz w:val="24"/>
          <w:szCs w:val="24"/>
          <w:lang w:val="en-GB"/>
        </w:rPr>
        <w:t>Hn1</w:t>
      </w:r>
      <w:r>
        <w:rPr>
          <w:rFonts w:ascii="Arial" w:hAnsi="Arial"/>
          <w:sz w:val="24"/>
          <w:szCs w:val="24"/>
          <w:lang w:val="en-GB"/>
        </w:rPr>
        <w:t xml:space="preserve">), and distinguishes them from the ancestral, recessive </w:t>
      </w:r>
      <w:r>
        <w:rPr>
          <w:rFonts w:ascii="Arial" w:hAnsi="Arial"/>
          <w:i/>
          <w:sz w:val="24"/>
          <w:szCs w:val="24"/>
          <w:u w:val="none"/>
          <w:lang w:val="en-GB"/>
        </w:rPr>
        <w:t>P</w:t>
      </w:r>
      <w:r>
        <w:rPr>
          <w:rFonts w:ascii="Arial" w:hAnsi="Arial"/>
          <w:sz w:val="24"/>
          <w:szCs w:val="24"/>
          <w:lang w:val="en-GB"/>
        </w:rPr>
        <w:t xml:space="preserve"> alleles (mimetic forms </w:t>
      </w:r>
      <w:r>
        <w:rPr>
          <w:rFonts w:ascii="Arial" w:hAnsi="Arial"/>
          <w:i/>
          <w:sz w:val="24"/>
          <w:szCs w:val="24"/>
          <w:lang w:val="en-GB"/>
        </w:rPr>
        <w:t xml:space="preserve">silvana </w:t>
      </w:r>
      <w:r>
        <w:rPr>
          <w:rFonts w:ascii="Arial" w:hAnsi="Arial"/>
          <w:sz w:val="24"/>
          <w:szCs w:val="24"/>
          <w:lang w:val="en-GB"/>
        </w:rPr>
        <w:t xml:space="preserve">or </w:t>
      </w:r>
      <w:r>
        <w:rPr>
          <w:rFonts w:ascii="Arial" w:hAnsi="Arial"/>
          <w:i/>
          <w:sz w:val="24"/>
          <w:szCs w:val="24"/>
          <w:lang w:val="en-GB"/>
        </w:rPr>
        <w:t>laura, Hn0</w:t>
      </w:r>
      <w:r>
        <w:rPr>
          <w:rFonts w:ascii="Arial" w:hAnsi="Arial"/>
          <w:sz w:val="24"/>
          <w:szCs w:val="24"/>
          <w:lang w:val="en-GB"/>
        </w:rPr>
        <w:t xml:space="preserve">). The P dominant allele (Andean mimetic form </w:t>
      </w:r>
      <w:r>
        <w:rPr>
          <w:rFonts w:ascii="Arial" w:hAnsi="Arial"/>
          <w:i/>
          <w:sz w:val="24"/>
          <w:szCs w:val="24"/>
          <w:lang w:val="en-GB"/>
        </w:rPr>
        <w:t xml:space="preserve">bicoloratus </w:t>
      </w:r>
      <w:r>
        <w:rPr>
          <w:rFonts w:ascii="Arial" w:hAnsi="Arial"/>
          <w:sz w:val="24"/>
          <w:szCs w:val="24"/>
          <w:lang w:val="en-GB"/>
        </w:rPr>
        <w:t>and</w:t>
      </w:r>
      <w:r>
        <w:rPr>
          <w:rFonts w:ascii="Arial" w:hAnsi="Arial"/>
          <w:i/>
          <w:sz w:val="24"/>
          <w:szCs w:val="24"/>
          <w:lang w:val="en-GB"/>
        </w:rPr>
        <w:t xml:space="preserve"> peeblesi</w:t>
      </w:r>
      <w:r>
        <w:rPr>
          <w:rFonts w:ascii="Arial" w:hAnsi="Arial"/>
          <w:sz w:val="24"/>
          <w:szCs w:val="24"/>
          <w:lang w:val="en-GB"/>
        </w:rPr>
        <w:t>) is controlled by a rearrangement including only the chromosomal inversion P</w:t>
      </w:r>
      <w:r>
        <w:rPr>
          <w:rFonts w:ascii="Arial" w:hAnsi="Arial"/>
          <w:sz w:val="24"/>
          <w:szCs w:val="24"/>
          <w:vertAlign w:val="subscript"/>
          <w:lang w:val="en-GB"/>
        </w:rPr>
        <w:t>1</w:t>
      </w:r>
      <w:r>
        <w:rPr>
          <w:rFonts w:ascii="Arial" w:hAnsi="Arial"/>
          <w:sz w:val="24"/>
          <w:szCs w:val="24"/>
          <w:lang w:val="en-GB"/>
        </w:rPr>
        <w:t>. A further rearrangement (P</w:t>
      </w:r>
      <w:r>
        <w:rPr>
          <w:rFonts w:ascii="Arial" w:hAnsi="Arial"/>
          <w:sz w:val="24"/>
          <w:szCs w:val="24"/>
          <w:vertAlign w:val="subscript"/>
          <w:lang w:val="en-GB"/>
        </w:rPr>
        <w:t xml:space="preserve">2, </w:t>
      </w:r>
      <w:r>
        <w:rPr>
          <w:rFonts w:ascii="Arial" w:hAnsi="Arial"/>
          <w:sz w:val="24"/>
          <w:szCs w:val="24"/>
          <w:lang w:val="en-GB"/>
        </w:rPr>
        <w:t>green) linked to the first inversion is associated with a large diversity of derived, intermediate dominant mimicry alleles [9,21]. A 4kb duplication was also detected only in individuals showing the inversion P</w:t>
      </w:r>
      <w:r>
        <w:rPr>
          <w:rFonts w:ascii="Arial" w:hAnsi="Arial"/>
          <w:sz w:val="24"/>
          <w:szCs w:val="24"/>
          <w:vertAlign w:val="subscript"/>
          <w:lang w:val="en-GB"/>
        </w:rPr>
        <w:t>1</w:t>
      </w:r>
      <w:r>
        <w:rPr>
          <w:rFonts w:ascii="Arial" w:hAnsi="Arial"/>
          <w:sz w:val="24"/>
          <w:szCs w:val="24"/>
          <w:lang w:val="en-GB"/>
        </w:rPr>
        <w:t xml:space="preserve">. </w:t>
      </w:r>
      <w:r>
        <w:rPr>
          <w:rFonts w:ascii="Arial" w:hAnsi="Arial"/>
          <w:b/>
          <w:bCs/>
          <w:sz w:val="24"/>
          <w:szCs w:val="24"/>
          <w:lang w:val="en-GB"/>
        </w:rPr>
        <w:t xml:space="preserve">B </w:t>
      </w:r>
      <w:r>
        <w:rPr>
          <w:rFonts w:ascii="Arial" w:hAnsi="Arial"/>
          <w:sz w:val="24"/>
          <w:szCs w:val="24"/>
          <w:lang w:val="en-GB"/>
        </w:rPr>
        <w:t xml:space="preserve">Presence/absence of the two major rearrangements in species closely-related to </w:t>
      </w:r>
      <w:r>
        <w:rPr>
          <w:rFonts w:ascii="Arial" w:hAnsi="Arial"/>
          <w:i/>
          <w:sz w:val="24"/>
          <w:szCs w:val="24"/>
          <w:lang w:val="en-GB"/>
        </w:rPr>
        <w:t xml:space="preserve">H. numata </w:t>
      </w:r>
      <w:r>
        <w:rPr>
          <w:rFonts w:ascii="Arial" w:hAnsi="Arial"/>
          <w:bCs/>
          <w:sz w:val="24"/>
          <w:szCs w:val="24"/>
          <w:lang w:val="en-GB"/>
        </w:rPr>
        <w:t>(</w:t>
      </w:r>
      <w:r>
        <w:rPr>
          <w:rFonts w:ascii="Arial" w:hAnsi="Arial"/>
          <w:sz w:val="24"/>
          <w:szCs w:val="24"/>
          <w:lang w:val="en-GB"/>
        </w:rPr>
        <w:t xml:space="preserve">silvaniform clade), tested by PCR of breakpoint-diagnostic markers, and independently by duplication-diagnostic CNV assays. All species are fixed for the ancestral arrangement (red), except </w:t>
      </w:r>
      <w:r>
        <w:rPr>
          <w:rFonts w:ascii="Arial" w:hAnsi="Arial"/>
          <w:i/>
          <w:sz w:val="24"/>
          <w:szCs w:val="24"/>
          <w:lang w:val="en-GB"/>
        </w:rPr>
        <w:t>H. pardalinus</w:t>
      </w:r>
      <w:r>
        <w:rPr>
          <w:rFonts w:ascii="Arial" w:hAnsi="Arial"/>
          <w:sz w:val="24"/>
          <w:szCs w:val="24"/>
          <w:lang w:val="en-GB"/>
        </w:rPr>
        <w:t xml:space="preserve"> (</w:t>
      </w:r>
      <w:r>
        <w:rPr>
          <w:rFonts w:ascii="Arial" w:hAnsi="Arial"/>
          <w:i/>
          <w:sz w:val="24"/>
          <w:szCs w:val="24"/>
          <w:lang w:val="en-GB"/>
        </w:rPr>
        <w:t>Hp</w:t>
      </w:r>
      <w:r>
        <w:rPr>
          <w:rFonts w:ascii="Arial" w:hAnsi="Arial"/>
          <w:sz w:val="24"/>
          <w:szCs w:val="24"/>
          <w:lang w:val="en-GB"/>
        </w:rPr>
        <w:t>), fixed for P</w:t>
      </w:r>
      <w:r>
        <w:rPr>
          <w:rFonts w:ascii="Arial" w:hAnsi="Arial"/>
          <w:sz w:val="24"/>
          <w:szCs w:val="24"/>
          <w:vertAlign w:val="subscript"/>
          <w:lang w:val="en-GB"/>
        </w:rPr>
        <w:t>1</w:t>
      </w:r>
      <w:r>
        <w:rPr>
          <w:rFonts w:ascii="Arial" w:hAnsi="Arial"/>
          <w:sz w:val="24"/>
          <w:szCs w:val="24"/>
          <w:lang w:val="en-GB"/>
        </w:rPr>
        <w:t xml:space="preserve">, and </w:t>
      </w:r>
      <w:r>
        <w:rPr>
          <w:rFonts w:ascii="Arial" w:hAnsi="Arial"/>
          <w:i/>
          <w:sz w:val="24"/>
          <w:szCs w:val="24"/>
          <w:lang w:val="en-GB"/>
        </w:rPr>
        <w:t>H. numata</w:t>
      </w:r>
      <w:r>
        <w:rPr>
          <w:rFonts w:ascii="Arial" w:hAnsi="Arial"/>
          <w:sz w:val="24"/>
          <w:szCs w:val="24"/>
          <w:lang w:val="en-GB"/>
        </w:rPr>
        <w:t xml:space="preserve"> showing polymorphism for P</w:t>
      </w:r>
      <w:r>
        <w:rPr>
          <w:rFonts w:ascii="Arial" w:hAnsi="Arial"/>
          <w:sz w:val="24"/>
          <w:szCs w:val="24"/>
          <w:vertAlign w:val="subscript"/>
          <w:lang w:val="en-GB"/>
        </w:rPr>
        <w:t>1</w:t>
      </w:r>
      <w:r>
        <w:rPr>
          <w:rFonts w:ascii="Arial" w:hAnsi="Arial"/>
          <w:sz w:val="24"/>
          <w:szCs w:val="24"/>
          <w:lang w:val="en-GB"/>
        </w:rPr>
        <w:t xml:space="preserve"> and P</w:t>
      </w:r>
      <w:r>
        <w:rPr>
          <w:rFonts w:ascii="Arial" w:hAnsi="Arial"/>
          <w:sz w:val="24"/>
          <w:szCs w:val="24"/>
          <w:vertAlign w:val="subscript"/>
          <w:lang w:val="en-GB"/>
        </w:rPr>
        <w:t>2</w:t>
      </w:r>
      <w:r>
        <w:rPr>
          <w:rFonts w:ascii="Arial" w:hAnsi="Arial"/>
          <w:sz w:val="24"/>
          <w:szCs w:val="24"/>
          <w:lang w:val="en-GB"/>
        </w:rPr>
        <w:t>. Silvaniform members are represented with a solid line on the species tree, while outgroup species are represented with a dashed line. See also Table S1, S2 and S3.</w:t>
      </w:r>
    </w:p>
    <w:p>
      <w:pPr>
        <w:pStyle w:val="Standard"/>
        <w:bidi w:val="0"/>
        <w:spacing w:lineRule="auto" w:line="480"/>
        <w:jc w:val="left"/>
        <w:rPr>
          <w:rFonts w:ascii="Arial" w:hAnsi="Arial"/>
          <w:sz w:val="24"/>
          <w:szCs w:val="24"/>
          <w:lang w:val="en-GB"/>
        </w:rPr>
      </w:pPr>
      <w:r>
        <w:rPr>
          <w:rFonts w:ascii="Arial" w:hAnsi="Arial"/>
          <w:sz w:val="24"/>
          <w:szCs w:val="24"/>
          <w:lang w:val="en-GB"/>
        </w:rPr>
      </w:r>
    </w:p>
    <w:p>
      <w:pPr>
        <w:pStyle w:val="Standard"/>
        <w:bidi w:val="0"/>
        <w:spacing w:lineRule="auto" w:line="480"/>
        <w:jc w:val="both"/>
        <w:rPr>
          <w:rFonts w:ascii="Arial" w:hAnsi="Arial"/>
        </w:rPr>
      </w:pPr>
      <w:r>
        <w:rPr>
          <w:rFonts w:ascii="Arial" w:hAnsi="Arial"/>
          <w:b/>
          <w:bCs/>
          <w:lang w:val="en-GB"/>
        </w:rPr>
        <w:t xml:space="preserve">Figure 2 | Whole genome and inversion phylogenies of </w:t>
      </w:r>
      <w:r>
        <w:rPr>
          <w:rFonts w:ascii="Arial" w:hAnsi="Arial"/>
          <w:b/>
          <w:bCs/>
          <w:i/>
          <w:iCs/>
          <w:lang w:val="en-GB"/>
        </w:rPr>
        <w:t>H. numata</w:t>
      </w:r>
      <w:r>
        <w:rPr>
          <w:rFonts w:ascii="Arial" w:hAnsi="Arial"/>
          <w:b/>
          <w:bCs/>
          <w:lang w:val="en-GB"/>
        </w:rPr>
        <w:t xml:space="preserve"> and related species</w:t>
      </w:r>
    </w:p>
    <w:p>
      <w:pPr>
        <w:pStyle w:val="Standard"/>
        <w:bidi w:val="0"/>
        <w:spacing w:lineRule="auto" w:line="480"/>
        <w:jc w:val="left"/>
        <w:rPr>
          <w:rFonts w:ascii="Arial" w:hAnsi="Arial"/>
        </w:rPr>
      </w:pPr>
      <w:r>
        <w:rPr>
          <w:rFonts w:ascii="Arial" w:hAnsi="Arial"/>
          <w:b/>
          <w:bCs/>
          <w:sz w:val="24"/>
          <w:szCs w:val="24"/>
          <w:lang w:val="en-GB"/>
        </w:rPr>
        <w:t>A</w:t>
      </w:r>
      <w:r>
        <w:rPr>
          <w:rFonts w:ascii="Arial" w:hAnsi="Arial"/>
          <w:b w:val="false"/>
          <w:bCs w:val="false"/>
          <w:sz w:val="24"/>
          <w:szCs w:val="24"/>
          <w:lang w:val="en-GB"/>
        </w:rPr>
        <w:t xml:space="preserve"> Whole genome phylogeny, showing two well-separated branches grouping </w:t>
      </w:r>
      <w:r>
        <w:rPr>
          <w:rFonts w:ascii="Arial" w:hAnsi="Arial"/>
          <w:b w:val="false"/>
          <w:bCs w:val="false"/>
          <w:i/>
          <w:iCs/>
          <w:sz w:val="24"/>
          <w:szCs w:val="24"/>
          <w:lang w:val="en-GB"/>
        </w:rPr>
        <w:t xml:space="preserve">H. pardalinus </w:t>
      </w:r>
      <w:r>
        <w:rPr>
          <w:rFonts w:ascii="Arial" w:hAnsi="Arial"/>
          <w:b w:val="false"/>
          <w:bCs w:val="false"/>
          <w:i w:val="false"/>
          <w:iCs w:val="false"/>
          <w:sz w:val="24"/>
          <w:szCs w:val="24"/>
          <w:lang w:val="en-GB"/>
        </w:rPr>
        <w:t xml:space="preserve">and </w:t>
      </w:r>
      <w:r>
        <w:rPr>
          <w:rFonts w:ascii="Arial" w:hAnsi="Arial"/>
          <w:b w:val="false"/>
          <w:bCs w:val="false"/>
          <w:i/>
          <w:iCs/>
          <w:sz w:val="24"/>
          <w:szCs w:val="24"/>
          <w:lang w:val="en-GB"/>
        </w:rPr>
        <w:t xml:space="preserve">H. elevatus </w:t>
      </w:r>
      <w:r>
        <w:rPr>
          <w:rFonts w:ascii="Arial" w:hAnsi="Arial"/>
          <w:b w:val="false"/>
          <w:bCs w:val="false"/>
          <w:iCs/>
          <w:sz w:val="24"/>
          <w:szCs w:val="24"/>
          <w:lang w:val="en-GB"/>
        </w:rPr>
        <w:t>on the one hand</w:t>
      </w:r>
      <w:r>
        <w:rPr>
          <w:rFonts w:ascii="Arial" w:hAnsi="Arial"/>
          <w:b w:val="false"/>
          <w:bCs w:val="false"/>
          <w:i/>
          <w:iCs/>
          <w:sz w:val="24"/>
          <w:szCs w:val="24"/>
          <w:lang w:val="en-GB"/>
        </w:rPr>
        <w:t xml:space="preserve"> </w:t>
      </w:r>
      <w:r>
        <w:rPr>
          <w:rFonts w:ascii="Arial" w:hAnsi="Arial"/>
          <w:b w:val="false"/>
          <w:bCs w:val="false"/>
          <w:sz w:val="24"/>
          <w:szCs w:val="24"/>
          <w:lang w:val="en-GB"/>
        </w:rPr>
        <w:t xml:space="preserve">and </w:t>
      </w:r>
      <w:r>
        <w:rPr>
          <w:rFonts w:ascii="Arial" w:hAnsi="Arial"/>
          <w:b w:val="false"/>
          <w:bCs w:val="false"/>
          <w:i/>
          <w:iCs/>
          <w:sz w:val="24"/>
          <w:szCs w:val="24"/>
          <w:lang w:val="en-GB"/>
        </w:rPr>
        <w:t xml:space="preserve">H. numata </w:t>
      </w:r>
      <w:r>
        <w:rPr>
          <w:rFonts w:ascii="Arial" w:hAnsi="Arial"/>
          <w:b w:val="false"/>
          <w:bCs w:val="false"/>
          <w:i w:val="false"/>
          <w:iCs w:val="false"/>
          <w:sz w:val="24"/>
          <w:szCs w:val="24"/>
          <w:lang w:val="en-GB"/>
        </w:rPr>
        <w:t>and</w:t>
      </w:r>
      <w:r>
        <w:rPr>
          <w:rFonts w:ascii="Arial" w:hAnsi="Arial"/>
          <w:b w:val="false"/>
          <w:bCs w:val="false"/>
          <w:i/>
          <w:iCs/>
          <w:sz w:val="24"/>
          <w:szCs w:val="24"/>
          <w:lang w:val="en-GB"/>
        </w:rPr>
        <w:t xml:space="preserve"> H. ismenius</w:t>
      </w:r>
      <w:r>
        <w:rPr>
          <w:rFonts w:ascii="Arial" w:hAnsi="Arial"/>
          <w:b w:val="false"/>
          <w:bCs w:val="false"/>
          <w:sz w:val="24"/>
          <w:szCs w:val="24"/>
          <w:lang w:val="en-GB"/>
        </w:rPr>
        <w:t xml:space="preserve"> on the other hand, consistently with previous studies (</w:t>
      </w:r>
      <w:r>
        <w:rPr>
          <w:rFonts w:ascii="Arial" w:hAnsi="Arial"/>
          <w:b w:val="false"/>
          <w:bCs w:val="false"/>
          <w:i/>
          <w:iCs/>
          <w:sz w:val="24"/>
          <w:szCs w:val="24"/>
          <w:lang w:val="en-GB"/>
        </w:rPr>
        <w:t>i.e.</w:t>
      </w:r>
      <w:r>
        <w:rPr>
          <w:rFonts w:ascii="Arial" w:hAnsi="Arial"/>
          <w:b w:val="false"/>
          <w:bCs w:val="false"/>
          <w:sz w:val="24"/>
          <w:szCs w:val="24"/>
          <w:lang w:val="en-GB"/>
        </w:rPr>
        <w:t xml:space="preserve"> Ref. [22]. See Figure S1 for the phylogeny with all taxa). </w:t>
      </w:r>
      <w:r>
        <w:rPr>
          <w:rFonts w:ascii="Arial" w:hAnsi="Arial"/>
          <w:b/>
          <w:bCs/>
          <w:sz w:val="24"/>
          <w:szCs w:val="24"/>
          <w:lang w:val="en-GB"/>
        </w:rPr>
        <w:t>B</w:t>
      </w:r>
      <w:r>
        <w:rPr>
          <w:rFonts w:ascii="Arial" w:hAnsi="Arial"/>
          <w:b w:val="false"/>
          <w:bCs w:val="false"/>
          <w:sz w:val="24"/>
          <w:szCs w:val="24"/>
          <w:lang w:val="en-GB"/>
        </w:rPr>
        <w:t xml:space="preserve"> Undated inversion P</w:t>
      </w:r>
      <w:r>
        <w:rPr>
          <w:rFonts w:ascii="Arial" w:hAnsi="Arial"/>
          <w:b w:val="false"/>
          <w:bCs w:val="false"/>
          <w:sz w:val="24"/>
          <w:szCs w:val="24"/>
          <w:vertAlign w:val="subscript"/>
          <w:lang w:val="en-GB"/>
        </w:rPr>
        <w:t xml:space="preserve">1 </w:t>
      </w:r>
      <w:r>
        <w:rPr>
          <w:rFonts w:ascii="Arial" w:hAnsi="Arial"/>
          <w:b w:val="false"/>
          <w:bCs w:val="false"/>
          <w:sz w:val="24"/>
          <w:szCs w:val="24"/>
          <w:lang w:val="en-GB"/>
        </w:rPr>
        <w:t xml:space="preserve">phylogeny. All </w:t>
      </w:r>
      <w:r>
        <w:rPr>
          <w:rFonts w:ascii="Arial" w:hAnsi="Arial"/>
          <w:b w:val="false"/>
          <w:bCs w:val="false"/>
          <w:i/>
          <w:iCs/>
          <w:sz w:val="24"/>
          <w:szCs w:val="24"/>
          <w:lang w:val="en-GB"/>
        </w:rPr>
        <w:t>Hn</w:t>
      </w:r>
      <w:r>
        <w:rPr>
          <w:rFonts w:ascii="Arial" w:hAnsi="Arial"/>
          <w:b w:val="false"/>
          <w:bCs w:val="false"/>
          <w:sz w:val="24"/>
          <w:szCs w:val="24"/>
          <w:lang w:val="en-GB"/>
        </w:rPr>
        <w:t xml:space="preserve"> individuals displaying the inversion P</w:t>
      </w:r>
      <w:r>
        <w:rPr>
          <w:rFonts w:ascii="Arial" w:hAnsi="Arial"/>
          <w:b w:val="false"/>
          <w:bCs w:val="false"/>
          <w:sz w:val="24"/>
          <w:szCs w:val="24"/>
          <w:vertAlign w:val="subscript"/>
          <w:lang w:val="en-GB"/>
        </w:rPr>
        <w:t>1</w:t>
      </w:r>
      <w:r>
        <w:rPr>
          <w:rFonts w:ascii="Arial" w:hAnsi="Arial"/>
          <w:b w:val="false"/>
          <w:bCs w:val="false"/>
          <w:sz w:val="24"/>
          <w:szCs w:val="24"/>
          <w:lang w:val="en-GB"/>
        </w:rPr>
        <w:t xml:space="preserve"> (</w:t>
      </w:r>
      <w:r>
        <w:rPr>
          <w:rFonts w:ascii="Arial" w:hAnsi="Arial"/>
          <w:b w:val="false"/>
          <w:bCs w:val="false"/>
          <w:i/>
          <w:iCs/>
          <w:sz w:val="24"/>
          <w:szCs w:val="24"/>
          <w:lang w:val="en-GB"/>
        </w:rPr>
        <w:t>Hn1</w:t>
      </w:r>
      <w:r>
        <w:rPr>
          <w:rFonts w:ascii="Arial" w:hAnsi="Arial"/>
          <w:b w:val="false"/>
          <w:bCs w:val="false"/>
          <w:sz w:val="24"/>
          <w:szCs w:val="24"/>
          <w:lang w:val="en-GB"/>
        </w:rPr>
        <w:t xml:space="preserve">) group with </w:t>
      </w:r>
      <w:r>
        <w:rPr>
          <w:rFonts w:ascii="Arial" w:hAnsi="Arial"/>
          <w:b w:val="false"/>
          <w:bCs w:val="false"/>
          <w:i/>
          <w:iCs/>
          <w:sz w:val="24"/>
          <w:szCs w:val="24"/>
          <w:lang w:val="en-GB"/>
        </w:rPr>
        <w:t>Hp</w:t>
      </w:r>
      <w:r>
        <w:rPr>
          <w:rFonts w:ascii="Arial" w:hAnsi="Arial"/>
          <w:b w:val="false"/>
          <w:bCs w:val="false"/>
          <w:sz w:val="24"/>
          <w:szCs w:val="24"/>
          <w:lang w:val="en-GB"/>
        </w:rPr>
        <w:t xml:space="preserve">, while </w:t>
      </w:r>
      <w:r>
        <w:rPr>
          <w:rFonts w:ascii="Arial" w:hAnsi="Arial"/>
          <w:b w:val="false"/>
          <w:bCs w:val="false"/>
          <w:i/>
          <w:iCs/>
          <w:sz w:val="24"/>
          <w:szCs w:val="24"/>
          <w:lang w:val="en-GB"/>
        </w:rPr>
        <w:t>Hn</w:t>
      </w:r>
      <w:r>
        <w:rPr>
          <w:rFonts w:ascii="Arial" w:hAnsi="Arial"/>
          <w:b w:val="false"/>
          <w:bCs w:val="false"/>
          <w:sz w:val="24"/>
          <w:szCs w:val="24"/>
          <w:lang w:val="en-GB"/>
        </w:rPr>
        <w:t xml:space="preserve"> individuals displaying the ancestral arrangement (</w:t>
      </w:r>
      <w:r>
        <w:rPr>
          <w:rFonts w:ascii="Arial" w:hAnsi="Arial"/>
          <w:b w:val="false"/>
          <w:bCs w:val="false"/>
          <w:i/>
          <w:iCs/>
          <w:sz w:val="24"/>
          <w:szCs w:val="24"/>
          <w:lang w:val="en-GB"/>
        </w:rPr>
        <w:t>Hn0</w:t>
      </w:r>
      <w:r>
        <w:rPr>
          <w:rFonts w:ascii="Arial" w:hAnsi="Arial"/>
          <w:b w:val="false"/>
          <w:bCs w:val="false"/>
          <w:sz w:val="24"/>
          <w:szCs w:val="24"/>
          <w:lang w:val="en-GB"/>
        </w:rPr>
        <w:t xml:space="preserve">) remain with sister species </w:t>
      </w:r>
      <w:r>
        <w:rPr>
          <w:rFonts w:ascii="Arial" w:hAnsi="Arial"/>
          <w:b w:val="false"/>
          <w:bCs w:val="false"/>
          <w:i/>
          <w:sz w:val="24"/>
          <w:szCs w:val="24"/>
          <w:lang w:val="en-GB"/>
        </w:rPr>
        <w:t>Hi</w:t>
      </w:r>
      <w:r>
        <w:rPr>
          <w:rFonts w:ascii="Arial" w:hAnsi="Arial"/>
          <w:b w:val="false"/>
          <w:bCs w:val="false"/>
          <w:sz w:val="24"/>
          <w:szCs w:val="24"/>
          <w:lang w:val="en-GB"/>
        </w:rPr>
        <w:t xml:space="preserve">. </w:t>
      </w:r>
      <w:r>
        <w:rPr>
          <w:rFonts w:ascii="Arial" w:hAnsi="Arial"/>
          <w:b w:val="false"/>
          <w:bCs w:val="false"/>
          <w:i/>
          <w:iCs/>
          <w:sz w:val="24"/>
          <w:szCs w:val="24"/>
          <w:lang w:val="en-GB"/>
        </w:rPr>
        <w:t>He</w:t>
      </w:r>
      <w:r>
        <w:rPr>
          <w:rFonts w:ascii="Arial" w:hAnsi="Arial"/>
          <w:b w:val="false"/>
          <w:bCs w:val="false"/>
          <w:sz w:val="24"/>
          <w:szCs w:val="24"/>
          <w:lang w:val="en-GB"/>
        </w:rPr>
        <w:t xml:space="preserve"> groups closer to the outgroup (</w:t>
      </w:r>
      <w:r>
        <w:rPr>
          <w:rFonts w:ascii="Arial" w:hAnsi="Arial"/>
          <w:b w:val="false"/>
          <w:bCs w:val="false"/>
          <w:i/>
          <w:iCs/>
          <w:sz w:val="24"/>
          <w:szCs w:val="24"/>
          <w:lang w:val="en-GB"/>
        </w:rPr>
        <w:t>Hc</w:t>
      </w:r>
      <w:r>
        <w:rPr>
          <w:rFonts w:ascii="Arial" w:hAnsi="Arial"/>
          <w:b w:val="false"/>
          <w:bCs w:val="false"/>
          <w:sz w:val="24"/>
          <w:szCs w:val="24"/>
          <w:lang w:val="en-GB"/>
        </w:rPr>
        <w:t xml:space="preserve">) reflecting introgression with </w:t>
      </w:r>
      <w:r>
        <w:rPr>
          <w:rFonts w:ascii="Arial" w:hAnsi="Arial"/>
          <w:b w:val="false"/>
          <w:bCs w:val="false"/>
          <w:i/>
          <w:iCs/>
          <w:sz w:val="24"/>
          <w:szCs w:val="24"/>
          <w:lang w:val="en-GB"/>
        </w:rPr>
        <w:t>H. melpomene</w:t>
      </w:r>
      <w:r>
        <w:rPr>
          <w:rFonts w:ascii="Arial" w:hAnsi="Arial"/>
          <w:b w:val="false"/>
          <w:bCs w:val="false"/>
          <w:sz w:val="24"/>
          <w:szCs w:val="24"/>
          <w:lang w:val="en-GB"/>
        </w:rPr>
        <w:t xml:space="preserve">, a species closely related to </w:t>
      </w:r>
      <w:r>
        <w:rPr>
          <w:rFonts w:ascii="Arial" w:hAnsi="Arial"/>
          <w:b w:val="false"/>
          <w:bCs w:val="false"/>
          <w:i/>
          <w:iCs/>
          <w:sz w:val="24"/>
          <w:szCs w:val="24"/>
          <w:lang w:val="en-GB"/>
        </w:rPr>
        <w:t>Hc</w:t>
      </w:r>
      <w:r>
        <w:rPr>
          <w:rFonts w:ascii="Arial" w:hAnsi="Arial"/>
          <w:b w:val="false"/>
          <w:bCs w:val="false"/>
          <w:sz w:val="24"/>
          <w:szCs w:val="24"/>
          <w:lang w:val="en-GB"/>
        </w:rPr>
        <w:t xml:space="preserve"> (Figure S1; Ref. [23]). For clarity, only species informative to introgression history are represented here. The inversion is a 400kb segment displaying much phylogenetic heterogeneity among the other taxa, reflecting a complex history of gene flow and incomplete lineage sorting (see Figure S1 for phylogenies including all taxa).</w:t>
      </w:r>
    </w:p>
    <w:p>
      <w:pPr>
        <w:pStyle w:val="Standard"/>
        <w:bidi w:val="0"/>
        <w:spacing w:lineRule="auto" w:line="480"/>
        <w:jc w:val="left"/>
        <w:rPr>
          <w:rFonts w:ascii="Arial" w:hAnsi="Arial"/>
          <w:b w:val="false"/>
          <w:b w:val="false"/>
          <w:bCs w:val="false"/>
          <w:sz w:val="24"/>
          <w:szCs w:val="24"/>
          <w:lang w:val="en-GB"/>
        </w:rPr>
      </w:pPr>
      <w:r>
        <w:rPr>
          <w:rFonts w:ascii="Arial" w:hAnsi="Arial"/>
          <w:b w:val="false"/>
          <w:bCs w:val="false"/>
          <w:sz w:val="24"/>
          <w:szCs w:val="24"/>
          <w:lang w:val="en-GB"/>
        </w:rPr>
      </w:r>
    </w:p>
    <w:p>
      <w:pPr>
        <w:pStyle w:val="Standard"/>
        <w:bidi w:val="0"/>
        <w:spacing w:lineRule="auto" w:line="480"/>
        <w:jc w:val="left"/>
        <w:rPr>
          <w:rFonts w:ascii="Arial" w:hAnsi="Arial"/>
          <w:b/>
          <w:b/>
          <w:bCs/>
          <w:sz w:val="24"/>
          <w:szCs w:val="24"/>
          <w:lang w:val="en-GB"/>
        </w:rPr>
      </w:pPr>
      <w:r>
        <w:rPr>
          <w:rFonts w:ascii="Arial" w:hAnsi="Arial"/>
          <w:b/>
          <w:bCs/>
          <w:sz w:val="24"/>
          <w:szCs w:val="24"/>
          <w:lang w:val="en-GB"/>
        </w:rPr>
        <w:t>Figure 3 | Excess of shared derived mutations between Hp and Hn1.</w:t>
      </w:r>
    </w:p>
    <w:p>
      <w:pPr>
        <w:pStyle w:val="Standard"/>
        <w:bidi w:val="0"/>
        <w:spacing w:lineRule="auto" w:line="480"/>
        <w:jc w:val="both"/>
        <w:rPr>
          <w:rFonts w:ascii="Arial" w:hAnsi="Arial"/>
        </w:rPr>
      </w:pPr>
      <w:r>
        <w:rPr>
          <w:rFonts w:ascii="Arial" w:hAnsi="Arial"/>
          <w:b w:val="false"/>
          <w:bCs w:val="false"/>
          <w:i/>
          <w:iCs/>
          <w:sz w:val="24"/>
          <w:szCs w:val="24"/>
          <w:lang w:val="en-GB"/>
        </w:rPr>
        <w:t>fd</w:t>
      </w:r>
      <w:r>
        <w:rPr>
          <w:rFonts w:ascii="Arial" w:hAnsi="Arial"/>
          <w:b w:val="false"/>
          <w:bCs w:val="false"/>
          <w:sz w:val="24"/>
          <w:szCs w:val="24"/>
          <w:lang w:val="en-GB"/>
        </w:rPr>
        <w:t xml:space="preserve"> statistic computed in non-overlapping 20 kb sliding windows and</w:t>
      </w:r>
      <w:r>
        <w:rPr>
          <w:rFonts w:ascii="Arial" w:hAnsi="Arial"/>
          <w:b w:val="false"/>
          <w:bCs w:val="false"/>
          <w:sz w:val="20"/>
          <w:szCs w:val="20"/>
          <w:lang w:val="en-GB"/>
        </w:rPr>
        <w:t xml:space="preserve"> </w:t>
      </w:r>
      <w:r>
        <w:rPr>
          <w:rFonts w:ascii="Arial" w:hAnsi="Arial"/>
          <w:b w:val="false"/>
          <w:bCs w:val="false"/>
          <w:sz w:val="24"/>
          <w:szCs w:val="24"/>
          <w:lang w:val="en-GB"/>
        </w:rPr>
        <w:t>plotted along the whole genome.</w:t>
      </w:r>
      <w:r>
        <w:rPr>
          <w:rFonts w:ascii="Arial" w:hAnsi="Arial"/>
          <w:b w:val="false"/>
          <w:bCs w:val="false"/>
          <w:i/>
          <w:iCs/>
          <w:sz w:val="24"/>
          <w:szCs w:val="24"/>
          <w:lang w:val="en-GB"/>
        </w:rPr>
        <w:t xml:space="preserve"> </w:t>
      </w:r>
      <w:r>
        <w:rPr>
          <w:rFonts w:ascii="Arial" w:hAnsi="Arial"/>
          <w:b w:val="false"/>
          <w:bCs w:val="false"/>
          <w:sz w:val="24"/>
          <w:szCs w:val="24"/>
          <w:lang w:val="en-GB"/>
        </w:rPr>
        <w:t xml:space="preserve">The ABBA-BABA framework and related statistics assess here the excess of shared derived mutations between </w:t>
      </w:r>
      <w:r>
        <w:rPr>
          <w:rFonts w:ascii="Arial" w:hAnsi="Arial"/>
          <w:b w:val="false"/>
          <w:bCs w:val="false"/>
          <w:i/>
          <w:iCs/>
          <w:sz w:val="24"/>
          <w:szCs w:val="24"/>
          <w:lang w:val="en-GB"/>
        </w:rPr>
        <w:t>Hp</w:t>
      </w:r>
      <w:r>
        <w:rPr>
          <w:rFonts w:ascii="Arial" w:hAnsi="Arial"/>
          <w:b w:val="false"/>
          <w:bCs w:val="false"/>
          <w:sz w:val="24"/>
          <w:szCs w:val="24"/>
          <w:lang w:val="en-GB"/>
        </w:rPr>
        <w:t xml:space="preserve"> and </w:t>
      </w:r>
      <w:r>
        <w:rPr>
          <w:rFonts w:ascii="Arial" w:hAnsi="Arial"/>
          <w:b w:val="false"/>
          <w:bCs w:val="false"/>
          <w:i/>
          <w:iCs/>
          <w:sz w:val="24"/>
          <w:szCs w:val="24"/>
          <w:lang w:val="en-GB"/>
        </w:rPr>
        <w:t>Hn1</w:t>
      </w:r>
      <w:r>
        <w:rPr>
          <w:rFonts w:ascii="Arial" w:hAnsi="Arial"/>
          <w:b w:val="false"/>
          <w:bCs w:val="false"/>
          <w:sz w:val="24"/>
          <w:szCs w:val="24"/>
          <w:lang w:val="en-GB"/>
        </w:rPr>
        <w:t>, relative to a control (</w:t>
      </w:r>
      <w:r>
        <w:rPr>
          <w:rFonts w:ascii="Arial" w:hAnsi="Arial"/>
          <w:b w:val="false"/>
          <w:bCs w:val="false"/>
          <w:i/>
          <w:iCs/>
          <w:sz w:val="24"/>
          <w:szCs w:val="24"/>
          <w:lang w:val="en-GB"/>
        </w:rPr>
        <w:t>Hi</w:t>
      </w:r>
      <w:r>
        <w:rPr>
          <w:rFonts w:ascii="Arial" w:hAnsi="Arial"/>
          <w:b w:val="false"/>
          <w:bCs w:val="false"/>
          <w:sz w:val="24"/>
          <w:szCs w:val="24"/>
          <w:lang w:val="en-GB"/>
        </w:rPr>
        <w:t xml:space="preserve">) not connected by gene flow to the others. Outgroup </w:t>
      </w:r>
      <w:r>
        <w:rPr>
          <w:rFonts w:ascii="Arial" w:hAnsi="Arial"/>
          <w:b w:val="false"/>
          <w:bCs w:val="false"/>
          <w:i/>
          <w:iCs/>
          <w:sz w:val="24"/>
          <w:szCs w:val="24"/>
          <w:lang w:val="en-GB"/>
        </w:rPr>
        <w:t>Hc</w:t>
      </w:r>
      <w:r>
        <w:rPr>
          <w:rFonts w:ascii="Arial" w:hAnsi="Arial"/>
          <w:b w:val="false"/>
          <w:bCs w:val="false"/>
          <w:sz w:val="24"/>
          <w:szCs w:val="24"/>
          <w:lang w:val="en-GB"/>
        </w:rPr>
        <w:t xml:space="preserve"> allows the mutations to be polarized as “ancestral”(A) or “derived”(B). A mean </w:t>
      </w:r>
      <w:r>
        <w:rPr>
          <w:rFonts w:ascii="Arial" w:hAnsi="Arial"/>
          <w:b w:val="false"/>
          <w:bCs w:val="false"/>
          <w:i/>
          <w:iCs/>
          <w:sz w:val="24"/>
          <w:szCs w:val="24"/>
          <w:lang w:val="en-GB"/>
        </w:rPr>
        <w:t xml:space="preserve">fd </w:t>
      </w:r>
      <w:r>
        <w:rPr>
          <w:rFonts w:ascii="Arial" w:hAnsi="Arial"/>
          <w:b w:val="false"/>
          <w:bCs w:val="false"/>
          <w:sz w:val="24"/>
          <w:szCs w:val="24"/>
          <w:lang w:val="en-GB"/>
        </w:rPr>
        <w:t xml:space="preserve">= 0 is expected if </w:t>
      </w:r>
      <w:r>
        <w:rPr>
          <w:rFonts w:ascii="Arial" w:hAnsi="Arial"/>
          <w:b w:val="false"/>
          <w:bCs w:val="false"/>
          <w:i/>
          <w:iCs/>
          <w:sz w:val="24"/>
          <w:szCs w:val="24"/>
          <w:lang w:val="en-GB"/>
        </w:rPr>
        <w:t>Hp</w:t>
      </w:r>
      <w:r>
        <w:rPr>
          <w:rFonts w:ascii="Arial" w:hAnsi="Arial"/>
          <w:b w:val="false"/>
          <w:bCs w:val="false"/>
          <w:sz w:val="24"/>
          <w:szCs w:val="24"/>
          <w:lang w:val="en-GB"/>
        </w:rPr>
        <w:t xml:space="preserve"> is not connected by gene flow to </w:t>
      </w:r>
      <w:r>
        <w:rPr>
          <w:rFonts w:ascii="Arial" w:hAnsi="Arial"/>
          <w:b w:val="false"/>
          <w:bCs w:val="false"/>
          <w:i/>
          <w:iCs/>
          <w:sz w:val="24"/>
          <w:szCs w:val="24"/>
          <w:lang w:val="en-GB"/>
        </w:rPr>
        <w:t>Hn1</w:t>
      </w:r>
      <w:r>
        <w:rPr>
          <w:rFonts w:ascii="Arial" w:hAnsi="Arial"/>
          <w:b w:val="false"/>
          <w:bCs w:val="false"/>
          <w:sz w:val="24"/>
          <w:szCs w:val="24"/>
          <w:lang w:val="en-GB"/>
        </w:rPr>
        <w:t>. Unmapped contigs are grouped within an “A” chromosome. The supergene scaffold (HE667780) is indicated by a blue arrow. Standard error was assessed with block jackknifing (600 kb block size). See also Figure S2.</w:t>
      </w:r>
    </w:p>
    <w:p>
      <w:pPr>
        <w:pStyle w:val="Standard"/>
        <w:bidi w:val="0"/>
        <w:spacing w:lineRule="auto" w:line="480"/>
        <w:jc w:val="both"/>
        <w:rPr>
          <w:rFonts w:ascii="Arial" w:hAnsi="Arial"/>
          <w:b w:val="false"/>
          <w:b w:val="false"/>
          <w:bCs w:val="false"/>
          <w:sz w:val="24"/>
          <w:szCs w:val="24"/>
          <w:lang w:val="en-GB"/>
        </w:rPr>
      </w:pPr>
      <w:r>
        <w:rPr>
          <w:rFonts w:ascii="Arial" w:hAnsi="Arial"/>
          <w:b w:val="false"/>
          <w:bCs w:val="false"/>
          <w:sz w:val="24"/>
          <w:szCs w:val="24"/>
          <w:lang w:val="en-GB"/>
        </w:rPr>
      </w:r>
    </w:p>
    <w:p>
      <w:pPr>
        <w:pStyle w:val="Standard"/>
        <w:bidi w:val="0"/>
        <w:spacing w:lineRule="auto" w:line="480"/>
        <w:jc w:val="both"/>
        <w:rPr>
          <w:rFonts w:ascii="Arial" w:hAnsi="Arial"/>
          <w:b/>
          <w:b/>
          <w:bCs/>
          <w:lang w:val="en-GB"/>
        </w:rPr>
      </w:pPr>
      <w:r>
        <w:rPr>
          <w:rFonts w:ascii="Arial" w:hAnsi="Arial"/>
          <w:b/>
          <w:bCs/>
          <w:lang w:val="en-GB"/>
        </w:rPr>
        <w:t>Figure 4 | Phylogenetic and divergence variation at the supergene scaffold</w:t>
      </w:r>
    </w:p>
    <w:p>
      <w:pPr>
        <w:pStyle w:val="Normal"/>
        <w:spacing w:lineRule="auto" w:line="480"/>
        <w:rPr/>
      </w:pPr>
      <w:r>
        <w:rPr>
          <w:rFonts w:ascii="Arial" w:hAnsi="Arial"/>
          <w:b/>
          <w:bCs/>
          <w:lang w:val="en-GB"/>
        </w:rPr>
        <w:t>A</w:t>
      </w:r>
      <w:r>
        <w:rPr>
          <w:rFonts w:ascii="Arial" w:hAnsi="Arial"/>
          <w:b w:val="false"/>
          <w:bCs w:val="false"/>
          <w:lang w:val="en-GB"/>
        </w:rPr>
        <w:t xml:space="preserve"> Weightings (Twisst [28]) for all fifteen possible phylogenetical topologies between </w:t>
      </w:r>
      <w:r>
        <w:rPr>
          <w:rFonts w:ascii="Arial" w:hAnsi="Arial"/>
          <w:b w:val="false"/>
          <w:bCs w:val="false"/>
          <w:i/>
          <w:iCs/>
          <w:lang w:val="en-GB"/>
        </w:rPr>
        <w:t>H. numata</w:t>
      </w:r>
      <w:r>
        <w:rPr>
          <w:rFonts w:ascii="Arial" w:hAnsi="Arial"/>
          <w:b w:val="false"/>
          <w:bCs w:val="false"/>
          <w:lang w:val="en-GB"/>
        </w:rPr>
        <w:t xml:space="preserve"> with inversion (</w:t>
      </w:r>
      <w:r>
        <w:rPr>
          <w:rFonts w:ascii="Arial" w:hAnsi="Arial"/>
          <w:b w:val="false"/>
          <w:bCs w:val="false"/>
          <w:i/>
          <w:iCs/>
          <w:lang w:val="en-GB"/>
        </w:rPr>
        <w:t>Hn1</w:t>
      </w:r>
      <w:r>
        <w:rPr>
          <w:rFonts w:ascii="Arial" w:hAnsi="Arial"/>
          <w:b w:val="false"/>
          <w:bCs w:val="false"/>
          <w:lang w:val="en-GB"/>
        </w:rPr>
        <w:t xml:space="preserve">), </w:t>
      </w:r>
      <w:r>
        <w:rPr>
          <w:rFonts w:ascii="Arial" w:hAnsi="Arial"/>
          <w:b w:val="false"/>
          <w:bCs w:val="false"/>
          <w:i/>
          <w:iCs/>
          <w:lang w:val="en-GB"/>
        </w:rPr>
        <w:t>H. numata</w:t>
      </w:r>
      <w:r>
        <w:rPr>
          <w:rFonts w:ascii="Arial" w:hAnsi="Arial"/>
          <w:b w:val="false"/>
          <w:bCs w:val="false"/>
          <w:lang w:val="en-GB"/>
        </w:rPr>
        <w:t xml:space="preserve"> without inversion (</w:t>
      </w:r>
      <w:r>
        <w:rPr>
          <w:rFonts w:ascii="Arial" w:hAnsi="Arial"/>
          <w:b w:val="false"/>
          <w:bCs w:val="false"/>
          <w:i/>
          <w:iCs/>
          <w:lang w:val="en-GB"/>
        </w:rPr>
        <w:t>Hn0</w:t>
      </w:r>
      <w:r>
        <w:rPr>
          <w:rFonts w:ascii="Arial" w:hAnsi="Arial"/>
          <w:b w:val="false"/>
          <w:bCs w:val="false"/>
          <w:lang w:val="en-GB"/>
        </w:rPr>
        <w:t>),</w:t>
      </w:r>
      <w:r>
        <w:rPr>
          <w:rFonts w:ascii="Arial" w:hAnsi="Arial"/>
          <w:b w:val="false"/>
          <w:bCs w:val="false"/>
          <w:i/>
          <w:iCs/>
          <w:lang w:val="en-GB"/>
        </w:rPr>
        <w:t xml:space="preserve"> H. ismenius (Hi), H. pardalinus (Hp)</w:t>
      </w:r>
      <w:r>
        <w:rPr>
          <w:rFonts w:ascii="Arial" w:hAnsi="Arial"/>
          <w:b w:val="false"/>
          <w:bCs w:val="false"/>
          <w:lang w:val="en-GB"/>
        </w:rPr>
        <w:t xml:space="preserve"> and </w:t>
      </w:r>
      <w:r>
        <w:rPr>
          <w:rFonts w:ascii="Arial" w:hAnsi="Arial"/>
          <w:b w:val="false"/>
          <w:bCs w:val="false"/>
          <w:i/>
          <w:iCs/>
          <w:lang w:val="en-GB"/>
        </w:rPr>
        <w:t>H. elevatus (He)</w:t>
      </w:r>
      <w:r>
        <w:rPr>
          <w:rFonts w:ascii="Arial" w:hAnsi="Arial"/>
          <w:b w:val="false"/>
          <w:bCs w:val="false"/>
          <w:lang w:val="en-GB"/>
        </w:rPr>
        <w:t xml:space="preserve">, with loess smoothing (level = 0.05).Topology 1 is the species topology. Strong topology change occurs around inversion breakpoints. Within the inversion, the best supported topologies (2, 3 &amp; 4) group </w:t>
      </w:r>
      <w:r>
        <w:rPr>
          <w:rFonts w:ascii="Arial" w:hAnsi="Arial"/>
          <w:b w:val="false"/>
          <w:bCs w:val="false"/>
          <w:i/>
          <w:iCs/>
          <w:lang w:val="en-GB"/>
        </w:rPr>
        <w:t>Hn1</w:t>
      </w:r>
      <w:r>
        <w:rPr>
          <w:rFonts w:ascii="Arial" w:hAnsi="Arial"/>
          <w:b w:val="false"/>
          <w:bCs w:val="false"/>
          <w:lang w:val="en-GB"/>
        </w:rPr>
        <w:t xml:space="preserve"> close to </w:t>
      </w:r>
      <w:r>
        <w:rPr>
          <w:rFonts w:ascii="Arial" w:hAnsi="Arial"/>
          <w:b w:val="false"/>
          <w:bCs w:val="false"/>
          <w:i/>
          <w:iCs/>
          <w:lang w:val="en-GB"/>
        </w:rPr>
        <w:t xml:space="preserve">Hp. </w:t>
      </w:r>
      <w:r>
        <w:rPr>
          <w:rFonts w:ascii="Arial" w:hAnsi="Arial"/>
          <w:b w:val="false"/>
          <w:bCs w:val="false"/>
          <w:i w:val="false"/>
          <w:iCs w:val="false"/>
          <w:lang w:val="en-GB"/>
        </w:rPr>
        <w:t xml:space="preserve">See Figure S4 for Twisst analyses with other taxa. </w:t>
      </w:r>
      <w:r>
        <w:rPr>
          <w:rFonts w:ascii="Arial" w:hAnsi="Arial"/>
          <w:b/>
          <w:bCs/>
          <w:lang w:val="en-GB"/>
        </w:rPr>
        <w:t xml:space="preserve">B </w:t>
      </w:r>
      <w:r>
        <w:rPr>
          <w:rFonts w:ascii="Arial" w:hAnsi="Arial"/>
          <w:lang w:val="en-GB"/>
        </w:rPr>
        <w:t>F</w:t>
      </w:r>
      <w:r>
        <w:rPr>
          <w:rFonts w:ascii="Arial" w:hAnsi="Arial"/>
          <w:vertAlign w:val="subscript"/>
          <w:lang w:val="en-GB"/>
        </w:rPr>
        <w:t>ST</w:t>
      </w:r>
      <w:r>
        <w:rPr>
          <w:rFonts w:ascii="Arial" w:hAnsi="Arial"/>
          <w:lang w:val="en-GB"/>
        </w:rPr>
        <w:t xml:space="preserve"> scan between Hn1 and Hn0. Inversion P</w:t>
      </w:r>
      <w:r>
        <w:rPr>
          <w:rFonts w:ascii="Arial" w:hAnsi="Arial"/>
          <w:vertAlign w:val="subscript"/>
          <w:lang w:val="en-GB"/>
        </w:rPr>
        <w:t xml:space="preserve">1 </w:t>
      </w:r>
      <w:r>
        <w:rPr>
          <w:rFonts w:ascii="Arial" w:hAnsi="Arial"/>
          <w:lang w:val="en-GB"/>
        </w:rPr>
        <w:t>shows a generally high Fst value contrary to the rest of the genome. P</w:t>
      </w:r>
      <w:r>
        <w:rPr>
          <w:rFonts w:ascii="Arial" w:hAnsi="Arial"/>
          <w:vertAlign w:val="subscript"/>
          <w:lang w:val="en-GB"/>
        </w:rPr>
        <w:t xml:space="preserve">2 </w:t>
      </w:r>
      <w:r>
        <w:rPr>
          <w:rFonts w:ascii="Arial" w:hAnsi="Arial"/>
          <w:lang w:val="en-GB"/>
        </w:rPr>
        <w:t>rearrangement (1028-1330 kb) shows lower but nonetheless elevated F</w:t>
      </w:r>
      <w:r>
        <w:rPr>
          <w:rFonts w:ascii="Arial" w:hAnsi="Arial"/>
          <w:vertAlign w:val="subscript"/>
          <w:lang w:val="en-GB"/>
        </w:rPr>
        <w:t>ST</w:t>
      </w:r>
      <w:r>
        <w:rPr>
          <w:rFonts w:ascii="Arial" w:hAnsi="Arial"/>
          <w:lang w:val="en-GB"/>
        </w:rPr>
        <w:t xml:space="preserve"> values. </w:t>
      </w:r>
      <w:r>
        <w:rPr>
          <w:rFonts w:ascii="Arial" w:hAnsi="Arial"/>
          <w:b/>
          <w:bCs/>
          <w:lang w:val="en-GB"/>
        </w:rPr>
        <w:t>C</w:t>
      </w:r>
      <w:r>
        <w:rPr>
          <w:rFonts w:ascii="Arial" w:hAnsi="Arial"/>
          <w:lang w:val="en-GB"/>
        </w:rPr>
        <w:t xml:space="preserve"> </w:t>
      </w:r>
      <w:r>
        <w:rPr>
          <w:rFonts w:ascii="Arial" w:hAnsi="Arial"/>
          <w:i/>
          <w:iCs/>
          <w:lang w:val="en-GB"/>
        </w:rPr>
        <w:t>f</w:t>
      </w:r>
      <w:bookmarkStart w:id="11" w:name="__DdeLink__1166_20930007131"/>
      <w:r>
        <w:rPr>
          <w:rFonts w:ascii="Arial" w:hAnsi="Arial"/>
          <w:i/>
          <w:iCs/>
          <w:lang w:val="en-GB"/>
        </w:rPr>
        <w:t>d</w:t>
      </w:r>
      <w:r>
        <w:rPr>
          <w:rFonts w:ascii="Arial" w:hAnsi="Arial"/>
          <w:lang w:val="en-GB"/>
        </w:rPr>
        <w:t xml:space="preserve"> statistic (ABBA-BABA) computed in 10 kb sliding windows (increment = 500bp) with P1= </w:t>
      </w:r>
      <w:bookmarkEnd w:id="11"/>
      <w:r>
        <w:rPr>
          <w:rFonts w:ascii="Arial" w:hAnsi="Arial"/>
          <w:i/>
          <w:iCs/>
          <w:lang w:val="en-GB"/>
        </w:rPr>
        <w:t xml:space="preserve">Hn0, P2=Hn1, P3=Hp, O=Hc. </w:t>
      </w:r>
      <w:r>
        <w:rPr>
          <w:rFonts w:ascii="Arial" w:hAnsi="Arial"/>
          <w:lang w:val="en-GB"/>
        </w:rPr>
        <w:t xml:space="preserve">Outside the inversion, a </w:t>
      </w:r>
      <w:r>
        <w:rPr>
          <w:rFonts w:ascii="Arial" w:hAnsi="Arial"/>
          <w:i/>
          <w:iCs/>
          <w:lang w:val="en-GB"/>
        </w:rPr>
        <w:t>fd</w:t>
      </w:r>
      <w:r>
        <w:rPr>
          <w:rFonts w:ascii="Arial" w:hAnsi="Arial"/>
          <w:lang w:val="en-GB"/>
        </w:rPr>
        <w:t xml:space="preserve"> value close to 0 is observed, as expected under a no gene flow scenario. At P</w:t>
      </w:r>
      <w:r>
        <w:rPr>
          <w:rFonts w:ascii="Arial" w:hAnsi="Arial"/>
          <w:vertAlign w:val="subscript"/>
          <w:lang w:val="en-GB"/>
        </w:rPr>
        <w:t>1</w:t>
      </w:r>
      <w:r>
        <w:rPr>
          <w:rFonts w:ascii="Arial" w:hAnsi="Arial"/>
          <w:lang w:val="en-GB"/>
        </w:rPr>
        <w:t xml:space="preserve"> inversion breakpoints, the </w:t>
      </w:r>
      <w:r>
        <w:rPr>
          <w:rFonts w:ascii="Arial" w:hAnsi="Arial"/>
          <w:i/>
          <w:iCs/>
          <w:lang w:val="en-GB"/>
        </w:rPr>
        <w:t xml:space="preserve">fd </w:t>
      </w:r>
      <w:r>
        <w:rPr>
          <w:rFonts w:ascii="Arial" w:hAnsi="Arial"/>
          <w:lang w:val="en-GB"/>
        </w:rPr>
        <w:t xml:space="preserve">values strongly increase and remains high in the whole inversion. </w:t>
      </w:r>
      <w:r>
        <w:rPr>
          <w:rFonts w:ascii="Arial" w:hAnsi="Arial"/>
          <w:b/>
          <w:bCs/>
          <w:lang w:val="en-GB"/>
        </w:rPr>
        <w:t>D</w:t>
      </w:r>
      <w:r>
        <w:rPr>
          <w:rFonts w:ascii="Arial" w:hAnsi="Arial"/>
          <w:lang w:val="en-GB"/>
        </w:rPr>
        <w:t xml:space="preserve"> </w:t>
      </w:r>
      <w:r>
        <w:rPr>
          <w:rFonts w:ascii="Arial" w:hAnsi="Arial"/>
          <w:b/>
          <w:bCs/>
          <w:lang w:val="en-GB"/>
        </w:rPr>
        <w:t xml:space="preserve"> </w:t>
      </w:r>
      <w:bookmarkStart w:id="12" w:name="__DdeLink__8939_5779829871"/>
      <w:r>
        <w:rPr>
          <w:rFonts w:ascii="Arial" w:hAnsi="Arial"/>
          <w:lang w:val="en-GB"/>
        </w:rPr>
        <w:t xml:space="preserve">Variation in divergence time between </w:t>
      </w:r>
      <w:r>
        <w:rPr>
          <w:rFonts w:ascii="Arial" w:hAnsi="Arial"/>
          <w:i/>
          <w:iCs/>
          <w:lang w:val="en-GB"/>
        </w:rPr>
        <w:t>Hn1</w:t>
      </w:r>
      <w:r>
        <w:rPr>
          <w:rFonts w:ascii="Arial" w:hAnsi="Arial"/>
          <w:lang w:val="en-GB"/>
        </w:rPr>
        <w:t xml:space="preserve"> and </w:t>
      </w:r>
      <w:r>
        <w:rPr>
          <w:rFonts w:ascii="Arial" w:hAnsi="Arial"/>
          <w:i/>
          <w:iCs/>
          <w:lang w:val="en-GB"/>
        </w:rPr>
        <w:t xml:space="preserve">Hp, </w:t>
      </w:r>
      <w:bookmarkEnd w:id="12"/>
      <w:r>
        <w:rPr>
          <w:rFonts w:ascii="Arial" w:hAnsi="Arial"/>
          <w:lang w:val="en-GB"/>
        </w:rPr>
        <w:t>computed in 10 kb non-overlapping sliding windows. The divergence time inside the inversion is significantly lower than in the rest of the genome. See also Figure S3.</w:t>
      </w:r>
      <w:r>
        <w:br w:type="page"/>
      </w:r>
    </w:p>
    <w:p>
      <w:pPr>
        <w:pStyle w:val="Normal"/>
        <w:bidi w:val="0"/>
        <w:spacing w:lineRule="auto" w:line="480"/>
        <w:jc w:val="both"/>
        <w:rPr>
          <w:rFonts w:ascii="Arial" w:hAnsi="Arial"/>
          <w:b/>
          <w:b/>
          <w:bCs/>
          <w:sz w:val="28"/>
          <w:szCs w:val="28"/>
          <w:lang w:val="en-GB"/>
        </w:rPr>
      </w:pPr>
      <w:r>
        <w:rPr>
          <w:rFonts w:ascii="Arial" w:hAnsi="Arial"/>
          <w:b/>
          <w:bCs/>
          <w:sz w:val="28"/>
          <w:szCs w:val="28"/>
          <w:lang w:val="en-GB"/>
        </w:rPr>
        <w:t>Contact for reagent and resource sharing</w:t>
      </w:r>
    </w:p>
    <w:p>
      <w:pPr>
        <w:pStyle w:val="Normal"/>
        <w:spacing w:lineRule="auto" w:line="480"/>
        <w:rPr>
          <w:rFonts w:ascii="Arial" w:hAnsi="Arial"/>
          <w:sz w:val="24"/>
          <w:szCs w:val="24"/>
        </w:rPr>
      </w:pPr>
      <w:r>
        <w:rPr>
          <w:rFonts w:ascii="Arial" w:hAnsi="Arial"/>
          <w:sz w:val="24"/>
          <w:szCs w:val="24"/>
        </w:rPr>
        <w:t>Further information and requests of resources should be directed to and will be fulfilled by the Lead Contact, Mathieu Joron (mathieu.joron@cefe.cnrs.fr)</w:t>
      </w:r>
    </w:p>
    <w:p>
      <w:pPr>
        <w:pStyle w:val="Standard"/>
        <w:bidi w:val="0"/>
        <w:spacing w:lineRule="auto" w:line="480"/>
        <w:jc w:val="both"/>
        <w:rPr>
          <w:rFonts w:ascii="Arial" w:hAnsi="Arial"/>
          <w:b/>
          <w:b/>
          <w:bCs/>
          <w:sz w:val="28"/>
          <w:szCs w:val="28"/>
          <w:lang w:val="en-GB"/>
        </w:rPr>
      </w:pPr>
      <w:r>
        <w:rPr>
          <w:rFonts w:ascii="Arial" w:hAnsi="Arial"/>
          <w:b/>
          <w:bCs/>
          <w:sz w:val="28"/>
          <w:szCs w:val="28"/>
          <w:lang w:val="en-GB"/>
        </w:rPr>
        <w:t>STAR Methods</w:t>
      </w:r>
    </w:p>
    <w:p>
      <w:pPr>
        <w:pStyle w:val="Standard"/>
        <w:bidi w:val="0"/>
        <w:spacing w:lineRule="auto" w:line="480"/>
        <w:jc w:val="both"/>
        <w:rPr>
          <w:rFonts w:ascii="Arial" w:hAnsi="Arial"/>
          <w:b/>
          <w:b/>
          <w:bCs/>
          <w:sz w:val="24"/>
          <w:szCs w:val="24"/>
          <w:lang w:val="en-GB"/>
        </w:rPr>
      </w:pPr>
      <w:r>
        <w:rPr>
          <w:rFonts w:ascii="Arial" w:hAnsi="Arial"/>
          <w:b/>
          <w:bCs/>
          <w:sz w:val="24"/>
          <w:szCs w:val="24"/>
          <w:lang w:val="en-GB"/>
        </w:rPr>
        <w:t>Experimental model and subject details</w:t>
      </w:r>
    </w:p>
    <w:p>
      <w:pPr>
        <w:pStyle w:val="Standard"/>
        <w:bidi w:val="0"/>
        <w:spacing w:lineRule="auto" w:line="480"/>
        <w:jc w:val="left"/>
        <w:rPr>
          <w:rFonts w:ascii="Arial" w:hAnsi="Arial"/>
        </w:rPr>
      </w:pPr>
      <w:r>
        <w:rPr>
          <w:rFonts w:ascii="Arial" w:hAnsi="Arial"/>
          <w:b w:val="false"/>
          <w:bCs w:val="false"/>
          <w:lang w:val="en-GB"/>
        </w:rPr>
        <w:t xml:space="preserve">92 specimens (male or female without distinction) of </w:t>
      </w:r>
      <w:r>
        <w:rPr>
          <w:rFonts w:ascii="Arial" w:hAnsi="Arial"/>
          <w:b w:val="false"/>
          <w:bCs w:val="false"/>
          <w:i/>
          <w:iCs/>
          <w:lang w:val="en-GB"/>
        </w:rPr>
        <w:t>H. numata</w:t>
      </w:r>
      <w:r>
        <w:rPr>
          <w:rFonts w:ascii="Arial" w:hAnsi="Arial"/>
          <w:b w:val="false"/>
          <w:bCs w:val="false"/>
          <w:lang w:val="en-GB"/>
        </w:rPr>
        <w:t xml:space="preserve">, </w:t>
      </w:r>
      <w:r>
        <w:rPr>
          <w:rFonts w:ascii="Arial" w:hAnsi="Arial"/>
          <w:b w:val="false"/>
          <w:bCs w:val="false"/>
          <w:i/>
          <w:iCs/>
          <w:lang w:val="en-GB"/>
        </w:rPr>
        <w:t>H. ismenius</w:t>
      </w:r>
      <w:r>
        <w:rPr>
          <w:rFonts w:ascii="Arial" w:hAnsi="Arial"/>
          <w:b w:val="false"/>
          <w:bCs w:val="false"/>
          <w:lang w:val="en-GB"/>
        </w:rPr>
        <w:t xml:space="preserve">, </w:t>
      </w:r>
      <w:r>
        <w:rPr>
          <w:rFonts w:ascii="Arial" w:hAnsi="Arial"/>
          <w:b w:val="false"/>
          <w:bCs w:val="false"/>
          <w:i/>
          <w:iCs/>
          <w:lang w:val="en-GB"/>
        </w:rPr>
        <w:t>H. elevatus</w:t>
      </w:r>
      <w:r>
        <w:rPr>
          <w:rFonts w:ascii="Arial" w:hAnsi="Arial"/>
          <w:b w:val="false"/>
          <w:bCs w:val="false"/>
          <w:lang w:val="en-GB"/>
        </w:rPr>
        <w:t xml:space="preserve">, </w:t>
      </w:r>
      <w:r>
        <w:rPr>
          <w:rFonts w:ascii="Arial" w:hAnsi="Arial"/>
          <w:b w:val="false"/>
          <w:bCs w:val="false"/>
          <w:i/>
          <w:iCs/>
          <w:lang w:val="en-GB"/>
        </w:rPr>
        <w:t>H. pardalinus</w:t>
      </w:r>
      <w:r>
        <w:rPr>
          <w:rFonts w:ascii="Arial" w:hAnsi="Arial"/>
          <w:b w:val="false"/>
          <w:bCs w:val="false"/>
          <w:lang w:val="en-GB"/>
        </w:rPr>
        <w:t xml:space="preserve">, </w:t>
      </w:r>
      <w:r>
        <w:rPr>
          <w:rFonts w:ascii="Arial" w:hAnsi="Arial"/>
          <w:b w:val="false"/>
          <w:bCs w:val="false"/>
          <w:i/>
          <w:iCs/>
          <w:lang w:val="en-GB"/>
        </w:rPr>
        <w:t xml:space="preserve">H. hecale, H. ethilla, H. besckei, H. melpomene </w:t>
      </w:r>
      <w:r>
        <w:rPr>
          <w:rFonts w:ascii="Arial" w:hAnsi="Arial"/>
          <w:b w:val="false"/>
          <w:bCs w:val="false"/>
          <w:lang w:val="en-GB"/>
        </w:rPr>
        <w:t>and</w:t>
      </w:r>
      <w:r>
        <w:rPr>
          <w:rFonts w:ascii="Arial" w:hAnsi="Arial"/>
          <w:b w:val="false"/>
          <w:bCs w:val="false"/>
          <w:i/>
          <w:iCs/>
          <w:lang w:val="en-GB"/>
        </w:rPr>
        <w:t xml:space="preserve"> H. cydno</w:t>
      </w:r>
      <w:r>
        <w:rPr>
          <w:rFonts w:ascii="Arial" w:hAnsi="Arial"/>
          <w:b w:val="false"/>
          <w:bCs w:val="false"/>
          <w:lang w:val="en-GB"/>
        </w:rPr>
        <w:t xml:space="preserve"> were collected in the wild in Peru, Ecuador, Colombia, French Guiana, Panama and Mexico (Table S1)</w:t>
      </w:r>
    </w:p>
    <w:p>
      <w:pPr>
        <w:pStyle w:val="Standard"/>
        <w:bidi w:val="0"/>
        <w:spacing w:lineRule="auto" w:line="480"/>
        <w:jc w:val="left"/>
        <w:rPr>
          <w:rFonts w:ascii="Arial" w:hAnsi="Arial"/>
          <w:b/>
          <w:b/>
          <w:bCs/>
          <w:sz w:val="24"/>
          <w:szCs w:val="24"/>
          <w:lang w:val="en-GB"/>
        </w:rPr>
      </w:pPr>
      <w:r>
        <w:rPr>
          <w:rFonts w:ascii="Arial" w:hAnsi="Arial"/>
          <w:b/>
          <w:bCs/>
          <w:sz w:val="24"/>
          <w:szCs w:val="24"/>
          <w:lang w:val="en-GB"/>
        </w:rPr>
        <w:t>Methods details</w:t>
      </w:r>
    </w:p>
    <w:p>
      <w:pPr>
        <w:pStyle w:val="Standard"/>
        <w:bidi w:val="0"/>
        <w:spacing w:lineRule="auto" w:line="480"/>
        <w:jc w:val="both"/>
        <w:rPr>
          <w:rFonts w:ascii="Arial" w:hAnsi="Arial"/>
        </w:rPr>
      </w:pPr>
      <w:r>
        <w:rPr>
          <w:rFonts w:ascii="Arial" w:hAnsi="Arial"/>
          <w:b/>
          <w:bCs/>
          <w:i/>
          <w:iCs/>
          <w:sz w:val="24"/>
          <w:szCs w:val="24"/>
          <w:lang w:val="en-GB"/>
        </w:rPr>
        <w:t>Dna extraction and sequencing</w:t>
      </w:r>
      <w:r>
        <w:rPr>
          <w:rFonts w:ascii="Arial" w:hAnsi="Arial"/>
          <w:b/>
          <w:bCs/>
          <w:sz w:val="28"/>
          <w:szCs w:val="28"/>
          <w:lang w:val="en-GB"/>
        </w:rPr>
        <w:t>.</w:t>
      </w:r>
    </w:p>
    <w:p>
      <w:pPr>
        <w:pStyle w:val="Normal"/>
        <w:spacing w:lineRule="auto" w:line="480"/>
        <w:rPr/>
      </w:pPr>
      <w:r>
        <w:rPr>
          <w:rFonts w:ascii="Arial" w:hAnsi="Arial"/>
          <w:lang w:val="en-GB"/>
        </w:rPr>
        <w:t xml:space="preserve">Butterfly’ bodies were conserved in NaCl saturated DMSO solution at -20°C and DNA was extracted using Qiagen DNeasy blood and tissue kits according to the manufacturers’ instructions and with RNase treatment. Illumina Truseq paired-end whole genome libraries were prepared and 2x100bp reads were sequenced on the Illumina HiSeq 2000 platform. Reads were mapped to the </w:t>
      </w:r>
      <w:r>
        <w:rPr>
          <w:rFonts w:ascii="Arial" w:hAnsi="Arial"/>
          <w:i/>
          <w:iCs/>
          <w:lang w:val="en-GB"/>
        </w:rPr>
        <w:t>H. melpomene</w:t>
      </w:r>
      <w:r>
        <w:rPr>
          <w:rFonts w:ascii="Arial" w:hAnsi="Arial"/>
          <w:lang w:val="en-GB"/>
        </w:rPr>
        <w:t xml:space="preserve"> Hmel1 reference genome </w:t>
      </w:r>
      <w:bookmarkStart w:id="13" w:name="__UnoMark__74371_569938794"/>
      <w:bookmarkEnd w:id="13"/>
      <w:r>
        <w:rPr>
          <w:rFonts w:ascii="Arial" w:hAnsi="Arial"/>
          <w:lang w:val="en-GB"/>
        </w:rPr>
        <w:t xml:space="preserve">[23] using Stampy v1.0.23 [37] </w:t>
      </w:r>
      <w:r>
        <w:rPr>
          <w:rFonts w:cs="Times New Roman" w:ascii="Arial" w:hAnsi="Arial"/>
          <w:color w:val="000000"/>
          <w:lang w:val="en-GB" w:bidi="ar-SA"/>
        </w:rPr>
        <w:t xml:space="preserve">with default settings except for setting the substitution rate to 0.05 to allow for expected divergence from the reference. Alignment file manipulations used SAMtools v0.1.19 [38]. After mapping, duplicate reads were excluded using the </w:t>
      </w:r>
      <w:r>
        <w:rPr>
          <w:rFonts w:cs="Times New Roman" w:ascii="Arial" w:hAnsi="Arial"/>
          <w:i/>
          <w:iCs/>
          <w:color w:val="000000"/>
          <w:lang w:val="en-GB" w:bidi="ar-SA"/>
        </w:rPr>
        <w:t xml:space="preserve">MarkDuplicates </w:t>
      </w:r>
      <w:r>
        <w:rPr>
          <w:rFonts w:cs="Times New Roman" w:ascii="Arial" w:hAnsi="Arial"/>
          <w:color w:val="000000"/>
          <w:lang w:val="en-GB" w:bidi="ar-SA"/>
        </w:rPr>
        <w:t>tool in Picard (v1.107; http://broadinstitute.github.io/picard</w:t>
      </w:r>
      <w:r>
        <w:rPr>
          <w:rFonts w:cs="Times New Roman" w:ascii="Arial" w:hAnsi="Arial"/>
          <w:b/>
          <w:bCs/>
          <w:color w:val="000000"/>
          <w:lang w:val="en-GB" w:bidi="ar-SA"/>
        </w:rPr>
        <w:t xml:space="preserve">) </w:t>
      </w:r>
      <w:r>
        <w:rPr>
          <w:rFonts w:cs="Times New Roman" w:ascii="Arial" w:hAnsi="Arial"/>
          <w:color w:val="000000"/>
          <w:lang w:val="en-GB" w:bidi="ar-SA"/>
        </w:rPr>
        <w:t>and local indel realignment using IndelRealigner was performed with GATK v2.1.5</w:t>
      </w:r>
      <w:r>
        <w:rPr>
          <w:rFonts w:cs="Times New Roman" w:ascii="Arial" w:hAnsi="Arial"/>
          <w:b w:val="false"/>
          <w:i w:val="false"/>
          <w:caps w:val="false"/>
          <w:smallCaps w:val="false"/>
          <w:color w:val="000000"/>
          <w:position w:val="0"/>
          <w:sz w:val="24"/>
          <w:sz w:val="24"/>
          <w:u w:val="none"/>
          <w:vertAlign w:val="baseline"/>
          <w:lang w:val="en-GB" w:bidi="ar-SA"/>
        </w:rPr>
        <w:t xml:space="preserve"> [39]</w:t>
      </w:r>
      <w:r>
        <w:rPr>
          <w:rFonts w:cs="Times New Roman" w:ascii="Arial" w:hAnsi="Arial"/>
          <w:color w:val="000000"/>
          <w:lang w:val="en-GB" w:bidi="ar-SA"/>
        </w:rPr>
        <w:t>. Invariant and polymorphic sites were called with GATK UnifiedGenotyper. Filtering was performed on individual samples using GATK VariantFiltration to remove sites with depth &lt;10 or greater than 4 times the median coverage of the sample, or sites with low mapping quality (using the expression</w:t>
      </w:r>
      <w:r>
        <w:rPr>
          <w:rFonts w:ascii="Arial" w:hAnsi="Arial"/>
          <w:lang w:val="en-GB"/>
        </w:rPr>
        <w:t xml:space="preserve"> “MQ &lt; 40.0 || MQ0&gt;= 4 &amp;&amp; ((MQ0 /(1.0*DP))&gt;0.1)”. SnpSift filter [40] was used to exclude sites with QUAL or GQ less than or equal to 30. After filtering, variant call files were merged using GATK CombineVariants.</w:t>
      </w:r>
    </w:p>
    <w:p>
      <w:pPr>
        <w:pStyle w:val="Standard"/>
        <w:bidi w:val="0"/>
        <w:spacing w:lineRule="auto" w:line="480"/>
        <w:jc w:val="both"/>
        <w:rPr>
          <w:rFonts w:ascii="Arial" w:hAnsi="Arial"/>
          <w:lang w:val="en-GB"/>
        </w:rPr>
      </w:pPr>
      <w:r>
        <w:rPr>
          <w:rFonts w:ascii="Arial" w:hAnsi="Arial"/>
          <w:lang w:val="en-GB"/>
        </w:rPr>
      </w:r>
    </w:p>
    <w:p>
      <w:pPr>
        <w:pStyle w:val="Standard"/>
        <w:bidi w:val="0"/>
        <w:spacing w:lineRule="auto" w:line="480"/>
        <w:jc w:val="both"/>
        <w:rPr>
          <w:rFonts w:ascii="Arial" w:hAnsi="Arial"/>
          <w:b/>
          <w:b/>
          <w:bCs/>
          <w:i/>
          <w:i/>
          <w:iCs/>
          <w:lang w:val="en-GB"/>
        </w:rPr>
      </w:pPr>
      <w:r>
        <w:rPr>
          <w:rFonts w:ascii="Arial" w:hAnsi="Arial"/>
          <w:b/>
          <w:bCs/>
          <w:i/>
          <w:iCs/>
          <w:lang w:val="en-GB"/>
        </w:rPr>
        <w:t>PCR analysis and genotyping</w:t>
      </w:r>
    </w:p>
    <w:p>
      <w:pPr>
        <w:pStyle w:val="Standard"/>
        <w:bidi w:val="0"/>
        <w:spacing w:lineRule="auto" w:line="480"/>
        <w:jc w:val="both"/>
        <w:rPr>
          <w:rFonts w:ascii="Arial" w:hAnsi="Arial"/>
        </w:rPr>
      </w:pPr>
      <w:r>
        <w:rPr>
          <w:rFonts w:ascii="Arial" w:hAnsi="Arial"/>
          <w:b w:val="false"/>
          <w:bCs w:val="false"/>
          <w:lang w:val="en-GB"/>
        </w:rPr>
        <w:t>Inversion breakpoints were genotyped by PCR amplification of genomic DNA using Thermo Scientific® Phusion High-Fidelity DNA Polymerase. Primer sequences and PCR conditions used are</w:t>
      </w:r>
      <w:r>
        <w:rPr>
          <w:rFonts w:ascii="Arial" w:hAnsi="Arial"/>
          <w:b w:val="false"/>
          <w:bCs w:val="false"/>
          <w:sz w:val="20"/>
          <w:szCs w:val="20"/>
          <w:lang w:val="en-GB"/>
        </w:rPr>
        <w:t xml:space="preserve">: </w:t>
      </w:r>
      <w:r>
        <w:rPr>
          <w:rFonts w:ascii="Arial" w:hAnsi="Arial"/>
          <w:b w:val="false"/>
          <w:bCs w:val="false"/>
          <w:sz w:val="24"/>
          <w:szCs w:val="24"/>
          <w:lang w:val="en-GB"/>
        </w:rPr>
        <w:t>for P</w:t>
      </w:r>
      <w:r>
        <w:rPr>
          <w:rFonts w:ascii="Arial" w:hAnsi="Arial"/>
          <w:b w:val="false"/>
          <w:bCs w:val="false"/>
          <w:sz w:val="24"/>
          <w:szCs w:val="24"/>
          <w:vertAlign w:val="subscript"/>
          <w:lang w:val="en-GB"/>
        </w:rPr>
        <w:t>1</w:t>
      </w:r>
      <w:r>
        <w:rPr>
          <w:rFonts w:ascii="Arial" w:hAnsi="Arial"/>
          <w:b w:val="false"/>
          <w:bCs w:val="false"/>
          <w:sz w:val="24"/>
          <w:szCs w:val="24"/>
          <w:lang w:val="en-GB"/>
        </w:rPr>
        <w:t xml:space="preserve">, </w:t>
      </w:r>
      <w:r>
        <w:rPr>
          <w:rFonts w:ascii="Arial" w:hAnsi="Arial"/>
          <w:b w:val="false"/>
          <w:bCs w:val="false"/>
          <w:i w:val="false"/>
          <w:strike w:val="false"/>
          <w:dstrike w:val="false"/>
          <w:outline w:val="false"/>
          <w:shadow w:val="false"/>
          <w:sz w:val="24"/>
          <w:szCs w:val="24"/>
          <w:u w:val="none"/>
          <w:em w:val="none"/>
          <w:lang w:val="en-GB"/>
        </w:rPr>
        <w:t>CCATTMTGCCAATTTMGTCT (forward) and  TCMGGACTATCTTTGTATGC (reverse), elongation time 2’30”; for P</w:t>
      </w:r>
      <w:r>
        <w:rPr>
          <w:rFonts w:ascii="Arial" w:hAnsi="Arial"/>
          <w:b w:val="false"/>
          <w:bCs w:val="false"/>
          <w:i w:val="false"/>
          <w:strike w:val="false"/>
          <w:dstrike w:val="false"/>
          <w:outline w:val="false"/>
          <w:shadow w:val="false"/>
          <w:sz w:val="24"/>
          <w:szCs w:val="24"/>
          <w:u w:val="none"/>
          <w:vertAlign w:val="subscript"/>
          <w:em w:val="none"/>
          <w:lang w:val="en-GB"/>
        </w:rPr>
        <w:t>2</w:t>
      </w:r>
      <w:r>
        <w:rPr>
          <w:rFonts w:ascii="Arial" w:hAnsi="Arial"/>
          <w:b w:val="false"/>
          <w:bCs w:val="false"/>
          <w:i w:val="false"/>
          <w:strike w:val="false"/>
          <w:dstrike w:val="false"/>
          <w:outline w:val="false"/>
          <w:shadow w:val="false"/>
          <w:sz w:val="24"/>
          <w:szCs w:val="24"/>
          <w:u w:val="none"/>
          <w:em w:val="none"/>
          <w:lang w:val="en-GB"/>
        </w:rPr>
        <w:t>, CCATTMTGCCAATTTMGTCT (forward) and GGTTACGGATGTCTTTAATG (reverse), elongation time 2’30”; for P</w:t>
      </w:r>
      <w:r>
        <w:rPr>
          <w:rFonts w:ascii="Arial" w:hAnsi="Arial"/>
          <w:b w:val="false"/>
          <w:bCs w:val="false"/>
          <w:i w:val="false"/>
          <w:strike w:val="false"/>
          <w:dstrike w:val="false"/>
          <w:outline w:val="false"/>
          <w:shadow w:val="false"/>
          <w:sz w:val="24"/>
          <w:szCs w:val="24"/>
          <w:u w:val="none"/>
          <w:vertAlign w:val="subscript"/>
          <w:em w:val="none"/>
          <w:lang w:val="en-GB"/>
        </w:rPr>
        <w:t>0</w:t>
      </w:r>
      <w:r>
        <w:rPr>
          <w:rFonts w:ascii="Arial" w:hAnsi="Arial"/>
          <w:b w:val="false"/>
          <w:bCs w:val="false"/>
          <w:i w:val="false"/>
          <w:strike w:val="false"/>
          <w:dstrike w:val="false"/>
          <w:outline w:val="false"/>
          <w:shadow w:val="false"/>
          <w:sz w:val="24"/>
          <w:szCs w:val="24"/>
          <w:u w:val="none"/>
          <w:em w:val="none"/>
          <w:lang w:val="en-GB"/>
        </w:rPr>
        <w:t>, AGTTTTTAAGCTGTTTCTCC (forward) and GTTAGTGCCCTGCCAAACAC (reverse), elongation time 3’30”</w:t>
      </w:r>
    </w:p>
    <w:p>
      <w:pPr>
        <w:pStyle w:val="Standard"/>
        <w:bidi w:val="0"/>
        <w:spacing w:lineRule="auto" w:line="480"/>
        <w:jc w:val="both"/>
        <w:rPr>
          <w:rFonts w:ascii="Arial" w:hAnsi="Arial"/>
          <w:b/>
          <w:b/>
          <w:bCs/>
          <w:i/>
          <w:i/>
          <w:iCs/>
          <w:lang w:val="en-GB"/>
        </w:rPr>
      </w:pPr>
      <w:r>
        <w:rPr>
          <w:rFonts w:ascii="Arial" w:hAnsi="Arial"/>
          <w:b/>
          <w:bCs/>
          <w:i/>
          <w:iCs/>
          <w:lang w:val="en-GB"/>
        </w:rPr>
        <w:t>Duplication Analysis</w:t>
      </w:r>
    </w:p>
    <w:p>
      <w:pPr>
        <w:pStyle w:val="Standard"/>
        <w:bidi w:val="0"/>
        <w:spacing w:lineRule="auto" w:line="480"/>
        <w:jc w:val="left"/>
        <w:rPr/>
      </w:pPr>
      <w:r>
        <w:rPr>
          <w:rFonts w:ascii="Arial" w:hAnsi="Arial"/>
          <w:lang w:val="en-GB"/>
        </w:rPr>
        <w:t>Copy number analysis of the supergene scaffold was performed on resequence alignments after duplicate removal and local realignment using CNVnator v0.3</w:t>
      </w:r>
      <w:r>
        <w:rPr>
          <w:rFonts w:ascii="Arial" w:hAnsi="Arial"/>
          <w:b w:val="false"/>
          <w:i w:val="false"/>
          <w:caps w:val="false"/>
          <w:smallCaps w:val="false"/>
          <w:position w:val="0"/>
          <w:sz w:val="24"/>
          <w:sz w:val="24"/>
          <w:u w:val="none"/>
          <w:vertAlign w:val="baseline"/>
          <w:lang w:val="en-GB"/>
        </w:rPr>
        <w:t xml:space="preserve"> [41]</w:t>
      </w:r>
      <w:r>
        <w:rPr>
          <w:rFonts w:ascii="Arial" w:hAnsi="Arial"/>
          <w:lang w:val="en-GB"/>
        </w:rPr>
        <w:t xml:space="preserve"> with default settings and a bin size of 100bp.</w:t>
      </w:r>
    </w:p>
    <w:p>
      <w:pPr>
        <w:pStyle w:val="Standard"/>
        <w:bidi w:val="0"/>
        <w:spacing w:lineRule="auto" w:line="480"/>
        <w:jc w:val="left"/>
        <w:rPr/>
      </w:pPr>
      <w:r>
        <w:rPr>
          <w:rFonts w:ascii="Arial" w:hAnsi="Arial"/>
          <w:lang w:val="en-GB"/>
        </w:rPr>
        <w:t xml:space="preserve">The 4kb sequence detected as duplicated was blasted [42] against the Hn1 BAC clone library from Ref. </w:t>
      </w:r>
      <w:bookmarkStart w:id="14" w:name="__UnoMark__74364_569938794"/>
      <w:bookmarkEnd w:id="14"/>
      <w:r>
        <w:rPr>
          <w:rFonts w:ascii="Arial" w:hAnsi="Arial"/>
          <w:lang w:val="en-GB"/>
        </w:rPr>
        <w:t xml:space="preserve">[12] and against a </w:t>
      </w:r>
      <w:r>
        <w:rPr>
          <w:rFonts w:ascii="Arial" w:hAnsi="Arial"/>
          <w:i/>
          <w:iCs/>
          <w:lang w:val="en-GB"/>
        </w:rPr>
        <w:t>H. numata</w:t>
      </w:r>
      <w:r>
        <w:rPr>
          <w:rFonts w:ascii="Arial" w:hAnsi="Arial"/>
          <w:lang w:val="en-GB"/>
        </w:rPr>
        <w:t xml:space="preserve"> genome, generated by the Heliconius consortium using a combination of SMRT long read (Pacific Biosciences) and Illumina short read (Discovar assembly), and available on LebBase (</w:t>
      </w:r>
      <w:hyperlink r:id="rId4">
        <w:r>
          <w:rPr>
            <w:rStyle w:val="LienInternet"/>
            <w:rFonts w:ascii="Arial" w:hAnsi="Arial"/>
          </w:rPr>
          <w:t>http://ensembl.lepbase.org</w:t>
        </w:r>
      </w:hyperlink>
      <w:r>
        <w:rPr>
          <w:rStyle w:val="LienInternet"/>
          <w:rFonts w:ascii="Arial" w:hAnsi="Arial"/>
          <w:lang w:val="en-GB"/>
        </w:rPr>
        <w:t>)</w:t>
      </w:r>
      <w:r>
        <w:rPr>
          <w:rFonts w:ascii="Arial" w:hAnsi="Arial"/>
          <w:lang w:val="en-GB"/>
        </w:rPr>
        <w:t xml:space="preserve">. Three BAC clones (38g4, 24i10 and 30F8) and two scaffolds (scaffold13474 and scaffold16807) showed high blast values (e-value=0). Their entire sequences were mapped on the </w:t>
      </w:r>
      <w:r>
        <w:rPr>
          <w:rFonts w:ascii="Arial" w:hAnsi="Arial"/>
          <w:i/>
          <w:iCs/>
          <w:lang w:val="en-GB"/>
        </w:rPr>
        <w:t>H. melpomene</w:t>
      </w:r>
      <w:r>
        <w:rPr>
          <w:rFonts w:ascii="Arial" w:hAnsi="Arial"/>
          <w:lang w:val="en-GB"/>
        </w:rPr>
        <w:t xml:space="preserve"> reference genome with BLAST [42]. They correspond to two regions close to the two breakpoints of inversion P</w:t>
      </w:r>
      <w:r>
        <w:rPr>
          <w:rFonts w:ascii="Arial" w:hAnsi="Arial"/>
          <w:vertAlign w:val="subscript"/>
          <w:lang w:val="en-GB"/>
        </w:rPr>
        <w:t>1</w:t>
      </w:r>
      <w:r>
        <w:rPr>
          <w:rFonts w:ascii="Arial" w:hAnsi="Arial"/>
          <w:lang w:val="en-GB"/>
        </w:rPr>
        <w:t>. The sequences resulting from the duplications were extracted from the BAC clones and the scaffolds and aligned with MUSCLE</w:t>
      </w:r>
      <w:r>
        <w:rPr>
          <w:rFonts w:ascii="Arial" w:hAnsi="Arial"/>
          <w:b w:val="false"/>
          <w:i w:val="false"/>
          <w:caps w:val="false"/>
          <w:smallCaps w:val="false"/>
          <w:position w:val="0"/>
          <w:sz w:val="24"/>
          <w:sz w:val="24"/>
          <w:u w:val="none"/>
          <w:vertAlign w:val="baseline"/>
          <w:lang w:val="en-GB"/>
        </w:rPr>
        <w:t xml:space="preserve"> [43]</w:t>
      </w:r>
      <w:r>
        <w:rPr>
          <w:rFonts w:ascii="Arial" w:hAnsi="Arial"/>
          <w:lang w:val="en-GB"/>
        </w:rPr>
        <w:t>.</w:t>
      </w:r>
    </w:p>
    <w:p>
      <w:pPr>
        <w:pStyle w:val="Standard"/>
        <w:bidi w:val="0"/>
        <w:spacing w:lineRule="auto" w:line="480"/>
        <w:jc w:val="both"/>
        <w:rPr>
          <w:rFonts w:ascii="Arial" w:hAnsi="Arial" w:eastAsia="Liberation Serif;Times New Roman" w:cs="Liberation Serif;Times New Roman"/>
          <w:lang w:val="en-GB"/>
        </w:rPr>
      </w:pPr>
      <w:r>
        <w:rPr>
          <w:rFonts w:eastAsia="Liberation Serif;Times New Roman" w:cs="Liberation Serif;Times New Roman" w:ascii="Arial" w:hAnsi="Arial"/>
          <w:lang w:val="en-GB"/>
        </w:rPr>
      </w:r>
    </w:p>
    <w:p>
      <w:pPr>
        <w:pStyle w:val="Standard"/>
        <w:bidi w:val="0"/>
        <w:spacing w:lineRule="auto" w:line="480"/>
        <w:jc w:val="both"/>
        <w:rPr>
          <w:rFonts w:ascii="Arial" w:hAnsi="Arial"/>
          <w:b/>
          <w:b/>
          <w:bCs/>
          <w:i/>
          <w:i/>
          <w:iCs/>
          <w:lang w:val="en-GB"/>
        </w:rPr>
      </w:pPr>
      <w:r>
        <w:rPr>
          <w:rFonts w:ascii="Arial" w:hAnsi="Arial"/>
          <w:b/>
          <w:bCs/>
          <w:i/>
          <w:iCs/>
          <w:lang w:val="en-GB"/>
        </w:rPr>
        <w:t>ABBA-BABA analysis</w:t>
      </w:r>
    </w:p>
    <w:p>
      <w:pPr>
        <w:pStyle w:val="Standard"/>
        <w:bidi w:val="0"/>
        <w:spacing w:lineRule="auto" w:line="480"/>
        <w:jc w:val="left"/>
        <w:rPr/>
      </w:pPr>
      <w:r>
        <w:rPr>
          <w:rFonts w:ascii="Arial" w:hAnsi="Arial"/>
          <w:lang w:val="en-GB"/>
        </w:rPr>
        <w:t xml:space="preserve">ABBA-BABA analyses were conducted with the scripts provided by Ref. [27]. The </w:t>
      </w:r>
      <w:r>
        <w:rPr>
          <w:rFonts w:ascii="Arial" w:hAnsi="Arial"/>
          <w:i/>
          <w:iCs/>
          <w:lang w:val="en-GB"/>
        </w:rPr>
        <w:t>fd</w:t>
      </w:r>
      <w:r>
        <w:rPr>
          <w:rFonts w:ascii="Arial" w:hAnsi="Arial"/>
          <w:lang w:val="en-GB"/>
        </w:rPr>
        <w:t xml:space="preserve"> statistic was computed in 20 kb non-overlapping windows for the whole genome (min. genotyped position=1000) and 10 kb sliding windows with a 500bp step, (min. genotyped position=500) for the supergene scaffold (HE667780). </w:t>
      </w:r>
    </w:p>
    <w:p>
      <w:pPr>
        <w:pStyle w:val="Standard"/>
        <w:bidi w:val="0"/>
        <w:spacing w:lineRule="auto" w:line="480"/>
        <w:jc w:val="both"/>
        <w:rPr>
          <w:rFonts w:ascii="Arial" w:hAnsi="Arial"/>
          <w:lang w:val="en-GB"/>
        </w:rPr>
      </w:pPr>
      <w:r>
        <w:rPr>
          <w:rFonts w:ascii="Arial" w:hAnsi="Arial"/>
          <w:lang w:val="en-GB"/>
        </w:rPr>
      </w:r>
    </w:p>
    <w:p>
      <w:pPr>
        <w:pStyle w:val="Standard"/>
        <w:bidi w:val="0"/>
        <w:spacing w:lineRule="auto" w:line="480"/>
        <w:jc w:val="both"/>
        <w:rPr>
          <w:rFonts w:ascii="Arial" w:hAnsi="Arial"/>
          <w:b/>
          <w:b/>
          <w:bCs/>
          <w:i/>
          <w:i/>
          <w:iCs/>
          <w:lang w:val="en-GB"/>
        </w:rPr>
      </w:pPr>
      <w:r>
        <w:rPr>
          <w:rFonts w:ascii="Arial" w:hAnsi="Arial"/>
          <w:b/>
          <w:bCs/>
          <w:i/>
          <w:iCs/>
          <w:lang w:val="en-GB"/>
        </w:rPr>
        <w:t>Phylogenetic analyses</w:t>
      </w:r>
    </w:p>
    <w:p>
      <w:pPr>
        <w:pStyle w:val="Standard"/>
        <w:bidi w:val="0"/>
        <w:spacing w:lineRule="auto" w:line="480"/>
        <w:jc w:val="both"/>
        <w:rPr>
          <w:rFonts w:ascii="Arial" w:hAnsi="Arial"/>
          <w:lang w:val="en-GB"/>
        </w:rPr>
      </w:pPr>
      <w:r>
        <w:rPr>
          <w:rFonts w:ascii="Arial" w:hAnsi="Arial"/>
          <w:lang w:val="en-GB"/>
        </w:rPr>
        <w:t>To determine the direction of introgression, we used the fact that the introgressed species should appear phylogenetically closer than expected to the donor species, but also closer to the sister species of the donor. Thus, considering a species topology like (A,B),(C,(D,E)), a sequence showing a (A,C)(D,(E,B)) topology probably arose by the way of an introgression from E to B, whereas a sequence showing a ((B,E),A)(D,C) topology probably arose via introgression from B to E. To search for such patterns, we computed a whole genome phylogeny and several phylogenies at different locations within and outside the inversion.</w:t>
      </w:r>
    </w:p>
    <w:p>
      <w:pPr>
        <w:pStyle w:val="Standard"/>
        <w:bidi w:val="0"/>
        <w:spacing w:lineRule="auto" w:line="480"/>
        <w:jc w:val="left"/>
        <w:rPr/>
      </w:pPr>
      <w:r>
        <w:rPr>
          <w:rFonts w:ascii="Arial" w:hAnsi="Arial"/>
          <w:lang w:val="en-GB"/>
        </w:rPr>
        <w:t>The whole genome phylogeny was obtained with SNPhylo</w:t>
      </w:r>
      <w:r>
        <w:rPr>
          <w:rFonts w:ascii="Arial" w:hAnsi="Arial"/>
          <w:b w:val="false"/>
          <w:i w:val="false"/>
          <w:caps w:val="false"/>
          <w:smallCaps w:val="false"/>
          <w:position w:val="0"/>
          <w:sz w:val="24"/>
          <w:sz w:val="24"/>
          <w:u w:val="none"/>
          <w:vertAlign w:val="baseline"/>
          <w:lang w:val="en-GB"/>
        </w:rPr>
        <w:t xml:space="preserve"> [44]</w:t>
      </w:r>
      <w:bookmarkStart w:id="15" w:name="__UnoMark__5044_12945271331"/>
      <w:bookmarkStart w:id="16" w:name="__UnoMark__4814_12945271331"/>
      <w:bookmarkStart w:id="17" w:name="__UnoMark__4584_12945271331"/>
      <w:bookmarkStart w:id="18" w:name="__UnoMark__4466_12945271331"/>
      <w:bookmarkStart w:id="19" w:name="ZOTERO_BREF_pA7hsRXPkAHW1"/>
      <w:bookmarkStart w:id="20" w:name="__UnoMark__5159_12945271331"/>
      <w:bookmarkStart w:id="21" w:name="__UnoMark__4699_12945271331"/>
      <w:bookmarkStart w:id="22" w:name="__UnoMark__4929_12945271331"/>
      <w:r>
        <w:rPr>
          <w:rFonts w:ascii="Arial" w:hAnsi="Arial"/>
          <w:lang w:val="en-GB"/>
        </w:rPr>
        <w:t>,</w:t>
      </w:r>
      <w:bookmarkEnd w:id="15"/>
      <w:bookmarkEnd w:id="16"/>
      <w:bookmarkEnd w:id="17"/>
      <w:bookmarkEnd w:id="18"/>
      <w:bookmarkEnd w:id="19"/>
      <w:bookmarkEnd w:id="20"/>
      <w:bookmarkEnd w:id="21"/>
      <w:bookmarkEnd w:id="22"/>
      <w:r>
        <w:rPr>
          <w:rFonts w:ascii="Arial" w:hAnsi="Arial"/>
          <w:lang w:val="en-GB"/>
        </w:rPr>
        <w:t xml:space="preserve"> with 100 bootstraps and </w:t>
      </w:r>
      <w:r>
        <w:rPr>
          <w:rFonts w:ascii="Arial" w:hAnsi="Arial"/>
          <w:i/>
          <w:iCs/>
          <w:lang w:val="en-GB"/>
        </w:rPr>
        <w:t>H. cydno</w:t>
      </w:r>
      <w:r>
        <w:rPr>
          <w:rFonts w:ascii="Arial" w:hAnsi="Arial"/>
          <w:lang w:val="en-GB"/>
        </w:rPr>
        <w:t xml:space="preserve"> as the outgroup. RaxML [45] </w:t>
      </w:r>
      <w:bookmarkStart w:id="23" w:name="__UnoMark__5045_12945271331"/>
      <w:r>
        <w:rPr>
          <w:rFonts w:ascii="Arial" w:hAnsi="Arial"/>
          <w:lang w:val="en-GB"/>
        </w:rPr>
        <w:t>w</w:t>
      </w:r>
      <w:bookmarkStart w:id="24" w:name="ZOTERO_BREF_Je4JHVFzeYzx1"/>
      <w:bookmarkStart w:id="25" w:name="__UnoMark__3928_12945271331"/>
      <w:bookmarkStart w:id="26" w:name="__UnoMark__3507_12945271331"/>
      <w:bookmarkStart w:id="27" w:name="__UnoMark__4467_12945271331"/>
      <w:bookmarkStart w:id="28" w:name="__UnoMark__4930_12945271331"/>
      <w:bookmarkStart w:id="29" w:name="__UnoMark__4585_12945271331"/>
      <w:bookmarkStart w:id="30" w:name="__UnoMark__4700_12945271331"/>
      <w:bookmarkStart w:id="31" w:name="__UnoMark__4815_12945271331"/>
      <w:bookmarkEnd w:id="23"/>
      <w:bookmarkEnd w:id="24"/>
      <w:bookmarkEnd w:id="25"/>
      <w:bookmarkEnd w:id="26"/>
      <w:bookmarkEnd w:id="27"/>
      <w:bookmarkEnd w:id="28"/>
      <w:bookmarkEnd w:id="29"/>
      <w:bookmarkEnd w:id="30"/>
      <w:bookmarkEnd w:id="31"/>
      <w:r>
        <w:rPr>
          <w:rFonts w:ascii="Arial" w:hAnsi="Arial"/>
          <w:lang w:val="en-GB"/>
        </w:rPr>
        <w:t>as used to determine local phylogenies, with GTRCAT model and 100 bootstrap.  Nevertheless, we found that individuals from the different species were frequently mixed and the species topology was highly variable, complicating the interpretation of topology changes at the inversion location. We thus used Twisst</w:t>
      </w:r>
      <w:r>
        <w:rPr>
          <w:rFonts w:ascii="Arial" w:hAnsi="Arial"/>
          <w:b w:val="false"/>
          <w:i w:val="false"/>
          <w:caps w:val="false"/>
          <w:smallCaps w:val="false"/>
          <w:position w:val="0"/>
          <w:sz w:val="24"/>
          <w:sz w:val="24"/>
          <w:u w:val="none"/>
          <w:vertAlign w:val="baseline"/>
          <w:lang w:val="en-GB"/>
        </w:rPr>
        <w:t xml:space="preserve"> [28]</w:t>
      </w:r>
      <w:r>
        <w:rPr>
          <w:rFonts w:ascii="Arial" w:hAnsi="Arial"/>
          <w:lang w:val="en-GB"/>
        </w:rPr>
        <w:t xml:space="preserve"> to unravel the changes in topology and assess phylogenetic discordance along the supergene scaffold . We used Beagle [46] to phase the haplotypes of the supergene scaffold, with 10000 bp size and 1000 bp overlapping sliding windows. Maximum likelihood trees were generated with the phyml_sliding_window.py script with the GTR model and a 50 SNP sliding window (</w:t>
      </w:r>
      <w:hyperlink r:id="rId5">
        <w:r>
          <w:rPr>
            <w:rStyle w:val="LienInternet"/>
            <w:rFonts w:ascii="Arial" w:hAnsi="Arial"/>
          </w:rPr>
          <w:t>https://github.com/simonhmartin/twisst</w:t>
        </w:r>
      </w:hyperlink>
      <w:r>
        <w:rPr>
          <w:rFonts w:ascii="Arial" w:hAnsi="Arial"/>
          <w:lang w:val="en-GB"/>
        </w:rPr>
        <w:t>).</w:t>
      </w:r>
    </w:p>
    <w:p>
      <w:pPr>
        <w:pStyle w:val="Standard"/>
        <w:bidi w:val="0"/>
        <w:spacing w:lineRule="auto" w:line="480"/>
        <w:jc w:val="both"/>
        <w:rPr>
          <w:rFonts w:ascii="Arial" w:hAnsi="Arial" w:eastAsia="Liberation Serif;Times New Roman" w:cs="Liberation Serif;Times New Roman"/>
          <w:lang w:val="en-GB"/>
        </w:rPr>
      </w:pPr>
      <w:r>
        <w:rPr>
          <w:rFonts w:eastAsia="Liberation Serif;Times New Roman" w:cs="Liberation Serif;Times New Roman" w:ascii="Arial" w:hAnsi="Arial"/>
          <w:lang w:val="en-GB"/>
        </w:rPr>
      </w:r>
    </w:p>
    <w:p>
      <w:pPr>
        <w:pStyle w:val="Standard"/>
        <w:bidi w:val="0"/>
        <w:spacing w:lineRule="auto" w:line="480"/>
        <w:jc w:val="both"/>
        <w:rPr>
          <w:rFonts w:ascii="Arial" w:hAnsi="Arial"/>
          <w:b/>
          <w:b/>
          <w:bCs/>
          <w:i/>
          <w:i/>
          <w:iCs/>
          <w:lang w:val="en-GB"/>
        </w:rPr>
      </w:pPr>
      <w:r>
        <w:rPr>
          <w:rFonts w:ascii="Arial" w:hAnsi="Arial"/>
          <w:b/>
          <w:bCs/>
          <w:i/>
          <w:iCs/>
          <w:lang w:val="en-GB"/>
        </w:rPr>
        <w:t>Divergence time analyses</w:t>
      </w:r>
    </w:p>
    <w:p>
      <w:pPr>
        <w:pStyle w:val="Standard"/>
        <w:bidi w:val="0"/>
        <w:spacing w:lineRule="auto" w:line="480"/>
        <w:jc w:val="left"/>
        <w:rPr/>
      </w:pPr>
      <w:r>
        <w:rPr>
          <w:rFonts w:ascii="Arial" w:hAnsi="Arial"/>
          <w:lang w:val="en-GB"/>
        </w:rPr>
        <w:t xml:space="preserve">To discriminate between introgression and ancestral polymorphism hypotheses, Bayesian inferences of the divergence time between </w:t>
      </w:r>
      <w:r>
        <w:rPr>
          <w:rFonts w:ascii="Arial" w:hAnsi="Arial"/>
          <w:i/>
          <w:iCs/>
          <w:lang w:val="en-GB"/>
        </w:rPr>
        <w:t>H. pardalinus</w:t>
      </w:r>
      <w:r>
        <w:rPr>
          <w:rFonts w:ascii="Arial" w:hAnsi="Arial"/>
          <w:lang w:val="en-GB"/>
        </w:rPr>
        <w:t xml:space="preserve"> and </w:t>
      </w:r>
      <w:r>
        <w:rPr>
          <w:rFonts w:ascii="Arial" w:hAnsi="Arial"/>
          <w:i/>
          <w:iCs/>
          <w:lang w:val="en-GB"/>
        </w:rPr>
        <w:t>H. numata</w:t>
      </w:r>
      <w:r>
        <w:rPr>
          <w:rFonts w:ascii="Arial" w:hAnsi="Arial"/>
          <w:lang w:val="en-GB"/>
        </w:rPr>
        <w:t xml:space="preserve"> were made with Phylobayes [47]</w:t>
      </w:r>
      <w:bookmarkStart w:id="32" w:name="__UnoMark__74357_569938794"/>
      <w:r>
        <w:rPr>
          <w:rFonts w:ascii="Arial" w:hAnsi="Arial"/>
          <w:b w:val="false"/>
          <w:i/>
          <w:iCs/>
          <w:caps w:val="false"/>
          <w:smallCaps w:val="false"/>
          <w:position w:val="0"/>
          <w:sz w:val="24"/>
          <w:sz w:val="24"/>
          <w:u w:val="none"/>
          <w:vertAlign w:val="baseline"/>
          <w:lang w:val="en-GB"/>
        </w:rPr>
        <w:t>.</w:t>
      </w:r>
      <w:bookmarkEnd w:id="32"/>
      <w:r>
        <w:rPr>
          <w:rFonts w:ascii="Arial" w:hAnsi="Arial"/>
          <w:b w:val="false"/>
          <w:i/>
          <w:iCs/>
          <w:caps w:val="false"/>
          <w:smallCaps w:val="false"/>
          <w:position w:val="0"/>
          <w:sz w:val="24"/>
          <w:sz w:val="24"/>
          <w:u w:val="none"/>
          <w:vertAlign w:val="baseline"/>
          <w:lang w:val="en-GB"/>
        </w:rPr>
        <w:t xml:space="preserve"> </w:t>
      </w:r>
      <w:r>
        <w:rPr>
          <w:rFonts w:ascii="Arial" w:hAnsi="Arial"/>
          <w:lang w:val="en-GB"/>
        </w:rPr>
        <w:t xml:space="preserve">Analyses were performed on 10 kb non-overlapping sliding windows, using all individuals of the two species and including individuals of all other species in our dataset to obtain better resolution. Date estimates were calculated relative to the divergence of </w:t>
      </w:r>
      <w:r>
        <w:rPr>
          <w:rFonts w:ascii="Arial" w:hAnsi="Arial"/>
          <w:i/>
          <w:iCs/>
          <w:lang w:val="en-GB"/>
        </w:rPr>
        <w:t>H. cydno</w:t>
      </w:r>
      <w:r>
        <w:rPr>
          <w:rFonts w:ascii="Arial" w:hAnsi="Arial"/>
          <w:lang w:val="en-GB"/>
        </w:rPr>
        <w:t xml:space="preserve"> with the silvaniform clade, estimated by Ref. </w:t>
      </w:r>
      <w:bookmarkStart w:id="33" w:name="__UnoMark__74356_569938794"/>
      <w:bookmarkEnd w:id="33"/>
      <w:r>
        <w:rPr>
          <w:rFonts w:ascii="Arial" w:hAnsi="Arial"/>
          <w:lang w:val="en-GB"/>
        </w:rPr>
        <w:t>[22] to be approximately 3,84 Mya., using a log-normal autocorrelated relaxed clock. Each chain ran for at least 30000 states, with 10000 burn-in states. Chain convergence was checked with Tracer (http://beast.bio.ed.ac.uk/Tracer). Resultant trees and time estimates were analysed with ete3 python library</w:t>
      </w:r>
      <w:r>
        <w:rPr>
          <w:rFonts w:ascii="Arial" w:hAnsi="Arial"/>
          <w:b w:val="false"/>
          <w:i w:val="false"/>
          <w:caps w:val="false"/>
          <w:smallCaps w:val="false"/>
          <w:position w:val="0"/>
          <w:sz w:val="24"/>
          <w:sz w:val="24"/>
          <w:u w:val="none"/>
          <w:vertAlign w:val="baseline"/>
          <w:lang w:val="en-GB"/>
        </w:rPr>
        <w:t xml:space="preserve"> [48]</w:t>
      </w:r>
      <w:r>
        <w:rPr>
          <w:rFonts w:ascii="Arial" w:hAnsi="Arial"/>
          <w:lang w:val="en-GB"/>
        </w:rPr>
        <w:t>.</w:t>
      </w:r>
    </w:p>
    <w:p>
      <w:pPr>
        <w:pStyle w:val="Standard"/>
        <w:bidi w:val="0"/>
        <w:spacing w:lineRule="auto" w:line="480"/>
        <w:jc w:val="both"/>
        <w:rPr>
          <w:rFonts w:ascii="Arial" w:hAnsi="Arial"/>
        </w:rPr>
      </w:pPr>
      <w:r>
        <w:rPr>
          <w:rFonts w:ascii="Arial" w:hAnsi="Arial"/>
          <w:b w:val="false"/>
          <w:bCs w:val="false"/>
          <w:sz w:val="24"/>
          <w:szCs w:val="24"/>
          <w:lang w:val="en-GB"/>
        </w:rPr>
        <w:t xml:space="preserve">Divergence of the duplication-associated sequences was done in the same way. Whole genome resequence data from all species except </w:t>
      </w:r>
      <w:r>
        <w:rPr>
          <w:rFonts w:ascii="Arial" w:hAnsi="Arial"/>
          <w:b w:val="false"/>
          <w:bCs w:val="false"/>
          <w:i/>
          <w:iCs/>
          <w:sz w:val="24"/>
          <w:szCs w:val="24"/>
          <w:lang w:val="en-GB"/>
        </w:rPr>
        <w:t>Hn1</w:t>
      </w:r>
      <w:r>
        <w:rPr>
          <w:rFonts w:ascii="Arial" w:hAnsi="Arial"/>
          <w:b w:val="false"/>
          <w:bCs w:val="false"/>
          <w:sz w:val="24"/>
          <w:szCs w:val="24"/>
          <w:lang w:val="en-GB"/>
        </w:rPr>
        <w:t xml:space="preserve"> and</w:t>
      </w:r>
      <w:r>
        <w:rPr>
          <w:rFonts w:ascii="Arial" w:hAnsi="Arial"/>
          <w:b w:val="false"/>
          <w:bCs w:val="false"/>
          <w:i/>
          <w:iCs/>
          <w:sz w:val="24"/>
          <w:szCs w:val="24"/>
          <w:lang w:val="en-GB"/>
        </w:rPr>
        <w:t xml:space="preserve"> Hp</w:t>
      </w:r>
      <w:r>
        <w:rPr>
          <w:rFonts w:ascii="Arial" w:hAnsi="Arial"/>
          <w:b w:val="false"/>
          <w:bCs w:val="false"/>
          <w:sz w:val="24"/>
          <w:szCs w:val="24"/>
          <w:lang w:val="en-GB"/>
        </w:rPr>
        <w:t xml:space="preserve"> were used, as well as sequences from the three BAC clones and the </w:t>
      </w:r>
      <w:r>
        <w:rPr>
          <w:rFonts w:ascii="Arial" w:hAnsi="Arial"/>
          <w:b w:val="false"/>
          <w:bCs w:val="false"/>
          <w:i/>
          <w:iCs/>
          <w:sz w:val="24"/>
          <w:szCs w:val="24"/>
          <w:lang w:val="en-GB"/>
        </w:rPr>
        <w:t>H. numata</w:t>
      </w:r>
      <w:r>
        <w:rPr>
          <w:rFonts w:ascii="Arial" w:hAnsi="Arial"/>
          <w:b w:val="false"/>
          <w:bCs w:val="false"/>
          <w:sz w:val="24"/>
          <w:szCs w:val="24"/>
          <w:lang w:val="en-GB"/>
        </w:rPr>
        <w:t xml:space="preserve"> genome. </w:t>
      </w:r>
      <w:r>
        <w:rPr>
          <w:rFonts w:ascii="Arial" w:hAnsi="Arial"/>
          <w:b w:val="false"/>
          <w:bCs w:val="false"/>
          <w:i/>
          <w:iCs/>
          <w:sz w:val="24"/>
          <w:szCs w:val="24"/>
          <w:lang w:val="en-GB"/>
        </w:rPr>
        <w:t>Hn1</w:t>
      </w:r>
      <w:r>
        <w:rPr>
          <w:rFonts w:ascii="Arial" w:hAnsi="Arial"/>
          <w:b w:val="false"/>
          <w:bCs w:val="false"/>
          <w:sz w:val="24"/>
          <w:szCs w:val="24"/>
          <w:lang w:val="en-GB"/>
        </w:rPr>
        <w:t xml:space="preserve"> and </w:t>
      </w:r>
      <w:r>
        <w:rPr>
          <w:rFonts w:ascii="Arial" w:hAnsi="Arial"/>
          <w:b w:val="false"/>
          <w:bCs w:val="false"/>
          <w:i/>
          <w:iCs/>
          <w:sz w:val="24"/>
          <w:szCs w:val="24"/>
          <w:lang w:val="en-GB"/>
        </w:rPr>
        <w:t>Hp</w:t>
      </w:r>
      <w:r>
        <w:rPr>
          <w:rFonts w:ascii="Arial" w:hAnsi="Arial"/>
          <w:b w:val="false"/>
          <w:bCs w:val="false"/>
          <w:sz w:val="24"/>
          <w:szCs w:val="24"/>
          <w:lang w:val="en-GB"/>
        </w:rPr>
        <w:t xml:space="preserve"> specimens were not used, as they tend to artificially increase the mutation rate inferred by Phylobayes </w:t>
      </w:r>
    </w:p>
    <w:p>
      <w:pPr>
        <w:pStyle w:val="Standard"/>
        <w:bidi w:val="0"/>
        <w:spacing w:lineRule="auto" w:line="480"/>
        <w:jc w:val="both"/>
        <w:rPr>
          <w:rFonts w:ascii="Arial" w:hAnsi="Arial"/>
          <w:b w:val="false"/>
          <w:b w:val="false"/>
          <w:bCs w:val="false"/>
          <w:sz w:val="24"/>
          <w:szCs w:val="24"/>
          <w:lang w:val="en-GB"/>
        </w:rPr>
      </w:pPr>
      <w:r>
        <w:rPr>
          <w:rFonts w:ascii="Arial" w:hAnsi="Arial"/>
          <w:b w:val="false"/>
          <w:bCs w:val="false"/>
          <w:sz w:val="24"/>
          <w:szCs w:val="24"/>
          <w:lang w:val="en-GB"/>
        </w:rPr>
      </w:r>
    </w:p>
    <w:p>
      <w:pPr>
        <w:pStyle w:val="Standard"/>
        <w:bidi w:val="0"/>
        <w:spacing w:lineRule="auto" w:line="480"/>
        <w:jc w:val="both"/>
        <w:rPr>
          <w:rFonts w:ascii="Arial" w:hAnsi="Arial"/>
          <w:b/>
          <w:b/>
          <w:bCs/>
          <w:sz w:val="24"/>
          <w:szCs w:val="24"/>
          <w:lang w:val="en-GB"/>
        </w:rPr>
      </w:pPr>
      <w:r>
        <w:rPr>
          <w:rFonts w:ascii="Arial" w:hAnsi="Arial"/>
          <w:b/>
          <w:bCs/>
          <w:sz w:val="24"/>
          <w:szCs w:val="24"/>
          <w:lang w:val="en-GB"/>
        </w:rPr>
        <w:t>Quantification and statistical analysis</w:t>
      </w:r>
    </w:p>
    <w:p>
      <w:pPr>
        <w:pStyle w:val="Standard"/>
        <w:bidi w:val="0"/>
        <w:spacing w:lineRule="auto" w:line="480"/>
        <w:jc w:val="left"/>
        <w:rPr/>
      </w:pPr>
      <w:r>
        <w:rPr>
          <w:rFonts w:ascii="Arial" w:hAnsi="Arial"/>
          <w:b w:val="false"/>
          <w:bCs w:val="false"/>
          <w:sz w:val="24"/>
          <w:szCs w:val="24"/>
          <w:lang w:val="en-GB"/>
        </w:rPr>
        <w:t xml:space="preserve">Standard error of </w:t>
      </w:r>
      <w:r>
        <w:rPr>
          <w:rFonts w:ascii="Arial" w:hAnsi="Arial"/>
          <w:b w:val="false"/>
          <w:bCs w:val="false"/>
          <w:i/>
          <w:iCs/>
          <w:sz w:val="24"/>
          <w:szCs w:val="24"/>
          <w:lang w:val="en-GB"/>
        </w:rPr>
        <w:t>fd</w:t>
      </w:r>
      <w:r>
        <w:rPr>
          <w:rFonts w:ascii="Arial" w:hAnsi="Arial"/>
          <w:b w:val="false"/>
          <w:bCs w:val="false"/>
          <w:sz w:val="24"/>
          <w:szCs w:val="24"/>
          <w:lang w:val="en-GB"/>
        </w:rPr>
        <w:t xml:space="preserve"> mean at whole genome level was assessed with 1000 blocks Jackknife, using 600 kb block. In a similar way, 1000 bootstrap were used to assess the 95 % confidence interval of fd mean on the inversion P</w:t>
      </w:r>
      <w:r>
        <w:rPr>
          <w:rFonts w:ascii="Arial" w:hAnsi="Arial"/>
          <w:b w:val="false"/>
          <w:bCs w:val="false"/>
          <w:sz w:val="24"/>
          <w:szCs w:val="24"/>
          <w:vertAlign w:val="subscript"/>
          <w:lang w:val="en-GB"/>
        </w:rPr>
        <w:t>1</w:t>
      </w:r>
      <w:r>
        <w:rPr>
          <w:rFonts w:ascii="Arial" w:hAnsi="Arial"/>
          <w:b w:val="false"/>
          <w:bCs w:val="false"/>
          <w:position w:val="0"/>
          <w:sz w:val="24"/>
          <w:sz w:val="24"/>
          <w:szCs w:val="24"/>
          <w:vertAlign w:val="baseline"/>
          <w:lang w:val="en-GB"/>
        </w:rPr>
        <w:t xml:space="preserve">. 95 % confidence interval of divergence times were directly obtained from the posterior distribution inferred by Phylobayes [47]. </w:t>
      </w:r>
    </w:p>
    <w:p>
      <w:pPr>
        <w:pStyle w:val="Standard"/>
        <w:bidi w:val="0"/>
        <w:spacing w:lineRule="auto" w:line="480"/>
        <w:jc w:val="both"/>
        <w:rPr>
          <w:rFonts w:ascii="Arial" w:hAnsi="Arial"/>
          <w:b/>
          <w:b/>
          <w:bCs/>
          <w:sz w:val="28"/>
          <w:szCs w:val="28"/>
        </w:rPr>
      </w:pPr>
      <w:r>
        <w:rPr>
          <w:rFonts w:ascii="Arial" w:hAnsi="Arial"/>
          <w:b/>
          <w:bCs/>
          <w:sz w:val="28"/>
          <w:szCs w:val="28"/>
        </w:rPr>
      </w:r>
    </w:p>
    <w:p>
      <w:pPr>
        <w:pStyle w:val="Standard"/>
        <w:bidi w:val="0"/>
        <w:spacing w:lineRule="auto" w:line="480"/>
        <w:jc w:val="both"/>
        <w:rPr>
          <w:rFonts w:ascii="Arial" w:hAnsi="Arial"/>
          <w:b/>
          <w:b/>
          <w:bCs/>
          <w:sz w:val="28"/>
          <w:szCs w:val="28"/>
        </w:rPr>
      </w:pPr>
      <w:r>
        <w:rPr>
          <w:rFonts w:ascii="Arial" w:hAnsi="Arial"/>
          <w:b/>
          <w:bCs/>
          <w:sz w:val="28"/>
          <w:szCs w:val="28"/>
        </w:rPr>
        <w:t>DATA and software availability</w:t>
      </w:r>
    </w:p>
    <w:p>
      <w:pPr>
        <w:pStyle w:val="Standard"/>
        <w:bidi w:val="0"/>
        <w:spacing w:lineRule="auto" w:line="480"/>
        <w:jc w:val="both"/>
        <w:rPr>
          <w:rFonts w:ascii="Arial" w:hAnsi="Arial"/>
          <w:b w:val="false"/>
          <w:b w:val="false"/>
          <w:bCs w:val="false"/>
          <w:sz w:val="24"/>
          <w:szCs w:val="24"/>
        </w:rPr>
      </w:pPr>
      <w:r>
        <w:rPr>
          <w:rFonts w:ascii="Arial" w:hAnsi="Arial"/>
          <w:b w:val="false"/>
          <w:bCs w:val="false"/>
          <w:sz w:val="24"/>
          <w:szCs w:val="24"/>
        </w:rPr>
        <w:t>The datasets generated or analyzed during this study are available from NCBI SRA (). Accession numbers are indicated in Table S1.</w:t>
      </w:r>
    </w:p>
    <w:p>
      <w:pPr>
        <w:pStyle w:val="Standard"/>
        <w:bidi w:val="0"/>
        <w:spacing w:lineRule="auto" w:line="480"/>
        <w:jc w:val="both"/>
        <w:rPr/>
      </w:pPr>
      <w:r>
        <w:rPr/>
      </w:r>
    </w:p>
    <w:p>
      <w:pPr>
        <w:sectPr>
          <w:type w:val="continuous"/>
          <w:pgSz w:w="11906" w:h="16838"/>
          <w:pgMar w:left="907" w:right="907" w:header="0" w:top="1134" w:footer="1134" w:bottom="1700" w:gutter="0"/>
          <w:lnNumType w:countBy="1" w:restart="continuous" w:distance="283"/>
          <w:formProt w:val="false"/>
          <w:textDirection w:val="lrTb"/>
          <w:docGrid w:type="default" w:linePitch="360" w:charSpace="4294961151"/>
        </w:sectPr>
      </w:pPr>
    </w:p>
    <w:sectPr>
      <w:type w:val="continuous"/>
      <w:pgSz w:w="11906" w:h="16838"/>
      <w:pgMar w:left="907" w:right="907" w:header="0" w:top="1134" w:footer="1134" w:bottom="1700" w:gutter="0"/>
      <w:lnNumType w:countBy="1" w:restart="continuous" w:distance="283"/>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settings.xml><?xml version="1.0" encoding="utf-8"?>
<w:settings xmlns:w="http://schemas.openxmlformats.org/wordprocessingml/2006/main">
  <w:zoom w:percent="85"/>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fr-FR" w:eastAsia="zh-CN" w:bidi="hi-IN"/>
      </w:rPr>
    </w:rPrDefault>
    <w:pPrDefault>
      <w:pPr/>
    </w:pPrDefault>
  </w:docDefaults>
  <w:style w:type="paragraph" w:styleId="Normal">
    <w:name w:val="Normal"/>
    <w:qFormat/>
    <w:pPr>
      <w:widowControl/>
      <w:suppressAutoHyphens w:val="true"/>
      <w:overflowPunct w:val="false"/>
      <w:bidi w:val="0"/>
      <w:jc w:val="left"/>
      <w:textAlignment w:val="baseline"/>
    </w:pPr>
    <w:rPr>
      <w:rFonts w:ascii="Liberation Serif;Times New Roman" w:hAnsi="Liberation Serif;Times New Roman" w:eastAsia="Noto Sans CJK SC Regular;Times New Roman" w:cs="FreeSans;Times New Roman"/>
      <w:color w:val="00000A"/>
      <w:sz w:val="24"/>
      <w:szCs w:val="24"/>
      <w:lang w:val="fr-FR" w:eastAsia="zh-CN" w:bidi="hi-IN"/>
    </w:rPr>
  </w:style>
  <w:style w:type="paragraph" w:styleId="Titre2">
    <w:name w:val="Heading 2"/>
    <w:basedOn w:val="Titre"/>
    <w:qFormat/>
    <w:pPr/>
    <w:rPr/>
  </w:style>
  <w:style w:type="character" w:styleId="Policepardfaut">
    <w:name w:val="Police par défaut"/>
    <w:qFormat/>
    <w:rPr/>
  </w:style>
  <w:style w:type="character" w:styleId="DefaultParagraphFont">
    <w:name w:val="Default Paragraph Font"/>
    <w:qFormat/>
    <w:rPr/>
  </w:style>
  <w:style w:type="character" w:styleId="Marquedecommentaire1">
    <w:name w:val="Marque de commentaire1"/>
    <w:qFormat/>
    <w:rPr>
      <w:sz w:val="16"/>
      <w:szCs w:val="16"/>
    </w:rPr>
  </w:style>
  <w:style w:type="character" w:styleId="CommentReference">
    <w:name w:val="Comment Reference"/>
    <w:qFormat/>
    <w:rPr>
      <w:sz w:val="16"/>
      <w:szCs w:val="16"/>
    </w:rPr>
  </w:style>
  <w:style w:type="character" w:styleId="LienInternetvisit">
    <w:name w:val="Lien Internet visité"/>
    <w:rPr>
      <w:color w:val="800080"/>
      <w:u w:val="single"/>
    </w:rPr>
  </w:style>
  <w:style w:type="character" w:styleId="Internetlink">
    <w:name w:val="Internet link"/>
    <w:qFormat/>
    <w:rPr>
      <w:color w:val="000080"/>
      <w:u w:val="single"/>
    </w:rPr>
  </w:style>
  <w:style w:type="character" w:styleId="CommentTextChar">
    <w:name w:val="Comment Text Char"/>
    <w:qFormat/>
    <w:rPr>
      <w:rFonts w:cs="Mangal"/>
      <w:sz w:val="20"/>
      <w:szCs w:val="18"/>
    </w:rPr>
  </w:style>
  <w:style w:type="character" w:styleId="BalloonTextChar">
    <w:name w:val="Balloon Text Char"/>
    <w:qFormat/>
    <w:rPr>
      <w:rFonts w:ascii="Segoe UI" w:hAnsi="Segoe UI" w:cs="Mangal"/>
      <w:sz w:val="18"/>
      <w:szCs w:val="16"/>
    </w:rPr>
  </w:style>
  <w:style w:type="character" w:styleId="CommentSubjectChar">
    <w:name w:val="Comment Subject Char"/>
    <w:qFormat/>
    <w:rPr>
      <w:rFonts w:cs="Mangal"/>
      <w:b/>
      <w:bCs/>
      <w:sz w:val="20"/>
      <w:szCs w:val="18"/>
    </w:rPr>
  </w:style>
  <w:style w:type="character" w:styleId="LienInternet">
    <w:name w:val="Lien Internet"/>
    <w:rPr>
      <w:color w:val="000080"/>
      <w:u w:val="single"/>
      <w:lang w:val="zxx" w:bidi="zxx"/>
    </w:rPr>
  </w:style>
  <w:style w:type="character" w:styleId="TextedebullesCar">
    <w:name w:val="Texte de bulles Car"/>
    <w:qFormat/>
    <w:rPr>
      <w:rFonts w:ascii="Tahoma" w:hAnsi="Tahoma" w:eastAsia="Noto Sans CJK SC Regular;Times New Roman" w:cs="Mangal"/>
      <w:sz w:val="16"/>
      <w:szCs w:val="14"/>
      <w:lang w:eastAsia="zh-CN" w:bidi="hi-IN"/>
    </w:rPr>
  </w:style>
  <w:style w:type="character" w:styleId="Marquedecommentaire">
    <w:name w:val="Marque de commentaire"/>
    <w:qFormat/>
    <w:rPr>
      <w:sz w:val="16"/>
      <w:szCs w:val="16"/>
    </w:rPr>
  </w:style>
  <w:style w:type="character" w:styleId="CommentaireCar">
    <w:name w:val="Commentaire Car"/>
    <w:qFormat/>
    <w:rPr>
      <w:rFonts w:ascii="Liberation Serif;Times New Roman" w:hAnsi="Liberation Serif;Times New Roman" w:eastAsia="Noto Sans CJK SC Regular;Times New Roman" w:cs="Mangal"/>
      <w:szCs w:val="18"/>
      <w:lang w:eastAsia="zh-CN" w:bidi="hi-IN"/>
    </w:rPr>
  </w:style>
  <w:style w:type="character" w:styleId="ObjetducommentaireCar">
    <w:name w:val="Objet du commentaire Car"/>
    <w:qFormat/>
    <w:rPr>
      <w:rFonts w:ascii="Liberation Serif;Times New Roman" w:hAnsi="Liberation Serif;Times New Roman" w:eastAsia="Noto Sans CJK SC Regular;Times New Roman" w:cs="Mangal"/>
      <w:b/>
      <w:bCs/>
      <w:szCs w:val="18"/>
      <w:lang w:eastAsia="zh-CN" w:bidi="hi-IN"/>
    </w:rPr>
  </w:style>
  <w:style w:type="character" w:styleId="Marquedecommentaire3">
    <w:name w:val="Marque de commentaire3"/>
    <w:qFormat/>
    <w:rPr>
      <w:sz w:val="16"/>
      <w:szCs w:val="16"/>
    </w:rPr>
  </w:style>
  <w:style w:type="character" w:styleId="Numrotationdelignes">
    <w:name w:val="Numérotation de lignes"/>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Caractresdenotedefin">
    <w:name w:val="Caractères de note de fin"/>
    <w:qFormat/>
    <w:rPr/>
  </w:style>
  <w:style w:type="character" w:styleId="Ancredenotedefin">
    <w:name w:val="Ancre de note de fin"/>
    <w:rPr>
      <w:vertAlign w:val="superscrip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widowControl w:val="false"/>
      <w:bidi w:val="0"/>
      <w:spacing w:before="240" w:after="120"/>
      <w:jc w:val="left"/>
    </w:pPr>
    <w:rPr>
      <w:rFonts w:ascii="Liberation Sans;Arial" w:hAnsi="Liberation Sans;Arial" w:eastAsia="Noto Sans CJK SC Regular" w:cs="Liberation Sans;Arial"/>
      <w:color w:val="00000A"/>
      <w:sz w:val="28"/>
      <w:szCs w:val="28"/>
      <w:lang w:val="fr-FR" w:eastAsia="zh-CN" w:bidi="hi-IN"/>
    </w:rPr>
  </w:style>
  <w:style w:type="paragraph" w:styleId="Corpsdetexte">
    <w:name w:val="Body Text"/>
    <w:basedOn w:val="Normal"/>
    <w:pPr>
      <w:spacing w:lineRule="auto" w:line="288" w:before="0" w:after="140"/>
    </w:pPr>
    <w:rPr/>
  </w:style>
  <w:style w:type="paragraph" w:styleId="Liste">
    <w:name w:val="List"/>
    <w:basedOn w:val="Corpsdetexte"/>
    <w:pPr>
      <w:widowControl w:val="false"/>
      <w:bidi w:val="0"/>
      <w:jc w:val="left"/>
    </w:pPr>
    <w:rPr>
      <w:rFonts w:ascii="Liberation Serif" w:hAnsi="Liberation Serif" w:eastAsia="Noto Sans CJK SC Regular" w:cs="FreeSans"/>
      <w:color w:val="00000A"/>
      <w:sz w:val="20"/>
      <w:szCs w:val="24"/>
      <w:lang w:val="fr-FR" w:eastAsia="zh-CN" w:bidi="hi-IN"/>
    </w:rPr>
  </w:style>
  <w:style w:type="paragraph" w:styleId="Lgende">
    <w:name w:val="Caption"/>
    <w:basedOn w:val="Normal"/>
    <w:qFormat/>
    <w:pPr>
      <w:widowControl w:val="false"/>
      <w:suppressLineNumbers/>
      <w:bidi w:val="0"/>
      <w:spacing w:before="120" w:after="120"/>
      <w:jc w:val="left"/>
    </w:pPr>
    <w:rPr>
      <w:rFonts w:ascii="Liberation Serif" w:hAnsi="Liberation Serif" w:eastAsia="Noto Sans CJK SC Regular" w:cs="FreeSans"/>
      <w:i/>
      <w:iCs/>
      <w:color w:val="00000A"/>
      <w:sz w:val="20"/>
      <w:szCs w:val="24"/>
      <w:lang w:val="fr-FR" w:eastAsia="zh-CN" w:bidi="hi-IN"/>
    </w:rPr>
  </w:style>
  <w:style w:type="paragraph" w:styleId="Index">
    <w:name w:val="Index"/>
    <w:basedOn w:val="Normal"/>
    <w:qFormat/>
    <w:pPr>
      <w:widowControl w:val="false"/>
      <w:suppressLineNumbers/>
      <w:bidi w:val="0"/>
      <w:jc w:val="left"/>
    </w:pPr>
    <w:rPr>
      <w:rFonts w:ascii="Liberation Serif" w:hAnsi="Liberation Serif" w:eastAsia="Noto Sans CJK SC Regular" w:cs="FreeSans"/>
      <w:color w:val="00000A"/>
      <w:sz w:val="20"/>
      <w:szCs w:val="24"/>
      <w:lang w:val="fr-FR" w:eastAsia="zh-CN" w:bidi="hi-IN"/>
    </w:rPr>
  </w:style>
  <w:style w:type="paragraph" w:styleId="Standard">
    <w:name w:val="Standard"/>
    <w:qFormat/>
    <w:pPr>
      <w:widowControl/>
      <w:suppressAutoHyphens w:val="true"/>
      <w:overflowPunct w:val="false"/>
      <w:bidi w:val="0"/>
      <w:jc w:val="left"/>
      <w:textAlignment w:val="baseline"/>
    </w:pPr>
    <w:rPr>
      <w:rFonts w:ascii="Liberation Serif;Times New Roman" w:hAnsi="Liberation Serif;Times New Roman" w:eastAsia="Noto Sans CJK SC;Times New Roman" w:cs="FreeSans;Times New Roman"/>
      <w:color w:val="00000A"/>
      <w:sz w:val="24"/>
      <w:szCs w:val="24"/>
      <w:lang w:val="en-US" w:eastAsia="zh-CN" w:bidi="hi-IN"/>
    </w:rPr>
  </w:style>
  <w:style w:type="paragraph" w:styleId="Textbody">
    <w:name w:val="Text body"/>
    <w:basedOn w:val="Standard"/>
    <w:qFormat/>
    <w:pPr>
      <w:spacing w:lineRule="auto" w:line="288" w:before="0" w:after="140"/>
    </w:pPr>
    <w:rPr/>
  </w:style>
  <w:style w:type="paragraph" w:styleId="Titre1">
    <w:name w:val="Titre1"/>
    <w:basedOn w:val="Normal"/>
    <w:qFormat/>
    <w:pPr>
      <w:keepNext/>
      <w:spacing w:before="240" w:after="120"/>
    </w:pPr>
    <w:rPr>
      <w:rFonts w:ascii="Liberation Sans;Arial" w:hAnsi="Liberation Sans;Arial" w:eastAsia="Noto Sans CJK SC Regular;Times New Roman" w:cs="FreeSans;Times New Roman"/>
      <w:sz w:val="28"/>
      <w:szCs w:val="28"/>
    </w:rPr>
  </w:style>
  <w:style w:type="paragraph" w:styleId="CommentText">
    <w:name w:val="Comment Text"/>
    <w:basedOn w:val="Normal"/>
    <w:qFormat/>
    <w:pPr/>
    <w:rPr>
      <w:rFonts w:cs="Mangal"/>
      <w:sz w:val="20"/>
      <w:szCs w:val="18"/>
    </w:rPr>
  </w:style>
  <w:style w:type="paragraph" w:styleId="BalloonText">
    <w:name w:val="Balloon Text"/>
    <w:basedOn w:val="Normal"/>
    <w:qFormat/>
    <w:pPr/>
    <w:rPr>
      <w:rFonts w:ascii="Segoe UI" w:hAnsi="Segoe UI" w:cs="Mangal"/>
      <w:sz w:val="18"/>
      <w:szCs w:val="16"/>
    </w:rPr>
  </w:style>
  <w:style w:type="paragraph" w:styleId="CommentSubject">
    <w:name w:val="Comment Subject"/>
    <w:basedOn w:val="CommentText"/>
    <w:qFormat/>
    <w:pPr/>
    <w:rPr>
      <w:b/>
      <w:bCs/>
    </w:rPr>
  </w:style>
  <w:style w:type="paragraph" w:styleId="Textedebulles">
    <w:name w:val="Texte de bulles"/>
    <w:basedOn w:val="Normal"/>
    <w:qFormat/>
    <w:pPr/>
    <w:rPr>
      <w:rFonts w:ascii="Tahoma" w:hAnsi="Tahoma" w:cs="Mangal"/>
      <w:sz w:val="16"/>
      <w:szCs w:val="14"/>
    </w:rPr>
  </w:style>
  <w:style w:type="paragraph" w:styleId="Commentaire">
    <w:name w:val="Commentaire"/>
    <w:basedOn w:val="Normal"/>
    <w:qFormat/>
    <w:pPr/>
    <w:rPr>
      <w:rFonts w:cs="Mangal"/>
      <w:sz w:val="20"/>
      <w:szCs w:val="18"/>
    </w:rPr>
  </w:style>
  <w:style w:type="paragraph" w:styleId="Objetducommentaire">
    <w:name w:val="Objet du commentaire"/>
    <w:basedOn w:val="Commentaire"/>
    <w:next w:val="Commentaire"/>
    <w:qFormat/>
    <w:pPr/>
    <w:rPr>
      <w:b/>
      <w:bCs/>
    </w:rPr>
  </w:style>
  <w:style w:type="paragraph" w:styleId="Bibliographie1">
    <w:name w:val="Bibliographie 1"/>
    <w:basedOn w:val="Index"/>
    <w:qFormat/>
    <w:pPr>
      <w:tabs>
        <w:tab w:val="left" w:pos="264" w:leader="none"/>
      </w:tabs>
      <w:spacing w:lineRule="atLeast" w:line="240" w:before="0" w:after="240"/>
      <w:ind w:left="264" w:right="0" w:hanging="264"/>
    </w:pPr>
    <w:rPr/>
  </w:style>
  <w:style w:type="paragraph" w:styleId="Illustration">
    <w:name w:val="Illustration"/>
    <w:basedOn w:val="Lgende"/>
    <w:qFormat/>
    <w:pPr/>
    <w:rPr/>
  </w:style>
  <w:style w:type="paragraph" w:styleId="Contenudecadre">
    <w:name w:val="Contenu de cadre"/>
    <w:basedOn w:val="Normal"/>
    <w:qFormat/>
    <w:pPr/>
    <w:rPr/>
  </w:style>
  <w:style w:type="paragraph" w:styleId="Pieddepage">
    <w:name w:val="Footer"/>
    <w:basedOn w:val="Normal"/>
    <w:pPr/>
    <w:rPr/>
  </w:style>
  <w:style w:type="paragraph" w:styleId="Entte">
    <w:name w:val="Header"/>
    <w:basedOn w:val="Normal"/>
    <w:pPr/>
    <w:rPr/>
  </w:style>
  <w:style w:type="paragraph" w:styleId="Notedebasdepage">
    <w:name w:val="Footnote Text"/>
    <w:basedOn w:val="Normal"/>
    <w:pPr/>
    <w:rPr/>
  </w:style>
  <w:style w:type="paragraph" w:styleId="Texteprformat">
    <w:name w:val="Texte préformaté"/>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hieu.joron@cefe.cnrs.fr" TargetMode="External"/><Relationship Id="rId3" Type="http://schemas.openxmlformats.org/officeDocument/2006/relationships/footer" Target="footer1.xml"/><Relationship Id="rId4" Type="http://schemas.openxmlformats.org/officeDocument/2006/relationships/hyperlink" Target="http://ensembl.lepbase.org/" TargetMode="External"/><Relationship Id="rId5" Type="http://schemas.openxmlformats.org/officeDocument/2006/relationships/hyperlink" Target="https://github.com/simonhmartin/twiss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4606</TotalTime>
  <Application>LibreOffice/5.1.6.2$Linux_X86_64 LibreOffice_project/10m0$Build-2</Application>
  <Pages>21</Pages>
  <Words>5690</Words>
  <Characters>32518</Characters>
  <CharactersWithSpaces>38078</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2017-11-03T14:06:00Z</dcterms:created>
  <dc:creator>Annabel</dc:creator>
  <dc:description/>
  <dc:language>fr-FR</dc:language>
  <cp:lastModifiedBy/>
  <cp:lastPrinted>2018-03-29T15:02:23Z</cp:lastPrinted>
  <dcterms:modified xsi:type="dcterms:W3CDTF">2018-04-17T18:17:55Z</dcterms:modified>
  <cp:revision>185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zotero-version="5.0.41"&gt;&lt;session id="09bd6amz"/&gt;&lt;style id="http://www.zotero.org/styles/current-biology" hasBibliography="1" bibliographyStyleHasBeenSet="1"/&gt;&lt;prefs&gt;&lt;pref name="fieldType" value="ReferenceMark"/&gt;&lt;pref name="automatic</vt:lpwstr>
  </property>
  <property fmtid="{D5CDD505-2E9C-101B-9397-08002B2CF9AE}" pid="3" name="ZOTERO_PREF_2">
    <vt:lpwstr>JournalAbbreviations" value="true"/&gt;&lt;/prefs&gt;&lt;/data&gt;</vt:lpwstr>
  </property>
</Properties>
</file>