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3FE3D" w14:textId="77777777" w:rsidR="00B12CEB" w:rsidRDefault="00B12CEB" w:rsidP="00B12CEB">
      <w:pPr>
        <w:pStyle w:val="Authornames"/>
      </w:pPr>
      <w:bookmarkStart w:id="0" w:name="_GoBack"/>
      <w:bookmarkEnd w:id="0"/>
      <w:r w:rsidRPr="00431FBF">
        <w:rPr>
          <w:b/>
          <w:sz w:val="24"/>
        </w:rPr>
        <w:t>An International Validation of the Engaged Teacher Scale</w:t>
      </w:r>
      <w:r>
        <w:t xml:space="preserve"> </w:t>
      </w:r>
    </w:p>
    <w:p w14:paraId="589D2919" w14:textId="77777777" w:rsidR="00B12CEB" w:rsidRPr="000E38A2" w:rsidRDefault="00B12CEB" w:rsidP="00B12CEB">
      <w:pPr>
        <w:spacing w:line="360" w:lineRule="auto"/>
      </w:pPr>
    </w:p>
    <w:p w14:paraId="203E941A" w14:textId="77777777" w:rsidR="00B12CEB" w:rsidRPr="000E38A2" w:rsidRDefault="00B12CEB" w:rsidP="00B12CEB">
      <w:pPr>
        <w:spacing w:line="360" w:lineRule="auto"/>
        <w:rPr>
          <w:sz w:val="28"/>
          <w:szCs w:val="28"/>
          <w:vertAlign w:val="superscript"/>
        </w:rPr>
      </w:pPr>
      <w:r w:rsidRPr="000E38A2">
        <w:rPr>
          <w:sz w:val="28"/>
          <w:szCs w:val="28"/>
        </w:rPr>
        <w:t>Sündüs Yerdelen</w:t>
      </w:r>
      <w:r w:rsidRPr="000E38A2">
        <w:rPr>
          <w:sz w:val="28"/>
          <w:szCs w:val="28"/>
          <w:vertAlign w:val="superscript"/>
        </w:rPr>
        <w:t>a</w:t>
      </w:r>
      <w:r w:rsidRPr="000E38A2">
        <w:rPr>
          <w:sz w:val="28"/>
          <w:szCs w:val="28"/>
        </w:rPr>
        <w:t>, Tracy Durksen</w:t>
      </w:r>
      <w:r w:rsidRPr="000E38A2">
        <w:rPr>
          <w:sz w:val="28"/>
          <w:szCs w:val="28"/>
          <w:vertAlign w:val="superscript"/>
        </w:rPr>
        <w:t>b</w:t>
      </w:r>
      <w:r w:rsidRPr="000E38A2">
        <w:rPr>
          <w:sz w:val="28"/>
          <w:szCs w:val="28"/>
        </w:rPr>
        <w:t>, Robert M. Klassen</w:t>
      </w:r>
      <w:r w:rsidRPr="000E38A2">
        <w:rPr>
          <w:sz w:val="28"/>
          <w:szCs w:val="28"/>
          <w:vertAlign w:val="superscript"/>
        </w:rPr>
        <w:t>c</w:t>
      </w:r>
    </w:p>
    <w:p w14:paraId="63DA21E1" w14:textId="77777777" w:rsidR="00B12CEB" w:rsidRDefault="00B12CEB" w:rsidP="00B12CEB">
      <w:pPr>
        <w:spacing w:line="360" w:lineRule="auto"/>
      </w:pPr>
      <w:r w:rsidRPr="00431FBF">
        <w:rPr>
          <w:vertAlign w:val="superscript"/>
        </w:rPr>
        <w:t>a</w:t>
      </w:r>
      <w:r w:rsidRPr="000E38A2">
        <w:rPr>
          <w:i/>
        </w:rPr>
        <w:t xml:space="preserve">Department of Science Education, Kafkas University, Kars, </w:t>
      </w:r>
      <w:r>
        <w:rPr>
          <w:i/>
        </w:rPr>
        <w:t xml:space="preserve">Turkey, </w:t>
      </w:r>
      <w:hyperlink r:id="rId8" w:history="1">
        <w:r w:rsidRPr="00A54EFA">
          <w:rPr>
            <w:rStyle w:val="Hyperlink"/>
          </w:rPr>
          <w:t>suyerdelen@gmail.com</w:t>
        </w:r>
      </w:hyperlink>
      <w:r>
        <w:t xml:space="preserve">; </w:t>
      </w:r>
    </w:p>
    <w:p w14:paraId="79591A34" w14:textId="3A53209D" w:rsidR="00B12CEB" w:rsidRDefault="00B12CEB" w:rsidP="00B12CEB">
      <w:pPr>
        <w:spacing w:line="360" w:lineRule="auto"/>
      </w:pPr>
      <w:r w:rsidRPr="00431FBF">
        <w:rPr>
          <w:vertAlign w:val="superscript"/>
        </w:rPr>
        <w:t>b</w:t>
      </w:r>
      <w:r w:rsidRPr="000E38A2">
        <w:rPr>
          <w:i/>
        </w:rPr>
        <w:t>School of Education</w:t>
      </w:r>
      <w:r>
        <w:rPr>
          <w:i/>
        </w:rPr>
        <w:t>,</w:t>
      </w:r>
      <w:r w:rsidRPr="000E38A2">
        <w:rPr>
          <w:i/>
        </w:rPr>
        <w:t xml:space="preserve"> </w:t>
      </w:r>
      <w:r w:rsidR="00D9234E">
        <w:rPr>
          <w:i/>
        </w:rPr>
        <w:t xml:space="preserve">UNSW </w:t>
      </w:r>
      <w:r w:rsidRPr="000E38A2">
        <w:rPr>
          <w:i/>
        </w:rPr>
        <w:t>Sydney</w:t>
      </w:r>
      <w:r w:rsidR="00D9234E">
        <w:rPr>
          <w:i/>
        </w:rPr>
        <w:t>,</w:t>
      </w:r>
      <w:r>
        <w:rPr>
          <w:i/>
        </w:rPr>
        <w:t xml:space="preserve"> Australia, </w:t>
      </w:r>
      <w:hyperlink r:id="rId9" w:history="1">
        <w:r w:rsidRPr="00431FBF">
          <w:rPr>
            <w:rStyle w:val="Hyperlink"/>
          </w:rPr>
          <w:t>tracy.durksen@unsw.edu.au</w:t>
        </w:r>
      </w:hyperlink>
      <w:r>
        <w:t xml:space="preserve">; </w:t>
      </w:r>
    </w:p>
    <w:p w14:paraId="1BC47221" w14:textId="6A4F3500" w:rsidR="00B12CEB" w:rsidRPr="00431FBF" w:rsidRDefault="00B12CEB" w:rsidP="00B12CEB">
      <w:pPr>
        <w:spacing w:line="360" w:lineRule="auto"/>
      </w:pPr>
      <w:r w:rsidRPr="00431FBF">
        <w:rPr>
          <w:color w:val="000000"/>
          <w:vertAlign w:val="superscript"/>
          <w:lang w:val="tr-TR"/>
        </w:rPr>
        <w:t>c</w:t>
      </w:r>
      <w:r w:rsidRPr="000E38A2">
        <w:rPr>
          <w:i/>
          <w:color w:val="000000"/>
          <w:lang w:val="tr-TR"/>
        </w:rPr>
        <w:t xml:space="preserve">Department of Education, University of York, York, </w:t>
      </w:r>
      <w:r>
        <w:rPr>
          <w:i/>
          <w:color w:val="000000"/>
          <w:lang w:val="tr-TR"/>
        </w:rPr>
        <w:t xml:space="preserve">UK, </w:t>
      </w:r>
      <w:hyperlink r:id="rId10" w:history="1">
        <w:r w:rsidRPr="00431FBF">
          <w:rPr>
            <w:rStyle w:val="Hyperlink"/>
          </w:rPr>
          <w:t>robert.klassen@york.ac.uk</w:t>
        </w:r>
      </w:hyperlink>
    </w:p>
    <w:p w14:paraId="5A5B16CE" w14:textId="2216ECCC" w:rsidR="00B12CEB" w:rsidRDefault="00B12CEB" w:rsidP="00B12CEB">
      <w:pPr>
        <w:pStyle w:val="Correspondencedetails"/>
      </w:pPr>
      <w:r>
        <w:t xml:space="preserve">Corresponding author: Asst. Prof. Dr. Sündüs YERDELEN, Adress: Kafkas University, Faculty of Education, Department of Science Education. Tel: +905443301044 e-mail: </w:t>
      </w:r>
      <w:hyperlink r:id="rId11" w:history="1">
        <w:r w:rsidRPr="00A54EFA">
          <w:rPr>
            <w:rStyle w:val="Hyperlink"/>
          </w:rPr>
          <w:t>suyerdelen@gmail.com</w:t>
        </w:r>
      </w:hyperlink>
    </w:p>
    <w:p w14:paraId="545534DF" w14:textId="77777777" w:rsidR="00B12CEB" w:rsidRDefault="00B12CEB" w:rsidP="000E38A2">
      <w:pPr>
        <w:rPr>
          <w:b/>
          <w:sz w:val="28"/>
          <w:szCs w:val="28"/>
        </w:rPr>
      </w:pPr>
    </w:p>
    <w:p w14:paraId="6A07E8B6" w14:textId="77777777" w:rsidR="000A7453" w:rsidRDefault="000A7453" w:rsidP="000E38A2">
      <w:pPr>
        <w:rPr>
          <w:b/>
          <w:sz w:val="28"/>
          <w:szCs w:val="28"/>
        </w:rPr>
      </w:pPr>
    </w:p>
    <w:p w14:paraId="1D3D83C5" w14:textId="77777777" w:rsidR="000A7453" w:rsidRDefault="000A7453" w:rsidP="000E38A2">
      <w:pPr>
        <w:rPr>
          <w:b/>
          <w:sz w:val="28"/>
          <w:szCs w:val="28"/>
        </w:rPr>
      </w:pPr>
    </w:p>
    <w:p w14:paraId="390B3B1B" w14:textId="4907D233" w:rsidR="000A7453" w:rsidRDefault="000A7453" w:rsidP="000E38A2">
      <w:pPr>
        <w:rPr>
          <w:b/>
          <w:sz w:val="28"/>
          <w:szCs w:val="28"/>
        </w:rPr>
        <w:sectPr w:rsidR="000A7453" w:rsidSect="00B12CEB">
          <w:headerReference w:type="even" r:id="rId12"/>
          <w:headerReference w:type="default" r:id="rId13"/>
          <w:footerReference w:type="even" r:id="rId14"/>
          <w:footerReference w:type="default" r:id="rId15"/>
          <w:headerReference w:type="first" r:id="rId16"/>
          <w:footerReference w:type="first" r:id="rId17"/>
          <w:pgSz w:w="11901" w:h="16840" w:code="9"/>
          <w:pgMar w:top="1418" w:right="1701" w:bottom="1418" w:left="1701" w:header="709" w:footer="709" w:gutter="0"/>
          <w:cols w:space="708"/>
          <w:docGrid w:linePitch="360"/>
        </w:sectPr>
      </w:pPr>
      <w:r>
        <w:rPr>
          <w:b/>
          <w:sz w:val="28"/>
          <w:szCs w:val="28"/>
        </w:rPr>
        <w:t xml:space="preserve">Acknowledgement: </w:t>
      </w:r>
      <w:r w:rsidRPr="000A7453">
        <w:t xml:space="preserve">A shorter version of this study was presented in </w:t>
      </w:r>
      <w:r w:rsidR="00C86393">
        <w:t>the</w:t>
      </w:r>
      <w:r w:rsidR="00093A33">
        <w:t xml:space="preserve"> </w:t>
      </w:r>
      <w:r w:rsidR="00093A33" w:rsidRPr="00093A33">
        <w:t>Test Validity Research and Evaluation SIG</w:t>
      </w:r>
      <w:r w:rsidR="00093A33">
        <w:t xml:space="preserve"> of</w:t>
      </w:r>
      <w:r w:rsidR="00C86393">
        <w:t xml:space="preserve"> </w:t>
      </w:r>
      <w:r w:rsidRPr="000A7453">
        <w:t>annual meeting of Ame</w:t>
      </w:r>
      <w:r>
        <w:t>rican Educational Research Assoc</w:t>
      </w:r>
      <w:r w:rsidRPr="000A7453">
        <w:t>iation (AERA) in April 2017,</w:t>
      </w:r>
      <w:r w:rsidR="002B0221">
        <w:t xml:space="preserve"> </w:t>
      </w:r>
      <w:r w:rsidRPr="000A7453">
        <w:t>San Antonio , TX.</w:t>
      </w:r>
    </w:p>
    <w:p w14:paraId="4DA21DA8" w14:textId="77777777" w:rsidR="00E87700" w:rsidRPr="000D7205" w:rsidRDefault="00E87700" w:rsidP="00E87700">
      <w:pPr>
        <w:rPr>
          <w:b/>
          <w:color w:val="000000" w:themeColor="text1"/>
          <w:sz w:val="28"/>
          <w:szCs w:val="28"/>
        </w:rPr>
      </w:pPr>
      <w:r w:rsidRPr="000D7205">
        <w:rPr>
          <w:b/>
          <w:color w:val="000000" w:themeColor="text1"/>
          <w:sz w:val="28"/>
          <w:szCs w:val="28"/>
        </w:rPr>
        <w:lastRenderedPageBreak/>
        <w:t>An International Validation of the Engaged Teacher Scale</w:t>
      </w:r>
    </w:p>
    <w:p w14:paraId="5F5894BD" w14:textId="77777777" w:rsidR="00E87700" w:rsidRPr="000D7205" w:rsidRDefault="00E87700" w:rsidP="00E87700">
      <w:pPr>
        <w:pStyle w:val="Articletitle"/>
        <w:rPr>
          <w:color w:val="000000" w:themeColor="text1"/>
        </w:rPr>
      </w:pPr>
    </w:p>
    <w:p w14:paraId="644F0747" w14:textId="77777777" w:rsidR="00E87700" w:rsidRPr="000D7205" w:rsidRDefault="00E87700" w:rsidP="00E87700">
      <w:pPr>
        <w:spacing w:line="360" w:lineRule="auto"/>
        <w:ind w:left="720"/>
        <w:rPr>
          <w:color w:val="000000" w:themeColor="text1"/>
        </w:rPr>
      </w:pPr>
      <w:r w:rsidRPr="000D7205">
        <w:rPr>
          <w:color w:val="000000" w:themeColor="text1"/>
        </w:rPr>
        <w:t>The purpose of this study was to test and validate the Engaged Teacher Scale (ETS) in a Turkish context (ETS-TR). In order to test the construct validity of the ETS, data were collected from 388 teachers in two northeast cities of Turkey. First-order confirmatory factor analysis results supported the 16-item and four-factor model of ETS while second-order confirmatory factor analysis suggested that a single factor was also appropriate for representing teacher engagement. Additionally, four multiple linear regression analyses were conducted to provide further validation evidence. Results showed that subscales of the ETS-TR were found to be positively correlated with teacher self-efficacy. Given our evidence of validity and reliability, we recommend researchers interested in measuring the engagement of Turkish teachers to consider using the ETS-TR. The adaptation of ETS into Turkish also provides a measure for use when conducting research examining cultural comparisons between English-speaking and Turkish teachers.</w:t>
      </w:r>
    </w:p>
    <w:p w14:paraId="46D708DB" w14:textId="77777777" w:rsidR="00E87700" w:rsidRPr="000D7205" w:rsidRDefault="00E87700" w:rsidP="00E87700">
      <w:pPr>
        <w:ind w:left="720"/>
        <w:jc w:val="both"/>
        <w:rPr>
          <w:color w:val="000000" w:themeColor="text1"/>
        </w:rPr>
      </w:pPr>
      <w:r w:rsidRPr="000D7205">
        <w:rPr>
          <w:color w:val="000000" w:themeColor="text1"/>
        </w:rPr>
        <w:t>Key Words: teacher engagement; work engagement; self-efficacy</w:t>
      </w:r>
    </w:p>
    <w:p w14:paraId="427BA023" w14:textId="77777777" w:rsidR="00E87700" w:rsidRPr="000D7205" w:rsidRDefault="00E87700" w:rsidP="00E87700">
      <w:pPr>
        <w:ind w:left="720"/>
        <w:jc w:val="both"/>
        <w:rPr>
          <w:color w:val="000000" w:themeColor="text1"/>
        </w:rPr>
      </w:pPr>
    </w:p>
    <w:p w14:paraId="1BBB2BBE" w14:textId="66C8C306" w:rsidR="00E87700" w:rsidRDefault="00E87700" w:rsidP="00E87700">
      <w:pPr>
        <w:spacing w:before="240" w:line="360" w:lineRule="auto"/>
        <w:rPr>
          <w:iCs/>
          <w:color w:val="000000" w:themeColor="text1"/>
        </w:rPr>
      </w:pPr>
      <w:r>
        <w:rPr>
          <w:iCs/>
          <w:color w:val="000000" w:themeColor="text1"/>
        </w:rPr>
        <w:tab/>
      </w:r>
      <w:r w:rsidRPr="00DC16FB">
        <w:rPr>
          <w:iCs/>
          <w:color w:val="000000" w:themeColor="text1"/>
        </w:rPr>
        <w:t>Teacher engagement is an international issue. An increasing number of teachers across the world leave the profession each year</w:t>
      </w:r>
      <w:r w:rsidRPr="00DC16FB">
        <w:rPr>
          <w:color w:val="000000" w:themeColor="text1"/>
        </w:rPr>
        <w:t>, and many report low levels of engagement in the profession</w:t>
      </w:r>
      <w:r w:rsidR="00DC16FB" w:rsidRPr="00DC16FB">
        <w:rPr>
          <w:color w:val="000000" w:themeColor="text1"/>
        </w:rPr>
        <w:t xml:space="preserve"> (Organisation for Economic Co-operation and Development</w:t>
      </w:r>
      <w:r w:rsidR="00DC16FB">
        <w:rPr>
          <w:color w:val="000000" w:themeColor="text1"/>
        </w:rPr>
        <w:t xml:space="preserve"> (OECD</w:t>
      </w:r>
      <w:r w:rsidRPr="00DC16FB">
        <w:rPr>
          <w:color w:val="000000" w:themeColor="text1"/>
        </w:rPr>
        <w:t xml:space="preserve">, 2005). </w:t>
      </w:r>
      <w:r w:rsidRPr="00DC16FB">
        <w:rPr>
          <w:iCs/>
          <w:color w:val="000000" w:themeColor="text1"/>
        </w:rPr>
        <w:t xml:space="preserve">Previous research suggests highly engaged teachers are less likely to report intentions to quit (Klassen, </w:t>
      </w:r>
      <w:r w:rsidRPr="00DC16FB">
        <w:rPr>
          <w:color w:val="000000" w:themeColor="text1"/>
          <w:shd w:val="clear" w:color="auto" w:fill="FFFFFF"/>
        </w:rPr>
        <w:t xml:space="preserve">Aldhafri </w:t>
      </w:r>
      <w:r w:rsidRPr="00DC16FB">
        <w:rPr>
          <w:iCs/>
          <w:color w:val="000000" w:themeColor="text1"/>
        </w:rPr>
        <w:t xml:space="preserve">et al., 2012), but low teacher attrition rates do not necessarily indicate high levels of engagement. In this study, we sought to validate a measure of teacher engagement in Turkey, where teachers generally report a low rate </w:t>
      </w:r>
      <w:r w:rsidRPr="000D7205">
        <w:rPr>
          <w:iCs/>
          <w:color w:val="000000" w:themeColor="text1"/>
        </w:rPr>
        <w:t xml:space="preserve">of intention for quitting (Güner, 2016; Öğretir, 2013; </w:t>
      </w:r>
      <w:r w:rsidRPr="000D7205">
        <w:rPr>
          <w:color w:val="000000" w:themeColor="text1"/>
          <w:shd w:val="clear" w:color="auto" w:fill="FFFFFF"/>
        </w:rPr>
        <w:t>Öztürk-Çiftci, Meriç, &amp; Meriç, 2015;</w:t>
      </w:r>
      <w:r w:rsidRPr="000D7205">
        <w:rPr>
          <w:iCs/>
          <w:color w:val="000000" w:themeColor="text1"/>
        </w:rPr>
        <w:t xml:space="preserve"> Pehlivan &amp; Köseoğlu, 2013; Uştu, 2014; Yüksel &amp; Yüksel, 2014). </w:t>
      </w:r>
    </w:p>
    <w:p w14:paraId="7689E75F" w14:textId="77777777" w:rsidR="00E87700" w:rsidRDefault="00E87700" w:rsidP="00E87700">
      <w:pPr>
        <w:spacing w:before="240" w:line="360" w:lineRule="auto"/>
        <w:rPr>
          <w:color w:val="FF0000"/>
        </w:rPr>
      </w:pPr>
      <w:r>
        <w:rPr>
          <w:color w:val="000000" w:themeColor="text1"/>
        </w:rPr>
        <w:tab/>
      </w:r>
      <w:r w:rsidRPr="00DC16FB">
        <w:rPr>
          <w:iCs/>
          <w:color w:val="000000" w:themeColor="text1"/>
        </w:rPr>
        <w:t xml:space="preserve">In Turkey, although teacher attrition rates are low, less is known about the level of teachers’ engagement as it is a relatively new topic of research. The Turkish Ministry of Education (MoNE, 2015) revealed annual patterns of approximately 500 teachers who left and about 1100 teachers who changed their occupation, out of a population of about 890,000 teachers. </w:t>
      </w:r>
      <w:r w:rsidRPr="00DC16FB">
        <w:rPr>
          <w:color w:val="000000" w:themeColor="text1"/>
        </w:rPr>
        <w:t xml:space="preserve">However, this low level of teacher attrition does not guarantee </w:t>
      </w:r>
      <w:r w:rsidRPr="00DC16FB">
        <w:rPr>
          <w:color w:val="000000" w:themeColor="text1"/>
        </w:rPr>
        <w:lastRenderedPageBreak/>
        <w:t xml:space="preserve">that Turkish teachers have high levels of work engagement. For example, Gün (2017) and Güçlü, Recepoğlu, and Kılınç (2014) found Turkish teachers to display a modest level of work engagement. </w:t>
      </w:r>
      <w:r w:rsidRPr="00DC16FB">
        <w:rPr>
          <w:iCs/>
          <w:color w:val="000000" w:themeColor="text1"/>
        </w:rPr>
        <w:t xml:space="preserve">Knowing that teachers play a critical role in students’ learning </w:t>
      </w:r>
      <w:r w:rsidRPr="00DC16FB">
        <w:rPr>
          <w:color w:val="000000" w:themeColor="text1"/>
        </w:rPr>
        <w:t>(Darling-Hammond &amp; Youngs, 2002), it is also acknowledged that teachers who report low levels of engagement and remain in their position may pose a more serious problem than those who leave the job. Moreover, it is hard to draw a clear situation about Turkish teachers’ engagement level because the term ‘work engagement’ can be translated in different ways in Turkish. Therefore, there is a need for studies using consistent wording for teacher engagement and it is important to have a valid and reliable measure of Turkish teachers’ engagement to help exploring any influential factors.</w:t>
      </w:r>
    </w:p>
    <w:p w14:paraId="237E0F11" w14:textId="77777777" w:rsidR="00E87700" w:rsidRPr="00DA6FCE" w:rsidRDefault="00E87700" w:rsidP="00E87700">
      <w:pPr>
        <w:spacing w:before="240" w:line="360" w:lineRule="auto"/>
        <w:ind w:firstLine="720"/>
        <w:rPr>
          <w:color w:val="000000" w:themeColor="text1"/>
        </w:rPr>
      </w:pPr>
      <w:r w:rsidRPr="000D7205">
        <w:rPr>
          <w:color w:val="000000" w:themeColor="text1"/>
        </w:rPr>
        <w:t xml:space="preserve">Within the field of education, Klassen, </w:t>
      </w:r>
      <w:r w:rsidRPr="000D7205">
        <w:rPr>
          <w:color w:val="000000" w:themeColor="text1"/>
          <w:shd w:val="clear" w:color="auto" w:fill="FFFFFF"/>
        </w:rPr>
        <w:t>Aldhafri</w:t>
      </w:r>
      <w:r w:rsidRPr="000D7205">
        <w:rPr>
          <w:color w:val="000000" w:themeColor="text1"/>
        </w:rPr>
        <w:t xml:space="preserve"> et al. (2012) claimed three reasons for explaining the increasing interest of educational researchers with investigations of teacher engagement: (1) Teacher engagement plays a role in students’ learning outcomes and teachers’ effectiveness. For example, engaged teachers are more likely to enhance students’ achievement (Gordon, 2006) and student engagement (Roth, Assor, Kanat-Maymon, &amp; Kaplan, 2007). (2) Engaged teachers are better at overcoming work-related stress and burnout. For example, teacher engagement can act as a mediator for the relationship between teachers’ goal orientation and commitment</w:t>
      </w:r>
      <w:r w:rsidRPr="000D7205">
        <w:rPr>
          <w:color w:val="000000" w:themeColor="text1"/>
          <w:shd w:val="clear" w:color="auto" w:fill="FFFFFF"/>
        </w:rPr>
        <w:t xml:space="preserve"> (Han, Yin, &amp; Wang, 2016) and between </w:t>
      </w:r>
      <w:r w:rsidRPr="000D7205">
        <w:rPr>
          <w:color w:val="000000" w:themeColor="text1"/>
        </w:rPr>
        <w:t>job resources and organizational commitment</w:t>
      </w:r>
      <w:r w:rsidRPr="000D7205" w:rsidDel="000977D2">
        <w:rPr>
          <w:color w:val="000000" w:themeColor="text1"/>
          <w:shd w:val="clear" w:color="auto" w:fill="FFFFFF"/>
        </w:rPr>
        <w:t xml:space="preserve"> </w:t>
      </w:r>
      <w:r w:rsidRPr="000D7205">
        <w:rPr>
          <w:color w:val="000000" w:themeColor="text1"/>
          <w:shd w:val="clear" w:color="auto" w:fill="FFFFFF"/>
        </w:rPr>
        <w:t>(</w:t>
      </w:r>
      <w:r w:rsidRPr="000D7205">
        <w:rPr>
          <w:color w:val="000000" w:themeColor="text1"/>
        </w:rPr>
        <w:t>Hakanen, Bakker, &amp; Schaufeli, 2006). (3) Engaged teachers are more likely to take active roles in workplace and make contributions to the school life. In fact, Bakker and Bal (2010) sugge</w:t>
      </w:r>
      <w:r w:rsidRPr="00970D62">
        <w:rPr>
          <w:color w:val="000000" w:themeColor="text1"/>
        </w:rPr>
        <w:t xml:space="preserve">st that engaged teachers influence ‘job resources’ that benefit school environments, such as increased autonomy, social support of colleagues, and greater opportunities for professional development. </w:t>
      </w:r>
    </w:p>
    <w:p w14:paraId="3614B3DA" w14:textId="77777777" w:rsidR="00E87700" w:rsidRPr="00DC16FB" w:rsidRDefault="00E87700" w:rsidP="00E87700">
      <w:pPr>
        <w:spacing w:before="240" w:line="360" w:lineRule="auto"/>
        <w:rPr>
          <w:color w:val="000000" w:themeColor="text1"/>
        </w:rPr>
      </w:pPr>
      <w:r>
        <w:rPr>
          <w:color w:val="000000" w:themeColor="text1"/>
        </w:rPr>
        <w:tab/>
      </w:r>
      <w:r w:rsidRPr="000D7205">
        <w:rPr>
          <w:color w:val="000000" w:themeColor="text1"/>
        </w:rPr>
        <w:t xml:space="preserve">Since Klassen, </w:t>
      </w:r>
      <w:r w:rsidRPr="000D7205">
        <w:rPr>
          <w:color w:val="000000" w:themeColor="text1"/>
          <w:shd w:val="clear" w:color="auto" w:fill="FFFFFF"/>
        </w:rPr>
        <w:t>Aldhafri</w:t>
      </w:r>
      <w:r w:rsidRPr="000D7205">
        <w:rPr>
          <w:color w:val="000000" w:themeColor="text1"/>
        </w:rPr>
        <w:t xml:space="preserve"> et al. (2012) argued that cultural context also influences teachers’ work-related beliefs (such as job stress, self-efficacy, and teaching motivation), teachers’ engagement in Turkey </w:t>
      </w:r>
      <w:r>
        <w:rPr>
          <w:color w:val="000000" w:themeColor="text1"/>
        </w:rPr>
        <w:t xml:space="preserve">may </w:t>
      </w:r>
      <w:r w:rsidRPr="000D7205">
        <w:rPr>
          <w:color w:val="000000" w:themeColor="text1"/>
        </w:rPr>
        <w:t xml:space="preserve">play out differently than in other countries. For example, the Turkish culture has a more collectivist orientation than most western cultures (Oyserman, Coon, &amp; Kemmelmeier, 2002; Suh, Diener, &amp; Oishi-Triandis, 1998), which presents an influence on teacher-student </w:t>
      </w:r>
      <w:r>
        <w:rPr>
          <w:color w:val="000000" w:themeColor="text1"/>
        </w:rPr>
        <w:t xml:space="preserve">and teacher-colleague </w:t>
      </w:r>
      <w:r w:rsidRPr="000D7205">
        <w:rPr>
          <w:color w:val="000000" w:themeColor="text1"/>
        </w:rPr>
        <w:t>relationships (Beyazkurk &amp; Kesmer, 2005</w:t>
      </w:r>
      <w:r w:rsidRPr="00DC16FB">
        <w:rPr>
          <w:color w:val="000000" w:themeColor="text1"/>
        </w:rPr>
        <w:t xml:space="preserve">). Measures used in one context may not be </w:t>
      </w:r>
      <w:r w:rsidRPr="00DC16FB">
        <w:rPr>
          <w:color w:val="000000" w:themeColor="text1"/>
        </w:rPr>
        <w:lastRenderedPageBreak/>
        <w:t>appropriate for use in another context; validation studies are necessary to help understand teacher characteristics within and across a range of contexts.</w:t>
      </w:r>
    </w:p>
    <w:p w14:paraId="53448045" w14:textId="77777777" w:rsidR="00E87700" w:rsidRDefault="00E87700" w:rsidP="00E87700">
      <w:pPr>
        <w:spacing w:before="240" w:line="360" w:lineRule="auto"/>
        <w:ind w:firstLine="720"/>
        <w:rPr>
          <w:bCs/>
          <w:color w:val="000000" w:themeColor="text1"/>
          <w:lang w:eastAsia="tr-TR"/>
        </w:rPr>
      </w:pPr>
      <w:r w:rsidRPr="000D7205">
        <w:rPr>
          <w:bCs/>
          <w:color w:val="000000" w:themeColor="text1"/>
          <w:lang w:eastAsia="tr-TR"/>
        </w:rPr>
        <w:t>Educational psychology researchers focus on a range of teacher characteristics (e.g., personality, self-efficacy, empathy, beliefs, resilience, etc.) that can influence teaching quality and effectiveness (</w:t>
      </w:r>
      <w:r w:rsidRPr="000D7205">
        <w:rPr>
          <w:color w:val="000000" w:themeColor="text1"/>
          <w:shd w:val="clear" w:color="auto" w:fill="FFFFFF"/>
        </w:rPr>
        <w:t xml:space="preserve">Klassen, Durksen, Rowett, &amp; Patterson, 2014; </w:t>
      </w:r>
      <w:r w:rsidRPr="000D7205">
        <w:rPr>
          <w:bCs/>
          <w:color w:val="000000" w:themeColor="text1"/>
          <w:lang w:eastAsia="tr-TR"/>
        </w:rPr>
        <w:t xml:space="preserve">Klassen &amp; Tze, 2014; </w:t>
      </w:r>
      <w:r w:rsidRPr="000D7205">
        <w:rPr>
          <w:color w:val="000000" w:themeColor="text1"/>
          <w:lang w:val="tr-TR"/>
        </w:rPr>
        <w:t>Rimm-Kaufman &amp; Hamre, 2010)</w:t>
      </w:r>
      <w:r w:rsidRPr="000D7205">
        <w:rPr>
          <w:color w:val="000000" w:themeColor="text1"/>
          <w:shd w:val="clear" w:color="auto" w:fill="FFFFFF"/>
        </w:rPr>
        <w:t xml:space="preserve">. </w:t>
      </w:r>
      <w:r w:rsidRPr="000D7205">
        <w:rPr>
          <w:bCs/>
          <w:color w:val="000000" w:themeColor="text1"/>
          <w:lang w:eastAsia="tr-TR"/>
        </w:rPr>
        <w:t>For example, effective teachers often report high levels of self-efficacy (</w:t>
      </w:r>
      <w:r w:rsidRPr="000D7205">
        <w:rPr>
          <w:noProof/>
          <w:color w:val="000000" w:themeColor="text1"/>
        </w:rPr>
        <w:t>Klassen, Tze, Betts,  &amp; Gordon, 2011)</w:t>
      </w:r>
      <w:r w:rsidRPr="000D7205">
        <w:rPr>
          <w:bCs/>
          <w:color w:val="000000" w:themeColor="text1"/>
          <w:lang w:eastAsia="tr-TR"/>
        </w:rPr>
        <w:t xml:space="preserve">, engagement (Klassen, </w:t>
      </w:r>
      <w:r w:rsidRPr="000D7205">
        <w:rPr>
          <w:color w:val="000000" w:themeColor="text1"/>
          <w:shd w:val="clear" w:color="auto" w:fill="FFFFFF"/>
        </w:rPr>
        <w:t xml:space="preserve">Aldhafri </w:t>
      </w:r>
      <w:r w:rsidRPr="000D7205">
        <w:rPr>
          <w:bCs/>
          <w:color w:val="000000" w:themeColor="text1"/>
          <w:lang w:eastAsia="tr-TR"/>
        </w:rPr>
        <w:t xml:space="preserve">et al., 2012), self-regulation, job satisfaction, and report low levels of burnout (Klusman, Kunter, Trautwein, &amp; Lüdtke, 2008). Generally, research on teacher engagement has mimicked work engagement research in other professions (e.g., </w:t>
      </w:r>
      <w:r w:rsidRPr="000D7205">
        <w:rPr>
          <w:color w:val="000000" w:themeColor="text1"/>
        </w:rPr>
        <w:t>Bakker &amp; Bal, 2010; Han, Yin, &amp; Wang, 2016, Skaalvik &amp; Skaalvik, 2014)</w:t>
      </w:r>
      <w:r w:rsidRPr="000D7205">
        <w:rPr>
          <w:bCs/>
          <w:color w:val="000000" w:themeColor="text1"/>
          <w:lang w:eastAsia="tr-TR"/>
        </w:rPr>
        <w:t xml:space="preserve">. </w:t>
      </w:r>
      <w:r w:rsidRPr="000D7205">
        <w:rPr>
          <w:iCs/>
          <w:color w:val="000000" w:themeColor="text1"/>
        </w:rPr>
        <w:t>Although a range of work engagement measures exist</w:t>
      </w:r>
      <w:r w:rsidRPr="000D7205">
        <w:rPr>
          <w:i/>
          <w:iCs/>
          <w:color w:val="000000" w:themeColor="text1"/>
        </w:rPr>
        <w:t xml:space="preserve">, </w:t>
      </w:r>
      <w:r w:rsidRPr="000D7205">
        <w:rPr>
          <w:color w:val="000000" w:themeColor="text1"/>
        </w:rPr>
        <w:t xml:space="preserve">the Utrecht Work Engagement Scale (UWES; Schaufeli &amp; Bakker, 2003) is the most widely used </w:t>
      </w:r>
      <w:r w:rsidRPr="000D7205">
        <w:rPr>
          <w:bCs/>
          <w:color w:val="000000" w:themeColor="text1"/>
          <w:lang w:eastAsia="tr-TR"/>
        </w:rPr>
        <w:t xml:space="preserve">measure </w:t>
      </w:r>
      <w:r w:rsidRPr="000D7205">
        <w:rPr>
          <w:iCs/>
          <w:color w:val="000000" w:themeColor="text1"/>
        </w:rPr>
        <w:t xml:space="preserve">across professions </w:t>
      </w:r>
      <w:r w:rsidRPr="000D7205">
        <w:rPr>
          <w:bCs/>
          <w:color w:val="000000" w:themeColor="text1"/>
          <w:lang w:eastAsia="tr-TR"/>
        </w:rPr>
        <w:t xml:space="preserve">(Shuck, 2011). </w:t>
      </w:r>
    </w:p>
    <w:p w14:paraId="05F9BB40" w14:textId="77777777" w:rsidR="00E87700" w:rsidRPr="00014D8B" w:rsidRDefault="00E87700" w:rsidP="00E87700">
      <w:pPr>
        <w:spacing w:before="240" w:line="360" w:lineRule="auto"/>
        <w:rPr>
          <w:color w:val="000000" w:themeColor="text1"/>
        </w:rPr>
      </w:pPr>
      <w:r>
        <w:rPr>
          <w:color w:val="000000" w:themeColor="text1"/>
        </w:rPr>
        <w:tab/>
      </w:r>
      <w:r w:rsidRPr="00014D8B">
        <w:rPr>
          <w:color w:val="000000" w:themeColor="text1"/>
        </w:rPr>
        <w:t>Some research has been conducted in Turkey on teachers’ work engagement by using the UWES (Akman &amp; İmamğlu Akman, 2017; Çağrı San &amp; Tok, 2017; Kavgacı &amp; Çalık, 2017; Köse, 2016). However, there is a range of psychometric problems with the Turkish versions of UWES. Some studies supported the 3-factor structure of the UWES (Eryilmaz &amp; Doğan, 2012; Gündüz, Çapri, &amp; Gökçakan, 2013), whereas others provided only 2 factors and suggested excluding some items (Erim, 2009; Güneşer, 2007; Öner, 2008). Moreover, in some studies (e.g. Akman &amp; İmamğlu Akman, 2017), covariances were added between a few items’ error terms to be able to obtain acceptable model fit indices. Bal (2008) found problems with cross-loadings of factors in a Turkish version of the UWES. Özalp and Meydan (2015) suggested that the Turkish version of the UWES needed to be revised and improved. Based on the aforementioned studies, although they were conducted in various work areas, it can be said that, conceptually, the UWES may not be appropriate to be used to measure teachers’ work engagement in a Turkish context. Therefore, there is a strong need for culturally appropriate measurement tools that are specifically designed for the Turkish teaching context.</w:t>
      </w:r>
    </w:p>
    <w:p w14:paraId="5891341B" w14:textId="77777777" w:rsidR="00E87700" w:rsidRPr="000D7205" w:rsidRDefault="00E87700" w:rsidP="00E87700">
      <w:pPr>
        <w:spacing w:before="240" w:line="360" w:lineRule="auto"/>
        <w:ind w:firstLine="720"/>
        <w:rPr>
          <w:color w:val="000000" w:themeColor="text1"/>
        </w:rPr>
      </w:pPr>
      <w:r w:rsidRPr="000D7205">
        <w:rPr>
          <w:bCs/>
          <w:color w:val="000000" w:themeColor="text1"/>
          <w:lang w:eastAsia="tr-TR"/>
        </w:rPr>
        <w:t xml:space="preserve">Since teachers’ work life involves a complex climate of relationships with students and colleagues substantially different from workers in the business sector (e.g., farmers, police officers, civil servants), a more nuanced measurement – the Engaged </w:t>
      </w:r>
      <w:r w:rsidRPr="000D7205">
        <w:rPr>
          <w:bCs/>
          <w:color w:val="000000" w:themeColor="text1"/>
          <w:lang w:eastAsia="tr-TR"/>
        </w:rPr>
        <w:lastRenderedPageBreak/>
        <w:t>Teacher Scale (ETS) – that considers the role of social engagement was dev</w:t>
      </w:r>
      <w:r>
        <w:rPr>
          <w:bCs/>
          <w:color w:val="000000" w:themeColor="text1"/>
          <w:lang w:eastAsia="tr-TR"/>
        </w:rPr>
        <w:t xml:space="preserve">eloped and validated by Klassen, Yerdelen, and Durksen </w:t>
      </w:r>
      <w:r w:rsidRPr="000D7205">
        <w:rPr>
          <w:bCs/>
          <w:color w:val="000000" w:themeColor="text1"/>
          <w:lang w:eastAsia="tr-TR"/>
        </w:rPr>
        <w:t xml:space="preserve">(2013). In particular, </w:t>
      </w:r>
      <w:r w:rsidRPr="000D7205">
        <w:rPr>
          <w:color w:val="000000" w:themeColor="text1"/>
        </w:rPr>
        <w:t>Klassen et al. (2013) focused on teacher-student relatedness research (Davis, 2003; Klassen, Perry, &amp; Frenzel, 2012) when developing the ETS.</w:t>
      </w:r>
    </w:p>
    <w:p w14:paraId="5588CFF1" w14:textId="77777777" w:rsidR="00E87700" w:rsidRDefault="00E87700" w:rsidP="00E87700">
      <w:pPr>
        <w:spacing w:before="240" w:line="360" w:lineRule="auto"/>
        <w:ind w:firstLine="720"/>
        <w:rPr>
          <w:color w:val="000000" w:themeColor="text1"/>
        </w:rPr>
      </w:pPr>
      <w:r w:rsidRPr="000D7205">
        <w:rPr>
          <w:bCs/>
          <w:color w:val="000000" w:themeColor="text1"/>
          <w:lang w:eastAsia="tr-TR"/>
        </w:rPr>
        <w:t>In developing the ETS, Klassen et al. (2013) built upon a foundation of previous theoretical approaches and measures of work engagement (</w:t>
      </w:r>
      <w:r w:rsidRPr="000D7205">
        <w:rPr>
          <w:color w:val="000000" w:themeColor="text1"/>
        </w:rPr>
        <w:t xml:space="preserve">e.g., Rich, 2006; Saks, 2006; Schaufeli, Bakker, &amp; Salanova, 2006; Shuck, 2010; Thomas, 2006; Wang &amp; Qin, 2011). </w:t>
      </w:r>
      <w:r w:rsidRPr="000D7205">
        <w:rPr>
          <w:bCs/>
          <w:color w:val="000000" w:themeColor="text1"/>
          <w:lang w:eastAsia="tr-TR"/>
        </w:rPr>
        <w:t>The first and one of the most widely used approaches to work engagement was taken by Kahn (1990) whose conceptualization focused on an individual’s presence in work through physical, emotional, and cognitive energies. Kahn’s conceptualization was first em</w:t>
      </w:r>
      <w:r>
        <w:rPr>
          <w:bCs/>
          <w:color w:val="000000" w:themeColor="text1"/>
          <w:lang w:eastAsia="tr-TR"/>
        </w:rPr>
        <w:t>pirically supported by Rich, Lep</w:t>
      </w:r>
      <w:r w:rsidRPr="000D7205">
        <w:rPr>
          <w:bCs/>
          <w:color w:val="000000" w:themeColor="text1"/>
          <w:lang w:eastAsia="tr-TR"/>
        </w:rPr>
        <w:t>ine, and Craeford (2010) and highlighted as a key perspective by Shuck (2011). Another widely used approach (</w:t>
      </w:r>
      <w:r w:rsidRPr="000D7205">
        <w:rPr>
          <w:color w:val="000000" w:themeColor="text1"/>
        </w:rPr>
        <w:t xml:space="preserve">Schaufeli, Salanova, Gonza´lez-Roma, &amp; Bakker, 2002) defined work </w:t>
      </w:r>
      <w:r w:rsidRPr="000D7205">
        <w:rPr>
          <w:bCs/>
          <w:color w:val="000000" w:themeColor="text1"/>
          <w:lang w:eastAsia="tr-TR"/>
        </w:rPr>
        <w:t xml:space="preserve">engagement as </w:t>
      </w:r>
      <w:r w:rsidRPr="000D7205">
        <w:rPr>
          <w:color w:val="000000" w:themeColor="text1"/>
        </w:rPr>
        <w:t>‘‘... a positive, fulfilling, work-related state of mind that is characterized by vigor, dedication, and absorption’’ (p. 74). Here, vigor refers to “</w:t>
      </w:r>
      <w:r w:rsidRPr="000D7205">
        <w:rPr>
          <w:iCs/>
          <w:color w:val="000000" w:themeColor="text1"/>
        </w:rPr>
        <w:t>high levels of energy and</w:t>
      </w:r>
      <w:r w:rsidRPr="000D7205">
        <w:rPr>
          <w:color w:val="000000" w:themeColor="text1"/>
        </w:rPr>
        <w:t xml:space="preserve"> </w:t>
      </w:r>
      <w:r w:rsidRPr="000D7205">
        <w:rPr>
          <w:iCs/>
          <w:color w:val="000000" w:themeColor="text1"/>
        </w:rPr>
        <w:t>mental resilience while working, the willingness to invest effort in one’s work, and persistence</w:t>
      </w:r>
      <w:r w:rsidRPr="000D7205">
        <w:rPr>
          <w:color w:val="000000" w:themeColor="text1"/>
        </w:rPr>
        <w:t xml:space="preserve"> </w:t>
      </w:r>
      <w:r w:rsidRPr="000D7205">
        <w:rPr>
          <w:iCs/>
          <w:color w:val="000000" w:themeColor="text1"/>
        </w:rPr>
        <w:t>even in the face of difficulties;” dedication implies</w:t>
      </w:r>
      <w:r w:rsidRPr="000D7205">
        <w:rPr>
          <w:color w:val="000000" w:themeColor="text1"/>
        </w:rPr>
        <w:t xml:space="preserve"> “a sense of significance, enthusiasm, inspiration, pride, and challenge;</w:t>
      </w:r>
      <w:r w:rsidRPr="000D7205">
        <w:rPr>
          <w:iCs/>
          <w:color w:val="000000" w:themeColor="text1"/>
        </w:rPr>
        <w:t>” and absorption as “</w:t>
      </w:r>
      <w:r w:rsidRPr="000D7205">
        <w:rPr>
          <w:color w:val="000000" w:themeColor="text1"/>
        </w:rPr>
        <w:t>being fully concentrated and deeply engrossed in one’s work, whereby time passes quickly and one has difficulties with detaching oneself from work</w:t>
      </w:r>
      <w:r w:rsidRPr="000D7205">
        <w:rPr>
          <w:i/>
          <w:iCs/>
          <w:color w:val="000000" w:themeColor="text1"/>
        </w:rPr>
        <w:t xml:space="preserve">” </w:t>
      </w:r>
      <w:r w:rsidRPr="000D7205">
        <w:rPr>
          <w:iCs/>
          <w:color w:val="000000" w:themeColor="text1"/>
        </w:rPr>
        <w:t>(</w:t>
      </w:r>
      <w:r w:rsidRPr="000D7205">
        <w:rPr>
          <w:color w:val="000000" w:themeColor="text1"/>
        </w:rPr>
        <w:t>Schaufeli</w:t>
      </w:r>
      <w:r w:rsidRPr="000D7205">
        <w:rPr>
          <w:iCs/>
          <w:color w:val="000000" w:themeColor="text1"/>
        </w:rPr>
        <w:t xml:space="preserve"> et al., 2002, p. 74-75).</w:t>
      </w:r>
      <w:r w:rsidRPr="000D7205">
        <w:rPr>
          <w:bCs/>
          <w:color w:val="000000" w:themeColor="text1"/>
          <w:lang w:eastAsia="tr-TR"/>
        </w:rPr>
        <w:t xml:space="preserve"> Work engagement has positive relationships with job resources (e.g., social support), personal resources (e.g., self-efficacy), and job performance (</w:t>
      </w:r>
      <w:r w:rsidRPr="000D7205">
        <w:rPr>
          <w:color w:val="000000" w:themeColor="text1"/>
          <w:shd w:val="clear" w:color="auto" w:fill="FFFFFF"/>
        </w:rPr>
        <w:t xml:space="preserve">Bakker, Schaufeli, Leiter, &amp; Taris, 2008). </w:t>
      </w:r>
      <w:r w:rsidRPr="000D7205">
        <w:rPr>
          <w:bCs/>
          <w:color w:val="000000" w:themeColor="text1"/>
          <w:lang w:eastAsia="tr-TR"/>
        </w:rPr>
        <w:t xml:space="preserve">For example, </w:t>
      </w:r>
      <w:r w:rsidRPr="000D7205">
        <w:rPr>
          <w:color w:val="000000" w:themeColor="text1"/>
        </w:rPr>
        <w:t>Schaufeli and Bakker (2004) found positive correlations between</w:t>
      </w:r>
      <w:r w:rsidRPr="000D7205">
        <w:rPr>
          <w:bCs/>
          <w:color w:val="000000" w:themeColor="text1"/>
          <w:lang w:eastAsia="tr-TR"/>
        </w:rPr>
        <w:t xml:space="preserve"> work engagement and </w:t>
      </w:r>
      <w:r w:rsidRPr="000D7205">
        <w:rPr>
          <w:color w:val="000000" w:themeColor="text1"/>
        </w:rPr>
        <w:t>performance feedback, social support, and supervisory coaching. Additionally, Xanthopoulou, Bakker, Demerouti, and Schaufeli (2007) found positive relations of work engagement to self-efficacy and optimism.</w:t>
      </w:r>
      <w:r>
        <w:rPr>
          <w:color w:val="000000" w:themeColor="text1"/>
        </w:rPr>
        <w:t xml:space="preserve"> </w:t>
      </w:r>
    </w:p>
    <w:p w14:paraId="7C9E2C1C" w14:textId="77777777" w:rsidR="00E87700" w:rsidRPr="000D7205" w:rsidRDefault="00E87700" w:rsidP="00E87700">
      <w:pPr>
        <w:spacing w:before="240" w:line="360" w:lineRule="auto"/>
        <w:ind w:firstLine="720"/>
        <w:rPr>
          <w:color w:val="000000" w:themeColor="text1"/>
        </w:rPr>
      </w:pPr>
      <w:r w:rsidRPr="000D7205">
        <w:rPr>
          <w:color w:val="000000" w:themeColor="text1"/>
        </w:rPr>
        <w:t xml:space="preserve">The relationship between teacher engagement and related variables, such as self-efficacy, can be understood through the lens of several theoretical frameworks, including social cognitive theory. In social cognitive theory, self-efficacy represents ‘‘beliefs in one’s capabilities to organize and execute the course of action required to produce given attainments’’ (Bandura, 1997, p. 3). Within this theory, engagement and efficacy are internal personal factors that are reciprocally related to behaviors and to the </w:t>
      </w:r>
      <w:r w:rsidRPr="000D7205">
        <w:rPr>
          <w:color w:val="000000" w:themeColor="text1"/>
        </w:rPr>
        <w:lastRenderedPageBreak/>
        <w:t xml:space="preserve">external environment (Bandura, 1997). Teaching self-efficacy implies teachers’ judgements of their capabilities to engage all students to learn, use variety of instructional strategies, and effectively manage the classroom (Tschannen-Moran &amp; Woolfolk Hoy, 2001). The sense of confidence to carry out a task (e.g., teaching) is related, but not identical, to the feeling of being absorbed in the task. Note that the two are theoretically separable: one can be engaged without feeling efficacious; similarly, one can feel efficacious to carry out a task, but not be invested or engaged in the task (Bandura, 1997). In addition to theoretical links, teacher engagement has been shown empirically to be related to teaching self-efficacy (Llorens, Schaufeli, Bakker, &amp; Salanova, 2007; </w:t>
      </w:r>
      <w:r w:rsidRPr="000D7205">
        <w:rPr>
          <w:color w:val="000000" w:themeColor="text1"/>
          <w:shd w:val="clear" w:color="auto" w:fill="FFFFFF"/>
        </w:rPr>
        <w:t xml:space="preserve">Simbula, Guglielmi, &amp; Schaufeli, 2011; </w:t>
      </w:r>
      <w:r w:rsidRPr="000D7205">
        <w:rPr>
          <w:color w:val="000000" w:themeColor="text1"/>
        </w:rPr>
        <w:t>Skaalvik &amp; Skaalvik, 2014). Social cognitive theory provides one framework to explore teacher engagement, but work in organizational psychology provides explanations grounded in other theories.</w:t>
      </w:r>
    </w:p>
    <w:p w14:paraId="5B0F2D06" w14:textId="77777777" w:rsidR="00E87700" w:rsidRDefault="00E87700" w:rsidP="00E87700">
      <w:pPr>
        <w:spacing w:before="240" w:line="360" w:lineRule="auto"/>
        <w:ind w:firstLine="720"/>
        <w:rPr>
          <w:color w:val="000000" w:themeColor="text1"/>
          <w:shd w:val="clear" w:color="auto" w:fill="FFFFFF"/>
        </w:rPr>
      </w:pPr>
      <w:r w:rsidRPr="000D7205">
        <w:rPr>
          <w:color w:val="000000" w:themeColor="text1"/>
        </w:rPr>
        <w:t xml:space="preserve">Another theoretical lens to understand teacher engagement is the Conservation of Resources (COR) theory (Hobfoll, 1989). In this theory, work-related stress lowers personal resources, whereas self-efficacy is considered as a work-related personal resource that increases work engagement (e.g., </w:t>
      </w:r>
      <w:r w:rsidRPr="000D7205">
        <w:rPr>
          <w:color w:val="000000" w:themeColor="text1"/>
          <w:shd w:val="clear" w:color="auto" w:fill="FFFFFF"/>
        </w:rPr>
        <w:t xml:space="preserve">Xanthopoulou, Bakker, Demerouti, &amp; Schaufeli </w:t>
      </w:r>
      <w:r w:rsidRPr="000D7205">
        <w:rPr>
          <w:color w:val="000000" w:themeColor="text1"/>
        </w:rPr>
        <w:t xml:space="preserve">2007; </w:t>
      </w:r>
      <w:r w:rsidRPr="000D7205">
        <w:rPr>
          <w:color w:val="000000" w:themeColor="text1"/>
          <w:shd w:val="clear" w:color="auto" w:fill="FFFFFF"/>
        </w:rPr>
        <w:t>Xanthopoulou, Bakker, Demerouti, &amp; Schaufeli, 2009</w:t>
      </w:r>
      <w:r w:rsidRPr="000D7205">
        <w:rPr>
          <w:color w:val="000000" w:themeColor="text1"/>
        </w:rPr>
        <w:t xml:space="preserve">).  Hobfoll, </w:t>
      </w:r>
      <w:r w:rsidRPr="000D7205">
        <w:rPr>
          <w:color w:val="000000" w:themeColor="text1"/>
          <w:shd w:val="clear" w:color="auto" w:fill="FFFFFF"/>
        </w:rPr>
        <w:t>Johnson, Ennis, and Jackson</w:t>
      </w:r>
      <w:r w:rsidRPr="000D7205">
        <w:rPr>
          <w:color w:val="000000" w:themeColor="text1"/>
        </w:rPr>
        <w:t xml:space="preserve"> (2003) stated that higher individual resources bring out more positive resiliency. Additionally, </w:t>
      </w:r>
      <w:r w:rsidRPr="000D7205">
        <w:rPr>
          <w:color w:val="000000" w:themeColor="text1"/>
          <w:shd w:val="clear" w:color="auto" w:fill="FFFFFF"/>
        </w:rPr>
        <w:t>Xanthopoulou, et al. (2009) found that workers with higher self-efficacy and optimism about work are potential to experience higher level of work engagement.</w:t>
      </w:r>
      <w:r w:rsidRPr="000D7205">
        <w:rPr>
          <w:color w:val="000000" w:themeColor="text1"/>
        </w:rPr>
        <w:t xml:space="preserve"> Self-efficacy has</w:t>
      </w:r>
      <w:r w:rsidRPr="00014D8B">
        <w:rPr>
          <w:color w:val="000000" w:themeColor="text1"/>
        </w:rPr>
        <w:t xml:space="preserve"> also been found to act as the mediator between job resources and teacher engagement (see Llorens et al., 2007). </w:t>
      </w:r>
      <w:r w:rsidRPr="00014D8B">
        <w:rPr>
          <w:color w:val="000000" w:themeColor="text1"/>
          <w:shd w:val="clear" w:color="auto" w:fill="FFFFFF"/>
        </w:rPr>
        <w:t>Therefore, based on social cognitive and COR theories, one would expect a positive relationship between teacher engagement and teaching self-efficacy. </w:t>
      </w:r>
    </w:p>
    <w:p w14:paraId="703F2CF2" w14:textId="77777777" w:rsidR="00E87700" w:rsidRPr="00970D62" w:rsidRDefault="00E87700" w:rsidP="00E87700">
      <w:pPr>
        <w:spacing w:before="240" w:line="360" w:lineRule="auto"/>
        <w:ind w:firstLine="720"/>
        <w:rPr>
          <w:color w:val="0070C0"/>
        </w:rPr>
      </w:pPr>
      <w:r w:rsidRPr="000D7205">
        <w:rPr>
          <w:color w:val="000000" w:themeColor="text1"/>
        </w:rPr>
        <w:t xml:space="preserve">Although some studies have explored teacher engagement and related variables, almost all of the work has been conducted in English-speaking settings. More work is needed in multiple settings to understand whether or not current measures are valid outside of English-speaking </w:t>
      </w:r>
      <w:r w:rsidRPr="00014D8B">
        <w:rPr>
          <w:color w:val="000000" w:themeColor="text1"/>
        </w:rPr>
        <w:t>settings. We set out to translate and adapt the ETS for a Turkish context, resulting in the creation of the ETS-TR, to be used to measure teacher engagement in Turkey.</w:t>
      </w:r>
    </w:p>
    <w:p w14:paraId="42AC4416" w14:textId="77777777" w:rsidR="00E87700" w:rsidRPr="000D7205" w:rsidRDefault="00E87700" w:rsidP="00E87700">
      <w:pPr>
        <w:autoSpaceDE w:val="0"/>
        <w:autoSpaceDN w:val="0"/>
        <w:adjustRightInd w:val="0"/>
        <w:spacing w:before="240" w:line="360" w:lineRule="auto"/>
        <w:rPr>
          <w:b/>
          <w:i/>
          <w:color w:val="000000" w:themeColor="text1"/>
        </w:rPr>
      </w:pPr>
      <w:r w:rsidRPr="000D7205">
        <w:rPr>
          <w:b/>
          <w:i/>
          <w:color w:val="000000" w:themeColor="text1"/>
        </w:rPr>
        <w:t>Current Study</w:t>
      </w:r>
    </w:p>
    <w:p w14:paraId="65BCE9B7" w14:textId="77777777" w:rsidR="00E87700" w:rsidRPr="000D7205" w:rsidRDefault="00E87700" w:rsidP="00E87700">
      <w:pPr>
        <w:autoSpaceDE w:val="0"/>
        <w:autoSpaceDN w:val="0"/>
        <w:adjustRightInd w:val="0"/>
        <w:spacing w:before="240" w:line="360" w:lineRule="auto"/>
        <w:rPr>
          <w:b/>
          <w:bCs/>
          <w:color w:val="000000" w:themeColor="text1"/>
          <w:lang w:eastAsia="tr-TR"/>
        </w:rPr>
      </w:pPr>
      <w:r>
        <w:rPr>
          <w:bCs/>
          <w:color w:val="000000" w:themeColor="text1"/>
          <w:lang w:eastAsia="tr-TR"/>
        </w:rPr>
        <w:lastRenderedPageBreak/>
        <w:tab/>
      </w:r>
      <w:r w:rsidRPr="000D7205">
        <w:rPr>
          <w:bCs/>
          <w:color w:val="000000" w:themeColor="text1"/>
          <w:lang w:eastAsia="tr-TR"/>
        </w:rPr>
        <w:t>F</w:t>
      </w:r>
      <w:r w:rsidRPr="000D7205">
        <w:rPr>
          <w:color w:val="000000" w:themeColor="text1"/>
        </w:rPr>
        <w:t>ollowing the development and validation of the ETS in a North American context (see Klassen et al., 2013), we sought to test whether the ETS was a valid and reliable measure of teachers’ work engagement once translated and adapted for a different teaching context: Turkey. Moreover, given previous theoretical and empirical work (e.g., Bandura, 1997; Hobfoll, 1989; Xanthopoulou, et al., 2009), we tried to predict teacher engagement with teaching self-efficacy to find out a positive association between these variables. Specifically, we wondered:</w:t>
      </w:r>
    </w:p>
    <w:p w14:paraId="1B5EF6A3" w14:textId="77777777" w:rsidR="00E87700" w:rsidRPr="000D7205" w:rsidRDefault="00E87700" w:rsidP="00E87700">
      <w:pPr>
        <w:pStyle w:val="ListParagraph"/>
        <w:numPr>
          <w:ilvl w:val="0"/>
          <w:numId w:val="31"/>
        </w:numPr>
        <w:spacing w:before="240" w:after="0" w:line="360" w:lineRule="auto"/>
        <w:rPr>
          <w:rFonts w:ascii="Times New Roman" w:hAnsi="Times New Roman" w:cs="Times New Roman"/>
          <w:color w:val="000000" w:themeColor="text1"/>
          <w:sz w:val="24"/>
          <w:szCs w:val="24"/>
        </w:rPr>
      </w:pPr>
      <w:r w:rsidRPr="000D7205">
        <w:rPr>
          <w:rFonts w:ascii="Times New Roman" w:hAnsi="Times New Roman" w:cs="Times New Roman"/>
          <w:color w:val="000000" w:themeColor="text1"/>
          <w:sz w:val="24"/>
          <w:szCs w:val="24"/>
        </w:rPr>
        <w:t>To what extent is the ETS</w:t>
      </w:r>
      <w:r>
        <w:rPr>
          <w:rFonts w:ascii="Times New Roman" w:hAnsi="Times New Roman" w:cs="Times New Roman"/>
          <w:color w:val="000000" w:themeColor="text1"/>
          <w:sz w:val="24"/>
          <w:szCs w:val="24"/>
        </w:rPr>
        <w:t>-TR</w:t>
      </w:r>
      <w:r w:rsidRPr="000D7205">
        <w:rPr>
          <w:rFonts w:ascii="Times New Roman" w:hAnsi="Times New Roman" w:cs="Times New Roman"/>
          <w:color w:val="000000" w:themeColor="text1"/>
          <w:sz w:val="24"/>
          <w:szCs w:val="24"/>
        </w:rPr>
        <w:t xml:space="preserve"> a valid and reliable instrument for measuring Turkish teachers’ work engagement?</w:t>
      </w:r>
    </w:p>
    <w:p w14:paraId="252886EF" w14:textId="77777777" w:rsidR="00E87700" w:rsidRPr="000D7205" w:rsidRDefault="00E87700" w:rsidP="00E87700">
      <w:pPr>
        <w:pStyle w:val="ListParagraph"/>
        <w:numPr>
          <w:ilvl w:val="0"/>
          <w:numId w:val="31"/>
        </w:numPr>
        <w:spacing w:before="240" w:line="360" w:lineRule="auto"/>
        <w:rPr>
          <w:b/>
          <w:color w:val="000000" w:themeColor="text1"/>
        </w:rPr>
      </w:pPr>
      <w:r w:rsidRPr="000D7205">
        <w:rPr>
          <w:rFonts w:ascii="Times New Roman" w:hAnsi="Times New Roman" w:cs="Times New Roman"/>
          <w:color w:val="000000" w:themeColor="text1"/>
          <w:sz w:val="24"/>
          <w:szCs w:val="24"/>
        </w:rPr>
        <w:t xml:space="preserve">To what extent is teacher engagement predicted by teaching self-efficacy? </w:t>
      </w:r>
    </w:p>
    <w:p w14:paraId="1ECD4FC0" w14:textId="77777777" w:rsidR="00E87700" w:rsidRPr="000D7205" w:rsidRDefault="00E87700" w:rsidP="00E87700">
      <w:pPr>
        <w:spacing w:before="240" w:line="360" w:lineRule="auto"/>
        <w:rPr>
          <w:rFonts w:asciiTheme="minorHAnsi" w:hAnsiTheme="minorHAnsi" w:cstheme="minorBidi"/>
          <w:color w:val="000000" w:themeColor="text1"/>
          <w:sz w:val="22"/>
          <w:szCs w:val="22"/>
        </w:rPr>
      </w:pPr>
      <w:r w:rsidRPr="000D7205">
        <w:rPr>
          <w:b/>
          <w:color w:val="000000" w:themeColor="text1"/>
        </w:rPr>
        <w:t>Method</w:t>
      </w:r>
      <w:r w:rsidRPr="000D7205">
        <w:rPr>
          <w:b/>
          <w:color w:val="000000" w:themeColor="text1"/>
        </w:rPr>
        <w:tab/>
      </w:r>
    </w:p>
    <w:p w14:paraId="457932D2" w14:textId="77777777" w:rsidR="00E87700" w:rsidRPr="000D7205" w:rsidRDefault="00E87700" w:rsidP="00E87700">
      <w:pPr>
        <w:tabs>
          <w:tab w:val="right" w:pos="9072"/>
        </w:tabs>
        <w:spacing w:before="240" w:line="360" w:lineRule="auto"/>
        <w:jc w:val="both"/>
        <w:rPr>
          <w:b/>
          <w:i/>
          <w:color w:val="000000" w:themeColor="text1"/>
        </w:rPr>
      </w:pPr>
      <w:r w:rsidRPr="000D7205">
        <w:rPr>
          <w:b/>
          <w:i/>
          <w:color w:val="000000" w:themeColor="text1"/>
        </w:rPr>
        <w:t>Participants and Procedures</w:t>
      </w:r>
      <w:r w:rsidRPr="000D7205">
        <w:rPr>
          <w:b/>
          <w:i/>
          <w:color w:val="000000" w:themeColor="text1"/>
        </w:rPr>
        <w:tab/>
      </w:r>
    </w:p>
    <w:p w14:paraId="559F735C" w14:textId="77777777" w:rsidR="00E87700" w:rsidRPr="000D7205" w:rsidRDefault="00E87700" w:rsidP="00E87700">
      <w:pPr>
        <w:spacing w:before="240" w:line="360" w:lineRule="auto"/>
        <w:rPr>
          <w:b/>
          <w:i/>
          <w:color w:val="000000" w:themeColor="text1"/>
        </w:rPr>
      </w:pPr>
      <w:r>
        <w:rPr>
          <w:color w:val="000000" w:themeColor="text1"/>
        </w:rPr>
        <w:tab/>
      </w:r>
      <w:r w:rsidRPr="000D7205">
        <w:rPr>
          <w:color w:val="000000" w:themeColor="text1"/>
        </w:rPr>
        <w:t>Data were collected via questionnaire from a convenience sample of teachers (</w:t>
      </w:r>
      <w:r w:rsidRPr="000D7205">
        <w:rPr>
          <w:i/>
          <w:color w:val="000000" w:themeColor="text1"/>
        </w:rPr>
        <w:t>N</w:t>
      </w:r>
      <w:r w:rsidRPr="000D7205">
        <w:rPr>
          <w:color w:val="000000" w:themeColor="text1"/>
        </w:rPr>
        <w:t xml:space="preserve"> = 388) located in two cities </w:t>
      </w:r>
      <w:r>
        <w:rPr>
          <w:color w:val="000000" w:themeColor="text1"/>
        </w:rPr>
        <w:t>in</w:t>
      </w:r>
      <w:r w:rsidRPr="000D7205">
        <w:rPr>
          <w:color w:val="000000" w:themeColor="text1"/>
        </w:rPr>
        <w:t xml:space="preserve"> Turkey’s north-eastern region. Teachers voluntarily completed the ETS questionnaire after being informed about the purpose of the study and assured of the confidentiality of their data. The study complied with ethical requirements of the first author’s university and the school districts involved in the research. </w:t>
      </w:r>
      <w:r w:rsidRPr="000D7205">
        <w:rPr>
          <w:color w:val="000000" w:themeColor="text1"/>
          <w:shd w:val="clear" w:color="auto" w:fill="FFFFFF"/>
        </w:rPr>
        <w:t>T</w:t>
      </w:r>
      <w:r w:rsidRPr="000D7205">
        <w:rPr>
          <w:color w:val="000000" w:themeColor="text1"/>
        </w:rPr>
        <w:t>rained research assistants (graduate students) administered the questionnaires to school staff who volunteered to complete the questionnaires. The research assistants used personal relationships and only recruited participants from the schools in which they knew the staff. In order to ensure anonymity (which was required by the school authorities), we only asked participating teachers to indicate the level of their school and not the school name. Questionnaires were completed by 209 female and 168 male teachers (11 unspecified) in primary (29%) and middle (71%) school settings. At the time of data collection (spring semester of 2014/2015 academic year), participants had a mean of 4.07 years of teaching experience (</w:t>
      </w:r>
      <w:r w:rsidRPr="000D7205">
        <w:rPr>
          <w:i/>
          <w:color w:val="000000" w:themeColor="text1"/>
        </w:rPr>
        <w:t>SD</w:t>
      </w:r>
      <w:r w:rsidRPr="000D7205">
        <w:rPr>
          <w:color w:val="000000" w:themeColor="text1"/>
        </w:rPr>
        <w:t xml:space="preserve"> = 4.09; Range = 1 to 30) with an average of 25 students (</w:t>
      </w:r>
      <w:r w:rsidRPr="000D7205">
        <w:rPr>
          <w:i/>
          <w:color w:val="000000" w:themeColor="text1"/>
        </w:rPr>
        <w:t xml:space="preserve">SD </w:t>
      </w:r>
      <w:r w:rsidRPr="000D7205">
        <w:rPr>
          <w:color w:val="000000" w:themeColor="text1"/>
        </w:rPr>
        <w:t xml:space="preserve">= 6.97) per classroom. </w:t>
      </w:r>
    </w:p>
    <w:p w14:paraId="61197ECA" w14:textId="77777777" w:rsidR="00E87700" w:rsidRPr="000D7205" w:rsidRDefault="00E87700" w:rsidP="00E87700">
      <w:pPr>
        <w:spacing w:before="240" w:line="360" w:lineRule="auto"/>
        <w:rPr>
          <w:color w:val="000000" w:themeColor="text1"/>
        </w:rPr>
      </w:pPr>
      <w:r>
        <w:rPr>
          <w:i/>
          <w:color w:val="000000" w:themeColor="text1"/>
        </w:rPr>
        <w:tab/>
      </w:r>
      <w:r w:rsidRPr="000D7205">
        <w:rPr>
          <w:i/>
          <w:color w:val="000000" w:themeColor="text1"/>
        </w:rPr>
        <w:t>Engaged Teacher Scale (ETS)</w:t>
      </w:r>
      <w:r>
        <w:rPr>
          <w:i/>
          <w:color w:val="000000" w:themeColor="text1"/>
        </w:rPr>
        <w:t>.</w:t>
      </w:r>
      <w:r w:rsidRPr="000D7205">
        <w:rPr>
          <w:color w:val="000000" w:themeColor="text1"/>
        </w:rPr>
        <w:t xml:space="preserve"> Questionnaire preparation began with the original ETS. In order to measure teachers’ work engagement, Klassen and colleagues (2013) developed the scale (in English) through a series of steps. First an item pool was created, and then items were pilot tested and reduced through principle component </w:t>
      </w:r>
      <w:r w:rsidRPr="000D7205">
        <w:rPr>
          <w:color w:val="000000" w:themeColor="text1"/>
        </w:rPr>
        <w:lastRenderedPageBreak/>
        <w:t xml:space="preserve">analysis. Next an exploratory factor analysis with a new sample was conducted in order to identify key factors. Final steps included CFA analyses (with </w:t>
      </w:r>
      <w:r>
        <w:rPr>
          <w:color w:val="000000" w:themeColor="text1"/>
        </w:rPr>
        <w:t>a</w:t>
      </w:r>
      <w:r w:rsidRPr="000D7205">
        <w:rPr>
          <w:color w:val="000000" w:themeColor="text1"/>
        </w:rPr>
        <w:t xml:space="preserve"> new sample) for construct validity and examining the correlation of ETS factors with additional variables for further evidence of validity. With a total of 16 items that invited responses on 7-point Likert scale (0 = </w:t>
      </w:r>
      <w:r w:rsidRPr="000D7205">
        <w:rPr>
          <w:i/>
          <w:color w:val="000000" w:themeColor="text1"/>
        </w:rPr>
        <w:t>Never</w:t>
      </w:r>
      <w:r w:rsidRPr="000D7205">
        <w:rPr>
          <w:color w:val="000000" w:themeColor="text1"/>
        </w:rPr>
        <w:t xml:space="preserve">, 6 = </w:t>
      </w:r>
      <w:r w:rsidRPr="000D7205">
        <w:rPr>
          <w:i/>
          <w:color w:val="000000" w:themeColor="text1"/>
        </w:rPr>
        <w:t>Always</w:t>
      </w:r>
      <w:r w:rsidRPr="000D7205">
        <w:rPr>
          <w:color w:val="000000" w:themeColor="text1"/>
        </w:rPr>
        <w:t xml:space="preserve">), results yielded good model fit to the data. Sample items and reliability values for the four subscales (emotional, cognitive, social with students, social with colleagues) of the final ETS are presented through </w:t>
      </w:r>
      <w:r w:rsidRPr="000D7205">
        <w:rPr>
          <w:color w:val="000000" w:themeColor="text1"/>
        </w:rPr>
        <w:fldChar w:fldCharType="begin"/>
      </w:r>
      <w:r w:rsidRPr="000D7205">
        <w:rPr>
          <w:color w:val="000000" w:themeColor="text1"/>
        </w:rPr>
        <w:instrText xml:space="preserve"> REF _Ref465512972 \h  \* MERGEFORMAT </w:instrText>
      </w:r>
      <w:r w:rsidRPr="000D7205">
        <w:rPr>
          <w:color w:val="000000" w:themeColor="text1"/>
        </w:rPr>
      </w:r>
      <w:r w:rsidRPr="000D7205">
        <w:rPr>
          <w:color w:val="000000" w:themeColor="text1"/>
        </w:rPr>
        <w:fldChar w:fldCharType="separate"/>
      </w:r>
      <w:r w:rsidRPr="000D7205">
        <w:rPr>
          <w:color w:val="000000" w:themeColor="text1"/>
        </w:rPr>
        <w:t xml:space="preserve">Table </w:t>
      </w:r>
      <w:r w:rsidRPr="00E87700">
        <w:rPr>
          <w:noProof/>
          <w:color w:val="000000" w:themeColor="text1"/>
        </w:rPr>
        <w:t>1</w:t>
      </w:r>
      <w:r w:rsidRPr="000D7205">
        <w:rPr>
          <w:color w:val="000000" w:themeColor="text1"/>
        </w:rPr>
        <w:fldChar w:fldCharType="end"/>
      </w:r>
      <w:r w:rsidRPr="000D7205">
        <w:rPr>
          <w:color w:val="000000" w:themeColor="text1"/>
        </w:rPr>
        <w:t xml:space="preserve">.  Item loadings of the factors ranged from .66 to .85. Moreover, the loadings of these 4 factors on the second order factor were between .61 and .88. Cronbach alpha coefficients were found between .79 and .87 for the subscales of ETS and .91 for the whole scale, which indicated that scores on the ETS were sufficiently reliable (and that a higher score was deemed indicative of higher work engagement). </w:t>
      </w:r>
    </w:p>
    <w:p w14:paraId="2A21FA94" w14:textId="77777777" w:rsidR="00E87700" w:rsidRPr="000D7205" w:rsidRDefault="00E87700" w:rsidP="00E87700">
      <w:pPr>
        <w:spacing w:before="240" w:line="360" w:lineRule="auto"/>
        <w:ind w:firstLine="720"/>
        <w:rPr>
          <w:color w:val="000000" w:themeColor="text1"/>
        </w:rPr>
      </w:pPr>
      <w:r w:rsidRPr="000D7205">
        <w:rPr>
          <w:color w:val="000000" w:themeColor="text1"/>
        </w:rPr>
        <w:t xml:space="preserve">In this study, we followed a translation and back-translation process. The first author (a native Turkish speaker), translated the ETS (English) to Turkish and then enlisted two teacher education experts for independent translation. Agreement was reached on most translated items with some discussion necessary for consensus. Translated items were then back-translated into English by another teacher education expert and compared with the original items. The first author was involved with the comparison process to ensure the meaning of items </w:t>
      </w:r>
      <w:r>
        <w:rPr>
          <w:color w:val="000000" w:themeColor="text1"/>
        </w:rPr>
        <w:t>was</w:t>
      </w:r>
      <w:r w:rsidRPr="000D7205">
        <w:rPr>
          <w:color w:val="000000" w:themeColor="text1"/>
        </w:rPr>
        <w:t xml:space="preserve"> consistent. Lastly, all items were examined by a Turkish language expert. As a result, </w:t>
      </w:r>
      <w:r>
        <w:rPr>
          <w:color w:val="000000" w:themeColor="text1"/>
        </w:rPr>
        <w:t xml:space="preserve">the </w:t>
      </w:r>
      <w:r w:rsidRPr="000D7205">
        <w:rPr>
          <w:color w:val="000000" w:themeColor="text1"/>
        </w:rPr>
        <w:t>Turkish version of</w:t>
      </w:r>
      <w:r>
        <w:rPr>
          <w:color w:val="000000" w:themeColor="text1"/>
        </w:rPr>
        <w:t xml:space="preserve"> the</w:t>
      </w:r>
      <w:r w:rsidRPr="000D7205">
        <w:rPr>
          <w:color w:val="000000" w:themeColor="text1"/>
        </w:rPr>
        <w:t xml:space="preserve"> ETS (ETS-TR) was considered grammatically and meaningfully appropriate for implementing </w:t>
      </w:r>
      <w:r>
        <w:rPr>
          <w:color w:val="000000" w:themeColor="text1"/>
        </w:rPr>
        <w:t xml:space="preserve">with </w:t>
      </w:r>
      <w:r w:rsidRPr="000D7205">
        <w:rPr>
          <w:color w:val="000000" w:themeColor="text1"/>
        </w:rPr>
        <w:t xml:space="preserve">teachers in Turkey. The ETS-TR is presented alongside the original ETS in </w:t>
      </w:r>
      <w:r w:rsidRPr="000D7205">
        <w:rPr>
          <w:color w:val="000000" w:themeColor="text1"/>
        </w:rPr>
        <w:fldChar w:fldCharType="begin"/>
      </w:r>
      <w:r w:rsidRPr="000D7205">
        <w:rPr>
          <w:color w:val="000000" w:themeColor="text1"/>
        </w:rPr>
        <w:instrText xml:space="preserve"> REF _Ref465513482 \h  \* MERGEFORMAT </w:instrText>
      </w:r>
      <w:r w:rsidRPr="000D7205">
        <w:rPr>
          <w:color w:val="000000" w:themeColor="text1"/>
        </w:rPr>
      </w:r>
      <w:r w:rsidRPr="000D7205">
        <w:rPr>
          <w:color w:val="000000" w:themeColor="text1"/>
        </w:rPr>
        <w:fldChar w:fldCharType="separate"/>
      </w:r>
      <w:r w:rsidRPr="00E87700">
        <w:rPr>
          <w:color w:val="000000" w:themeColor="text1"/>
        </w:rPr>
        <w:t xml:space="preserve">Appendix </w:t>
      </w:r>
      <w:r w:rsidRPr="00E87700">
        <w:rPr>
          <w:noProof/>
          <w:color w:val="000000" w:themeColor="text1"/>
        </w:rPr>
        <w:t>1</w:t>
      </w:r>
      <w:r w:rsidRPr="000D7205">
        <w:rPr>
          <w:color w:val="000000" w:themeColor="text1"/>
        </w:rPr>
        <w:fldChar w:fldCharType="end"/>
      </w:r>
      <w:r w:rsidRPr="000D7205">
        <w:rPr>
          <w:color w:val="000000" w:themeColor="text1"/>
        </w:rPr>
        <w:t xml:space="preserve"> , complete with instructions for researchers and participants. </w:t>
      </w:r>
      <w:r w:rsidRPr="000D7205">
        <w:rPr>
          <w:color w:val="000000" w:themeColor="text1"/>
        </w:rPr>
        <w:tab/>
      </w:r>
    </w:p>
    <w:p w14:paraId="7496C885" w14:textId="77777777" w:rsidR="00E87700" w:rsidRPr="000D7205" w:rsidRDefault="00E87700" w:rsidP="00E87700">
      <w:pPr>
        <w:spacing w:before="240" w:line="360" w:lineRule="auto"/>
        <w:rPr>
          <w:color w:val="000000" w:themeColor="text1"/>
        </w:rPr>
      </w:pPr>
      <w:r w:rsidRPr="000D7205">
        <w:rPr>
          <w:i/>
          <w:color w:val="000000" w:themeColor="text1"/>
        </w:rPr>
        <w:t>Teachers’ Sense of Efficacy Scale.</w:t>
      </w:r>
      <w:r w:rsidRPr="000D7205">
        <w:rPr>
          <w:b/>
          <w:color w:val="000000" w:themeColor="text1"/>
        </w:rPr>
        <w:t xml:space="preserve"> </w:t>
      </w:r>
      <w:r w:rsidRPr="000D7205">
        <w:rPr>
          <w:color w:val="000000" w:themeColor="text1"/>
        </w:rPr>
        <w:t xml:space="preserve">To measure teachers’ confidence about teaching in the classroom, our questionnaire included </w:t>
      </w:r>
      <w:r w:rsidRPr="000D7205">
        <w:rPr>
          <w:color w:val="000000" w:themeColor="text1"/>
          <w:lang w:val="en-CA"/>
        </w:rPr>
        <w:t xml:space="preserve">Capa, Cakiroglu, and Sarikaya’s (2005) Turkish version of </w:t>
      </w:r>
      <w:r w:rsidRPr="000D7205">
        <w:rPr>
          <w:color w:val="000000" w:themeColor="text1"/>
        </w:rPr>
        <w:t xml:space="preserve">Tschannen-Moran and Woolfolk Hoy’s (2001) Teachers’ Sense of Efficacy Scale (TSES). Specifically, we administered the short version with 4 items from each of the 3 subscales: Efficacy for Student Engagement (e.g. “How much can you do to motivate students who show low interest in schoolwork?”), Efficacy for Classroom Management </w:t>
      </w:r>
      <w:r w:rsidRPr="000D7205">
        <w:rPr>
          <w:color w:val="000000" w:themeColor="text1"/>
          <w:lang w:val="en-CA"/>
        </w:rPr>
        <w:t>(e. g. “How much can you do to control disruptive behavior in the classroom?”)</w:t>
      </w:r>
      <w:r w:rsidRPr="000D7205">
        <w:rPr>
          <w:color w:val="000000" w:themeColor="text1"/>
        </w:rPr>
        <w:t xml:space="preserve">, and Efficacy for Instructional Strategies </w:t>
      </w:r>
      <w:r w:rsidRPr="000D7205">
        <w:rPr>
          <w:color w:val="000000" w:themeColor="text1"/>
          <w:lang w:val="en-CA"/>
        </w:rPr>
        <w:t>(e. g. “To what extent can you use a variety of assessment strategies?”)</w:t>
      </w:r>
      <w:r w:rsidRPr="000D7205">
        <w:rPr>
          <w:color w:val="000000" w:themeColor="text1"/>
        </w:rPr>
        <w:t>. The 12 items were presented with a</w:t>
      </w:r>
      <w:r w:rsidRPr="000D7205">
        <w:rPr>
          <w:color w:val="000000" w:themeColor="text1"/>
          <w:lang w:val="en-CA"/>
        </w:rPr>
        <w:t xml:space="preserve"> 9-point Likert response scale (1= </w:t>
      </w:r>
      <w:r w:rsidRPr="000D7205">
        <w:rPr>
          <w:i/>
          <w:color w:val="000000" w:themeColor="text1"/>
          <w:lang w:val="en-CA"/>
        </w:rPr>
        <w:t>Nothing</w:t>
      </w:r>
      <w:r w:rsidRPr="000D7205">
        <w:rPr>
          <w:color w:val="000000" w:themeColor="text1"/>
          <w:lang w:val="en-CA"/>
        </w:rPr>
        <w:t xml:space="preserve"> to 9 = </w:t>
      </w:r>
      <w:r w:rsidRPr="000D7205">
        <w:rPr>
          <w:i/>
          <w:color w:val="000000" w:themeColor="text1"/>
          <w:lang w:val="en-CA"/>
        </w:rPr>
        <w:t>A great deal</w:t>
      </w:r>
      <w:r w:rsidRPr="000D7205">
        <w:rPr>
          <w:color w:val="000000" w:themeColor="text1"/>
          <w:lang w:val="en-CA"/>
        </w:rPr>
        <w:t xml:space="preserve">), with </w:t>
      </w:r>
      <w:r w:rsidRPr="000D7205">
        <w:rPr>
          <w:color w:val="000000" w:themeColor="text1"/>
        </w:rPr>
        <w:t xml:space="preserve">higher scores </w:t>
      </w:r>
      <w:r w:rsidRPr="000D7205">
        <w:rPr>
          <w:color w:val="000000" w:themeColor="text1"/>
        </w:rPr>
        <w:lastRenderedPageBreak/>
        <w:t xml:space="preserve">indicating a higher level of self-efficacy for teaching. </w:t>
      </w:r>
      <w:r w:rsidRPr="000D7205">
        <w:rPr>
          <w:color w:val="000000" w:themeColor="text1"/>
          <w:lang w:val="en-CA"/>
        </w:rPr>
        <w:t xml:space="preserve">Reliability coefficients for the translated TSES used in the current study were high (.74, .85, and .83 for </w:t>
      </w:r>
      <w:r w:rsidRPr="000D7205">
        <w:rPr>
          <w:color w:val="000000" w:themeColor="text1"/>
        </w:rPr>
        <w:t>student engagement, classroom management, and instructional strategies, respectively).</w:t>
      </w:r>
    </w:p>
    <w:p w14:paraId="57977E77" w14:textId="77777777" w:rsidR="00E87700" w:rsidRPr="000D7205" w:rsidRDefault="00E87700" w:rsidP="00E87700">
      <w:pPr>
        <w:spacing w:before="240" w:line="360" w:lineRule="auto"/>
        <w:rPr>
          <w:b/>
          <w:i/>
          <w:color w:val="000000" w:themeColor="text1"/>
        </w:rPr>
      </w:pPr>
      <w:r w:rsidRPr="000D7205">
        <w:rPr>
          <w:b/>
          <w:i/>
          <w:color w:val="000000" w:themeColor="text1"/>
        </w:rPr>
        <w:t>Strategy for Scale Analysis</w:t>
      </w:r>
      <w:r w:rsidRPr="000D7205">
        <w:rPr>
          <w:i/>
          <w:color w:val="000000" w:themeColor="text1"/>
        </w:rPr>
        <w:t xml:space="preserve"> </w:t>
      </w:r>
    </w:p>
    <w:p w14:paraId="69DB87A6" w14:textId="77777777" w:rsidR="00E87700" w:rsidRPr="000D7205" w:rsidRDefault="00E87700" w:rsidP="00E87700">
      <w:pPr>
        <w:spacing w:before="240" w:line="360" w:lineRule="auto"/>
        <w:rPr>
          <w:b/>
          <w:i/>
          <w:color w:val="000000" w:themeColor="text1"/>
        </w:rPr>
      </w:pPr>
      <w:r>
        <w:rPr>
          <w:color w:val="000000" w:themeColor="text1"/>
        </w:rPr>
        <w:tab/>
      </w:r>
      <w:r w:rsidRPr="000D7205">
        <w:rPr>
          <w:color w:val="000000" w:themeColor="text1"/>
        </w:rPr>
        <w:t xml:space="preserve">The present research sought to investigate the reliability and internal validity of the Turkish ETS, while also considering convergent validity by examining the relation between teacher engagement and teacher </w:t>
      </w:r>
      <w:r w:rsidRPr="000D7205">
        <w:rPr>
          <w:color w:val="000000" w:themeColor="text1"/>
          <w:lang w:eastAsia="de-DE"/>
        </w:rPr>
        <w:t>self-efficacy. Overall, we expected a positive relationship between teachers’ engagement and self-efficacy</w:t>
      </w:r>
      <w:r w:rsidRPr="000D7205">
        <w:rPr>
          <w:color w:val="000000" w:themeColor="text1"/>
        </w:rPr>
        <w:t xml:space="preserve"> that was sufficiently high enough to indicate the convergent validity of the ETS, yet low enough to warrant conceptual separation between those established phenomena and the four subscales measured by the ETS. In order to provide support for the construct validity of the four-factor Turkish translation of the ETS (ETS-TR), a first-order CFA and a second-order CFA were performed using LISREL 8.80 (Jöreskog &amp; Sörbom, 2006) with SIMPLIS command language. For further evidence of validity, we examined correlations among the subscales of ETS-TR and TSES.</w:t>
      </w:r>
    </w:p>
    <w:p w14:paraId="25EFE524" w14:textId="77777777" w:rsidR="00E87700" w:rsidRPr="000D7205" w:rsidRDefault="00E87700" w:rsidP="00E87700">
      <w:pPr>
        <w:spacing w:before="240" w:line="360" w:lineRule="auto"/>
        <w:rPr>
          <w:b/>
          <w:color w:val="000000" w:themeColor="text1"/>
        </w:rPr>
      </w:pPr>
      <w:r w:rsidRPr="000D7205">
        <w:rPr>
          <w:b/>
          <w:color w:val="000000" w:themeColor="text1"/>
        </w:rPr>
        <w:t>Results</w:t>
      </w:r>
    </w:p>
    <w:p w14:paraId="7F3656E3" w14:textId="77777777" w:rsidR="00E87700" w:rsidRPr="000D7205" w:rsidRDefault="00E87700" w:rsidP="00E87700">
      <w:pPr>
        <w:spacing w:before="240" w:line="360" w:lineRule="auto"/>
        <w:rPr>
          <w:color w:val="000000" w:themeColor="text1"/>
        </w:rPr>
      </w:pPr>
      <w:r>
        <w:rPr>
          <w:color w:val="000000" w:themeColor="text1"/>
        </w:rPr>
        <w:tab/>
      </w:r>
      <w:r w:rsidRPr="000D7205">
        <w:rPr>
          <w:color w:val="000000" w:themeColor="text1"/>
        </w:rPr>
        <w:t xml:space="preserve">To examine the factor structure of the ETS-TR, we performed a first-order CFA using data obtained from 388 teachers. Results indicated (see </w:t>
      </w:r>
      <w:r w:rsidRPr="000D7205">
        <w:rPr>
          <w:color w:val="000000" w:themeColor="text1"/>
        </w:rPr>
        <w:fldChar w:fldCharType="begin"/>
      </w:r>
      <w:r w:rsidRPr="000D7205">
        <w:rPr>
          <w:color w:val="000000" w:themeColor="text1"/>
        </w:rPr>
        <w:instrText xml:space="preserve"> REF _Ref465513529 \h  \* MERGEFORMAT </w:instrText>
      </w:r>
      <w:r w:rsidRPr="000D7205">
        <w:rPr>
          <w:color w:val="000000" w:themeColor="text1"/>
        </w:rPr>
      </w:r>
      <w:r w:rsidRPr="000D7205">
        <w:rPr>
          <w:color w:val="000000" w:themeColor="text1"/>
        </w:rPr>
        <w:fldChar w:fldCharType="separate"/>
      </w:r>
      <w:r w:rsidRPr="000D7205">
        <w:rPr>
          <w:color w:val="000000" w:themeColor="text1"/>
          <w:sz w:val="22"/>
          <w:szCs w:val="22"/>
        </w:rPr>
        <w:t xml:space="preserve">Appendix </w:t>
      </w:r>
      <w:r w:rsidRPr="00E87700">
        <w:rPr>
          <w:noProof/>
          <w:color w:val="000000" w:themeColor="text1"/>
          <w:sz w:val="22"/>
          <w:szCs w:val="22"/>
        </w:rPr>
        <w:t>2</w:t>
      </w:r>
      <w:r w:rsidRPr="000D7205">
        <w:rPr>
          <w:color w:val="000000" w:themeColor="text1"/>
        </w:rPr>
        <w:fldChar w:fldCharType="end"/>
      </w:r>
      <w:r w:rsidRPr="000D7205">
        <w:rPr>
          <w:color w:val="000000" w:themeColor="text1"/>
        </w:rPr>
        <w:t>) good model fit to the data (</w:t>
      </w:r>
      <m:oMath>
        <m:sSubSup>
          <m:sSubSupPr>
            <m:ctrlPr>
              <w:rPr>
                <w:rFonts w:ascii="Cambria Math" w:hAnsi="Cambria Math"/>
                <w:i/>
                <w:color w:val="000000" w:themeColor="text1"/>
              </w:rPr>
            </m:ctrlPr>
          </m:sSubSupPr>
          <m:e>
            <m:r>
              <w:rPr>
                <w:rFonts w:ascii="Cambria Math" w:hAnsi="Cambria Math"/>
                <w:color w:val="000000" w:themeColor="text1"/>
              </w:rPr>
              <m:t>χ</m:t>
            </m:r>
          </m:e>
          <m:sub>
            <m:r>
              <w:rPr>
                <w:rFonts w:ascii="Cambria Math" w:hAnsi="Cambria Math"/>
                <w:color w:val="000000" w:themeColor="text1"/>
              </w:rPr>
              <m:t>(98)</m:t>
            </m:r>
          </m:sub>
          <m:sup>
            <m:r>
              <w:rPr>
                <w:rFonts w:ascii="Cambria Math" w:hAnsi="Cambria Math"/>
                <w:color w:val="000000" w:themeColor="text1"/>
              </w:rPr>
              <m:t>2</m:t>
            </m:r>
          </m:sup>
        </m:sSubSup>
      </m:oMath>
      <w:r w:rsidRPr="000D7205">
        <w:rPr>
          <w:color w:val="000000" w:themeColor="text1"/>
        </w:rPr>
        <w:t xml:space="preserve">= 232.29, </w:t>
      </w:r>
      <w:r w:rsidRPr="000D7205">
        <w:rPr>
          <w:i/>
          <w:iCs/>
          <w:color w:val="000000" w:themeColor="text1"/>
        </w:rPr>
        <w:t xml:space="preserve">p </w:t>
      </w:r>
      <w:r w:rsidRPr="000D7205">
        <w:rPr>
          <w:color w:val="000000" w:themeColor="text1"/>
        </w:rPr>
        <w:t>&lt; .05; CFI = .98; GFI = .93; NFI = .96; SRMR = .036; RMSEA = .059; 90% CI = .049, .069). As in the original scale, completely standardized parameter estimates (Lambda-X) of all items were above .50 (see Table 2) which is the suggested cut-off value by Hair, Black, Babin, Anderson, and Tatham (2010). Moreover, the data had good internal consistency</w:t>
      </w:r>
      <w:r w:rsidRPr="000D7205" w:rsidDel="00490672">
        <w:rPr>
          <w:color w:val="000000" w:themeColor="text1"/>
        </w:rPr>
        <w:t xml:space="preserve"> </w:t>
      </w:r>
      <w:r w:rsidRPr="000D7205">
        <w:rPr>
          <w:color w:val="000000" w:themeColor="text1"/>
        </w:rPr>
        <w:t xml:space="preserve">as indicated by Cronbach’s alphas of .81 to .87. </w:t>
      </w:r>
    </w:p>
    <w:p w14:paraId="62B0473C" w14:textId="77777777" w:rsidR="00E87700" w:rsidRPr="000D7205" w:rsidRDefault="00E87700" w:rsidP="00E87700">
      <w:pPr>
        <w:pStyle w:val="Default"/>
        <w:spacing w:before="240" w:line="360" w:lineRule="auto"/>
        <w:ind w:firstLine="720"/>
        <w:rPr>
          <w:color w:val="000000" w:themeColor="text1"/>
          <w:lang w:val="en-US"/>
        </w:rPr>
      </w:pPr>
      <w:r w:rsidRPr="000D7205">
        <w:rPr>
          <w:color w:val="000000" w:themeColor="text1"/>
          <w:lang w:val="en-US"/>
        </w:rPr>
        <w:t xml:space="preserve">In the development process of the original version of ETS, Klassen et al. (2013) found that these four factors of ETS can be represented by a single superordinate factor. Therefore, in order to test this suggested factor structure with our Turkish sample, a second-order factor analysis was conducted. Results revealed (see </w:t>
      </w:r>
      <w:r w:rsidRPr="000D7205">
        <w:rPr>
          <w:color w:val="000000" w:themeColor="text1"/>
          <w:lang w:val="en-US"/>
        </w:rPr>
        <w:fldChar w:fldCharType="begin"/>
      </w:r>
      <w:r w:rsidRPr="000D7205">
        <w:rPr>
          <w:color w:val="000000" w:themeColor="text1"/>
          <w:lang w:val="en-US"/>
        </w:rPr>
        <w:instrText xml:space="preserve"> REF _Ref465513554 \h  \* MERGEFORMAT </w:instrText>
      </w:r>
      <w:r w:rsidRPr="000D7205">
        <w:rPr>
          <w:color w:val="000000" w:themeColor="text1"/>
          <w:lang w:val="en-US"/>
        </w:rPr>
      </w:r>
      <w:r w:rsidRPr="000D7205">
        <w:rPr>
          <w:color w:val="000000" w:themeColor="text1"/>
          <w:lang w:val="en-US"/>
        </w:rPr>
        <w:fldChar w:fldCharType="separate"/>
      </w:r>
      <w:r w:rsidRPr="000D7205">
        <w:rPr>
          <w:color w:val="000000" w:themeColor="text1"/>
          <w:sz w:val="22"/>
          <w:szCs w:val="22"/>
        </w:rPr>
        <w:t xml:space="preserve">Appendix </w:t>
      </w:r>
      <w:r w:rsidRPr="00E87700">
        <w:rPr>
          <w:noProof/>
          <w:color w:val="000000" w:themeColor="text1"/>
          <w:sz w:val="22"/>
          <w:szCs w:val="22"/>
        </w:rPr>
        <w:t>3</w:t>
      </w:r>
      <w:r w:rsidRPr="000D7205">
        <w:rPr>
          <w:color w:val="000000" w:themeColor="text1"/>
          <w:lang w:val="en-US"/>
        </w:rPr>
        <w:fldChar w:fldCharType="end"/>
      </w:r>
      <w:r w:rsidRPr="000D7205">
        <w:rPr>
          <w:color w:val="000000" w:themeColor="text1"/>
          <w:lang w:val="en-US"/>
        </w:rPr>
        <w:t>) a good model fit to the data (</w:t>
      </w:r>
      <m:oMath>
        <m:sSubSup>
          <m:sSubSupPr>
            <m:ctrlPr>
              <w:rPr>
                <w:rFonts w:ascii="Cambria Math" w:hAnsi="Cambria Math"/>
                <w:i/>
                <w:color w:val="000000" w:themeColor="text1"/>
                <w:lang w:val="en-US"/>
              </w:rPr>
            </m:ctrlPr>
          </m:sSubSupPr>
          <m:e>
            <m:r>
              <w:rPr>
                <w:rFonts w:ascii="Cambria Math" w:hAnsi="Cambria Math"/>
                <w:color w:val="000000" w:themeColor="text1"/>
                <w:lang w:val="en-US"/>
              </w:rPr>
              <m:t>χ</m:t>
            </m:r>
          </m:e>
          <m:sub>
            <m:r>
              <w:rPr>
                <w:rFonts w:ascii="Cambria Math" w:hAnsi="Cambria Math"/>
                <w:color w:val="000000" w:themeColor="text1"/>
                <w:lang w:val="en-US"/>
              </w:rPr>
              <m:t>(100)</m:t>
            </m:r>
          </m:sub>
          <m:sup>
            <m:r>
              <w:rPr>
                <w:rFonts w:ascii="Cambria Math" w:hAnsi="Cambria Math"/>
                <w:color w:val="000000" w:themeColor="text1"/>
                <w:lang w:val="en-US"/>
              </w:rPr>
              <m:t>2</m:t>
            </m:r>
          </m:sup>
        </m:sSubSup>
      </m:oMath>
      <w:r w:rsidRPr="000D7205">
        <w:rPr>
          <w:color w:val="000000" w:themeColor="text1"/>
          <w:lang w:val="en-US"/>
        </w:rPr>
        <w:t xml:space="preserve">= 240.06, </w:t>
      </w:r>
      <w:r w:rsidRPr="000D7205">
        <w:rPr>
          <w:i/>
          <w:iCs/>
          <w:color w:val="000000" w:themeColor="text1"/>
          <w:lang w:val="en-US"/>
        </w:rPr>
        <w:t xml:space="preserve">p </w:t>
      </w:r>
      <w:r w:rsidRPr="000D7205">
        <w:rPr>
          <w:color w:val="000000" w:themeColor="text1"/>
          <w:lang w:val="en-US"/>
        </w:rPr>
        <w:t xml:space="preserve">&lt; .05; CFI = .98; GFI = .93; NFI = .96; SRMR = .040; RMSEA = .060; 90% CI = .050, .070). All factor loadings were found significant </w:t>
      </w:r>
      <w:r w:rsidRPr="000D7205">
        <w:rPr>
          <w:color w:val="000000" w:themeColor="text1"/>
          <w:lang w:val="en-US"/>
        </w:rPr>
        <w:lastRenderedPageBreak/>
        <w:t xml:space="preserve">and above the cut-off point of .50 (Hair et al., 2010). Regression coefficients (Gamma, γ) of each factor, mean, standard deviation and Cronbach’s alpha of the composite teacher engagement variable are displayed through </w:t>
      </w:r>
      <w:r w:rsidRPr="000D7205">
        <w:rPr>
          <w:color w:val="000000" w:themeColor="text1"/>
          <w:lang w:val="en-US"/>
        </w:rPr>
        <w:fldChar w:fldCharType="begin"/>
      </w:r>
      <w:r w:rsidRPr="000D7205">
        <w:rPr>
          <w:color w:val="000000" w:themeColor="text1"/>
          <w:lang w:val="en-US"/>
        </w:rPr>
        <w:instrText xml:space="preserve"> REF _Ref465513008 \h  \* MERGEFORMAT </w:instrText>
      </w:r>
      <w:r w:rsidRPr="000D7205">
        <w:rPr>
          <w:color w:val="000000" w:themeColor="text1"/>
          <w:lang w:val="en-US"/>
        </w:rPr>
      </w:r>
      <w:r w:rsidRPr="000D7205">
        <w:rPr>
          <w:color w:val="000000" w:themeColor="text1"/>
          <w:lang w:val="en-US"/>
        </w:rPr>
        <w:fldChar w:fldCharType="separate"/>
      </w:r>
      <w:r w:rsidRPr="000D7205">
        <w:rPr>
          <w:color w:val="000000" w:themeColor="text1"/>
        </w:rPr>
        <w:t xml:space="preserve">Table </w:t>
      </w:r>
      <w:r w:rsidRPr="00E87700">
        <w:rPr>
          <w:noProof/>
          <w:color w:val="000000" w:themeColor="text1"/>
        </w:rPr>
        <w:t>2</w:t>
      </w:r>
      <w:r w:rsidRPr="000D7205">
        <w:rPr>
          <w:color w:val="000000" w:themeColor="text1"/>
          <w:lang w:val="en-US"/>
        </w:rPr>
        <w:fldChar w:fldCharType="end"/>
      </w:r>
      <w:r w:rsidRPr="000D7205">
        <w:rPr>
          <w:color w:val="000000" w:themeColor="text1"/>
          <w:lang w:val="en-US"/>
        </w:rPr>
        <w:t xml:space="preserve">. As shown in the </w:t>
      </w:r>
      <w:r w:rsidRPr="000D7205">
        <w:rPr>
          <w:color w:val="000000" w:themeColor="text1"/>
          <w:lang w:val="en-US"/>
        </w:rPr>
        <w:fldChar w:fldCharType="begin"/>
      </w:r>
      <w:r w:rsidRPr="000D7205">
        <w:rPr>
          <w:color w:val="000000" w:themeColor="text1"/>
          <w:lang w:val="en-US"/>
        </w:rPr>
        <w:instrText xml:space="preserve"> REF _Ref465513028 \h  \* MERGEFORMAT </w:instrText>
      </w:r>
      <w:r w:rsidRPr="000D7205">
        <w:rPr>
          <w:color w:val="000000" w:themeColor="text1"/>
          <w:lang w:val="en-US"/>
        </w:rPr>
      </w:r>
      <w:r w:rsidRPr="000D7205">
        <w:rPr>
          <w:color w:val="000000" w:themeColor="text1"/>
          <w:lang w:val="en-US"/>
        </w:rPr>
        <w:fldChar w:fldCharType="separate"/>
      </w:r>
      <w:r w:rsidRPr="000D7205">
        <w:rPr>
          <w:color w:val="000000" w:themeColor="text1"/>
          <w:sz w:val="22"/>
          <w:szCs w:val="22"/>
        </w:rPr>
        <w:t xml:space="preserve">Table </w:t>
      </w:r>
      <w:r w:rsidRPr="00E87700">
        <w:rPr>
          <w:noProof/>
          <w:color w:val="000000" w:themeColor="text1"/>
          <w:sz w:val="22"/>
          <w:szCs w:val="22"/>
        </w:rPr>
        <w:t>3</w:t>
      </w:r>
      <w:r w:rsidRPr="000D7205">
        <w:rPr>
          <w:color w:val="000000" w:themeColor="text1"/>
          <w:lang w:val="en-US"/>
        </w:rPr>
        <w:fldChar w:fldCharType="end"/>
      </w:r>
      <w:r w:rsidRPr="000D7205">
        <w:rPr>
          <w:color w:val="000000" w:themeColor="text1"/>
          <w:lang w:val="en-US"/>
        </w:rPr>
        <w:t>, we also compared results of the first-order CFA and second-order CFA. A chi-square difference test revealed that adding new factors into the model did not make a significant contribution. Therefore, our findings supported the first order four-factor and the second order single-factor models of the ETS-TR.</w:t>
      </w:r>
    </w:p>
    <w:p w14:paraId="1FA9C3E8" w14:textId="77777777" w:rsidR="00E87700" w:rsidRPr="000D7205" w:rsidRDefault="00E87700" w:rsidP="00E87700">
      <w:pPr>
        <w:spacing w:before="240" w:line="360" w:lineRule="auto"/>
        <w:ind w:firstLine="720"/>
        <w:rPr>
          <w:color w:val="000000" w:themeColor="text1"/>
        </w:rPr>
      </w:pPr>
      <w:r w:rsidRPr="000D7205">
        <w:rPr>
          <w:color w:val="000000" w:themeColor="text1"/>
        </w:rPr>
        <w:t>For supporting the convergent validity, we examined engagement (measured by the ETS-TR) in relation to teaching self-efficacy (measured by the TSES). For this part of the study, we used data from a sub-sample (</w:t>
      </w:r>
      <w:r w:rsidRPr="000D7205">
        <w:rPr>
          <w:i/>
          <w:color w:val="000000" w:themeColor="text1"/>
        </w:rPr>
        <w:t>n</w:t>
      </w:r>
      <w:r w:rsidRPr="000D7205">
        <w:rPr>
          <w:color w:val="000000" w:themeColor="text1"/>
        </w:rPr>
        <w:t xml:space="preserve"> = 288) of participants (153 female, 126 male, and 9 unspecified). Four separate multiple linear regression models were set to discover which subscales of TSES significantly predict the subscales of the ETS-TR. While the four subscales of ETS-TR were used as dependent variables, the three subscales of TSES were used as predictors. As displayed through </w:t>
      </w:r>
      <w:r w:rsidRPr="000D7205">
        <w:rPr>
          <w:color w:val="000000" w:themeColor="text1"/>
        </w:rPr>
        <w:fldChar w:fldCharType="begin"/>
      </w:r>
      <w:r w:rsidRPr="000D7205">
        <w:rPr>
          <w:color w:val="000000" w:themeColor="text1"/>
        </w:rPr>
        <w:instrText xml:space="preserve"> REF _Ref465513055 \h  \* MERGEFORMAT </w:instrText>
      </w:r>
      <w:r w:rsidRPr="000D7205">
        <w:rPr>
          <w:color w:val="000000" w:themeColor="text1"/>
        </w:rPr>
      </w:r>
      <w:r w:rsidRPr="000D7205">
        <w:rPr>
          <w:color w:val="000000" w:themeColor="text1"/>
        </w:rPr>
        <w:fldChar w:fldCharType="separate"/>
      </w:r>
      <w:r w:rsidRPr="000D7205">
        <w:rPr>
          <w:color w:val="000000" w:themeColor="text1"/>
          <w:sz w:val="22"/>
          <w:szCs w:val="22"/>
        </w:rPr>
        <w:t xml:space="preserve">Table </w:t>
      </w:r>
      <w:r w:rsidRPr="00E87700">
        <w:rPr>
          <w:noProof/>
          <w:color w:val="000000" w:themeColor="text1"/>
          <w:sz w:val="22"/>
          <w:szCs w:val="22"/>
        </w:rPr>
        <w:t>4</w:t>
      </w:r>
      <w:r w:rsidRPr="000D7205">
        <w:rPr>
          <w:color w:val="000000" w:themeColor="text1"/>
        </w:rPr>
        <w:fldChar w:fldCharType="end"/>
      </w:r>
      <w:r w:rsidRPr="000D7205">
        <w:rPr>
          <w:color w:val="000000" w:themeColor="text1"/>
        </w:rPr>
        <w:t>, bivariate correlations among subscales of ETS-TR and TSES were positively and significantly correlated with each other, with the highest correlation between Cognitive Engagement and Efficacy for Instructional Strategies (</w:t>
      </w:r>
      <w:r w:rsidRPr="000D7205">
        <w:rPr>
          <w:i/>
          <w:color w:val="000000" w:themeColor="text1"/>
        </w:rPr>
        <w:t xml:space="preserve">r </w:t>
      </w:r>
      <w:r w:rsidRPr="000D7205">
        <w:rPr>
          <w:color w:val="000000" w:themeColor="text1"/>
        </w:rPr>
        <w:t>= .54) and the lowest correlation for Emotional Engagement and Efficacy for Student Engagement (</w:t>
      </w:r>
      <w:r w:rsidRPr="000D7205">
        <w:rPr>
          <w:i/>
          <w:color w:val="000000" w:themeColor="text1"/>
        </w:rPr>
        <w:t xml:space="preserve">r </w:t>
      </w:r>
      <w:r w:rsidRPr="000D7205">
        <w:rPr>
          <w:color w:val="000000" w:themeColor="text1"/>
        </w:rPr>
        <w:t xml:space="preserve">= .27). Mean values also indicated that participants had high levels of teaching engagement (ranging from 5.00 to 5.19 out of 6) and teaching self-efficacy (ranging from 6.71 to 7.10 out of 9). See </w:t>
      </w:r>
      <w:r w:rsidRPr="000D7205">
        <w:rPr>
          <w:color w:val="000000" w:themeColor="text1"/>
        </w:rPr>
        <w:fldChar w:fldCharType="begin"/>
      </w:r>
      <w:r w:rsidRPr="000D7205">
        <w:rPr>
          <w:color w:val="000000" w:themeColor="text1"/>
        </w:rPr>
        <w:instrText xml:space="preserve"> REF _Ref465513055 \h  \* MERGEFORMAT </w:instrText>
      </w:r>
      <w:r w:rsidRPr="000D7205">
        <w:rPr>
          <w:color w:val="000000" w:themeColor="text1"/>
        </w:rPr>
      </w:r>
      <w:r w:rsidRPr="000D7205">
        <w:rPr>
          <w:color w:val="000000" w:themeColor="text1"/>
        </w:rPr>
        <w:fldChar w:fldCharType="separate"/>
      </w:r>
      <w:r w:rsidRPr="000D7205">
        <w:rPr>
          <w:color w:val="000000" w:themeColor="text1"/>
          <w:sz w:val="22"/>
          <w:szCs w:val="22"/>
        </w:rPr>
        <w:t xml:space="preserve">Table </w:t>
      </w:r>
      <w:r w:rsidRPr="00E87700">
        <w:rPr>
          <w:noProof/>
          <w:color w:val="000000" w:themeColor="text1"/>
          <w:sz w:val="22"/>
          <w:szCs w:val="22"/>
        </w:rPr>
        <w:t>4</w:t>
      </w:r>
      <w:r w:rsidRPr="000D7205">
        <w:rPr>
          <w:color w:val="000000" w:themeColor="text1"/>
        </w:rPr>
        <w:fldChar w:fldCharType="end"/>
      </w:r>
      <w:r w:rsidRPr="000D7205">
        <w:rPr>
          <w:color w:val="000000" w:themeColor="text1"/>
        </w:rPr>
        <w:t xml:space="preserve"> for a summary of descriptive statistics and bivariate correlations for all variables.</w:t>
      </w:r>
    </w:p>
    <w:p w14:paraId="4ECD5F77" w14:textId="77777777" w:rsidR="00E87700" w:rsidRPr="000D7205" w:rsidRDefault="00E87700" w:rsidP="00E87700">
      <w:pPr>
        <w:spacing w:before="240" w:line="360" w:lineRule="auto"/>
        <w:ind w:firstLine="720"/>
        <w:rPr>
          <w:color w:val="000000" w:themeColor="text1"/>
        </w:rPr>
      </w:pPr>
      <w:r w:rsidRPr="000D7205">
        <w:rPr>
          <w:color w:val="000000" w:themeColor="text1"/>
        </w:rPr>
        <w:t>Multiple linear regression analyses</w:t>
      </w:r>
      <w:r>
        <w:rPr>
          <w:color w:val="000000" w:themeColor="text1"/>
        </w:rPr>
        <w:t xml:space="preserve"> </w:t>
      </w:r>
      <w:r w:rsidRPr="000D7205">
        <w:rPr>
          <w:color w:val="000000" w:themeColor="text1"/>
        </w:rPr>
        <w:t xml:space="preserve">(see </w:t>
      </w:r>
      <w:r w:rsidRPr="000D7205">
        <w:rPr>
          <w:color w:val="000000" w:themeColor="text1"/>
        </w:rPr>
        <w:fldChar w:fldCharType="begin"/>
      </w:r>
      <w:r w:rsidRPr="000D7205">
        <w:rPr>
          <w:color w:val="000000" w:themeColor="text1"/>
        </w:rPr>
        <w:instrText xml:space="preserve"> REF _Ref465513086 \h  \* MERGEFORMAT </w:instrText>
      </w:r>
      <w:r w:rsidRPr="000D7205">
        <w:rPr>
          <w:color w:val="000000" w:themeColor="text1"/>
        </w:rPr>
      </w:r>
      <w:r w:rsidRPr="000D7205">
        <w:rPr>
          <w:color w:val="000000" w:themeColor="text1"/>
        </w:rPr>
        <w:fldChar w:fldCharType="separate"/>
      </w:r>
      <w:r w:rsidRPr="000D7205">
        <w:rPr>
          <w:color w:val="000000" w:themeColor="text1"/>
          <w:sz w:val="22"/>
          <w:szCs w:val="22"/>
        </w:rPr>
        <w:t xml:space="preserve">Table </w:t>
      </w:r>
      <w:r w:rsidRPr="00E87700">
        <w:rPr>
          <w:noProof/>
          <w:color w:val="000000" w:themeColor="text1"/>
          <w:sz w:val="22"/>
          <w:szCs w:val="22"/>
        </w:rPr>
        <w:t>5</w:t>
      </w:r>
      <w:r w:rsidRPr="000D7205">
        <w:rPr>
          <w:color w:val="000000" w:themeColor="text1"/>
        </w:rPr>
        <w:fldChar w:fldCharType="end"/>
      </w:r>
      <w:r w:rsidRPr="000D7205">
        <w:rPr>
          <w:color w:val="000000" w:themeColor="text1"/>
        </w:rPr>
        <w:t>) revealed that Efficacy for Student Engagement positively and significantly predicted Social Engagement: Students (β= .35) and Social Engagement: Colleagues (β= .17). Efficacy for Classroom Management positively and significantly predicted Emotional Engagement (β= .19), Social Engagement: Students (β= .16), and Social Engagement: Colleagues (β= .16). Finally, Efficacy for Instructional Strategies positively and significantly predicted only Cognitive Engagement (β= .47). Moreover, R</w:t>
      </w:r>
      <w:r>
        <w:rPr>
          <w:color w:val="000000" w:themeColor="text1"/>
        </w:rPr>
        <w:t>-</w:t>
      </w:r>
      <w:r w:rsidRPr="000D7205">
        <w:rPr>
          <w:color w:val="000000" w:themeColor="text1"/>
        </w:rPr>
        <w:t>squared values indicated that linear combination of the subscales of self-efficacy accounted the largest variance in cognitive engagement (29%) and Social Engagement: Students (26%). About 10% of the variability in Emotional Engagement and 12% of the variance in Social Engagement: Colleagues were also accounted for by sub-dimensions of self-efficacy.</w:t>
      </w:r>
    </w:p>
    <w:p w14:paraId="37D43D4F" w14:textId="77777777" w:rsidR="00E87700" w:rsidRPr="000D7205" w:rsidRDefault="00E87700" w:rsidP="00E87700">
      <w:pPr>
        <w:spacing w:before="240" w:line="360" w:lineRule="auto"/>
        <w:rPr>
          <w:b/>
          <w:color w:val="000000" w:themeColor="text1"/>
        </w:rPr>
      </w:pPr>
      <w:r w:rsidRPr="000D7205">
        <w:rPr>
          <w:b/>
          <w:color w:val="000000" w:themeColor="text1"/>
        </w:rPr>
        <w:lastRenderedPageBreak/>
        <w:t>Discussion</w:t>
      </w:r>
    </w:p>
    <w:p w14:paraId="6440DACF" w14:textId="77777777" w:rsidR="00E87700" w:rsidRPr="000D7205" w:rsidRDefault="00E87700" w:rsidP="00E87700">
      <w:pPr>
        <w:autoSpaceDE w:val="0"/>
        <w:autoSpaceDN w:val="0"/>
        <w:adjustRightInd w:val="0"/>
        <w:spacing w:before="240" w:line="360" w:lineRule="auto"/>
        <w:ind w:firstLine="720"/>
        <w:rPr>
          <w:color w:val="000000" w:themeColor="text1"/>
        </w:rPr>
      </w:pPr>
      <w:r w:rsidRPr="000D7205">
        <w:rPr>
          <w:color w:val="000000" w:themeColor="text1"/>
        </w:rPr>
        <w:t>In this study, we translated the Engaged Teacher Scale from English into Turkish and validated the translated version with a sample of Turkish teachers. We specifically set out to determine (a) the extent to which a translated version of the ETS could act as a valid and reliable instrument for measuring Turkish teachers’ work engagement, and (b)</w:t>
      </w:r>
      <w:r w:rsidRPr="000D7205">
        <w:rPr>
          <w:b/>
          <w:bCs/>
          <w:color w:val="000000" w:themeColor="text1"/>
          <w:lang w:eastAsia="tr-TR"/>
        </w:rPr>
        <w:t xml:space="preserve"> </w:t>
      </w:r>
      <w:r w:rsidRPr="000D7205">
        <w:rPr>
          <w:bCs/>
          <w:color w:val="000000" w:themeColor="text1"/>
          <w:lang w:eastAsia="tr-TR"/>
        </w:rPr>
        <w:t xml:space="preserve">how </w:t>
      </w:r>
      <w:r w:rsidRPr="000D7205">
        <w:rPr>
          <w:color w:val="000000" w:themeColor="text1"/>
        </w:rPr>
        <w:t xml:space="preserve">teaching self-efficacy was associated with teachers’ work engagement, which is considered as convergent validity evidence. The key contributions of this study are threefold. First, we confirmed that teacher engagement—previously tested in western, individualist, English-speaking settings—operates in a similar fashion in a more collectivist, non-western cultural setting. Second, we showed that the theoretically and empirically supported relationship with teaching self-efficacy was similar in the new context. Third, we laid the groundwork for further research in teacher engagement in a setting where little is known about levels and patterns of teachers’ motivation profiles. </w:t>
      </w:r>
    </w:p>
    <w:p w14:paraId="2717329C" w14:textId="77777777" w:rsidR="00E87700" w:rsidRPr="000D7205" w:rsidRDefault="00E87700" w:rsidP="00E87700">
      <w:pPr>
        <w:autoSpaceDE w:val="0"/>
        <w:autoSpaceDN w:val="0"/>
        <w:adjustRightInd w:val="0"/>
        <w:spacing w:before="240" w:line="360" w:lineRule="auto"/>
        <w:jc w:val="both"/>
        <w:rPr>
          <w:b/>
          <w:bCs/>
          <w:i/>
          <w:color w:val="000000" w:themeColor="text1"/>
          <w:lang w:eastAsia="tr-TR"/>
        </w:rPr>
      </w:pPr>
      <w:r w:rsidRPr="000D7205">
        <w:rPr>
          <w:b/>
          <w:i/>
          <w:color w:val="000000" w:themeColor="text1"/>
        </w:rPr>
        <w:t>Turkish Teachers’ Work Engagement</w:t>
      </w:r>
    </w:p>
    <w:p w14:paraId="3FFD445E" w14:textId="77777777" w:rsidR="00E87700" w:rsidRPr="000D7205" w:rsidRDefault="00E87700" w:rsidP="00E87700">
      <w:pPr>
        <w:spacing w:before="240" w:line="360" w:lineRule="auto"/>
        <w:rPr>
          <w:color w:val="000000" w:themeColor="text1"/>
        </w:rPr>
      </w:pPr>
      <w:r w:rsidRPr="000D7205">
        <w:rPr>
          <w:color w:val="000000" w:themeColor="text1"/>
        </w:rPr>
        <w:tab/>
        <w:t xml:space="preserve">The results of the first-order factor analysis supported the original 16-item and 4-factor structure of ETS for the ETS-TR with a Turkish sample. Additionally, findings of the second-order CFA suggested that teacher engagement in a Turkish context can be represented by a single superordinate factor, as well as four factors, similar to the original version of the scale. The ETS-TR was reliable, with analyses of the complete scale as well as the four subscales revealing high internal consistency. </w:t>
      </w:r>
    </w:p>
    <w:p w14:paraId="72349EBD" w14:textId="77777777" w:rsidR="00E87700" w:rsidRPr="000D7205" w:rsidRDefault="00E87700" w:rsidP="00E87700">
      <w:pPr>
        <w:spacing w:before="240" w:line="360" w:lineRule="auto"/>
        <w:ind w:firstLine="720"/>
        <w:rPr>
          <w:color w:val="000000" w:themeColor="text1"/>
        </w:rPr>
      </w:pPr>
      <w:r w:rsidRPr="000D7205">
        <w:rPr>
          <w:color w:val="000000" w:themeColor="text1"/>
        </w:rPr>
        <w:t xml:space="preserve">When measuring teacher engagement, the ETS (and ETS-TR), has two important advantages over the most widely used work engagement scale (UWES, Schaufeli &amp; Bakker, 2003). First, it is focused on the work life of teachers. That is, items of the ETS focus on teachers’ practices in the classroom and school whereas, in the UWES, items are more general and do not </w:t>
      </w:r>
      <w:r w:rsidRPr="00014D8B">
        <w:rPr>
          <w:color w:val="000000" w:themeColor="text1"/>
        </w:rPr>
        <w:t>focus on specific features of a job. Moreover, the ETS-TR emerged as a superior measure for the Turkish context with statistical evidence for the factor structure being as strong as the original ETS.</w:t>
      </w:r>
    </w:p>
    <w:p w14:paraId="67BABBA2" w14:textId="77777777" w:rsidR="00E87700" w:rsidRPr="000D7205" w:rsidRDefault="00E87700" w:rsidP="00E87700">
      <w:pPr>
        <w:spacing w:before="240" w:line="360" w:lineRule="auto"/>
        <w:ind w:firstLine="720"/>
        <w:rPr>
          <w:color w:val="000000" w:themeColor="text1"/>
        </w:rPr>
      </w:pPr>
      <w:r w:rsidRPr="000D7205">
        <w:rPr>
          <w:color w:val="000000" w:themeColor="text1"/>
        </w:rPr>
        <w:t>Second, the ETS also includes</w:t>
      </w:r>
      <w:r>
        <w:rPr>
          <w:color w:val="000000" w:themeColor="text1"/>
        </w:rPr>
        <w:t xml:space="preserve"> the</w:t>
      </w:r>
      <w:r w:rsidRPr="000D7205">
        <w:rPr>
          <w:color w:val="000000" w:themeColor="text1"/>
        </w:rPr>
        <w:t xml:space="preserve"> relatedness of teachers, which has not been measurable with existing work engagement measures. Namely, it considers teachers’ relationship with students’ and colleagues, which should not be ignored particularly </w:t>
      </w:r>
      <w:r w:rsidRPr="000D7205">
        <w:rPr>
          <w:color w:val="000000" w:themeColor="text1"/>
        </w:rPr>
        <w:lastRenderedPageBreak/>
        <w:t>when considering the complex and diverse influences of classroom and school climate on both teacher and student engagement (Klassen, Perry et al., 2012). For example, in Turkey, even in secondary schools, there tends to be one large staff room shared by all teachers. Therefore, they interact and form relationships with other teachers on a daily basis; it is sensible to expect that relatedness between colleagues would be a</w:t>
      </w:r>
      <w:r>
        <w:rPr>
          <w:color w:val="000000" w:themeColor="text1"/>
        </w:rPr>
        <w:t>n important</w:t>
      </w:r>
      <w:r w:rsidRPr="000D7205">
        <w:rPr>
          <w:color w:val="000000" w:themeColor="text1"/>
        </w:rPr>
        <w:t xml:space="preserve"> part of work engagement. Therefore, by using the ETS-TR, we can gain a new perspective on Turkish teachers’ engagement with robust findings that include the important, and previously under-recognised, influences of their social context.</w:t>
      </w:r>
    </w:p>
    <w:p w14:paraId="01BD232D" w14:textId="77777777" w:rsidR="00E87700" w:rsidRPr="000D7205" w:rsidRDefault="00E87700" w:rsidP="00E87700">
      <w:pPr>
        <w:spacing w:before="240" w:line="360" w:lineRule="auto"/>
        <w:jc w:val="both"/>
        <w:rPr>
          <w:b/>
          <w:i/>
          <w:color w:val="000000" w:themeColor="text1"/>
        </w:rPr>
      </w:pPr>
      <w:r w:rsidRPr="000D7205">
        <w:rPr>
          <w:b/>
          <w:i/>
          <w:color w:val="000000" w:themeColor="text1"/>
        </w:rPr>
        <w:t>Turkish Teachers’ Self-Efficacy</w:t>
      </w:r>
    </w:p>
    <w:p w14:paraId="4FFB2959" w14:textId="77777777" w:rsidR="00E87700" w:rsidRPr="000D7205" w:rsidRDefault="00E87700" w:rsidP="00E87700">
      <w:pPr>
        <w:widowControl w:val="0"/>
        <w:autoSpaceDE w:val="0"/>
        <w:autoSpaceDN w:val="0"/>
        <w:adjustRightInd w:val="0"/>
        <w:spacing w:before="240" w:line="360" w:lineRule="auto"/>
        <w:rPr>
          <w:color w:val="000000" w:themeColor="text1"/>
        </w:rPr>
      </w:pPr>
      <w:r>
        <w:rPr>
          <w:color w:val="000000" w:themeColor="text1"/>
        </w:rPr>
        <w:tab/>
      </w:r>
      <w:r w:rsidRPr="000D7205">
        <w:rPr>
          <w:color w:val="000000" w:themeColor="text1"/>
        </w:rPr>
        <w:t xml:space="preserve">To provide evidence for the convergent validity of ETS-TR, we looked for the previously established positive relationship between teachers’ engagement and self-efficacy (Llorens, Schaufeli, Bakker, &amp; Salanova, 2007; </w:t>
      </w:r>
      <w:r w:rsidRPr="000D7205">
        <w:rPr>
          <w:color w:val="000000" w:themeColor="text1"/>
          <w:shd w:val="clear" w:color="auto" w:fill="FFFFFF"/>
        </w:rPr>
        <w:t>Simbula, Guglielmi, &amp; Schaufeli, 2011;</w:t>
      </w:r>
      <w:r w:rsidRPr="000D7205">
        <w:rPr>
          <w:color w:val="000000" w:themeColor="text1"/>
        </w:rPr>
        <w:t xml:space="preserve"> Skaalvik &amp; Skaalvik, 2014). Results from multiple linear regression analyses revealed efficacy for classroom management was strongly related to emotional engagement and social engagement with both students and colleagues. This is not surprising given that classroom management is a social issue within a classroom and has been tied to emotions. For example, in validating the Teacher Emotions Scale, Frenzel et al. (2016) found that attending to the social context (e.g., current class of students) when asking questions on enjoyment, anger and anxiety was a meaningful way to measure teachers’ emotional experiences. Overall, our findings indicated that teachers who are engaged in their work reported a higher level of confidence in preventing disruptive behaviors and controlling unexpected events in the classroom. </w:t>
      </w:r>
    </w:p>
    <w:p w14:paraId="716E176B" w14:textId="77777777" w:rsidR="00E87700" w:rsidRPr="000D7205" w:rsidRDefault="00E87700" w:rsidP="00E87700">
      <w:pPr>
        <w:widowControl w:val="0"/>
        <w:autoSpaceDE w:val="0"/>
        <w:autoSpaceDN w:val="0"/>
        <w:adjustRightInd w:val="0"/>
        <w:spacing w:before="240" w:line="360" w:lineRule="auto"/>
        <w:rPr>
          <w:color w:val="000000" w:themeColor="text1"/>
        </w:rPr>
      </w:pPr>
      <w:r>
        <w:rPr>
          <w:color w:val="000000" w:themeColor="text1"/>
        </w:rPr>
        <w:tab/>
      </w:r>
      <w:r w:rsidRPr="000D7205">
        <w:rPr>
          <w:color w:val="000000" w:themeColor="text1"/>
        </w:rPr>
        <w:t xml:space="preserve">In terms of the social dimensions of engagement, our study suggests that teachers who report higher levels of confidence for engaging all students to participate were more likely to report a higher level of engagement for social interactions with students and colleagues. This may be a bidirectional relationship since the feedback (e.g., verbal persuasion; Bandura, 1997) that teachers may be receiving through social engagement may be an important source of high efficacy with respect to student engagement. Additionally, we found that teachers who had a higher level of concentration while teaching and a higher level of effort for successful teaching were more likely to score highly on using variety of instructional strategies in their teaching process. Our findings suggest that teacher engagement and self-efficacy are distinct but </w:t>
      </w:r>
      <w:r w:rsidRPr="000D7205">
        <w:rPr>
          <w:color w:val="000000" w:themeColor="text1"/>
        </w:rPr>
        <w:lastRenderedPageBreak/>
        <w:t xml:space="preserve">related constructs, as predicted in previous theoretical and empirical work. </w:t>
      </w:r>
    </w:p>
    <w:p w14:paraId="27855DC8" w14:textId="77777777" w:rsidR="00E87700" w:rsidRPr="000D7205" w:rsidRDefault="00E87700" w:rsidP="00E87700">
      <w:pPr>
        <w:widowControl w:val="0"/>
        <w:autoSpaceDE w:val="0"/>
        <w:autoSpaceDN w:val="0"/>
        <w:adjustRightInd w:val="0"/>
        <w:spacing w:before="240" w:line="360" w:lineRule="auto"/>
        <w:rPr>
          <w:b/>
          <w:color w:val="000000" w:themeColor="text1"/>
        </w:rPr>
      </w:pPr>
      <w:r w:rsidRPr="000D7205">
        <w:rPr>
          <w:b/>
          <w:color w:val="000000" w:themeColor="text1"/>
        </w:rPr>
        <w:t xml:space="preserve">Limitations and Future Research </w:t>
      </w:r>
    </w:p>
    <w:p w14:paraId="426B8983" w14:textId="77777777" w:rsidR="00E87700" w:rsidRPr="000D7205" w:rsidRDefault="00E87700" w:rsidP="00E87700">
      <w:pPr>
        <w:widowControl w:val="0"/>
        <w:autoSpaceDE w:val="0"/>
        <w:autoSpaceDN w:val="0"/>
        <w:adjustRightInd w:val="0"/>
        <w:spacing w:before="240" w:line="360" w:lineRule="auto"/>
        <w:rPr>
          <w:color w:val="000000" w:themeColor="text1"/>
        </w:rPr>
      </w:pPr>
      <w:r>
        <w:rPr>
          <w:color w:val="000000" w:themeColor="text1"/>
        </w:rPr>
        <w:tab/>
      </w:r>
      <w:r w:rsidRPr="00014D8B">
        <w:rPr>
          <w:color w:val="000000" w:themeColor="text1"/>
        </w:rPr>
        <w:t xml:space="preserve">Similar to the English version of the ETS, we found strong psychometric properties of the ETS-TR along with some clear limitations. The participants were all working in two cities in Turkey, and were largely from middle school settings, and thus the sample offers only limited representativeness to other populations. That said, the ETS-TR now provides an avenue for researchers to begin conducting cross-country comparisons. We were not </w:t>
      </w:r>
      <w:r w:rsidRPr="000D7205">
        <w:rPr>
          <w:color w:val="000000" w:themeColor="text1"/>
        </w:rPr>
        <w:t xml:space="preserve">able to test the hierarchical nature of our data due to a limitation in identifying teachers’ schools. </w:t>
      </w:r>
      <w:r>
        <w:rPr>
          <w:color w:val="000000" w:themeColor="text1"/>
        </w:rPr>
        <w:t>F</w:t>
      </w:r>
      <w:r w:rsidRPr="000D7205">
        <w:rPr>
          <w:color w:val="000000" w:themeColor="text1"/>
        </w:rPr>
        <w:t xml:space="preserve">uture research would benefit from exploring teacher engagement as nested within schools and use multilevel analysis methods, particularly given the relationships found between collective efficacy and engagement. The data were collected at one time point and as a result do not take into account how engagement can fluctuate over time (e.g., Bakker &amp; Bal, 2010). Since indications of convergent validity were limited by the chosen research design, future research with the ETS-TR would benefit from the inclusion of an objective measure such as the Classroom Assessment Scoring System (CLASS; Pianta &amp; Hamre, 2009). The CLASS measures social and emotional components of teacher-student interactions which indeed may reveal an influence on teacher engagement – and specifically the social and emotional dimensions revealed through the ETS-TR. </w:t>
      </w:r>
    </w:p>
    <w:p w14:paraId="328747D9" w14:textId="77777777" w:rsidR="00E87700" w:rsidRPr="004C3100" w:rsidRDefault="00E87700" w:rsidP="00E87700">
      <w:pPr>
        <w:widowControl w:val="0"/>
        <w:autoSpaceDE w:val="0"/>
        <w:autoSpaceDN w:val="0"/>
        <w:adjustRightInd w:val="0"/>
        <w:spacing w:before="240" w:line="360" w:lineRule="auto"/>
        <w:rPr>
          <w:b/>
          <w:color w:val="000000" w:themeColor="text1"/>
        </w:rPr>
      </w:pPr>
      <w:r w:rsidRPr="004C3100">
        <w:rPr>
          <w:b/>
          <w:color w:val="000000" w:themeColor="text1"/>
        </w:rPr>
        <w:t>Implications and Conclusions</w:t>
      </w:r>
    </w:p>
    <w:p w14:paraId="7F1958DF" w14:textId="6DF4B8EE" w:rsidR="004C3100" w:rsidRPr="00CC20EA" w:rsidRDefault="00E87700" w:rsidP="00E87700">
      <w:pPr>
        <w:spacing w:before="240" w:line="360" w:lineRule="auto"/>
        <w:rPr>
          <w:color w:val="FF0000"/>
        </w:rPr>
      </w:pPr>
      <w:r>
        <w:rPr>
          <w:color w:val="000000" w:themeColor="text1"/>
        </w:rPr>
        <w:tab/>
      </w:r>
      <w:r w:rsidRPr="00014D8B">
        <w:rPr>
          <w:color w:val="000000" w:themeColor="text1"/>
        </w:rPr>
        <w:t>Understanding teacher engagement is an important step in improving teachers’ motivation and job satisfaction, and ultimately, a key step in improving educational outcomes for students. Engaged teachers are effective teachers (OECD, 2005), and if we can accurately measure teachers’ engagement, we can begin to understand the effects of teaching conditions and policies (and policy changes) on teacher e</w:t>
      </w:r>
      <w:r w:rsidR="0068741F">
        <w:rPr>
          <w:color w:val="000000" w:themeColor="text1"/>
        </w:rPr>
        <w:t>ngagement and effectiveness. Thus,</w:t>
      </w:r>
      <w:r w:rsidR="00DF7913">
        <w:rPr>
          <w:color w:val="000000" w:themeColor="text1"/>
        </w:rPr>
        <w:t xml:space="preserve"> the</w:t>
      </w:r>
      <w:r w:rsidRPr="00014D8B">
        <w:rPr>
          <w:color w:val="000000" w:themeColor="text1"/>
        </w:rPr>
        <w:t xml:space="preserve"> ETS-TR can be used for research and in practice to evaluate levels of teacher engagement. </w:t>
      </w:r>
      <w:r w:rsidR="0068741F">
        <w:rPr>
          <w:color w:val="FF0000"/>
        </w:rPr>
        <w:t>Since</w:t>
      </w:r>
      <w:r w:rsidR="00DF7913">
        <w:rPr>
          <w:color w:val="FF0000"/>
        </w:rPr>
        <w:t xml:space="preserve"> the</w:t>
      </w:r>
      <w:r w:rsidR="0068741F">
        <w:rPr>
          <w:color w:val="FF0000"/>
        </w:rPr>
        <w:t xml:space="preserve"> </w:t>
      </w:r>
      <w:r w:rsidR="0068741F" w:rsidRPr="0068741F">
        <w:rPr>
          <w:color w:val="FF0000"/>
        </w:rPr>
        <w:t xml:space="preserve">ETS-TR </w:t>
      </w:r>
      <w:r w:rsidR="0068741F">
        <w:rPr>
          <w:color w:val="FF0000"/>
        </w:rPr>
        <w:t>has</w:t>
      </w:r>
      <w:r w:rsidR="004C3100" w:rsidRPr="0068741F">
        <w:rPr>
          <w:color w:val="FF0000"/>
        </w:rPr>
        <w:t xml:space="preserve"> </w:t>
      </w:r>
      <w:r w:rsidR="00DF7913">
        <w:rPr>
          <w:color w:val="FF0000"/>
        </w:rPr>
        <w:t>strong</w:t>
      </w:r>
      <w:r w:rsidR="0068741F" w:rsidRPr="0068741F">
        <w:rPr>
          <w:color w:val="FF0000"/>
        </w:rPr>
        <w:t xml:space="preserve"> validity and reliability, it will be possible to obtain more </w:t>
      </w:r>
      <w:r w:rsidR="0068741F">
        <w:rPr>
          <w:color w:val="FF0000"/>
        </w:rPr>
        <w:t>accurate information about how teachers engage in teaching</w:t>
      </w:r>
      <w:r w:rsidR="00DF7913">
        <w:rPr>
          <w:color w:val="FF0000"/>
        </w:rPr>
        <w:t>,</w:t>
      </w:r>
      <w:r w:rsidR="0068741F">
        <w:rPr>
          <w:color w:val="FF0000"/>
        </w:rPr>
        <w:t xml:space="preserve"> which in turn contribute</w:t>
      </w:r>
      <w:r w:rsidR="00DF7913">
        <w:rPr>
          <w:color w:val="FF0000"/>
        </w:rPr>
        <w:t>s</w:t>
      </w:r>
      <w:r w:rsidR="0068741F">
        <w:rPr>
          <w:color w:val="FF0000"/>
        </w:rPr>
        <w:t xml:space="preserve"> to our understanding about Turkish teachers’ occupational motivation. </w:t>
      </w:r>
      <w:r w:rsidR="00330A31" w:rsidRPr="00014D8B">
        <w:rPr>
          <w:color w:val="000000" w:themeColor="text1"/>
        </w:rPr>
        <w:t>A key feature of the measure is that it can</w:t>
      </w:r>
      <w:r w:rsidR="00DF7913">
        <w:rPr>
          <w:color w:val="000000" w:themeColor="text1"/>
        </w:rPr>
        <w:t xml:space="preserve"> not only</w:t>
      </w:r>
      <w:r w:rsidR="00330A31" w:rsidRPr="00014D8B">
        <w:rPr>
          <w:color w:val="000000" w:themeColor="text1"/>
        </w:rPr>
        <w:t xml:space="preserve"> be used to evaluate broad teacher engagement, </w:t>
      </w:r>
      <w:r w:rsidR="00DF7913">
        <w:rPr>
          <w:color w:val="000000" w:themeColor="text1"/>
        </w:rPr>
        <w:t>but also</w:t>
      </w:r>
      <w:r w:rsidR="00330A31" w:rsidRPr="00014D8B">
        <w:rPr>
          <w:color w:val="000000" w:themeColor="text1"/>
        </w:rPr>
        <w:t xml:space="preserve"> to assess individual facets of engagement, </w:t>
      </w:r>
      <w:r w:rsidR="00330A31" w:rsidRPr="00014D8B">
        <w:rPr>
          <w:color w:val="000000" w:themeColor="text1"/>
        </w:rPr>
        <w:lastRenderedPageBreak/>
        <w:t xml:space="preserve">making it a useful measure for a wide range of circumstances. </w:t>
      </w:r>
      <w:r w:rsidR="00330A31">
        <w:rPr>
          <w:color w:val="FF0000"/>
        </w:rPr>
        <w:t xml:space="preserve">The </w:t>
      </w:r>
      <w:r w:rsidR="0068741F">
        <w:rPr>
          <w:color w:val="FF0000"/>
        </w:rPr>
        <w:t xml:space="preserve">ETS-TR </w:t>
      </w:r>
      <w:r w:rsidR="00DF7913">
        <w:rPr>
          <w:color w:val="FF0000"/>
        </w:rPr>
        <w:t xml:space="preserve">can </w:t>
      </w:r>
      <w:r w:rsidR="0068741F">
        <w:rPr>
          <w:color w:val="FF0000"/>
        </w:rPr>
        <w:t>provide</w:t>
      </w:r>
      <w:r w:rsidR="00DF7913">
        <w:rPr>
          <w:color w:val="FF0000"/>
        </w:rPr>
        <w:t xml:space="preserve"> valuable</w:t>
      </w:r>
      <w:r w:rsidR="0068741F">
        <w:rPr>
          <w:color w:val="FF0000"/>
        </w:rPr>
        <w:t xml:space="preserve"> information about teacher relatedness with student</w:t>
      </w:r>
      <w:r w:rsidR="00DF7913">
        <w:rPr>
          <w:color w:val="FF0000"/>
        </w:rPr>
        <w:t>s</w:t>
      </w:r>
      <w:r w:rsidR="0068741F">
        <w:rPr>
          <w:color w:val="FF0000"/>
        </w:rPr>
        <w:t xml:space="preserve"> and colleagues, which has been ignored </w:t>
      </w:r>
      <w:r w:rsidR="00D9234E">
        <w:rPr>
          <w:color w:val="FF0000"/>
        </w:rPr>
        <w:t xml:space="preserve">in </w:t>
      </w:r>
      <w:r w:rsidR="0068741F">
        <w:rPr>
          <w:color w:val="FF0000"/>
        </w:rPr>
        <w:t>existing teacher engagement research in Turkey</w:t>
      </w:r>
      <w:r w:rsidR="00DF7913">
        <w:rPr>
          <w:color w:val="FF0000"/>
        </w:rPr>
        <w:t xml:space="preserve"> (and in many other countries)</w:t>
      </w:r>
      <w:r w:rsidR="0068741F">
        <w:rPr>
          <w:color w:val="FF0000"/>
        </w:rPr>
        <w:t>, as previous work engagement scales have not focused on this aspect of teaching.</w:t>
      </w:r>
      <w:r w:rsidRPr="00014D8B">
        <w:rPr>
          <w:color w:val="000000" w:themeColor="text1"/>
        </w:rPr>
        <w:t xml:space="preserve"> </w:t>
      </w:r>
      <w:r w:rsidR="00DF7913">
        <w:rPr>
          <w:color w:val="000000" w:themeColor="text1"/>
        </w:rPr>
        <w:t xml:space="preserve">One possible use of the scale is for education authorities to </w:t>
      </w:r>
      <w:r w:rsidR="00CC20EA">
        <w:rPr>
          <w:color w:val="FF0000"/>
        </w:rPr>
        <w:t xml:space="preserve">consider </w:t>
      </w:r>
      <w:r w:rsidR="00B05294">
        <w:rPr>
          <w:color w:val="FF0000"/>
        </w:rPr>
        <w:t>how within-school relations influence teacher outcomes,</w:t>
      </w:r>
      <w:r w:rsidR="00756561">
        <w:rPr>
          <w:color w:val="FF0000"/>
        </w:rPr>
        <w:t xml:space="preserve"> </w:t>
      </w:r>
      <w:r w:rsidR="00B05294">
        <w:rPr>
          <w:color w:val="FF0000"/>
        </w:rPr>
        <w:t>and offer</w:t>
      </w:r>
      <w:r w:rsidR="00756561">
        <w:rPr>
          <w:color w:val="FF0000"/>
        </w:rPr>
        <w:t xml:space="preserve"> professional development programs for teachers</w:t>
      </w:r>
      <w:r w:rsidR="00B05294">
        <w:rPr>
          <w:color w:val="FF0000"/>
        </w:rPr>
        <w:t xml:space="preserve"> based on improving social relations</w:t>
      </w:r>
      <w:r w:rsidR="00756561">
        <w:rPr>
          <w:color w:val="FF0000"/>
        </w:rPr>
        <w:t xml:space="preserve">. </w:t>
      </w:r>
      <w:r w:rsidR="00B05294">
        <w:rPr>
          <w:color w:val="FF0000"/>
        </w:rPr>
        <w:t>In Turkey, as in many countries, more</w:t>
      </w:r>
      <w:r w:rsidR="00CC20EA">
        <w:rPr>
          <w:color w:val="FF0000"/>
        </w:rPr>
        <w:t xml:space="preserve"> work can be done on </w:t>
      </w:r>
      <w:r w:rsidR="00EB551C">
        <w:rPr>
          <w:color w:val="FF0000"/>
        </w:rPr>
        <w:t xml:space="preserve">improving the quality of </w:t>
      </w:r>
      <w:r w:rsidR="00CC20EA">
        <w:rPr>
          <w:color w:val="FF0000"/>
        </w:rPr>
        <w:t>teachers’ rela</w:t>
      </w:r>
      <w:r w:rsidR="00EB551C">
        <w:rPr>
          <w:color w:val="FF0000"/>
        </w:rPr>
        <w:t xml:space="preserve">tionships with their colleagues. </w:t>
      </w:r>
      <w:r w:rsidR="00756561">
        <w:rPr>
          <w:color w:val="FF0000"/>
        </w:rPr>
        <w:t xml:space="preserve">With this </w:t>
      </w:r>
      <w:r w:rsidR="00B05294">
        <w:rPr>
          <w:color w:val="FF0000"/>
        </w:rPr>
        <w:t>newly validated scale</w:t>
      </w:r>
      <w:r w:rsidR="00756561">
        <w:rPr>
          <w:color w:val="FF0000"/>
        </w:rPr>
        <w:t>,</w:t>
      </w:r>
      <w:r w:rsidR="00CC20EA">
        <w:rPr>
          <w:color w:val="FF0000"/>
        </w:rPr>
        <w:t xml:space="preserve"> </w:t>
      </w:r>
      <w:r w:rsidR="00B05294">
        <w:rPr>
          <w:color w:val="FF0000"/>
        </w:rPr>
        <w:t xml:space="preserve">the relationship between specific facets of </w:t>
      </w:r>
      <w:r w:rsidR="00756561">
        <w:rPr>
          <w:color w:val="FF0000"/>
        </w:rPr>
        <w:t>teacher engagement</w:t>
      </w:r>
      <w:r w:rsidR="00B05294">
        <w:rPr>
          <w:color w:val="FF0000"/>
        </w:rPr>
        <w:t xml:space="preserve"> and student engagement</w:t>
      </w:r>
      <w:r w:rsidR="00756561">
        <w:rPr>
          <w:color w:val="FF0000"/>
        </w:rPr>
        <w:t xml:space="preserve"> </w:t>
      </w:r>
      <w:r w:rsidR="00CC20EA">
        <w:rPr>
          <w:color w:val="FF0000"/>
        </w:rPr>
        <w:t>could be determined</w:t>
      </w:r>
      <w:r w:rsidR="00B05294">
        <w:rPr>
          <w:color w:val="FF0000"/>
        </w:rPr>
        <w:t xml:space="preserve"> more accurately, thus providing avenues for interventions. The</w:t>
      </w:r>
      <w:r w:rsidR="00CC20EA">
        <w:rPr>
          <w:color w:val="FF0000"/>
        </w:rPr>
        <w:t xml:space="preserve"> ETS-TR also </w:t>
      </w:r>
      <w:r w:rsidR="00B05294">
        <w:rPr>
          <w:color w:val="FF0000"/>
        </w:rPr>
        <w:t xml:space="preserve">has the </w:t>
      </w:r>
      <w:r w:rsidR="00CC20EA">
        <w:rPr>
          <w:color w:val="FF0000"/>
        </w:rPr>
        <w:t xml:space="preserve">potential for making international comparisons of teacher engagement, which may shed light on our understanding of whether cultural differences influence </w:t>
      </w:r>
      <w:r w:rsidR="00B05294">
        <w:rPr>
          <w:color w:val="FF0000"/>
        </w:rPr>
        <w:t xml:space="preserve">the facets of </w:t>
      </w:r>
      <w:r w:rsidR="00CC20EA">
        <w:rPr>
          <w:color w:val="FF0000"/>
        </w:rPr>
        <w:t xml:space="preserve">teacher engagement. </w:t>
      </w:r>
      <w:r w:rsidR="00B05294">
        <w:rPr>
          <w:color w:val="FF0000"/>
        </w:rPr>
        <w:t xml:space="preserve">The </w:t>
      </w:r>
      <w:r w:rsidR="00EB551C">
        <w:rPr>
          <w:color w:val="FF0000"/>
        </w:rPr>
        <w:t>ETS-</w:t>
      </w:r>
      <w:r w:rsidR="00B05294">
        <w:rPr>
          <w:color w:val="FF0000"/>
        </w:rPr>
        <w:t>TR</w:t>
      </w:r>
      <w:r w:rsidR="00EB551C">
        <w:rPr>
          <w:color w:val="FF0000"/>
        </w:rPr>
        <w:t xml:space="preserve"> may also serve as </w:t>
      </w:r>
      <w:r w:rsidR="00B05294">
        <w:rPr>
          <w:color w:val="FF0000"/>
        </w:rPr>
        <w:t>an</w:t>
      </w:r>
      <w:r w:rsidR="00EB551C">
        <w:rPr>
          <w:color w:val="FF0000"/>
        </w:rPr>
        <w:t xml:space="preserve"> important tool for </w:t>
      </w:r>
      <w:r w:rsidR="00B05294">
        <w:rPr>
          <w:color w:val="FF0000"/>
        </w:rPr>
        <w:t xml:space="preserve">gaining information on </w:t>
      </w:r>
      <w:r w:rsidR="00EB551C">
        <w:rPr>
          <w:color w:val="FF0000"/>
        </w:rPr>
        <w:t>teachers’ non</w:t>
      </w:r>
      <w:r w:rsidR="00B05294">
        <w:rPr>
          <w:color w:val="FF0000"/>
        </w:rPr>
        <w:t>-</w:t>
      </w:r>
      <w:r w:rsidR="00EB551C">
        <w:rPr>
          <w:color w:val="FF0000"/>
        </w:rPr>
        <w:t xml:space="preserve">cognitive </w:t>
      </w:r>
      <w:r w:rsidR="00B05294">
        <w:rPr>
          <w:color w:val="FF0000"/>
        </w:rPr>
        <w:t xml:space="preserve">profiles </w:t>
      </w:r>
      <w:r w:rsidR="00EB551C">
        <w:rPr>
          <w:color w:val="FF0000"/>
        </w:rPr>
        <w:t>during</w:t>
      </w:r>
      <w:r w:rsidR="00B05294">
        <w:rPr>
          <w:color w:val="FF0000"/>
        </w:rPr>
        <w:t xml:space="preserve"> the</w:t>
      </w:r>
      <w:r w:rsidR="00EB551C">
        <w:rPr>
          <w:color w:val="FF0000"/>
        </w:rPr>
        <w:t xml:space="preserve"> teacher hiring processes.</w:t>
      </w:r>
    </w:p>
    <w:p w14:paraId="39E44C6B" w14:textId="77777777" w:rsidR="00E87700" w:rsidRPr="000D7205" w:rsidRDefault="00E87700" w:rsidP="00E87700">
      <w:pPr>
        <w:spacing w:before="240" w:line="360" w:lineRule="auto"/>
        <w:rPr>
          <w:color w:val="000000" w:themeColor="text1"/>
        </w:rPr>
      </w:pPr>
      <w:r>
        <w:rPr>
          <w:color w:val="000000" w:themeColor="text1"/>
        </w:rPr>
        <w:tab/>
      </w:r>
      <w:r w:rsidRPr="00014D8B">
        <w:rPr>
          <w:color w:val="000000" w:themeColor="text1"/>
        </w:rPr>
        <w:t xml:space="preserve">In conclusion, our </w:t>
      </w:r>
      <w:r w:rsidRPr="000D7205">
        <w:rPr>
          <w:color w:val="000000" w:themeColor="text1"/>
        </w:rPr>
        <w:t xml:space="preserve">findings provide support for the validity and reliability of the ETS-TR, paving the way for future use to assess Turkish teachers’ work engagement. There is a clear need for more studies to examine the validity of ETS-TR with more diverse samples. It was not surprising to find that our results support social engagement (with students and colleagues) given the collectivist culture of Turkey. By highlighting the role of relationships with students and colleagues as an important component of teacher engagement, we consider the ETS-TR to be a valid and holistic measure that can help capture the complex work life of teachers in a large and diverse country spanning Europe and Asia. Overall, we expect that this adapted scale can help researchers contribute to our understanding of Turkish teachers’ engagement and provide opportunities for further understanding of this important topic. </w:t>
      </w:r>
    </w:p>
    <w:p w14:paraId="065471D4" w14:textId="77777777" w:rsidR="00E87700" w:rsidRPr="000D7205" w:rsidRDefault="00E87700" w:rsidP="00E87700">
      <w:pPr>
        <w:spacing w:before="240" w:line="360" w:lineRule="auto"/>
        <w:rPr>
          <w:b/>
          <w:color w:val="000000" w:themeColor="text1"/>
        </w:rPr>
      </w:pPr>
      <w:r w:rsidRPr="000D7205">
        <w:rPr>
          <w:b/>
          <w:color w:val="000000" w:themeColor="text1"/>
        </w:rPr>
        <w:t>References</w:t>
      </w:r>
    </w:p>
    <w:p w14:paraId="709F7408" w14:textId="77777777" w:rsidR="00E87700" w:rsidRPr="00014D8B" w:rsidRDefault="00E87700" w:rsidP="00E87700">
      <w:pPr>
        <w:spacing w:line="360" w:lineRule="auto"/>
        <w:ind w:left="720" w:hanging="720"/>
        <w:rPr>
          <w:color w:val="000000" w:themeColor="text1"/>
          <w:shd w:val="clear" w:color="auto" w:fill="FFFFFF"/>
        </w:rPr>
      </w:pPr>
      <w:r w:rsidRPr="00014D8B">
        <w:rPr>
          <w:color w:val="000000" w:themeColor="text1"/>
          <w:shd w:val="clear" w:color="auto" w:fill="FFFFFF"/>
        </w:rPr>
        <w:t xml:space="preserve">Akman, Y., &amp; İmamoğlu Akman, G. (2017). </w:t>
      </w:r>
      <w:r w:rsidRPr="00014D8B">
        <w:rPr>
          <w:color w:val="000000" w:themeColor="text1"/>
        </w:rPr>
        <w:t xml:space="preserve">The effect of the perception of primary school teachers’ quality of work life on work engagement. </w:t>
      </w:r>
      <w:r w:rsidRPr="00014D8B">
        <w:rPr>
          <w:i/>
          <w:color w:val="000000" w:themeColor="text1"/>
        </w:rPr>
        <w:t xml:space="preserve">Elementary Education </w:t>
      </w:r>
      <w:r w:rsidRPr="00014D8B">
        <w:rPr>
          <w:i/>
          <w:iCs/>
          <w:color w:val="000000" w:themeColor="text1"/>
          <w:shd w:val="clear" w:color="auto" w:fill="FFFFFF"/>
        </w:rPr>
        <w:t>Online</w:t>
      </w:r>
      <w:r w:rsidRPr="00014D8B">
        <w:rPr>
          <w:i/>
          <w:color w:val="000000" w:themeColor="text1"/>
          <w:shd w:val="clear" w:color="auto" w:fill="FFFFFF"/>
        </w:rPr>
        <w:t>, </w:t>
      </w:r>
      <w:r w:rsidRPr="00014D8B">
        <w:rPr>
          <w:i/>
          <w:iCs/>
          <w:color w:val="000000" w:themeColor="text1"/>
          <w:shd w:val="clear" w:color="auto" w:fill="FFFFFF"/>
        </w:rPr>
        <w:t>16</w:t>
      </w:r>
      <w:r w:rsidRPr="00014D8B">
        <w:rPr>
          <w:color w:val="000000" w:themeColor="text1"/>
          <w:shd w:val="clear" w:color="auto" w:fill="FFFFFF"/>
        </w:rPr>
        <w:t>(4), 1491-1504.</w:t>
      </w:r>
    </w:p>
    <w:p w14:paraId="30334294" w14:textId="77777777" w:rsidR="00E87700" w:rsidRPr="00014D8B" w:rsidRDefault="00E87700" w:rsidP="00E87700">
      <w:pPr>
        <w:spacing w:line="360" w:lineRule="auto"/>
        <w:ind w:left="720" w:hanging="720"/>
        <w:rPr>
          <w:color w:val="000000" w:themeColor="text1"/>
        </w:rPr>
      </w:pPr>
      <w:r w:rsidRPr="00014D8B">
        <w:rPr>
          <w:color w:val="000000" w:themeColor="text1"/>
        </w:rPr>
        <w:t xml:space="preserve">Bal, E. A. (2008). </w:t>
      </w:r>
      <w:r w:rsidRPr="00014D8B">
        <w:rPr>
          <w:i/>
          <w:color w:val="000000" w:themeColor="text1"/>
        </w:rPr>
        <w:t>Self-Efficacy, Contextual factors and well-being: the impact of work engagement. Unpublished dissertation.</w:t>
      </w:r>
      <w:r w:rsidRPr="00014D8B">
        <w:rPr>
          <w:color w:val="000000" w:themeColor="text1"/>
        </w:rPr>
        <w:t xml:space="preserve"> Marmara University, Institute of Social Sciences, Istanbul, Turkey.</w:t>
      </w:r>
    </w:p>
    <w:p w14:paraId="398E025B" w14:textId="77777777" w:rsidR="00E87700" w:rsidRPr="000D7205" w:rsidRDefault="00E87700" w:rsidP="00E87700">
      <w:pPr>
        <w:spacing w:line="360" w:lineRule="auto"/>
        <w:ind w:left="567" w:hanging="567"/>
        <w:rPr>
          <w:color w:val="000000" w:themeColor="text1"/>
        </w:rPr>
      </w:pPr>
      <w:r w:rsidRPr="000D7205">
        <w:rPr>
          <w:color w:val="000000" w:themeColor="text1"/>
        </w:rPr>
        <w:lastRenderedPageBreak/>
        <w:t xml:space="preserve">Bandura, A. (1997). </w:t>
      </w:r>
      <w:r w:rsidRPr="000D7205">
        <w:rPr>
          <w:i/>
          <w:iCs/>
          <w:color w:val="000000" w:themeColor="text1"/>
        </w:rPr>
        <w:t>Self-efficacy: The exercise of control</w:t>
      </w:r>
      <w:r w:rsidRPr="000D7205">
        <w:rPr>
          <w:color w:val="000000" w:themeColor="text1"/>
        </w:rPr>
        <w:t xml:space="preserve">. New York: W.H. Freeman. </w:t>
      </w:r>
    </w:p>
    <w:p w14:paraId="17FD27B1" w14:textId="77777777" w:rsidR="00E87700" w:rsidRPr="000D7205" w:rsidRDefault="00E87700" w:rsidP="00E87700">
      <w:pPr>
        <w:spacing w:line="360" w:lineRule="auto"/>
        <w:ind w:left="567" w:hanging="567"/>
        <w:rPr>
          <w:color w:val="000000" w:themeColor="text1"/>
          <w:shd w:val="clear" w:color="auto" w:fill="FFFFFF"/>
        </w:rPr>
      </w:pPr>
      <w:r w:rsidRPr="000D7205">
        <w:rPr>
          <w:color w:val="000000" w:themeColor="text1"/>
        </w:rPr>
        <w:t>Bakker, A. B., &amp; Bal, P. M. (2010). Weekly work engagement and performance: A study among starting teachers. Journal of Occupational and Organizational Psychology, 83(11), 189–206</w:t>
      </w:r>
    </w:p>
    <w:p w14:paraId="65E8617A" w14:textId="77777777" w:rsidR="00E87700" w:rsidRPr="000D7205" w:rsidRDefault="00E87700" w:rsidP="00E87700">
      <w:pPr>
        <w:spacing w:line="360" w:lineRule="auto"/>
        <w:ind w:left="567" w:hanging="567"/>
        <w:rPr>
          <w:color w:val="000000" w:themeColor="text1"/>
          <w:shd w:val="clear" w:color="auto" w:fill="FFFFFF"/>
        </w:rPr>
      </w:pPr>
      <w:r w:rsidRPr="000D7205">
        <w:rPr>
          <w:color w:val="000000" w:themeColor="text1"/>
          <w:shd w:val="clear" w:color="auto" w:fill="FFFFFF"/>
        </w:rPr>
        <w:t>Bakker, A. B., Schaufeli, W. B., Leiter, M. P., &amp; Taris, T. W. (2008). Work engagement: An emerging concept in occupational health psychology.</w:t>
      </w:r>
      <w:r w:rsidRPr="000D7205">
        <w:rPr>
          <w:rStyle w:val="apple-converted-space"/>
          <w:color w:val="000000" w:themeColor="text1"/>
          <w:shd w:val="clear" w:color="auto" w:fill="FFFFFF"/>
        </w:rPr>
        <w:t> </w:t>
      </w:r>
      <w:r w:rsidRPr="000D7205">
        <w:rPr>
          <w:i/>
          <w:iCs/>
          <w:color w:val="000000" w:themeColor="text1"/>
          <w:shd w:val="clear" w:color="auto" w:fill="FFFFFF"/>
        </w:rPr>
        <w:t>Work &amp; Stress</w:t>
      </w:r>
      <w:r w:rsidRPr="000D7205">
        <w:rPr>
          <w:i/>
          <w:color w:val="000000" w:themeColor="text1"/>
          <w:shd w:val="clear" w:color="auto" w:fill="FFFFFF"/>
        </w:rPr>
        <w:t>,</w:t>
      </w:r>
      <w:r w:rsidRPr="000D7205">
        <w:rPr>
          <w:rStyle w:val="apple-converted-space"/>
          <w:i/>
          <w:color w:val="000000" w:themeColor="text1"/>
          <w:shd w:val="clear" w:color="auto" w:fill="FFFFFF"/>
        </w:rPr>
        <w:t> </w:t>
      </w:r>
      <w:r w:rsidRPr="000D7205">
        <w:rPr>
          <w:i/>
          <w:iCs/>
          <w:color w:val="000000" w:themeColor="text1"/>
          <w:shd w:val="clear" w:color="auto" w:fill="FFFFFF"/>
        </w:rPr>
        <w:t>22</w:t>
      </w:r>
      <w:r w:rsidRPr="000D7205">
        <w:rPr>
          <w:i/>
          <w:color w:val="000000" w:themeColor="text1"/>
          <w:shd w:val="clear" w:color="auto" w:fill="FFFFFF"/>
        </w:rPr>
        <w:t>(</w:t>
      </w:r>
      <w:r w:rsidRPr="000D7205">
        <w:rPr>
          <w:color w:val="000000" w:themeColor="text1"/>
          <w:shd w:val="clear" w:color="auto" w:fill="FFFFFF"/>
        </w:rPr>
        <w:t>3), 187-200.</w:t>
      </w:r>
    </w:p>
    <w:p w14:paraId="1EF07DA8" w14:textId="77777777" w:rsidR="00E87700" w:rsidRPr="000D7205" w:rsidRDefault="00E87700" w:rsidP="00E87700">
      <w:pPr>
        <w:spacing w:line="360" w:lineRule="auto"/>
        <w:ind w:left="567" w:hanging="567"/>
        <w:rPr>
          <w:color w:val="000000" w:themeColor="text1"/>
          <w:shd w:val="clear" w:color="auto" w:fill="FFFFFF"/>
        </w:rPr>
      </w:pPr>
      <w:r w:rsidRPr="000D7205">
        <w:rPr>
          <w:color w:val="000000" w:themeColor="text1"/>
          <w:shd w:val="clear" w:color="auto" w:fill="FFFFFF"/>
        </w:rPr>
        <w:t>Beyazkurk, D., &amp; Kesner, J. E. (2005). Teacher-Child Relationships in Turkish and United States Schools: A Cross-Cultural Study.</w:t>
      </w:r>
      <w:r w:rsidRPr="000D7205">
        <w:rPr>
          <w:rStyle w:val="apple-converted-space"/>
          <w:color w:val="000000" w:themeColor="text1"/>
          <w:shd w:val="clear" w:color="auto" w:fill="FFFFFF"/>
        </w:rPr>
        <w:t> </w:t>
      </w:r>
      <w:r w:rsidRPr="000D7205">
        <w:rPr>
          <w:i/>
          <w:iCs/>
          <w:color w:val="000000" w:themeColor="text1"/>
          <w:shd w:val="clear" w:color="auto" w:fill="FFFFFF"/>
        </w:rPr>
        <w:t>International Education Journal</w:t>
      </w:r>
      <w:r w:rsidRPr="000D7205">
        <w:rPr>
          <w:color w:val="000000" w:themeColor="text1"/>
          <w:shd w:val="clear" w:color="auto" w:fill="FFFFFF"/>
        </w:rPr>
        <w:t>,</w:t>
      </w:r>
      <w:r w:rsidRPr="000D7205">
        <w:rPr>
          <w:rStyle w:val="apple-converted-space"/>
          <w:color w:val="000000" w:themeColor="text1"/>
          <w:shd w:val="clear" w:color="auto" w:fill="FFFFFF"/>
        </w:rPr>
        <w:t> </w:t>
      </w:r>
      <w:r w:rsidRPr="000D7205">
        <w:rPr>
          <w:i/>
          <w:iCs/>
          <w:color w:val="000000" w:themeColor="text1"/>
          <w:shd w:val="clear" w:color="auto" w:fill="FFFFFF"/>
        </w:rPr>
        <w:t>6</w:t>
      </w:r>
      <w:r w:rsidRPr="000D7205">
        <w:rPr>
          <w:color w:val="000000" w:themeColor="text1"/>
          <w:shd w:val="clear" w:color="auto" w:fill="FFFFFF"/>
        </w:rPr>
        <w:t>(5), 547-554.</w:t>
      </w:r>
    </w:p>
    <w:p w14:paraId="0B1164EF" w14:textId="77777777" w:rsidR="00E87700" w:rsidRPr="00014D8B" w:rsidRDefault="00E87700" w:rsidP="00E87700">
      <w:pPr>
        <w:spacing w:line="360" w:lineRule="auto"/>
        <w:ind w:left="567" w:hanging="567"/>
        <w:rPr>
          <w:color w:val="000000" w:themeColor="text1"/>
          <w:shd w:val="clear" w:color="auto" w:fill="FFFFFF"/>
        </w:rPr>
      </w:pPr>
      <w:r w:rsidRPr="00014D8B">
        <w:rPr>
          <w:color w:val="000000" w:themeColor="text1"/>
          <w:shd w:val="clear" w:color="auto" w:fill="FFFFFF"/>
        </w:rPr>
        <w:t>Çağrı San, B. &amp; Tok, T., N. (2017). The relationship between teachers' work engagement and organizational commitment. </w:t>
      </w:r>
      <w:r w:rsidRPr="00014D8B">
        <w:rPr>
          <w:i/>
          <w:iCs/>
          <w:color w:val="000000" w:themeColor="text1"/>
          <w:shd w:val="clear" w:color="auto" w:fill="FFFFFF"/>
        </w:rPr>
        <w:t>Pamukkale University Journal of Social Sciences Institute,</w:t>
      </w:r>
      <w:r w:rsidRPr="00014D8B">
        <w:rPr>
          <w:color w:val="000000" w:themeColor="text1"/>
          <w:shd w:val="clear" w:color="auto" w:fill="FFFFFF"/>
        </w:rPr>
        <w:t xml:space="preserve"> (26), 355-370.</w:t>
      </w:r>
    </w:p>
    <w:p w14:paraId="3559E291" w14:textId="77777777" w:rsidR="00E87700" w:rsidRPr="000D7205" w:rsidRDefault="00E87700" w:rsidP="00E87700">
      <w:pPr>
        <w:spacing w:line="360" w:lineRule="auto"/>
        <w:ind w:left="567" w:hanging="567"/>
        <w:rPr>
          <w:color w:val="000000" w:themeColor="text1"/>
        </w:rPr>
      </w:pPr>
      <w:r w:rsidRPr="000D7205">
        <w:rPr>
          <w:color w:val="000000" w:themeColor="text1"/>
        </w:rPr>
        <w:t xml:space="preserve">Çapa, Y., Çakıroğlu, J., &amp; Sarıkaya, H. (2005). The development and validation of a Turkish version of teachers’ sense of efficacy scale. </w:t>
      </w:r>
      <w:r w:rsidRPr="000D7205">
        <w:rPr>
          <w:i/>
          <w:iCs/>
          <w:color w:val="000000" w:themeColor="text1"/>
        </w:rPr>
        <w:t>Eğitim ve Bilim,</w:t>
      </w:r>
      <w:r w:rsidRPr="000D7205">
        <w:rPr>
          <w:color w:val="000000" w:themeColor="text1"/>
        </w:rPr>
        <w:t xml:space="preserve"> </w:t>
      </w:r>
      <w:r w:rsidRPr="000D7205">
        <w:rPr>
          <w:i/>
          <w:iCs/>
          <w:color w:val="000000" w:themeColor="text1"/>
        </w:rPr>
        <w:t xml:space="preserve">30 </w:t>
      </w:r>
      <w:r w:rsidRPr="000D7205">
        <w:rPr>
          <w:color w:val="000000" w:themeColor="text1"/>
        </w:rPr>
        <w:t>(137), 74–81.</w:t>
      </w:r>
    </w:p>
    <w:p w14:paraId="5455A1ED" w14:textId="77777777" w:rsidR="00E87700" w:rsidRPr="000D7205" w:rsidRDefault="00E87700" w:rsidP="00E87700">
      <w:pPr>
        <w:spacing w:line="360" w:lineRule="auto"/>
        <w:ind w:left="567" w:hanging="567"/>
        <w:rPr>
          <w:color w:val="000000" w:themeColor="text1"/>
          <w:shd w:val="clear" w:color="auto" w:fill="FFFFFF"/>
        </w:rPr>
      </w:pPr>
      <w:r w:rsidRPr="000D7205">
        <w:rPr>
          <w:color w:val="000000" w:themeColor="text1"/>
          <w:shd w:val="clear" w:color="auto" w:fill="FFFFFF"/>
        </w:rPr>
        <w:t>Darling-Hammond, L., &amp; Youngs, P. (2002). Defining" highly qualified teachers": What does" scientifically-based research" actually tell us?.</w:t>
      </w:r>
      <w:r w:rsidRPr="000D7205">
        <w:rPr>
          <w:rStyle w:val="apple-converted-space"/>
          <w:color w:val="000000" w:themeColor="text1"/>
          <w:shd w:val="clear" w:color="auto" w:fill="FFFFFF"/>
        </w:rPr>
        <w:t> </w:t>
      </w:r>
      <w:r w:rsidRPr="000D7205">
        <w:rPr>
          <w:i/>
          <w:iCs/>
          <w:color w:val="000000" w:themeColor="text1"/>
          <w:shd w:val="clear" w:color="auto" w:fill="FFFFFF"/>
        </w:rPr>
        <w:t>Educational Researcher</w:t>
      </w:r>
      <w:r w:rsidRPr="000D7205">
        <w:rPr>
          <w:color w:val="000000" w:themeColor="text1"/>
          <w:shd w:val="clear" w:color="auto" w:fill="FFFFFF"/>
        </w:rPr>
        <w:t>,</w:t>
      </w:r>
      <w:r w:rsidRPr="000D7205">
        <w:rPr>
          <w:rStyle w:val="apple-converted-space"/>
          <w:color w:val="000000" w:themeColor="text1"/>
          <w:shd w:val="clear" w:color="auto" w:fill="FFFFFF"/>
        </w:rPr>
        <w:t> </w:t>
      </w:r>
      <w:r w:rsidRPr="000D7205">
        <w:rPr>
          <w:i/>
          <w:iCs/>
          <w:color w:val="000000" w:themeColor="text1"/>
          <w:shd w:val="clear" w:color="auto" w:fill="FFFFFF"/>
        </w:rPr>
        <w:t>31</w:t>
      </w:r>
      <w:r w:rsidRPr="000D7205">
        <w:rPr>
          <w:color w:val="000000" w:themeColor="text1"/>
          <w:shd w:val="clear" w:color="auto" w:fill="FFFFFF"/>
        </w:rPr>
        <w:t>(9), 13-25.</w:t>
      </w:r>
    </w:p>
    <w:p w14:paraId="7431E559" w14:textId="77777777" w:rsidR="00E87700" w:rsidRPr="000D7205" w:rsidRDefault="00E87700" w:rsidP="00E87700">
      <w:pPr>
        <w:spacing w:line="360" w:lineRule="auto"/>
        <w:ind w:left="567" w:hanging="567"/>
        <w:rPr>
          <w:color w:val="000000" w:themeColor="text1"/>
        </w:rPr>
      </w:pPr>
      <w:r w:rsidRPr="000D7205">
        <w:rPr>
          <w:color w:val="000000" w:themeColor="text1"/>
        </w:rPr>
        <w:t xml:space="preserve">Davis, H. A. (2003). Conceptualizing the role and influence of student– teacher relationships on children‘s social and cognitive development. </w:t>
      </w:r>
      <w:r w:rsidRPr="000D7205">
        <w:rPr>
          <w:i/>
          <w:iCs/>
          <w:color w:val="000000" w:themeColor="text1"/>
        </w:rPr>
        <w:t xml:space="preserve">Educational Psychologist, 38, </w:t>
      </w:r>
      <w:r w:rsidRPr="000D7205">
        <w:rPr>
          <w:color w:val="000000" w:themeColor="text1"/>
        </w:rPr>
        <w:t xml:space="preserve">207–234. </w:t>
      </w:r>
    </w:p>
    <w:p w14:paraId="393888E2" w14:textId="77777777" w:rsidR="00E87700" w:rsidRPr="00014D8B" w:rsidRDefault="00E87700" w:rsidP="00E87700">
      <w:pPr>
        <w:spacing w:line="360" w:lineRule="auto"/>
        <w:ind w:left="567" w:hanging="567"/>
        <w:rPr>
          <w:color w:val="000000" w:themeColor="text1"/>
        </w:rPr>
      </w:pPr>
      <w:r w:rsidRPr="00014D8B">
        <w:rPr>
          <w:color w:val="000000" w:themeColor="text1"/>
        </w:rPr>
        <w:t>Erim, F. N. A. (2009</w:t>
      </w:r>
      <w:r w:rsidRPr="00014D8B">
        <w:rPr>
          <w:i/>
          <w:color w:val="000000" w:themeColor="text1"/>
        </w:rPr>
        <w:t>). Individual response to organizational change: Creating facade of conformity its antecedents and effects on participating in decision making, work engagement, job involvement and intent to quit</w:t>
      </w:r>
      <w:r w:rsidRPr="00014D8B">
        <w:rPr>
          <w:color w:val="000000" w:themeColor="text1"/>
        </w:rPr>
        <w:t>. Unpublished dissertation. Marmara University, Institute of Social Sciences, Istanbul, Turkey.</w:t>
      </w:r>
    </w:p>
    <w:p w14:paraId="48E82230" w14:textId="77777777" w:rsidR="00E87700" w:rsidRPr="00014D8B" w:rsidRDefault="00E87700" w:rsidP="00E87700">
      <w:pPr>
        <w:spacing w:line="360" w:lineRule="auto"/>
        <w:ind w:left="567" w:hanging="567"/>
        <w:rPr>
          <w:color w:val="000000" w:themeColor="text1"/>
        </w:rPr>
      </w:pPr>
      <w:r w:rsidRPr="00014D8B">
        <w:rPr>
          <w:color w:val="000000" w:themeColor="text1"/>
        </w:rPr>
        <w:t xml:space="preserve">Eryilmaz, A. &amp; Doğan, D. (2012). Subjective well-being at work: investigating of psychometric properties of Utrecht Work Engagement Scale. </w:t>
      </w:r>
      <w:r w:rsidRPr="00014D8B">
        <w:rPr>
          <w:i/>
          <w:color w:val="000000" w:themeColor="text1"/>
        </w:rPr>
        <w:t>Klinik Psikiyatri, 15</w:t>
      </w:r>
      <w:r w:rsidRPr="00014D8B">
        <w:rPr>
          <w:color w:val="000000" w:themeColor="text1"/>
        </w:rPr>
        <w:t>, 49-55.</w:t>
      </w:r>
    </w:p>
    <w:p w14:paraId="0C746E59" w14:textId="77777777" w:rsidR="00E87700" w:rsidRPr="000D7205" w:rsidRDefault="00E87700" w:rsidP="00E87700">
      <w:pPr>
        <w:spacing w:line="360" w:lineRule="auto"/>
        <w:ind w:left="567" w:hanging="567"/>
        <w:rPr>
          <w:bCs/>
          <w:color w:val="000000" w:themeColor="text1"/>
        </w:rPr>
      </w:pPr>
      <w:r w:rsidRPr="000D7205">
        <w:rPr>
          <w:bCs/>
          <w:color w:val="000000" w:themeColor="text1"/>
        </w:rPr>
        <w:t>Frenzel, A. C., Pekrun, R., Goetz, G., Daniels, L. M., Durksen, T. L., Becker-Kurz, B., &amp; Klassen, R. M. (2016). Measuring teachers’ enjoyment, anger, and anxiety: The Teaching Emotions Scale.</w:t>
      </w:r>
      <w:r w:rsidRPr="000D7205">
        <w:rPr>
          <w:bCs/>
          <w:i/>
          <w:color w:val="000000" w:themeColor="text1"/>
        </w:rPr>
        <w:t xml:space="preserve"> Contemporary Educational Psychology, 46,</w:t>
      </w:r>
      <w:r w:rsidRPr="000D7205">
        <w:rPr>
          <w:bCs/>
          <w:color w:val="000000" w:themeColor="text1"/>
        </w:rPr>
        <w:t xml:space="preserve"> 148-163.</w:t>
      </w:r>
    </w:p>
    <w:p w14:paraId="69B9F6D0" w14:textId="77777777" w:rsidR="00E87700" w:rsidRDefault="00E87700" w:rsidP="00E87700">
      <w:pPr>
        <w:spacing w:line="360" w:lineRule="auto"/>
        <w:ind w:left="567" w:hanging="567"/>
        <w:rPr>
          <w:color w:val="000000" w:themeColor="text1"/>
        </w:rPr>
      </w:pPr>
      <w:r w:rsidRPr="000D7205">
        <w:rPr>
          <w:color w:val="000000" w:themeColor="text1"/>
        </w:rPr>
        <w:lastRenderedPageBreak/>
        <w:t xml:space="preserve">Gordon, G. (2006). </w:t>
      </w:r>
      <w:r w:rsidRPr="000D7205">
        <w:rPr>
          <w:i/>
          <w:color w:val="000000" w:themeColor="text1"/>
        </w:rPr>
        <w:t>Building engaged schools: Getting the most out of America’s classrooms</w:t>
      </w:r>
      <w:r w:rsidRPr="000D7205">
        <w:rPr>
          <w:color w:val="000000" w:themeColor="text1"/>
        </w:rPr>
        <w:t>. New York: Gallup Press.</w:t>
      </w:r>
    </w:p>
    <w:p w14:paraId="1E3E8964" w14:textId="77777777" w:rsidR="00E87700" w:rsidRPr="00014D8B" w:rsidRDefault="00E87700" w:rsidP="00E87700">
      <w:pPr>
        <w:spacing w:line="360" w:lineRule="auto"/>
        <w:ind w:left="567" w:hanging="567"/>
        <w:rPr>
          <w:color w:val="000000" w:themeColor="text1"/>
        </w:rPr>
      </w:pPr>
      <w:r w:rsidRPr="00014D8B">
        <w:rPr>
          <w:color w:val="000000" w:themeColor="text1"/>
        </w:rPr>
        <w:t>Güçlü, N., Recepoğlu, E., &amp; Kılınç, A., Ç. (2014). The Relationship between Organizational Health of the Primary Schools and Teachers’ Motivation. Hacettepe University Journal of Education) 29(1), 140-156.</w:t>
      </w:r>
    </w:p>
    <w:p w14:paraId="60299685" w14:textId="77777777" w:rsidR="00E87700" w:rsidRPr="00014D8B" w:rsidRDefault="00E87700" w:rsidP="00E87700">
      <w:pPr>
        <w:spacing w:line="360" w:lineRule="auto"/>
        <w:ind w:left="567" w:hanging="567"/>
        <w:rPr>
          <w:color w:val="000000" w:themeColor="text1"/>
        </w:rPr>
      </w:pPr>
      <w:r w:rsidRPr="00014D8B">
        <w:rPr>
          <w:color w:val="000000" w:themeColor="text1"/>
        </w:rPr>
        <w:t>Gün, F. (2017). An Investigation of the Relationship between Teachers’ Levels of Believe in Education and Work Engagement</w:t>
      </w:r>
      <w:r w:rsidRPr="00014D8B">
        <w:rPr>
          <w:i/>
          <w:color w:val="000000" w:themeColor="text1"/>
        </w:rPr>
        <w:t>. Journal of Theoretical Educational Science, 10</w:t>
      </w:r>
      <w:r w:rsidRPr="00014D8B">
        <w:rPr>
          <w:color w:val="000000" w:themeColor="text1"/>
        </w:rPr>
        <w:t>(4), 408-431.</w:t>
      </w:r>
    </w:p>
    <w:p w14:paraId="36805A50" w14:textId="77777777" w:rsidR="00E87700" w:rsidRPr="00014D8B" w:rsidRDefault="00E87700" w:rsidP="00E87700">
      <w:pPr>
        <w:spacing w:line="360" w:lineRule="auto"/>
        <w:ind w:left="567" w:hanging="567"/>
        <w:rPr>
          <w:color w:val="000000" w:themeColor="text1"/>
        </w:rPr>
      </w:pPr>
      <w:r w:rsidRPr="00014D8B">
        <w:rPr>
          <w:color w:val="000000" w:themeColor="text1"/>
          <w:shd w:val="clear" w:color="auto" w:fill="FFFFFF"/>
        </w:rPr>
        <w:t>Gündüz, B., Çapri, B., &amp; Gökçakan, Z. (2013). Mesleki tükenmişlik, işle bütünleşme ve iş doyumu arasındaki ilişkilerin incelenmesi [</w:t>
      </w:r>
      <w:r w:rsidRPr="00014D8B">
        <w:rPr>
          <w:color w:val="000000" w:themeColor="text1"/>
        </w:rPr>
        <w:t>Examining of the relationships between professional burnout, work engagement and job satisfaction</w:t>
      </w:r>
      <w:r w:rsidRPr="00014D8B">
        <w:rPr>
          <w:color w:val="000000" w:themeColor="text1"/>
          <w:shd w:val="clear" w:color="auto" w:fill="FFFFFF"/>
        </w:rPr>
        <w:t xml:space="preserve">]. </w:t>
      </w:r>
      <w:r w:rsidRPr="00014D8B">
        <w:rPr>
          <w:i/>
          <w:color w:val="000000" w:themeColor="text1"/>
          <w:shd w:val="clear" w:color="auto" w:fill="FFFFFF"/>
        </w:rPr>
        <w:t xml:space="preserve">Journal of Educational Sciences Research, </w:t>
      </w:r>
      <w:r w:rsidRPr="00014D8B">
        <w:rPr>
          <w:i/>
          <w:iCs/>
          <w:color w:val="000000" w:themeColor="text1"/>
          <w:shd w:val="clear" w:color="auto" w:fill="FFFFFF"/>
        </w:rPr>
        <w:t>3</w:t>
      </w:r>
      <w:r w:rsidRPr="00014D8B">
        <w:rPr>
          <w:i/>
          <w:color w:val="000000" w:themeColor="text1"/>
          <w:shd w:val="clear" w:color="auto" w:fill="FFFFFF"/>
        </w:rPr>
        <w:t>(</w:t>
      </w:r>
      <w:r w:rsidRPr="00014D8B">
        <w:rPr>
          <w:color w:val="000000" w:themeColor="text1"/>
          <w:shd w:val="clear" w:color="auto" w:fill="FFFFFF"/>
        </w:rPr>
        <w:t>1), 29-49.</w:t>
      </w:r>
    </w:p>
    <w:p w14:paraId="75157B69" w14:textId="77777777" w:rsidR="00E87700" w:rsidRPr="00C101F7" w:rsidRDefault="00E87700" w:rsidP="00E87700">
      <w:pPr>
        <w:spacing w:line="360" w:lineRule="auto"/>
        <w:ind w:left="567" w:hanging="567"/>
        <w:rPr>
          <w:color w:val="FF0000"/>
        </w:rPr>
      </w:pPr>
      <w:r w:rsidRPr="00014D8B">
        <w:rPr>
          <w:color w:val="000000" w:themeColor="text1"/>
        </w:rPr>
        <w:t xml:space="preserve">Güneşer, A. B. (2007). </w:t>
      </w:r>
      <w:r w:rsidRPr="00014D8B">
        <w:rPr>
          <w:i/>
          <w:color w:val="000000" w:themeColor="text1"/>
        </w:rPr>
        <w:t xml:space="preserve">The effect of person-organization fit on organizational commitment and work engagement: the role of person supervısor fit. </w:t>
      </w:r>
      <w:r w:rsidRPr="00014D8B">
        <w:rPr>
          <w:color w:val="000000" w:themeColor="text1"/>
        </w:rPr>
        <w:t>Unpublished dissertation. Marmara University, Institute of Social Sciences, Istanbul, Turkey.</w:t>
      </w:r>
    </w:p>
    <w:p w14:paraId="542C6EDE" w14:textId="77777777" w:rsidR="00E87700" w:rsidRPr="000D7205" w:rsidRDefault="00E87700" w:rsidP="00E87700">
      <w:pPr>
        <w:spacing w:line="360" w:lineRule="auto"/>
        <w:ind w:left="567" w:hanging="567"/>
        <w:rPr>
          <w:color w:val="000000" w:themeColor="text1"/>
          <w:shd w:val="clear" w:color="auto" w:fill="FFFFFF"/>
        </w:rPr>
      </w:pPr>
      <w:r w:rsidRPr="000D7205">
        <w:rPr>
          <w:color w:val="000000" w:themeColor="text1"/>
          <w:shd w:val="clear" w:color="auto" w:fill="FFFFFF"/>
        </w:rPr>
        <w:t>Güner, B. (2016).</w:t>
      </w:r>
      <w:r w:rsidRPr="000D7205">
        <w:rPr>
          <w:rStyle w:val="apple-converted-space"/>
          <w:color w:val="000000" w:themeColor="text1"/>
          <w:shd w:val="clear" w:color="auto" w:fill="FFFFFF"/>
        </w:rPr>
        <w:t> </w:t>
      </w:r>
      <w:r w:rsidRPr="000D7205">
        <w:rPr>
          <w:i/>
          <w:iCs/>
          <w:color w:val="000000" w:themeColor="text1"/>
          <w:shd w:val="clear" w:color="auto" w:fill="FFFFFF"/>
        </w:rPr>
        <w:t>The effect of organizational justice on turnover intention and the mediating role of emotional exhaustion: a study on educational institutions</w:t>
      </w:r>
      <w:r w:rsidRPr="000D7205">
        <w:rPr>
          <w:rStyle w:val="apple-converted-space"/>
          <w:i/>
          <w:color w:val="000000" w:themeColor="text1"/>
          <w:shd w:val="clear" w:color="auto" w:fill="FFFFFF"/>
        </w:rPr>
        <w:t>.</w:t>
      </w:r>
      <w:r w:rsidRPr="000D7205">
        <w:rPr>
          <w:rStyle w:val="apple-converted-space"/>
          <w:color w:val="000000" w:themeColor="text1"/>
          <w:shd w:val="clear" w:color="auto" w:fill="FFFFFF"/>
        </w:rPr>
        <w:t xml:space="preserve"> Unpublished </w:t>
      </w:r>
      <w:r w:rsidRPr="000D7205">
        <w:rPr>
          <w:color w:val="000000" w:themeColor="text1"/>
          <w:shd w:val="clear" w:color="auto" w:fill="FFFFFF"/>
        </w:rPr>
        <w:t>doctoral dissertation, Middle East Technical University, Ankara.</w:t>
      </w:r>
    </w:p>
    <w:p w14:paraId="47A62113" w14:textId="77777777" w:rsidR="00E87700" w:rsidRPr="000D7205" w:rsidRDefault="00E87700" w:rsidP="00E87700">
      <w:pPr>
        <w:spacing w:line="360" w:lineRule="auto"/>
        <w:ind w:left="567" w:hanging="567"/>
        <w:rPr>
          <w:color w:val="000000" w:themeColor="text1"/>
        </w:rPr>
      </w:pPr>
      <w:r w:rsidRPr="000D7205">
        <w:rPr>
          <w:color w:val="000000" w:themeColor="text1"/>
        </w:rPr>
        <w:t xml:space="preserve">Hair, J. F., Black, B., Babin, B., Anderson, R. E., &amp; Tatham, R. L. (2010). </w:t>
      </w:r>
      <w:r w:rsidRPr="000D7205">
        <w:rPr>
          <w:i/>
          <w:iCs/>
          <w:color w:val="000000" w:themeColor="text1"/>
        </w:rPr>
        <w:t>Multivariate Data Analysis</w:t>
      </w:r>
      <w:r w:rsidRPr="000D7205">
        <w:rPr>
          <w:color w:val="000000" w:themeColor="text1"/>
        </w:rPr>
        <w:t>. (7th ed.). Upper Saddle River, NJ: Prentice-Hall.</w:t>
      </w:r>
    </w:p>
    <w:p w14:paraId="4B4FBB5B" w14:textId="77777777" w:rsidR="00E87700" w:rsidRPr="000D7205" w:rsidRDefault="00E87700" w:rsidP="00E87700">
      <w:pPr>
        <w:spacing w:line="360" w:lineRule="auto"/>
        <w:ind w:left="567" w:hanging="567"/>
        <w:rPr>
          <w:color w:val="000000" w:themeColor="text1"/>
          <w:shd w:val="clear" w:color="auto" w:fill="FFFFFF"/>
        </w:rPr>
      </w:pPr>
      <w:r w:rsidRPr="000D7205">
        <w:rPr>
          <w:color w:val="000000" w:themeColor="text1"/>
          <w:shd w:val="clear" w:color="auto" w:fill="FFFFFF"/>
        </w:rPr>
        <w:t>Hakanen, J. J., Bakker, A. B., &amp; Schaufeli, W. B. (2006). Burnout and work engagement among teachers.</w:t>
      </w:r>
      <w:r w:rsidRPr="000D7205">
        <w:rPr>
          <w:rStyle w:val="apple-converted-space"/>
          <w:color w:val="000000" w:themeColor="text1"/>
          <w:shd w:val="clear" w:color="auto" w:fill="FFFFFF"/>
        </w:rPr>
        <w:t> </w:t>
      </w:r>
      <w:r w:rsidRPr="000D7205">
        <w:rPr>
          <w:i/>
          <w:iCs/>
          <w:color w:val="000000" w:themeColor="text1"/>
          <w:shd w:val="clear" w:color="auto" w:fill="FFFFFF"/>
        </w:rPr>
        <w:t>Journal of School Psychology</w:t>
      </w:r>
      <w:r w:rsidRPr="000D7205">
        <w:rPr>
          <w:color w:val="000000" w:themeColor="text1"/>
          <w:shd w:val="clear" w:color="auto" w:fill="FFFFFF"/>
        </w:rPr>
        <w:t>,</w:t>
      </w:r>
      <w:r w:rsidRPr="000D7205">
        <w:rPr>
          <w:rStyle w:val="apple-converted-space"/>
          <w:color w:val="000000" w:themeColor="text1"/>
          <w:shd w:val="clear" w:color="auto" w:fill="FFFFFF"/>
        </w:rPr>
        <w:t> </w:t>
      </w:r>
      <w:r w:rsidRPr="000D7205">
        <w:rPr>
          <w:i/>
          <w:iCs/>
          <w:color w:val="000000" w:themeColor="text1"/>
          <w:shd w:val="clear" w:color="auto" w:fill="FFFFFF"/>
        </w:rPr>
        <w:t>43</w:t>
      </w:r>
      <w:r w:rsidRPr="000D7205">
        <w:rPr>
          <w:color w:val="000000" w:themeColor="text1"/>
          <w:shd w:val="clear" w:color="auto" w:fill="FFFFFF"/>
        </w:rPr>
        <w:t>(6), 495-513.</w:t>
      </w:r>
    </w:p>
    <w:p w14:paraId="4CD369A6" w14:textId="77777777" w:rsidR="00E87700" w:rsidRPr="000D7205" w:rsidRDefault="00E87700" w:rsidP="00E87700">
      <w:pPr>
        <w:spacing w:line="360" w:lineRule="auto"/>
        <w:ind w:left="567" w:hanging="567"/>
        <w:rPr>
          <w:color w:val="000000" w:themeColor="text1"/>
          <w:shd w:val="clear" w:color="auto" w:fill="FFFFFF"/>
        </w:rPr>
      </w:pPr>
      <w:r w:rsidRPr="000D7205">
        <w:rPr>
          <w:color w:val="000000" w:themeColor="text1"/>
          <w:shd w:val="clear" w:color="auto" w:fill="FFFFFF"/>
        </w:rPr>
        <w:t>Han, J., Yin, H., &amp; Wang, W. (2016). The effect of tertiary teachers’ goal orientations for teaching on their commitment: The mediating role of teacher engagement.</w:t>
      </w:r>
      <w:r w:rsidRPr="000D7205">
        <w:rPr>
          <w:rStyle w:val="apple-converted-space"/>
          <w:color w:val="000000" w:themeColor="text1"/>
          <w:shd w:val="clear" w:color="auto" w:fill="FFFFFF"/>
        </w:rPr>
        <w:t> </w:t>
      </w:r>
      <w:r w:rsidRPr="000D7205">
        <w:rPr>
          <w:i/>
          <w:iCs/>
          <w:color w:val="000000" w:themeColor="text1"/>
          <w:shd w:val="clear" w:color="auto" w:fill="FFFFFF"/>
        </w:rPr>
        <w:t>Educational Psychology</w:t>
      </w:r>
      <w:r w:rsidRPr="000D7205">
        <w:rPr>
          <w:i/>
          <w:color w:val="000000" w:themeColor="text1"/>
          <w:shd w:val="clear" w:color="auto" w:fill="FFFFFF"/>
        </w:rPr>
        <w:t>, 36</w:t>
      </w:r>
      <w:r w:rsidRPr="000D7205">
        <w:rPr>
          <w:color w:val="000000" w:themeColor="text1"/>
          <w:shd w:val="clear" w:color="auto" w:fill="FFFFFF"/>
        </w:rPr>
        <w:t>(3), 526-547.</w:t>
      </w:r>
    </w:p>
    <w:p w14:paraId="6588EC1B" w14:textId="77777777" w:rsidR="00E87700" w:rsidRPr="000D7205" w:rsidRDefault="00E87700" w:rsidP="00E87700">
      <w:pPr>
        <w:spacing w:line="360" w:lineRule="auto"/>
        <w:ind w:left="567" w:hanging="567"/>
        <w:rPr>
          <w:color w:val="000000" w:themeColor="text1"/>
        </w:rPr>
      </w:pPr>
      <w:r w:rsidRPr="000D7205">
        <w:rPr>
          <w:color w:val="000000" w:themeColor="text1"/>
        </w:rPr>
        <w:t>Hobfoll, S. E. (1989). Conservation of resources: A new attempt at conceptualizing stress. </w:t>
      </w:r>
      <w:r w:rsidRPr="000D7205">
        <w:rPr>
          <w:i/>
          <w:iCs/>
          <w:color w:val="000000" w:themeColor="text1"/>
        </w:rPr>
        <w:t>American psychologist</w:t>
      </w:r>
      <w:r w:rsidRPr="000D7205">
        <w:rPr>
          <w:color w:val="000000" w:themeColor="text1"/>
        </w:rPr>
        <w:t>, </w:t>
      </w:r>
      <w:r w:rsidRPr="000D7205">
        <w:rPr>
          <w:i/>
          <w:iCs/>
          <w:color w:val="000000" w:themeColor="text1"/>
        </w:rPr>
        <w:t>44</w:t>
      </w:r>
      <w:r w:rsidRPr="000D7205">
        <w:rPr>
          <w:color w:val="000000" w:themeColor="text1"/>
        </w:rPr>
        <w:t>(3), 513.</w:t>
      </w:r>
    </w:p>
    <w:p w14:paraId="50D6A9BD" w14:textId="77777777" w:rsidR="00E87700" w:rsidRPr="000D7205" w:rsidRDefault="00E87700" w:rsidP="00E87700">
      <w:pPr>
        <w:spacing w:line="360" w:lineRule="auto"/>
        <w:ind w:left="567" w:hanging="567"/>
        <w:rPr>
          <w:color w:val="000000" w:themeColor="text1"/>
          <w:shd w:val="clear" w:color="auto" w:fill="FFFFFF"/>
        </w:rPr>
      </w:pPr>
      <w:r w:rsidRPr="000D7205">
        <w:rPr>
          <w:color w:val="000000" w:themeColor="text1"/>
          <w:shd w:val="clear" w:color="auto" w:fill="FFFFFF"/>
        </w:rPr>
        <w:t>Hobfoll, S. E., Johnson, R. J., Ennis, N., &amp; Jackson, A. P. (2003). Resource loss, resource gain, and emotional outcomes among inner city women. </w:t>
      </w:r>
      <w:r w:rsidRPr="000D7205">
        <w:rPr>
          <w:i/>
          <w:iCs/>
          <w:color w:val="000000" w:themeColor="text1"/>
          <w:shd w:val="clear" w:color="auto" w:fill="FFFFFF"/>
        </w:rPr>
        <w:t>Journal of personality and social psychology</w:t>
      </w:r>
      <w:r w:rsidRPr="000D7205">
        <w:rPr>
          <w:color w:val="000000" w:themeColor="text1"/>
          <w:shd w:val="clear" w:color="auto" w:fill="FFFFFF"/>
        </w:rPr>
        <w:t>, </w:t>
      </w:r>
      <w:r w:rsidRPr="000D7205">
        <w:rPr>
          <w:i/>
          <w:iCs/>
          <w:color w:val="000000" w:themeColor="text1"/>
          <w:shd w:val="clear" w:color="auto" w:fill="FFFFFF"/>
        </w:rPr>
        <w:t>84</w:t>
      </w:r>
      <w:r w:rsidRPr="000D7205">
        <w:rPr>
          <w:color w:val="000000" w:themeColor="text1"/>
          <w:shd w:val="clear" w:color="auto" w:fill="FFFFFF"/>
        </w:rPr>
        <w:t>(3), 632.</w:t>
      </w:r>
    </w:p>
    <w:p w14:paraId="563AA102" w14:textId="77777777" w:rsidR="00E87700" w:rsidRPr="000D7205" w:rsidRDefault="00E87700" w:rsidP="00E87700">
      <w:pPr>
        <w:spacing w:line="360" w:lineRule="auto"/>
        <w:ind w:left="567" w:hanging="567"/>
        <w:rPr>
          <w:color w:val="000000" w:themeColor="text1"/>
          <w:shd w:val="clear" w:color="auto" w:fill="FFFFFF"/>
        </w:rPr>
      </w:pPr>
      <w:r w:rsidRPr="000D7205">
        <w:rPr>
          <w:color w:val="000000" w:themeColor="text1"/>
          <w:shd w:val="clear" w:color="auto" w:fill="FFFFFF"/>
        </w:rPr>
        <w:t>Jöreskog, K. G., &amp; Sörbom, D. (2006). LISREL 8.80 for Windows [Computer software].</w:t>
      </w:r>
      <w:r w:rsidRPr="000D7205">
        <w:rPr>
          <w:rStyle w:val="apple-converted-space"/>
          <w:color w:val="000000" w:themeColor="text1"/>
          <w:shd w:val="clear" w:color="auto" w:fill="FFFFFF"/>
        </w:rPr>
        <w:t> </w:t>
      </w:r>
      <w:r w:rsidRPr="000D7205">
        <w:rPr>
          <w:i/>
          <w:iCs/>
          <w:color w:val="000000" w:themeColor="text1"/>
          <w:shd w:val="clear" w:color="auto" w:fill="FFFFFF"/>
        </w:rPr>
        <w:t>Lincolnwood, IL: Scientific Software International</w:t>
      </w:r>
      <w:r w:rsidRPr="000D7205">
        <w:rPr>
          <w:color w:val="000000" w:themeColor="text1"/>
          <w:shd w:val="clear" w:color="auto" w:fill="FFFFFF"/>
        </w:rPr>
        <w:t>.</w:t>
      </w:r>
    </w:p>
    <w:p w14:paraId="223FB267" w14:textId="77777777" w:rsidR="00E87700" w:rsidRDefault="00E87700" w:rsidP="00E87700">
      <w:pPr>
        <w:spacing w:line="360" w:lineRule="auto"/>
        <w:ind w:left="567" w:hanging="567"/>
        <w:rPr>
          <w:color w:val="000000" w:themeColor="text1"/>
          <w:shd w:val="clear" w:color="auto" w:fill="FFFFFF"/>
        </w:rPr>
      </w:pPr>
      <w:r w:rsidRPr="000D7205">
        <w:rPr>
          <w:color w:val="000000" w:themeColor="text1"/>
          <w:shd w:val="clear" w:color="auto" w:fill="FFFFFF"/>
        </w:rPr>
        <w:t>Kahn, W. A. (1990). Psychological conditions of personal engagement and disengagement at work.</w:t>
      </w:r>
      <w:r w:rsidRPr="000D7205">
        <w:rPr>
          <w:rStyle w:val="apple-converted-space"/>
          <w:color w:val="000000" w:themeColor="text1"/>
          <w:shd w:val="clear" w:color="auto" w:fill="FFFFFF"/>
        </w:rPr>
        <w:t> </w:t>
      </w:r>
      <w:r w:rsidRPr="000D7205">
        <w:rPr>
          <w:i/>
          <w:iCs/>
          <w:color w:val="000000" w:themeColor="text1"/>
          <w:shd w:val="clear" w:color="auto" w:fill="FFFFFF"/>
        </w:rPr>
        <w:t>Academy of Management Journal</w:t>
      </w:r>
      <w:r w:rsidRPr="000D7205">
        <w:rPr>
          <w:color w:val="000000" w:themeColor="text1"/>
          <w:shd w:val="clear" w:color="auto" w:fill="FFFFFF"/>
        </w:rPr>
        <w:t>,</w:t>
      </w:r>
      <w:r w:rsidRPr="000D7205">
        <w:rPr>
          <w:rStyle w:val="apple-converted-space"/>
          <w:color w:val="000000" w:themeColor="text1"/>
          <w:shd w:val="clear" w:color="auto" w:fill="FFFFFF"/>
        </w:rPr>
        <w:t> </w:t>
      </w:r>
      <w:r w:rsidRPr="000D7205">
        <w:rPr>
          <w:i/>
          <w:iCs/>
          <w:color w:val="000000" w:themeColor="text1"/>
          <w:shd w:val="clear" w:color="auto" w:fill="FFFFFF"/>
        </w:rPr>
        <w:t>33</w:t>
      </w:r>
      <w:r w:rsidRPr="000D7205">
        <w:rPr>
          <w:color w:val="000000" w:themeColor="text1"/>
          <w:shd w:val="clear" w:color="auto" w:fill="FFFFFF"/>
        </w:rPr>
        <w:t>(4), 692-724.</w:t>
      </w:r>
    </w:p>
    <w:p w14:paraId="00ABE9BF" w14:textId="77777777" w:rsidR="00E87700" w:rsidRPr="00014D8B" w:rsidRDefault="00E87700" w:rsidP="00E87700">
      <w:pPr>
        <w:spacing w:line="360" w:lineRule="auto"/>
        <w:ind w:left="567" w:hanging="567"/>
        <w:rPr>
          <w:color w:val="000000" w:themeColor="text1"/>
        </w:rPr>
      </w:pPr>
      <w:r w:rsidRPr="00014D8B">
        <w:rPr>
          <w:color w:val="000000" w:themeColor="text1"/>
          <w:shd w:val="clear" w:color="auto" w:fill="FFFFFF"/>
        </w:rPr>
        <w:lastRenderedPageBreak/>
        <w:t xml:space="preserve">Kavgacı, H., &amp; Çalık, T. (2017). </w:t>
      </w:r>
      <w:r w:rsidRPr="00014D8B">
        <w:rPr>
          <w:color w:val="000000" w:themeColor="text1"/>
        </w:rPr>
        <w:t xml:space="preserve">The relationship of teachers’ work engagement with organizational and personal variables: a multiple mediator model. </w:t>
      </w:r>
      <w:r w:rsidRPr="00014D8B">
        <w:rPr>
          <w:i/>
          <w:iCs/>
          <w:color w:val="000000" w:themeColor="text1"/>
          <w:shd w:val="clear" w:color="auto" w:fill="FFFFFF"/>
        </w:rPr>
        <w:t>Kuram ve Uygulamada Egitim Yönetimi Dergisi</w:t>
      </w:r>
      <w:r w:rsidRPr="00014D8B">
        <w:rPr>
          <w:color w:val="000000" w:themeColor="text1"/>
          <w:shd w:val="clear" w:color="auto" w:fill="FFFFFF"/>
        </w:rPr>
        <w:t>, </w:t>
      </w:r>
      <w:r w:rsidRPr="00014D8B">
        <w:rPr>
          <w:i/>
          <w:iCs/>
          <w:color w:val="000000" w:themeColor="text1"/>
          <w:shd w:val="clear" w:color="auto" w:fill="FFFFFF"/>
        </w:rPr>
        <w:t>23</w:t>
      </w:r>
      <w:r w:rsidRPr="00014D8B">
        <w:rPr>
          <w:color w:val="000000" w:themeColor="text1"/>
          <w:shd w:val="clear" w:color="auto" w:fill="FFFFFF"/>
        </w:rPr>
        <w:t>(2), 223-248.</w:t>
      </w:r>
    </w:p>
    <w:p w14:paraId="5E32ED12" w14:textId="77777777" w:rsidR="00E87700" w:rsidRDefault="00E87700" w:rsidP="00E87700">
      <w:pPr>
        <w:spacing w:line="360" w:lineRule="auto"/>
        <w:ind w:left="567" w:hanging="567"/>
        <w:rPr>
          <w:color w:val="000000" w:themeColor="text1"/>
          <w:shd w:val="clear" w:color="auto" w:fill="FFFFFF"/>
        </w:rPr>
      </w:pPr>
      <w:r w:rsidRPr="000D7205">
        <w:rPr>
          <w:color w:val="000000" w:themeColor="text1"/>
          <w:shd w:val="clear" w:color="auto" w:fill="FFFFFF"/>
        </w:rPr>
        <w:t>Klassen, R. M., Aldhafri, S., Mansfield, C. F., Purwanto, E., Siu, A. F., Wong, M. W., &amp; Woods-McConney, A. (2012). Teachers’ engagement at work: An international validation study.</w:t>
      </w:r>
      <w:r w:rsidRPr="000D7205">
        <w:rPr>
          <w:rStyle w:val="apple-converted-space"/>
          <w:color w:val="000000" w:themeColor="text1"/>
          <w:shd w:val="clear" w:color="auto" w:fill="FFFFFF"/>
        </w:rPr>
        <w:t> </w:t>
      </w:r>
      <w:r w:rsidRPr="000D7205">
        <w:rPr>
          <w:i/>
          <w:iCs/>
          <w:color w:val="000000" w:themeColor="text1"/>
          <w:shd w:val="clear" w:color="auto" w:fill="FFFFFF"/>
        </w:rPr>
        <w:t>The Journal of Experimental Education</w:t>
      </w:r>
      <w:r w:rsidRPr="000D7205">
        <w:rPr>
          <w:color w:val="000000" w:themeColor="text1"/>
          <w:shd w:val="clear" w:color="auto" w:fill="FFFFFF"/>
        </w:rPr>
        <w:t>,</w:t>
      </w:r>
      <w:r w:rsidRPr="000D7205">
        <w:rPr>
          <w:rStyle w:val="apple-converted-space"/>
          <w:color w:val="000000" w:themeColor="text1"/>
          <w:shd w:val="clear" w:color="auto" w:fill="FFFFFF"/>
        </w:rPr>
        <w:t> </w:t>
      </w:r>
      <w:r w:rsidRPr="000D7205">
        <w:rPr>
          <w:i/>
          <w:iCs/>
          <w:color w:val="000000" w:themeColor="text1"/>
          <w:shd w:val="clear" w:color="auto" w:fill="FFFFFF"/>
        </w:rPr>
        <w:t>80</w:t>
      </w:r>
      <w:r w:rsidRPr="000D7205">
        <w:rPr>
          <w:color w:val="000000" w:themeColor="text1"/>
          <w:shd w:val="clear" w:color="auto" w:fill="FFFFFF"/>
        </w:rPr>
        <w:t>(4), 317-337.</w:t>
      </w:r>
    </w:p>
    <w:p w14:paraId="62BDBD94" w14:textId="77777777" w:rsidR="00E87700" w:rsidRPr="000D7205" w:rsidRDefault="00E87700" w:rsidP="00E87700">
      <w:pPr>
        <w:spacing w:line="360" w:lineRule="auto"/>
        <w:ind w:left="567" w:hanging="567"/>
        <w:rPr>
          <w:color w:val="000000" w:themeColor="text1"/>
          <w:shd w:val="clear" w:color="auto" w:fill="FFFFFF"/>
        </w:rPr>
      </w:pPr>
      <w:r w:rsidRPr="000D7205">
        <w:rPr>
          <w:color w:val="000000" w:themeColor="text1"/>
          <w:shd w:val="clear" w:color="auto" w:fill="FFFFFF"/>
        </w:rPr>
        <w:t>Klassen, R. M., Durksen, T., Rowett, E., &amp; Patterson, F. (2014). Applicant Reactions to a Situational Judgment Test used for Selection into Initial Teacher Training.</w:t>
      </w:r>
      <w:r w:rsidRPr="000D7205">
        <w:rPr>
          <w:rStyle w:val="apple-converted-space"/>
          <w:color w:val="000000" w:themeColor="text1"/>
          <w:shd w:val="clear" w:color="auto" w:fill="FFFFFF"/>
        </w:rPr>
        <w:t> </w:t>
      </w:r>
      <w:r w:rsidRPr="000D7205">
        <w:rPr>
          <w:i/>
          <w:iCs/>
          <w:color w:val="000000" w:themeColor="text1"/>
          <w:shd w:val="clear" w:color="auto" w:fill="FFFFFF"/>
        </w:rPr>
        <w:t>International Journal of Educational Psychology</w:t>
      </w:r>
      <w:r w:rsidRPr="000D7205">
        <w:rPr>
          <w:color w:val="000000" w:themeColor="text1"/>
          <w:shd w:val="clear" w:color="auto" w:fill="FFFFFF"/>
        </w:rPr>
        <w:t>,</w:t>
      </w:r>
      <w:r w:rsidRPr="000D7205">
        <w:rPr>
          <w:rStyle w:val="apple-converted-space"/>
          <w:color w:val="000000" w:themeColor="text1"/>
          <w:shd w:val="clear" w:color="auto" w:fill="FFFFFF"/>
        </w:rPr>
        <w:t> </w:t>
      </w:r>
      <w:r w:rsidRPr="000D7205">
        <w:rPr>
          <w:i/>
          <w:iCs/>
          <w:color w:val="000000" w:themeColor="text1"/>
          <w:shd w:val="clear" w:color="auto" w:fill="FFFFFF"/>
        </w:rPr>
        <w:t>3</w:t>
      </w:r>
      <w:r w:rsidRPr="000D7205">
        <w:rPr>
          <w:color w:val="000000" w:themeColor="text1"/>
          <w:shd w:val="clear" w:color="auto" w:fill="FFFFFF"/>
        </w:rPr>
        <w:t>(2), 104-124.</w:t>
      </w:r>
    </w:p>
    <w:p w14:paraId="241ECD9B" w14:textId="77777777" w:rsidR="00E87700" w:rsidRPr="000D7205" w:rsidRDefault="00E87700" w:rsidP="00E87700">
      <w:pPr>
        <w:spacing w:line="360" w:lineRule="auto"/>
        <w:ind w:left="567" w:hanging="567"/>
        <w:rPr>
          <w:color w:val="000000" w:themeColor="text1"/>
          <w:shd w:val="clear" w:color="auto" w:fill="FFFFFF"/>
        </w:rPr>
      </w:pPr>
      <w:r w:rsidRPr="000D7205">
        <w:rPr>
          <w:color w:val="000000" w:themeColor="text1"/>
        </w:rPr>
        <w:t xml:space="preserve">Klassen, R. M., Perry, N. E., &amp; Frenzel, A. C. (2012). Teachers’ relatedness with students: An Underemphasized aspect of teachers’ basic psychological needs. </w:t>
      </w:r>
      <w:r w:rsidRPr="000D7205">
        <w:rPr>
          <w:i/>
          <w:color w:val="000000" w:themeColor="text1"/>
        </w:rPr>
        <w:t>Journal of Educational Psychology, 104</w:t>
      </w:r>
      <w:r w:rsidRPr="000D7205">
        <w:rPr>
          <w:color w:val="000000" w:themeColor="text1"/>
        </w:rPr>
        <w:t xml:space="preserve">, 150–165. </w:t>
      </w:r>
    </w:p>
    <w:p w14:paraId="4CC269EE" w14:textId="77777777" w:rsidR="00E87700" w:rsidRPr="000D7205" w:rsidRDefault="00E87700" w:rsidP="00E87700">
      <w:pPr>
        <w:pStyle w:val="Bibliography"/>
        <w:spacing w:after="0" w:line="360" w:lineRule="auto"/>
        <w:ind w:left="567" w:hanging="567"/>
        <w:rPr>
          <w:rFonts w:ascii="Times New Roman" w:hAnsi="Times New Roman" w:cs="Times New Roman"/>
          <w:noProof/>
          <w:color w:val="000000" w:themeColor="text1"/>
          <w:sz w:val="24"/>
          <w:szCs w:val="24"/>
        </w:rPr>
      </w:pPr>
      <w:r w:rsidRPr="000D7205">
        <w:rPr>
          <w:rFonts w:ascii="Times New Roman" w:hAnsi="Times New Roman" w:cs="Times New Roman"/>
          <w:color w:val="000000" w:themeColor="text1"/>
          <w:sz w:val="24"/>
          <w:szCs w:val="24"/>
          <w:shd w:val="clear" w:color="auto" w:fill="FFFFFF"/>
        </w:rPr>
        <w:t>Klassen, R. M., &amp; Tze, V. M. (2014). Teachers’ self-efficacy, personality, and teaching effectiveness: A meta-analysis.</w:t>
      </w:r>
      <w:r w:rsidRPr="000D7205">
        <w:rPr>
          <w:rStyle w:val="apple-converted-space"/>
          <w:rFonts w:ascii="Times New Roman" w:hAnsi="Times New Roman" w:cs="Times New Roman"/>
          <w:color w:val="000000" w:themeColor="text1"/>
          <w:sz w:val="24"/>
          <w:szCs w:val="24"/>
          <w:shd w:val="clear" w:color="auto" w:fill="FFFFFF"/>
        </w:rPr>
        <w:t> </w:t>
      </w:r>
      <w:r w:rsidRPr="000D7205">
        <w:rPr>
          <w:rFonts w:ascii="Times New Roman" w:hAnsi="Times New Roman" w:cs="Times New Roman"/>
          <w:i/>
          <w:iCs/>
          <w:color w:val="000000" w:themeColor="text1"/>
          <w:sz w:val="24"/>
          <w:szCs w:val="24"/>
          <w:shd w:val="clear" w:color="auto" w:fill="FFFFFF"/>
        </w:rPr>
        <w:t>Educational Research Review</w:t>
      </w:r>
      <w:r w:rsidRPr="000D7205">
        <w:rPr>
          <w:rFonts w:ascii="Times New Roman" w:hAnsi="Times New Roman" w:cs="Times New Roman"/>
          <w:color w:val="000000" w:themeColor="text1"/>
          <w:sz w:val="24"/>
          <w:szCs w:val="24"/>
          <w:shd w:val="clear" w:color="auto" w:fill="FFFFFF"/>
        </w:rPr>
        <w:t>,</w:t>
      </w:r>
      <w:r w:rsidRPr="000D7205">
        <w:rPr>
          <w:rStyle w:val="apple-converted-space"/>
          <w:rFonts w:ascii="Times New Roman" w:hAnsi="Times New Roman" w:cs="Times New Roman"/>
          <w:color w:val="000000" w:themeColor="text1"/>
          <w:sz w:val="24"/>
          <w:szCs w:val="24"/>
          <w:shd w:val="clear" w:color="auto" w:fill="FFFFFF"/>
        </w:rPr>
        <w:t> </w:t>
      </w:r>
      <w:r w:rsidRPr="000D7205">
        <w:rPr>
          <w:rFonts w:ascii="Times New Roman" w:hAnsi="Times New Roman" w:cs="Times New Roman"/>
          <w:i/>
          <w:iCs/>
          <w:color w:val="000000" w:themeColor="text1"/>
          <w:sz w:val="24"/>
          <w:szCs w:val="24"/>
          <w:shd w:val="clear" w:color="auto" w:fill="FFFFFF"/>
        </w:rPr>
        <w:t>12</w:t>
      </w:r>
      <w:r w:rsidRPr="000D7205">
        <w:rPr>
          <w:rFonts w:ascii="Times New Roman" w:hAnsi="Times New Roman" w:cs="Times New Roman"/>
          <w:color w:val="000000" w:themeColor="text1"/>
          <w:sz w:val="24"/>
          <w:szCs w:val="24"/>
          <w:shd w:val="clear" w:color="auto" w:fill="FFFFFF"/>
        </w:rPr>
        <w:t>, 59-76.</w:t>
      </w:r>
    </w:p>
    <w:p w14:paraId="5966B942" w14:textId="77777777" w:rsidR="00E87700" w:rsidRPr="000D7205" w:rsidRDefault="00E87700" w:rsidP="00E87700">
      <w:pPr>
        <w:pStyle w:val="Bibliography"/>
        <w:spacing w:after="0" w:line="360" w:lineRule="auto"/>
        <w:ind w:left="567" w:hanging="567"/>
        <w:rPr>
          <w:rFonts w:ascii="Times New Roman" w:hAnsi="Times New Roman" w:cs="Times New Roman"/>
          <w:noProof/>
          <w:color w:val="000000" w:themeColor="text1"/>
          <w:sz w:val="24"/>
          <w:szCs w:val="24"/>
        </w:rPr>
      </w:pPr>
      <w:r w:rsidRPr="000D7205">
        <w:rPr>
          <w:rFonts w:ascii="Times New Roman" w:hAnsi="Times New Roman" w:cs="Times New Roman"/>
          <w:noProof/>
          <w:color w:val="000000" w:themeColor="text1"/>
          <w:sz w:val="24"/>
          <w:szCs w:val="24"/>
        </w:rPr>
        <w:t xml:space="preserve">Klassen, R. M., Tze, V. C., Betts, S. M., &amp; Gordon, K. A. (2011). Teacher efficacy research 1998–2009: signs of progress or unfulfilled promise? </w:t>
      </w:r>
      <w:r w:rsidRPr="000D7205">
        <w:rPr>
          <w:rFonts w:ascii="Times New Roman" w:hAnsi="Times New Roman" w:cs="Times New Roman"/>
          <w:i/>
          <w:iCs/>
          <w:noProof/>
          <w:color w:val="000000" w:themeColor="text1"/>
          <w:sz w:val="24"/>
          <w:szCs w:val="24"/>
        </w:rPr>
        <w:t>Educational Psychology Research, 23</w:t>
      </w:r>
      <w:r w:rsidRPr="000D7205">
        <w:rPr>
          <w:rFonts w:ascii="Times New Roman" w:hAnsi="Times New Roman" w:cs="Times New Roman"/>
          <w:iCs/>
          <w:noProof/>
          <w:color w:val="000000" w:themeColor="text1"/>
          <w:sz w:val="24"/>
          <w:szCs w:val="24"/>
        </w:rPr>
        <w:t>(1)</w:t>
      </w:r>
      <w:r w:rsidRPr="000D7205">
        <w:rPr>
          <w:rFonts w:ascii="Times New Roman" w:hAnsi="Times New Roman" w:cs="Times New Roman"/>
          <w:noProof/>
          <w:color w:val="000000" w:themeColor="text1"/>
          <w:sz w:val="24"/>
          <w:szCs w:val="24"/>
        </w:rPr>
        <w:t>, 21-43.</w:t>
      </w:r>
    </w:p>
    <w:p w14:paraId="54DE0519" w14:textId="77777777" w:rsidR="00E87700" w:rsidRPr="000D7205" w:rsidRDefault="00E87700" w:rsidP="00E87700">
      <w:pPr>
        <w:pStyle w:val="Bibliography"/>
        <w:spacing w:after="0" w:line="360" w:lineRule="auto"/>
        <w:ind w:left="567" w:hanging="567"/>
        <w:rPr>
          <w:rFonts w:ascii="Times New Roman" w:hAnsi="Times New Roman" w:cs="Times New Roman"/>
          <w:noProof/>
          <w:color w:val="000000" w:themeColor="text1"/>
          <w:sz w:val="24"/>
          <w:szCs w:val="24"/>
        </w:rPr>
      </w:pPr>
      <w:r w:rsidRPr="000D7205">
        <w:rPr>
          <w:rFonts w:ascii="Times New Roman" w:hAnsi="Times New Roman" w:cs="Times New Roman"/>
          <w:color w:val="000000" w:themeColor="text1"/>
          <w:sz w:val="24"/>
          <w:szCs w:val="24"/>
        </w:rPr>
        <w:t xml:space="preserve">Klassen, R.M., Yerdelen, S. &amp; Durksen, T.L., (2013). Measuring teacher engagement: development of the engaged teachers scale (ETS). </w:t>
      </w:r>
      <w:r w:rsidRPr="000D7205">
        <w:rPr>
          <w:rFonts w:ascii="Times New Roman" w:hAnsi="Times New Roman" w:cs="Times New Roman"/>
          <w:i/>
          <w:color w:val="000000" w:themeColor="text1"/>
          <w:sz w:val="24"/>
          <w:szCs w:val="24"/>
        </w:rPr>
        <w:t>Frontline Learning Research</w:t>
      </w:r>
      <w:r w:rsidRPr="000D7205">
        <w:rPr>
          <w:rFonts w:ascii="Times New Roman" w:hAnsi="Times New Roman" w:cs="Times New Roman"/>
          <w:color w:val="000000" w:themeColor="text1"/>
          <w:sz w:val="24"/>
          <w:szCs w:val="24"/>
        </w:rPr>
        <w:t xml:space="preserve">, </w:t>
      </w:r>
      <w:r w:rsidRPr="000D7205">
        <w:rPr>
          <w:rFonts w:ascii="Times New Roman" w:hAnsi="Times New Roman" w:cs="Times New Roman"/>
          <w:i/>
          <w:color w:val="000000" w:themeColor="text1"/>
          <w:sz w:val="24"/>
          <w:szCs w:val="24"/>
        </w:rPr>
        <w:t>2</w:t>
      </w:r>
      <w:r w:rsidRPr="000D7205">
        <w:rPr>
          <w:rFonts w:ascii="Times New Roman" w:hAnsi="Times New Roman" w:cs="Times New Roman"/>
          <w:color w:val="000000" w:themeColor="text1"/>
          <w:sz w:val="24"/>
          <w:szCs w:val="24"/>
        </w:rPr>
        <w:t>, (33–52)</w:t>
      </w:r>
    </w:p>
    <w:p w14:paraId="64766E0A" w14:textId="77777777" w:rsidR="00E87700" w:rsidRPr="000D7205" w:rsidRDefault="00E87700" w:rsidP="00E87700">
      <w:pPr>
        <w:pStyle w:val="Bibliography"/>
        <w:spacing w:after="0" w:line="360" w:lineRule="auto"/>
        <w:ind w:left="567" w:hanging="567"/>
        <w:rPr>
          <w:color w:val="000000" w:themeColor="text1"/>
          <w:shd w:val="clear" w:color="auto" w:fill="FFFFFF"/>
        </w:rPr>
      </w:pPr>
      <w:r w:rsidRPr="000D7205">
        <w:rPr>
          <w:rFonts w:ascii="Times New Roman" w:hAnsi="Times New Roman" w:cs="Times New Roman"/>
          <w:color w:val="000000" w:themeColor="text1"/>
          <w:sz w:val="24"/>
          <w:szCs w:val="24"/>
          <w:shd w:val="clear" w:color="auto" w:fill="FFFFFF"/>
        </w:rPr>
        <w:t>Klusmann, U., Kunter, M., Trautwein, U., Lüdtke, O., &amp; Baumert, J. (2008). Teachers' occupational well-being and quality of instruction: The important role of self-regulatory patterns.</w:t>
      </w:r>
      <w:r w:rsidRPr="000D7205">
        <w:rPr>
          <w:rStyle w:val="apple-converted-space"/>
          <w:rFonts w:ascii="Times New Roman" w:hAnsi="Times New Roman" w:cs="Times New Roman"/>
          <w:color w:val="000000" w:themeColor="text1"/>
          <w:sz w:val="24"/>
          <w:szCs w:val="24"/>
          <w:shd w:val="clear" w:color="auto" w:fill="FFFFFF"/>
        </w:rPr>
        <w:t> </w:t>
      </w:r>
      <w:r w:rsidRPr="000D7205">
        <w:rPr>
          <w:rFonts w:ascii="Times New Roman" w:hAnsi="Times New Roman" w:cs="Times New Roman"/>
          <w:i/>
          <w:iCs/>
          <w:color w:val="000000" w:themeColor="text1"/>
          <w:sz w:val="24"/>
          <w:szCs w:val="24"/>
          <w:shd w:val="clear" w:color="auto" w:fill="FFFFFF"/>
        </w:rPr>
        <w:t>Journal of Educational Psychology</w:t>
      </w:r>
      <w:r w:rsidRPr="000D7205">
        <w:rPr>
          <w:rFonts w:ascii="Times New Roman" w:hAnsi="Times New Roman" w:cs="Times New Roman"/>
          <w:color w:val="000000" w:themeColor="text1"/>
          <w:sz w:val="24"/>
          <w:szCs w:val="24"/>
          <w:shd w:val="clear" w:color="auto" w:fill="FFFFFF"/>
        </w:rPr>
        <w:t>,</w:t>
      </w:r>
      <w:r w:rsidRPr="000D7205">
        <w:rPr>
          <w:rStyle w:val="apple-converted-space"/>
          <w:rFonts w:ascii="Times New Roman" w:hAnsi="Times New Roman" w:cs="Times New Roman"/>
          <w:color w:val="000000" w:themeColor="text1"/>
          <w:sz w:val="24"/>
          <w:szCs w:val="24"/>
          <w:shd w:val="clear" w:color="auto" w:fill="FFFFFF"/>
        </w:rPr>
        <w:t> </w:t>
      </w:r>
      <w:r w:rsidRPr="000D7205">
        <w:rPr>
          <w:rFonts w:ascii="Times New Roman" w:hAnsi="Times New Roman" w:cs="Times New Roman"/>
          <w:i/>
          <w:iCs/>
          <w:color w:val="000000" w:themeColor="text1"/>
          <w:sz w:val="24"/>
          <w:szCs w:val="24"/>
          <w:shd w:val="clear" w:color="auto" w:fill="FFFFFF"/>
        </w:rPr>
        <w:t>100</w:t>
      </w:r>
      <w:r w:rsidRPr="000D7205">
        <w:rPr>
          <w:rFonts w:ascii="Times New Roman" w:hAnsi="Times New Roman" w:cs="Times New Roman"/>
          <w:color w:val="000000" w:themeColor="text1"/>
          <w:sz w:val="24"/>
          <w:szCs w:val="24"/>
          <w:shd w:val="clear" w:color="auto" w:fill="FFFFFF"/>
        </w:rPr>
        <w:t>(3), 702-715.</w:t>
      </w:r>
    </w:p>
    <w:p w14:paraId="2E686D4B" w14:textId="77777777" w:rsidR="00E87700" w:rsidRPr="00014D8B" w:rsidRDefault="00E87700" w:rsidP="00E87700">
      <w:pPr>
        <w:pStyle w:val="Bibliography"/>
        <w:spacing w:after="0" w:line="360" w:lineRule="auto"/>
        <w:ind w:left="567" w:hanging="567"/>
        <w:rPr>
          <w:rFonts w:ascii="Times New Roman" w:hAnsi="Times New Roman" w:cs="Times New Roman"/>
          <w:color w:val="000000" w:themeColor="text1"/>
          <w:sz w:val="24"/>
          <w:szCs w:val="24"/>
          <w:shd w:val="clear" w:color="auto" w:fill="FFFFFF"/>
        </w:rPr>
      </w:pPr>
      <w:r w:rsidRPr="00014D8B">
        <w:rPr>
          <w:rFonts w:ascii="Times New Roman" w:hAnsi="Times New Roman" w:cs="Times New Roman"/>
          <w:color w:val="000000" w:themeColor="text1"/>
          <w:sz w:val="24"/>
          <w:szCs w:val="24"/>
          <w:shd w:val="clear" w:color="auto" w:fill="FFFFFF"/>
        </w:rPr>
        <w:t>Köse, A. (2016). The impact of demographic features on teachers’ work engagement. </w:t>
      </w:r>
      <w:r w:rsidRPr="00014D8B">
        <w:rPr>
          <w:rFonts w:ascii="Times New Roman" w:hAnsi="Times New Roman" w:cs="Times New Roman"/>
          <w:i/>
          <w:iCs/>
          <w:color w:val="000000" w:themeColor="text1"/>
          <w:sz w:val="24"/>
          <w:szCs w:val="24"/>
          <w:shd w:val="clear" w:color="auto" w:fill="FFFFFF"/>
        </w:rPr>
        <w:t>Turkish Journal of Education</w:t>
      </w:r>
      <w:r w:rsidRPr="00014D8B">
        <w:rPr>
          <w:rFonts w:ascii="Times New Roman" w:hAnsi="Times New Roman" w:cs="Times New Roman"/>
          <w:color w:val="000000" w:themeColor="text1"/>
          <w:sz w:val="24"/>
          <w:szCs w:val="24"/>
          <w:shd w:val="clear" w:color="auto" w:fill="FFFFFF"/>
        </w:rPr>
        <w:t>, </w:t>
      </w:r>
      <w:r w:rsidRPr="00014D8B">
        <w:rPr>
          <w:rFonts w:ascii="Times New Roman" w:hAnsi="Times New Roman" w:cs="Times New Roman"/>
          <w:i/>
          <w:iCs/>
          <w:color w:val="000000" w:themeColor="text1"/>
          <w:sz w:val="24"/>
          <w:szCs w:val="24"/>
          <w:shd w:val="clear" w:color="auto" w:fill="FFFFFF"/>
        </w:rPr>
        <w:t>5</w:t>
      </w:r>
      <w:r w:rsidRPr="00014D8B">
        <w:rPr>
          <w:rFonts w:ascii="Times New Roman" w:hAnsi="Times New Roman" w:cs="Times New Roman"/>
          <w:color w:val="000000" w:themeColor="text1"/>
          <w:sz w:val="24"/>
          <w:szCs w:val="24"/>
          <w:shd w:val="clear" w:color="auto" w:fill="FFFFFF"/>
        </w:rPr>
        <w:t>(4), 255-264.</w:t>
      </w:r>
    </w:p>
    <w:p w14:paraId="7735B327" w14:textId="77777777" w:rsidR="00E87700" w:rsidRPr="000D7205" w:rsidRDefault="00E87700" w:rsidP="00E87700">
      <w:pPr>
        <w:pStyle w:val="Bibliography"/>
        <w:spacing w:after="0" w:line="360" w:lineRule="auto"/>
        <w:ind w:left="567" w:hanging="567"/>
        <w:rPr>
          <w:rFonts w:ascii="Times New Roman" w:hAnsi="Times New Roman" w:cs="Times New Roman"/>
          <w:color w:val="000000" w:themeColor="text1"/>
          <w:sz w:val="24"/>
          <w:szCs w:val="24"/>
        </w:rPr>
      </w:pPr>
      <w:r w:rsidRPr="000D7205">
        <w:rPr>
          <w:rFonts w:ascii="Times New Roman" w:hAnsi="Times New Roman" w:cs="Times New Roman"/>
          <w:color w:val="000000" w:themeColor="text1"/>
          <w:sz w:val="24"/>
          <w:szCs w:val="24"/>
        </w:rPr>
        <w:t>Llorens, S., Schaufeli, W. B., Bakker, A. B., &amp; Salanova, M. (2007). Does a positive gain spiral of resources, efficacy beliefs and engagement exist? Computers in Human Behavior, 23, 825–841.</w:t>
      </w:r>
    </w:p>
    <w:p w14:paraId="6226E85C" w14:textId="77777777" w:rsidR="00E87700" w:rsidRPr="000D7205" w:rsidRDefault="00E87700" w:rsidP="00E87700">
      <w:pPr>
        <w:pStyle w:val="Bibliography"/>
        <w:spacing w:after="0" w:line="360" w:lineRule="auto"/>
        <w:ind w:left="567" w:hanging="567"/>
        <w:rPr>
          <w:rFonts w:ascii="Times New Roman" w:hAnsi="Times New Roman" w:cs="Times New Roman"/>
          <w:color w:val="000000" w:themeColor="text1"/>
          <w:sz w:val="24"/>
          <w:szCs w:val="24"/>
        </w:rPr>
      </w:pPr>
      <w:r w:rsidRPr="000D7205">
        <w:rPr>
          <w:rFonts w:ascii="Times New Roman" w:hAnsi="Times New Roman" w:cs="Times New Roman"/>
          <w:color w:val="000000" w:themeColor="text1"/>
          <w:sz w:val="24"/>
          <w:szCs w:val="24"/>
        </w:rPr>
        <w:t>Ministery of National Education (2015). Faaliyet raporu [Activity report]. Retrieved from</w:t>
      </w:r>
      <w:r>
        <w:rPr>
          <w:rFonts w:ascii="Times New Roman" w:hAnsi="Times New Roman" w:cs="Times New Roman"/>
          <w:color w:val="000000" w:themeColor="text1"/>
          <w:sz w:val="24"/>
          <w:szCs w:val="24"/>
        </w:rPr>
        <w:t xml:space="preserve"> </w:t>
      </w:r>
      <w:hyperlink r:id="rId18" w:history="1">
        <w:r w:rsidRPr="000D7205">
          <w:rPr>
            <w:rStyle w:val="Hyperlink"/>
            <w:rFonts w:ascii="Times New Roman" w:hAnsi="Times New Roman" w:cs="Times New Roman"/>
            <w:color w:val="000000" w:themeColor="text1"/>
            <w:sz w:val="24"/>
            <w:szCs w:val="24"/>
          </w:rPr>
          <w:t>http://sgb.meb.gov.tr/meb_iys_dosyalar/2016_02/29061209_2015darefaalyetraporu.pdf</w:t>
        </w:r>
      </w:hyperlink>
    </w:p>
    <w:p w14:paraId="09AD01BE" w14:textId="77777777" w:rsidR="00E87700" w:rsidRPr="000D7205" w:rsidRDefault="00E87700" w:rsidP="00E87700">
      <w:pPr>
        <w:spacing w:line="360" w:lineRule="auto"/>
        <w:ind w:left="567" w:hanging="567"/>
        <w:rPr>
          <w:color w:val="000000" w:themeColor="text1"/>
        </w:rPr>
      </w:pPr>
      <w:r w:rsidRPr="000D7205">
        <w:rPr>
          <w:color w:val="000000" w:themeColor="text1"/>
        </w:rPr>
        <w:lastRenderedPageBreak/>
        <w:t>Organisation for Econom</w:t>
      </w:r>
      <w:r>
        <w:rPr>
          <w:color w:val="000000" w:themeColor="text1"/>
        </w:rPr>
        <w:t>ic Co-operation and Development [OECD]</w:t>
      </w:r>
      <w:r w:rsidRPr="000D7205">
        <w:rPr>
          <w:color w:val="000000" w:themeColor="text1"/>
        </w:rPr>
        <w:t xml:space="preserve"> (2005). Teachers matter: Attracting, developing, and retaining effective teachers. Paris, France: Author.</w:t>
      </w:r>
    </w:p>
    <w:p w14:paraId="4D289437" w14:textId="77777777" w:rsidR="00E87700" w:rsidRDefault="00E87700" w:rsidP="00E87700">
      <w:pPr>
        <w:spacing w:line="360" w:lineRule="auto"/>
        <w:ind w:left="567" w:hanging="567"/>
        <w:rPr>
          <w:color w:val="000000" w:themeColor="text1"/>
          <w:shd w:val="clear" w:color="auto" w:fill="FFFFFF"/>
        </w:rPr>
      </w:pPr>
      <w:r w:rsidRPr="000D7205">
        <w:rPr>
          <w:color w:val="000000" w:themeColor="text1"/>
          <w:shd w:val="clear" w:color="auto" w:fill="FFFFFF"/>
        </w:rPr>
        <w:t>Oyserman, D., Coon, H. M., &amp; Kemmelmeier, M. (2002). Rethinking individualism and collectivism: evaluation of theoretical assumptions and meta-analyses.</w:t>
      </w:r>
      <w:r w:rsidRPr="000D7205">
        <w:rPr>
          <w:rStyle w:val="apple-converted-space"/>
          <w:color w:val="000000" w:themeColor="text1"/>
          <w:shd w:val="clear" w:color="auto" w:fill="FFFFFF"/>
        </w:rPr>
        <w:t> </w:t>
      </w:r>
      <w:r w:rsidRPr="000D7205">
        <w:rPr>
          <w:i/>
          <w:iCs/>
          <w:color w:val="000000" w:themeColor="text1"/>
          <w:shd w:val="clear" w:color="auto" w:fill="FFFFFF"/>
        </w:rPr>
        <w:t>Psychological Bulletin</w:t>
      </w:r>
      <w:r w:rsidRPr="000D7205">
        <w:rPr>
          <w:color w:val="000000" w:themeColor="text1"/>
          <w:shd w:val="clear" w:color="auto" w:fill="FFFFFF"/>
        </w:rPr>
        <w:t>,</w:t>
      </w:r>
      <w:r w:rsidRPr="000D7205">
        <w:rPr>
          <w:rStyle w:val="apple-converted-space"/>
          <w:color w:val="000000" w:themeColor="text1"/>
          <w:shd w:val="clear" w:color="auto" w:fill="FFFFFF"/>
        </w:rPr>
        <w:t> </w:t>
      </w:r>
      <w:r w:rsidRPr="000D7205">
        <w:rPr>
          <w:i/>
          <w:iCs/>
          <w:color w:val="000000" w:themeColor="text1"/>
          <w:shd w:val="clear" w:color="auto" w:fill="FFFFFF"/>
        </w:rPr>
        <w:t>128</w:t>
      </w:r>
      <w:r w:rsidRPr="000D7205">
        <w:rPr>
          <w:color w:val="000000" w:themeColor="text1"/>
          <w:shd w:val="clear" w:color="auto" w:fill="FFFFFF"/>
        </w:rPr>
        <w:t>(1), 3-72.</w:t>
      </w:r>
    </w:p>
    <w:p w14:paraId="28CAD2AE" w14:textId="77777777" w:rsidR="00E87700" w:rsidRPr="00014D8B" w:rsidRDefault="00E87700" w:rsidP="00E87700">
      <w:pPr>
        <w:spacing w:line="360" w:lineRule="auto"/>
        <w:ind w:left="567" w:hanging="567"/>
        <w:rPr>
          <w:color w:val="000000" w:themeColor="text1"/>
          <w:shd w:val="clear" w:color="auto" w:fill="FFFFFF"/>
        </w:rPr>
      </w:pPr>
      <w:r w:rsidRPr="00014D8B">
        <w:rPr>
          <w:color w:val="000000" w:themeColor="text1"/>
        </w:rPr>
        <w:t xml:space="preserve">Öner, Z. H. (2008). </w:t>
      </w:r>
      <w:r w:rsidRPr="00014D8B">
        <w:rPr>
          <w:i/>
          <w:color w:val="000000" w:themeColor="text1"/>
        </w:rPr>
        <w:t>The Mediating effect of organizational justice: Moderating roles of sense of coherence and job complexity on the relationship between servant leadership, and work engagement.</w:t>
      </w:r>
      <w:r w:rsidRPr="00014D8B">
        <w:rPr>
          <w:color w:val="000000" w:themeColor="text1"/>
        </w:rPr>
        <w:t xml:space="preserve"> Unpublished dissertation. Marmara University, Institute of Social Sciences, Istanbul, Turkey.</w:t>
      </w:r>
    </w:p>
    <w:p w14:paraId="080128BE" w14:textId="77777777" w:rsidR="00E87700" w:rsidRPr="000D7205" w:rsidRDefault="00E87700" w:rsidP="00E87700">
      <w:pPr>
        <w:spacing w:line="360" w:lineRule="auto"/>
        <w:ind w:left="567" w:hanging="567"/>
        <w:rPr>
          <w:color w:val="000000" w:themeColor="text1"/>
          <w:shd w:val="clear" w:color="auto" w:fill="FFFFFF"/>
        </w:rPr>
      </w:pPr>
      <w:r w:rsidRPr="000D7205">
        <w:rPr>
          <w:color w:val="000000" w:themeColor="text1"/>
          <w:shd w:val="clear" w:color="auto" w:fill="FFFFFF"/>
        </w:rPr>
        <w:t>Öğretir, M. (2013).</w:t>
      </w:r>
      <w:r w:rsidRPr="000D7205">
        <w:rPr>
          <w:rStyle w:val="apple-converted-space"/>
          <w:color w:val="000000" w:themeColor="text1"/>
          <w:shd w:val="clear" w:color="auto" w:fill="FFFFFF"/>
        </w:rPr>
        <w:t> </w:t>
      </w:r>
      <w:r w:rsidRPr="000D7205">
        <w:rPr>
          <w:i/>
          <w:iCs/>
          <w:color w:val="000000" w:themeColor="text1"/>
          <w:shd w:val="clear" w:color="auto" w:fill="FFFFFF"/>
        </w:rPr>
        <w:t>İlköğretim okullarında çalışan öğretmenlerin örgütsel sosyalleşme düzeyleri</w:t>
      </w:r>
      <w:r w:rsidRPr="000D7205">
        <w:rPr>
          <w:rStyle w:val="apple-converted-space"/>
          <w:color w:val="000000" w:themeColor="text1"/>
          <w:shd w:val="clear" w:color="auto" w:fill="FFFFFF"/>
        </w:rPr>
        <w:t> [</w:t>
      </w:r>
      <w:r w:rsidRPr="000D7205">
        <w:rPr>
          <w:i/>
          <w:color w:val="000000" w:themeColor="text1"/>
          <w:shd w:val="clear" w:color="auto" w:fill="FFFFFF"/>
        </w:rPr>
        <w:t>Organizational socialization, job satisfaction, motivation, organizational commitment, acceptance].</w:t>
      </w:r>
      <w:r w:rsidRPr="000D7205">
        <w:rPr>
          <w:color w:val="000000" w:themeColor="text1"/>
          <w:shd w:val="clear" w:color="auto" w:fill="FFFFFF"/>
        </w:rPr>
        <w:t xml:space="preserve"> Unpublished dissertation, Pamukkale University, Denizli, Turkey.</w:t>
      </w:r>
    </w:p>
    <w:p w14:paraId="2F84B819" w14:textId="77777777" w:rsidR="00E87700" w:rsidRPr="00014D8B" w:rsidRDefault="00E87700" w:rsidP="00E87700">
      <w:pPr>
        <w:spacing w:line="360" w:lineRule="auto"/>
        <w:ind w:left="720" w:hanging="720"/>
        <w:rPr>
          <w:color w:val="000000" w:themeColor="text1"/>
          <w:shd w:val="clear" w:color="auto" w:fill="FFFFFF"/>
        </w:rPr>
      </w:pPr>
      <w:r w:rsidRPr="00014D8B">
        <w:rPr>
          <w:color w:val="000000" w:themeColor="text1"/>
          <w:shd w:val="clear" w:color="auto" w:fill="FFFFFF"/>
        </w:rPr>
        <w:t>Özkalp, E., &amp; Meydan, B. (2015). Schaufeli ve Bakker tarafindan geliştirilmiş olan İşe Angaje Olma ölçeğinin Türkçe’de güvenilirlik ve geçerliliğinin analizi [The validity and reliability analysis of the Turkish version of Work Engagement Scale developed by Schaufeli and Bakker].</w:t>
      </w:r>
      <w:r w:rsidRPr="00014D8B">
        <w:rPr>
          <w:color w:val="000000" w:themeColor="text1"/>
        </w:rPr>
        <w:t xml:space="preserve"> </w:t>
      </w:r>
      <w:r w:rsidRPr="00014D8B">
        <w:rPr>
          <w:i/>
          <w:color w:val="000000" w:themeColor="text1"/>
        </w:rPr>
        <w:t>The Journal of Industrial Relations and Human Resources</w:t>
      </w:r>
      <w:r w:rsidRPr="00014D8B">
        <w:rPr>
          <w:i/>
          <w:color w:val="000000" w:themeColor="text1"/>
          <w:shd w:val="clear" w:color="auto" w:fill="FFFFFF"/>
        </w:rPr>
        <w:t>, 17</w:t>
      </w:r>
      <w:r w:rsidRPr="00014D8B">
        <w:rPr>
          <w:color w:val="000000" w:themeColor="text1"/>
          <w:shd w:val="clear" w:color="auto" w:fill="FFFFFF"/>
        </w:rPr>
        <w:t>(3), 4-19.</w:t>
      </w:r>
    </w:p>
    <w:p w14:paraId="11975DF8" w14:textId="77777777" w:rsidR="00E87700" w:rsidRPr="000D7205" w:rsidRDefault="00E87700" w:rsidP="00E87700">
      <w:pPr>
        <w:spacing w:line="360" w:lineRule="auto"/>
        <w:ind w:left="567" w:hanging="567"/>
        <w:rPr>
          <w:color w:val="000000" w:themeColor="text1"/>
        </w:rPr>
      </w:pPr>
      <w:r w:rsidRPr="000D7205">
        <w:rPr>
          <w:color w:val="000000" w:themeColor="text1"/>
          <w:shd w:val="clear" w:color="auto" w:fill="FFFFFF"/>
        </w:rPr>
        <w:t>Öztürk-Çiftci, D., Meriç, E., &amp; Meriç, A. (2015). Burnout and intention to leave job: an application in the special education and rehabilitation centres in the province of Ordu.</w:t>
      </w:r>
      <w:r w:rsidRPr="000D7205">
        <w:rPr>
          <w:color w:val="000000" w:themeColor="text1"/>
        </w:rPr>
        <w:t xml:space="preserve"> </w:t>
      </w:r>
      <w:r w:rsidRPr="000D7205">
        <w:rPr>
          <w:i/>
          <w:color w:val="000000" w:themeColor="text1"/>
        </w:rPr>
        <w:t>The Journal of International Social Research, 8</w:t>
      </w:r>
      <w:r w:rsidRPr="000D7205">
        <w:rPr>
          <w:color w:val="000000" w:themeColor="text1"/>
        </w:rPr>
        <w:t>(41), 996-1007.</w:t>
      </w:r>
    </w:p>
    <w:p w14:paraId="76FCA01F" w14:textId="77777777" w:rsidR="00E87700" w:rsidRPr="000D7205" w:rsidRDefault="00E87700" w:rsidP="00E87700">
      <w:pPr>
        <w:spacing w:line="360" w:lineRule="auto"/>
        <w:ind w:left="567" w:hanging="567"/>
        <w:rPr>
          <w:color w:val="000000" w:themeColor="text1"/>
          <w:shd w:val="clear" w:color="auto" w:fill="FFFFFF"/>
        </w:rPr>
      </w:pPr>
      <w:r w:rsidRPr="000D7205">
        <w:rPr>
          <w:color w:val="000000" w:themeColor="text1"/>
          <w:shd w:val="clear" w:color="auto" w:fill="FFFFFF"/>
        </w:rPr>
        <w:t xml:space="preserve">Pehlivan, H., &amp; Köseoğlu, P. (2013). Do teachers think of quitting their job. </w:t>
      </w:r>
      <w:r w:rsidRPr="000D7205">
        <w:rPr>
          <w:i/>
          <w:iCs/>
          <w:color w:val="000000" w:themeColor="text1"/>
          <w:shd w:val="clear" w:color="auto" w:fill="FFFFFF"/>
        </w:rPr>
        <w:t>Global Journal of Business, Economics and Management</w:t>
      </w:r>
      <w:r w:rsidRPr="000D7205">
        <w:rPr>
          <w:color w:val="000000" w:themeColor="text1"/>
          <w:shd w:val="clear" w:color="auto" w:fill="FFFFFF"/>
        </w:rPr>
        <w:t>,</w:t>
      </w:r>
      <w:r w:rsidRPr="000D7205">
        <w:rPr>
          <w:rStyle w:val="apple-converted-space"/>
          <w:color w:val="000000" w:themeColor="text1"/>
          <w:shd w:val="clear" w:color="auto" w:fill="FFFFFF"/>
        </w:rPr>
        <w:t> </w:t>
      </w:r>
      <w:r w:rsidRPr="000D7205">
        <w:rPr>
          <w:i/>
          <w:iCs/>
          <w:color w:val="000000" w:themeColor="text1"/>
          <w:shd w:val="clear" w:color="auto" w:fill="FFFFFF"/>
        </w:rPr>
        <w:t>3</w:t>
      </w:r>
      <w:r w:rsidRPr="000D7205">
        <w:rPr>
          <w:color w:val="000000" w:themeColor="text1"/>
          <w:shd w:val="clear" w:color="auto" w:fill="FFFFFF"/>
        </w:rPr>
        <w:t>(2), 25-30.</w:t>
      </w:r>
    </w:p>
    <w:p w14:paraId="5497CBD5" w14:textId="77777777" w:rsidR="00E87700" w:rsidRPr="000D7205" w:rsidRDefault="00E87700" w:rsidP="00E87700">
      <w:pPr>
        <w:autoSpaceDE w:val="0"/>
        <w:autoSpaceDN w:val="0"/>
        <w:adjustRightInd w:val="0"/>
        <w:spacing w:line="360" w:lineRule="auto"/>
        <w:ind w:left="567" w:hanging="567"/>
        <w:contextualSpacing/>
        <w:rPr>
          <w:color w:val="000000" w:themeColor="text1"/>
          <w:kern w:val="1"/>
        </w:rPr>
      </w:pPr>
      <w:r w:rsidRPr="000D7205">
        <w:rPr>
          <w:color w:val="000000" w:themeColor="text1"/>
          <w:kern w:val="1"/>
        </w:rPr>
        <w:t xml:space="preserve">Pianta, R. C., &amp; Hamre, B. K. (2009). Conceptualization, measurement, and improvement of classroom processes: Standardized observation can leverage capacity. </w:t>
      </w:r>
      <w:r w:rsidRPr="000D7205">
        <w:rPr>
          <w:i/>
          <w:color w:val="000000" w:themeColor="text1"/>
          <w:kern w:val="1"/>
        </w:rPr>
        <w:t>Educational Researcher, 38,</w:t>
      </w:r>
      <w:r w:rsidRPr="000D7205">
        <w:rPr>
          <w:color w:val="000000" w:themeColor="text1"/>
          <w:kern w:val="1"/>
        </w:rPr>
        <w:t xml:space="preserve"> 109-119. </w:t>
      </w:r>
    </w:p>
    <w:p w14:paraId="5E738CE8" w14:textId="77777777" w:rsidR="00E87700" w:rsidRPr="000D7205" w:rsidRDefault="00E87700" w:rsidP="00E87700">
      <w:pPr>
        <w:autoSpaceDE w:val="0"/>
        <w:autoSpaceDN w:val="0"/>
        <w:adjustRightInd w:val="0"/>
        <w:spacing w:line="360" w:lineRule="auto"/>
        <w:ind w:left="567" w:hanging="567"/>
        <w:contextualSpacing/>
        <w:rPr>
          <w:color w:val="000000" w:themeColor="text1"/>
        </w:rPr>
      </w:pPr>
      <w:r w:rsidRPr="000D7205">
        <w:rPr>
          <w:color w:val="000000" w:themeColor="text1"/>
        </w:rPr>
        <w:t xml:space="preserve">Rich, B. L. (2006). </w:t>
      </w:r>
      <w:r w:rsidRPr="000D7205">
        <w:rPr>
          <w:i/>
          <w:iCs/>
          <w:color w:val="000000" w:themeColor="text1"/>
        </w:rPr>
        <w:t xml:space="preserve">Job engagement: Construct validation and relationships with job satisfaction, job involvement, and intrinsic motivation </w:t>
      </w:r>
      <w:r w:rsidRPr="000D7205">
        <w:rPr>
          <w:color w:val="000000" w:themeColor="text1"/>
        </w:rPr>
        <w:t>(Doctoral Dissertation, University of Florida). Retrieved from ECONIS, ProQuest UMI 3228825 Dissertation Publishing.</w:t>
      </w:r>
    </w:p>
    <w:p w14:paraId="11F19B04" w14:textId="77777777" w:rsidR="00E87700" w:rsidRPr="000D7205" w:rsidRDefault="00E87700" w:rsidP="00E87700">
      <w:pPr>
        <w:spacing w:line="360" w:lineRule="auto"/>
        <w:ind w:left="567" w:hanging="567"/>
        <w:rPr>
          <w:color w:val="000000" w:themeColor="text1"/>
          <w:shd w:val="clear" w:color="auto" w:fill="FFFFFF"/>
        </w:rPr>
      </w:pPr>
      <w:r>
        <w:rPr>
          <w:color w:val="000000" w:themeColor="text1"/>
          <w:shd w:val="clear" w:color="auto" w:fill="FFFFFF"/>
        </w:rPr>
        <w:t>Rich, B. L., Lep</w:t>
      </w:r>
      <w:r w:rsidRPr="000D7205">
        <w:rPr>
          <w:color w:val="000000" w:themeColor="text1"/>
          <w:shd w:val="clear" w:color="auto" w:fill="FFFFFF"/>
        </w:rPr>
        <w:t>ine, J. A., &amp; Crawford, E. R. (2010). Job engagement: Antecedents and effects on job performance.</w:t>
      </w:r>
      <w:r w:rsidRPr="000D7205">
        <w:rPr>
          <w:rStyle w:val="apple-converted-space"/>
          <w:color w:val="000000" w:themeColor="text1"/>
          <w:shd w:val="clear" w:color="auto" w:fill="FFFFFF"/>
        </w:rPr>
        <w:t> </w:t>
      </w:r>
      <w:r w:rsidRPr="000D7205">
        <w:rPr>
          <w:i/>
          <w:iCs/>
          <w:color w:val="000000" w:themeColor="text1"/>
          <w:shd w:val="clear" w:color="auto" w:fill="FFFFFF"/>
        </w:rPr>
        <w:t>Academy of Management Journal</w:t>
      </w:r>
      <w:r w:rsidRPr="000D7205">
        <w:rPr>
          <w:color w:val="000000" w:themeColor="text1"/>
          <w:shd w:val="clear" w:color="auto" w:fill="FFFFFF"/>
        </w:rPr>
        <w:t xml:space="preserve">, </w:t>
      </w:r>
      <w:r w:rsidRPr="000D7205">
        <w:rPr>
          <w:i/>
          <w:iCs/>
          <w:color w:val="000000" w:themeColor="text1"/>
          <w:shd w:val="clear" w:color="auto" w:fill="FFFFFF"/>
        </w:rPr>
        <w:t>53</w:t>
      </w:r>
      <w:r w:rsidRPr="000D7205">
        <w:rPr>
          <w:color w:val="000000" w:themeColor="text1"/>
          <w:shd w:val="clear" w:color="auto" w:fill="FFFFFF"/>
        </w:rPr>
        <w:t>(3), 617-635.</w:t>
      </w:r>
    </w:p>
    <w:p w14:paraId="7CD4B028" w14:textId="77777777" w:rsidR="00E87700" w:rsidRPr="000D7205" w:rsidRDefault="00E87700" w:rsidP="00E87700">
      <w:pPr>
        <w:spacing w:line="360" w:lineRule="auto"/>
        <w:ind w:left="567" w:hanging="567"/>
        <w:rPr>
          <w:color w:val="000000" w:themeColor="text1"/>
          <w:shd w:val="clear" w:color="auto" w:fill="FFFFFF"/>
        </w:rPr>
      </w:pPr>
      <w:r w:rsidRPr="000D7205">
        <w:rPr>
          <w:rFonts w:eastAsia="Arial"/>
          <w:color w:val="000000" w:themeColor="text1"/>
        </w:rPr>
        <w:lastRenderedPageBreak/>
        <w:t xml:space="preserve">Rimm-Kaufman, S. E. &amp; Hamre, B. (2010). The role of psychological and developmental science in efforts to improve teacher quality. </w:t>
      </w:r>
      <w:r w:rsidRPr="000D7205">
        <w:rPr>
          <w:rFonts w:eastAsia="Arial"/>
          <w:i/>
          <w:iCs/>
          <w:color w:val="000000" w:themeColor="text1"/>
        </w:rPr>
        <w:t>Teacher College Record, 112</w:t>
      </w:r>
      <w:r w:rsidRPr="000D7205">
        <w:rPr>
          <w:rFonts w:eastAsia="Arial"/>
          <w:color w:val="000000" w:themeColor="text1"/>
        </w:rPr>
        <w:t>(12), 2988-3023.</w:t>
      </w:r>
    </w:p>
    <w:p w14:paraId="0676E838" w14:textId="77777777" w:rsidR="00E87700" w:rsidRPr="000D7205" w:rsidRDefault="00E87700" w:rsidP="00E87700">
      <w:pPr>
        <w:spacing w:line="360" w:lineRule="auto"/>
        <w:ind w:left="567" w:hanging="567"/>
        <w:rPr>
          <w:color w:val="000000" w:themeColor="text1"/>
        </w:rPr>
      </w:pPr>
      <w:r w:rsidRPr="000D7205">
        <w:rPr>
          <w:color w:val="000000" w:themeColor="text1"/>
        </w:rPr>
        <w:t xml:space="preserve">Roth, G., Assor, A., Kanat-Maymon, Y., &amp; Kaplan, H. (2007). Autonomous motivation for teaching: How self-determined teaching may lead to self-determined learning. </w:t>
      </w:r>
      <w:r w:rsidRPr="000D7205">
        <w:rPr>
          <w:i/>
          <w:color w:val="000000" w:themeColor="text1"/>
        </w:rPr>
        <w:t>Journal of Educational Psychology, 99(4),</w:t>
      </w:r>
      <w:r w:rsidRPr="000D7205">
        <w:rPr>
          <w:color w:val="000000" w:themeColor="text1"/>
        </w:rPr>
        <w:t xml:space="preserve"> 761–774.</w:t>
      </w:r>
    </w:p>
    <w:p w14:paraId="1AB75F39" w14:textId="77777777" w:rsidR="00E87700" w:rsidRPr="000D7205" w:rsidRDefault="00E87700" w:rsidP="00E87700">
      <w:pPr>
        <w:spacing w:line="360" w:lineRule="auto"/>
        <w:ind w:left="567" w:hanging="567"/>
        <w:rPr>
          <w:color w:val="000000" w:themeColor="text1"/>
        </w:rPr>
      </w:pPr>
      <w:r w:rsidRPr="000D7205">
        <w:rPr>
          <w:color w:val="000000" w:themeColor="text1"/>
          <w:lang w:val="tr-TR"/>
        </w:rPr>
        <w:t xml:space="preserve">Saks, A. M. (2006). Antecedents and consequences of employee engagement. </w:t>
      </w:r>
      <w:r w:rsidRPr="000D7205">
        <w:rPr>
          <w:i/>
          <w:iCs/>
          <w:color w:val="000000" w:themeColor="text1"/>
          <w:lang w:val="tr-TR"/>
        </w:rPr>
        <w:t>Journal of</w:t>
      </w:r>
      <w:r w:rsidRPr="000D7205">
        <w:rPr>
          <w:color w:val="000000" w:themeColor="text1"/>
        </w:rPr>
        <w:t xml:space="preserve"> </w:t>
      </w:r>
      <w:r w:rsidRPr="000D7205">
        <w:rPr>
          <w:i/>
          <w:iCs/>
          <w:color w:val="000000" w:themeColor="text1"/>
          <w:lang w:val="tr-TR"/>
        </w:rPr>
        <w:t>Managerial Psychology</w:t>
      </w:r>
      <w:r w:rsidRPr="000D7205">
        <w:rPr>
          <w:color w:val="000000" w:themeColor="text1"/>
          <w:lang w:val="tr-TR"/>
        </w:rPr>
        <w:t xml:space="preserve">, </w:t>
      </w:r>
      <w:r w:rsidRPr="000D7205">
        <w:rPr>
          <w:i/>
          <w:iCs/>
          <w:color w:val="000000" w:themeColor="text1"/>
          <w:lang w:val="tr-TR"/>
        </w:rPr>
        <w:t>21</w:t>
      </w:r>
      <w:r w:rsidRPr="000D7205">
        <w:rPr>
          <w:color w:val="000000" w:themeColor="text1"/>
          <w:lang w:val="tr-TR"/>
        </w:rPr>
        <w:t>, 600-619.</w:t>
      </w:r>
    </w:p>
    <w:p w14:paraId="07CCCE00" w14:textId="77777777" w:rsidR="00E87700" w:rsidRPr="000D7205" w:rsidRDefault="00E87700" w:rsidP="00E87700">
      <w:pPr>
        <w:spacing w:line="360" w:lineRule="auto"/>
        <w:ind w:left="567" w:hanging="567"/>
        <w:rPr>
          <w:color w:val="000000" w:themeColor="text1"/>
        </w:rPr>
      </w:pPr>
      <w:r w:rsidRPr="000D7205">
        <w:rPr>
          <w:color w:val="000000" w:themeColor="text1"/>
        </w:rPr>
        <w:t xml:space="preserve">Schaufeli, W. B., &amp; Bakker, A. B. (2003). </w:t>
      </w:r>
      <w:r w:rsidRPr="000D7205">
        <w:rPr>
          <w:i/>
          <w:color w:val="000000" w:themeColor="text1"/>
        </w:rPr>
        <w:t xml:space="preserve">Test manual for the Utrecht Work Engagement Scale. </w:t>
      </w:r>
      <w:r w:rsidRPr="000D7205">
        <w:rPr>
          <w:color w:val="000000" w:themeColor="text1"/>
        </w:rPr>
        <w:t>Unpublished manuscript</w:t>
      </w:r>
      <w:r w:rsidRPr="000D7205">
        <w:rPr>
          <w:i/>
          <w:color w:val="000000" w:themeColor="text1"/>
        </w:rPr>
        <w:t xml:space="preserve">, </w:t>
      </w:r>
      <w:r w:rsidRPr="000D7205">
        <w:rPr>
          <w:color w:val="000000" w:themeColor="text1"/>
        </w:rPr>
        <w:t xml:space="preserve">Utrecht University, the Netherlands. Retrieved from </w:t>
      </w:r>
      <w:hyperlink r:id="rId19" w:history="1">
        <w:r w:rsidRPr="000D7205">
          <w:rPr>
            <w:rStyle w:val="Hyperlink"/>
            <w:color w:val="000000" w:themeColor="text1"/>
          </w:rPr>
          <w:t>http://www.schaufeli.com</w:t>
        </w:r>
      </w:hyperlink>
      <w:r w:rsidRPr="000D7205">
        <w:rPr>
          <w:color w:val="000000" w:themeColor="text1"/>
        </w:rPr>
        <w:t xml:space="preserve"> </w:t>
      </w:r>
    </w:p>
    <w:p w14:paraId="570783A1" w14:textId="77777777" w:rsidR="00E87700" w:rsidRPr="000D7205" w:rsidRDefault="00E87700" w:rsidP="00E87700">
      <w:pPr>
        <w:spacing w:line="360" w:lineRule="auto"/>
        <w:ind w:left="567" w:hanging="567"/>
        <w:rPr>
          <w:color w:val="000000" w:themeColor="text1"/>
        </w:rPr>
      </w:pPr>
      <w:r w:rsidRPr="000D7205">
        <w:rPr>
          <w:color w:val="000000" w:themeColor="text1"/>
        </w:rPr>
        <w:t xml:space="preserve">Schaufeli, W.B. &amp; Bakker, A.B. (2004). Job demands, job resources, and their relationship with burnout and engagement: A multi-sample study. </w:t>
      </w:r>
      <w:r w:rsidRPr="000D7205">
        <w:rPr>
          <w:i/>
          <w:color w:val="000000" w:themeColor="text1"/>
        </w:rPr>
        <w:t>Journal of Organizational Behavior, 25,</w:t>
      </w:r>
      <w:r w:rsidRPr="000D7205">
        <w:rPr>
          <w:color w:val="000000" w:themeColor="text1"/>
        </w:rPr>
        <w:t xml:space="preserve"> 293-315.</w:t>
      </w:r>
    </w:p>
    <w:p w14:paraId="5651A914" w14:textId="77777777" w:rsidR="00E87700" w:rsidRPr="000D7205" w:rsidRDefault="00E87700" w:rsidP="00E87700">
      <w:pPr>
        <w:spacing w:line="360" w:lineRule="auto"/>
        <w:ind w:left="567" w:hanging="567"/>
        <w:rPr>
          <w:color w:val="000000" w:themeColor="text1"/>
        </w:rPr>
      </w:pPr>
      <w:r w:rsidRPr="000D7205">
        <w:rPr>
          <w:color w:val="000000" w:themeColor="text1"/>
        </w:rPr>
        <w:t>Schaufeli, W. B., Bakker, A. B., &amp; Salanova, M. (2006). The measurement of work engagement with a short questionnaire: A cross-national study</w:t>
      </w:r>
      <w:r w:rsidRPr="000D7205">
        <w:rPr>
          <w:i/>
          <w:iCs/>
          <w:color w:val="000000" w:themeColor="text1"/>
        </w:rPr>
        <w:t xml:space="preserve">. Educational and Psychological Measurement, 66, </w:t>
      </w:r>
      <w:r w:rsidRPr="000D7205">
        <w:rPr>
          <w:color w:val="000000" w:themeColor="text1"/>
        </w:rPr>
        <w:t xml:space="preserve">701-716. </w:t>
      </w:r>
    </w:p>
    <w:p w14:paraId="15D04C32" w14:textId="77777777" w:rsidR="00E87700" w:rsidRPr="000D7205" w:rsidRDefault="00E87700" w:rsidP="00E87700">
      <w:pPr>
        <w:spacing w:line="360" w:lineRule="auto"/>
        <w:ind w:left="567" w:hanging="567"/>
        <w:rPr>
          <w:color w:val="000000" w:themeColor="text1"/>
          <w:shd w:val="clear" w:color="auto" w:fill="FFFFFF"/>
        </w:rPr>
      </w:pPr>
      <w:r w:rsidRPr="000D7205">
        <w:rPr>
          <w:color w:val="000000" w:themeColor="text1"/>
          <w:shd w:val="clear" w:color="auto" w:fill="FFFFFF"/>
        </w:rPr>
        <w:t>Schaufeli, W. B., Salanova, M., González-Romá, V., &amp; Bakker, A. B. (2002). The measurement of engagement and burnout: A two sample confirmatory factor analytic approach.</w:t>
      </w:r>
      <w:r w:rsidRPr="000D7205">
        <w:rPr>
          <w:rStyle w:val="apple-converted-space"/>
          <w:color w:val="000000" w:themeColor="text1"/>
          <w:shd w:val="clear" w:color="auto" w:fill="FFFFFF"/>
        </w:rPr>
        <w:t> </w:t>
      </w:r>
      <w:r w:rsidRPr="000D7205">
        <w:rPr>
          <w:i/>
          <w:iCs/>
          <w:color w:val="000000" w:themeColor="text1"/>
          <w:shd w:val="clear" w:color="auto" w:fill="FFFFFF"/>
        </w:rPr>
        <w:t>Journal of Happiness studies</w:t>
      </w:r>
      <w:r w:rsidRPr="000D7205">
        <w:rPr>
          <w:i/>
          <w:color w:val="000000" w:themeColor="text1"/>
          <w:shd w:val="clear" w:color="auto" w:fill="FFFFFF"/>
        </w:rPr>
        <w:t>,</w:t>
      </w:r>
      <w:r w:rsidRPr="000D7205">
        <w:rPr>
          <w:rStyle w:val="apple-converted-space"/>
          <w:i/>
          <w:color w:val="000000" w:themeColor="text1"/>
          <w:shd w:val="clear" w:color="auto" w:fill="FFFFFF"/>
        </w:rPr>
        <w:t> </w:t>
      </w:r>
      <w:r w:rsidRPr="000D7205">
        <w:rPr>
          <w:i/>
          <w:iCs/>
          <w:color w:val="000000" w:themeColor="text1"/>
          <w:shd w:val="clear" w:color="auto" w:fill="FFFFFF"/>
        </w:rPr>
        <w:t>3</w:t>
      </w:r>
      <w:r w:rsidRPr="000D7205">
        <w:rPr>
          <w:color w:val="000000" w:themeColor="text1"/>
          <w:shd w:val="clear" w:color="auto" w:fill="FFFFFF"/>
        </w:rPr>
        <w:t>(1), 71-92.</w:t>
      </w:r>
    </w:p>
    <w:p w14:paraId="7307CB2A" w14:textId="77777777" w:rsidR="00E87700" w:rsidRPr="000D7205" w:rsidRDefault="00E87700" w:rsidP="00E87700">
      <w:pPr>
        <w:spacing w:line="360" w:lineRule="auto"/>
        <w:ind w:left="567" w:hanging="567"/>
        <w:rPr>
          <w:color w:val="000000" w:themeColor="text1"/>
        </w:rPr>
      </w:pPr>
      <w:r w:rsidRPr="000D7205">
        <w:rPr>
          <w:color w:val="000000" w:themeColor="text1"/>
        </w:rPr>
        <w:t xml:space="preserve">Shuck, M. B. (2010). </w:t>
      </w:r>
      <w:r w:rsidRPr="000D7205">
        <w:rPr>
          <w:i/>
          <w:iCs/>
          <w:color w:val="000000" w:themeColor="text1"/>
        </w:rPr>
        <w:t>Employee engagement: An examination of antecedent and outcome variables</w:t>
      </w:r>
      <w:r>
        <w:rPr>
          <w:i/>
          <w:iCs/>
          <w:color w:val="000000" w:themeColor="text1"/>
        </w:rPr>
        <w:t xml:space="preserve">. </w:t>
      </w:r>
      <w:r w:rsidRPr="000D7205">
        <w:rPr>
          <w:color w:val="000000" w:themeColor="text1"/>
        </w:rPr>
        <w:t>Docto</w:t>
      </w:r>
      <w:r>
        <w:rPr>
          <w:color w:val="000000" w:themeColor="text1"/>
        </w:rPr>
        <w:t>ral d</w:t>
      </w:r>
      <w:r w:rsidRPr="000D7205">
        <w:rPr>
          <w:color w:val="000000" w:themeColor="text1"/>
        </w:rPr>
        <w:t>issertation, Fl</w:t>
      </w:r>
      <w:r>
        <w:rPr>
          <w:color w:val="000000" w:themeColor="text1"/>
        </w:rPr>
        <w:t>orida International University.</w:t>
      </w:r>
      <w:r w:rsidRPr="000D7205">
        <w:rPr>
          <w:color w:val="000000" w:themeColor="text1"/>
        </w:rPr>
        <w:t xml:space="preserve"> Retrieved from </w:t>
      </w:r>
      <w:hyperlink r:id="rId20" w:history="1">
        <w:r w:rsidRPr="000D7205">
          <w:rPr>
            <w:rStyle w:val="Hyperlink"/>
            <w:color w:val="000000" w:themeColor="text1"/>
          </w:rPr>
          <w:t>http://digitalcommons.fiu.edu/etd/235</w:t>
        </w:r>
      </w:hyperlink>
      <w:r>
        <w:rPr>
          <w:color w:val="000000" w:themeColor="text1"/>
        </w:rPr>
        <w:t>.</w:t>
      </w:r>
    </w:p>
    <w:p w14:paraId="0D0A0285" w14:textId="77777777" w:rsidR="00E87700" w:rsidRPr="000D7205" w:rsidRDefault="00E87700" w:rsidP="00E87700">
      <w:pPr>
        <w:spacing w:line="360" w:lineRule="auto"/>
        <w:ind w:left="567" w:hanging="567"/>
        <w:rPr>
          <w:color w:val="000000" w:themeColor="text1"/>
        </w:rPr>
      </w:pPr>
      <w:r w:rsidRPr="000D7205">
        <w:rPr>
          <w:color w:val="000000" w:themeColor="text1"/>
          <w:shd w:val="clear" w:color="auto" w:fill="FFFFFF"/>
        </w:rPr>
        <w:t>Shuck, B. (2011). Four emerging perspectives of employee engagement: An integrative literature review.</w:t>
      </w:r>
      <w:r w:rsidRPr="000D7205">
        <w:rPr>
          <w:rStyle w:val="apple-converted-space"/>
          <w:color w:val="000000" w:themeColor="text1"/>
          <w:shd w:val="clear" w:color="auto" w:fill="FFFFFF"/>
        </w:rPr>
        <w:t> </w:t>
      </w:r>
      <w:r w:rsidRPr="000D7205">
        <w:rPr>
          <w:i/>
          <w:iCs/>
          <w:color w:val="000000" w:themeColor="text1"/>
          <w:shd w:val="clear" w:color="auto" w:fill="FFFFFF"/>
        </w:rPr>
        <w:t>Human Resource Development Review</w:t>
      </w:r>
      <w:r w:rsidRPr="000D7205">
        <w:rPr>
          <w:color w:val="000000" w:themeColor="text1"/>
          <w:shd w:val="clear" w:color="auto" w:fill="FFFFFF"/>
        </w:rPr>
        <w:t>,</w:t>
      </w:r>
      <w:r w:rsidRPr="000D7205">
        <w:rPr>
          <w:i/>
          <w:color w:val="000000" w:themeColor="text1"/>
          <w:shd w:val="clear" w:color="auto" w:fill="FFFFFF"/>
        </w:rPr>
        <w:t xml:space="preserve"> </w:t>
      </w:r>
      <w:r w:rsidRPr="000D7205">
        <w:rPr>
          <w:i/>
          <w:color w:val="000000" w:themeColor="text1"/>
        </w:rPr>
        <w:t>10</w:t>
      </w:r>
      <w:r w:rsidRPr="000D7205">
        <w:rPr>
          <w:color w:val="000000" w:themeColor="text1"/>
        </w:rPr>
        <w:t>, 304-328.</w:t>
      </w:r>
    </w:p>
    <w:p w14:paraId="540F7052" w14:textId="77777777" w:rsidR="00E87700" w:rsidRPr="000D7205" w:rsidRDefault="00E87700" w:rsidP="00E87700">
      <w:pPr>
        <w:spacing w:line="360" w:lineRule="auto"/>
        <w:ind w:left="567" w:hanging="567"/>
        <w:rPr>
          <w:color w:val="000000" w:themeColor="text1"/>
          <w:shd w:val="clear" w:color="auto" w:fill="FFFFFF"/>
        </w:rPr>
      </w:pPr>
      <w:r w:rsidRPr="000D7205">
        <w:rPr>
          <w:color w:val="000000" w:themeColor="text1"/>
          <w:shd w:val="clear" w:color="auto" w:fill="FFFFFF"/>
        </w:rPr>
        <w:t xml:space="preserve">Simbula, S., Guglielmi, D., &amp; Schaufeli, W. B. (2011). A three-wave study of job resources, self-efficacy, and work engagement among Italian schoolteachers. </w:t>
      </w:r>
      <w:r w:rsidRPr="000D7205">
        <w:rPr>
          <w:i/>
          <w:iCs/>
          <w:color w:val="000000" w:themeColor="text1"/>
          <w:shd w:val="clear" w:color="auto" w:fill="FFFFFF"/>
        </w:rPr>
        <w:t>European Journal of Work and Organizational Psychology</w:t>
      </w:r>
      <w:r w:rsidRPr="000D7205">
        <w:rPr>
          <w:color w:val="000000" w:themeColor="text1"/>
          <w:shd w:val="clear" w:color="auto" w:fill="FFFFFF"/>
        </w:rPr>
        <w:t>,</w:t>
      </w:r>
      <w:r w:rsidRPr="000D7205">
        <w:rPr>
          <w:rStyle w:val="apple-converted-space"/>
          <w:color w:val="000000" w:themeColor="text1"/>
          <w:shd w:val="clear" w:color="auto" w:fill="FFFFFF"/>
        </w:rPr>
        <w:t> </w:t>
      </w:r>
      <w:r w:rsidRPr="000D7205">
        <w:rPr>
          <w:i/>
          <w:iCs/>
          <w:color w:val="000000" w:themeColor="text1"/>
          <w:shd w:val="clear" w:color="auto" w:fill="FFFFFF"/>
        </w:rPr>
        <w:t>20</w:t>
      </w:r>
      <w:r w:rsidRPr="000D7205">
        <w:rPr>
          <w:color w:val="000000" w:themeColor="text1"/>
          <w:shd w:val="clear" w:color="auto" w:fill="FFFFFF"/>
        </w:rPr>
        <w:t>(3), 285-304.</w:t>
      </w:r>
    </w:p>
    <w:p w14:paraId="6F54E8FB" w14:textId="77777777" w:rsidR="00E87700" w:rsidRPr="000D7205" w:rsidRDefault="00E87700" w:rsidP="00E87700">
      <w:pPr>
        <w:spacing w:line="360" w:lineRule="auto"/>
        <w:ind w:left="567" w:hanging="567"/>
        <w:rPr>
          <w:color w:val="000000" w:themeColor="text1"/>
          <w:shd w:val="clear" w:color="auto" w:fill="FFFFFF"/>
        </w:rPr>
      </w:pPr>
      <w:r w:rsidRPr="000D7205">
        <w:rPr>
          <w:color w:val="000000" w:themeColor="text1"/>
          <w:shd w:val="clear" w:color="auto" w:fill="FFFFFF"/>
        </w:rPr>
        <w:t>Skaalvik, E. M., &amp; Skaalvik, S. (2014). Teacher self-efficacy and perceived autonomy: relations with teacher engagement, job satisfaction, and emotional exhaustion. 1.</w:t>
      </w:r>
      <w:r w:rsidRPr="000D7205">
        <w:rPr>
          <w:rStyle w:val="apple-converted-space"/>
          <w:color w:val="000000" w:themeColor="text1"/>
          <w:shd w:val="clear" w:color="auto" w:fill="FFFFFF"/>
        </w:rPr>
        <w:t> </w:t>
      </w:r>
      <w:r w:rsidRPr="000D7205">
        <w:rPr>
          <w:i/>
          <w:iCs/>
          <w:color w:val="000000" w:themeColor="text1"/>
          <w:shd w:val="clear" w:color="auto" w:fill="FFFFFF"/>
        </w:rPr>
        <w:t>Psychological Reports</w:t>
      </w:r>
      <w:r w:rsidRPr="000D7205">
        <w:rPr>
          <w:color w:val="000000" w:themeColor="text1"/>
          <w:shd w:val="clear" w:color="auto" w:fill="FFFFFF"/>
        </w:rPr>
        <w:t>,</w:t>
      </w:r>
      <w:r w:rsidRPr="000D7205">
        <w:rPr>
          <w:rStyle w:val="apple-converted-space"/>
          <w:color w:val="000000" w:themeColor="text1"/>
          <w:shd w:val="clear" w:color="auto" w:fill="FFFFFF"/>
        </w:rPr>
        <w:t> </w:t>
      </w:r>
      <w:r w:rsidRPr="000D7205">
        <w:rPr>
          <w:i/>
          <w:iCs/>
          <w:color w:val="000000" w:themeColor="text1"/>
          <w:shd w:val="clear" w:color="auto" w:fill="FFFFFF"/>
        </w:rPr>
        <w:t>114</w:t>
      </w:r>
      <w:r w:rsidRPr="000D7205">
        <w:rPr>
          <w:color w:val="000000" w:themeColor="text1"/>
          <w:shd w:val="clear" w:color="auto" w:fill="FFFFFF"/>
        </w:rPr>
        <w:t>(1), 68-77.</w:t>
      </w:r>
    </w:p>
    <w:p w14:paraId="277AD44E" w14:textId="77777777" w:rsidR="00E87700" w:rsidRPr="000D7205" w:rsidRDefault="00E87700" w:rsidP="00E87700">
      <w:pPr>
        <w:spacing w:line="360" w:lineRule="auto"/>
        <w:ind w:left="567" w:hanging="567"/>
        <w:rPr>
          <w:color w:val="000000" w:themeColor="text1"/>
        </w:rPr>
      </w:pPr>
      <w:r w:rsidRPr="000D7205">
        <w:rPr>
          <w:color w:val="000000" w:themeColor="text1"/>
          <w:shd w:val="clear" w:color="auto" w:fill="FFFFFF"/>
        </w:rPr>
        <w:lastRenderedPageBreak/>
        <w:t>Suh, E., Diener, E., Oishi, S., &amp; Triandis, H. C. (1998). The shifting basis of life satisfaction judgments across cultures: Emotions versus norms.</w:t>
      </w:r>
      <w:r w:rsidRPr="000D7205">
        <w:rPr>
          <w:rStyle w:val="apple-converted-space"/>
          <w:color w:val="000000" w:themeColor="text1"/>
          <w:shd w:val="clear" w:color="auto" w:fill="FFFFFF"/>
        </w:rPr>
        <w:t> </w:t>
      </w:r>
      <w:r w:rsidRPr="000D7205">
        <w:rPr>
          <w:i/>
          <w:iCs/>
          <w:color w:val="000000" w:themeColor="text1"/>
          <w:shd w:val="clear" w:color="auto" w:fill="FFFFFF"/>
        </w:rPr>
        <w:t>Journal of personality and social psychology</w:t>
      </w:r>
      <w:r w:rsidRPr="000D7205">
        <w:rPr>
          <w:color w:val="000000" w:themeColor="text1"/>
          <w:shd w:val="clear" w:color="auto" w:fill="FFFFFF"/>
        </w:rPr>
        <w:t>,</w:t>
      </w:r>
      <w:r w:rsidRPr="000D7205">
        <w:rPr>
          <w:rStyle w:val="apple-converted-space"/>
          <w:color w:val="000000" w:themeColor="text1"/>
          <w:shd w:val="clear" w:color="auto" w:fill="FFFFFF"/>
        </w:rPr>
        <w:t> </w:t>
      </w:r>
      <w:r w:rsidRPr="000D7205">
        <w:rPr>
          <w:i/>
          <w:iCs/>
          <w:color w:val="000000" w:themeColor="text1"/>
          <w:shd w:val="clear" w:color="auto" w:fill="FFFFFF"/>
        </w:rPr>
        <w:t>74</w:t>
      </w:r>
      <w:r w:rsidRPr="000D7205">
        <w:rPr>
          <w:color w:val="000000" w:themeColor="text1"/>
          <w:shd w:val="clear" w:color="auto" w:fill="FFFFFF"/>
        </w:rPr>
        <w:t>(2), 482-493.</w:t>
      </w:r>
    </w:p>
    <w:p w14:paraId="2E2F7633" w14:textId="77777777" w:rsidR="00E87700" w:rsidRPr="000D7205" w:rsidRDefault="00E87700" w:rsidP="00E87700">
      <w:pPr>
        <w:spacing w:line="360" w:lineRule="auto"/>
        <w:ind w:left="567" w:hanging="567"/>
        <w:rPr>
          <w:color w:val="000000" w:themeColor="text1"/>
        </w:rPr>
      </w:pPr>
      <w:r w:rsidRPr="000D7205">
        <w:rPr>
          <w:color w:val="000000" w:themeColor="text1"/>
        </w:rPr>
        <w:t xml:space="preserve">Thomas, C. H. (2006). </w:t>
      </w:r>
      <w:r w:rsidRPr="000D7205">
        <w:rPr>
          <w:i/>
          <w:iCs/>
          <w:color w:val="000000" w:themeColor="text1"/>
        </w:rPr>
        <w:t xml:space="preserve">Clarifying the concept of work engagement: Construct validation and an empirical test. </w:t>
      </w:r>
      <w:r>
        <w:rPr>
          <w:color w:val="000000" w:themeColor="text1"/>
        </w:rPr>
        <w:t>Doctoral d</w:t>
      </w:r>
      <w:r w:rsidRPr="000D7205">
        <w:rPr>
          <w:color w:val="000000" w:themeColor="text1"/>
        </w:rPr>
        <w:t>isserta</w:t>
      </w:r>
      <w:r>
        <w:rPr>
          <w:color w:val="000000" w:themeColor="text1"/>
        </w:rPr>
        <w:t>tion, The University of Georgia</w:t>
      </w:r>
      <w:r w:rsidRPr="000D7205">
        <w:rPr>
          <w:color w:val="000000" w:themeColor="text1"/>
        </w:rPr>
        <w:t xml:space="preserve">. Retrieved from </w:t>
      </w:r>
      <w:hyperlink r:id="rId21" w:history="1">
        <w:r w:rsidRPr="000D7205">
          <w:rPr>
            <w:rStyle w:val="Hyperlink"/>
            <w:color w:val="000000" w:themeColor="text1"/>
          </w:rPr>
          <w:t>http://hdl.handle.net/10724/9113</w:t>
        </w:r>
      </w:hyperlink>
      <w:r w:rsidRPr="000D7205">
        <w:rPr>
          <w:color w:val="000000" w:themeColor="text1"/>
        </w:rPr>
        <w:t>.</w:t>
      </w:r>
    </w:p>
    <w:p w14:paraId="6DD64F67" w14:textId="77777777" w:rsidR="00E87700" w:rsidRPr="000D7205" w:rsidRDefault="00E87700" w:rsidP="00E87700">
      <w:pPr>
        <w:spacing w:line="360" w:lineRule="auto"/>
        <w:ind w:left="567" w:hanging="567"/>
        <w:rPr>
          <w:color w:val="000000" w:themeColor="text1"/>
          <w:shd w:val="clear" w:color="auto" w:fill="FFFFFF"/>
        </w:rPr>
      </w:pPr>
      <w:r w:rsidRPr="000D7205">
        <w:rPr>
          <w:color w:val="000000" w:themeColor="text1"/>
        </w:rPr>
        <w:t xml:space="preserve">Tschannen-Moran, M. &amp; Woolfolk Hoy, A. (2001). Teacher efficacy: Capturing an elusive construct. </w:t>
      </w:r>
      <w:r w:rsidRPr="000D7205">
        <w:rPr>
          <w:i/>
          <w:iCs/>
          <w:color w:val="000000" w:themeColor="text1"/>
        </w:rPr>
        <w:t>Teaching and Teacher Education, 17</w:t>
      </w:r>
      <w:r w:rsidRPr="000D7205">
        <w:rPr>
          <w:color w:val="000000" w:themeColor="text1"/>
        </w:rPr>
        <w:t>, 783-805. Retrieved from http://www.sciencedirect.com/science/article/pii/S0742051X01000361#</w:t>
      </w:r>
    </w:p>
    <w:p w14:paraId="51B10A31" w14:textId="77777777" w:rsidR="00E87700" w:rsidRPr="000D7205" w:rsidRDefault="00E87700" w:rsidP="00E87700">
      <w:pPr>
        <w:spacing w:line="360" w:lineRule="auto"/>
        <w:ind w:left="567" w:hanging="567"/>
        <w:rPr>
          <w:color w:val="000000" w:themeColor="text1"/>
        </w:rPr>
      </w:pPr>
      <w:r w:rsidRPr="000D7205">
        <w:rPr>
          <w:color w:val="000000" w:themeColor="text1"/>
        </w:rPr>
        <w:t xml:space="preserve">Uştu, H. (2014). </w:t>
      </w:r>
      <w:r w:rsidRPr="00DA6FCE">
        <w:rPr>
          <w:i/>
          <w:color w:val="000000" w:themeColor="text1"/>
        </w:rPr>
        <w:t>Predictors of primary school teachers' organizational commitment and detecting teachers' organizational commitment, occupational commitment and intent to leave levels.</w:t>
      </w:r>
      <w:r w:rsidRPr="000D7205">
        <w:rPr>
          <w:color w:val="000000" w:themeColor="text1"/>
        </w:rPr>
        <w:t xml:space="preserve"> Unpublished master thesis, Çukurova University, Adana.</w:t>
      </w:r>
    </w:p>
    <w:p w14:paraId="0FE0E9AC" w14:textId="77777777" w:rsidR="00E87700" w:rsidRPr="000D7205" w:rsidRDefault="00E87700" w:rsidP="00E87700">
      <w:pPr>
        <w:spacing w:line="360" w:lineRule="auto"/>
        <w:ind w:left="567" w:hanging="567"/>
        <w:rPr>
          <w:color w:val="000000" w:themeColor="text1"/>
        </w:rPr>
      </w:pPr>
      <w:r w:rsidRPr="000D7205">
        <w:rPr>
          <w:color w:val="000000" w:themeColor="text1"/>
        </w:rPr>
        <w:t xml:space="preserve">Wang, Y., &amp; Qin, J. (2011). The </w:t>
      </w:r>
      <w:r>
        <w:rPr>
          <w:color w:val="000000" w:themeColor="text1"/>
        </w:rPr>
        <w:t>structure of preschool teachers’</w:t>
      </w:r>
      <w:r w:rsidRPr="000D7205">
        <w:rPr>
          <w:color w:val="000000" w:themeColor="text1"/>
        </w:rPr>
        <w:t xml:space="preserve"> work engagement survey in China</w:t>
      </w:r>
      <w:r w:rsidRPr="000D7205">
        <w:rPr>
          <w:i/>
          <w:iCs/>
          <w:color w:val="000000" w:themeColor="text1"/>
        </w:rPr>
        <w:t>. International Conference on Social Science and Humanity, 5</w:t>
      </w:r>
      <w:r w:rsidRPr="000D7205">
        <w:rPr>
          <w:color w:val="000000" w:themeColor="text1"/>
        </w:rPr>
        <w:t xml:space="preserve">, 464-468. Retrieved from </w:t>
      </w:r>
      <w:hyperlink r:id="rId22" w:history="1">
        <w:r w:rsidRPr="000D7205">
          <w:rPr>
            <w:rStyle w:val="Hyperlink"/>
            <w:color w:val="000000" w:themeColor="text1"/>
          </w:rPr>
          <w:t>http://www.ipedr.com/vol5/no2/103-H10248.pdf</w:t>
        </w:r>
      </w:hyperlink>
    </w:p>
    <w:p w14:paraId="4271263A" w14:textId="77777777" w:rsidR="00E87700" w:rsidRPr="000D7205" w:rsidRDefault="00E87700" w:rsidP="00E87700">
      <w:pPr>
        <w:spacing w:line="360" w:lineRule="auto"/>
        <w:ind w:left="567" w:hanging="567"/>
        <w:rPr>
          <w:color w:val="000000" w:themeColor="text1"/>
        </w:rPr>
      </w:pPr>
      <w:r w:rsidRPr="000D7205">
        <w:rPr>
          <w:color w:val="000000" w:themeColor="text1"/>
        </w:rPr>
        <w:t xml:space="preserve">Xanthopoulou, D., Bakker, A.B., Demerouti, E. &amp; Schaufeli, W.B. (2007). The role of personal resources in the job demands-resources model. </w:t>
      </w:r>
      <w:r w:rsidRPr="000D7205">
        <w:rPr>
          <w:i/>
          <w:color w:val="000000" w:themeColor="text1"/>
        </w:rPr>
        <w:t>International Journal of Stress Management, 14</w:t>
      </w:r>
      <w:r w:rsidRPr="000D7205">
        <w:rPr>
          <w:color w:val="000000" w:themeColor="text1"/>
        </w:rPr>
        <w:t>, 121-141.</w:t>
      </w:r>
    </w:p>
    <w:p w14:paraId="09D46880" w14:textId="77777777" w:rsidR="00E87700" w:rsidRPr="000D7205" w:rsidRDefault="00E87700" w:rsidP="00E87700">
      <w:pPr>
        <w:spacing w:line="360" w:lineRule="auto"/>
        <w:ind w:left="567" w:hanging="567"/>
        <w:rPr>
          <w:color w:val="000000" w:themeColor="text1"/>
        </w:rPr>
      </w:pPr>
      <w:r w:rsidRPr="000D7205">
        <w:rPr>
          <w:color w:val="000000" w:themeColor="text1"/>
          <w:shd w:val="clear" w:color="auto" w:fill="FFFFFF"/>
        </w:rPr>
        <w:t>Xanthopoulou, D., Bakker, A. B., Demerouti, E., &amp; Schaufeli, W. B. (2009). Reciprocal relationships between job resources, personal resources, and work engagement. </w:t>
      </w:r>
      <w:r w:rsidRPr="000D7205">
        <w:rPr>
          <w:i/>
          <w:iCs/>
          <w:color w:val="000000" w:themeColor="text1"/>
          <w:shd w:val="clear" w:color="auto" w:fill="FFFFFF"/>
        </w:rPr>
        <w:t>Journal of Vocational behavior</w:t>
      </w:r>
      <w:r w:rsidRPr="000D7205">
        <w:rPr>
          <w:color w:val="000000" w:themeColor="text1"/>
          <w:shd w:val="clear" w:color="auto" w:fill="FFFFFF"/>
        </w:rPr>
        <w:t>, </w:t>
      </w:r>
      <w:r w:rsidRPr="000D7205">
        <w:rPr>
          <w:i/>
          <w:iCs/>
          <w:color w:val="000000" w:themeColor="text1"/>
          <w:shd w:val="clear" w:color="auto" w:fill="FFFFFF"/>
        </w:rPr>
        <w:t>74</w:t>
      </w:r>
      <w:r w:rsidRPr="000D7205">
        <w:rPr>
          <w:color w:val="000000" w:themeColor="text1"/>
          <w:shd w:val="clear" w:color="auto" w:fill="FFFFFF"/>
        </w:rPr>
        <w:t>(3), 235-244.</w:t>
      </w:r>
    </w:p>
    <w:p w14:paraId="34B9996B" w14:textId="77777777" w:rsidR="00E87700" w:rsidRPr="000D7205" w:rsidRDefault="00E87700" w:rsidP="00E87700">
      <w:pPr>
        <w:spacing w:line="360" w:lineRule="auto"/>
        <w:ind w:left="567" w:hanging="567"/>
        <w:rPr>
          <w:color w:val="000000" w:themeColor="text1"/>
        </w:rPr>
      </w:pPr>
      <w:r w:rsidRPr="000D7205">
        <w:rPr>
          <w:color w:val="000000" w:themeColor="text1"/>
        </w:rPr>
        <w:t xml:space="preserve">Yüksel, H., &amp; Yüksel, M. (2014). The correlation between job satisfaction and job turnover: A case study on the secondary school teachers. </w:t>
      </w:r>
      <w:r w:rsidRPr="000D7205">
        <w:rPr>
          <w:i/>
          <w:color w:val="000000" w:themeColor="text1"/>
        </w:rPr>
        <w:t>The Journal of International Social Research, 7</w:t>
      </w:r>
      <w:r w:rsidRPr="000D7205">
        <w:rPr>
          <w:color w:val="000000" w:themeColor="text1"/>
        </w:rPr>
        <w:t>(32), 559-572.</w:t>
      </w:r>
    </w:p>
    <w:p w14:paraId="4F3F6A13" w14:textId="77777777" w:rsidR="00E87700" w:rsidRPr="000D7205" w:rsidRDefault="00E87700" w:rsidP="00E87700">
      <w:pPr>
        <w:spacing w:line="360" w:lineRule="auto"/>
        <w:ind w:left="567" w:hanging="567"/>
        <w:rPr>
          <w:color w:val="000000" w:themeColor="text1"/>
        </w:rPr>
        <w:sectPr w:rsidR="00E87700" w:rsidRPr="000D7205" w:rsidSect="00074B81">
          <w:footerReference w:type="default" r:id="rId23"/>
          <w:pgSz w:w="11901" w:h="16840" w:code="9"/>
          <w:pgMar w:top="1418" w:right="1701" w:bottom="1418" w:left="1701" w:header="709" w:footer="709" w:gutter="0"/>
          <w:cols w:space="708"/>
          <w:docGrid w:linePitch="360"/>
        </w:sectPr>
      </w:pPr>
    </w:p>
    <w:p w14:paraId="4ED52A53" w14:textId="77777777" w:rsidR="00E87700" w:rsidRPr="000D7205" w:rsidRDefault="00E87700" w:rsidP="00E87700">
      <w:pPr>
        <w:spacing w:before="120" w:after="120"/>
        <w:ind w:left="567" w:hanging="567"/>
        <w:jc w:val="both"/>
        <w:rPr>
          <w:b/>
          <w:color w:val="000000" w:themeColor="text1"/>
        </w:rPr>
      </w:pPr>
      <w:r w:rsidRPr="000D7205">
        <w:rPr>
          <w:b/>
          <w:color w:val="000000" w:themeColor="text1"/>
        </w:rPr>
        <w:lastRenderedPageBreak/>
        <w:t>Appendices</w:t>
      </w:r>
    </w:p>
    <w:p w14:paraId="62C5A0AB" w14:textId="77777777" w:rsidR="00E87700" w:rsidRPr="000D7205" w:rsidRDefault="00E87700" w:rsidP="00E87700">
      <w:pPr>
        <w:pStyle w:val="Caption"/>
        <w:rPr>
          <w:b w:val="0"/>
          <w:i/>
          <w:color w:val="000000" w:themeColor="text1"/>
          <w:sz w:val="22"/>
          <w:szCs w:val="22"/>
        </w:rPr>
      </w:pPr>
      <w:bookmarkStart w:id="1" w:name="_Ref465513482"/>
      <w:r w:rsidRPr="000D7205">
        <w:rPr>
          <w:b w:val="0"/>
          <w:color w:val="000000" w:themeColor="text1"/>
          <w:sz w:val="22"/>
          <w:szCs w:val="22"/>
        </w:rPr>
        <w:t xml:space="preserve">Appendix </w:t>
      </w:r>
      <w:r w:rsidRPr="000D7205">
        <w:rPr>
          <w:b w:val="0"/>
          <w:color w:val="000000" w:themeColor="text1"/>
          <w:sz w:val="22"/>
          <w:szCs w:val="22"/>
        </w:rPr>
        <w:fldChar w:fldCharType="begin"/>
      </w:r>
      <w:r w:rsidRPr="000D7205">
        <w:rPr>
          <w:b w:val="0"/>
          <w:color w:val="000000" w:themeColor="text1"/>
          <w:sz w:val="22"/>
          <w:szCs w:val="22"/>
        </w:rPr>
        <w:instrText xml:space="preserve"> SEQ Appendix \* ARABIC </w:instrText>
      </w:r>
      <w:r w:rsidRPr="000D7205">
        <w:rPr>
          <w:b w:val="0"/>
          <w:color w:val="000000" w:themeColor="text1"/>
          <w:sz w:val="22"/>
          <w:szCs w:val="22"/>
        </w:rPr>
        <w:fldChar w:fldCharType="separate"/>
      </w:r>
      <w:r>
        <w:rPr>
          <w:b w:val="0"/>
          <w:noProof/>
          <w:color w:val="000000" w:themeColor="text1"/>
          <w:sz w:val="22"/>
          <w:szCs w:val="22"/>
        </w:rPr>
        <w:t>1</w:t>
      </w:r>
      <w:r w:rsidRPr="000D7205">
        <w:rPr>
          <w:b w:val="0"/>
          <w:color w:val="000000" w:themeColor="text1"/>
          <w:sz w:val="22"/>
          <w:szCs w:val="22"/>
        </w:rPr>
        <w:fldChar w:fldCharType="end"/>
      </w:r>
      <w:bookmarkEnd w:id="1"/>
      <w:r w:rsidRPr="000D7205">
        <w:rPr>
          <w:b w:val="0"/>
          <w:color w:val="000000" w:themeColor="text1"/>
          <w:sz w:val="22"/>
          <w:szCs w:val="22"/>
        </w:rPr>
        <w:t xml:space="preserve">: </w:t>
      </w:r>
      <w:r w:rsidRPr="000D7205">
        <w:rPr>
          <w:b w:val="0"/>
          <w:i/>
          <w:color w:val="000000" w:themeColor="text1"/>
          <w:sz w:val="22"/>
          <w:szCs w:val="22"/>
        </w:rPr>
        <w:t>English and Turkish Items of the ETS</w:t>
      </w:r>
    </w:p>
    <w:tbl>
      <w:tblPr>
        <w:tblStyle w:val="TableGrid"/>
        <w:tblW w:w="5000" w:type="pct"/>
        <w:tblLook w:val="04A0" w:firstRow="1" w:lastRow="0" w:firstColumn="1" w:lastColumn="0" w:noHBand="0" w:noVBand="1"/>
      </w:tblPr>
      <w:tblGrid>
        <w:gridCol w:w="1255"/>
        <w:gridCol w:w="3546"/>
        <w:gridCol w:w="3914"/>
      </w:tblGrid>
      <w:tr w:rsidR="00E87700" w:rsidRPr="000D7205" w14:paraId="3316FCE9" w14:textId="77777777" w:rsidTr="00DC16FB">
        <w:tc>
          <w:tcPr>
            <w:tcW w:w="669" w:type="pct"/>
          </w:tcPr>
          <w:p w14:paraId="52B1BD40" w14:textId="77777777" w:rsidR="00E87700" w:rsidRPr="000D7205" w:rsidRDefault="00E87700" w:rsidP="00DC16FB">
            <w:pPr>
              <w:spacing w:before="120" w:after="120"/>
              <w:contextualSpacing/>
              <w:rPr>
                <w:color w:val="000000" w:themeColor="text1"/>
                <w:sz w:val="22"/>
                <w:szCs w:val="22"/>
              </w:rPr>
            </w:pPr>
          </w:p>
        </w:tc>
        <w:tc>
          <w:tcPr>
            <w:tcW w:w="2060" w:type="pct"/>
          </w:tcPr>
          <w:p w14:paraId="07B62721" w14:textId="77777777" w:rsidR="00E87700" w:rsidRPr="000D7205" w:rsidRDefault="00E87700" w:rsidP="00DC16FB">
            <w:pPr>
              <w:spacing w:before="120" w:after="120"/>
              <w:contextualSpacing/>
              <w:jc w:val="center"/>
              <w:rPr>
                <w:color w:val="000000" w:themeColor="text1"/>
                <w:sz w:val="22"/>
                <w:szCs w:val="22"/>
              </w:rPr>
            </w:pPr>
            <w:r w:rsidRPr="000D7205">
              <w:rPr>
                <w:rFonts w:ascii="Times New Roman" w:hAnsi="Times New Roman" w:cs="Times New Roman"/>
                <w:color w:val="000000" w:themeColor="text1"/>
                <w:sz w:val="22"/>
                <w:szCs w:val="22"/>
              </w:rPr>
              <w:t>English</w:t>
            </w:r>
          </w:p>
        </w:tc>
        <w:tc>
          <w:tcPr>
            <w:tcW w:w="2271" w:type="pct"/>
          </w:tcPr>
          <w:p w14:paraId="7207DF86" w14:textId="77777777" w:rsidR="00E87700" w:rsidRPr="000D7205" w:rsidRDefault="00E87700" w:rsidP="00DC16FB">
            <w:pPr>
              <w:spacing w:before="120" w:after="120"/>
              <w:contextualSpacing/>
              <w:jc w:val="center"/>
              <w:rPr>
                <w:color w:val="000000" w:themeColor="text1"/>
                <w:sz w:val="22"/>
                <w:szCs w:val="22"/>
              </w:rPr>
            </w:pPr>
            <w:r w:rsidRPr="000D7205">
              <w:rPr>
                <w:rFonts w:ascii="Times New Roman" w:hAnsi="Times New Roman" w:cs="Times New Roman"/>
                <w:color w:val="000000" w:themeColor="text1"/>
                <w:sz w:val="22"/>
                <w:szCs w:val="22"/>
              </w:rPr>
              <w:t>Turkish</w:t>
            </w:r>
          </w:p>
        </w:tc>
      </w:tr>
      <w:tr w:rsidR="00E87700" w:rsidRPr="000D7205" w14:paraId="6F282F91" w14:textId="77777777" w:rsidTr="00DC16FB">
        <w:tc>
          <w:tcPr>
            <w:tcW w:w="669" w:type="pct"/>
          </w:tcPr>
          <w:p w14:paraId="13F13969" w14:textId="77777777" w:rsidR="00E87700" w:rsidRPr="00DA6FCE" w:rsidRDefault="00E87700" w:rsidP="00DC16FB">
            <w:pPr>
              <w:spacing w:before="120" w:after="120"/>
              <w:contextualSpacing/>
              <w:rPr>
                <w:rFonts w:ascii="Times New Roman" w:hAnsi="Times New Roman" w:cs="Times New Roman"/>
                <w:color w:val="FF0000"/>
                <w:sz w:val="22"/>
                <w:szCs w:val="22"/>
              </w:rPr>
            </w:pPr>
            <w:r w:rsidRPr="00DA6FCE">
              <w:rPr>
                <w:rFonts w:ascii="Times New Roman" w:hAnsi="Times New Roman" w:cs="Times New Roman"/>
                <w:color w:val="FF0000"/>
                <w:sz w:val="22"/>
                <w:szCs w:val="22"/>
              </w:rPr>
              <w:t>Name</w:t>
            </w:r>
          </w:p>
        </w:tc>
        <w:tc>
          <w:tcPr>
            <w:tcW w:w="2060" w:type="pct"/>
          </w:tcPr>
          <w:p w14:paraId="28341E8E" w14:textId="77777777" w:rsidR="00E87700" w:rsidRPr="00DA6FCE" w:rsidRDefault="00E87700" w:rsidP="00DC16FB">
            <w:pPr>
              <w:spacing w:before="120" w:after="120"/>
              <w:contextualSpacing/>
              <w:rPr>
                <w:rFonts w:ascii="Times New Roman" w:hAnsi="Times New Roman" w:cs="Times New Roman"/>
                <w:color w:val="FF0000"/>
                <w:sz w:val="22"/>
                <w:szCs w:val="22"/>
              </w:rPr>
            </w:pPr>
            <w:r w:rsidRPr="00DA6FCE">
              <w:rPr>
                <w:rFonts w:ascii="Times New Roman" w:hAnsi="Times New Roman" w:cs="Times New Roman"/>
                <w:color w:val="FF0000"/>
                <w:sz w:val="22"/>
                <w:szCs w:val="22"/>
              </w:rPr>
              <w:t>Engaged Teacher Scale</w:t>
            </w:r>
          </w:p>
        </w:tc>
        <w:tc>
          <w:tcPr>
            <w:tcW w:w="2271" w:type="pct"/>
          </w:tcPr>
          <w:p w14:paraId="7284E3E8" w14:textId="576446BA" w:rsidR="00E87700" w:rsidRPr="00DA6FCE" w:rsidRDefault="00E87700" w:rsidP="00176C0D">
            <w:pPr>
              <w:spacing w:before="120" w:after="120"/>
              <w:contextualSpacing/>
              <w:rPr>
                <w:rFonts w:ascii="Times New Roman" w:hAnsi="Times New Roman" w:cs="Times New Roman"/>
                <w:color w:val="FF0000"/>
                <w:sz w:val="22"/>
                <w:szCs w:val="22"/>
              </w:rPr>
            </w:pPr>
            <w:r w:rsidRPr="004C3100">
              <w:rPr>
                <w:rFonts w:ascii="Times New Roman" w:hAnsi="Times New Roman" w:cs="Times New Roman"/>
                <w:color w:val="FF0000"/>
                <w:sz w:val="22"/>
                <w:szCs w:val="22"/>
                <w:highlight w:val="yellow"/>
              </w:rPr>
              <w:t xml:space="preserve">Öğretmenler için </w:t>
            </w:r>
            <w:r w:rsidR="00176C0D" w:rsidRPr="004C3100">
              <w:rPr>
                <w:rFonts w:ascii="Times New Roman" w:hAnsi="Times New Roman" w:cs="Times New Roman"/>
                <w:color w:val="FF0000"/>
                <w:sz w:val="22"/>
                <w:szCs w:val="22"/>
                <w:highlight w:val="yellow"/>
              </w:rPr>
              <w:t>Mesleğe</w:t>
            </w:r>
            <w:r w:rsidRPr="004C3100">
              <w:rPr>
                <w:rFonts w:ascii="Times New Roman" w:hAnsi="Times New Roman" w:cs="Times New Roman"/>
                <w:color w:val="FF0000"/>
                <w:sz w:val="22"/>
                <w:szCs w:val="22"/>
                <w:highlight w:val="yellow"/>
              </w:rPr>
              <w:t xml:space="preserve"> </w:t>
            </w:r>
            <w:r w:rsidR="00176C0D" w:rsidRPr="004C3100">
              <w:rPr>
                <w:rFonts w:ascii="Times New Roman" w:hAnsi="Times New Roman" w:cs="Times New Roman"/>
                <w:color w:val="FF0000"/>
                <w:sz w:val="22"/>
                <w:szCs w:val="22"/>
                <w:highlight w:val="yellow"/>
              </w:rPr>
              <w:t>Adanmışlık</w:t>
            </w:r>
            <w:r w:rsidR="00E531BD" w:rsidRPr="004C3100">
              <w:rPr>
                <w:rFonts w:ascii="Times New Roman" w:hAnsi="Times New Roman" w:cs="Times New Roman"/>
                <w:color w:val="FF0000"/>
                <w:sz w:val="22"/>
                <w:szCs w:val="22"/>
                <w:highlight w:val="yellow"/>
              </w:rPr>
              <w:t xml:space="preserve"> </w:t>
            </w:r>
            <w:r w:rsidRPr="004C3100">
              <w:rPr>
                <w:rFonts w:ascii="Times New Roman" w:hAnsi="Times New Roman" w:cs="Times New Roman"/>
                <w:color w:val="FF0000"/>
                <w:sz w:val="22"/>
                <w:szCs w:val="22"/>
                <w:highlight w:val="yellow"/>
              </w:rPr>
              <w:t>Ölçeği</w:t>
            </w:r>
          </w:p>
        </w:tc>
      </w:tr>
      <w:tr w:rsidR="00E87700" w:rsidRPr="000D7205" w14:paraId="2CE30615" w14:textId="77777777" w:rsidTr="00DC16FB">
        <w:tc>
          <w:tcPr>
            <w:tcW w:w="669" w:type="pct"/>
            <w:vAlign w:val="center"/>
          </w:tcPr>
          <w:p w14:paraId="73B5CA47" w14:textId="77777777" w:rsidR="00E87700" w:rsidRPr="000D7205" w:rsidRDefault="00E87700" w:rsidP="00DC16FB">
            <w:pPr>
              <w:spacing w:before="120" w:after="120"/>
              <w:rPr>
                <w:rFonts w:ascii="Times New Roman" w:hAnsi="Times New Roman" w:cs="Times New Roman"/>
                <w:color w:val="000000" w:themeColor="text1"/>
                <w:sz w:val="22"/>
                <w:szCs w:val="22"/>
              </w:rPr>
            </w:pPr>
          </w:p>
          <w:p w14:paraId="201E08B2" w14:textId="77777777" w:rsidR="00E87700" w:rsidRPr="000D7205" w:rsidRDefault="00E87700" w:rsidP="00DC16FB">
            <w:pPr>
              <w:spacing w:before="120" w:after="120"/>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Instructions</w:t>
            </w:r>
          </w:p>
          <w:p w14:paraId="3B4054BA" w14:textId="77777777" w:rsidR="00E87700" w:rsidRPr="000D7205" w:rsidRDefault="00E87700" w:rsidP="00DC16FB">
            <w:pPr>
              <w:spacing w:before="120" w:after="120"/>
              <w:rPr>
                <w:rFonts w:ascii="Times New Roman" w:hAnsi="Times New Roman" w:cs="Times New Roman"/>
                <w:color w:val="000000" w:themeColor="text1"/>
                <w:sz w:val="22"/>
                <w:szCs w:val="22"/>
              </w:rPr>
            </w:pPr>
          </w:p>
        </w:tc>
        <w:tc>
          <w:tcPr>
            <w:tcW w:w="2060" w:type="pct"/>
          </w:tcPr>
          <w:p w14:paraId="2DFF4906" w14:textId="77777777" w:rsidR="00E87700" w:rsidRPr="000D7205" w:rsidRDefault="00E87700" w:rsidP="00DC16FB">
            <w:pPr>
              <w:spacing w:before="120" w:after="120"/>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Below you will find a list of statements describing your experiences as a teacher.  Please indicate your personal response to each of these statements by checking the number that best represents your answer.</w:t>
            </w:r>
          </w:p>
        </w:tc>
        <w:tc>
          <w:tcPr>
            <w:tcW w:w="2271" w:type="pct"/>
            <w:vAlign w:val="center"/>
          </w:tcPr>
          <w:p w14:paraId="35A142C6" w14:textId="77777777" w:rsidR="00E87700" w:rsidRPr="000D7205" w:rsidRDefault="00E87700" w:rsidP="00DC16FB">
            <w:pPr>
              <w:autoSpaceDE w:val="0"/>
              <w:autoSpaceDN w:val="0"/>
              <w:adjustRightInd w:val="0"/>
              <w:spacing w:before="120" w:after="120"/>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Aşağıda öğretmenlik yaşantınızla ilgili bazı ifadelere yer verilmiştir. Lütfen her bir madde için sizi en iyi yansıtan ifadeyi işaretleyiniz.</w:t>
            </w:r>
          </w:p>
          <w:p w14:paraId="068B665F" w14:textId="77777777" w:rsidR="00E87700" w:rsidRPr="000D7205" w:rsidRDefault="00E87700" w:rsidP="00DC16FB">
            <w:pPr>
              <w:spacing w:before="120" w:after="120"/>
              <w:rPr>
                <w:rFonts w:ascii="Times New Roman" w:hAnsi="Times New Roman" w:cs="Times New Roman"/>
                <w:color w:val="000000" w:themeColor="text1"/>
                <w:sz w:val="22"/>
                <w:szCs w:val="22"/>
              </w:rPr>
            </w:pPr>
          </w:p>
        </w:tc>
      </w:tr>
      <w:tr w:rsidR="00E87700" w:rsidRPr="000D7205" w14:paraId="08211E20" w14:textId="77777777" w:rsidTr="00DC16FB">
        <w:tc>
          <w:tcPr>
            <w:tcW w:w="669" w:type="pct"/>
            <w:vAlign w:val="center"/>
          </w:tcPr>
          <w:p w14:paraId="1C6D169E" w14:textId="77777777" w:rsidR="00E87700" w:rsidRPr="000D7205" w:rsidRDefault="00E87700" w:rsidP="00DC16FB">
            <w:pPr>
              <w:spacing w:before="120" w:after="120"/>
              <w:rPr>
                <w:rFonts w:ascii="Times New Roman" w:hAnsi="Times New Roman" w:cs="Times New Roman"/>
                <w:color w:val="000000" w:themeColor="text1"/>
                <w:sz w:val="22"/>
                <w:szCs w:val="22"/>
              </w:rPr>
            </w:pPr>
          </w:p>
          <w:p w14:paraId="20096DB6" w14:textId="77777777" w:rsidR="00E87700" w:rsidRPr="000D7205" w:rsidRDefault="00E87700" w:rsidP="00DC16FB">
            <w:pPr>
              <w:spacing w:before="120" w:after="120"/>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Response Scale</w:t>
            </w:r>
          </w:p>
        </w:tc>
        <w:tc>
          <w:tcPr>
            <w:tcW w:w="2060" w:type="pct"/>
          </w:tcPr>
          <w:p w14:paraId="24C2AF71" w14:textId="77777777" w:rsidR="00E87700" w:rsidRPr="000D7205" w:rsidRDefault="00E87700" w:rsidP="00DC16FB">
            <w:pPr>
              <w:spacing w:before="120" w:after="120"/>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0: Never, 1: Rarely, 2: On occasion, 3: Sometimes, 4: Often, 5: Frequently, 6: Always</w:t>
            </w:r>
          </w:p>
        </w:tc>
        <w:tc>
          <w:tcPr>
            <w:tcW w:w="2271" w:type="pct"/>
          </w:tcPr>
          <w:p w14:paraId="5BD15119" w14:textId="77777777" w:rsidR="00E87700" w:rsidRPr="000D7205" w:rsidRDefault="00E87700" w:rsidP="00DC16FB">
            <w:pPr>
              <w:spacing w:before="120" w:after="120"/>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0: Hiçbir Zaman, 1: Neredeyse Hiç, 2: Nadiren, 3: Bazen, 4: Sıklıkla, 5: Çoğunlukla, 6: Her Zaman</w:t>
            </w:r>
          </w:p>
        </w:tc>
      </w:tr>
      <w:tr w:rsidR="00E87700" w:rsidRPr="000D7205" w14:paraId="6C4F1561" w14:textId="77777777" w:rsidTr="00DC16FB">
        <w:tc>
          <w:tcPr>
            <w:tcW w:w="669" w:type="pct"/>
            <w:vAlign w:val="center"/>
          </w:tcPr>
          <w:p w14:paraId="798D76A1" w14:textId="77777777" w:rsidR="00E87700" w:rsidRPr="000D7205" w:rsidRDefault="00E87700" w:rsidP="00DC16FB">
            <w:pPr>
              <w:spacing w:before="120" w:after="120"/>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Items</w:t>
            </w:r>
          </w:p>
        </w:tc>
        <w:tc>
          <w:tcPr>
            <w:tcW w:w="2060" w:type="pct"/>
          </w:tcPr>
          <w:p w14:paraId="430D09DB" w14:textId="77777777" w:rsidR="00E87700" w:rsidRPr="000D7205" w:rsidRDefault="00E87700" w:rsidP="00E87700">
            <w:pPr>
              <w:pStyle w:val="Default"/>
              <w:numPr>
                <w:ilvl w:val="0"/>
                <w:numId w:val="34"/>
              </w:numPr>
              <w:spacing w:before="120"/>
              <w:ind w:left="357" w:hanging="357"/>
              <w:rPr>
                <w:rFonts w:ascii="Times New Roman" w:hAnsi="Times New Roman" w:cs="Times New Roman"/>
                <w:color w:val="000000" w:themeColor="text1"/>
                <w:sz w:val="22"/>
                <w:szCs w:val="22"/>
                <w:lang w:val="en-US"/>
              </w:rPr>
            </w:pPr>
            <w:r w:rsidRPr="000D7205">
              <w:rPr>
                <w:rFonts w:ascii="Times New Roman" w:hAnsi="Times New Roman" w:cs="Times New Roman"/>
                <w:color w:val="000000" w:themeColor="text1"/>
                <w:sz w:val="22"/>
                <w:szCs w:val="22"/>
                <w:lang w:val="en-US"/>
              </w:rPr>
              <w:t>At school, I connect well with my colleagues.</w:t>
            </w:r>
          </w:p>
          <w:p w14:paraId="663FEAB3" w14:textId="77777777" w:rsidR="00E87700" w:rsidRPr="000D7205" w:rsidRDefault="00E87700" w:rsidP="00E87700">
            <w:pPr>
              <w:pStyle w:val="Default"/>
              <w:numPr>
                <w:ilvl w:val="0"/>
                <w:numId w:val="34"/>
              </w:numPr>
              <w:ind w:left="357" w:hanging="357"/>
              <w:rPr>
                <w:rFonts w:ascii="Times New Roman" w:hAnsi="Times New Roman" w:cs="Times New Roman"/>
                <w:color w:val="000000" w:themeColor="text1"/>
                <w:sz w:val="22"/>
                <w:szCs w:val="22"/>
                <w:lang w:val="en-US"/>
              </w:rPr>
            </w:pPr>
            <w:r w:rsidRPr="000D7205">
              <w:rPr>
                <w:rFonts w:ascii="Times New Roman" w:hAnsi="Times New Roman" w:cs="Times New Roman"/>
                <w:color w:val="000000" w:themeColor="text1"/>
                <w:sz w:val="22"/>
                <w:szCs w:val="22"/>
                <w:lang w:val="en-US"/>
              </w:rPr>
              <w:t>I am excited about teaching.</w:t>
            </w:r>
          </w:p>
          <w:p w14:paraId="3D1BD48E" w14:textId="77777777" w:rsidR="00E87700" w:rsidRPr="000D7205" w:rsidRDefault="00E87700" w:rsidP="00E87700">
            <w:pPr>
              <w:pStyle w:val="Default"/>
              <w:numPr>
                <w:ilvl w:val="0"/>
                <w:numId w:val="34"/>
              </w:numPr>
              <w:ind w:left="357" w:hanging="357"/>
              <w:rPr>
                <w:rFonts w:ascii="Times New Roman" w:hAnsi="Times New Roman" w:cs="Times New Roman"/>
                <w:color w:val="000000" w:themeColor="text1"/>
                <w:sz w:val="22"/>
                <w:szCs w:val="22"/>
                <w:lang w:val="en-US"/>
              </w:rPr>
            </w:pPr>
            <w:r w:rsidRPr="000D7205">
              <w:rPr>
                <w:rFonts w:ascii="Times New Roman" w:hAnsi="Times New Roman" w:cs="Times New Roman"/>
                <w:color w:val="000000" w:themeColor="text1"/>
                <w:sz w:val="22"/>
                <w:szCs w:val="22"/>
                <w:lang w:val="en-US"/>
              </w:rPr>
              <w:t xml:space="preserve">In class, I show warmth to my students. </w:t>
            </w:r>
          </w:p>
          <w:p w14:paraId="6FB62B44" w14:textId="77777777" w:rsidR="00E87700" w:rsidRPr="000D7205" w:rsidRDefault="00E87700" w:rsidP="00E87700">
            <w:pPr>
              <w:pStyle w:val="Default"/>
              <w:numPr>
                <w:ilvl w:val="0"/>
                <w:numId w:val="34"/>
              </w:numPr>
              <w:ind w:left="357" w:hanging="357"/>
              <w:rPr>
                <w:rFonts w:ascii="Times New Roman" w:hAnsi="Times New Roman" w:cs="Times New Roman"/>
                <w:color w:val="000000" w:themeColor="text1"/>
                <w:sz w:val="22"/>
                <w:szCs w:val="22"/>
                <w:lang w:val="en-US"/>
              </w:rPr>
            </w:pPr>
            <w:r w:rsidRPr="000D7205">
              <w:rPr>
                <w:rFonts w:ascii="Times New Roman" w:hAnsi="Times New Roman" w:cs="Times New Roman"/>
                <w:color w:val="000000" w:themeColor="text1"/>
                <w:sz w:val="22"/>
                <w:szCs w:val="22"/>
                <w:lang w:val="en-US"/>
              </w:rPr>
              <w:t>I try my hardest to perform well while teaching.</w:t>
            </w:r>
          </w:p>
          <w:p w14:paraId="3AA6CE2F" w14:textId="77777777" w:rsidR="00E87700" w:rsidRPr="000D7205" w:rsidRDefault="00E87700" w:rsidP="00E87700">
            <w:pPr>
              <w:pStyle w:val="Default"/>
              <w:numPr>
                <w:ilvl w:val="0"/>
                <w:numId w:val="34"/>
              </w:numPr>
              <w:ind w:left="357" w:hanging="357"/>
              <w:rPr>
                <w:rFonts w:ascii="Times New Roman" w:hAnsi="Times New Roman" w:cs="Times New Roman"/>
                <w:color w:val="000000" w:themeColor="text1"/>
                <w:sz w:val="22"/>
                <w:szCs w:val="22"/>
                <w:lang w:val="en-US"/>
              </w:rPr>
            </w:pPr>
            <w:r w:rsidRPr="000D7205">
              <w:rPr>
                <w:rFonts w:ascii="Times New Roman" w:hAnsi="Times New Roman" w:cs="Times New Roman"/>
                <w:color w:val="000000" w:themeColor="text1"/>
                <w:sz w:val="22"/>
                <w:szCs w:val="22"/>
                <w:lang w:val="en-US"/>
              </w:rPr>
              <w:t>I feel happy while teaching.</w:t>
            </w:r>
          </w:p>
          <w:p w14:paraId="2C40ABEE" w14:textId="77777777" w:rsidR="00E87700" w:rsidRPr="000D7205" w:rsidRDefault="00E87700" w:rsidP="00E87700">
            <w:pPr>
              <w:pStyle w:val="Default"/>
              <w:numPr>
                <w:ilvl w:val="0"/>
                <w:numId w:val="34"/>
              </w:numPr>
              <w:ind w:left="357" w:hanging="357"/>
              <w:rPr>
                <w:rFonts w:ascii="Times New Roman" w:hAnsi="Times New Roman" w:cs="Times New Roman"/>
                <w:color w:val="000000" w:themeColor="text1"/>
                <w:sz w:val="22"/>
                <w:szCs w:val="22"/>
                <w:lang w:val="en-US"/>
              </w:rPr>
            </w:pPr>
            <w:r w:rsidRPr="000D7205">
              <w:rPr>
                <w:rFonts w:ascii="Times New Roman" w:hAnsi="Times New Roman" w:cs="Times New Roman"/>
                <w:color w:val="000000" w:themeColor="text1"/>
                <w:sz w:val="22"/>
                <w:szCs w:val="22"/>
                <w:lang w:val="en-US"/>
              </w:rPr>
              <w:t xml:space="preserve">In class, I am aware of my students’ feelings. </w:t>
            </w:r>
          </w:p>
          <w:p w14:paraId="48108E8B" w14:textId="77777777" w:rsidR="00E87700" w:rsidRPr="000D7205" w:rsidRDefault="00E87700" w:rsidP="00E87700">
            <w:pPr>
              <w:pStyle w:val="Default"/>
              <w:numPr>
                <w:ilvl w:val="0"/>
                <w:numId w:val="34"/>
              </w:numPr>
              <w:ind w:left="357" w:hanging="357"/>
              <w:rPr>
                <w:rFonts w:ascii="Times New Roman" w:hAnsi="Times New Roman" w:cs="Times New Roman"/>
                <w:color w:val="000000" w:themeColor="text1"/>
                <w:sz w:val="22"/>
                <w:szCs w:val="22"/>
                <w:lang w:val="en-US"/>
              </w:rPr>
            </w:pPr>
            <w:r w:rsidRPr="000D7205">
              <w:rPr>
                <w:rFonts w:ascii="Times New Roman" w:hAnsi="Times New Roman" w:cs="Times New Roman"/>
                <w:color w:val="000000" w:themeColor="text1"/>
                <w:sz w:val="22"/>
                <w:szCs w:val="22"/>
                <w:lang w:val="en-US"/>
              </w:rPr>
              <w:t>At school, I am committed to helping my colleagues.</w:t>
            </w:r>
          </w:p>
          <w:p w14:paraId="3E395678" w14:textId="77777777" w:rsidR="00E87700" w:rsidRPr="000D7205" w:rsidRDefault="00E87700" w:rsidP="00E87700">
            <w:pPr>
              <w:pStyle w:val="Default"/>
              <w:numPr>
                <w:ilvl w:val="0"/>
                <w:numId w:val="34"/>
              </w:numPr>
              <w:ind w:left="357" w:hanging="357"/>
              <w:rPr>
                <w:rFonts w:ascii="Times New Roman" w:hAnsi="Times New Roman" w:cs="Times New Roman"/>
                <w:color w:val="000000" w:themeColor="text1"/>
                <w:sz w:val="22"/>
                <w:szCs w:val="22"/>
                <w:lang w:val="en-US"/>
              </w:rPr>
            </w:pPr>
            <w:r w:rsidRPr="000D7205">
              <w:rPr>
                <w:rFonts w:ascii="Times New Roman" w:hAnsi="Times New Roman" w:cs="Times New Roman"/>
                <w:color w:val="000000" w:themeColor="text1"/>
                <w:sz w:val="22"/>
                <w:szCs w:val="22"/>
                <w:lang w:val="en-US"/>
              </w:rPr>
              <w:t>While teaching, I really ―throw” myself into my work.</w:t>
            </w:r>
          </w:p>
          <w:p w14:paraId="38B7099E" w14:textId="77777777" w:rsidR="00E87700" w:rsidRPr="000D7205" w:rsidRDefault="00E87700" w:rsidP="00E87700">
            <w:pPr>
              <w:pStyle w:val="Default"/>
              <w:numPr>
                <w:ilvl w:val="0"/>
                <w:numId w:val="34"/>
              </w:numPr>
              <w:ind w:left="357" w:hanging="357"/>
              <w:rPr>
                <w:rFonts w:ascii="Times New Roman" w:hAnsi="Times New Roman" w:cs="Times New Roman"/>
                <w:color w:val="000000" w:themeColor="text1"/>
                <w:sz w:val="22"/>
                <w:szCs w:val="22"/>
                <w:lang w:val="en-US"/>
              </w:rPr>
            </w:pPr>
            <w:r w:rsidRPr="000D7205">
              <w:rPr>
                <w:rFonts w:ascii="Times New Roman" w:hAnsi="Times New Roman" w:cs="Times New Roman"/>
                <w:color w:val="000000" w:themeColor="text1"/>
                <w:sz w:val="22"/>
                <w:szCs w:val="22"/>
                <w:lang w:val="en-US"/>
              </w:rPr>
              <w:t>At school, I value the relationships I build with my colleagues.</w:t>
            </w:r>
          </w:p>
          <w:p w14:paraId="60F8CBF0" w14:textId="77777777" w:rsidR="00E87700" w:rsidRPr="000D7205" w:rsidRDefault="00E87700" w:rsidP="00E87700">
            <w:pPr>
              <w:pStyle w:val="Default"/>
              <w:numPr>
                <w:ilvl w:val="0"/>
                <w:numId w:val="34"/>
              </w:numPr>
              <w:ind w:left="357" w:hanging="357"/>
              <w:rPr>
                <w:rFonts w:ascii="Times New Roman" w:hAnsi="Times New Roman" w:cs="Times New Roman"/>
                <w:color w:val="000000" w:themeColor="text1"/>
                <w:sz w:val="22"/>
                <w:szCs w:val="22"/>
                <w:lang w:val="en-US"/>
              </w:rPr>
            </w:pPr>
            <w:r w:rsidRPr="000D7205">
              <w:rPr>
                <w:rFonts w:ascii="Times New Roman" w:hAnsi="Times New Roman" w:cs="Times New Roman"/>
                <w:color w:val="000000" w:themeColor="text1"/>
                <w:sz w:val="22"/>
                <w:szCs w:val="22"/>
                <w:lang w:val="en-US"/>
              </w:rPr>
              <w:t xml:space="preserve">I love teaching </w:t>
            </w:r>
          </w:p>
          <w:p w14:paraId="43B49259" w14:textId="77777777" w:rsidR="00E87700" w:rsidRPr="000D7205" w:rsidRDefault="00E87700" w:rsidP="00E87700">
            <w:pPr>
              <w:pStyle w:val="Default"/>
              <w:numPr>
                <w:ilvl w:val="0"/>
                <w:numId w:val="34"/>
              </w:numPr>
              <w:ind w:left="357" w:hanging="357"/>
              <w:rPr>
                <w:rFonts w:ascii="Times New Roman" w:hAnsi="Times New Roman" w:cs="Times New Roman"/>
                <w:color w:val="000000" w:themeColor="text1"/>
                <w:sz w:val="22"/>
                <w:szCs w:val="22"/>
                <w:lang w:val="en-US"/>
              </w:rPr>
            </w:pPr>
            <w:r w:rsidRPr="000D7205">
              <w:rPr>
                <w:rFonts w:ascii="Times New Roman" w:hAnsi="Times New Roman" w:cs="Times New Roman"/>
                <w:color w:val="000000" w:themeColor="text1"/>
                <w:sz w:val="22"/>
                <w:szCs w:val="22"/>
                <w:lang w:val="en-US"/>
              </w:rPr>
              <w:t>While teaching I pay a lot of attention to my work.</w:t>
            </w:r>
          </w:p>
          <w:p w14:paraId="015F4A36" w14:textId="77777777" w:rsidR="00E87700" w:rsidRPr="000D7205" w:rsidRDefault="00E87700" w:rsidP="00E87700">
            <w:pPr>
              <w:pStyle w:val="Default"/>
              <w:numPr>
                <w:ilvl w:val="0"/>
                <w:numId w:val="34"/>
              </w:numPr>
              <w:ind w:left="357" w:hanging="357"/>
              <w:rPr>
                <w:rFonts w:ascii="Times New Roman" w:hAnsi="Times New Roman" w:cs="Times New Roman"/>
                <w:color w:val="000000" w:themeColor="text1"/>
                <w:sz w:val="22"/>
                <w:szCs w:val="22"/>
                <w:lang w:val="en-US"/>
              </w:rPr>
            </w:pPr>
            <w:r w:rsidRPr="000D7205">
              <w:rPr>
                <w:rFonts w:ascii="Times New Roman" w:hAnsi="Times New Roman" w:cs="Times New Roman"/>
                <w:color w:val="000000" w:themeColor="text1"/>
                <w:sz w:val="22"/>
                <w:szCs w:val="22"/>
                <w:lang w:val="en-US"/>
              </w:rPr>
              <w:t xml:space="preserve">At school, I care about the problems of my colleagues. </w:t>
            </w:r>
          </w:p>
          <w:p w14:paraId="3FAE9FFB" w14:textId="77777777" w:rsidR="00E87700" w:rsidRPr="000D7205" w:rsidRDefault="00E87700" w:rsidP="00E87700">
            <w:pPr>
              <w:pStyle w:val="Default"/>
              <w:numPr>
                <w:ilvl w:val="0"/>
                <w:numId w:val="34"/>
              </w:numPr>
              <w:ind w:left="357" w:hanging="357"/>
              <w:rPr>
                <w:rFonts w:ascii="Times New Roman" w:hAnsi="Times New Roman" w:cs="Times New Roman"/>
                <w:color w:val="000000" w:themeColor="text1"/>
                <w:sz w:val="22"/>
                <w:szCs w:val="22"/>
                <w:lang w:val="en-US"/>
              </w:rPr>
            </w:pPr>
            <w:r w:rsidRPr="000D7205">
              <w:rPr>
                <w:rFonts w:ascii="Times New Roman" w:hAnsi="Times New Roman" w:cs="Times New Roman"/>
                <w:color w:val="000000" w:themeColor="text1"/>
                <w:sz w:val="22"/>
                <w:szCs w:val="22"/>
                <w:lang w:val="en-US"/>
              </w:rPr>
              <w:t>I find teaching fun.</w:t>
            </w:r>
          </w:p>
          <w:p w14:paraId="293C3A07" w14:textId="77777777" w:rsidR="00E87700" w:rsidRPr="000D7205" w:rsidRDefault="00E87700" w:rsidP="00E87700">
            <w:pPr>
              <w:pStyle w:val="Default"/>
              <w:numPr>
                <w:ilvl w:val="0"/>
                <w:numId w:val="34"/>
              </w:numPr>
              <w:ind w:left="357" w:hanging="357"/>
              <w:rPr>
                <w:rFonts w:ascii="Times New Roman" w:hAnsi="Times New Roman" w:cs="Times New Roman"/>
                <w:color w:val="000000" w:themeColor="text1"/>
                <w:sz w:val="22"/>
                <w:szCs w:val="22"/>
                <w:lang w:val="en-US"/>
              </w:rPr>
            </w:pPr>
            <w:r w:rsidRPr="000D7205">
              <w:rPr>
                <w:rFonts w:ascii="Times New Roman" w:hAnsi="Times New Roman" w:cs="Times New Roman"/>
                <w:color w:val="000000" w:themeColor="text1"/>
                <w:sz w:val="22"/>
                <w:szCs w:val="22"/>
                <w:lang w:val="en-US"/>
              </w:rPr>
              <w:t>In class, I care about the problems of my students.</w:t>
            </w:r>
          </w:p>
          <w:p w14:paraId="068AD552" w14:textId="77777777" w:rsidR="00E87700" w:rsidRPr="000D7205" w:rsidRDefault="00E87700" w:rsidP="00E87700">
            <w:pPr>
              <w:pStyle w:val="Default"/>
              <w:numPr>
                <w:ilvl w:val="0"/>
                <w:numId w:val="34"/>
              </w:numPr>
              <w:ind w:left="357" w:hanging="357"/>
              <w:rPr>
                <w:rFonts w:ascii="Times New Roman" w:hAnsi="Times New Roman" w:cs="Times New Roman"/>
                <w:color w:val="000000" w:themeColor="text1"/>
                <w:sz w:val="22"/>
                <w:szCs w:val="22"/>
                <w:lang w:val="en-US"/>
              </w:rPr>
            </w:pPr>
            <w:r w:rsidRPr="000D7205">
              <w:rPr>
                <w:rFonts w:ascii="Times New Roman" w:hAnsi="Times New Roman" w:cs="Times New Roman"/>
                <w:color w:val="000000" w:themeColor="text1"/>
                <w:sz w:val="22"/>
                <w:szCs w:val="22"/>
                <w:lang w:val="en-US"/>
              </w:rPr>
              <w:t xml:space="preserve">While teaching, I work with intensity </w:t>
            </w:r>
          </w:p>
          <w:p w14:paraId="172655CD" w14:textId="77777777" w:rsidR="00E87700" w:rsidRPr="000D7205" w:rsidRDefault="00E87700" w:rsidP="00E87700">
            <w:pPr>
              <w:pStyle w:val="Default"/>
              <w:numPr>
                <w:ilvl w:val="0"/>
                <w:numId w:val="34"/>
              </w:numPr>
              <w:ind w:left="357" w:hanging="357"/>
              <w:rPr>
                <w:rFonts w:ascii="Times New Roman" w:hAnsi="Times New Roman" w:cs="Times New Roman"/>
                <w:color w:val="000000" w:themeColor="text1"/>
                <w:sz w:val="22"/>
                <w:szCs w:val="22"/>
                <w:lang w:val="en-US"/>
              </w:rPr>
            </w:pPr>
            <w:r w:rsidRPr="000D7205">
              <w:rPr>
                <w:rFonts w:ascii="Times New Roman" w:hAnsi="Times New Roman" w:cs="Times New Roman"/>
                <w:color w:val="000000" w:themeColor="text1"/>
                <w:sz w:val="22"/>
                <w:szCs w:val="22"/>
                <w:lang w:val="en-US"/>
              </w:rPr>
              <w:t>In class, I am empathetic towards my students.</w:t>
            </w:r>
          </w:p>
        </w:tc>
        <w:tc>
          <w:tcPr>
            <w:tcW w:w="2271" w:type="pct"/>
          </w:tcPr>
          <w:p w14:paraId="34B656FD" w14:textId="77777777" w:rsidR="00E87700" w:rsidRPr="000D7205" w:rsidRDefault="00E87700" w:rsidP="00E87700">
            <w:pPr>
              <w:pStyle w:val="ListParagraph"/>
              <w:numPr>
                <w:ilvl w:val="0"/>
                <w:numId w:val="35"/>
              </w:numPr>
              <w:autoSpaceDE w:val="0"/>
              <w:autoSpaceDN w:val="0"/>
              <w:adjustRightInd w:val="0"/>
              <w:spacing w:before="120" w:after="120" w:line="240" w:lineRule="auto"/>
              <w:ind w:right="60"/>
              <w:rPr>
                <w:rFonts w:ascii="Times New Roman" w:hAnsi="Times New Roman" w:cs="Times New Roman"/>
                <w:color w:val="000000" w:themeColor="text1"/>
                <w:lang w:val="tr-TR"/>
              </w:rPr>
            </w:pPr>
            <w:r w:rsidRPr="000D7205">
              <w:rPr>
                <w:rFonts w:ascii="Times New Roman" w:hAnsi="Times New Roman" w:cs="Times New Roman"/>
                <w:color w:val="000000" w:themeColor="text1"/>
                <w:lang w:val="tr-TR"/>
              </w:rPr>
              <w:t>Okulda, öğretmen arkadaşlarımla iyi iletişim kurarım.</w:t>
            </w:r>
          </w:p>
          <w:p w14:paraId="5234069E" w14:textId="77777777" w:rsidR="00E87700" w:rsidRPr="000D7205" w:rsidRDefault="00E87700" w:rsidP="00E87700">
            <w:pPr>
              <w:pStyle w:val="ListParagraph"/>
              <w:numPr>
                <w:ilvl w:val="0"/>
                <w:numId w:val="35"/>
              </w:numPr>
              <w:autoSpaceDE w:val="0"/>
              <w:autoSpaceDN w:val="0"/>
              <w:adjustRightInd w:val="0"/>
              <w:spacing w:before="120" w:after="120" w:line="240" w:lineRule="auto"/>
              <w:ind w:right="60"/>
              <w:rPr>
                <w:rFonts w:ascii="Times New Roman" w:hAnsi="Times New Roman" w:cs="Times New Roman"/>
                <w:bCs/>
                <w:color w:val="000000" w:themeColor="text1"/>
                <w:lang w:val="tr-TR"/>
              </w:rPr>
            </w:pPr>
            <w:r w:rsidRPr="000D7205">
              <w:rPr>
                <w:rFonts w:ascii="Times New Roman" w:hAnsi="Times New Roman" w:cs="Times New Roman"/>
                <w:color w:val="000000" w:themeColor="text1"/>
                <w:lang w:val="tr-TR"/>
              </w:rPr>
              <w:t>Öğretim vermeyi heyecan verici buluyorum.</w:t>
            </w:r>
          </w:p>
          <w:p w14:paraId="30EECC04" w14:textId="77777777" w:rsidR="00E87700" w:rsidRPr="000D7205" w:rsidRDefault="00E87700" w:rsidP="00E87700">
            <w:pPr>
              <w:pStyle w:val="ListParagraph"/>
              <w:numPr>
                <w:ilvl w:val="0"/>
                <w:numId w:val="35"/>
              </w:numPr>
              <w:autoSpaceDE w:val="0"/>
              <w:autoSpaceDN w:val="0"/>
              <w:adjustRightInd w:val="0"/>
              <w:spacing w:before="120" w:after="120" w:line="240" w:lineRule="auto"/>
              <w:ind w:right="60"/>
              <w:rPr>
                <w:rFonts w:ascii="Times New Roman" w:hAnsi="Times New Roman" w:cs="Times New Roman"/>
                <w:bCs/>
                <w:color w:val="000000" w:themeColor="text1"/>
                <w:lang w:val="tr-TR"/>
              </w:rPr>
            </w:pPr>
            <w:r w:rsidRPr="000D7205">
              <w:rPr>
                <w:rFonts w:ascii="Times New Roman" w:hAnsi="Times New Roman" w:cs="Times New Roman"/>
                <w:color w:val="000000" w:themeColor="text1"/>
                <w:lang w:val="tr-TR"/>
              </w:rPr>
              <w:t>Sınıfta, öğrencilerime sıcak davranırım.</w:t>
            </w:r>
          </w:p>
          <w:p w14:paraId="54158F84" w14:textId="77777777" w:rsidR="00E87700" w:rsidRPr="000D7205" w:rsidRDefault="00E87700" w:rsidP="00E87700">
            <w:pPr>
              <w:pStyle w:val="ListParagraph"/>
              <w:numPr>
                <w:ilvl w:val="0"/>
                <w:numId w:val="35"/>
              </w:numPr>
              <w:autoSpaceDE w:val="0"/>
              <w:autoSpaceDN w:val="0"/>
              <w:adjustRightInd w:val="0"/>
              <w:spacing w:before="120" w:after="120" w:line="240" w:lineRule="auto"/>
              <w:ind w:right="60"/>
              <w:rPr>
                <w:rFonts w:ascii="Times New Roman" w:hAnsi="Times New Roman" w:cs="Times New Roman"/>
                <w:bCs/>
                <w:color w:val="000000" w:themeColor="text1"/>
                <w:lang w:val="tr-TR"/>
              </w:rPr>
            </w:pPr>
            <w:r w:rsidRPr="000D7205">
              <w:rPr>
                <w:rFonts w:ascii="Times New Roman" w:hAnsi="Times New Roman" w:cs="Times New Roman"/>
                <w:color w:val="000000" w:themeColor="text1"/>
                <w:lang w:val="tr-TR"/>
              </w:rPr>
              <w:t>Öğretim verirken, başarılı olabilmek için elimden gelenin en iyisini yapmaya çalışırım.</w:t>
            </w:r>
          </w:p>
          <w:p w14:paraId="5A2FA187" w14:textId="77777777" w:rsidR="00E87700" w:rsidRPr="000D7205" w:rsidRDefault="00E87700" w:rsidP="00E87700">
            <w:pPr>
              <w:pStyle w:val="ListParagraph"/>
              <w:numPr>
                <w:ilvl w:val="0"/>
                <w:numId w:val="35"/>
              </w:numPr>
              <w:autoSpaceDE w:val="0"/>
              <w:autoSpaceDN w:val="0"/>
              <w:adjustRightInd w:val="0"/>
              <w:spacing w:before="120" w:after="120" w:line="240" w:lineRule="auto"/>
              <w:ind w:right="60"/>
              <w:rPr>
                <w:rFonts w:ascii="Times New Roman" w:hAnsi="Times New Roman" w:cs="Times New Roman"/>
                <w:bCs/>
                <w:color w:val="000000" w:themeColor="text1"/>
                <w:lang w:val="tr-TR"/>
              </w:rPr>
            </w:pPr>
            <w:r w:rsidRPr="000D7205">
              <w:rPr>
                <w:rFonts w:ascii="Times New Roman" w:hAnsi="Times New Roman" w:cs="Times New Roman"/>
                <w:color w:val="000000" w:themeColor="text1"/>
                <w:lang w:val="tr-TR"/>
              </w:rPr>
              <w:t>Öğretim verirken, mutlu hissediyorum.</w:t>
            </w:r>
          </w:p>
          <w:p w14:paraId="7054AB6E" w14:textId="77777777" w:rsidR="00E87700" w:rsidRPr="000D7205" w:rsidRDefault="00E87700" w:rsidP="00E87700">
            <w:pPr>
              <w:pStyle w:val="ListParagraph"/>
              <w:numPr>
                <w:ilvl w:val="0"/>
                <w:numId w:val="35"/>
              </w:numPr>
              <w:autoSpaceDE w:val="0"/>
              <w:autoSpaceDN w:val="0"/>
              <w:adjustRightInd w:val="0"/>
              <w:spacing w:before="120" w:after="120" w:line="240" w:lineRule="auto"/>
              <w:ind w:right="60"/>
              <w:rPr>
                <w:rFonts w:ascii="Times New Roman" w:hAnsi="Times New Roman" w:cs="Times New Roman"/>
                <w:bCs/>
                <w:color w:val="000000" w:themeColor="text1"/>
                <w:lang w:val="tr-TR"/>
              </w:rPr>
            </w:pPr>
            <w:r w:rsidRPr="000D7205">
              <w:rPr>
                <w:rFonts w:ascii="Times New Roman" w:hAnsi="Times New Roman" w:cs="Times New Roman"/>
                <w:color w:val="000000" w:themeColor="text1"/>
                <w:lang w:val="tr-TR"/>
              </w:rPr>
              <w:t>Sınıfta, öğrencilerimin duygularının farkındayımdır.</w:t>
            </w:r>
          </w:p>
          <w:p w14:paraId="7B4190AC" w14:textId="77777777" w:rsidR="00E87700" w:rsidRPr="000D7205" w:rsidRDefault="00E87700" w:rsidP="00E87700">
            <w:pPr>
              <w:pStyle w:val="ListParagraph"/>
              <w:numPr>
                <w:ilvl w:val="0"/>
                <w:numId w:val="35"/>
              </w:numPr>
              <w:autoSpaceDE w:val="0"/>
              <w:autoSpaceDN w:val="0"/>
              <w:adjustRightInd w:val="0"/>
              <w:spacing w:before="120" w:after="120" w:line="240" w:lineRule="auto"/>
              <w:ind w:right="60"/>
              <w:rPr>
                <w:rFonts w:ascii="Times New Roman" w:hAnsi="Times New Roman" w:cs="Times New Roman"/>
                <w:bCs/>
                <w:color w:val="000000" w:themeColor="text1"/>
                <w:lang w:val="tr-TR"/>
              </w:rPr>
            </w:pPr>
            <w:r w:rsidRPr="000D7205">
              <w:rPr>
                <w:rFonts w:ascii="Times New Roman" w:hAnsi="Times New Roman" w:cs="Times New Roman"/>
                <w:color w:val="000000" w:themeColor="text1"/>
                <w:lang w:val="tr-TR"/>
              </w:rPr>
              <w:t>Okulda, öğretmen arkadaşlarıma yardım etmeyi görev bilirim.</w:t>
            </w:r>
          </w:p>
          <w:p w14:paraId="1D57FE1D" w14:textId="77777777" w:rsidR="00E87700" w:rsidRPr="000D7205" w:rsidRDefault="00E87700" w:rsidP="00E87700">
            <w:pPr>
              <w:pStyle w:val="ListParagraph"/>
              <w:numPr>
                <w:ilvl w:val="0"/>
                <w:numId w:val="35"/>
              </w:numPr>
              <w:autoSpaceDE w:val="0"/>
              <w:autoSpaceDN w:val="0"/>
              <w:adjustRightInd w:val="0"/>
              <w:spacing w:before="120" w:after="120" w:line="240" w:lineRule="auto"/>
              <w:ind w:right="60"/>
              <w:rPr>
                <w:rFonts w:ascii="Times New Roman" w:hAnsi="Times New Roman" w:cs="Times New Roman"/>
                <w:bCs/>
                <w:color w:val="000000" w:themeColor="text1"/>
                <w:lang w:val="tr-TR"/>
              </w:rPr>
            </w:pPr>
            <w:r w:rsidRPr="000D7205">
              <w:rPr>
                <w:rFonts w:ascii="Times New Roman" w:hAnsi="Times New Roman" w:cs="Times New Roman"/>
                <w:color w:val="000000" w:themeColor="text1"/>
                <w:lang w:val="tr-TR"/>
              </w:rPr>
              <w:t>Öğretim verirken, kendimi işime adarım.</w:t>
            </w:r>
          </w:p>
          <w:p w14:paraId="53BC5A1A" w14:textId="77777777" w:rsidR="00E87700" w:rsidRPr="000D7205" w:rsidRDefault="00E87700" w:rsidP="00E87700">
            <w:pPr>
              <w:pStyle w:val="ListParagraph"/>
              <w:numPr>
                <w:ilvl w:val="0"/>
                <w:numId w:val="35"/>
              </w:numPr>
              <w:autoSpaceDE w:val="0"/>
              <w:autoSpaceDN w:val="0"/>
              <w:adjustRightInd w:val="0"/>
              <w:spacing w:before="120" w:after="120" w:line="240" w:lineRule="auto"/>
              <w:ind w:right="60"/>
              <w:rPr>
                <w:rFonts w:ascii="Times New Roman" w:hAnsi="Times New Roman" w:cs="Times New Roman"/>
                <w:bCs/>
                <w:color w:val="000000" w:themeColor="text1"/>
                <w:lang w:val="tr-TR"/>
              </w:rPr>
            </w:pPr>
            <w:r w:rsidRPr="000D7205">
              <w:rPr>
                <w:rFonts w:ascii="Times New Roman" w:hAnsi="Times New Roman" w:cs="Times New Roman"/>
                <w:color w:val="000000" w:themeColor="text1"/>
                <w:lang w:val="tr-TR"/>
              </w:rPr>
              <w:t>Okulda, öğretmen arkadaşlarımla kurduğum ilişkiler benim için değerlidir.</w:t>
            </w:r>
          </w:p>
          <w:p w14:paraId="7BD980CB" w14:textId="77777777" w:rsidR="00E87700" w:rsidRPr="000D7205" w:rsidRDefault="00E87700" w:rsidP="00E87700">
            <w:pPr>
              <w:pStyle w:val="ListParagraph"/>
              <w:numPr>
                <w:ilvl w:val="0"/>
                <w:numId w:val="35"/>
              </w:numPr>
              <w:autoSpaceDE w:val="0"/>
              <w:autoSpaceDN w:val="0"/>
              <w:adjustRightInd w:val="0"/>
              <w:spacing w:before="120" w:after="120" w:line="240" w:lineRule="auto"/>
              <w:ind w:right="60"/>
              <w:rPr>
                <w:rFonts w:ascii="Times New Roman" w:hAnsi="Times New Roman" w:cs="Times New Roman"/>
                <w:bCs/>
                <w:color w:val="000000" w:themeColor="text1"/>
                <w:lang w:val="tr-TR"/>
              </w:rPr>
            </w:pPr>
            <w:r w:rsidRPr="000D7205">
              <w:rPr>
                <w:rFonts w:ascii="Times New Roman" w:hAnsi="Times New Roman" w:cs="Times New Roman"/>
                <w:color w:val="000000" w:themeColor="text1"/>
                <w:lang w:val="tr-TR"/>
              </w:rPr>
              <w:t>Öğretmeyi çok seviyorum.</w:t>
            </w:r>
          </w:p>
          <w:p w14:paraId="622ED46B" w14:textId="77777777" w:rsidR="00E87700" w:rsidRPr="000D7205" w:rsidRDefault="00E87700" w:rsidP="00E87700">
            <w:pPr>
              <w:pStyle w:val="ListParagraph"/>
              <w:numPr>
                <w:ilvl w:val="0"/>
                <w:numId w:val="35"/>
              </w:numPr>
              <w:autoSpaceDE w:val="0"/>
              <w:autoSpaceDN w:val="0"/>
              <w:adjustRightInd w:val="0"/>
              <w:spacing w:before="120" w:after="120" w:line="240" w:lineRule="auto"/>
              <w:ind w:right="60"/>
              <w:rPr>
                <w:rFonts w:ascii="Times New Roman" w:hAnsi="Times New Roman" w:cs="Times New Roman"/>
                <w:bCs/>
                <w:color w:val="000000" w:themeColor="text1"/>
                <w:lang w:val="tr-TR"/>
              </w:rPr>
            </w:pPr>
            <w:r w:rsidRPr="000D7205">
              <w:rPr>
                <w:rFonts w:ascii="Times New Roman" w:hAnsi="Times New Roman" w:cs="Times New Roman"/>
                <w:color w:val="000000" w:themeColor="text1"/>
                <w:lang w:val="tr-TR"/>
              </w:rPr>
              <w:t>Öğretim verirken, bütün dikkatimi işime veririm.</w:t>
            </w:r>
          </w:p>
          <w:p w14:paraId="399803A2" w14:textId="77777777" w:rsidR="00E87700" w:rsidRPr="000D7205" w:rsidRDefault="00E87700" w:rsidP="00E87700">
            <w:pPr>
              <w:pStyle w:val="ListParagraph"/>
              <w:numPr>
                <w:ilvl w:val="0"/>
                <w:numId w:val="35"/>
              </w:numPr>
              <w:autoSpaceDE w:val="0"/>
              <w:autoSpaceDN w:val="0"/>
              <w:adjustRightInd w:val="0"/>
              <w:spacing w:before="120" w:after="120" w:line="240" w:lineRule="auto"/>
              <w:ind w:right="60"/>
              <w:rPr>
                <w:rFonts w:ascii="Times New Roman" w:hAnsi="Times New Roman" w:cs="Times New Roman"/>
                <w:bCs/>
                <w:color w:val="000000" w:themeColor="text1"/>
                <w:lang w:val="tr-TR"/>
              </w:rPr>
            </w:pPr>
            <w:r w:rsidRPr="000D7205">
              <w:rPr>
                <w:rFonts w:ascii="Times New Roman" w:hAnsi="Times New Roman" w:cs="Times New Roman"/>
                <w:color w:val="000000" w:themeColor="text1"/>
                <w:lang w:val="tr-TR"/>
              </w:rPr>
              <w:t>Okulda, öğretmen arkadaşlarımın sorunlarıyla ilgilenirim.</w:t>
            </w:r>
          </w:p>
          <w:p w14:paraId="17D033DF" w14:textId="77777777" w:rsidR="00E87700" w:rsidRPr="000D7205" w:rsidRDefault="00E87700" w:rsidP="00E87700">
            <w:pPr>
              <w:pStyle w:val="ListParagraph"/>
              <w:numPr>
                <w:ilvl w:val="0"/>
                <w:numId w:val="35"/>
              </w:numPr>
              <w:autoSpaceDE w:val="0"/>
              <w:autoSpaceDN w:val="0"/>
              <w:adjustRightInd w:val="0"/>
              <w:spacing w:before="120" w:after="120" w:line="240" w:lineRule="auto"/>
              <w:ind w:right="60"/>
              <w:rPr>
                <w:rFonts w:ascii="Times New Roman" w:hAnsi="Times New Roman" w:cs="Times New Roman"/>
                <w:bCs/>
                <w:color w:val="000000" w:themeColor="text1"/>
                <w:lang w:val="tr-TR"/>
              </w:rPr>
            </w:pPr>
            <w:r w:rsidRPr="000D7205">
              <w:rPr>
                <w:rFonts w:ascii="Times New Roman" w:hAnsi="Times New Roman" w:cs="Times New Roman"/>
                <w:color w:val="000000" w:themeColor="text1"/>
                <w:lang w:val="tr-TR"/>
              </w:rPr>
              <w:t>Öğretim vermeyi eğlenceli buluyorum.</w:t>
            </w:r>
          </w:p>
          <w:p w14:paraId="2962B992" w14:textId="77777777" w:rsidR="00E87700" w:rsidRPr="000D7205" w:rsidRDefault="00E87700" w:rsidP="00E87700">
            <w:pPr>
              <w:pStyle w:val="ListParagraph"/>
              <w:numPr>
                <w:ilvl w:val="0"/>
                <w:numId w:val="35"/>
              </w:numPr>
              <w:autoSpaceDE w:val="0"/>
              <w:autoSpaceDN w:val="0"/>
              <w:adjustRightInd w:val="0"/>
              <w:spacing w:before="120" w:after="120" w:line="240" w:lineRule="auto"/>
              <w:ind w:right="60"/>
              <w:rPr>
                <w:rFonts w:ascii="Times New Roman" w:hAnsi="Times New Roman" w:cs="Times New Roman"/>
                <w:bCs/>
                <w:color w:val="000000" w:themeColor="text1"/>
                <w:lang w:val="tr-TR"/>
              </w:rPr>
            </w:pPr>
            <w:r w:rsidRPr="000D7205">
              <w:rPr>
                <w:rFonts w:ascii="Times New Roman" w:hAnsi="Times New Roman" w:cs="Times New Roman"/>
                <w:color w:val="000000" w:themeColor="text1"/>
                <w:lang w:val="tr-TR"/>
              </w:rPr>
              <w:t>Sınıfta, öğrencilerimin sorunlarıyla ilgilenirim.</w:t>
            </w:r>
          </w:p>
          <w:p w14:paraId="4B75DB6C" w14:textId="77777777" w:rsidR="00E87700" w:rsidRPr="000D7205" w:rsidRDefault="00E87700" w:rsidP="00E87700">
            <w:pPr>
              <w:pStyle w:val="ListParagraph"/>
              <w:numPr>
                <w:ilvl w:val="0"/>
                <w:numId w:val="35"/>
              </w:numPr>
              <w:autoSpaceDE w:val="0"/>
              <w:autoSpaceDN w:val="0"/>
              <w:adjustRightInd w:val="0"/>
              <w:spacing w:before="120" w:after="120" w:line="240" w:lineRule="auto"/>
              <w:ind w:right="60"/>
              <w:rPr>
                <w:rFonts w:ascii="Times New Roman" w:hAnsi="Times New Roman" w:cs="Times New Roman"/>
                <w:bCs/>
                <w:color w:val="000000" w:themeColor="text1"/>
                <w:lang w:val="tr-TR"/>
              </w:rPr>
            </w:pPr>
            <w:r w:rsidRPr="000D7205">
              <w:rPr>
                <w:rFonts w:ascii="Times New Roman" w:hAnsi="Times New Roman" w:cs="Times New Roman"/>
                <w:color w:val="000000" w:themeColor="text1"/>
                <w:lang w:val="tr-TR"/>
              </w:rPr>
              <w:t>Öğretim yaparken, işime yoğunlaşırım</w:t>
            </w:r>
          </w:p>
          <w:p w14:paraId="036F9FB8" w14:textId="77777777" w:rsidR="00E87700" w:rsidRPr="000D7205" w:rsidRDefault="00E87700" w:rsidP="00E87700">
            <w:pPr>
              <w:pStyle w:val="ListParagraph"/>
              <w:numPr>
                <w:ilvl w:val="0"/>
                <w:numId w:val="35"/>
              </w:numPr>
              <w:autoSpaceDE w:val="0"/>
              <w:autoSpaceDN w:val="0"/>
              <w:adjustRightInd w:val="0"/>
              <w:spacing w:before="120" w:after="120" w:line="240" w:lineRule="auto"/>
              <w:ind w:right="60"/>
              <w:rPr>
                <w:rFonts w:ascii="Times New Roman" w:hAnsi="Times New Roman" w:cs="Times New Roman"/>
                <w:bCs/>
                <w:color w:val="000000" w:themeColor="text1"/>
                <w:lang w:val="tr-TR"/>
              </w:rPr>
            </w:pPr>
            <w:r w:rsidRPr="000D7205">
              <w:rPr>
                <w:rFonts w:ascii="Times New Roman" w:hAnsi="Times New Roman" w:cs="Times New Roman"/>
                <w:color w:val="000000" w:themeColor="text1"/>
                <w:lang w:val="tr-TR"/>
              </w:rPr>
              <w:t>Sınıfta, öğrencilerimle empati kurarım</w:t>
            </w:r>
          </w:p>
        </w:tc>
      </w:tr>
    </w:tbl>
    <w:p w14:paraId="30F42BA4" w14:textId="77777777" w:rsidR="00E87700" w:rsidRPr="000D7205" w:rsidRDefault="00E87700" w:rsidP="00E87700">
      <w:pPr>
        <w:spacing w:before="120" w:after="120"/>
        <w:rPr>
          <w:b/>
          <w:bCs/>
          <w:i/>
          <w:color w:val="000000" w:themeColor="text1"/>
          <w:sz w:val="20"/>
          <w:szCs w:val="20"/>
          <w:lang w:eastAsia="tr-TR"/>
        </w:rPr>
      </w:pPr>
    </w:p>
    <w:p w14:paraId="223B00BB" w14:textId="77777777" w:rsidR="00E87700" w:rsidRPr="000D7205" w:rsidRDefault="00E87700" w:rsidP="00E87700">
      <w:pPr>
        <w:pStyle w:val="Caption"/>
        <w:rPr>
          <w:bCs w:val="0"/>
          <w:color w:val="000000" w:themeColor="text1"/>
          <w:sz w:val="20"/>
          <w:szCs w:val="20"/>
          <w:lang w:eastAsia="tr-TR"/>
        </w:rPr>
      </w:pPr>
      <w:bookmarkStart w:id="2" w:name="_Ref465513529"/>
      <w:r w:rsidRPr="000D7205">
        <w:rPr>
          <w:b w:val="0"/>
          <w:color w:val="000000" w:themeColor="text1"/>
          <w:sz w:val="22"/>
          <w:szCs w:val="22"/>
        </w:rPr>
        <w:t xml:space="preserve">Appendix </w:t>
      </w:r>
      <w:r w:rsidRPr="000D7205">
        <w:rPr>
          <w:b w:val="0"/>
          <w:color w:val="000000" w:themeColor="text1"/>
          <w:sz w:val="22"/>
          <w:szCs w:val="22"/>
        </w:rPr>
        <w:fldChar w:fldCharType="begin"/>
      </w:r>
      <w:r w:rsidRPr="000D7205">
        <w:rPr>
          <w:b w:val="0"/>
          <w:color w:val="000000" w:themeColor="text1"/>
          <w:sz w:val="22"/>
          <w:szCs w:val="22"/>
        </w:rPr>
        <w:instrText xml:space="preserve"> SEQ Appendix \* ARABIC </w:instrText>
      </w:r>
      <w:r w:rsidRPr="000D7205">
        <w:rPr>
          <w:b w:val="0"/>
          <w:color w:val="000000" w:themeColor="text1"/>
          <w:sz w:val="22"/>
          <w:szCs w:val="22"/>
        </w:rPr>
        <w:fldChar w:fldCharType="separate"/>
      </w:r>
      <w:r>
        <w:rPr>
          <w:b w:val="0"/>
          <w:noProof/>
          <w:color w:val="000000" w:themeColor="text1"/>
          <w:sz w:val="22"/>
          <w:szCs w:val="22"/>
        </w:rPr>
        <w:t>2</w:t>
      </w:r>
      <w:r w:rsidRPr="000D7205">
        <w:rPr>
          <w:b w:val="0"/>
          <w:color w:val="000000" w:themeColor="text1"/>
          <w:sz w:val="22"/>
          <w:szCs w:val="22"/>
        </w:rPr>
        <w:fldChar w:fldCharType="end"/>
      </w:r>
      <w:bookmarkEnd w:id="2"/>
      <w:r w:rsidRPr="000D7205">
        <w:rPr>
          <w:b w:val="0"/>
          <w:bCs w:val="0"/>
          <w:i/>
          <w:color w:val="000000" w:themeColor="text1"/>
          <w:sz w:val="22"/>
          <w:szCs w:val="22"/>
          <w:lang w:eastAsia="tr-TR"/>
        </w:rPr>
        <w:t>: Schematic representation of the first order CFA with standardized parameter coefficients</w:t>
      </w:r>
    </w:p>
    <w:p w14:paraId="4C97CAB8" w14:textId="77777777" w:rsidR="00E87700" w:rsidRPr="000D7205" w:rsidRDefault="00E87700" w:rsidP="00E87700">
      <w:pPr>
        <w:pStyle w:val="ListParagraph"/>
        <w:spacing w:before="120" w:after="120" w:line="240" w:lineRule="auto"/>
        <w:jc w:val="center"/>
        <w:rPr>
          <w:rFonts w:ascii="Times New Roman" w:eastAsia="Times New Roman" w:hAnsi="Times New Roman" w:cs="Times New Roman"/>
          <w:bCs/>
          <w:color w:val="000000" w:themeColor="text1"/>
          <w:sz w:val="20"/>
          <w:szCs w:val="20"/>
          <w:lang w:eastAsia="tr-TR"/>
        </w:rPr>
      </w:pPr>
      <w:r w:rsidRPr="000D7205">
        <w:rPr>
          <w:rFonts w:ascii="Times New Roman" w:hAnsi="Times New Roman" w:cs="Times New Roman"/>
          <w:noProof/>
          <w:color w:val="000000" w:themeColor="text1"/>
          <w:sz w:val="20"/>
          <w:szCs w:val="20"/>
        </w:rPr>
        <w:drawing>
          <wp:inline distT="0" distB="0" distL="0" distR="0" wp14:anchorId="1D6C7E1C" wp14:editId="662EAFB1">
            <wp:extent cx="5224923" cy="3489649"/>
            <wp:effectExtent l="0" t="0" r="0" b="0"/>
            <wp:docPr id="2" name="Resim 2" descr="D:\dropbox_14.07.2015\ETS adaptation study\2.uygulama\CFA AGRI KARS\CFA-388\cfa-3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ropbox_14.07.2015\ETS adaptation study\2.uygulama\CFA AGRI KARS\CFA-388\cfa-388.GIF"/>
                    <pic:cNvPicPr>
                      <a:picLocks noChangeAspect="1" noChangeArrowheads="1"/>
                    </pic:cNvPicPr>
                  </pic:nvPicPr>
                  <pic:blipFill rotWithShape="1">
                    <a:blip r:embed="rId24">
                      <a:extLst>
                        <a:ext uri="{28A0092B-C50C-407E-A947-70E740481C1C}">
                          <a14:useLocalDpi xmlns:a14="http://schemas.microsoft.com/office/drawing/2010/main" val="0"/>
                        </a:ext>
                      </a:extLst>
                    </a:blip>
                    <a:srcRect l="902" r="36258" b="58017"/>
                    <a:stretch/>
                  </pic:blipFill>
                  <pic:spPr bwMode="auto">
                    <a:xfrm>
                      <a:off x="0" y="0"/>
                      <a:ext cx="5229452" cy="3492674"/>
                    </a:xfrm>
                    <a:prstGeom prst="rect">
                      <a:avLst/>
                    </a:prstGeom>
                    <a:noFill/>
                    <a:ln>
                      <a:noFill/>
                    </a:ln>
                    <a:extLst>
                      <a:ext uri="{53640926-AAD7-44D8-BBD7-CCE9431645EC}">
                        <a14:shadowObscured xmlns:a14="http://schemas.microsoft.com/office/drawing/2010/main"/>
                      </a:ext>
                    </a:extLst>
                  </pic:spPr>
                </pic:pic>
              </a:graphicData>
            </a:graphic>
          </wp:inline>
        </w:drawing>
      </w:r>
    </w:p>
    <w:p w14:paraId="7648C4F0" w14:textId="77777777" w:rsidR="00E87700" w:rsidRPr="000D7205" w:rsidRDefault="00E87700" w:rsidP="00E87700">
      <w:pPr>
        <w:pStyle w:val="ListParagraph"/>
        <w:spacing w:before="120" w:after="120" w:line="240" w:lineRule="auto"/>
        <w:jc w:val="both"/>
        <w:rPr>
          <w:rFonts w:ascii="Times New Roman" w:eastAsia="Times New Roman" w:hAnsi="Times New Roman" w:cs="Times New Roman"/>
          <w:bCs/>
          <w:color w:val="000000" w:themeColor="text1"/>
          <w:sz w:val="20"/>
          <w:szCs w:val="20"/>
          <w:lang w:eastAsia="tr-TR"/>
        </w:rPr>
      </w:pPr>
      <w:r w:rsidRPr="000D7205">
        <w:rPr>
          <w:rFonts w:ascii="Times New Roman" w:eastAsia="Times New Roman" w:hAnsi="Times New Roman" w:cs="Times New Roman"/>
          <w:bCs/>
          <w:color w:val="000000" w:themeColor="text1"/>
          <w:sz w:val="20"/>
          <w:szCs w:val="20"/>
          <w:lang w:eastAsia="tr-TR"/>
        </w:rPr>
        <w:t>Note. EE: Emotional Engagement, CE: Cognitive Engagement, SEC: Social Engagement -Colleagues, SES: Social Engagement – Students</w:t>
      </w:r>
    </w:p>
    <w:p w14:paraId="60B8320F" w14:textId="77777777" w:rsidR="00E87700" w:rsidRPr="000D7205" w:rsidRDefault="00E87700" w:rsidP="00E87700">
      <w:pPr>
        <w:pStyle w:val="ListParagraph"/>
        <w:spacing w:before="120" w:after="120" w:line="240" w:lineRule="auto"/>
        <w:jc w:val="both"/>
        <w:rPr>
          <w:rFonts w:ascii="Times New Roman" w:eastAsia="Times New Roman" w:hAnsi="Times New Roman" w:cs="Times New Roman"/>
          <w:bCs/>
          <w:color w:val="000000" w:themeColor="text1"/>
          <w:lang w:eastAsia="tr-TR"/>
        </w:rPr>
      </w:pPr>
    </w:p>
    <w:p w14:paraId="1565417E" w14:textId="77777777" w:rsidR="00E87700" w:rsidRPr="000D7205" w:rsidRDefault="00E87700" w:rsidP="00E87700">
      <w:pPr>
        <w:pStyle w:val="Caption"/>
        <w:rPr>
          <w:color w:val="000000" w:themeColor="text1"/>
          <w:sz w:val="20"/>
          <w:szCs w:val="20"/>
        </w:rPr>
      </w:pPr>
      <w:bookmarkStart w:id="3" w:name="_Ref465513554"/>
      <w:r w:rsidRPr="000D7205">
        <w:rPr>
          <w:b w:val="0"/>
          <w:color w:val="000000" w:themeColor="text1"/>
          <w:sz w:val="22"/>
          <w:szCs w:val="22"/>
        </w:rPr>
        <w:t xml:space="preserve">Appendix </w:t>
      </w:r>
      <w:r w:rsidRPr="000D7205">
        <w:rPr>
          <w:b w:val="0"/>
          <w:color w:val="000000" w:themeColor="text1"/>
          <w:sz w:val="22"/>
          <w:szCs w:val="22"/>
        </w:rPr>
        <w:fldChar w:fldCharType="begin"/>
      </w:r>
      <w:r w:rsidRPr="000D7205">
        <w:rPr>
          <w:b w:val="0"/>
          <w:color w:val="000000" w:themeColor="text1"/>
          <w:sz w:val="22"/>
          <w:szCs w:val="22"/>
        </w:rPr>
        <w:instrText xml:space="preserve"> SEQ Appendix \* ARABIC </w:instrText>
      </w:r>
      <w:r w:rsidRPr="000D7205">
        <w:rPr>
          <w:b w:val="0"/>
          <w:color w:val="000000" w:themeColor="text1"/>
          <w:sz w:val="22"/>
          <w:szCs w:val="22"/>
        </w:rPr>
        <w:fldChar w:fldCharType="separate"/>
      </w:r>
      <w:r>
        <w:rPr>
          <w:b w:val="0"/>
          <w:noProof/>
          <w:color w:val="000000" w:themeColor="text1"/>
          <w:sz w:val="22"/>
          <w:szCs w:val="22"/>
        </w:rPr>
        <w:t>3</w:t>
      </w:r>
      <w:r w:rsidRPr="000D7205">
        <w:rPr>
          <w:b w:val="0"/>
          <w:color w:val="000000" w:themeColor="text1"/>
          <w:sz w:val="22"/>
          <w:szCs w:val="22"/>
        </w:rPr>
        <w:fldChar w:fldCharType="end"/>
      </w:r>
      <w:bookmarkEnd w:id="3"/>
      <w:r w:rsidRPr="000D7205">
        <w:rPr>
          <w:b w:val="0"/>
          <w:bCs w:val="0"/>
          <w:i/>
          <w:color w:val="000000" w:themeColor="text1"/>
          <w:sz w:val="22"/>
          <w:szCs w:val="22"/>
          <w:lang w:eastAsia="tr-TR"/>
        </w:rPr>
        <w:t>: Schematic representation of the second order CFA with standardized parameter coefficients</w:t>
      </w:r>
      <w:r w:rsidRPr="000D7205">
        <w:rPr>
          <w:b w:val="0"/>
          <w:bCs w:val="0"/>
          <w:i/>
          <w:color w:val="000000" w:themeColor="text1"/>
          <w:sz w:val="20"/>
          <w:szCs w:val="20"/>
          <w:lang w:eastAsia="tr-TR"/>
        </w:rPr>
        <w:t>.</w:t>
      </w:r>
      <w:r w:rsidRPr="000D7205">
        <w:rPr>
          <w:noProof/>
          <w:color w:val="000000" w:themeColor="text1"/>
          <w:sz w:val="20"/>
          <w:szCs w:val="20"/>
          <w:lang w:val="en-US" w:eastAsia="en-US"/>
        </w:rPr>
        <w:drawing>
          <wp:inline distT="0" distB="0" distL="0" distR="0" wp14:anchorId="281709FF" wp14:editId="16E7364F">
            <wp:extent cx="5243804" cy="3424335"/>
            <wp:effectExtent l="0" t="0" r="0" b="5080"/>
            <wp:docPr id="1" name="Resim 1" descr="D:\dropbox_14.07.2015\ETS adaptation study\2.uygulama\CFA AGRI KARS\CFA-388\cfa-388_SECOND OR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_14.07.2015\ETS adaptation study\2.uygulama\CFA AGRI KARS\CFA-388\cfa-388_SECOND ORDER.GIF"/>
                    <pic:cNvPicPr>
                      <a:picLocks noChangeAspect="1" noChangeArrowheads="1"/>
                    </pic:cNvPicPr>
                  </pic:nvPicPr>
                  <pic:blipFill rotWithShape="1">
                    <a:blip r:embed="rId25">
                      <a:extLst>
                        <a:ext uri="{28A0092B-C50C-407E-A947-70E740481C1C}">
                          <a14:useLocalDpi xmlns:a14="http://schemas.microsoft.com/office/drawing/2010/main" val="0"/>
                        </a:ext>
                      </a:extLst>
                    </a:blip>
                    <a:srcRect r="31484" b="57025"/>
                    <a:stretch/>
                  </pic:blipFill>
                  <pic:spPr bwMode="auto">
                    <a:xfrm>
                      <a:off x="0" y="0"/>
                      <a:ext cx="5244673" cy="3424902"/>
                    </a:xfrm>
                    <a:prstGeom prst="rect">
                      <a:avLst/>
                    </a:prstGeom>
                    <a:noFill/>
                    <a:ln>
                      <a:noFill/>
                    </a:ln>
                    <a:extLst>
                      <a:ext uri="{53640926-AAD7-44D8-BBD7-CCE9431645EC}">
                        <a14:shadowObscured xmlns:a14="http://schemas.microsoft.com/office/drawing/2010/main"/>
                      </a:ext>
                    </a:extLst>
                  </pic:spPr>
                </pic:pic>
              </a:graphicData>
            </a:graphic>
          </wp:inline>
        </w:drawing>
      </w:r>
    </w:p>
    <w:p w14:paraId="688E42A8" w14:textId="77777777" w:rsidR="00E87700" w:rsidRPr="000D7205" w:rsidRDefault="00E87700" w:rsidP="00E87700">
      <w:pPr>
        <w:pStyle w:val="ListParagraph"/>
        <w:spacing w:before="120" w:after="120" w:line="240" w:lineRule="auto"/>
        <w:jc w:val="both"/>
      </w:pPr>
      <w:r w:rsidRPr="000D7205">
        <w:rPr>
          <w:rFonts w:ascii="Times New Roman" w:eastAsia="Times New Roman" w:hAnsi="Times New Roman" w:cs="Times New Roman"/>
          <w:bCs/>
          <w:color w:val="000000" w:themeColor="text1"/>
          <w:sz w:val="20"/>
          <w:szCs w:val="20"/>
          <w:lang w:eastAsia="tr-TR"/>
        </w:rPr>
        <w:t>Note. EE: Emotional Engagement, CE: Cognitive Engagement, SEC: Social Engagement -Colleagues, SES: Social Engagement - Students</w:t>
      </w:r>
    </w:p>
    <w:p w14:paraId="34A0169A" w14:textId="77777777" w:rsidR="00E87700" w:rsidRPr="000D7205" w:rsidRDefault="00E87700" w:rsidP="00E87700">
      <w:pPr>
        <w:pStyle w:val="Caption"/>
        <w:spacing w:after="120"/>
        <w:rPr>
          <w:b w:val="0"/>
          <w:color w:val="000000" w:themeColor="text1"/>
          <w:sz w:val="22"/>
          <w:szCs w:val="22"/>
        </w:rPr>
      </w:pPr>
      <w:bookmarkStart w:id="4" w:name="_Ref465512972"/>
      <w:r w:rsidRPr="000D7205">
        <w:rPr>
          <w:b w:val="0"/>
          <w:color w:val="000000" w:themeColor="text1"/>
        </w:rPr>
        <w:lastRenderedPageBreak/>
        <w:t xml:space="preserve">Table </w:t>
      </w:r>
      <w:r w:rsidRPr="000D7205">
        <w:rPr>
          <w:b w:val="0"/>
          <w:color w:val="000000" w:themeColor="text1"/>
        </w:rPr>
        <w:fldChar w:fldCharType="begin"/>
      </w:r>
      <w:r w:rsidRPr="000D7205">
        <w:rPr>
          <w:b w:val="0"/>
          <w:color w:val="000000" w:themeColor="text1"/>
        </w:rPr>
        <w:instrText xml:space="preserve"> SEQ Table \* ARABIC </w:instrText>
      </w:r>
      <w:r w:rsidRPr="000D7205">
        <w:rPr>
          <w:b w:val="0"/>
          <w:color w:val="000000" w:themeColor="text1"/>
        </w:rPr>
        <w:fldChar w:fldCharType="separate"/>
      </w:r>
      <w:r>
        <w:rPr>
          <w:b w:val="0"/>
          <w:noProof/>
          <w:color w:val="000000" w:themeColor="text1"/>
        </w:rPr>
        <w:t>1</w:t>
      </w:r>
      <w:r w:rsidRPr="000D7205">
        <w:rPr>
          <w:b w:val="0"/>
          <w:color w:val="000000" w:themeColor="text1"/>
        </w:rPr>
        <w:fldChar w:fldCharType="end"/>
      </w:r>
      <w:bookmarkEnd w:id="4"/>
      <w:r w:rsidRPr="000D7205">
        <w:rPr>
          <w:b w:val="0"/>
          <w:color w:val="000000" w:themeColor="text1"/>
        </w:rPr>
        <w:t xml:space="preserve">. </w:t>
      </w:r>
      <w:r w:rsidRPr="000D7205">
        <w:rPr>
          <w:b w:val="0"/>
          <w:color w:val="000000" w:themeColor="text1"/>
          <w:sz w:val="22"/>
          <w:szCs w:val="22"/>
        </w:rPr>
        <w:t>Sample items and reliability for each subscale</w:t>
      </w:r>
      <w:r w:rsidRPr="000D7205">
        <w:rPr>
          <w:b w:val="0"/>
          <w:i/>
          <w:color w:val="000000" w:themeColor="text1"/>
          <w:sz w:val="22"/>
          <w:szCs w:val="22"/>
        </w:rPr>
        <w:t xml:space="preserve"> </w:t>
      </w:r>
      <w:r w:rsidRPr="000D7205">
        <w:rPr>
          <w:b w:val="0"/>
          <w:color w:val="000000" w:themeColor="text1"/>
          <w:sz w:val="22"/>
          <w:szCs w:val="22"/>
        </w:rPr>
        <w:t>of the original ETS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6"/>
        <w:gridCol w:w="4566"/>
        <w:gridCol w:w="1223"/>
      </w:tblGrid>
      <w:tr w:rsidR="00E87700" w:rsidRPr="000D7205" w14:paraId="6CE596A2" w14:textId="77777777" w:rsidTr="00DC16FB">
        <w:trPr>
          <w:jc w:val="center"/>
        </w:trPr>
        <w:tc>
          <w:tcPr>
            <w:tcW w:w="3085" w:type="dxa"/>
            <w:tcBorders>
              <w:top w:val="single" w:sz="4" w:space="0" w:color="auto"/>
              <w:bottom w:val="single" w:sz="4" w:space="0" w:color="auto"/>
            </w:tcBorders>
            <w:vAlign w:val="center"/>
          </w:tcPr>
          <w:p w14:paraId="7C8FD72D" w14:textId="77777777" w:rsidR="00E87700" w:rsidRPr="000D7205" w:rsidRDefault="00E87700" w:rsidP="00DC16FB">
            <w:pPr>
              <w:jc w:val="both"/>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Factor/Subscale</w:t>
            </w:r>
          </w:p>
        </w:tc>
        <w:tc>
          <w:tcPr>
            <w:tcW w:w="4961" w:type="dxa"/>
            <w:tcBorders>
              <w:top w:val="single" w:sz="4" w:space="0" w:color="auto"/>
              <w:bottom w:val="single" w:sz="4" w:space="0" w:color="auto"/>
            </w:tcBorders>
            <w:vAlign w:val="center"/>
          </w:tcPr>
          <w:p w14:paraId="353ED342" w14:textId="77777777" w:rsidR="00E87700" w:rsidRPr="000D7205" w:rsidRDefault="00E87700" w:rsidP="00DC16FB">
            <w:pPr>
              <w:jc w:val="both"/>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 xml:space="preserve">Sample Item </w:t>
            </w:r>
          </w:p>
        </w:tc>
        <w:tc>
          <w:tcPr>
            <w:tcW w:w="1242" w:type="dxa"/>
            <w:tcBorders>
              <w:top w:val="single" w:sz="4" w:space="0" w:color="auto"/>
              <w:bottom w:val="single" w:sz="4" w:space="0" w:color="auto"/>
            </w:tcBorders>
            <w:vAlign w:val="center"/>
          </w:tcPr>
          <w:p w14:paraId="463B52D5" w14:textId="77777777" w:rsidR="00E87700" w:rsidRPr="000D7205" w:rsidRDefault="00E87700" w:rsidP="00DC16FB">
            <w:pPr>
              <w:jc w:val="both"/>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 xml:space="preserve">Cronbach Alpha </w:t>
            </w:r>
          </w:p>
        </w:tc>
      </w:tr>
      <w:tr w:rsidR="00E87700" w:rsidRPr="000D7205" w14:paraId="25D776D7" w14:textId="77777777" w:rsidTr="00DC16FB">
        <w:trPr>
          <w:jc w:val="center"/>
        </w:trPr>
        <w:tc>
          <w:tcPr>
            <w:tcW w:w="3085" w:type="dxa"/>
            <w:tcBorders>
              <w:top w:val="single" w:sz="4" w:space="0" w:color="auto"/>
            </w:tcBorders>
            <w:vAlign w:val="center"/>
          </w:tcPr>
          <w:p w14:paraId="3ED0BC36" w14:textId="77777777" w:rsidR="00E87700" w:rsidRPr="000D7205" w:rsidRDefault="00E87700" w:rsidP="00DC16FB">
            <w:pP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Emotional Engagement</w:t>
            </w:r>
          </w:p>
        </w:tc>
        <w:tc>
          <w:tcPr>
            <w:tcW w:w="4961" w:type="dxa"/>
            <w:tcBorders>
              <w:top w:val="single" w:sz="4" w:space="0" w:color="auto"/>
            </w:tcBorders>
            <w:vAlign w:val="center"/>
          </w:tcPr>
          <w:p w14:paraId="68D14B17" w14:textId="77777777" w:rsidR="00E87700" w:rsidRPr="000D7205" w:rsidRDefault="00E87700" w:rsidP="00DC16FB">
            <w:pPr>
              <w:pStyle w:val="Default"/>
              <w:jc w:val="both"/>
              <w:rPr>
                <w:rFonts w:ascii="Times New Roman" w:hAnsi="Times New Roman" w:cs="Times New Roman"/>
                <w:color w:val="000000" w:themeColor="text1"/>
                <w:sz w:val="22"/>
                <w:szCs w:val="22"/>
                <w:lang w:val="en-US"/>
              </w:rPr>
            </w:pPr>
            <w:r w:rsidRPr="000D7205">
              <w:rPr>
                <w:rFonts w:ascii="Times New Roman" w:hAnsi="Times New Roman" w:cs="Times New Roman"/>
                <w:color w:val="000000" w:themeColor="text1"/>
                <w:sz w:val="22"/>
                <w:szCs w:val="22"/>
                <w:lang w:val="en-US"/>
              </w:rPr>
              <w:t>“I feel happy while teaching</w:t>
            </w:r>
            <w:r w:rsidRPr="000D7205">
              <w:rPr>
                <w:rFonts w:ascii="Arial" w:hAnsi="Arial" w:cs="Arial"/>
                <w:color w:val="000000" w:themeColor="text1"/>
              </w:rPr>
              <w:t>”</w:t>
            </w:r>
          </w:p>
        </w:tc>
        <w:tc>
          <w:tcPr>
            <w:tcW w:w="1242" w:type="dxa"/>
            <w:tcBorders>
              <w:top w:val="single" w:sz="4" w:space="0" w:color="auto"/>
            </w:tcBorders>
            <w:vAlign w:val="center"/>
          </w:tcPr>
          <w:p w14:paraId="403AABA4"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.87</w:t>
            </w:r>
          </w:p>
        </w:tc>
      </w:tr>
      <w:tr w:rsidR="00E87700" w:rsidRPr="000D7205" w14:paraId="14BAB4C9" w14:textId="77777777" w:rsidTr="00DC16FB">
        <w:trPr>
          <w:trHeight w:val="539"/>
          <w:jc w:val="center"/>
        </w:trPr>
        <w:tc>
          <w:tcPr>
            <w:tcW w:w="3085" w:type="dxa"/>
            <w:vAlign w:val="center"/>
          </w:tcPr>
          <w:p w14:paraId="55F6DBCA" w14:textId="77777777" w:rsidR="00E87700" w:rsidRPr="000D7205" w:rsidRDefault="00E87700" w:rsidP="00DC16FB">
            <w:pP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Cognitive engagement</w:t>
            </w:r>
          </w:p>
        </w:tc>
        <w:tc>
          <w:tcPr>
            <w:tcW w:w="4961" w:type="dxa"/>
            <w:vAlign w:val="center"/>
          </w:tcPr>
          <w:p w14:paraId="7A5AAB5F" w14:textId="77777777" w:rsidR="00E87700" w:rsidRPr="000D7205" w:rsidRDefault="00E87700" w:rsidP="00DC16FB">
            <w:pPr>
              <w:pStyle w:val="Default"/>
              <w:jc w:val="both"/>
              <w:rPr>
                <w:rFonts w:ascii="Times New Roman" w:hAnsi="Times New Roman" w:cs="Times New Roman"/>
                <w:color w:val="000000" w:themeColor="text1"/>
                <w:sz w:val="22"/>
                <w:szCs w:val="22"/>
                <w:lang w:val="en-US"/>
              </w:rPr>
            </w:pPr>
            <w:r w:rsidRPr="000D7205">
              <w:rPr>
                <w:rFonts w:ascii="Times New Roman" w:hAnsi="Times New Roman" w:cs="Times New Roman"/>
                <w:color w:val="000000" w:themeColor="text1"/>
                <w:sz w:val="22"/>
                <w:szCs w:val="22"/>
                <w:lang w:val="en-US"/>
              </w:rPr>
              <w:t>“While teaching I pay a lot of attention to my work</w:t>
            </w:r>
            <w:r w:rsidRPr="000D7205">
              <w:rPr>
                <w:rFonts w:ascii="Arial" w:hAnsi="Arial" w:cs="Arial"/>
                <w:color w:val="000000" w:themeColor="text1"/>
              </w:rPr>
              <w:t>”</w:t>
            </w:r>
          </w:p>
        </w:tc>
        <w:tc>
          <w:tcPr>
            <w:tcW w:w="1242" w:type="dxa"/>
            <w:vAlign w:val="center"/>
          </w:tcPr>
          <w:p w14:paraId="036D574C"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.84</w:t>
            </w:r>
          </w:p>
        </w:tc>
      </w:tr>
      <w:tr w:rsidR="00E87700" w:rsidRPr="000D7205" w14:paraId="76C4D5F1" w14:textId="77777777" w:rsidTr="00DC16FB">
        <w:trPr>
          <w:jc w:val="center"/>
        </w:trPr>
        <w:tc>
          <w:tcPr>
            <w:tcW w:w="3085" w:type="dxa"/>
            <w:vAlign w:val="center"/>
          </w:tcPr>
          <w:p w14:paraId="59B64302" w14:textId="77777777" w:rsidR="00E87700" w:rsidRPr="000D7205" w:rsidRDefault="00E87700" w:rsidP="00DC16FB">
            <w:pP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Social Engagement: Students</w:t>
            </w:r>
          </w:p>
        </w:tc>
        <w:tc>
          <w:tcPr>
            <w:tcW w:w="4961" w:type="dxa"/>
            <w:vAlign w:val="center"/>
          </w:tcPr>
          <w:p w14:paraId="40358236" w14:textId="77777777" w:rsidR="00E87700" w:rsidRPr="000D7205" w:rsidRDefault="00E87700" w:rsidP="00DC16FB">
            <w:pPr>
              <w:pStyle w:val="Default"/>
              <w:jc w:val="both"/>
              <w:rPr>
                <w:rFonts w:ascii="Times New Roman" w:hAnsi="Times New Roman" w:cs="Times New Roman"/>
                <w:color w:val="000000" w:themeColor="text1"/>
                <w:sz w:val="22"/>
                <w:szCs w:val="22"/>
                <w:lang w:val="en-US"/>
              </w:rPr>
            </w:pPr>
            <w:r w:rsidRPr="000D7205">
              <w:rPr>
                <w:rFonts w:ascii="Times New Roman" w:hAnsi="Times New Roman" w:cs="Times New Roman"/>
                <w:color w:val="000000" w:themeColor="text1"/>
                <w:sz w:val="22"/>
                <w:szCs w:val="22"/>
                <w:lang w:val="en-US"/>
              </w:rPr>
              <w:t>“In class, I am empathetic towards my students</w:t>
            </w:r>
            <w:r w:rsidRPr="000D7205">
              <w:rPr>
                <w:rFonts w:ascii="Arial" w:hAnsi="Arial" w:cs="Arial"/>
                <w:color w:val="000000" w:themeColor="text1"/>
              </w:rPr>
              <w:t>”</w:t>
            </w:r>
          </w:p>
        </w:tc>
        <w:tc>
          <w:tcPr>
            <w:tcW w:w="1242" w:type="dxa"/>
            <w:vAlign w:val="center"/>
          </w:tcPr>
          <w:p w14:paraId="5FD12D54"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.83</w:t>
            </w:r>
          </w:p>
        </w:tc>
      </w:tr>
      <w:tr w:rsidR="00E87700" w:rsidRPr="000D7205" w14:paraId="5AFD58A2" w14:textId="77777777" w:rsidTr="00DC16FB">
        <w:trPr>
          <w:jc w:val="center"/>
        </w:trPr>
        <w:tc>
          <w:tcPr>
            <w:tcW w:w="3085" w:type="dxa"/>
            <w:tcBorders>
              <w:bottom w:val="single" w:sz="4" w:space="0" w:color="auto"/>
            </w:tcBorders>
            <w:vAlign w:val="center"/>
          </w:tcPr>
          <w:p w14:paraId="78506400" w14:textId="77777777" w:rsidR="00E87700" w:rsidRPr="000D7205" w:rsidRDefault="00E87700" w:rsidP="00DC16FB">
            <w:pP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 xml:space="preserve">Social Engagement: Colleagues </w:t>
            </w:r>
          </w:p>
        </w:tc>
        <w:tc>
          <w:tcPr>
            <w:tcW w:w="4961" w:type="dxa"/>
            <w:tcBorders>
              <w:bottom w:val="single" w:sz="4" w:space="0" w:color="auto"/>
            </w:tcBorders>
            <w:vAlign w:val="center"/>
          </w:tcPr>
          <w:p w14:paraId="3F19521B" w14:textId="77777777" w:rsidR="00E87700" w:rsidRPr="000D7205" w:rsidRDefault="00E87700" w:rsidP="00DC16FB">
            <w:pPr>
              <w:pStyle w:val="Default"/>
              <w:jc w:val="both"/>
              <w:rPr>
                <w:rFonts w:ascii="Times New Roman" w:hAnsi="Times New Roman" w:cs="Times New Roman"/>
                <w:color w:val="000000" w:themeColor="text1"/>
                <w:sz w:val="22"/>
                <w:szCs w:val="22"/>
                <w:lang w:val="en-US"/>
              </w:rPr>
            </w:pPr>
            <w:r w:rsidRPr="000D7205">
              <w:rPr>
                <w:rFonts w:ascii="Times New Roman" w:hAnsi="Times New Roman" w:cs="Times New Roman"/>
                <w:color w:val="000000" w:themeColor="text1"/>
                <w:sz w:val="22"/>
                <w:szCs w:val="22"/>
                <w:lang w:val="en-US"/>
              </w:rPr>
              <w:t>“At school, I value the relationships I build with my colleagues</w:t>
            </w:r>
            <w:r w:rsidRPr="000D7205">
              <w:rPr>
                <w:rFonts w:ascii="Arial" w:hAnsi="Arial" w:cs="Arial"/>
                <w:color w:val="000000" w:themeColor="text1"/>
              </w:rPr>
              <w:t>”</w:t>
            </w:r>
          </w:p>
        </w:tc>
        <w:tc>
          <w:tcPr>
            <w:tcW w:w="1242" w:type="dxa"/>
            <w:tcBorders>
              <w:bottom w:val="single" w:sz="4" w:space="0" w:color="auto"/>
            </w:tcBorders>
            <w:vAlign w:val="center"/>
          </w:tcPr>
          <w:p w14:paraId="496FA442"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.79</w:t>
            </w:r>
          </w:p>
        </w:tc>
      </w:tr>
    </w:tbl>
    <w:p w14:paraId="443E24D4" w14:textId="77777777" w:rsidR="00E87700" w:rsidRPr="000D7205" w:rsidRDefault="00E87700" w:rsidP="00E87700">
      <w:pPr>
        <w:jc w:val="both"/>
        <w:rPr>
          <w:color w:val="000000" w:themeColor="text1"/>
          <w:sz w:val="22"/>
          <w:szCs w:val="22"/>
        </w:rPr>
      </w:pPr>
      <w:r w:rsidRPr="000D7205">
        <w:rPr>
          <w:color w:val="000000" w:themeColor="text1"/>
          <w:sz w:val="22"/>
          <w:szCs w:val="22"/>
        </w:rPr>
        <w:t xml:space="preserve">Note: Each subscale consists of 4 items for a total measure of 16 items. </w:t>
      </w:r>
    </w:p>
    <w:p w14:paraId="1F17BB06" w14:textId="77777777" w:rsidR="00E87700" w:rsidRPr="000D7205" w:rsidRDefault="00E87700" w:rsidP="00E87700">
      <w:pPr>
        <w:jc w:val="both"/>
        <w:rPr>
          <w:color w:val="000000" w:themeColor="text1"/>
          <w:sz w:val="22"/>
          <w:szCs w:val="22"/>
        </w:rPr>
      </w:pPr>
    </w:p>
    <w:p w14:paraId="6C6E9F22" w14:textId="77777777" w:rsidR="00E87700" w:rsidRPr="000D7205" w:rsidRDefault="00E87700" w:rsidP="00E87700">
      <w:pPr>
        <w:pStyle w:val="Caption"/>
        <w:spacing w:after="120"/>
        <w:rPr>
          <w:b w:val="0"/>
          <w:i/>
          <w:iCs/>
          <w:color w:val="000000" w:themeColor="text1"/>
          <w:sz w:val="22"/>
          <w:szCs w:val="22"/>
        </w:rPr>
      </w:pPr>
      <w:bookmarkStart w:id="5" w:name="_Ref465513008"/>
      <w:r w:rsidRPr="000D7205">
        <w:rPr>
          <w:b w:val="0"/>
          <w:color w:val="000000" w:themeColor="text1"/>
        </w:rPr>
        <w:t xml:space="preserve">Table </w:t>
      </w:r>
      <w:r w:rsidRPr="000D7205">
        <w:rPr>
          <w:b w:val="0"/>
          <w:color w:val="000000" w:themeColor="text1"/>
        </w:rPr>
        <w:fldChar w:fldCharType="begin"/>
      </w:r>
      <w:r w:rsidRPr="000D7205">
        <w:rPr>
          <w:b w:val="0"/>
          <w:color w:val="000000" w:themeColor="text1"/>
        </w:rPr>
        <w:instrText xml:space="preserve"> SEQ Table \* ARABIC </w:instrText>
      </w:r>
      <w:r w:rsidRPr="000D7205">
        <w:rPr>
          <w:b w:val="0"/>
          <w:color w:val="000000" w:themeColor="text1"/>
        </w:rPr>
        <w:fldChar w:fldCharType="separate"/>
      </w:r>
      <w:r>
        <w:rPr>
          <w:b w:val="0"/>
          <w:noProof/>
          <w:color w:val="000000" w:themeColor="text1"/>
        </w:rPr>
        <w:t>2</w:t>
      </w:r>
      <w:r w:rsidRPr="000D7205">
        <w:rPr>
          <w:b w:val="0"/>
          <w:color w:val="000000" w:themeColor="text1"/>
        </w:rPr>
        <w:fldChar w:fldCharType="end"/>
      </w:r>
      <w:bookmarkEnd w:id="5"/>
      <w:r w:rsidRPr="000D7205">
        <w:rPr>
          <w:b w:val="0"/>
          <w:color w:val="000000" w:themeColor="text1"/>
        </w:rPr>
        <w:t xml:space="preserve">. </w:t>
      </w:r>
      <w:r w:rsidRPr="000D7205">
        <w:rPr>
          <w:b w:val="0"/>
          <w:iCs/>
          <w:color w:val="000000" w:themeColor="text1"/>
          <w:sz w:val="22"/>
          <w:szCs w:val="22"/>
        </w:rPr>
        <w:t>Descriptive and reliability statistics of subscales with standardized parameter estimates obtained from the First- and Second-Order CFAs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3030"/>
        <w:gridCol w:w="601"/>
        <w:gridCol w:w="601"/>
        <w:gridCol w:w="721"/>
        <w:gridCol w:w="611"/>
        <w:gridCol w:w="1072"/>
      </w:tblGrid>
      <w:tr w:rsidR="00E87700" w:rsidRPr="000D7205" w14:paraId="08B184A6" w14:textId="77777777" w:rsidTr="00DC16FB">
        <w:tc>
          <w:tcPr>
            <w:tcW w:w="1279" w:type="pct"/>
            <w:tcBorders>
              <w:top w:val="single" w:sz="4" w:space="0" w:color="auto"/>
              <w:bottom w:val="single" w:sz="4" w:space="0" w:color="auto"/>
            </w:tcBorders>
          </w:tcPr>
          <w:p w14:paraId="6ADBBFE7" w14:textId="77777777" w:rsidR="00E87700" w:rsidRPr="000D7205" w:rsidRDefault="00E87700" w:rsidP="00DC16FB">
            <w:pP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Second-Order Factor</w:t>
            </w:r>
          </w:p>
        </w:tc>
        <w:tc>
          <w:tcPr>
            <w:tcW w:w="1824" w:type="pct"/>
            <w:tcBorders>
              <w:top w:val="single" w:sz="4" w:space="0" w:color="auto"/>
              <w:bottom w:val="single" w:sz="4" w:space="0" w:color="auto"/>
            </w:tcBorders>
            <w:vAlign w:val="center"/>
          </w:tcPr>
          <w:p w14:paraId="0B5DF822" w14:textId="77777777" w:rsidR="00E87700" w:rsidRPr="000D7205" w:rsidRDefault="00E87700" w:rsidP="00DC16FB">
            <w:pP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First-Order Factor/Item</w:t>
            </w:r>
          </w:p>
        </w:tc>
        <w:tc>
          <w:tcPr>
            <w:tcW w:w="377" w:type="pct"/>
            <w:tcBorders>
              <w:top w:val="single" w:sz="4" w:space="0" w:color="auto"/>
              <w:bottom w:val="single" w:sz="4" w:space="0" w:color="auto"/>
            </w:tcBorders>
            <w:vAlign w:val="bottom"/>
          </w:tcPr>
          <w:p w14:paraId="2F04E387" w14:textId="77777777" w:rsidR="00E87700" w:rsidRPr="000D7205" w:rsidRDefault="00E87700" w:rsidP="00DC16FB">
            <w:pPr>
              <w:pStyle w:val="Default"/>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γ</w:t>
            </w:r>
          </w:p>
        </w:tc>
        <w:tc>
          <w:tcPr>
            <w:tcW w:w="377" w:type="pct"/>
            <w:tcBorders>
              <w:top w:val="single" w:sz="4" w:space="0" w:color="auto"/>
              <w:bottom w:val="single" w:sz="4" w:space="0" w:color="auto"/>
            </w:tcBorders>
            <w:vAlign w:val="bottom"/>
          </w:tcPr>
          <w:p w14:paraId="69998E34" w14:textId="77777777" w:rsidR="00E87700" w:rsidRPr="000D7205" w:rsidRDefault="00E87700" w:rsidP="00DC16FB">
            <w:pPr>
              <w:pStyle w:val="Default"/>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λ</w:t>
            </w:r>
          </w:p>
        </w:tc>
        <w:tc>
          <w:tcPr>
            <w:tcW w:w="453" w:type="pct"/>
            <w:tcBorders>
              <w:top w:val="single" w:sz="4" w:space="0" w:color="auto"/>
              <w:bottom w:val="single" w:sz="4" w:space="0" w:color="auto"/>
            </w:tcBorders>
            <w:vAlign w:val="bottom"/>
          </w:tcPr>
          <w:p w14:paraId="42F14AC4" w14:textId="77777777" w:rsidR="00E87700" w:rsidRPr="000D7205" w:rsidRDefault="00E87700" w:rsidP="00DC16FB">
            <w:pPr>
              <w:jc w:val="center"/>
              <w:rPr>
                <w:rFonts w:ascii="Times New Roman" w:hAnsi="Times New Roman" w:cs="Times New Roman"/>
                <w:i/>
                <w:color w:val="000000" w:themeColor="text1"/>
                <w:sz w:val="22"/>
                <w:szCs w:val="22"/>
              </w:rPr>
            </w:pPr>
            <w:r w:rsidRPr="000D7205">
              <w:rPr>
                <w:rFonts w:ascii="Times New Roman" w:hAnsi="Times New Roman" w:cs="Times New Roman"/>
                <w:i/>
                <w:color w:val="000000" w:themeColor="text1"/>
                <w:sz w:val="22"/>
                <w:szCs w:val="22"/>
              </w:rPr>
              <w:t>M</w:t>
            </w:r>
          </w:p>
        </w:tc>
        <w:tc>
          <w:tcPr>
            <w:tcW w:w="383" w:type="pct"/>
            <w:tcBorders>
              <w:top w:val="single" w:sz="4" w:space="0" w:color="auto"/>
              <w:bottom w:val="single" w:sz="4" w:space="0" w:color="auto"/>
            </w:tcBorders>
            <w:vAlign w:val="bottom"/>
          </w:tcPr>
          <w:p w14:paraId="3DCE0DEE" w14:textId="77777777" w:rsidR="00E87700" w:rsidRPr="000D7205" w:rsidRDefault="00E87700" w:rsidP="00DC16FB">
            <w:pPr>
              <w:pStyle w:val="Default"/>
              <w:jc w:val="center"/>
              <w:rPr>
                <w:rFonts w:ascii="Times New Roman" w:hAnsi="Times New Roman" w:cs="Times New Roman"/>
                <w:i/>
                <w:color w:val="000000" w:themeColor="text1"/>
                <w:sz w:val="22"/>
                <w:szCs w:val="22"/>
              </w:rPr>
            </w:pPr>
            <w:r w:rsidRPr="000D7205">
              <w:rPr>
                <w:rFonts w:ascii="Times New Roman" w:hAnsi="Times New Roman" w:cs="Times New Roman"/>
                <w:i/>
                <w:color w:val="000000" w:themeColor="text1"/>
                <w:sz w:val="22"/>
                <w:szCs w:val="22"/>
              </w:rPr>
              <w:t>SD</w:t>
            </w:r>
          </w:p>
        </w:tc>
        <w:tc>
          <w:tcPr>
            <w:tcW w:w="308" w:type="pct"/>
            <w:tcBorders>
              <w:top w:val="single" w:sz="4" w:space="0" w:color="auto"/>
              <w:bottom w:val="single" w:sz="4" w:space="0" w:color="auto"/>
            </w:tcBorders>
            <w:vAlign w:val="bottom"/>
          </w:tcPr>
          <w:p w14:paraId="24F93D4D" w14:textId="77777777" w:rsidR="00E87700" w:rsidRPr="000D7205" w:rsidRDefault="00E87700" w:rsidP="00DC16FB">
            <w:pPr>
              <w:pStyle w:val="Default"/>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Cronbach Al</w:t>
            </w:r>
            <w:r w:rsidRPr="000D7205">
              <w:rPr>
                <w:rFonts w:ascii="Times New Roman" w:hAnsi="Times New Roman" w:cs="Times New Roman"/>
                <w:color w:val="000000" w:themeColor="text1"/>
                <w:sz w:val="22"/>
                <w:szCs w:val="22"/>
              </w:rPr>
              <w:t>pha</w:t>
            </w:r>
          </w:p>
        </w:tc>
      </w:tr>
      <w:tr w:rsidR="00E87700" w:rsidRPr="000D7205" w14:paraId="7945FB45" w14:textId="77777777" w:rsidTr="00DC16FB">
        <w:tc>
          <w:tcPr>
            <w:tcW w:w="1279" w:type="pct"/>
            <w:tcBorders>
              <w:top w:val="single" w:sz="4" w:space="0" w:color="auto"/>
            </w:tcBorders>
          </w:tcPr>
          <w:p w14:paraId="1D3A8755" w14:textId="77777777" w:rsidR="00E87700" w:rsidRPr="000D7205" w:rsidRDefault="00E87700" w:rsidP="00DC16FB">
            <w:pP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Teacher Engagement</w:t>
            </w:r>
          </w:p>
        </w:tc>
        <w:tc>
          <w:tcPr>
            <w:tcW w:w="1824" w:type="pct"/>
            <w:tcBorders>
              <w:top w:val="single" w:sz="4" w:space="0" w:color="auto"/>
            </w:tcBorders>
            <w:vAlign w:val="center"/>
          </w:tcPr>
          <w:p w14:paraId="6966961A" w14:textId="77777777" w:rsidR="00E87700" w:rsidRPr="000D7205" w:rsidRDefault="00E87700" w:rsidP="00DC16FB">
            <w:pPr>
              <w:rPr>
                <w:rFonts w:ascii="Times New Roman" w:hAnsi="Times New Roman" w:cs="Times New Roman"/>
                <w:color w:val="000000" w:themeColor="text1"/>
                <w:sz w:val="22"/>
                <w:szCs w:val="22"/>
              </w:rPr>
            </w:pPr>
          </w:p>
        </w:tc>
        <w:tc>
          <w:tcPr>
            <w:tcW w:w="377" w:type="pct"/>
            <w:tcBorders>
              <w:top w:val="single" w:sz="4" w:space="0" w:color="auto"/>
            </w:tcBorders>
          </w:tcPr>
          <w:p w14:paraId="1F995590" w14:textId="77777777" w:rsidR="00E87700" w:rsidRPr="000D7205" w:rsidRDefault="00E87700" w:rsidP="00DC16FB">
            <w:pPr>
              <w:jc w:val="center"/>
              <w:rPr>
                <w:rFonts w:ascii="Times New Roman" w:hAnsi="Times New Roman" w:cs="Times New Roman"/>
                <w:color w:val="000000" w:themeColor="text1"/>
                <w:sz w:val="22"/>
                <w:szCs w:val="22"/>
              </w:rPr>
            </w:pPr>
          </w:p>
        </w:tc>
        <w:tc>
          <w:tcPr>
            <w:tcW w:w="377" w:type="pct"/>
            <w:tcBorders>
              <w:top w:val="single" w:sz="4" w:space="0" w:color="auto"/>
            </w:tcBorders>
            <w:vAlign w:val="center"/>
          </w:tcPr>
          <w:p w14:paraId="5874414A" w14:textId="77777777" w:rsidR="00E87700" w:rsidRPr="000D7205" w:rsidRDefault="00E87700" w:rsidP="00DC16FB">
            <w:pPr>
              <w:jc w:val="center"/>
              <w:rPr>
                <w:rFonts w:ascii="Times New Roman" w:hAnsi="Times New Roman" w:cs="Times New Roman"/>
                <w:color w:val="000000" w:themeColor="text1"/>
                <w:sz w:val="22"/>
                <w:szCs w:val="22"/>
              </w:rPr>
            </w:pPr>
          </w:p>
        </w:tc>
        <w:tc>
          <w:tcPr>
            <w:tcW w:w="453" w:type="pct"/>
            <w:tcBorders>
              <w:top w:val="single" w:sz="4" w:space="0" w:color="auto"/>
            </w:tcBorders>
            <w:vAlign w:val="center"/>
          </w:tcPr>
          <w:p w14:paraId="7EF994C3" w14:textId="77777777" w:rsidR="00E87700" w:rsidRPr="000D7205" w:rsidRDefault="00E87700" w:rsidP="00DC16FB">
            <w:pPr>
              <w:pStyle w:val="Default"/>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5.03</w:t>
            </w:r>
          </w:p>
        </w:tc>
        <w:tc>
          <w:tcPr>
            <w:tcW w:w="383" w:type="pct"/>
            <w:tcBorders>
              <w:top w:val="single" w:sz="4" w:space="0" w:color="auto"/>
            </w:tcBorders>
            <w:vAlign w:val="center"/>
          </w:tcPr>
          <w:p w14:paraId="47CCF7B9"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.54</w:t>
            </w:r>
          </w:p>
        </w:tc>
        <w:tc>
          <w:tcPr>
            <w:tcW w:w="308" w:type="pct"/>
            <w:tcBorders>
              <w:top w:val="single" w:sz="4" w:space="0" w:color="auto"/>
            </w:tcBorders>
            <w:vAlign w:val="center"/>
          </w:tcPr>
          <w:p w14:paraId="1D4849DA"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.88</w:t>
            </w:r>
          </w:p>
        </w:tc>
      </w:tr>
      <w:tr w:rsidR="00E87700" w:rsidRPr="000D7205" w14:paraId="1B4A75F1" w14:textId="77777777" w:rsidTr="00DC16FB">
        <w:tc>
          <w:tcPr>
            <w:tcW w:w="1279" w:type="pct"/>
          </w:tcPr>
          <w:p w14:paraId="0CC5866C" w14:textId="77777777" w:rsidR="00E87700" w:rsidRPr="000D7205" w:rsidRDefault="00E87700" w:rsidP="00DC16FB">
            <w:pPr>
              <w:jc w:val="center"/>
              <w:rPr>
                <w:rFonts w:ascii="Times New Roman" w:hAnsi="Times New Roman" w:cs="Times New Roman"/>
                <w:color w:val="000000" w:themeColor="text1"/>
                <w:sz w:val="22"/>
                <w:szCs w:val="22"/>
              </w:rPr>
            </w:pPr>
          </w:p>
        </w:tc>
        <w:tc>
          <w:tcPr>
            <w:tcW w:w="1824" w:type="pct"/>
            <w:vAlign w:val="center"/>
          </w:tcPr>
          <w:p w14:paraId="10C2968F" w14:textId="77777777" w:rsidR="00E87700" w:rsidRPr="000D7205" w:rsidRDefault="00E87700" w:rsidP="00DC16FB">
            <w:pP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Emotional Engagement</w:t>
            </w:r>
          </w:p>
        </w:tc>
        <w:tc>
          <w:tcPr>
            <w:tcW w:w="377" w:type="pct"/>
          </w:tcPr>
          <w:p w14:paraId="14169DB4"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.62*</w:t>
            </w:r>
          </w:p>
        </w:tc>
        <w:tc>
          <w:tcPr>
            <w:tcW w:w="377" w:type="pct"/>
            <w:vAlign w:val="center"/>
          </w:tcPr>
          <w:p w14:paraId="42ACCD3F" w14:textId="77777777" w:rsidR="00E87700" w:rsidRPr="000D7205" w:rsidRDefault="00E87700" w:rsidP="00DC16FB">
            <w:pPr>
              <w:jc w:val="center"/>
              <w:rPr>
                <w:rFonts w:ascii="Times New Roman" w:hAnsi="Times New Roman" w:cs="Times New Roman"/>
                <w:color w:val="000000" w:themeColor="text1"/>
                <w:sz w:val="22"/>
                <w:szCs w:val="22"/>
              </w:rPr>
            </w:pPr>
          </w:p>
        </w:tc>
        <w:tc>
          <w:tcPr>
            <w:tcW w:w="453" w:type="pct"/>
            <w:vAlign w:val="center"/>
          </w:tcPr>
          <w:p w14:paraId="7A4AAEF8" w14:textId="77777777" w:rsidR="00E87700" w:rsidRPr="000D7205" w:rsidRDefault="00E87700" w:rsidP="00DC16FB">
            <w:pPr>
              <w:pStyle w:val="Default"/>
              <w:jc w:val="center"/>
              <w:rPr>
                <w:rFonts w:ascii="Times New Roman" w:hAnsi="Times New Roman" w:cs="Times New Roman"/>
                <w:color w:val="000000" w:themeColor="text1"/>
                <w:sz w:val="22"/>
                <w:szCs w:val="22"/>
              </w:rPr>
            </w:pPr>
          </w:p>
        </w:tc>
        <w:tc>
          <w:tcPr>
            <w:tcW w:w="383" w:type="pct"/>
            <w:vAlign w:val="center"/>
          </w:tcPr>
          <w:p w14:paraId="1E274C11" w14:textId="77777777" w:rsidR="00E87700" w:rsidRPr="000D7205" w:rsidRDefault="00E87700" w:rsidP="00DC16FB">
            <w:pPr>
              <w:jc w:val="center"/>
              <w:rPr>
                <w:rFonts w:ascii="Times New Roman" w:hAnsi="Times New Roman" w:cs="Times New Roman"/>
                <w:color w:val="000000" w:themeColor="text1"/>
                <w:sz w:val="22"/>
                <w:szCs w:val="22"/>
              </w:rPr>
            </w:pPr>
          </w:p>
        </w:tc>
        <w:tc>
          <w:tcPr>
            <w:tcW w:w="308" w:type="pct"/>
            <w:vAlign w:val="center"/>
          </w:tcPr>
          <w:p w14:paraId="649DF846" w14:textId="77777777" w:rsidR="00E87700" w:rsidRPr="000D7205" w:rsidRDefault="00E87700" w:rsidP="00DC16FB">
            <w:pPr>
              <w:jc w:val="center"/>
              <w:rPr>
                <w:rFonts w:ascii="Times New Roman" w:hAnsi="Times New Roman" w:cs="Times New Roman"/>
                <w:color w:val="000000" w:themeColor="text1"/>
                <w:sz w:val="22"/>
                <w:szCs w:val="22"/>
              </w:rPr>
            </w:pPr>
          </w:p>
        </w:tc>
      </w:tr>
      <w:tr w:rsidR="00E87700" w:rsidRPr="000D7205" w14:paraId="6EA6B231" w14:textId="77777777" w:rsidTr="00DC16FB">
        <w:tc>
          <w:tcPr>
            <w:tcW w:w="1279" w:type="pct"/>
          </w:tcPr>
          <w:p w14:paraId="129B503B" w14:textId="77777777" w:rsidR="00E87700" w:rsidRPr="000D7205" w:rsidRDefault="00E87700" w:rsidP="00DC16FB">
            <w:pPr>
              <w:jc w:val="center"/>
              <w:rPr>
                <w:rFonts w:ascii="Times New Roman" w:hAnsi="Times New Roman" w:cs="Times New Roman"/>
                <w:color w:val="000000" w:themeColor="text1"/>
                <w:sz w:val="22"/>
                <w:szCs w:val="22"/>
              </w:rPr>
            </w:pPr>
          </w:p>
        </w:tc>
        <w:tc>
          <w:tcPr>
            <w:tcW w:w="1824" w:type="pct"/>
            <w:vAlign w:val="center"/>
          </w:tcPr>
          <w:p w14:paraId="6B61AB51" w14:textId="77777777" w:rsidR="00E87700" w:rsidRPr="000D7205" w:rsidRDefault="00E87700" w:rsidP="00DC16FB">
            <w:pP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Item 10</w:t>
            </w:r>
          </w:p>
        </w:tc>
        <w:tc>
          <w:tcPr>
            <w:tcW w:w="377" w:type="pct"/>
          </w:tcPr>
          <w:p w14:paraId="1CF631FF" w14:textId="77777777" w:rsidR="00E87700" w:rsidRPr="000D7205" w:rsidRDefault="00E87700" w:rsidP="00DC16FB">
            <w:pPr>
              <w:jc w:val="center"/>
              <w:rPr>
                <w:rFonts w:ascii="Times New Roman" w:hAnsi="Times New Roman" w:cs="Times New Roman"/>
                <w:color w:val="000000" w:themeColor="text1"/>
                <w:sz w:val="22"/>
                <w:szCs w:val="22"/>
              </w:rPr>
            </w:pPr>
          </w:p>
        </w:tc>
        <w:tc>
          <w:tcPr>
            <w:tcW w:w="377" w:type="pct"/>
            <w:vAlign w:val="center"/>
          </w:tcPr>
          <w:p w14:paraId="2BE8C8F2"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.72*</w:t>
            </w:r>
          </w:p>
        </w:tc>
        <w:tc>
          <w:tcPr>
            <w:tcW w:w="453" w:type="pct"/>
            <w:vAlign w:val="center"/>
          </w:tcPr>
          <w:p w14:paraId="1C71C66E" w14:textId="77777777" w:rsidR="00E87700" w:rsidRPr="000D7205" w:rsidRDefault="00E87700" w:rsidP="00DC16FB">
            <w:pPr>
              <w:pStyle w:val="Default"/>
              <w:jc w:val="center"/>
              <w:rPr>
                <w:rFonts w:ascii="Times New Roman" w:hAnsi="Times New Roman" w:cs="Times New Roman"/>
                <w:color w:val="000000" w:themeColor="text1"/>
                <w:sz w:val="22"/>
                <w:szCs w:val="22"/>
              </w:rPr>
            </w:pPr>
          </w:p>
        </w:tc>
        <w:tc>
          <w:tcPr>
            <w:tcW w:w="383" w:type="pct"/>
            <w:vAlign w:val="center"/>
          </w:tcPr>
          <w:p w14:paraId="53D62D9F" w14:textId="77777777" w:rsidR="00E87700" w:rsidRPr="000D7205" w:rsidRDefault="00E87700" w:rsidP="00DC16FB">
            <w:pPr>
              <w:jc w:val="center"/>
              <w:rPr>
                <w:rFonts w:ascii="Times New Roman" w:hAnsi="Times New Roman" w:cs="Times New Roman"/>
                <w:color w:val="000000" w:themeColor="text1"/>
                <w:sz w:val="22"/>
                <w:szCs w:val="22"/>
              </w:rPr>
            </w:pPr>
          </w:p>
        </w:tc>
        <w:tc>
          <w:tcPr>
            <w:tcW w:w="308" w:type="pct"/>
            <w:vAlign w:val="center"/>
          </w:tcPr>
          <w:p w14:paraId="5AA1076C" w14:textId="77777777" w:rsidR="00E87700" w:rsidRPr="000D7205" w:rsidRDefault="00E87700" w:rsidP="00DC16FB">
            <w:pPr>
              <w:jc w:val="center"/>
              <w:rPr>
                <w:rFonts w:ascii="Times New Roman" w:hAnsi="Times New Roman" w:cs="Times New Roman"/>
                <w:color w:val="000000" w:themeColor="text1"/>
                <w:sz w:val="22"/>
                <w:szCs w:val="22"/>
              </w:rPr>
            </w:pPr>
          </w:p>
        </w:tc>
      </w:tr>
      <w:tr w:rsidR="00E87700" w:rsidRPr="000D7205" w14:paraId="1B39C71A" w14:textId="77777777" w:rsidTr="00DC16FB">
        <w:tc>
          <w:tcPr>
            <w:tcW w:w="1279" w:type="pct"/>
          </w:tcPr>
          <w:p w14:paraId="0C0EFA97" w14:textId="77777777" w:rsidR="00E87700" w:rsidRPr="000D7205" w:rsidRDefault="00E87700" w:rsidP="00DC16FB">
            <w:pPr>
              <w:jc w:val="center"/>
              <w:rPr>
                <w:rFonts w:ascii="Times New Roman" w:hAnsi="Times New Roman" w:cs="Times New Roman"/>
                <w:color w:val="000000" w:themeColor="text1"/>
                <w:sz w:val="22"/>
                <w:szCs w:val="22"/>
              </w:rPr>
            </w:pPr>
          </w:p>
        </w:tc>
        <w:tc>
          <w:tcPr>
            <w:tcW w:w="1824" w:type="pct"/>
            <w:vAlign w:val="center"/>
          </w:tcPr>
          <w:p w14:paraId="35B01ED7" w14:textId="77777777" w:rsidR="00E87700" w:rsidRPr="000D7205" w:rsidRDefault="00E87700" w:rsidP="00DC16FB">
            <w:pP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Item 2</w:t>
            </w:r>
          </w:p>
        </w:tc>
        <w:tc>
          <w:tcPr>
            <w:tcW w:w="377" w:type="pct"/>
          </w:tcPr>
          <w:p w14:paraId="409BE97C" w14:textId="77777777" w:rsidR="00E87700" w:rsidRPr="000D7205" w:rsidRDefault="00E87700" w:rsidP="00DC16FB">
            <w:pPr>
              <w:jc w:val="center"/>
              <w:rPr>
                <w:rFonts w:ascii="Times New Roman" w:hAnsi="Times New Roman" w:cs="Times New Roman"/>
                <w:color w:val="000000" w:themeColor="text1"/>
                <w:sz w:val="22"/>
                <w:szCs w:val="22"/>
              </w:rPr>
            </w:pPr>
          </w:p>
        </w:tc>
        <w:tc>
          <w:tcPr>
            <w:tcW w:w="377" w:type="pct"/>
            <w:vAlign w:val="center"/>
          </w:tcPr>
          <w:p w14:paraId="3859098C"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.83*</w:t>
            </w:r>
          </w:p>
        </w:tc>
        <w:tc>
          <w:tcPr>
            <w:tcW w:w="453" w:type="pct"/>
            <w:vAlign w:val="center"/>
          </w:tcPr>
          <w:p w14:paraId="4AD00EFC"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5.03</w:t>
            </w:r>
          </w:p>
        </w:tc>
        <w:tc>
          <w:tcPr>
            <w:tcW w:w="383" w:type="pct"/>
            <w:vAlign w:val="center"/>
          </w:tcPr>
          <w:p w14:paraId="2ADBAC32"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.78</w:t>
            </w:r>
          </w:p>
        </w:tc>
        <w:tc>
          <w:tcPr>
            <w:tcW w:w="308" w:type="pct"/>
            <w:vAlign w:val="center"/>
          </w:tcPr>
          <w:p w14:paraId="4869BB0D"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.87</w:t>
            </w:r>
          </w:p>
        </w:tc>
      </w:tr>
      <w:tr w:rsidR="00E87700" w:rsidRPr="000D7205" w14:paraId="1DCF2598" w14:textId="77777777" w:rsidTr="00DC16FB">
        <w:tc>
          <w:tcPr>
            <w:tcW w:w="1279" w:type="pct"/>
          </w:tcPr>
          <w:p w14:paraId="12980112" w14:textId="77777777" w:rsidR="00E87700" w:rsidRPr="000D7205" w:rsidRDefault="00E87700" w:rsidP="00DC16FB">
            <w:pPr>
              <w:jc w:val="center"/>
              <w:rPr>
                <w:rFonts w:ascii="Times New Roman" w:hAnsi="Times New Roman" w:cs="Times New Roman"/>
                <w:color w:val="000000" w:themeColor="text1"/>
                <w:sz w:val="22"/>
                <w:szCs w:val="22"/>
              </w:rPr>
            </w:pPr>
          </w:p>
        </w:tc>
        <w:tc>
          <w:tcPr>
            <w:tcW w:w="1824" w:type="pct"/>
            <w:vAlign w:val="center"/>
          </w:tcPr>
          <w:p w14:paraId="6C6DD419" w14:textId="77777777" w:rsidR="00E87700" w:rsidRPr="000D7205" w:rsidRDefault="00E87700" w:rsidP="00DC16FB">
            <w:pP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Item 5</w:t>
            </w:r>
          </w:p>
        </w:tc>
        <w:tc>
          <w:tcPr>
            <w:tcW w:w="377" w:type="pct"/>
          </w:tcPr>
          <w:p w14:paraId="4C6EA4A3" w14:textId="77777777" w:rsidR="00E87700" w:rsidRPr="000D7205" w:rsidRDefault="00E87700" w:rsidP="00DC16FB">
            <w:pPr>
              <w:jc w:val="center"/>
              <w:rPr>
                <w:rFonts w:ascii="Times New Roman" w:hAnsi="Times New Roman" w:cs="Times New Roman"/>
                <w:color w:val="000000" w:themeColor="text1"/>
                <w:sz w:val="22"/>
                <w:szCs w:val="22"/>
              </w:rPr>
            </w:pPr>
          </w:p>
        </w:tc>
        <w:tc>
          <w:tcPr>
            <w:tcW w:w="377" w:type="pct"/>
            <w:vAlign w:val="center"/>
          </w:tcPr>
          <w:p w14:paraId="4BAEEE3C"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.80*</w:t>
            </w:r>
          </w:p>
        </w:tc>
        <w:tc>
          <w:tcPr>
            <w:tcW w:w="453" w:type="pct"/>
            <w:vAlign w:val="center"/>
          </w:tcPr>
          <w:p w14:paraId="10F658A7" w14:textId="77777777" w:rsidR="00E87700" w:rsidRPr="000D7205" w:rsidRDefault="00E87700" w:rsidP="00DC16FB">
            <w:pPr>
              <w:pStyle w:val="Default"/>
              <w:jc w:val="center"/>
              <w:rPr>
                <w:rFonts w:ascii="Times New Roman" w:hAnsi="Times New Roman" w:cs="Times New Roman"/>
                <w:color w:val="000000" w:themeColor="text1"/>
                <w:sz w:val="22"/>
                <w:szCs w:val="22"/>
              </w:rPr>
            </w:pPr>
          </w:p>
        </w:tc>
        <w:tc>
          <w:tcPr>
            <w:tcW w:w="383" w:type="pct"/>
            <w:vAlign w:val="center"/>
          </w:tcPr>
          <w:p w14:paraId="55B3C4E0" w14:textId="77777777" w:rsidR="00E87700" w:rsidRPr="000D7205" w:rsidRDefault="00E87700" w:rsidP="00DC16FB">
            <w:pPr>
              <w:jc w:val="center"/>
              <w:rPr>
                <w:rFonts w:ascii="Times New Roman" w:hAnsi="Times New Roman" w:cs="Times New Roman"/>
                <w:color w:val="000000" w:themeColor="text1"/>
                <w:sz w:val="22"/>
                <w:szCs w:val="22"/>
              </w:rPr>
            </w:pPr>
          </w:p>
        </w:tc>
        <w:tc>
          <w:tcPr>
            <w:tcW w:w="308" w:type="pct"/>
            <w:vAlign w:val="center"/>
          </w:tcPr>
          <w:p w14:paraId="6C94A6C8" w14:textId="77777777" w:rsidR="00E87700" w:rsidRPr="000D7205" w:rsidRDefault="00E87700" w:rsidP="00DC16FB">
            <w:pPr>
              <w:jc w:val="center"/>
              <w:rPr>
                <w:rFonts w:ascii="Times New Roman" w:hAnsi="Times New Roman" w:cs="Times New Roman"/>
                <w:color w:val="000000" w:themeColor="text1"/>
                <w:sz w:val="22"/>
                <w:szCs w:val="22"/>
              </w:rPr>
            </w:pPr>
          </w:p>
        </w:tc>
      </w:tr>
      <w:tr w:rsidR="00E87700" w:rsidRPr="000D7205" w14:paraId="619D138B" w14:textId="77777777" w:rsidTr="00DC16FB">
        <w:tc>
          <w:tcPr>
            <w:tcW w:w="1279" w:type="pct"/>
          </w:tcPr>
          <w:p w14:paraId="2EE1F117" w14:textId="77777777" w:rsidR="00E87700" w:rsidRPr="000D7205" w:rsidRDefault="00E87700" w:rsidP="00DC16FB">
            <w:pPr>
              <w:jc w:val="center"/>
              <w:rPr>
                <w:rFonts w:ascii="Times New Roman" w:hAnsi="Times New Roman" w:cs="Times New Roman"/>
                <w:color w:val="000000" w:themeColor="text1"/>
                <w:sz w:val="22"/>
                <w:szCs w:val="22"/>
              </w:rPr>
            </w:pPr>
          </w:p>
        </w:tc>
        <w:tc>
          <w:tcPr>
            <w:tcW w:w="1824" w:type="pct"/>
            <w:vAlign w:val="center"/>
          </w:tcPr>
          <w:p w14:paraId="2CEAD407" w14:textId="77777777" w:rsidR="00E87700" w:rsidRPr="000D7205" w:rsidRDefault="00E87700" w:rsidP="00DC16FB">
            <w:pP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Item 13</w:t>
            </w:r>
          </w:p>
        </w:tc>
        <w:tc>
          <w:tcPr>
            <w:tcW w:w="377" w:type="pct"/>
          </w:tcPr>
          <w:p w14:paraId="47D4CDC2" w14:textId="77777777" w:rsidR="00E87700" w:rsidRPr="000D7205" w:rsidRDefault="00E87700" w:rsidP="00DC16FB">
            <w:pPr>
              <w:jc w:val="center"/>
              <w:rPr>
                <w:rFonts w:ascii="Times New Roman" w:hAnsi="Times New Roman" w:cs="Times New Roman"/>
                <w:color w:val="000000" w:themeColor="text1"/>
                <w:sz w:val="22"/>
                <w:szCs w:val="22"/>
              </w:rPr>
            </w:pPr>
          </w:p>
        </w:tc>
        <w:tc>
          <w:tcPr>
            <w:tcW w:w="377" w:type="pct"/>
            <w:vAlign w:val="center"/>
          </w:tcPr>
          <w:p w14:paraId="49E674AD"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.82*</w:t>
            </w:r>
          </w:p>
        </w:tc>
        <w:tc>
          <w:tcPr>
            <w:tcW w:w="453" w:type="pct"/>
            <w:vAlign w:val="center"/>
          </w:tcPr>
          <w:p w14:paraId="2916EB96" w14:textId="77777777" w:rsidR="00E87700" w:rsidRPr="000D7205" w:rsidRDefault="00E87700" w:rsidP="00DC16FB">
            <w:pPr>
              <w:pStyle w:val="Default"/>
              <w:jc w:val="center"/>
              <w:rPr>
                <w:rFonts w:ascii="Times New Roman" w:hAnsi="Times New Roman" w:cs="Times New Roman"/>
                <w:color w:val="000000" w:themeColor="text1"/>
                <w:sz w:val="22"/>
                <w:szCs w:val="22"/>
              </w:rPr>
            </w:pPr>
          </w:p>
        </w:tc>
        <w:tc>
          <w:tcPr>
            <w:tcW w:w="383" w:type="pct"/>
            <w:vAlign w:val="center"/>
          </w:tcPr>
          <w:p w14:paraId="6F58B20E" w14:textId="77777777" w:rsidR="00E87700" w:rsidRPr="000D7205" w:rsidRDefault="00E87700" w:rsidP="00DC16FB">
            <w:pPr>
              <w:jc w:val="center"/>
              <w:rPr>
                <w:rFonts w:ascii="Times New Roman" w:hAnsi="Times New Roman" w:cs="Times New Roman"/>
                <w:color w:val="000000" w:themeColor="text1"/>
                <w:sz w:val="22"/>
                <w:szCs w:val="22"/>
              </w:rPr>
            </w:pPr>
          </w:p>
        </w:tc>
        <w:tc>
          <w:tcPr>
            <w:tcW w:w="308" w:type="pct"/>
            <w:vAlign w:val="center"/>
          </w:tcPr>
          <w:p w14:paraId="38B3B7C0" w14:textId="77777777" w:rsidR="00E87700" w:rsidRPr="000D7205" w:rsidRDefault="00E87700" w:rsidP="00DC16FB">
            <w:pPr>
              <w:jc w:val="center"/>
              <w:rPr>
                <w:rFonts w:ascii="Times New Roman" w:hAnsi="Times New Roman" w:cs="Times New Roman"/>
                <w:color w:val="000000" w:themeColor="text1"/>
                <w:sz w:val="22"/>
                <w:szCs w:val="22"/>
              </w:rPr>
            </w:pPr>
          </w:p>
        </w:tc>
      </w:tr>
      <w:tr w:rsidR="00E87700" w:rsidRPr="000D7205" w14:paraId="75AD6443" w14:textId="77777777" w:rsidTr="00DC16FB">
        <w:tc>
          <w:tcPr>
            <w:tcW w:w="1279" w:type="pct"/>
          </w:tcPr>
          <w:p w14:paraId="6203B0AF" w14:textId="77777777" w:rsidR="00E87700" w:rsidRPr="000D7205" w:rsidRDefault="00E87700" w:rsidP="00DC16FB">
            <w:pPr>
              <w:jc w:val="center"/>
              <w:rPr>
                <w:rFonts w:ascii="Times New Roman" w:hAnsi="Times New Roman" w:cs="Times New Roman"/>
                <w:color w:val="000000" w:themeColor="text1"/>
                <w:sz w:val="22"/>
                <w:szCs w:val="22"/>
              </w:rPr>
            </w:pPr>
          </w:p>
        </w:tc>
        <w:tc>
          <w:tcPr>
            <w:tcW w:w="1824" w:type="pct"/>
            <w:vAlign w:val="center"/>
          </w:tcPr>
          <w:p w14:paraId="429E06B6" w14:textId="77777777" w:rsidR="00E87700" w:rsidRPr="000D7205" w:rsidRDefault="00E87700" w:rsidP="00DC16FB">
            <w:pP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Cognitive Engagement</w:t>
            </w:r>
          </w:p>
        </w:tc>
        <w:tc>
          <w:tcPr>
            <w:tcW w:w="377" w:type="pct"/>
          </w:tcPr>
          <w:p w14:paraId="4374457D"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.77*</w:t>
            </w:r>
          </w:p>
        </w:tc>
        <w:tc>
          <w:tcPr>
            <w:tcW w:w="377" w:type="pct"/>
            <w:vAlign w:val="center"/>
          </w:tcPr>
          <w:p w14:paraId="5E9AB04A" w14:textId="77777777" w:rsidR="00E87700" w:rsidRPr="000D7205" w:rsidRDefault="00E87700" w:rsidP="00DC16FB">
            <w:pPr>
              <w:jc w:val="center"/>
              <w:rPr>
                <w:rFonts w:ascii="Times New Roman" w:hAnsi="Times New Roman" w:cs="Times New Roman"/>
                <w:color w:val="000000" w:themeColor="text1"/>
                <w:sz w:val="22"/>
                <w:szCs w:val="22"/>
              </w:rPr>
            </w:pPr>
          </w:p>
        </w:tc>
        <w:tc>
          <w:tcPr>
            <w:tcW w:w="453" w:type="pct"/>
            <w:vAlign w:val="center"/>
          </w:tcPr>
          <w:p w14:paraId="6F69E597" w14:textId="77777777" w:rsidR="00E87700" w:rsidRPr="000D7205" w:rsidRDefault="00E87700" w:rsidP="00DC16FB">
            <w:pPr>
              <w:pStyle w:val="Default"/>
              <w:jc w:val="center"/>
              <w:rPr>
                <w:rFonts w:ascii="Times New Roman" w:hAnsi="Times New Roman" w:cs="Times New Roman"/>
                <w:color w:val="000000" w:themeColor="text1"/>
                <w:sz w:val="22"/>
                <w:szCs w:val="22"/>
              </w:rPr>
            </w:pPr>
          </w:p>
        </w:tc>
        <w:tc>
          <w:tcPr>
            <w:tcW w:w="383" w:type="pct"/>
            <w:vAlign w:val="center"/>
          </w:tcPr>
          <w:p w14:paraId="4C99C279" w14:textId="77777777" w:rsidR="00E87700" w:rsidRPr="000D7205" w:rsidRDefault="00E87700" w:rsidP="00DC16FB">
            <w:pPr>
              <w:jc w:val="center"/>
              <w:rPr>
                <w:rFonts w:ascii="Times New Roman" w:hAnsi="Times New Roman" w:cs="Times New Roman"/>
                <w:color w:val="000000" w:themeColor="text1"/>
                <w:sz w:val="22"/>
                <w:szCs w:val="22"/>
              </w:rPr>
            </w:pPr>
          </w:p>
        </w:tc>
        <w:tc>
          <w:tcPr>
            <w:tcW w:w="308" w:type="pct"/>
            <w:vAlign w:val="center"/>
          </w:tcPr>
          <w:p w14:paraId="41C67619" w14:textId="77777777" w:rsidR="00E87700" w:rsidRPr="000D7205" w:rsidRDefault="00E87700" w:rsidP="00DC16FB">
            <w:pPr>
              <w:jc w:val="center"/>
              <w:rPr>
                <w:rFonts w:ascii="Times New Roman" w:hAnsi="Times New Roman" w:cs="Times New Roman"/>
                <w:color w:val="000000" w:themeColor="text1"/>
                <w:sz w:val="22"/>
                <w:szCs w:val="22"/>
              </w:rPr>
            </w:pPr>
          </w:p>
        </w:tc>
      </w:tr>
      <w:tr w:rsidR="00E87700" w:rsidRPr="000D7205" w14:paraId="5DCBBF1F" w14:textId="77777777" w:rsidTr="00DC16FB">
        <w:tc>
          <w:tcPr>
            <w:tcW w:w="1279" w:type="pct"/>
          </w:tcPr>
          <w:p w14:paraId="17EC4D9C" w14:textId="77777777" w:rsidR="00E87700" w:rsidRPr="000D7205" w:rsidRDefault="00E87700" w:rsidP="00DC16FB">
            <w:pPr>
              <w:jc w:val="center"/>
              <w:rPr>
                <w:rFonts w:ascii="Times New Roman" w:hAnsi="Times New Roman" w:cs="Times New Roman"/>
                <w:color w:val="000000" w:themeColor="text1"/>
                <w:sz w:val="22"/>
                <w:szCs w:val="22"/>
              </w:rPr>
            </w:pPr>
          </w:p>
        </w:tc>
        <w:tc>
          <w:tcPr>
            <w:tcW w:w="1824" w:type="pct"/>
            <w:vAlign w:val="center"/>
          </w:tcPr>
          <w:p w14:paraId="5F6A2978" w14:textId="77777777" w:rsidR="00E87700" w:rsidRPr="000D7205" w:rsidRDefault="00E87700" w:rsidP="00DC16FB">
            <w:pP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Item 11</w:t>
            </w:r>
          </w:p>
        </w:tc>
        <w:tc>
          <w:tcPr>
            <w:tcW w:w="377" w:type="pct"/>
          </w:tcPr>
          <w:p w14:paraId="06C5CB98" w14:textId="77777777" w:rsidR="00E87700" w:rsidRPr="000D7205" w:rsidRDefault="00E87700" w:rsidP="00DC16FB">
            <w:pPr>
              <w:jc w:val="center"/>
              <w:rPr>
                <w:rFonts w:ascii="Times New Roman" w:hAnsi="Times New Roman" w:cs="Times New Roman"/>
                <w:color w:val="000000" w:themeColor="text1"/>
                <w:sz w:val="22"/>
                <w:szCs w:val="22"/>
              </w:rPr>
            </w:pPr>
          </w:p>
        </w:tc>
        <w:tc>
          <w:tcPr>
            <w:tcW w:w="377" w:type="pct"/>
            <w:vAlign w:val="center"/>
          </w:tcPr>
          <w:p w14:paraId="6D204861"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.74*</w:t>
            </w:r>
          </w:p>
        </w:tc>
        <w:tc>
          <w:tcPr>
            <w:tcW w:w="453" w:type="pct"/>
            <w:vAlign w:val="center"/>
          </w:tcPr>
          <w:p w14:paraId="0A8599FE" w14:textId="77777777" w:rsidR="00E87700" w:rsidRPr="000D7205" w:rsidRDefault="00E87700" w:rsidP="00DC16FB">
            <w:pPr>
              <w:pStyle w:val="Default"/>
              <w:jc w:val="center"/>
              <w:rPr>
                <w:rFonts w:ascii="Times New Roman" w:hAnsi="Times New Roman" w:cs="Times New Roman"/>
                <w:color w:val="000000" w:themeColor="text1"/>
                <w:sz w:val="22"/>
                <w:szCs w:val="22"/>
              </w:rPr>
            </w:pPr>
          </w:p>
        </w:tc>
        <w:tc>
          <w:tcPr>
            <w:tcW w:w="383" w:type="pct"/>
            <w:vAlign w:val="center"/>
          </w:tcPr>
          <w:p w14:paraId="4271565A" w14:textId="77777777" w:rsidR="00E87700" w:rsidRPr="000D7205" w:rsidRDefault="00E87700" w:rsidP="00DC16FB">
            <w:pPr>
              <w:jc w:val="center"/>
              <w:rPr>
                <w:rFonts w:ascii="Times New Roman" w:hAnsi="Times New Roman" w:cs="Times New Roman"/>
                <w:color w:val="000000" w:themeColor="text1"/>
                <w:sz w:val="22"/>
                <w:szCs w:val="22"/>
              </w:rPr>
            </w:pPr>
          </w:p>
        </w:tc>
        <w:tc>
          <w:tcPr>
            <w:tcW w:w="308" w:type="pct"/>
            <w:vAlign w:val="center"/>
          </w:tcPr>
          <w:p w14:paraId="110A9390" w14:textId="77777777" w:rsidR="00E87700" w:rsidRPr="000D7205" w:rsidRDefault="00E87700" w:rsidP="00DC16FB">
            <w:pPr>
              <w:jc w:val="center"/>
              <w:rPr>
                <w:rFonts w:ascii="Times New Roman" w:hAnsi="Times New Roman" w:cs="Times New Roman"/>
                <w:color w:val="000000" w:themeColor="text1"/>
                <w:sz w:val="22"/>
                <w:szCs w:val="22"/>
              </w:rPr>
            </w:pPr>
          </w:p>
        </w:tc>
      </w:tr>
      <w:tr w:rsidR="00E87700" w:rsidRPr="000D7205" w14:paraId="76A35E21" w14:textId="77777777" w:rsidTr="00DC16FB">
        <w:tc>
          <w:tcPr>
            <w:tcW w:w="1279" w:type="pct"/>
          </w:tcPr>
          <w:p w14:paraId="6C6FF0DC" w14:textId="77777777" w:rsidR="00E87700" w:rsidRPr="000D7205" w:rsidRDefault="00E87700" w:rsidP="00DC16FB">
            <w:pPr>
              <w:jc w:val="center"/>
              <w:rPr>
                <w:rFonts w:ascii="Times New Roman" w:hAnsi="Times New Roman" w:cs="Times New Roman"/>
                <w:color w:val="000000" w:themeColor="text1"/>
                <w:sz w:val="22"/>
                <w:szCs w:val="22"/>
              </w:rPr>
            </w:pPr>
          </w:p>
        </w:tc>
        <w:tc>
          <w:tcPr>
            <w:tcW w:w="1824" w:type="pct"/>
            <w:vAlign w:val="center"/>
          </w:tcPr>
          <w:p w14:paraId="1D7817A4" w14:textId="77777777" w:rsidR="00E87700" w:rsidRPr="000D7205" w:rsidRDefault="00E87700" w:rsidP="00DC16FB">
            <w:pP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Item 8</w:t>
            </w:r>
          </w:p>
        </w:tc>
        <w:tc>
          <w:tcPr>
            <w:tcW w:w="377" w:type="pct"/>
          </w:tcPr>
          <w:p w14:paraId="232FC1D3" w14:textId="77777777" w:rsidR="00E87700" w:rsidRPr="000D7205" w:rsidRDefault="00E87700" w:rsidP="00DC16FB">
            <w:pPr>
              <w:jc w:val="center"/>
              <w:rPr>
                <w:rFonts w:ascii="Times New Roman" w:hAnsi="Times New Roman" w:cs="Times New Roman"/>
                <w:color w:val="000000" w:themeColor="text1"/>
                <w:sz w:val="22"/>
                <w:szCs w:val="22"/>
              </w:rPr>
            </w:pPr>
          </w:p>
        </w:tc>
        <w:tc>
          <w:tcPr>
            <w:tcW w:w="377" w:type="pct"/>
            <w:vAlign w:val="center"/>
          </w:tcPr>
          <w:p w14:paraId="7A2B8DEC"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.87*</w:t>
            </w:r>
          </w:p>
        </w:tc>
        <w:tc>
          <w:tcPr>
            <w:tcW w:w="453" w:type="pct"/>
            <w:vAlign w:val="center"/>
          </w:tcPr>
          <w:p w14:paraId="73F08181"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5.16</w:t>
            </w:r>
          </w:p>
        </w:tc>
        <w:tc>
          <w:tcPr>
            <w:tcW w:w="383" w:type="pct"/>
            <w:vAlign w:val="center"/>
          </w:tcPr>
          <w:p w14:paraId="6CA52BEB"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.65</w:t>
            </w:r>
          </w:p>
        </w:tc>
        <w:tc>
          <w:tcPr>
            <w:tcW w:w="308" w:type="pct"/>
            <w:vAlign w:val="center"/>
          </w:tcPr>
          <w:p w14:paraId="1792D288"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.87</w:t>
            </w:r>
          </w:p>
        </w:tc>
      </w:tr>
      <w:tr w:rsidR="00E87700" w:rsidRPr="000D7205" w14:paraId="0A62FAF4" w14:textId="77777777" w:rsidTr="00DC16FB">
        <w:tc>
          <w:tcPr>
            <w:tcW w:w="1279" w:type="pct"/>
          </w:tcPr>
          <w:p w14:paraId="745F1710" w14:textId="77777777" w:rsidR="00E87700" w:rsidRPr="000D7205" w:rsidRDefault="00E87700" w:rsidP="00DC16FB">
            <w:pPr>
              <w:jc w:val="center"/>
              <w:rPr>
                <w:rFonts w:ascii="Times New Roman" w:hAnsi="Times New Roman" w:cs="Times New Roman"/>
                <w:color w:val="000000" w:themeColor="text1"/>
                <w:sz w:val="22"/>
                <w:szCs w:val="22"/>
              </w:rPr>
            </w:pPr>
          </w:p>
        </w:tc>
        <w:tc>
          <w:tcPr>
            <w:tcW w:w="1824" w:type="pct"/>
            <w:vAlign w:val="center"/>
          </w:tcPr>
          <w:p w14:paraId="7F04C369" w14:textId="77777777" w:rsidR="00E87700" w:rsidRPr="000D7205" w:rsidRDefault="00E87700" w:rsidP="00DC16FB">
            <w:pP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Item 15</w:t>
            </w:r>
          </w:p>
        </w:tc>
        <w:tc>
          <w:tcPr>
            <w:tcW w:w="377" w:type="pct"/>
          </w:tcPr>
          <w:p w14:paraId="74C9840F" w14:textId="77777777" w:rsidR="00E87700" w:rsidRPr="000D7205" w:rsidRDefault="00E87700" w:rsidP="00DC16FB">
            <w:pPr>
              <w:jc w:val="center"/>
              <w:rPr>
                <w:rFonts w:ascii="Times New Roman" w:hAnsi="Times New Roman" w:cs="Times New Roman"/>
                <w:color w:val="000000" w:themeColor="text1"/>
                <w:sz w:val="22"/>
                <w:szCs w:val="22"/>
              </w:rPr>
            </w:pPr>
          </w:p>
        </w:tc>
        <w:tc>
          <w:tcPr>
            <w:tcW w:w="377" w:type="pct"/>
            <w:vAlign w:val="center"/>
          </w:tcPr>
          <w:p w14:paraId="71DC2975"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.89*</w:t>
            </w:r>
          </w:p>
        </w:tc>
        <w:tc>
          <w:tcPr>
            <w:tcW w:w="453" w:type="pct"/>
            <w:vAlign w:val="center"/>
          </w:tcPr>
          <w:p w14:paraId="262F7101" w14:textId="77777777" w:rsidR="00E87700" w:rsidRPr="000D7205" w:rsidRDefault="00E87700" w:rsidP="00DC16FB">
            <w:pPr>
              <w:pStyle w:val="Default"/>
              <w:jc w:val="center"/>
              <w:rPr>
                <w:rFonts w:ascii="Times New Roman" w:hAnsi="Times New Roman" w:cs="Times New Roman"/>
                <w:color w:val="000000" w:themeColor="text1"/>
                <w:sz w:val="22"/>
                <w:szCs w:val="22"/>
              </w:rPr>
            </w:pPr>
          </w:p>
        </w:tc>
        <w:tc>
          <w:tcPr>
            <w:tcW w:w="383" w:type="pct"/>
            <w:vAlign w:val="center"/>
          </w:tcPr>
          <w:p w14:paraId="050F04D0" w14:textId="77777777" w:rsidR="00E87700" w:rsidRPr="000D7205" w:rsidRDefault="00E87700" w:rsidP="00DC16FB">
            <w:pPr>
              <w:jc w:val="center"/>
              <w:rPr>
                <w:rFonts w:ascii="Times New Roman" w:hAnsi="Times New Roman" w:cs="Times New Roman"/>
                <w:color w:val="000000" w:themeColor="text1"/>
                <w:sz w:val="22"/>
                <w:szCs w:val="22"/>
              </w:rPr>
            </w:pPr>
          </w:p>
        </w:tc>
        <w:tc>
          <w:tcPr>
            <w:tcW w:w="308" w:type="pct"/>
            <w:vAlign w:val="center"/>
          </w:tcPr>
          <w:p w14:paraId="2C38640C" w14:textId="77777777" w:rsidR="00E87700" w:rsidRPr="000D7205" w:rsidRDefault="00E87700" w:rsidP="00DC16FB">
            <w:pPr>
              <w:jc w:val="center"/>
              <w:rPr>
                <w:rFonts w:ascii="Times New Roman" w:hAnsi="Times New Roman" w:cs="Times New Roman"/>
                <w:color w:val="000000" w:themeColor="text1"/>
                <w:sz w:val="22"/>
                <w:szCs w:val="22"/>
              </w:rPr>
            </w:pPr>
          </w:p>
        </w:tc>
      </w:tr>
      <w:tr w:rsidR="00E87700" w:rsidRPr="000D7205" w14:paraId="15C12EDB" w14:textId="77777777" w:rsidTr="00DC16FB">
        <w:tc>
          <w:tcPr>
            <w:tcW w:w="1279" w:type="pct"/>
          </w:tcPr>
          <w:p w14:paraId="124206E9" w14:textId="77777777" w:rsidR="00E87700" w:rsidRPr="000D7205" w:rsidRDefault="00E87700" w:rsidP="00DC16FB">
            <w:pPr>
              <w:jc w:val="center"/>
              <w:rPr>
                <w:rFonts w:ascii="Times New Roman" w:hAnsi="Times New Roman" w:cs="Times New Roman"/>
                <w:color w:val="000000" w:themeColor="text1"/>
                <w:sz w:val="22"/>
                <w:szCs w:val="22"/>
              </w:rPr>
            </w:pPr>
          </w:p>
        </w:tc>
        <w:tc>
          <w:tcPr>
            <w:tcW w:w="1824" w:type="pct"/>
            <w:vAlign w:val="center"/>
          </w:tcPr>
          <w:p w14:paraId="0A0FC8D4" w14:textId="77777777" w:rsidR="00E87700" w:rsidRPr="000D7205" w:rsidRDefault="00E87700" w:rsidP="00DC16FB">
            <w:pP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Item 4</w:t>
            </w:r>
          </w:p>
        </w:tc>
        <w:tc>
          <w:tcPr>
            <w:tcW w:w="377" w:type="pct"/>
          </w:tcPr>
          <w:p w14:paraId="1A9818A0" w14:textId="77777777" w:rsidR="00E87700" w:rsidRPr="000D7205" w:rsidRDefault="00E87700" w:rsidP="00DC16FB">
            <w:pPr>
              <w:jc w:val="center"/>
              <w:rPr>
                <w:rFonts w:ascii="Times New Roman" w:hAnsi="Times New Roman" w:cs="Times New Roman"/>
                <w:color w:val="000000" w:themeColor="text1"/>
                <w:sz w:val="22"/>
                <w:szCs w:val="22"/>
              </w:rPr>
            </w:pPr>
          </w:p>
        </w:tc>
        <w:tc>
          <w:tcPr>
            <w:tcW w:w="377" w:type="pct"/>
            <w:vAlign w:val="center"/>
          </w:tcPr>
          <w:p w14:paraId="57F58106"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.66*</w:t>
            </w:r>
          </w:p>
        </w:tc>
        <w:tc>
          <w:tcPr>
            <w:tcW w:w="453" w:type="pct"/>
            <w:vAlign w:val="center"/>
          </w:tcPr>
          <w:p w14:paraId="0063A74A" w14:textId="77777777" w:rsidR="00E87700" w:rsidRPr="000D7205" w:rsidRDefault="00E87700" w:rsidP="00DC16FB">
            <w:pPr>
              <w:pStyle w:val="Default"/>
              <w:jc w:val="center"/>
              <w:rPr>
                <w:rFonts w:ascii="Times New Roman" w:hAnsi="Times New Roman" w:cs="Times New Roman"/>
                <w:color w:val="000000" w:themeColor="text1"/>
                <w:sz w:val="22"/>
                <w:szCs w:val="22"/>
              </w:rPr>
            </w:pPr>
          </w:p>
        </w:tc>
        <w:tc>
          <w:tcPr>
            <w:tcW w:w="383" w:type="pct"/>
            <w:vAlign w:val="center"/>
          </w:tcPr>
          <w:p w14:paraId="0A1568C6" w14:textId="77777777" w:rsidR="00E87700" w:rsidRPr="000D7205" w:rsidRDefault="00E87700" w:rsidP="00DC16FB">
            <w:pPr>
              <w:jc w:val="center"/>
              <w:rPr>
                <w:rFonts w:ascii="Times New Roman" w:hAnsi="Times New Roman" w:cs="Times New Roman"/>
                <w:color w:val="000000" w:themeColor="text1"/>
                <w:sz w:val="22"/>
                <w:szCs w:val="22"/>
              </w:rPr>
            </w:pPr>
          </w:p>
        </w:tc>
        <w:tc>
          <w:tcPr>
            <w:tcW w:w="308" w:type="pct"/>
            <w:vAlign w:val="center"/>
          </w:tcPr>
          <w:p w14:paraId="726131D2" w14:textId="77777777" w:rsidR="00E87700" w:rsidRPr="000D7205" w:rsidRDefault="00E87700" w:rsidP="00DC16FB">
            <w:pPr>
              <w:jc w:val="center"/>
              <w:rPr>
                <w:rFonts w:ascii="Times New Roman" w:hAnsi="Times New Roman" w:cs="Times New Roman"/>
                <w:color w:val="000000" w:themeColor="text1"/>
                <w:sz w:val="22"/>
                <w:szCs w:val="22"/>
              </w:rPr>
            </w:pPr>
          </w:p>
        </w:tc>
      </w:tr>
      <w:tr w:rsidR="00E87700" w:rsidRPr="000D7205" w14:paraId="00670A39" w14:textId="77777777" w:rsidTr="00DC16FB">
        <w:tc>
          <w:tcPr>
            <w:tcW w:w="1279" w:type="pct"/>
          </w:tcPr>
          <w:p w14:paraId="2F2F4F91" w14:textId="77777777" w:rsidR="00E87700" w:rsidRPr="000D7205" w:rsidRDefault="00E87700" w:rsidP="00DC16FB">
            <w:pPr>
              <w:jc w:val="center"/>
              <w:rPr>
                <w:rFonts w:ascii="Times New Roman" w:hAnsi="Times New Roman" w:cs="Times New Roman"/>
                <w:color w:val="000000" w:themeColor="text1"/>
                <w:sz w:val="22"/>
                <w:szCs w:val="22"/>
              </w:rPr>
            </w:pPr>
          </w:p>
        </w:tc>
        <w:tc>
          <w:tcPr>
            <w:tcW w:w="1824" w:type="pct"/>
            <w:vAlign w:val="center"/>
          </w:tcPr>
          <w:p w14:paraId="450C3682" w14:textId="77777777" w:rsidR="00E87700" w:rsidRPr="000D7205" w:rsidRDefault="00E87700" w:rsidP="00DC16FB">
            <w:pP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Social Engagement: Students</w:t>
            </w:r>
          </w:p>
        </w:tc>
        <w:tc>
          <w:tcPr>
            <w:tcW w:w="377" w:type="pct"/>
          </w:tcPr>
          <w:p w14:paraId="0093E1FC"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.67*</w:t>
            </w:r>
          </w:p>
        </w:tc>
        <w:tc>
          <w:tcPr>
            <w:tcW w:w="377" w:type="pct"/>
            <w:vAlign w:val="center"/>
          </w:tcPr>
          <w:p w14:paraId="44514255" w14:textId="77777777" w:rsidR="00E87700" w:rsidRPr="000D7205" w:rsidRDefault="00E87700" w:rsidP="00DC16FB">
            <w:pPr>
              <w:jc w:val="center"/>
              <w:rPr>
                <w:rFonts w:ascii="Times New Roman" w:hAnsi="Times New Roman" w:cs="Times New Roman"/>
                <w:color w:val="000000" w:themeColor="text1"/>
                <w:sz w:val="22"/>
                <w:szCs w:val="22"/>
              </w:rPr>
            </w:pPr>
          </w:p>
        </w:tc>
        <w:tc>
          <w:tcPr>
            <w:tcW w:w="453" w:type="pct"/>
            <w:vAlign w:val="center"/>
          </w:tcPr>
          <w:p w14:paraId="7C6AA326" w14:textId="77777777" w:rsidR="00E87700" w:rsidRPr="000D7205" w:rsidRDefault="00E87700" w:rsidP="00DC16FB">
            <w:pPr>
              <w:pStyle w:val="Default"/>
              <w:jc w:val="center"/>
              <w:rPr>
                <w:rFonts w:ascii="Times New Roman" w:hAnsi="Times New Roman" w:cs="Times New Roman"/>
                <w:color w:val="000000" w:themeColor="text1"/>
                <w:sz w:val="22"/>
                <w:szCs w:val="22"/>
              </w:rPr>
            </w:pPr>
          </w:p>
        </w:tc>
        <w:tc>
          <w:tcPr>
            <w:tcW w:w="383" w:type="pct"/>
            <w:vAlign w:val="center"/>
          </w:tcPr>
          <w:p w14:paraId="2201E02B" w14:textId="77777777" w:rsidR="00E87700" w:rsidRPr="000D7205" w:rsidRDefault="00E87700" w:rsidP="00DC16FB">
            <w:pPr>
              <w:jc w:val="center"/>
              <w:rPr>
                <w:rFonts w:ascii="Times New Roman" w:hAnsi="Times New Roman" w:cs="Times New Roman"/>
                <w:color w:val="000000" w:themeColor="text1"/>
                <w:sz w:val="22"/>
                <w:szCs w:val="22"/>
              </w:rPr>
            </w:pPr>
          </w:p>
        </w:tc>
        <w:tc>
          <w:tcPr>
            <w:tcW w:w="308" w:type="pct"/>
            <w:vAlign w:val="center"/>
          </w:tcPr>
          <w:p w14:paraId="3D0192BC" w14:textId="77777777" w:rsidR="00E87700" w:rsidRPr="000D7205" w:rsidRDefault="00E87700" w:rsidP="00DC16FB">
            <w:pPr>
              <w:jc w:val="center"/>
              <w:rPr>
                <w:rFonts w:ascii="Times New Roman" w:hAnsi="Times New Roman" w:cs="Times New Roman"/>
                <w:color w:val="000000" w:themeColor="text1"/>
                <w:sz w:val="22"/>
                <w:szCs w:val="22"/>
              </w:rPr>
            </w:pPr>
          </w:p>
        </w:tc>
      </w:tr>
      <w:tr w:rsidR="00E87700" w:rsidRPr="000D7205" w14:paraId="00C374B1" w14:textId="77777777" w:rsidTr="00DC16FB">
        <w:tc>
          <w:tcPr>
            <w:tcW w:w="1279" w:type="pct"/>
          </w:tcPr>
          <w:p w14:paraId="0BFFCA9B" w14:textId="77777777" w:rsidR="00E87700" w:rsidRPr="000D7205" w:rsidRDefault="00E87700" w:rsidP="00DC16FB">
            <w:pPr>
              <w:jc w:val="center"/>
              <w:rPr>
                <w:rFonts w:ascii="Times New Roman" w:hAnsi="Times New Roman" w:cs="Times New Roman"/>
                <w:color w:val="000000" w:themeColor="text1"/>
                <w:sz w:val="22"/>
                <w:szCs w:val="22"/>
              </w:rPr>
            </w:pPr>
          </w:p>
        </w:tc>
        <w:tc>
          <w:tcPr>
            <w:tcW w:w="1824" w:type="pct"/>
            <w:vAlign w:val="center"/>
          </w:tcPr>
          <w:p w14:paraId="6F0C61FE" w14:textId="77777777" w:rsidR="00E87700" w:rsidRPr="000D7205" w:rsidRDefault="00E87700" w:rsidP="00DC16FB">
            <w:pP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Item 14</w:t>
            </w:r>
          </w:p>
        </w:tc>
        <w:tc>
          <w:tcPr>
            <w:tcW w:w="377" w:type="pct"/>
          </w:tcPr>
          <w:p w14:paraId="491832A4" w14:textId="77777777" w:rsidR="00E87700" w:rsidRPr="000D7205" w:rsidRDefault="00E87700" w:rsidP="00DC16FB">
            <w:pPr>
              <w:jc w:val="center"/>
              <w:rPr>
                <w:rFonts w:ascii="Times New Roman" w:hAnsi="Times New Roman" w:cs="Times New Roman"/>
                <w:color w:val="000000" w:themeColor="text1"/>
                <w:sz w:val="22"/>
                <w:szCs w:val="22"/>
              </w:rPr>
            </w:pPr>
          </w:p>
        </w:tc>
        <w:tc>
          <w:tcPr>
            <w:tcW w:w="377" w:type="pct"/>
            <w:vAlign w:val="center"/>
          </w:tcPr>
          <w:p w14:paraId="405BA55B"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.64*</w:t>
            </w:r>
          </w:p>
        </w:tc>
        <w:tc>
          <w:tcPr>
            <w:tcW w:w="453" w:type="pct"/>
            <w:vAlign w:val="center"/>
          </w:tcPr>
          <w:p w14:paraId="16E35D7E" w14:textId="77777777" w:rsidR="00E87700" w:rsidRPr="000D7205" w:rsidRDefault="00E87700" w:rsidP="00DC16FB">
            <w:pPr>
              <w:pStyle w:val="Default"/>
              <w:jc w:val="center"/>
              <w:rPr>
                <w:rFonts w:ascii="Times New Roman" w:hAnsi="Times New Roman" w:cs="Times New Roman"/>
                <w:color w:val="000000" w:themeColor="text1"/>
                <w:sz w:val="22"/>
                <w:szCs w:val="22"/>
              </w:rPr>
            </w:pPr>
          </w:p>
        </w:tc>
        <w:tc>
          <w:tcPr>
            <w:tcW w:w="383" w:type="pct"/>
            <w:vAlign w:val="center"/>
          </w:tcPr>
          <w:p w14:paraId="2B865E8D" w14:textId="77777777" w:rsidR="00E87700" w:rsidRPr="000D7205" w:rsidRDefault="00E87700" w:rsidP="00DC16FB">
            <w:pPr>
              <w:jc w:val="center"/>
              <w:rPr>
                <w:rFonts w:ascii="Times New Roman" w:hAnsi="Times New Roman" w:cs="Times New Roman"/>
                <w:color w:val="000000" w:themeColor="text1"/>
                <w:sz w:val="22"/>
                <w:szCs w:val="22"/>
              </w:rPr>
            </w:pPr>
          </w:p>
        </w:tc>
        <w:tc>
          <w:tcPr>
            <w:tcW w:w="308" w:type="pct"/>
            <w:vAlign w:val="center"/>
          </w:tcPr>
          <w:p w14:paraId="5CE60E67" w14:textId="77777777" w:rsidR="00E87700" w:rsidRPr="000D7205" w:rsidRDefault="00E87700" w:rsidP="00DC16FB">
            <w:pPr>
              <w:jc w:val="center"/>
              <w:rPr>
                <w:rFonts w:ascii="Times New Roman" w:hAnsi="Times New Roman" w:cs="Times New Roman"/>
                <w:color w:val="000000" w:themeColor="text1"/>
                <w:sz w:val="22"/>
                <w:szCs w:val="22"/>
              </w:rPr>
            </w:pPr>
          </w:p>
        </w:tc>
      </w:tr>
      <w:tr w:rsidR="00E87700" w:rsidRPr="000D7205" w14:paraId="48687DB0" w14:textId="77777777" w:rsidTr="00DC16FB">
        <w:tc>
          <w:tcPr>
            <w:tcW w:w="1279" w:type="pct"/>
          </w:tcPr>
          <w:p w14:paraId="656053A9" w14:textId="77777777" w:rsidR="00E87700" w:rsidRPr="000D7205" w:rsidRDefault="00E87700" w:rsidP="00DC16FB">
            <w:pPr>
              <w:jc w:val="center"/>
              <w:rPr>
                <w:rFonts w:ascii="Times New Roman" w:hAnsi="Times New Roman" w:cs="Times New Roman"/>
                <w:color w:val="000000" w:themeColor="text1"/>
                <w:sz w:val="22"/>
                <w:szCs w:val="22"/>
              </w:rPr>
            </w:pPr>
          </w:p>
        </w:tc>
        <w:tc>
          <w:tcPr>
            <w:tcW w:w="1824" w:type="pct"/>
            <w:vAlign w:val="center"/>
          </w:tcPr>
          <w:p w14:paraId="3B765E6D" w14:textId="77777777" w:rsidR="00E87700" w:rsidRPr="000D7205" w:rsidRDefault="00E87700" w:rsidP="00DC16FB">
            <w:pP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Item 16</w:t>
            </w:r>
          </w:p>
        </w:tc>
        <w:tc>
          <w:tcPr>
            <w:tcW w:w="377" w:type="pct"/>
          </w:tcPr>
          <w:p w14:paraId="47114D58" w14:textId="77777777" w:rsidR="00E87700" w:rsidRPr="000D7205" w:rsidRDefault="00E87700" w:rsidP="00DC16FB">
            <w:pPr>
              <w:jc w:val="center"/>
              <w:rPr>
                <w:rFonts w:ascii="Times New Roman" w:hAnsi="Times New Roman" w:cs="Times New Roman"/>
                <w:color w:val="000000" w:themeColor="text1"/>
                <w:sz w:val="22"/>
                <w:szCs w:val="22"/>
              </w:rPr>
            </w:pPr>
          </w:p>
        </w:tc>
        <w:tc>
          <w:tcPr>
            <w:tcW w:w="377" w:type="pct"/>
            <w:vAlign w:val="center"/>
          </w:tcPr>
          <w:p w14:paraId="7DD10953"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.78*</w:t>
            </w:r>
          </w:p>
        </w:tc>
        <w:tc>
          <w:tcPr>
            <w:tcW w:w="453" w:type="pct"/>
            <w:vAlign w:val="center"/>
          </w:tcPr>
          <w:p w14:paraId="575FA59E"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5.05</w:t>
            </w:r>
          </w:p>
        </w:tc>
        <w:tc>
          <w:tcPr>
            <w:tcW w:w="383" w:type="pct"/>
            <w:vAlign w:val="center"/>
          </w:tcPr>
          <w:p w14:paraId="0B6190F8"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.69</w:t>
            </w:r>
          </w:p>
        </w:tc>
        <w:tc>
          <w:tcPr>
            <w:tcW w:w="308" w:type="pct"/>
            <w:vAlign w:val="center"/>
          </w:tcPr>
          <w:p w14:paraId="39032328"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.81</w:t>
            </w:r>
          </w:p>
        </w:tc>
      </w:tr>
      <w:tr w:rsidR="00E87700" w:rsidRPr="000D7205" w14:paraId="5C94419B" w14:textId="77777777" w:rsidTr="00DC16FB">
        <w:tc>
          <w:tcPr>
            <w:tcW w:w="1279" w:type="pct"/>
          </w:tcPr>
          <w:p w14:paraId="6BAA9FB4" w14:textId="77777777" w:rsidR="00E87700" w:rsidRPr="000D7205" w:rsidRDefault="00E87700" w:rsidP="00DC16FB">
            <w:pPr>
              <w:jc w:val="center"/>
              <w:rPr>
                <w:rFonts w:ascii="Times New Roman" w:hAnsi="Times New Roman" w:cs="Times New Roman"/>
                <w:color w:val="000000" w:themeColor="text1"/>
                <w:sz w:val="22"/>
                <w:szCs w:val="22"/>
              </w:rPr>
            </w:pPr>
          </w:p>
        </w:tc>
        <w:tc>
          <w:tcPr>
            <w:tcW w:w="1824" w:type="pct"/>
            <w:vAlign w:val="center"/>
          </w:tcPr>
          <w:p w14:paraId="0BBDA345" w14:textId="77777777" w:rsidR="00E87700" w:rsidRPr="000D7205" w:rsidRDefault="00E87700" w:rsidP="00DC16FB">
            <w:pP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Item 6</w:t>
            </w:r>
          </w:p>
        </w:tc>
        <w:tc>
          <w:tcPr>
            <w:tcW w:w="377" w:type="pct"/>
          </w:tcPr>
          <w:p w14:paraId="052D50AE" w14:textId="77777777" w:rsidR="00E87700" w:rsidRPr="000D7205" w:rsidRDefault="00E87700" w:rsidP="00DC16FB">
            <w:pPr>
              <w:jc w:val="center"/>
              <w:rPr>
                <w:rFonts w:ascii="Times New Roman" w:hAnsi="Times New Roman" w:cs="Times New Roman"/>
                <w:color w:val="000000" w:themeColor="text1"/>
                <w:sz w:val="22"/>
                <w:szCs w:val="22"/>
              </w:rPr>
            </w:pPr>
          </w:p>
        </w:tc>
        <w:tc>
          <w:tcPr>
            <w:tcW w:w="377" w:type="pct"/>
            <w:vAlign w:val="center"/>
          </w:tcPr>
          <w:p w14:paraId="367CE90C"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.80*</w:t>
            </w:r>
          </w:p>
        </w:tc>
        <w:tc>
          <w:tcPr>
            <w:tcW w:w="453" w:type="pct"/>
            <w:vAlign w:val="center"/>
          </w:tcPr>
          <w:p w14:paraId="71052FEC" w14:textId="77777777" w:rsidR="00E87700" w:rsidRPr="000D7205" w:rsidRDefault="00E87700" w:rsidP="00DC16FB">
            <w:pPr>
              <w:pStyle w:val="Default"/>
              <w:jc w:val="center"/>
              <w:rPr>
                <w:rFonts w:ascii="Times New Roman" w:hAnsi="Times New Roman" w:cs="Times New Roman"/>
                <w:color w:val="000000" w:themeColor="text1"/>
                <w:sz w:val="22"/>
                <w:szCs w:val="22"/>
              </w:rPr>
            </w:pPr>
          </w:p>
        </w:tc>
        <w:tc>
          <w:tcPr>
            <w:tcW w:w="383" w:type="pct"/>
            <w:vAlign w:val="center"/>
          </w:tcPr>
          <w:p w14:paraId="6F0C6445" w14:textId="77777777" w:rsidR="00E87700" w:rsidRPr="000D7205" w:rsidRDefault="00E87700" w:rsidP="00DC16FB">
            <w:pPr>
              <w:jc w:val="center"/>
              <w:rPr>
                <w:rFonts w:ascii="Times New Roman" w:hAnsi="Times New Roman" w:cs="Times New Roman"/>
                <w:color w:val="000000" w:themeColor="text1"/>
                <w:sz w:val="22"/>
                <w:szCs w:val="22"/>
              </w:rPr>
            </w:pPr>
          </w:p>
        </w:tc>
        <w:tc>
          <w:tcPr>
            <w:tcW w:w="308" w:type="pct"/>
            <w:vAlign w:val="center"/>
          </w:tcPr>
          <w:p w14:paraId="496FAEDD" w14:textId="77777777" w:rsidR="00E87700" w:rsidRPr="000D7205" w:rsidRDefault="00E87700" w:rsidP="00DC16FB">
            <w:pPr>
              <w:jc w:val="center"/>
              <w:rPr>
                <w:rFonts w:ascii="Times New Roman" w:hAnsi="Times New Roman" w:cs="Times New Roman"/>
                <w:color w:val="000000" w:themeColor="text1"/>
                <w:sz w:val="22"/>
                <w:szCs w:val="22"/>
              </w:rPr>
            </w:pPr>
          </w:p>
        </w:tc>
      </w:tr>
      <w:tr w:rsidR="00E87700" w:rsidRPr="000D7205" w14:paraId="55A029FC" w14:textId="77777777" w:rsidTr="00DC16FB">
        <w:tc>
          <w:tcPr>
            <w:tcW w:w="1279" w:type="pct"/>
          </w:tcPr>
          <w:p w14:paraId="3EA5B1AC" w14:textId="77777777" w:rsidR="00E87700" w:rsidRPr="000D7205" w:rsidRDefault="00E87700" w:rsidP="00DC16FB">
            <w:pPr>
              <w:jc w:val="center"/>
              <w:rPr>
                <w:rFonts w:ascii="Times New Roman" w:hAnsi="Times New Roman" w:cs="Times New Roman"/>
                <w:color w:val="000000" w:themeColor="text1"/>
                <w:sz w:val="22"/>
                <w:szCs w:val="22"/>
              </w:rPr>
            </w:pPr>
          </w:p>
        </w:tc>
        <w:tc>
          <w:tcPr>
            <w:tcW w:w="1824" w:type="pct"/>
            <w:vAlign w:val="center"/>
          </w:tcPr>
          <w:p w14:paraId="759DEF91" w14:textId="77777777" w:rsidR="00E87700" w:rsidRPr="000D7205" w:rsidRDefault="00E87700" w:rsidP="00DC16FB">
            <w:pP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Item 3</w:t>
            </w:r>
          </w:p>
        </w:tc>
        <w:tc>
          <w:tcPr>
            <w:tcW w:w="377" w:type="pct"/>
          </w:tcPr>
          <w:p w14:paraId="46FC96F2" w14:textId="77777777" w:rsidR="00E87700" w:rsidRPr="000D7205" w:rsidRDefault="00E87700" w:rsidP="00DC16FB">
            <w:pPr>
              <w:jc w:val="center"/>
              <w:rPr>
                <w:rFonts w:ascii="Times New Roman" w:hAnsi="Times New Roman" w:cs="Times New Roman"/>
                <w:color w:val="000000" w:themeColor="text1"/>
                <w:sz w:val="22"/>
                <w:szCs w:val="22"/>
              </w:rPr>
            </w:pPr>
          </w:p>
        </w:tc>
        <w:tc>
          <w:tcPr>
            <w:tcW w:w="377" w:type="pct"/>
            <w:vAlign w:val="center"/>
          </w:tcPr>
          <w:p w14:paraId="633792C3"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.67*</w:t>
            </w:r>
          </w:p>
        </w:tc>
        <w:tc>
          <w:tcPr>
            <w:tcW w:w="453" w:type="pct"/>
            <w:vAlign w:val="center"/>
          </w:tcPr>
          <w:p w14:paraId="66061C4D" w14:textId="77777777" w:rsidR="00E87700" w:rsidRPr="000D7205" w:rsidRDefault="00E87700" w:rsidP="00DC16FB">
            <w:pPr>
              <w:pStyle w:val="Default"/>
              <w:jc w:val="center"/>
              <w:rPr>
                <w:rFonts w:ascii="Times New Roman" w:hAnsi="Times New Roman" w:cs="Times New Roman"/>
                <w:color w:val="000000" w:themeColor="text1"/>
                <w:sz w:val="22"/>
                <w:szCs w:val="22"/>
              </w:rPr>
            </w:pPr>
          </w:p>
        </w:tc>
        <w:tc>
          <w:tcPr>
            <w:tcW w:w="383" w:type="pct"/>
            <w:vAlign w:val="center"/>
          </w:tcPr>
          <w:p w14:paraId="1378B188" w14:textId="77777777" w:rsidR="00E87700" w:rsidRPr="000D7205" w:rsidRDefault="00E87700" w:rsidP="00DC16FB">
            <w:pPr>
              <w:jc w:val="center"/>
              <w:rPr>
                <w:rFonts w:ascii="Times New Roman" w:hAnsi="Times New Roman" w:cs="Times New Roman"/>
                <w:color w:val="000000" w:themeColor="text1"/>
                <w:sz w:val="22"/>
                <w:szCs w:val="22"/>
              </w:rPr>
            </w:pPr>
          </w:p>
        </w:tc>
        <w:tc>
          <w:tcPr>
            <w:tcW w:w="308" w:type="pct"/>
            <w:vAlign w:val="center"/>
          </w:tcPr>
          <w:p w14:paraId="183F760A" w14:textId="77777777" w:rsidR="00E87700" w:rsidRPr="000D7205" w:rsidRDefault="00E87700" w:rsidP="00DC16FB">
            <w:pPr>
              <w:jc w:val="center"/>
              <w:rPr>
                <w:rFonts w:ascii="Times New Roman" w:hAnsi="Times New Roman" w:cs="Times New Roman"/>
                <w:color w:val="000000" w:themeColor="text1"/>
                <w:sz w:val="22"/>
                <w:szCs w:val="22"/>
              </w:rPr>
            </w:pPr>
          </w:p>
        </w:tc>
      </w:tr>
      <w:tr w:rsidR="00E87700" w:rsidRPr="000D7205" w14:paraId="0DC16EE6" w14:textId="77777777" w:rsidTr="00DC16FB">
        <w:tc>
          <w:tcPr>
            <w:tcW w:w="1279" w:type="pct"/>
          </w:tcPr>
          <w:p w14:paraId="7C7785E7" w14:textId="77777777" w:rsidR="00E87700" w:rsidRPr="000D7205" w:rsidRDefault="00E87700" w:rsidP="00DC16FB">
            <w:pPr>
              <w:jc w:val="center"/>
              <w:rPr>
                <w:rFonts w:ascii="Times New Roman" w:hAnsi="Times New Roman" w:cs="Times New Roman"/>
                <w:color w:val="000000" w:themeColor="text1"/>
                <w:sz w:val="22"/>
                <w:szCs w:val="22"/>
              </w:rPr>
            </w:pPr>
          </w:p>
        </w:tc>
        <w:tc>
          <w:tcPr>
            <w:tcW w:w="1824" w:type="pct"/>
            <w:vAlign w:val="center"/>
          </w:tcPr>
          <w:p w14:paraId="1058FB90" w14:textId="77777777" w:rsidR="00E87700" w:rsidRPr="000D7205" w:rsidRDefault="00E87700" w:rsidP="00DC16FB">
            <w:pP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Social Engagement: Colleagues</w:t>
            </w:r>
          </w:p>
        </w:tc>
        <w:tc>
          <w:tcPr>
            <w:tcW w:w="377" w:type="pct"/>
          </w:tcPr>
          <w:p w14:paraId="40B7748A"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.52*</w:t>
            </w:r>
          </w:p>
        </w:tc>
        <w:tc>
          <w:tcPr>
            <w:tcW w:w="377" w:type="pct"/>
            <w:vAlign w:val="center"/>
          </w:tcPr>
          <w:p w14:paraId="58FEB8EF" w14:textId="77777777" w:rsidR="00E87700" w:rsidRPr="000D7205" w:rsidRDefault="00E87700" w:rsidP="00DC16FB">
            <w:pPr>
              <w:jc w:val="center"/>
              <w:rPr>
                <w:rFonts w:ascii="Times New Roman" w:hAnsi="Times New Roman" w:cs="Times New Roman"/>
                <w:color w:val="000000" w:themeColor="text1"/>
                <w:sz w:val="22"/>
                <w:szCs w:val="22"/>
              </w:rPr>
            </w:pPr>
          </w:p>
        </w:tc>
        <w:tc>
          <w:tcPr>
            <w:tcW w:w="453" w:type="pct"/>
            <w:vAlign w:val="center"/>
          </w:tcPr>
          <w:p w14:paraId="3F098AC2" w14:textId="77777777" w:rsidR="00E87700" w:rsidRPr="000D7205" w:rsidRDefault="00E87700" w:rsidP="00DC16FB">
            <w:pPr>
              <w:pStyle w:val="Default"/>
              <w:jc w:val="center"/>
              <w:rPr>
                <w:rFonts w:ascii="Times New Roman" w:hAnsi="Times New Roman" w:cs="Times New Roman"/>
                <w:color w:val="000000" w:themeColor="text1"/>
                <w:sz w:val="22"/>
                <w:szCs w:val="22"/>
              </w:rPr>
            </w:pPr>
          </w:p>
        </w:tc>
        <w:tc>
          <w:tcPr>
            <w:tcW w:w="383" w:type="pct"/>
            <w:vAlign w:val="center"/>
          </w:tcPr>
          <w:p w14:paraId="6C1CF776" w14:textId="77777777" w:rsidR="00E87700" w:rsidRPr="000D7205" w:rsidRDefault="00E87700" w:rsidP="00DC16FB">
            <w:pPr>
              <w:jc w:val="center"/>
              <w:rPr>
                <w:rFonts w:ascii="Times New Roman" w:hAnsi="Times New Roman" w:cs="Times New Roman"/>
                <w:color w:val="000000" w:themeColor="text1"/>
                <w:sz w:val="22"/>
                <w:szCs w:val="22"/>
              </w:rPr>
            </w:pPr>
          </w:p>
        </w:tc>
        <w:tc>
          <w:tcPr>
            <w:tcW w:w="308" w:type="pct"/>
            <w:vAlign w:val="center"/>
          </w:tcPr>
          <w:p w14:paraId="2E4E528B" w14:textId="77777777" w:rsidR="00E87700" w:rsidRPr="000D7205" w:rsidRDefault="00E87700" w:rsidP="00DC16FB">
            <w:pPr>
              <w:jc w:val="center"/>
              <w:rPr>
                <w:rFonts w:ascii="Times New Roman" w:hAnsi="Times New Roman" w:cs="Times New Roman"/>
                <w:color w:val="000000" w:themeColor="text1"/>
                <w:sz w:val="22"/>
                <w:szCs w:val="22"/>
              </w:rPr>
            </w:pPr>
          </w:p>
        </w:tc>
      </w:tr>
      <w:tr w:rsidR="00E87700" w:rsidRPr="000D7205" w14:paraId="146CE7FD" w14:textId="77777777" w:rsidTr="00DC16FB">
        <w:tc>
          <w:tcPr>
            <w:tcW w:w="1279" w:type="pct"/>
          </w:tcPr>
          <w:p w14:paraId="50C81D35" w14:textId="77777777" w:rsidR="00E87700" w:rsidRPr="000D7205" w:rsidRDefault="00E87700" w:rsidP="00DC16FB">
            <w:pPr>
              <w:jc w:val="center"/>
              <w:rPr>
                <w:rFonts w:ascii="Times New Roman" w:hAnsi="Times New Roman" w:cs="Times New Roman"/>
                <w:color w:val="000000" w:themeColor="text1"/>
                <w:sz w:val="22"/>
                <w:szCs w:val="22"/>
              </w:rPr>
            </w:pPr>
          </w:p>
        </w:tc>
        <w:tc>
          <w:tcPr>
            <w:tcW w:w="1824" w:type="pct"/>
            <w:vAlign w:val="center"/>
          </w:tcPr>
          <w:p w14:paraId="2815682D" w14:textId="77777777" w:rsidR="00E87700" w:rsidRPr="000D7205" w:rsidRDefault="00E87700" w:rsidP="00DC16FB">
            <w:pP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Item 9</w:t>
            </w:r>
          </w:p>
        </w:tc>
        <w:tc>
          <w:tcPr>
            <w:tcW w:w="377" w:type="pct"/>
          </w:tcPr>
          <w:p w14:paraId="584A4BBB" w14:textId="77777777" w:rsidR="00E87700" w:rsidRPr="000D7205" w:rsidRDefault="00E87700" w:rsidP="00DC16FB">
            <w:pPr>
              <w:jc w:val="center"/>
              <w:rPr>
                <w:rFonts w:ascii="Times New Roman" w:hAnsi="Times New Roman" w:cs="Times New Roman"/>
                <w:color w:val="000000" w:themeColor="text1"/>
                <w:sz w:val="22"/>
                <w:szCs w:val="22"/>
              </w:rPr>
            </w:pPr>
          </w:p>
        </w:tc>
        <w:tc>
          <w:tcPr>
            <w:tcW w:w="377" w:type="pct"/>
            <w:vAlign w:val="center"/>
          </w:tcPr>
          <w:p w14:paraId="3548266B"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.74*</w:t>
            </w:r>
          </w:p>
        </w:tc>
        <w:tc>
          <w:tcPr>
            <w:tcW w:w="453" w:type="pct"/>
            <w:vAlign w:val="center"/>
          </w:tcPr>
          <w:p w14:paraId="2BF69669" w14:textId="77777777" w:rsidR="00E87700" w:rsidRPr="000D7205" w:rsidRDefault="00E87700" w:rsidP="00DC16FB">
            <w:pPr>
              <w:pStyle w:val="Default"/>
              <w:jc w:val="center"/>
              <w:rPr>
                <w:rFonts w:ascii="Times New Roman" w:hAnsi="Times New Roman" w:cs="Times New Roman"/>
                <w:color w:val="000000" w:themeColor="text1"/>
                <w:sz w:val="22"/>
                <w:szCs w:val="22"/>
              </w:rPr>
            </w:pPr>
          </w:p>
        </w:tc>
        <w:tc>
          <w:tcPr>
            <w:tcW w:w="383" w:type="pct"/>
            <w:vAlign w:val="center"/>
          </w:tcPr>
          <w:p w14:paraId="2DF5152F" w14:textId="77777777" w:rsidR="00E87700" w:rsidRPr="000D7205" w:rsidRDefault="00E87700" w:rsidP="00DC16FB">
            <w:pPr>
              <w:jc w:val="center"/>
              <w:rPr>
                <w:rFonts w:ascii="Times New Roman" w:hAnsi="Times New Roman" w:cs="Times New Roman"/>
                <w:color w:val="000000" w:themeColor="text1"/>
                <w:sz w:val="22"/>
                <w:szCs w:val="22"/>
              </w:rPr>
            </w:pPr>
          </w:p>
        </w:tc>
        <w:tc>
          <w:tcPr>
            <w:tcW w:w="308" w:type="pct"/>
            <w:vAlign w:val="center"/>
          </w:tcPr>
          <w:p w14:paraId="2E3A7A27" w14:textId="77777777" w:rsidR="00E87700" w:rsidRPr="000D7205" w:rsidRDefault="00E87700" w:rsidP="00DC16FB">
            <w:pPr>
              <w:jc w:val="center"/>
              <w:rPr>
                <w:rFonts w:ascii="Times New Roman" w:hAnsi="Times New Roman" w:cs="Times New Roman"/>
                <w:color w:val="000000" w:themeColor="text1"/>
                <w:sz w:val="22"/>
                <w:szCs w:val="22"/>
              </w:rPr>
            </w:pPr>
          </w:p>
        </w:tc>
      </w:tr>
      <w:tr w:rsidR="00E87700" w:rsidRPr="000D7205" w14:paraId="5042917F" w14:textId="77777777" w:rsidTr="00DC16FB">
        <w:tc>
          <w:tcPr>
            <w:tcW w:w="1279" w:type="pct"/>
          </w:tcPr>
          <w:p w14:paraId="310C82C4" w14:textId="77777777" w:rsidR="00E87700" w:rsidRPr="000D7205" w:rsidRDefault="00E87700" w:rsidP="00DC16FB">
            <w:pPr>
              <w:jc w:val="center"/>
              <w:rPr>
                <w:rFonts w:ascii="Times New Roman" w:hAnsi="Times New Roman" w:cs="Times New Roman"/>
                <w:color w:val="000000" w:themeColor="text1"/>
                <w:sz w:val="22"/>
                <w:szCs w:val="22"/>
              </w:rPr>
            </w:pPr>
          </w:p>
        </w:tc>
        <w:tc>
          <w:tcPr>
            <w:tcW w:w="1824" w:type="pct"/>
            <w:vAlign w:val="center"/>
          </w:tcPr>
          <w:p w14:paraId="48017956" w14:textId="77777777" w:rsidR="00E87700" w:rsidRPr="000D7205" w:rsidRDefault="00E87700" w:rsidP="00DC16FB">
            <w:pP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Item 7</w:t>
            </w:r>
          </w:p>
        </w:tc>
        <w:tc>
          <w:tcPr>
            <w:tcW w:w="377" w:type="pct"/>
          </w:tcPr>
          <w:p w14:paraId="7B98B3CD" w14:textId="77777777" w:rsidR="00E87700" w:rsidRPr="000D7205" w:rsidRDefault="00E87700" w:rsidP="00DC16FB">
            <w:pPr>
              <w:jc w:val="center"/>
              <w:rPr>
                <w:rFonts w:ascii="Times New Roman" w:hAnsi="Times New Roman" w:cs="Times New Roman"/>
                <w:color w:val="000000" w:themeColor="text1"/>
                <w:sz w:val="22"/>
                <w:szCs w:val="22"/>
              </w:rPr>
            </w:pPr>
          </w:p>
        </w:tc>
        <w:tc>
          <w:tcPr>
            <w:tcW w:w="377" w:type="pct"/>
            <w:vAlign w:val="center"/>
          </w:tcPr>
          <w:p w14:paraId="2C36BE54"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.79*</w:t>
            </w:r>
          </w:p>
        </w:tc>
        <w:tc>
          <w:tcPr>
            <w:tcW w:w="453" w:type="pct"/>
            <w:vAlign w:val="center"/>
          </w:tcPr>
          <w:p w14:paraId="4B3063EC"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4.87</w:t>
            </w:r>
          </w:p>
        </w:tc>
        <w:tc>
          <w:tcPr>
            <w:tcW w:w="383" w:type="pct"/>
            <w:vAlign w:val="center"/>
          </w:tcPr>
          <w:p w14:paraId="1A76328C"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.89</w:t>
            </w:r>
          </w:p>
        </w:tc>
        <w:tc>
          <w:tcPr>
            <w:tcW w:w="308" w:type="pct"/>
            <w:vAlign w:val="center"/>
          </w:tcPr>
          <w:p w14:paraId="437DE838"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.85</w:t>
            </w:r>
          </w:p>
        </w:tc>
      </w:tr>
      <w:tr w:rsidR="00E87700" w:rsidRPr="000D7205" w14:paraId="3F3B5B75" w14:textId="77777777" w:rsidTr="00DC16FB">
        <w:tc>
          <w:tcPr>
            <w:tcW w:w="1279" w:type="pct"/>
          </w:tcPr>
          <w:p w14:paraId="24D49738" w14:textId="77777777" w:rsidR="00E87700" w:rsidRPr="000D7205" w:rsidRDefault="00E87700" w:rsidP="00DC16FB">
            <w:pPr>
              <w:jc w:val="center"/>
              <w:rPr>
                <w:rFonts w:ascii="Times New Roman" w:hAnsi="Times New Roman" w:cs="Times New Roman"/>
                <w:color w:val="000000" w:themeColor="text1"/>
                <w:sz w:val="22"/>
                <w:szCs w:val="22"/>
              </w:rPr>
            </w:pPr>
          </w:p>
        </w:tc>
        <w:tc>
          <w:tcPr>
            <w:tcW w:w="1824" w:type="pct"/>
            <w:vAlign w:val="center"/>
          </w:tcPr>
          <w:p w14:paraId="0ABA1045" w14:textId="77777777" w:rsidR="00E87700" w:rsidRPr="000D7205" w:rsidRDefault="00E87700" w:rsidP="00DC16FB">
            <w:pP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Item 12</w:t>
            </w:r>
          </w:p>
        </w:tc>
        <w:tc>
          <w:tcPr>
            <w:tcW w:w="377" w:type="pct"/>
          </w:tcPr>
          <w:p w14:paraId="1F0EE123" w14:textId="77777777" w:rsidR="00E87700" w:rsidRPr="000D7205" w:rsidRDefault="00E87700" w:rsidP="00DC16FB">
            <w:pPr>
              <w:jc w:val="center"/>
              <w:rPr>
                <w:rFonts w:ascii="Times New Roman" w:hAnsi="Times New Roman" w:cs="Times New Roman"/>
                <w:color w:val="000000" w:themeColor="text1"/>
                <w:sz w:val="22"/>
                <w:szCs w:val="22"/>
              </w:rPr>
            </w:pPr>
          </w:p>
        </w:tc>
        <w:tc>
          <w:tcPr>
            <w:tcW w:w="377" w:type="pct"/>
            <w:vAlign w:val="center"/>
          </w:tcPr>
          <w:p w14:paraId="18DFCCCA"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.79*</w:t>
            </w:r>
          </w:p>
        </w:tc>
        <w:tc>
          <w:tcPr>
            <w:tcW w:w="453" w:type="pct"/>
            <w:vAlign w:val="center"/>
          </w:tcPr>
          <w:p w14:paraId="5CC02963" w14:textId="77777777" w:rsidR="00E87700" w:rsidRPr="000D7205" w:rsidRDefault="00E87700" w:rsidP="00DC16FB">
            <w:pPr>
              <w:pStyle w:val="Default"/>
              <w:jc w:val="center"/>
              <w:rPr>
                <w:rFonts w:ascii="Times New Roman" w:hAnsi="Times New Roman" w:cs="Times New Roman"/>
                <w:color w:val="000000" w:themeColor="text1"/>
                <w:sz w:val="22"/>
                <w:szCs w:val="22"/>
              </w:rPr>
            </w:pPr>
          </w:p>
        </w:tc>
        <w:tc>
          <w:tcPr>
            <w:tcW w:w="383" w:type="pct"/>
            <w:vAlign w:val="center"/>
          </w:tcPr>
          <w:p w14:paraId="5300AA28" w14:textId="77777777" w:rsidR="00E87700" w:rsidRPr="000D7205" w:rsidRDefault="00E87700" w:rsidP="00DC16FB">
            <w:pPr>
              <w:jc w:val="center"/>
              <w:rPr>
                <w:rFonts w:ascii="Times New Roman" w:hAnsi="Times New Roman" w:cs="Times New Roman"/>
                <w:color w:val="000000" w:themeColor="text1"/>
                <w:sz w:val="22"/>
                <w:szCs w:val="22"/>
              </w:rPr>
            </w:pPr>
          </w:p>
        </w:tc>
        <w:tc>
          <w:tcPr>
            <w:tcW w:w="308" w:type="pct"/>
            <w:vAlign w:val="center"/>
          </w:tcPr>
          <w:p w14:paraId="5B8CAFA6" w14:textId="77777777" w:rsidR="00E87700" w:rsidRPr="000D7205" w:rsidRDefault="00E87700" w:rsidP="00DC16FB">
            <w:pPr>
              <w:jc w:val="center"/>
              <w:rPr>
                <w:rFonts w:ascii="Times New Roman" w:hAnsi="Times New Roman" w:cs="Times New Roman"/>
                <w:color w:val="000000" w:themeColor="text1"/>
                <w:sz w:val="22"/>
                <w:szCs w:val="22"/>
              </w:rPr>
            </w:pPr>
          </w:p>
        </w:tc>
      </w:tr>
      <w:tr w:rsidR="00E87700" w:rsidRPr="000D7205" w14:paraId="3599F428" w14:textId="77777777" w:rsidTr="00DC16FB">
        <w:tc>
          <w:tcPr>
            <w:tcW w:w="1279" w:type="pct"/>
            <w:tcBorders>
              <w:bottom w:val="single" w:sz="4" w:space="0" w:color="auto"/>
            </w:tcBorders>
          </w:tcPr>
          <w:p w14:paraId="63305D69" w14:textId="77777777" w:rsidR="00E87700" w:rsidRPr="000D7205" w:rsidRDefault="00E87700" w:rsidP="00DC16FB">
            <w:pPr>
              <w:jc w:val="center"/>
              <w:rPr>
                <w:rFonts w:ascii="Times New Roman" w:hAnsi="Times New Roman" w:cs="Times New Roman"/>
                <w:color w:val="000000" w:themeColor="text1"/>
                <w:sz w:val="22"/>
                <w:szCs w:val="22"/>
              </w:rPr>
            </w:pPr>
          </w:p>
        </w:tc>
        <w:tc>
          <w:tcPr>
            <w:tcW w:w="1824" w:type="pct"/>
            <w:tcBorders>
              <w:bottom w:val="single" w:sz="4" w:space="0" w:color="auto"/>
            </w:tcBorders>
            <w:vAlign w:val="center"/>
          </w:tcPr>
          <w:p w14:paraId="517C710A" w14:textId="77777777" w:rsidR="00E87700" w:rsidRPr="000D7205" w:rsidRDefault="00E87700" w:rsidP="00DC16FB">
            <w:pP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Item 1</w:t>
            </w:r>
          </w:p>
        </w:tc>
        <w:tc>
          <w:tcPr>
            <w:tcW w:w="377" w:type="pct"/>
            <w:tcBorders>
              <w:bottom w:val="single" w:sz="4" w:space="0" w:color="auto"/>
            </w:tcBorders>
          </w:tcPr>
          <w:p w14:paraId="2E097C0D" w14:textId="77777777" w:rsidR="00E87700" w:rsidRPr="000D7205" w:rsidRDefault="00E87700" w:rsidP="00DC16FB">
            <w:pPr>
              <w:jc w:val="center"/>
              <w:rPr>
                <w:rFonts w:ascii="Times New Roman" w:hAnsi="Times New Roman" w:cs="Times New Roman"/>
                <w:color w:val="000000" w:themeColor="text1"/>
                <w:sz w:val="22"/>
                <w:szCs w:val="22"/>
              </w:rPr>
            </w:pPr>
          </w:p>
        </w:tc>
        <w:tc>
          <w:tcPr>
            <w:tcW w:w="377" w:type="pct"/>
            <w:tcBorders>
              <w:bottom w:val="single" w:sz="4" w:space="0" w:color="auto"/>
            </w:tcBorders>
            <w:vAlign w:val="center"/>
          </w:tcPr>
          <w:p w14:paraId="3CE8DC62"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.76*</w:t>
            </w:r>
          </w:p>
        </w:tc>
        <w:tc>
          <w:tcPr>
            <w:tcW w:w="453" w:type="pct"/>
            <w:tcBorders>
              <w:bottom w:val="single" w:sz="4" w:space="0" w:color="auto"/>
            </w:tcBorders>
            <w:vAlign w:val="center"/>
          </w:tcPr>
          <w:p w14:paraId="4C5B7763" w14:textId="77777777" w:rsidR="00E87700" w:rsidRPr="000D7205" w:rsidRDefault="00E87700" w:rsidP="00DC16FB">
            <w:pPr>
              <w:pStyle w:val="Default"/>
              <w:jc w:val="center"/>
              <w:rPr>
                <w:rFonts w:ascii="Times New Roman" w:hAnsi="Times New Roman" w:cs="Times New Roman"/>
                <w:color w:val="000000" w:themeColor="text1"/>
                <w:sz w:val="22"/>
                <w:szCs w:val="22"/>
              </w:rPr>
            </w:pPr>
          </w:p>
        </w:tc>
        <w:tc>
          <w:tcPr>
            <w:tcW w:w="383" w:type="pct"/>
            <w:tcBorders>
              <w:bottom w:val="single" w:sz="4" w:space="0" w:color="auto"/>
            </w:tcBorders>
            <w:vAlign w:val="center"/>
          </w:tcPr>
          <w:p w14:paraId="6BFFFE5C" w14:textId="77777777" w:rsidR="00E87700" w:rsidRPr="000D7205" w:rsidRDefault="00E87700" w:rsidP="00DC16FB">
            <w:pPr>
              <w:jc w:val="center"/>
              <w:rPr>
                <w:rFonts w:ascii="Times New Roman" w:hAnsi="Times New Roman" w:cs="Times New Roman"/>
                <w:color w:val="000000" w:themeColor="text1"/>
                <w:sz w:val="22"/>
                <w:szCs w:val="22"/>
              </w:rPr>
            </w:pPr>
          </w:p>
        </w:tc>
        <w:tc>
          <w:tcPr>
            <w:tcW w:w="308" w:type="pct"/>
            <w:tcBorders>
              <w:bottom w:val="single" w:sz="4" w:space="0" w:color="auto"/>
            </w:tcBorders>
            <w:vAlign w:val="center"/>
          </w:tcPr>
          <w:p w14:paraId="56CDF0C1" w14:textId="77777777" w:rsidR="00E87700" w:rsidRPr="000D7205" w:rsidRDefault="00E87700" w:rsidP="00DC16FB">
            <w:pPr>
              <w:jc w:val="center"/>
              <w:rPr>
                <w:rFonts w:ascii="Times New Roman" w:hAnsi="Times New Roman" w:cs="Times New Roman"/>
                <w:color w:val="000000" w:themeColor="text1"/>
                <w:sz w:val="22"/>
                <w:szCs w:val="22"/>
              </w:rPr>
            </w:pPr>
          </w:p>
        </w:tc>
      </w:tr>
    </w:tbl>
    <w:p w14:paraId="6E38666A" w14:textId="77777777" w:rsidR="00E87700" w:rsidRPr="000D7205" w:rsidRDefault="00E87700" w:rsidP="00E87700">
      <w:pPr>
        <w:jc w:val="both"/>
        <w:rPr>
          <w:color w:val="000000" w:themeColor="text1"/>
          <w:sz w:val="22"/>
          <w:szCs w:val="22"/>
        </w:rPr>
      </w:pPr>
      <w:r w:rsidRPr="000D7205">
        <w:rPr>
          <w:color w:val="000000" w:themeColor="text1"/>
          <w:sz w:val="22"/>
          <w:szCs w:val="22"/>
        </w:rPr>
        <w:t>*</w:t>
      </w:r>
      <w:r w:rsidRPr="000D7205">
        <w:rPr>
          <w:i/>
          <w:color w:val="000000" w:themeColor="text1"/>
          <w:sz w:val="22"/>
          <w:szCs w:val="22"/>
        </w:rPr>
        <w:t>p</w:t>
      </w:r>
      <w:r w:rsidRPr="000D7205">
        <w:rPr>
          <w:color w:val="000000" w:themeColor="text1"/>
          <w:sz w:val="22"/>
          <w:szCs w:val="22"/>
        </w:rPr>
        <w:t>&lt;.05</w:t>
      </w:r>
    </w:p>
    <w:p w14:paraId="04BDE014" w14:textId="77777777" w:rsidR="00E87700" w:rsidRPr="000D7205" w:rsidRDefault="00E87700" w:rsidP="00E87700">
      <w:pPr>
        <w:jc w:val="both"/>
        <w:rPr>
          <w:color w:val="000000" w:themeColor="text1"/>
        </w:rPr>
        <w:sectPr w:rsidR="00E87700" w:rsidRPr="000D7205" w:rsidSect="00074B81">
          <w:pgSz w:w="11901" w:h="16840" w:code="9"/>
          <w:pgMar w:top="1418" w:right="1701" w:bottom="1418" w:left="1701" w:header="709" w:footer="709" w:gutter="0"/>
          <w:cols w:space="708"/>
          <w:docGrid w:linePitch="360"/>
        </w:sectPr>
      </w:pPr>
    </w:p>
    <w:p w14:paraId="034A2494" w14:textId="77777777" w:rsidR="00E87700" w:rsidRPr="000D7205" w:rsidRDefault="00E87700" w:rsidP="00E87700">
      <w:pPr>
        <w:pStyle w:val="Caption"/>
        <w:spacing w:after="120"/>
        <w:rPr>
          <w:b w:val="0"/>
          <w:color w:val="000000" w:themeColor="text1"/>
          <w:sz w:val="22"/>
          <w:szCs w:val="22"/>
        </w:rPr>
      </w:pPr>
      <w:bookmarkStart w:id="6" w:name="_Ref465513028"/>
      <w:r w:rsidRPr="000D7205">
        <w:rPr>
          <w:b w:val="0"/>
          <w:color w:val="000000" w:themeColor="text1"/>
          <w:sz w:val="22"/>
          <w:szCs w:val="22"/>
        </w:rPr>
        <w:lastRenderedPageBreak/>
        <w:t xml:space="preserve">Table </w:t>
      </w:r>
      <w:r w:rsidRPr="000D7205">
        <w:rPr>
          <w:b w:val="0"/>
          <w:color w:val="000000" w:themeColor="text1"/>
          <w:sz w:val="22"/>
          <w:szCs w:val="22"/>
        </w:rPr>
        <w:fldChar w:fldCharType="begin"/>
      </w:r>
      <w:r w:rsidRPr="000D7205">
        <w:rPr>
          <w:b w:val="0"/>
          <w:color w:val="000000" w:themeColor="text1"/>
          <w:sz w:val="22"/>
          <w:szCs w:val="22"/>
        </w:rPr>
        <w:instrText xml:space="preserve"> SEQ Table \* ARABIC </w:instrText>
      </w:r>
      <w:r w:rsidRPr="000D7205">
        <w:rPr>
          <w:b w:val="0"/>
          <w:color w:val="000000" w:themeColor="text1"/>
          <w:sz w:val="22"/>
          <w:szCs w:val="22"/>
        </w:rPr>
        <w:fldChar w:fldCharType="separate"/>
      </w:r>
      <w:r>
        <w:rPr>
          <w:b w:val="0"/>
          <w:noProof/>
          <w:color w:val="000000" w:themeColor="text1"/>
          <w:sz w:val="22"/>
          <w:szCs w:val="22"/>
        </w:rPr>
        <w:t>3</w:t>
      </w:r>
      <w:r w:rsidRPr="000D7205">
        <w:rPr>
          <w:b w:val="0"/>
          <w:color w:val="000000" w:themeColor="text1"/>
          <w:sz w:val="22"/>
          <w:szCs w:val="22"/>
        </w:rPr>
        <w:fldChar w:fldCharType="end"/>
      </w:r>
      <w:bookmarkEnd w:id="6"/>
      <w:r w:rsidRPr="000D7205">
        <w:rPr>
          <w:b w:val="0"/>
          <w:color w:val="000000" w:themeColor="text1"/>
          <w:sz w:val="22"/>
          <w:szCs w:val="22"/>
        </w:rPr>
        <w:t>. Comparison of first-order and second-order models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1431"/>
        <w:gridCol w:w="939"/>
        <w:gridCol w:w="1192"/>
        <w:gridCol w:w="1593"/>
        <w:gridCol w:w="984"/>
        <w:gridCol w:w="1004"/>
        <w:gridCol w:w="2497"/>
        <w:gridCol w:w="1285"/>
        <w:gridCol w:w="734"/>
      </w:tblGrid>
      <w:tr w:rsidR="00E87700" w:rsidRPr="000D7205" w14:paraId="245AE88E" w14:textId="77777777" w:rsidTr="00DC16FB">
        <w:tc>
          <w:tcPr>
            <w:tcW w:w="901" w:type="pct"/>
            <w:tcBorders>
              <w:top w:val="single" w:sz="4" w:space="0" w:color="auto"/>
              <w:bottom w:val="single" w:sz="4" w:space="0" w:color="auto"/>
            </w:tcBorders>
            <w:vAlign w:val="center"/>
          </w:tcPr>
          <w:p w14:paraId="4E69F5EA"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Model</w:t>
            </w:r>
          </w:p>
        </w:tc>
        <w:tc>
          <w:tcPr>
            <w:tcW w:w="503" w:type="pct"/>
            <w:tcBorders>
              <w:top w:val="single" w:sz="4" w:space="0" w:color="auto"/>
              <w:bottom w:val="single" w:sz="4" w:space="0" w:color="auto"/>
            </w:tcBorders>
            <w:vAlign w:val="center"/>
          </w:tcPr>
          <w:p w14:paraId="520BFC08" w14:textId="77777777" w:rsidR="00E87700" w:rsidRPr="000D7205" w:rsidRDefault="00E87700" w:rsidP="00DC16FB">
            <w:pPr>
              <w:pStyle w:val="Default"/>
              <w:jc w:val="center"/>
              <w:rPr>
                <w:rFonts w:ascii="Times New Roman" w:hAnsi="Times New Roman" w:cs="Times New Roman"/>
                <w:i/>
                <w:color w:val="000000" w:themeColor="text1"/>
                <w:sz w:val="22"/>
                <w:szCs w:val="22"/>
              </w:rPr>
            </w:pPr>
            <w:r w:rsidRPr="000D7205">
              <w:rPr>
                <w:rFonts w:ascii="Times New Roman" w:hAnsi="Times New Roman" w:cs="Times New Roman"/>
                <w:i/>
                <w:iCs/>
                <w:color w:val="000000" w:themeColor="text1"/>
                <w:sz w:val="22"/>
                <w:szCs w:val="22"/>
              </w:rPr>
              <w:t>χ2</w:t>
            </w:r>
          </w:p>
        </w:tc>
        <w:tc>
          <w:tcPr>
            <w:tcW w:w="330" w:type="pct"/>
            <w:tcBorders>
              <w:top w:val="single" w:sz="4" w:space="0" w:color="auto"/>
              <w:bottom w:val="single" w:sz="4" w:space="0" w:color="auto"/>
            </w:tcBorders>
            <w:vAlign w:val="center"/>
          </w:tcPr>
          <w:p w14:paraId="30D0B093" w14:textId="77777777" w:rsidR="00E87700" w:rsidRPr="000D7205" w:rsidRDefault="00E87700" w:rsidP="00DC16FB">
            <w:pPr>
              <w:jc w:val="center"/>
              <w:rPr>
                <w:rFonts w:ascii="Times New Roman" w:hAnsi="Times New Roman" w:cs="Times New Roman"/>
                <w:i/>
                <w:color w:val="000000" w:themeColor="text1"/>
                <w:sz w:val="22"/>
                <w:szCs w:val="22"/>
              </w:rPr>
            </w:pPr>
            <w:r w:rsidRPr="000D7205">
              <w:rPr>
                <w:rFonts w:ascii="Times New Roman" w:hAnsi="Times New Roman" w:cs="Times New Roman"/>
                <w:i/>
                <w:color w:val="000000" w:themeColor="text1"/>
                <w:sz w:val="22"/>
                <w:szCs w:val="22"/>
              </w:rPr>
              <w:t>df</w:t>
            </w:r>
          </w:p>
        </w:tc>
        <w:tc>
          <w:tcPr>
            <w:tcW w:w="419" w:type="pct"/>
            <w:tcBorders>
              <w:top w:val="single" w:sz="4" w:space="0" w:color="auto"/>
              <w:bottom w:val="single" w:sz="4" w:space="0" w:color="auto"/>
            </w:tcBorders>
            <w:vAlign w:val="center"/>
          </w:tcPr>
          <w:p w14:paraId="5112BFEF" w14:textId="77777777" w:rsidR="00E87700" w:rsidRPr="000D7205" w:rsidRDefault="00E87700" w:rsidP="00DC16FB">
            <w:pPr>
              <w:pStyle w:val="Default"/>
              <w:jc w:val="center"/>
              <w:rPr>
                <w:rFonts w:ascii="Times New Roman" w:hAnsi="Times New Roman" w:cs="Times New Roman"/>
                <w:i/>
                <w:color w:val="000000" w:themeColor="text1"/>
                <w:sz w:val="22"/>
                <w:szCs w:val="22"/>
              </w:rPr>
            </w:pPr>
            <w:r w:rsidRPr="000D7205">
              <w:rPr>
                <w:rFonts w:ascii="Times New Roman" w:hAnsi="Times New Roman" w:cs="Times New Roman"/>
                <w:i/>
                <w:iCs/>
                <w:color w:val="000000" w:themeColor="text1"/>
                <w:sz w:val="22"/>
                <w:szCs w:val="22"/>
              </w:rPr>
              <w:t>χ2/df</w:t>
            </w:r>
          </w:p>
        </w:tc>
        <w:tc>
          <w:tcPr>
            <w:tcW w:w="560" w:type="pct"/>
            <w:tcBorders>
              <w:top w:val="single" w:sz="4" w:space="0" w:color="auto"/>
              <w:bottom w:val="single" w:sz="4" w:space="0" w:color="auto"/>
            </w:tcBorders>
            <w:vAlign w:val="center"/>
          </w:tcPr>
          <w:p w14:paraId="575A0712" w14:textId="77777777" w:rsidR="00E87700" w:rsidRPr="000D7205" w:rsidRDefault="00E87700" w:rsidP="00DC16FB">
            <w:pPr>
              <w:jc w:val="center"/>
              <w:rPr>
                <w:rFonts w:ascii="Times New Roman" w:hAnsi="Times New Roman" w:cs="Times New Roman"/>
                <w:i/>
                <w:color w:val="000000" w:themeColor="text1"/>
                <w:sz w:val="22"/>
                <w:szCs w:val="22"/>
              </w:rPr>
            </w:pPr>
            <w:r w:rsidRPr="000D7205">
              <w:rPr>
                <w:rFonts w:ascii="Times New Roman" w:hAnsi="Times New Roman" w:cs="Times New Roman"/>
                <w:i/>
                <w:color w:val="000000" w:themeColor="text1"/>
                <w:sz w:val="22"/>
                <w:szCs w:val="22"/>
              </w:rPr>
              <w:t>RMSEA</w:t>
            </w:r>
          </w:p>
        </w:tc>
        <w:tc>
          <w:tcPr>
            <w:tcW w:w="346" w:type="pct"/>
            <w:tcBorders>
              <w:top w:val="single" w:sz="4" w:space="0" w:color="auto"/>
              <w:bottom w:val="single" w:sz="4" w:space="0" w:color="auto"/>
            </w:tcBorders>
            <w:vAlign w:val="center"/>
          </w:tcPr>
          <w:p w14:paraId="33CE0FD0" w14:textId="77777777" w:rsidR="00E87700" w:rsidRPr="000D7205" w:rsidRDefault="00E87700" w:rsidP="00DC16FB">
            <w:pPr>
              <w:jc w:val="center"/>
              <w:rPr>
                <w:rFonts w:ascii="Times New Roman" w:hAnsi="Times New Roman" w:cs="Times New Roman"/>
                <w:i/>
                <w:color w:val="000000" w:themeColor="text1"/>
                <w:sz w:val="22"/>
                <w:szCs w:val="22"/>
              </w:rPr>
            </w:pPr>
            <w:r w:rsidRPr="000D7205">
              <w:rPr>
                <w:rFonts w:ascii="Times New Roman" w:hAnsi="Times New Roman" w:cs="Times New Roman"/>
                <w:i/>
                <w:color w:val="000000" w:themeColor="text1"/>
                <w:sz w:val="22"/>
                <w:szCs w:val="22"/>
              </w:rPr>
              <w:t>CFI</w:t>
            </w:r>
          </w:p>
        </w:tc>
        <w:tc>
          <w:tcPr>
            <w:tcW w:w="353" w:type="pct"/>
            <w:tcBorders>
              <w:top w:val="single" w:sz="4" w:space="0" w:color="auto"/>
              <w:bottom w:val="single" w:sz="4" w:space="0" w:color="auto"/>
            </w:tcBorders>
            <w:vAlign w:val="center"/>
          </w:tcPr>
          <w:p w14:paraId="034162FA" w14:textId="77777777" w:rsidR="00E87700" w:rsidRPr="000D7205" w:rsidRDefault="00E87700" w:rsidP="00DC16FB">
            <w:pPr>
              <w:jc w:val="center"/>
              <w:rPr>
                <w:rFonts w:ascii="Times New Roman" w:hAnsi="Times New Roman" w:cs="Times New Roman"/>
                <w:i/>
                <w:color w:val="000000" w:themeColor="text1"/>
                <w:sz w:val="22"/>
                <w:szCs w:val="22"/>
              </w:rPr>
            </w:pPr>
            <w:r w:rsidRPr="000D7205">
              <w:rPr>
                <w:rFonts w:ascii="Times New Roman" w:hAnsi="Times New Roman" w:cs="Times New Roman"/>
                <w:i/>
                <w:color w:val="000000" w:themeColor="text1"/>
                <w:sz w:val="22"/>
                <w:szCs w:val="22"/>
              </w:rPr>
              <w:t>GFI</w:t>
            </w:r>
          </w:p>
        </w:tc>
        <w:tc>
          <w:tcPr>
            <w:tcW w:w="878" w:type="pct"/>
            <w:tcBorders>
              <w:top w:val="single" w:sz="4" w:space="0" w:color="auto"/>
              <w:bottom w:val="single" w:sz="4" w:space="0" w:color="auto"/>
            </w:tcBorders>
            <w:vAlign w:val="center"/>
          </w:tcPr>
          <w:p w14:paraId="7E7EBE13" w14:textId="77777777" w:rsidR="00E87700" w:rsidRPr="000D7205" w:rsidRDefault="00E87700" w:rsidP="00DC16FB">
            <w:pPr>
              <w:jc w:val="center"/>
              <w:rPr>
                <w:rFonts w:ascii="Times New Roman" w:hAnsi="Times New Roman" w:cs="Times New Roman"/>
                <w:i/>
                <w:color w:val="000000" w:themeColor="text1"/>
                <w:sz w:val="22"/>
                <w:szCs w:val="22"/>
              </w:rPr>
            </w:pPr>
            <w:r w:rsidRPr="000D7205">
              <w:rPr>
                <w:rFonts w:ascii="Times New Roman" w:hAnsi="Times New Roman" w:cs="Times New Roman"/>
                <w:i/>
                <w:color w:val="000000" w:themeColor="text1"/>
                <w:sz w:val="22"/>
                <w:szCs w:val="22"/>
              </w:rPr>
              <w:t>Model Comparison</w:t>
            </w:r>
          </w:p>
        </w:tc>
        <w:tc>
          <w:tcPr>
            <w:tcW w:w="452" w:type="pct"/>
            <w:tcBorders>
              <w:top w:val="single" w:sz="4" w:space="0" w:color="auto"/>
              <w:bottom w:val="single" w:sz="4" w:space="0" w:color="auto"/>
            </w:tcBorders>
            <w:vAlign w:val="center"/>
          </w:tcPr>
          <w:p w14:paraId="5F4ED404" w14:textId="77777777" w:rsidR="00E87700" w:rsidRPr="000D7205" w:rsidRDefault="00E87700" w:rsidP="00DC16FB">
            <w:pPr>
              <w:pStyle w:val="Default"/>
              <w:jc w:val="center"/>
              <w:rPr>
                <w:rFonts w:ascii="Times New Roman" w:hAnsi="Times New Roman" w:cs="Times New Roman"/>
                <w:i/>
                <w:color w:val="000000" w:themeColor="text1"/>
                <w:sz w:val="22"/>
                <w:szCs w:val="22"/>
              </w:rPr>
            </w:pPr>
            <w:r w:rsidRPr="000D7205">
              <w:rPr>
                <w:rFonts w:ascii="Times New Roman" w:hAnsi="Times New Roman" w:cs="Times New Roman"/>
                <w:i/>
                <w:color w:val="000000" w:themeColor="text1"/>
                <w:sz w:val="22"/>
                <w:szCs w:val="22"/>
              </w:rPr>
              <w:t>Δ χ2</w:t>
            </w:r>
          </w:p>
        </w:tc>
        <w:tc>
          <w:tcPr>
            <w:tcW w:w="258" w:type="pct"/>
            <w:tcBorders>
              <w:top w:val="single" w:sz="4" w:space="0" w:color="auto"/>
              <w:bottom w:val="single" w:sz="4" w:space="0" w:color="auto"/>
            </w:tcBorders>
            <w:vAlign w:val="center"/>
          </w:tcPr>
          <w:p w14:paraId="6E288A9F" w14:textId="77777777" w:rsidR="00E87700" w:rsidRPr="000D7205" w:rsidRDefault="00E87700" w:rsidP="00DC16FB">
            <w:pPr>
              <w:pStyle w:val="Default"/>
              <w:jc w:val="center"/>
              <w:rPr>
                <w:rFonts w:ascii="Times New Roman" w:hAnsi="Times New Roman" w:cs="Times New Roman"/>
                <w:i/>
                <w:color w:val="000000" w:themeColor="text1"/>
                <w:sz w:val="22"/>
                <w:szCs w:val="22"/>
              </w:rPr>
            </w:pPr>
            <w:r w:rsidRPr="000D7205">
              <w:rPr>
                <w:rFonts w:ascii="Times New Roman" w:hAnsi="Times New Roman" w:cs="Times New Roman"/>
                <w:i/>
                <w:color w:val="000000" w:themeColor="text1"/>
                <w:sz w:val="22"/>
                <w:szCs w:val="22"/>
              </w:rPr>
              <w:t>Δ df</w:t>
            </w:r>
          </w:p>
        </w:tc>
      </w:tr>
      <w:tr w:rsidR="00E87700" w:rsidRPr="000D7205" w14:paraId="52568921" w14:textId="77777777" w:rsidTr="00DC16FB">
        <w:tc>
          <w:tcPr>
            <w:tcW w:w="901" w:type="pct"/>
            <w:tcBorders>
              <w:top w:val="single" w:sz="4" w:space="0" w:color="auto"/>
            </w:tcBorders>
            <w:vAlign w:val="center"/>
          </w:tcPr>
          <w:p w14:paraId="4E984D8D" w14:textId="77777777" w:rsidR="00E87700" w:rsidRPr="000D7205" w:rsidRDefault="00E87700" w:rsidP="00E87700">
            <w:pPr>
              <w:pStyle w:val="ListParagraph"/>
              <w:numPr>
                <w:ilvl w:val="0"/>
                <w:numId w:val="32"/>
              </w:numPr>
              <w:spacing w:after="0" w:line="240" w:lineRule="auto"/>
              <w:rPr>
                <w:rFonts w:ascii="Times New Roman" w:hAnsi="Times New Roman" w:cs="Times New Roman"/>
                <w:color w:val="000000" w:themeColor="text1"/>
              </w:rPr>
            </w:pPr>
            <w:r w:rsidRPr="000D7205">
              <w:rPr>
                <w:rFonts w:ascii="Times New Roman" w:hAnsi="Times New Roman" w:cs="Times New Roman"/>
                <w:color w:val="000000" w:themeColor="text1"/>
              </w:rPr>
              <w:t>First-Order CFA</w:t>
            </w:r>
          </w:p>
        </w:tc>
        <w:tc>
          <w:tcPr>
            <w:tcW w:w="503" w:type="pct"/>
            <w:tcBorders>
              <w:top w:val="single" w:sz="4" w:space="0" w:color="auto"/>
            </w:tcBorders>
            <w:vAlign w:val="center"/>
          </w:tcPr>
          <w:p w14:paraId="43E3FC61"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232.29</w:t>
            </w:r>
          </w:p>
        </w:tc>
        <w:tc>
          <w:tcPr>
            <w:tcW w:w="330" w:type="pct"/>
            <w:tcBorders>
              <w:top w:val="single" w:sz="4" w:space="0" w:color="auto"/>
            </w:tcBorders>
            <w:vAlign w:val="center"/>
          </w:tcPr>
          <w:p w14:paraId="1C55ED22"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98</w:t>
            </w:r>
          </w:p>
        </w:tc>
        <w:tc>
          <w:tcPr>
            <w:tcW w:w="419" w:type="pct"/>
            <w:tcBorders>
              <w:top w:val="single" w:sz="4" w:space="0" w:color="auto"/>
            </w:tcBorders>
            <w:vAlign w:val="center"/>
          </w:tcPr>
          <w:p w14:paraId="2776E74D"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2.37</w:t>
            </w:r>
          </w:p>
        </w:tc>
        <w:tc>
          <w:tcPr>
            <w:tcW w:w="560" w:type="pct"/>
            <w:tcBorders>
              <w:top w:val="single" w:sz="4" w:space="0" w:color="auto"/>
            </w:tcBorders>
            <w:vAlign w:val="center"/>
          </w:tcPr>
          <w:p w14:paraId="1794466C"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.059</w:t>
            </w:r>
          </w:p>
        </w:tc>
        <w:tc>
          <w:tcPr>
            <w:tcW w:w="346" w:type="pct"/>
            <w:tcBorders>
              <w:top w:val="single" w:sz="4" w:space="0" w:color="auto"/>
            </w:tcBorders>
            <w:vAlign w:val="center"/>
          </w:tcPr>
          <w:p w14:paraId="2E5E61B8"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.98</w:t>
            </w:r>
          </w:p>
        </w:tc>
        <w:tc>
          <w:tcPr>
            <w:tcW w:w="353" w:type="pct"/>
            <w:tcBorders>
              <w:top w:val="single" w:sz="4" w:space="0" w:color="auto"/>
            </w:tcBorders>
            <w:vAlign w:val="center"/>
          </w:tcPr>
          <w:p w14:paraId="75D7AA6E"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.93</w:t>
            </w:r>
          </w:p>
        </w:tc>
        <w:tc>
          <w:tcPr>
            <w:tcW w:w="878" w:type="pct"/>
            <w:tcBorders>
              <w:top w:val="single" w:sz="4" w:space="0" w:color="auto"/>
            </w:tcBorders>
            <w:vAlign w:val="center"/>
          </w:tcPr>
          <w:p w14:paraId="6DB22EF3" w14:textId="77777777" w:rsidR="00E87700" w:rsidRPr="000D7205" w:rsidRDefault="00E87700" w:rsidP="00DC16FB">
            <w:pPr>
              <w:jc w:val="center"/>
              <w:rPr>
                <w:rFonts w:ascii="Times New Roman" w:hAnsi="Times New Roman" w:cs="Times New Roman"/>
                <w:color w:val="000000" w:themeColor="text1"/>
                <w:sz w:val="22"/>
                <w:szCs w:val="22"/>
              </w:rPr>
            </w:pPr>
          </w:p>
        </w:tc>
        <w:tc>
          <w:tcPr>
            <w:tcW w:w="452" w:type="pct"/>
            <w:tcBorders>
              <w:top w:val="single" w:sz="4" w:space="0" w:color="auto"/>
            </w:tcBorders>
            <w:vAlign w:val="center"/>
          </w:tcPr>
          <w:p w14:paraId="67C01D2E" w14:textId="77777777" w:rsidR="00E87700" w:rsidRPr="000D7205" w:rsidRDefault="00E87700" w:rsidP="00DC16FB">
            <w:pPr>
              <w:jc w:val="center"/>
              <w:rPr>
                <w:rFonts w:ascii="Times New Roman" w:hAnsi="Times New Roman" w:cs="Times New Roman"/>
                <w:color w:val="000000" w:themeColor="text1"/>
                <w:sz w:val="22"/>
                <w:szCs w:val="22"/>
              </w:rPr>
            </w:pPr>
          </w:p>
        </w:tc>
        <w:tc>
          <w:tcPr>
            <w:tcW w:w="258" w:type="pct"/>
            <w:tcBorders>
              <w:top w:val="single" w:sz="4" w:space="0" w:color="auto"/>
            </w:tcBorders>
            <w:vAlign w:val="center"/>
          </w:tcPr>
          <w:p w14:paraId="502C661F" w14:textId="77777777" w:rsidR="00E87700" w:rsidRPr="000D7205" w:rsidRDefault="00E87700" w:rsidP="00DC16FB">
            <w:pPr>
              <w:jc w:val="center"/>
              <w:rPr>
                <w:rFonts w:ascii="Times New Roman" w:hAnsi="Times New Roman" w:cs="Times New Roman"/>
                <w:color w:val="000000" w:themeColor="text1"/>
                <w:sz w:val="22"/>
                <w:szCs w:val="22"/>
              </w:rPr>
            </w:pPr>
          </w:p>
        </w:tc>
      </w:tr>
      <w:tr w:rsidR="00E87700" w:rsidRPr="000D7205" w14:paraId="5E861D17" w14:textId="77777777" w:rsidTr="00DC16FB">
        <w:tc>
          <w:tcPr>
            <w:tcW w:w="901" w:type="pct"/>
            <w:tcBorders>
              <w:bottom w:val="single" w:sz="4" w:space="0" w:color="auto"/>
            </w:tcBorders>
            <w:vAlign w:val="center"/>
          </w:tcPr>
          <w:p w14:paraId="5CD796F8" w14:textId="77777777" w:rsidR="00E87700" w:rsidRPr="000D7205" w:rsidRDefault="00E87700" w:rsidP="00E87700">
            <w:pPr>
              <w:pStyle w:val="ListParagraph"/>
              <w:numPr>
                <w:ilvl w:val="0"/>
                <w:numId w:val="32"/>
              </w:numPr>
              <w:spacing w:after="0" w:line="240" w:lineRule="auto"/>
              <w:rPr>
                <w:rFonts w:ascii="Times New Roman" w:hAnsi="Times New Roman" w:cs="Times New Roman"/>
                <w:color w:val="000000" w:themeColor="text1"/>
              </w:rPr>
            </w:pPr>
            <w:r w:rsidRPr="000D7205">
              <w:rPr>
                <w:rFonts w:ascii="Times New Roman" w:hAnsi="Times New Roman" w:cs="Times New Roman"/>
                <w:color w:val="000000" w:themeColor="text1"/>
              </w:rPr>
              <w:t>Second-Order CFA</w:t>
            </w:r>
          </w:p>
        </w:tc>
        <w:tc>
          <w:tcPr>
            <w:tcW w:w="503" w:type="pct"/>
            <w:tcBorders>
              <w:bottom w:val="single" w:sz="4" w:space="0" w:color="auto"/>
            </w:tcBorders>
            <w:vAlign w:val="center"/>
          </w:tcPr>
          <w:p w14:paraId="55C79C15"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240.06</w:t>
            </w:r>
          </w:p>
        </w:tc>
        <w:tc>
          <w:tcPr>
            <w:tcW w:w="330" w:type="pct"/>
            <w:tcBorders>
              <w:bottom w:val="single" w:sz="4" w:space="0" w:color="auto"/>
            </w:tcBorders>
            <w:vAlign w:val="center"/>
          </w:tcPr>
          <w:p w14:paraId="65BBB25C"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100</w:t>
            </w:r>
          </w:p>
        </w:tc>
        <w:tc>
          <w:tcPr>
            <w:tcW w:w="419" w:type="pct"/>
            <w:tcBorders>
              <w:bottom w:val="single" w:sz="4" w:space="0" w:color="auto"/>
            </w:tcBorders>
            <w:vAlign w:val="center"/>
          </w:tcPr>
          <w:p w14:paraId="6CB6605D"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2.40</w:t>
            </w:r>
          </w:p>
        </w:tc>
        <w:tc>
          <w:tcPr>
            <w:tcW w:w="560" w:type="pct"/>
            <w:tcBorders>
              <w:bottom w:val="single" w:sz="4" w:space="0" w:color="auto"/>
            </w:tcBorders>
            <w:vAlign w:val="center"/>
          </w:tcPr>
          <w:p w14:paraId="2B9BD409"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.060</w:t>
            </w:r>
          </w:p>
        </w:tc>
        <w:tc>
          <w:tcPr>
            <w:tcW w:w="346" w:type="pct"/>
            <w:tcBorders>
              <w:bottom w:val="single" w:sz="4" w:space="0" w:color="auto"/>
            </w:tcBorders>
            <w:vAlign w:val="center"/>
          </w:tcPr>
          <w:p w14:paraId="142227AD"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.98</w:t>
            </w:r>
          </w:p>
        </w:tc>
        <w:tc>
          <w:tcPr>
            <w:tcW w:w="353" w:type="pct"/>
            <w:tcBorders>
              <w:bottom w:val="single" w:sz="4" w:space="0" w:color="auto"/>
            </w:tcBorders>
            <w:vAlign w:val="center"/>
          </w:tcPr>
          <w:p w14:paraId="7D58D97B"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.93</w:t>
            </w:r>
          </w:p>
        </w:tc>
        <w:tc>
          <w:tcPr>
            <w:tcW w:w="878" w:type="pct"/>
            <w:tcBorders>
              <w:bottom w:val="single" w:sz="4" w:space="0" w:color="auto"/>
            </w:tcBorders>
            <w:vAlign w:val="center"/>
          </w:tcPr>
          <w:p w14:paraId="549C4861"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2 vs 1</w:t>
            </w:r>
          </w:p>
        </w:tc>
        <w:tc>
          <w:tcPr>
            <w:tcW w:w="452" w:type="pct"/>
            <w:tcBorders>
              <w:bottom w:val="single" w:sz="4" w:space="0" w:color="auto"/>
            </w:tcBorders>
            <w:vAlign w:val="center"/>
          </w:tcPr>
          <w:p w14:paraId="0A91A575" w14:textId="77777777" w:rsidR="00E87700" w:rsidRPr="000D7205" w:rsidRDefault="00E87700" w:rsidP="00DC16FB">
            <w:pPr>
              <w:jc w:val="center"/>
              <w:rPr>
                <w:rFonts w:ascii="Times New Roman" w:hAnsi="Times New Roman" w:cs="Times New Roman"/>
                <w:color w:val="000000" w:themeColor="text1"/>
                <w:sz w:val="22"/>
                <w:szCs w:val="22"/>
                <w:vertAlign w:val="superscript"/>
              </w:rPr>
            </w:pPr>
            <w:r w:rsidRPr="000D7205">
              <w:rPr>
                <w:rFonts w:ascii="Times New Roman" w:hAnsi="Times New Roman" w:cs="Times New Roman"/>
                <w:color w:val="000000" w:themeColor="text1"/>
                <w:sz w:val="22"/>
                <w:szCs w:val="22"/>
              </w:rPr>
              <w:t>7.77</w:t>
            </w:r>
            <w:r w:rsidRPr="000D7205">
              <w:rPr>
                <w:rFonts w:ascii="Times New Roman" w:hAnsi="Times New Roman" w:cs="Times New Roman"/>
                <w:b/>
                <w:i/>
                <w:color w:val="000000" w:themeColor="text1"/>
                <w:sz w:val="22"/>
                <w:szCs w:val="22"/>
                <w:vertAlign w:val="superscript"/>
              </w:rPr>
              <w:t>ns</w:t>
            </w:r>
          </w:p>
        </w:tc>
        <w:tc>
          <w:tcPr>
            <w:tcW w:w="258" w:type="pct"/>
            <w:tcBorders>
              <w:bottom w:val="single" w:sz="4" w:space="0" w:color="auto"/>
            </w:tcBorders>
            <w:vAlign w:val="center"/>
          </w:tcPr>
          <w:p w14:paraId="1085226B"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2</w:t>
            </w:r>
          </w:p>
        </w:tc>
      </w:tr>
    </w:tbl>
    <w:p w14:paraId="5A16DA5D" w14:textId="77777777" w:rsidR="00E87700" w:rsidRPr="000D7205" w:rsidRDefault="00E87700" w:rsidP="00E87700">
      <w:pPr>
        <w:jc w:val="both"/>
        <w:rPr>
          <w:color w:val="000000" w:themeColor="text1"/>
          <w:sz w:val="22"/>
          <w:szCs w:val="22"/>
        </w:rPr>
      </w:pPr>
      <w:r w:rsidRPr="000D7205">
        <w:rPr>
          <w:color w:val="000000" w:themeColor="text1"/>
          <w:sz w:val="22"/>
          <w:szCs w:val="22"/>
        </w:rPr>
        <w:t xml:space="preserve">Note: </w:t>
      </w:r>
      <w:r w:rsidRPr="000D7205">
        <w:rPr>
          <w:i/>
          <w:color w:val="000000" w:themeColor="text1"/>
          <w:sz w:val="22"/>
          <w:szCs w:val="22"/>
        </w:rPr>
        <w:t>ns</w:t>
      </w:r>
      <w:r w:rsidRPr="000D7205">
        <w:rPr>
          <w:color w:val="000000" w:themeColor="text1"/>
          <w:sz w:val="22"/>
          <w:szCs w:val="22"/>
        </w:rPr>
        <w:t xml:space="preserve"> = nonsignificant, </w:t>
      </w:r>
      <w:r w:rsidRPr="000D7205">
        <w:rPr>
          <w:i/>
          <w:color w:val="000000" w:themeColor="text1"/>
          <w:sz w:val="22"/>
          <w:szCs w:val="22"/>
        </w:rPr>
        <w:t>p</w:t>
      </w:r>
      <w:r w:rsidRPr="000D7205">
        <w:rPr>
          <w:color w:val="000000" w:themeColor="text1"/>
          <w:sz w:val="22"/>
          <w:szCs w:val="22"/>
        </w:rPr>
        <w:t>&lt;.01</w:t>
      </w:r>
    </w:p>
    <w:p w14:paraId="39C407EA" w14:textId="77777777" w:rsidR="00E87700" w:rsidRPr="000D7205" w:rsidRDefault="00E87700" w:rsidP="00E87700">
      <w:pPr>
        <w:jc w:val="both"/>
        <w:rPr>
          <w:color w:val="000000" w:themeColor="text1"/>
          <w:sz w:val="22"/>
          <w:szCs w:val="22"/>
        </w:rPr>
      </w:pPr>
    </w:p>
    <w:p w14:paraId="30706597" w14:textId="77777777" w:rsidR="00E87700" w:rsidRPr="000D7205" w:rsidRDefault="00E87700" w:rsidP="00E87700">
      <w:pPr>
        <w:pStyle w:val="Caption"/>
        <w:spacing w:after="120"/>
        <w:rPr>
          <w:b w:val="0"/>
          <w:color w:val="000000" w:themeColor="text1"/>
          <w:sz w:val="22"/>
          <w:szCs w:val="22"/>
        </w:rPr>
      </w:pPr>
      <w:bookmarkStart w:id="7" w:name="_Ref465513055"/>
      <w:r w:rsidRPr="000D7205">
        <w:rPr>
          <w:b w:val="0"/>
          <w:color w:val="000000" w:themeColor="text1"/>
          <w:sz w:val="22"/>
          <w:szCs w:val="22"/>
        </w:rPr>
        <w:t xml:space="preserve">Table </w:t>
      </w:r>
      <w:r w:rsidRPr="000D7205">
        <w:rPr>
          <w:b w:val="0"/>
          <w:color w:val="000000" w:themeColor="text1"/>
          <w:sz w:val="22"/>
          <w:szCs w:val="22"/>
        </w:rPr>
        <w:fldChar w:fldCharType="begin"/>
      </w:r>
      <w:r w:rsidRPr="000D7205">
        <w:rPr>
          <w:b w:val="0"/>
          <w:color w:val="000000" w:themeColor="text1"/>
          <w:sz w:val="22"/>
          <w:szCs w:val="22"/>
        </w:rPr>
        <w:instrText xml:space="preserve"> SEQ Table \* ARABIC </w:instrText>
      </w:r>
      <w:r w:rsidRPr="000D7205">
        <w:rPr>
          <w:b w:val="0"/>
          <w:color w:val="000000" w:themeColor="text1"/>
          <w:sz w:val="22"/>
          <w:szCs w:val="22"/>
        </w:rPr>
        <w:fldChar w:fldCharType="separate"/>
      </w:r>
      <w:r>
        <w:rPr>
          <w:b w:val="0"/>
          <w:noProof/>
          <w:color w:val="000000" w:themeColor="text1"/>
          <w:sz w:val="22"/>
          <w:szCs w:val="22"/>
        </w:rPr>
        <w:t>4</w:t>
      </w:r>
      <w:r w:rsidRPr="000D7205">
        <w:rPr>
          <w:b w:val="0"/>
          <w:color w:val="000000" w:themeColor="text1"/>
          <w:sz w:val="22"/>
          <w:szCs w:val="22"/>
        </w:rPr>
        <w:fldChar w:fldCharType="end"/>
      </w:r>
      <w:bookmarkEnd w:id="7"/>
      <w:r w:rsidRPr="000D7205">
        <w:rPr>
          <w:b w:val="0"/>
          <w:color w:val="000000" w:themeColor="text1"/>
          <w:sz w:val="22"/>
          <w:szCs w:val="22"/>
        </w:rPr>
        <w:t>. Descriptive statistics and bivariate correlations for ETS-TR and TSES</w:t>
      </w:r>
    </w:p>
    <w:tbl>
      <w:tblPr>
        <w:tblW w:w="5000" w:type="pct"/>
        <w:tblCellMar>
          <w:left w:w="0" w:type="dxa"/>
          <w:right w:w="0" w:type="dxa"/>
        </w:tblCellMar>
        <w:tblLook w:val="0000" w:firstRow="0" w:lastRow="0" w:firstColumn="0" w:lastColumn="0" w:noHBand="0" w:noVBand="0"/>
      </w:tblPr>
      <w:tblGrid>
        <w:gridCol w:w="6708"/>
        <w:gridCol w:w="913"/>
        <w:gridCol w:w="913"/>
        <w:gridCol w:w="913"/>
        <w:gridCol w:w="913"/>
        <w:gridCol w:w="913"/>
        <w:gridCol w:w="913"/>
        <w:gridCol w:w="913"/>
        <w:gridCol w:w="905"/>
      </w:tblGrid>
      <w:tr w:rsidR="00E87700" w:rsidRPr="000D7205" w14:paraId="57F22982" w14:textId="77777777" w:rsidTr="00DC16FB">
        <w:trPr>
          <w:cantSplit/>
        </w:trPr>
        <w:tc>
          <w:tcPr>
            <w:tcW w:w="2395" w:type="pct"/>
            <w:tcBorders>
              <w:top w:val="single" w:sz="4" w:space="0" w:color="auto"/>
              <w:bottom w:val="single" w:sz="4" w:space="0" w:color="auto"/>
            </w:tcBorders>
            <w:shd w:val="clear" w:color="auto" w:fill="FFFFFF"/>
            <w:vAlign w:val="center"/>
          </w:tcPr>
          <w:p w14:paraId="62F61391" w14:textId="77777777" w:rsidR="00E87700" w:rsidRPr="000D7205" w:rsidRDefault="00E87700" w:rsidP="00DC16FB">
            <w:pPr>
              <w:autoSpaceDE w:val="0"/>
              <w:autoSpaceDN w:val="0"/>
              <w:adjustRightInd w:val="0"/>
              <w:ind w:left="60" w:right="60"/>
              <w:jc w:val="center"/>
              <w:rPr>
                <w:color w:val="000000" w:themeColor="text1"/>
                <w:sz w:val="22"/>
                <w:szCs w:val="22"/>
              </w:rPr>
            </w:pPr>
          </w:p>
        </w:tc>
        <w:tc>
          <w:tcPr>
            <w:tcW w:w="326" w:type="pct"/>
            <w:tcBorders>
              <w:top w:val="single" w:sz="4" w:space="0" w:color="auto"/>
              <w:bottom w:val="single" w:sz="4" w:space="0" w:color="auto"/>
            </w:tcBorders>
            <w:shd w:val="clear" w:color="auto" w:fill="FFFFFF"/>
            <w:vAlign w:val="center"/>
          </w:tcPr>
          <w:p w14:paraId="155986FB" w14:textId="77777777" w:rsidR="00E87700" w:rsidRPr="000D7205" w:rsidRDefault="00E87700" w:rsidP="00DC16FB">
            <w:pPr>
              <w:autoSpaceDE w:val="0"/>
              <w:autoSpaceDN w:val="0"/>
              <w:adjustRightInd w:val="0"/>
              <w:ind w:left="60" w:right="60"/>
              <w:jc w:val="center"/>
              <w:rPr>
                <w:i/>
                <w:color w:val="000000" w:themeColor="text1"/>
                <w:sz w:val="22"/>
                <w:szCs w:val="22"/>
              </w:rPr>
            </w:pPr>
            <w:r w:rsidRPr="000D7205">
              <w:rPr>
                <w:i/>
                <w:color w:val="000000" w:themeColor="text1"/>
                <w:sz w:val="22"/>
                <w:szCs w:val="22"/>
              </w:rPr>
              <w:t>M</w:t>
            </w:r>
          </w:p>
        </w:tc>
        <w:tc>
          <w:tcPr>
            <w:tcW w:w="326" w:type="pct"/>
            <w:tcBorders>
              <w:top w:val="single" w:sz="4" w:space="0" w:color="auto"/>
              <w:bottom w:val="single" w:sz="4" w:space="0" w:color="auto"/>
            </w:tcBorders>
            <w:shd w:val="clear" w:color="auto" w:fill="FFFFFF"/>
            <w:vAlign w:val="center"/>
          </w:tcPr>
          <w:p w14:paraId="269C14D7" w14:textId="77777777" w:rsidR="00E87700" w:rsidRPr="000D7205" w:rsidRDefault="00E87700" w:rsidP="00DC16FB">
            <w:pPr>
              <w:autoSpaceDE w:val="0"/>
              <w:autoSpaceDN w:val="0"/>
              <w:adjustRightInd w:val="0"/>
              <w:ind w:left="60" w:right="60"/>
              <w:jc w:val="center"/>
              <w:rPr>
                <w:i/>
                <w:color w:val="000000" w:themeColor="text1"/>
                <w:sz w:val="22"/>
                <w:szCs w:val="22"/>
              </w:rPr>
            </w:pPr>
            <w:r w:rsidRPr="000D7205">
              <w:rPr>
                <w:i/>
                <w:color w:val="000000" w:themeColor="text1"/>
                <w:sz w:val="22"/>
                <w:szCs w:val="22"/>
              </w:rPr>
              <w:t>SD</w:t>
            </w:r>
          </w:p>
        </w:tc>
        <w:tc>
          <w:tcPr>
            <w:tcW w:w="326" w:type="pct"/>
            <w:tcBorders>
              <w:top w:val="single" w:sz="4" w:space="0" w:color="auto"/>
              <w:bottom w:val="single" w:sz="4" w:space="0" w:color="auto"/>
            </w:tcBorders>
            <w:shd w:val="clear" w:color="auto" w:fill="FFFFFF"/>
            <w:vAlign w:val="center"/>
          </w:tcPr>
          <w:p w14:paraId="4CD844C9" w14:textId="77777777" w:rsidR="00E87700" w:rsidRPr="000D7205" w:rsidRDefault="00E87700" w:rsidP="00DC16FB">
            <w:pPr>
              <w:autoSpaceDE w:val="0"/>
              <w:autoSpaceDN w:val="0"/>
              <w:adjustRightInd w:val="0"/>
              <w:ind w:left="60" w:right="60"/>
              <w:jc w:val="center"/>
              <w:rPr>
                <w:i/>
                <w:color w:val="000000" w:themeColor="text1"/>
                <w:sz w:val="22"/>
                <w:szCs w:val="22"/>
              </w:rPr>
            </w:pPr>
            <w:r w:rsidRPr="000D7205">
              <w:rPr>
                <w:i/>
                <w:color w:val="000000" w:themeColor="text1"/>
                <w:sz w:val="22"/>
                <w:szCs w:val="22"/>
              </w:rPr>
              <w:t>2</w:t>
            </w:r>
          </w:p>
        </w:tc>
        <w:tc>
          <w:tcPr>
            <w:tcW w:w="326" w:type="pct"/>
            <w:tcBorders>
              <w:top w:val="single" w:sz="4" w:space="0" w:color="auto"/>
              <w:bottom w:val="single" w:sz="4" w:space="0" w:color="auto"/>
            </w:tcBorders>
            <w:shd w:val="clear" w:color="auto" w:fill="FFFFFF"/>
            <w:vAlign w:val="center"/>
          </w:tcPr>
          <w:p w14:paraId="1FD3B434" w14:textId="77777777" w:rsidR="00E87700" w:rsidRPr="000D7205" w:rsidRDefault="00E87700" w:rsidP="00DC16FB">
            <w:pPr>
              <w:autoSpaceDE w:val="0"/>
              <w:autoSpaceDN w:val="0"/>
              <w:adjustRightInd w:val="0"/>
              <w:ind w:left="60" w:right="60"/>
              <w:jc w:val="center"/>
              <w:rPr>
                <w:i/>
                <w:color w:val="000000" w:themeColor="text1"/>
                <w:sz w:val="22"/>
                <w:szCs w:val="22"/>
              </w:rPr>
            </w:pPr>
            <w:r w:rsidRPr="000D7205">
              <w:rPr>
                <w:i/>
                <w:color w:val="000000" w:themeColor="text1"/>
                <w:sz w:val="22"/>
                <w:szCs w:val="22"/>
              </w:rPr>
              <w:t>3</w:t>
            </w:r>
          </w:p>
        </w:tc>
        <w:tc>
          <w:tcPr>
            <w:tcW w:w="326" w:type="pct"/>
            <w:tcBorders>
              <w:top w:val="single" w:sz="4" w:space="0" w:color="auto"/>
              <w:bottom w:val="single" w:sz="4" w:space="0" w:color="auto"/>
            </w:tcBorders>
            <w:shd w:val="clear" w:color="auto" w:fill="FFFFFF"/>
            <w:vAlign w:val="center"/>
          </w:tcPr>
          <w:p w14:paraId="17B4F8EC" w14:textId="77777777" w:rsidR="00E87700" w:rsidRPr="000D7205" w:rsidRDefault="00E87700" w:rsidP="00DC16FB">
            <w:pPr>
              <w:autoSpaceDE w:val="0"/>
              <w:autoSpaceDN w:val="0"/>
              <w:adjustRightInd w:val="0"/>
              <w:ind w:left="60" w:right="60"/>
              <w:jc w:val="center"/>
              <w:rPr>
                <w:i/>
                <w:color w:val="000000" w:themeColor="text1"/>
                <w:sz w:val="22"/>
                <w:szCs w:val="22"/>
              </w:rPr>
            </w:pPr>
            <w:r w:rsidRPr="000D7205">
              <w:rPr>
                <w:i/>
                <w:color w:val="000000" w:themeColor="text1"/>
                <w:sz w:val="22"/>
                <w:szCs w:val="22"/>
              </w:rPr>
              <w:t>4</w:t>
            </w:r>
          </w:p>
        </w:tc>
        <w:tc>
          <w:tcPr>
            <w:tcW w:w="326" w:type="pct"/>
            <w:tcBorders>
              <w:top w:val="single" w:sz="4" w:space="0" w:color="auto"/>
              <w:bottom w:val="single" w:sz="4" w:space="0" w:color="auto"/>
            </w:tcBorders>
            <w:shd w:val="clear" w:color="auto" w:fill="FFFFFF"/>
            <w:vAlign w:val="center"/>
          </w:tcPr>
          <w:p w14:paraId="14BE3AE5" w14:textId="77777777" w:rsidR="00E87700" w:rsidRPr="000D7205" w:rsidRDefault="00E87700" w:rsidP="00DC16FB">
            <w:pPr>
              <w:autoSpaceDE w:val="0"/>
              <w:autoSpaceDN w:val="0"/>
              <w:adjustRightInd w:val="0"/>
              <w:ind w:left="60" w:right="60"/>
              <w:jc w:val="center"/>
              <w:rPr>
                <w:i/>
                <w:color w:val="000000" w:themeColor="text1"/>
                <w:sz w:val="22"/>
                <w:szCs w:val="22"/>
              </w:rPr>
            </w:pPr>
            <w:r w:rsidRPr="000D7205">
              <w:rPr>
                <w:i/>
                <w:color w:val="000000" w:themeColor="text1"/>
                <w:sz w:val="22"/>
                <w:szCs w:val="22"/>
              </w:rPr>
              <w:t>5</w:t>
            </w:r>
          </w:p>
        </w:tc>
        <w:tc>
          <w:tcPr>
            <w:tcW w:w="326" w:type="pct"/>
            <w:tcBorders>
              <w:top w:val="single" w:sz="4" w:space="0" w:color="auto"/>
              <w:bottom w:val="single" w:sz="4" w:space="0" w:color="auto"/>
            </w:tcBorders>
            <w:shd w:val="clear" w:color="auto" w:fill="FFFFFF"/>
            <w:vAlign w:val="center"/>
          </w:tcPr>
          <w:p w14:paraId="60E62FC4" w14:textId="77777777" w:rsidR="00E87700" w:rsidRPr="000D7205" w:rsidRDefault="00E87700" w:rsidP="00DC16FB">
            <w:pPr>
              <w:autoSpaceDE w:val="0"/>
              <w:autoSpaceDN w:val="0"/>
              <w:adjustRightInd w:val="0"/>
              <w:ind w:left="60" w:right="60"/>
              <w:jc w:val="center"/>
              <w:rPr>
                <w:i/>
                <w:color w:val="000000" w:themeColor="text1"/>
                <w:sz w:val="22"/>
                <w:szCs w:val="22"/>
              </w:rPr>
            </w:pPr>
            <w:r w:rsidRPr="000D7205">
              <w:rPr>
                <w:i/>
                <w:color w:val="000000" w:themeColor="text1"/>
                <w:sz w:val="22"/>
                <w:szCs w:val="22"/>
              </w:rPr>
              <w:t>6</w:t>
            </w:r>
          </w:p>
        </w:tc>
        <w:tc>
          <w:tcPr>
            <w:tcW w:w="326" w:type="pct"/>
            <w:tcBorders>
              <w:top w:val="single" w:sz="4" w:space="0" w:color="auto"/>
              <w:bottom w:val="single" w:sz="4" w:space="0" w:color="auto"/>
            </w:tcBorders>
            <w:shd w:val="clear" w:color="auto" w:fill="FFFFFF"/>
            <w:vAlign w:val="center"/>
          </w:tcPr>
          <w:p w14:paraId="79C36477" w14:textId="77777777" w:rsidR="00E87700" w:rsidRPr="000D7205" w:rsidRDefault="00E87700" w:rsidP="00DC16FB">
            <w:pPr>
              <w:autoSpaceDE w:val="0"/>
              <w:autoSpaceDN w:val="0"/>
              <w:adjustRightInd w:val="0"/>
              <w:ind w:left="60" w:right="60"/>
              <w:jc w:val="center"/>
              <w:rPr>
                <w:i/>
                <w:color w:val="000000" w:themeColor="text1"/>
                <w:sz w:val="22"/>
                <w:szCs w:val="22"/>
              </w:rPr>
            </w:pPr>
            <w:r w:rsidRPr="000D7205">
              <w:rPr>
                <w:i/>
                <w:color w:val="000000" w:themeColor="text1"/>
                <w:sz w:val="22"/>
                <w:szCs w:val="22"/>
              </w:rPr>
              <w:t>7</w:t>
            </w:r>
          </w:p>
        </w:tc>
      </w:tr>
      <w:tr w:rsidR="00E87700" w:rsidRPr="000D7205" w14:paraId="35F61D1A" w14:textId="77777777" w:rsidTr="00DC16FB">
        <w:trPr>
          <w:cantSplit/>
        </w:trPr>
        <w:tc>
          <w:tcPr>
            <w:tcW w:w="2395" w:type="pct"/>
            <w:tcBorders>
              <w:top w:val="single" w:sz="4" w:space="0" w:color="auto"/>
            </w:tcBorders>
            <w:shd w:val="clear" w:color="auto" w:fill="FFFFFF"/>
            <w:vAlign w:val="center"/>
          </w:tcPr>
          <w:p w14:paraId="002F38DF" w14:textId="77777777" w:rsidR="00E87700" w:rsidRPr="000D7205" w:rsidRDefault="00E87700" w:rsidP="00E87700">
            <w:pPr>
              <w:pStyle w:val="ListParagraph"/>
              <w:numPr>
                <w:ilvl w:val="0"/>
                <w:numId w:val="33"/>
              </w:numPr>
              <w:autoSpaceDE w:val="0"/>
              <w:autoSpaceDN w:val="0"/>
              <w:adjustRightInd w:val="0"/>
              <w:spacing w:after="0" w:line="240" w:lineRule="auto"/>
              <w:ind w:right="60"/>
              <w:rPr>
                <w:rFonts w:ascii="Times New Roman" w:hAnsi="Times New Roman" w:cs="Times New Roman"/>
                <w:color w:val="000000" w:themeColor="text1"/>
              </w:rPr>
            </w:pPr>
            <w:r w:rsidRPr="000D7205">
              <w:rPr>
                <w:rFonts w:ascii="Times New Roman" w:hAnsi="Times New Roman" w:cs="Times New Roman"/>
                <w:color w:val="000000" w:themeColor="text1"/>
              </w:rPr>
              <w:t>Emotional Engagement</w:t>
            </w:r>
          </w:p>
        </w:tc>
        <w:tc>
          <w:tcPr>
            <w:tcW w:w="326" w:type="pct"/>
            <w:tcBorders>
              <w:top w:val="single" w:sz="4" w:space="0" w:color="auto"/>
            </w:tcBorders>
            <w:shd w:val="clear" w:color="auto" w:fill="FFFFFF"/>
            <w:vAlign w:val="center"/>
          </w:tcPr>
          <w:p w14:paraId="2EA571EB"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5.00</w:t>
            </w:r>
          </w:p>
        </w:tc>
        <w:tc>
          <w:tcPr>
            <w:tcW w:w="326" w:type="pct"/>
            <w:tcBorders>
              <w:top w:val="single" w:sz="4" w:space="0" w:color="auto"/>
            </w:tcBorders>
            <w:shd w:val="clear" w:color="auto" w:fill="FFFFFF"/>
            <w:vAlign w:val="center"/>
          </w:tcPr>
          <w:p w14:paraId="1C1012FA"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.80</w:t>
            </w:r>
          </w:p>
        </w:tc>
        <w:tc>
          <w:tcPr>
            <w:tcW w:w="326" w:type="pct"/>
            <w:tcBorders>
              <w:top w:val="single" w:sz="4" w:space="0" w:color="auto"/>
            </w:tcBorders>
            <w:shd w:val="clear" w:color="auto" w:fill="FFFFFF"/>
            <w:vAlign w:val="center"/>
          </w:tcPr>
          <w:p w14:paraId="2FB4B113"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.22*</w:t>
            </w:r>
          </w:p>
        </w:tc>
        <w:tc>
          <w:tcPr>
            <w:tcW w:w="326" w:type="pct"/>
            <w:tcBorders>
              <w:top w:val="single" w:sz="4" w:space="0" w:color="auto"/>
            </w:tcBorders>
            <w:shd w:val="clear" w:color="auto" w:fill="FFFFFF"/>
            <w:vAlign w:val="center"/>
          </w:tcPr>
          <w:p w14:paraId="41F9FED8"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.44*</w:t>
            </w:r>
          </w:p>
        </w:tc>
        <w:tc>
          <w:tcPr>
            <w:tcW w:w="326" w:type="pct"/>
            <w:tcBorders>
              <w:top w:val="single" w:sz="4" w:space="0" w:color="auto"/>
            </w:tcBorders>
            <w:shd w:val="clear" w:color="auto" w:fill="FFFFFF"/>
            <w:vAlign w:val="center"/>
          </w:tcPr>
          <w:p w14:paraId="2EB26F40"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.36*</w:t>
            </w:r>
          </w:p>
        </w:tc>
        <w:tc>
          <w:tcPr>
            <w:tcW w:w="326" w:type="pct"/>
            <w:tcBorders>
              <w:top w:val="single" w:sz="4" w:space="0" w:color="auto"/>
            </w:tcBorders>
            <w:shd w:val="clear" w:color="auto" w:fill="FFFFFF"/>
            <w:vAlign w:val="center"/>
          </w:tcPr>
          <w:p w14:paraId="0E62A85E"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.27*</w:t>
            </w:r>
          </w:p>
        </w:tc>
        <w:tc>
          <w:tcPr>
            <w:tcW w:w="326" w:type="pct"/>
            <w:tcBorders>
              <w:top w:val="single" w:sz="4" w:space="0" w:color="auto"/>
            </w:tcBorders>
            <w:shd w:val="clear" w:color="auto" w:fill="FFFFFF"/>
            <w:vAlign w:val="center"/>
          </w:tcPr>
          <w:p w14:paraId="79E1E7E0"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.30*</w:t>
            </w:r>
          </w:p>
        </w:tc>
        <w:tc>
          <w:tcPr>
            <w:tcW w:w="326" w:type="pct"/>
            <w:tcBorders>
              <w:top w:val="single" w:sz="4" w:space="0" w:color="auto"/>
            </w:tcBorders>
            <w:shd w:val="clear" w:color="auto" w:fill="FFFFFF"/>
            <w:vAlign w:val="center"/>
          </w:tcPr>
          <w:p w14:paraId="6A897263"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.27*</w:t>
            </w:r>
          </w:p>
        </w:tc>
      </w:tr>
      <w:tr w:rsidR="00E87700" w:rsidRPr="000D7205" w14:paraId="6A35B699" w14:textId="77777777" w:rsidTr="00DC16FB">
        <w:trPr>
          <w:cantSplit/>
        </w:trPr>
        <w:tc>
          <w:tcPr>
            <w:tcW w:w="2395" w:type="pct"/>
            <w:shd w:val="clear" w:color="auto" w:fill="FFFFFF"/>
            <w:vAlign w:val="center"/>
          </w:tcPr>
          <w:p w14:paraId="3DC73FD1" w14:textId="77777777" w:rsidR="00E87700" w:rsidRPr="000D7205" w:rsidRDefault="00E87700" w:rsidP="00E87700">
            <w:pPr>
              <w:pStyle w:val="ListParagraph"/>
              <w:numPr>
                <w:ilvl w:val="0"/>
                <w:numId w:val="33"/>
              </w:numPr>
              <w:autoSpaceDE w:val="0"/>
              <w:autoSpaceDN w:val="0"/>
              <w:adjustRightInd w:val="0"/>
              <w:spacing w:after="0" w:line="240" w:lineRule="auto"/>
              <w:ind w:right="60"/>
              <w:rPr>
                <w:rFonts w:ascii="Times New Roman" w:hAnsi="Times New Roman" w:cs="Times New Roman"/>
                <w:color w:val="000000" w:themeColor="text1"/>
              </w:rPr>
            </w:pPr>
            <w:r w:rsidRPr="000D7205">
              <w:rPr>
                <w:rFonts w:ascii="Times New Roman" w:hAnsi="Times New Roman" w:cs="Times New Roman"/>
                <w:color w:val="000000" w:themeColor="text1"/>
              </w:rPr>
              <w:t>Social Engagement: Colleagues</w:t>
            </w:r>
          </w:p>
        </w:tc>
        <w:tc>
          <w:tcPr>
            <w:tcW w:w="326" w:type="pct"/>
            <w:shd w:val="clear" w:color="auto" w:fill="FFFFFF"/>
            <w:vAlign w:val="center"/>
          </w:tcPr>
          <w:p w14:paraId="1FE818CF"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5.00</w:t>
            </w:r>
          </w:p>
        </w:tc>
        <w:tc>
          <w:tcPr>
            <w:tcW w:w="326" w:type="pct"/>
            <w:shd w:val="clear" w:color="auto" w:fill="FFFFFF"/>
            <w:vAlign w:val="center"/>
          </w:tcPr>
          <w:p w14:paraId="260C758C"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.88</w:t>
            </w:r>
          </w:p>
        </w:tc>
        <w:tc>
          <w:tcPr>
            <w:tcW w:w="326" w:type="pct"/>
            <w:shd w:val="clear" w:color="auto" w:fill="FFFFFF"/>
            <w:vAlign w:val="center"/>
          </w:tcPr>
          <w:p w14:paraId="4706461D" w14:textId="77777777" w:rsidR="00E87700" w:rsidRPr="000D7205" w:rsidRDefault="00E87700" w:rsidP="00DC16FB">
            <w:pPr>
              <w:autoSpaceDE w:val="0"/>
              <w:autoSpaceDN w:val="0"/>
              <w:adjustRightInd w:val="0"/>
              <w:ind w:left="60" w:right="60"/>
              <w:jc w:val="center"/>
              <w:rPr>
                <w:color w:val="000000" w:themeColor="text1"/>
                <w:sz w:val="22"/>
                <w:szCs w:val="22"/>
              </w:rPr>
            </w:pPr>
          </w:p>
        </w:tc>
        <w:tc>
          <w:tcPr>
            <w:tcW w:w="326" w:type="pct"/>
            <w:shd w:val="clear" w:color="auto" w:fill="FFFFFF"/>
            <w:vAlign w:val="center"/>
          </w:tcPr>
          <w:p w14:paraId="56BCA099"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.35*</w:t>
            </w:r>
          </w:p>
        </w:tc>
        <w:tc>
          <w:tcPr>
            <w:tcW w:w="326" w:type="pct"/>
            <w:shd w:val="clear" w:color="auto" w:fill="FFFFFF"/>
            <w:vAlign w:val="center"/>
          </w:tcPr>
          <w:p w14:paraId="1D69F429"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.32*</w:t>
            </w:r>
          </w:p>
        </w:tc>
        <w:tc>
          <w:tcPr>
            <w:tcW w:w="326" w:type="pct"/>
            <w:shd w:val="clear" w:color="auto" w:fill="FFFFFF"/>
            <w:vAlign w:val="center"/>
          </w:tcPr>
          <w:p w14:paraId="04C895ED"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.32*</w:t>
            </w:r>
          </w:p>
        </w:tc>
        <w:tc>
          <w:tcPr>
            <w:tcW w:w="326" w:type="pct"/>
            <w:shd w:val="clear" w:color="auto" w:fill="FFFFFF"/>
            <w:vAlign w:val="center"/>
          </w:tcPr>
          <w:p w14:paraId="1E2C4E16"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.31*</w:t>
            </w:r>
          </w:p>
        </w:tc>
        <w:tc>
          <w:tcPr>
            <w:tcW w:w="326" w:type="pct"/>
            <w:shd w:val="clear" w:color="auto" w:fill="FFFFFF"/>
            <w:vAlign w:val="center"/>
          </w:tcPr>
          <w:p w14:paraId="24BC632F"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.28*</w:t>
            </w:r>
          </w:p>
        </w:tc>
      </w:tr>
      <w:tr w:rsidR="00E87700" w:rsidRPr="000D7205" w14:paraId="238676C2" w14:textId="77777777" w:rsidTr="00DC16FB">
        <w:trPr>
          <w:cantSplit/>
        </w:trPr>
        <w:tc>
          <w:tcPr>
            <w:tcW w:w="2395" w:type="pct"/>
            <w:shd w:val="clear" w:color="auto" w:fill="FFFFFF"/>
            <w:vAlign w:val="center"/>
          </w:tcPr>
          <w:p w14:paraId="29AAF216" w14:textId="77777777" w:rsidR="00E87700" w:rsidRPr="000D7205" w:rsidRDefault="00E87700" w:rsidP="00E87700">
            <w:pPr>
              <w:pStyle w:val="ListParagraph"/>
              <w:numPr>
                <w:ilvl w:val="0"/>
                <w:numId w:val="33"/>
              </w:numPr>
              <w:autoSpaceDE w:val="0"/>
              <w:autoSpaceDN w:val="0"/>
              <w:adjustRightInd w:val="0"/>
              <w:spacing w:after="0" w:line="240" w:lineRule="auto"/>
              <w:ind w:right="60"/>
              <w:rPr>
                <w:rFonts w:ascii="Times New Roman" w:hAnsi="Times New Roman" w:cs="Times New Roman"/>
                <w:color w:val="000000" w:themeColor="text1"/>
              </w:rPr>
            </w:pPr>
            <w:r w:rsidRPr="000D7205">
              <w:rPr>
                <w:rFonts w:ascii="Times New Roman" w:hAnsi="Times New Roman" w:cs="Times New Roman"/>
                <w:color w:val="000000" w:themeColor="text1"/>
              </w:rPr>
              <w:t>Cognitive Engagement</w:t>
            </w:r>
          </w:p>
        </w:tc>
        <w:tc>
          <w:tcPr>
            <w:tcW w:w="326" w:type="pct"/>
            <w:shd w:val="clear" w:color="auto" w:fill="FFFFFF"/>
            <w:vAlign w:val="center"/>
          </w:tcPr>
          <w:p w14:paraId="1E15FC0D"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5.19</w:t>
            </w:r>
          </w:p>
        </w:tc>
        <w:tc>
          <w:tcPr>
            <w:tcW w:w="326" w:type="pct"/>
            <w:shd w:val="clear" w:color="auto" w:fill="FFFFFF"/>
            <w:vAlign w:val="center"/>
          </w:tcPr>
          <w:p w14:paraId="4C735231"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.63</w:t>
            </w:r>
          </w:p>
        </w:tc>
        <w:tc>
          <w:tcPr>
            <w:tcW w:w="326" w:type="pct"/>
            <w:shd w:val="clear" w:color="auto" w:fill="FFFFFF"/>
            <w:vAlign w:val="center"/>
          </w:tcPr>
          <w:p w14:paraId="7F2508F9" w14:textId="77777777" w:rsidR="00E87700" w:rsidRPr="000D7205" w:rsidRDefault="00E87700" w:rsidP="00DC16FB">
            <w:pPr>
              <w:autoSpaceDE w:val="0"/>
              <w:autoSpaceDN w:val="0"/>
              <w:adjustRightInd w:val="0"/>
              <w:ind w:left="60" w:right="60"/>
              <w:jc w:val="center"/>
              <w:rPr>
                <w:color w:val="000000" w:themeColor="text1"/>
                <w:sz w:val="22"/>
                <w:szCs w:val="22"/>
              </w:rPr>
            </w:pPr>
          </w:p>
        </w:tc>
        <w:tc>
          <w:tcPr>
            <w:tcW w:w="326" w:type="pct"/>
            <w:shd w:val="clear" w:color="auto" w:fill="FFFFFF"/>
            <w:vAlign w:val="center"/>
          </w:tcPr>
          <w:p w14:paraId="4AD63D3B" w14:textId="77777777" w:rsidR="00E87700" w:rsidRPr="000D7205" w:rsidRDefault="00E87700" w:rsidP="00DC16FB">
            <w:pPr>
              <w:autoSpaceDE w:val="0"/>
              <w:autoSpaceDN w:val="0"/>
              <w:adjustRightInd w:val="0"/>
              <w:ind w:left="60" w:right="60"/>
              <w:jc w:val="center"/>
              <w:rPr>
                <w:color w:val="000000" w:themeColor="text1"/>
                <w:sz w:val="22"/>
                <w:szCs w:val="22"/>
              </w:rPr>
            </w:pPr>
          </w:p>
        </w:tc>
        <w:tc>
          <w:tcPr>
            <w:tcW w:w="326" w:type="pct"/>
            <w:shd w:val="clear" w:color="auto" w:fill="FFFFFF"/>
            <w:vAlign w:val="center"/>
          </w:tcPr>
          <w:p w14:paraId="17F7D52E"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.43*</w:t>
            </w:r>
          </w:p>
        </w:tc>
        <w:tc>
          <w:tcPr>
            <w:tcW w:w="326" w:type="pct"/>
            <w:shd w:val="clear" w:color="auto" w:fill="FFFFFF"/>
            <w:vAlign w:val="center"/>
          </w:tcPr>
          <w:p w14:paraId="19BA09E6"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.42*</w:t>
            </w:r>
          </w:p>
        </w:tc>
        <w:tc>
          <w:tcPr>
            <w:tcW w:w="326" w:type="pct"/>
            <w:shd w:val="clear" w:color="auto" w:fill="FFFFFF"/>
            <w:vAlign w:val="center"/>
          </w:tcPr>
          <w:p w14:paraId="111A7B46"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.37*</w:t>
            </w:r>
          </w:p>
        </w:tc>
        <w:tc>
          <w:tcPr>
            <w:tcW w:w="326" w:type="pct"/>
            <w:shd w:val="clear" w:color="auto" w:fill="FFFFFF"/>
            <w:vAlign w:val="center"/>
          </w:tcPr>
          <w:p w14:paraId="3FF7E12E"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.54*</w:t>
            </w:r>
          </w:p>
        </w:tc>
      </w:tr>
      <w:tr w:rsidR="00E87700" w:rsidRPr="000D7205" w14:paraId="3B043B46" w14:textId="77777777" w:rsidTr="00DC16FB">
        <w:trPr>
          <w:cantSplit/>
        </w:trPr>
        <w:tc>
          <w:tcPr>
            <w:tcW w:w="2395" w:type="pct"/>
            <w:shd w:val="clear" w:color="auto" w:fill="FFFFFF"/>
            <w:vAlign w:val="center"/>
          </w:tcPr>
          <w:p w14:paraId="7886AA2B" w14:textId="77777777" w:rsidR="00E87700" w:rsidRPr="000D7205" w:rsidRDefault="00E87700" w:rsidP="00E87700">
            <w:pPr>
              <w:pStyle w:val="ListParagraph"/>
              <w:numPr>
                <w:ilvl w:val="0"/>
                <w:numId w:val="33"/>
              </w:numPr>
              <w:autoSpaceDE w:val="0"/>
              <w:autoSpaceDN w:val="0"/>
              <w:adjustRightInd w:val="0"/>
              <w:spacing w:after="0" w:line="240" w:lineRule="auto"/>
              <w:ind w:right="60"/>
              <w:rPr>
                <w:rFonts w:ascii="Times New Roman" w:hAnsi="Times New Roman" w:cs="Times New Roman"/>
                <w:color w:val="000000" w:themeColor="text1"/>
              </w:rPr>
            </w:pPr>
            <w:r w:rsidRPr="000D7205">
              <w:rPr>
                <w:rFonts w:ascii="Times New Roman" w:hAnsi="Times New Roman" w:cs="Times New Roman"/>
                <w:color w:val="000000" w:themeColor="text1"/>
              </w:rPr>
              <w:t>Social Engagement: Students</w:t>
            </w:r>
          </w:p>
        </w:tc>
        <w:tc>
          <w:tcPr>
            <w:tcW w:w="326" w:type="pct"/>
            <w:shd w:val="clear" w:color="auto" w:fill="FFFFFF"/>
            <w:vAlign w:val="center"/>
          </w:tcPr>
          <w:p w14:paraId="613B2E94"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5.10</w:t>
            </w:r>
          </w:p>
        </w:tc>
        <w:tc>
          <w:tcPr>
            <w:tcW w:w="326" w:type="pct"/>
            <w:shd w:val="clear" w:color="auto" w:fill="FFFFFF"/>
            <w:vAlign w:val="center"/>
          </w:tcPr>
          <w:p w14:paraId="3676C074"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.65</w:t>
            </w:r>
          </w:p>
        </w:tc>
        <w:tc>
          <w:tcPr>
            <w:tcW w:w="326" w:type="pct"/>
            <w:shd w:val="clear" w:color="auto" w:fill="FFFFFF"/>
            <w:vAlign w:val="center"/>
          </w:tcPr>
          <w:p w14:paraId="04C1F012" w14:textId="77777777" w:rsidR="00E87700" w:rsidRPr="000D7205" w:rsidRDefault="00E87700" w:rsidP="00DC16FB">
            <w:pPr>
              <w:autoSpaceDE w:val="0"/>
              <w:autoSpaceDN w:val="0"/>
              <w:adjustRightInd w:val="0"/>
              <w:ind w:left="60" w:right="60"/>
              <w:jc w:val="center"/>
              <w:rPr>
                <w:color w:val="000000" w:themeColor="text1"/>
                <w:sz w:val="22"/>
                <w:szCs w:val="22"/>
              </w:rPr>
            </w:pPr>
          </w:p>
        </w:tc>
        <w:tc>
          <w:tcPr>
            <w:tcW w:w="326" w:type="pct"/>
            <w:shd w:val="clear" w:color="auto" w:fill="FFFFFF"/>
            <w:vAlign w:val="center"/>
          </w:tcPr>
          <w:p w14:paraId="1F23926C" w14:textId="77777777" w:rsidR="00E87700" w:rsidRPr="000D7205" w:rsidRDefault="00E87700" w:rsidP="00DC16FB">
            <w:pPr>
              <w:autoSpaceDE w:val="0"/>
              <w:autoSpaceDN w:val="0"/>
              <w:adjustRightInd w:val="0"/>
              <w:ind w:left="60" w:right="60"/>
              <w:jc w:val="center"/>
              <w:rPr>
                <w:color w:val="000000" w:themeColor="text1"/>
                <w:sz w:val="22"/>
                <w:szCs w:val="22"/>
              </w:rPr>
            </w:pPr>
          </w:p>
        </w:tc>
        <w:tc>
          <w:tcPr>
            <w:tcW w:w="326" w:type="pct"/>
            <w:shd w:val="clear" w:color="auto" w:fill="FFFFFF"/>
            <w:vAlign w:val="center"/>
          </w:tcPr>
          <w:p w14:paraId="32B4EF55" w14:textId="77777777" w:rsidR="00E87700" w:rsidRPr="000D7205" w:rsidRDefault="00E87700" w:rsidP="00DC16FB">
            <w:pPr>
              <w:autoSpaceDE w:val="0"/>
              <w:autoSpaceDN w:val="0"/>
              <w:adjustRightInd w:val="0"/>
              <w:ind w:left="60" w:right="60"/>
              <w:jc w:val="center"/>
              <w:rPr>
                <w:color w:val="000000" w:themeColor="text1"/>
                <w:sz w:val="22"/>
                <w:szCs w:val="22"/>
              </w:rPr>
            </w:pPr>
          </w:p>
        </w:tc>
        <w:tc>
          <w:tcPr>
            <w:tcW w:w="326" w:type="pct"/>
            <w:shd w:val="clear" w:color="auto" w:fill="FFFFFF"/>
            <w:vAlign w:val="center"/>
          </w:tcPr>
          <w:p w14:paraId="624E6F43"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.49*</w:t>
            </w:r>
          </w:p>
        </w:tc>
        <w:tc>
          <w:tcPr>
            <w:tcW w:w="326" w:type="pct"/>
            <w:shd w:val="clear" w:color="auto" w:fill="FFFFFF"/>
            <w:vAlign w:val="center"/>
          </w:tcPr>
          <w:p w14:paraId="760F3FF1"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.42*</w:t>
            </w:r>
          </w:p>
        </w:tc>
        <w:tc>
          <w:tcPr>
            <w:tcW w:w="326" w:type="pct"/>
            <w:shd w:val="clear" w:color="auto" w:fill="FFFFFF"/>
            <w:vAlign w:val="center"/>
          </w:tcPr>
          <w:p w14:paraId="42150240"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.40*</w:t>
            </w:r>
          </w:p>
        </w:tc>
      </w:tr>
      <w:tr w:rsidR="00E87700" w:rsidRPr="000D7205" w14:paraId="203AE599" w14:textId="77777777" w:rsidTr="00DC16FB">
        <w:trPr>
          <w:cantSplit/>
        </w:trPr>
        <w:tc>
          <w:tcPr>
            <w:tcW w:w="2395" w:type="pct"/>
            <w:shd w:val="clear" w:color="auto" w:fill="FFFFFF"/>
            <w:vAlign w:val="center"/>
          </w:tcPr>
          <w:p w14:paraId="2C62C718" w14:textId="77777777" w:rsidR="00E87700" w:rsidRPr="000D7205" w:rsidRDefault="00E87700" w:rsidP="00E87700">
            <w:pPr>
              <w:pStyle w:val="ListParagraph"/>
              <w:numPr>
                <w:ilvl w:val="0"/>
                <w:numId w:val="33"/>
              </w:numPr>
              <w:spacing w:after="0" w:line="240" w:lineRule="auto"/>
              <w:rPr>
                <w:rFonts w:ascii="Times New Roman" w:hAnsi="Times New Roman" w:cs="Times New Roman"/>
                <w:color w:val="000000" w:themeColor="text1"/>
              </w:rPr>
            </w:pPr>
            <w:r w:rsidRPr="000D7205">
              <w:rPr>
                <w:rFonts w:ascii="Times New Roman" w:hAnsi="Times New Roman" w:cs="Times New Roman"/>
                <w:color w:val="000000" w:themeColor="text1"/>
              </w:rPr>
              <w:t>Efficacy for Student Engagement</w:t>
            </w:r>
          </w:p>
        </w:tc>
        <w:tc>
          <w:tcPr>
            <w:tcW w:w="326" w:type="pct"/>
            <w:shd w:val="clear" w:color="auto" w:fill="FFFFFF"/>
            <w:vAlign w:val="center"/>
          </w:tcPr>
          <w:p w14:paraId="647CB550"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6.71</w:t>
            </w:r>
          </w:p>
        </w:tc>
        <w:tc>
          <w:tcPr>
            <w:tcW w:w="326" w:type="pct"/>
            <w:shd w:val="clear" w:color="auto" w:fill="FFFFFF"/>
            <w:vAlign w:val="center"/>
          </w:tcPr>
          <w:p w14:paraId="1F44B6D9"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1.00</w:t>
            </w:r>
          </w:p>
        </w:tc>
        <w:tc>
          <w:tcPr>
            <w:tcW w:w="326" w:type="pct"/>
            <w:shd w:val="clear" w:color="auto" w:fill="FFFFFF"/>
            <w:vAlign w:val="center"/>
          </w:tcPr>
          <w:p w14:paraId="2A27752E" w14:textId="77777777" w:rsidR="00E87700" w:rsidRPr="000D7205" w:rsidRDefault="00E87700" w:rsidP="00DC16FB">
            <w:pPr>
              <w:autoSpaceDE w:val="0"/>
              <w:autoSpaceDN w:val="0"/>
              <w:adjustRightInd w:val="0"/>
              <w:ind w:left="60" w:right="60"/>
              <w:jc w:val="center"/>
              <w:rPr>
                <w:color w:val="000000" w:themeColor="text1"/>
                <w:sz w:val="22"/>
                <w:szCs w:val="22"/>
              </w:rPr>
            </w:pPr>
          </w:p>
        </w:tc>
        <w:tc>
          <w:tcPr>
            <w:tcW w:w="326" w:type="pct"/>
            <w:shd w:val="clear" w:color="auto" w:fill="FFFFFF"/>
            <w:vAlign w:val="center"/>
          </w:tcPr>
          <w:p w14:paraId="46C73117" w14:textId="77777777" w:rsidR="00E87700" w:rsidRPr="000D7205" w:rsidRDefault="00E87700" w:rsidP="00DC16FB">
            <w:pPr>
              <w:autoSpaceDE w:val="0"/>
              <w:autoSpaceDN w:val="0"/>
              <w:adjustRightInd w:val="0"/>
              <w:ind w:left="60" w:right="60"/>
              <w:jc w:val="center"/>
              <w:rPr>
                <w:color w:val="000000" w:themeColor="text1"/>
                <w:sz w:val="22"/>
                <w:szCs w:val="22"/>
              </w:rPr>
            </w:pPr>
          </w:p>
        </w:tc>
        <w:tc>
          <w:tcPr>
            <w:tcW w:w="326" w:type="pct"/>
            <w:shd w:val="clear" w:color="auto" w:fill="FFFFFF"/>
            <w:vAlign w:val="center"/>
          </w:tcPr>
          <w:p w14:paraId="62B30EDA" w14:textId="77777777" w:rsidR="00E87700" w:rsidRPr="000D7205" w:rsidRDefault="00E87700" w:rsidP="00DC16FB">
            <w:pPr>
              <w:autoSpaceDE w:val="0"/>
              <w:autoSpaceDN w:val="0"/>
              <w:adjustRightInd w:val="0"/>
              <w:ind w:left="60" w:right="60"/>
              <w:jc w:val="center"/>
              <w:rPr>
                <w:color w:val="000000" w:themeColor="text1"/>
                <w:sz w:val="22"/>
                <w:szCs w:val="22"/>
              </w:rPr>
            </w:pPr>
          </w:p>
        </w:tc>
        <w:tc>
          <w:tcPr>
            <w:tcW w:w="326" w:type="pct"/>
            <w:shd w:val="clear" w:color="auto" w:fill="FFFFFF"/>
            <w:vAlign w:val="center"/>
          </w:tcPr>
          <w:p w14:paraId="0A4DB6B0" w14:textId="77777777" w:rsidR="00E87700" w:rsidRPr="000D7205" w:rsidRDefault="00E87700" w:rsidP="00DC16FB">
            <w:pPr>
              <w:autoSpaceDE w:val="0"/>
              <w:autoSpaceDN w:val="0"/>
              <w:adjustRightInd w:val="0"/>
              <w:ind w:left="60" w:right="60"/>
              <w:jc w:val="center"/>
              <w:rPr>
                <w:color w:val="000000" w:themeColor="text1"/>
                <w:sz w:val="22"/>
                <w:szCs w:val="22"/>
              </w:rPr>
            </w:pPr>
          </w:p>
        </w:tc>
        <w:tc>
          <w:tcPr>
            <w:tcW w:w="326" w:type="pct"/>
            <w:shd w:val="clear" w:color="auto" w:fill="FFFFFF"/>
            <w:vAlign w:val="center"/>
          </w:tcPr>
          <w:p w14:paraId="62662A38"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.64*</w:t>
            </w:r>
          </w:p>
        </w:tc>
        <w:tc>
          <w:tcPr>
            <w:tcW w:w="326" w:type="pct"/>
            <w:shd w:val="clear" w:color="auto" w:fill="FFFFFF"/>
            <w:vAlign w:val="center"/>
          </w:tcPr>
          <w:p w14:paraId="046E8D99"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.70*</w:t>
            </w:r>
          </w:p>
        </w:tc>
      </w:tr>
      <w:tr w:rsidR="00E87700" w:rsidRPr="000D7205" w14:paraId="2A213D08" w14:textId="77777777" w:rsidTr="00DC16FB">
        <w:trPr>
          <w:cantSplit/>
        </w:trPr>
        <w:tc>
          <w:tcPr>
            <w:tcW w:w="2395" w:type="pct"/>
            <w:shd w:val="clear" w:color="auto" w:fill="FFFFFF"/>
            <w:vAlign w:val="center"/>
          </w:tcPr>
          <w:p w14:paraId="0E86EF35" w14:textId="77777777" w:rsidR="00E87700" w:rsidRPr="000D7205" w:rsidRDefault="00E87700" w:rsidP="00E87700">
            <w:pPr>
              <w:pStyle w:val="ListParagraph"/>
              <w:numPr>
                <w:ilvl w:val="0"/>
                <w:numId w:val="33"/>
              </w:numPr>
              <w:autoSpaceDE w:val="0"/>
              <w:autoSpaceDN w:val="0"/>
              <w:adjustRightInd w:val="0"/>
              <w:spacing w:after="0" w:line="240" w:lineRule="auto"/>
              <w:ind w:right="60"/>
              <w:rPr>
                <w:rFonts w:ascii="Times New Roman" w:hAnsi="Times New Roman" w:cs="Times New Roman"/>
                <w:color w:val="000000" w:themeColor="text1"/>
              </w:rPr>
            </w:pPr>
            <w:r w:rsidRPr="000D7205">
              <w:rPr>
                <w:rFonts w:ascii="Times New Roman" w:hAnsi="Times New Roman" w:cs="Times New Roman"/>
                <w:color w:val="000000" w:themeColor="text1"/>
              </w:rPr>
              <w:t>Efficacy for Classroom Management</w:t>
            </w:r>
          </w:p>
        </w:tc>
        <w:tc>
          <w:tcPr>
            <w:tcW w:w="326" w:type="pct"/>
            <w:shd w:val="clear" w:color="auto" w:fill="FFFFFF"/>
            <w:vAlign w:val="center"/>
          </w:tcPr>
          <w:p w14:paraId="699388D0"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6.99</w:t>
            </w:r>
          </w:p>
        </w:tc>
        <w:tc>
          <w:tcPr>
            <w:tcW w:w="326" w:type="pct"/>
            <w:shd w:val="clear" w:color="auto" w:fill="FFFFFF"/>
            <w:vAlign w:val="center"/>
          </w:tcPr>
          <w:p w14:paraId="5BF4751E"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1.11</w:t>
            </w:r>
          </w:p>
        </w:tc>
        <w:tc>
          <w:tcPr>
            <w:tcW w:w="326" w:type="pct"/>
            <w:shd w:val="clear" w:color="auto" w:fill="FFFFFF"/>
            <w:vAlign w:val="center"/>
          </w:tcPr>
          <w:p w14:paraId="4C3DECC5" w14:textId="77777777" w:rsidR="00E87700" w:rsidRPr="000D7205" w:rsidRDefault="00E87700" w:rsidP="00DC16FB">
            <w:pPr>
              <w:autoSpaceDE w:val="0"/>
              <w:autoSpaceDN w:val="0"/>
              <w:adjustRightInd w:val="0"/>
              <w:ind w:left="60" w:right="60"/>
              <w:jc w:val="center"/>
              <w:rPr>
                <w:color w:val="000000" w:themeColor="text1"/>
                <w:sz w:val="22"/>
                <w:szCs w:val="22"/>
              </w:rPr>
            </w:pPr>
          </w:p>
        </w:tc>
        <w:tc>
          <w:tcPr>
            <w:tcW w:w="326" w:type="pct"/>
            <w:shd w:val="clear" w:color="auto" w:fill="FFFFFF"/>
            <w:vAlign w:val="center"/>
          </w:tcPr>
          <w:p w14:paraId="7EB1187B" w14:textId="77777777" w:rsidR="00E87700" w:rsidRPr="000D7205" w:rsidRDefault="00E87700" w:rsidP="00DC16FB">
            <w:pPr>
              <w:autoSpaceDE w:val="0"/>
              <w:autoSpaceDN w:val="0"/>
              <w:adjustRightInd w:val="0"/>
              <w:ind w:left="60" w:right="60"/>
              <w:jc w:val="center"/>
              <w:rPr>
                <w:color w:val="000000" w:themeColor="text1"/>
                <w:sz w:val="22"/>
                <w:szCs w:val="22"/>
              </w:rPr>
            </w:pPr>
          </w:p>
        </w:tc>
        <w:tc>
          <w:tcPr>
            <w:tcW w:w="326" w:type="pct"/>
            <w:shd w:val="clear" w:color="auto" w:fill="FFFFFF"/>
            <w:vAlign w:val="center"/>
          </w:tcPr>
          <w:p w14:paraId="6B051B7F" w14:textId="77777777" w:rsidR="00E87700" w:rsidRPr="000D7205" w:rsidRDefault="00E87700" w:rsidP="00DC16FB">
            <w:pPr>
              <w:autoSpaceDE w:val="0"/>
              <w:autoSpaceDN w:val="0"/>
              <w:adjustRightInd w:val="0"/>
              <w:ind w:left="60" w:right="60"/>
              <w:jc w:val="center"/>
              <w:rPr>
                <w:color w:val="000000" w:themeColor="text1"/>
                <w:sz w:val="22"/>
                <w:szCs w:val="22"/>
              </w:rPr>
            </w:pPr>
          </w:p>
        </w:tc>
        <w:tc>
          <w:tcPr>
            <w:tcW w:w="326" w:type="pct"/>
            <w:shd w:val="clear" w:color="auto" w:fill="FFFFFF"/>
            <w:vAlign w:val="center"/>
          </w:tcPr>
          <w:p w14:paraId="3DFCB7DF" w14:textId="77777777" w:rsidR="00E87700" w:rsidRPr="000D7205" w:rsidRDefault="00E87700" w:rsidP="00DC16FB">
            <w:pPr>
              <w:autoSpaceDE w:val="0"/>
              <w:autoSpaceDN w:val="0"/>
              <w:adjustRightInd w:val="0"/>
              <w:ind w:left="60" w:right="60"/>
              <w:jc w:val="center"/>
              <w:rPr>
                <w:color w:val="000000" w:themeColor="text1"/>
                <w:sz w:val="22"/>
                <w:szCs w:val="22"/>
              </w:rPr>
            </w:pPr>
          </w:p>
        </w:tc>
        <w:tc>
          <w:tcPr>
            <w:tcW w:w="326" w:type="pct"/>
            <w:shd w:val="clear" w:color="auto" w:fill="FFFFFF"/>
            <w:vAlign w:val="center"/>
          </w:tcPr>
          <w:p w14:paraId="2326ACAC" w14:textId="77777777" w:rsidR="00E87700" w:rsidRPr="000D7205" w:rsidRDefault="00E87700" w:rsidP="00DC16FB">
            <w:pPr>
              <w:autoSpaceDE w:val="0"/>
              <w:autoSpaceDN w:val="0"/>
              <w:adjustRightInd w:val="0"/>
              <w:ind w:left="60" w:right="60"/>
              <w:jc w:val="center"/>
              <w:rPr>
                <w:color w:val="000000" w:themeColor="text1"/>
                <w:sz w:val="22"/>
                <w:szCs w:val="22"/>
              </w:rPr>
            </w:pPr>
          </w:p>
        </w:tc>
        <w:tc>
          <w:tcPr>
            <w:tcW w:w="326" w:type="pct"/>
            <w:shd w:val="clear" w:color="auto" w:fill="FFFFFF"/>
            <w:vAlign w:val="center"/>
          </w:tcPr>
          <w:p w14:paraId="1DBB00FA"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.63*</w:t>
            </w:r>
          </w:p>
        </w:tc>
      </w:tr>
      <w:tr w:rsidR="00E87700" w:rsidRPr="000D7205" w14:paraId="4A3B6DA3" w14:textId="77777777" w:rsidTr="00DC16FB">
        <w:trPr>
          <w:cantSplit/>
        </w:trPr>
        <w:tc>
          <w:tcPr>
            <w:tcW w:w="2395" w:type="pct"/>
            <w:tcBorders>
              <w:bottom w:val="single" w:sz="4" w:space="0" w:color="auto"/>
            </w:tcBorders>
            <w:shd w:val="clear" w:color="auto" w:fill="FFFFFF"/>
            <w:vAlign w:val="center"/>
          </w:tcPr>
          <w:p w14:paraId="582F16F3" w14:textId="77777777" w:rsidR="00E87700" w:rsidRPr="000D7205" w:rsidRDefault="00E87700" w:rsidP="00E87700">
            <w:pPr>
              <w:pStyle w:val="ListParagraph"/>
              <w:numPr>
                <w:ilvl w:val="0"/>
                <w:numId w:val="33"/>
              </w:numPr>
              <w:spacing w:after="0" w:line="240" w:lineRule="auto"/>
              <w:rPr>
                <w:rFonts w:ascii="Times New Roman" w:hAnsi="Times New Roman" w:cs="Times New Roman"/>
                <w:color w:val="000000" w:themeColor="text1"/>
              </w:rPr>
            </w:pPr>
            <w:r w:rsidRPr="000D7205">
              <w:rPr>
                <w:rFonts w:ascii="Times New Roman" w:hAnsi="Times New Roman" w:cs="Times New Roman"/>
                <w:color w:val="000000" w:themeColor="text1"/>
              </w:rPr>
              <w:t>Efficacy for Instructional Strategies</w:t>
            </w:r>
          </w:p>
        </w:tc>
        <w:tc>
          <w:tcPr>
            <w:tcW w:w="326" w:type="pct"/>
            <w:tcBorders>
              <w:bottom w:val="single" w:sz="4" w:space="0" w:color="auto"/>
            </w:tcBorders>
            <w:shd w:val="clear" w:color="auto" w:fill="FFFFFF"/>
            <w:vAlign w:val="center"/>
          </w:tcPr>
          <w:p w14:paraId="21904737"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7.10</w:t>
            </w:r>
          </w:p>
        </w:tc>
        <w:tc>
          <w:tcPr>
            <w:tcW w:w="326" w:type="pct"/>
            <w:tcBorders>
              <w:bottom w:val="single" w:sz="4" w:space="0" w:color="auto"/>
            </w:tcBorders>
            <w:shd w:val="clear" w:color="auto" w:fill="FFFFFF"/>
            <w:vAlign w:val="center"/>
          </w:tcPr>
          <w:p w14:paraId="3708C1C7" w14:textId="77777777" w:rsidR="00E87700" w:rsidRPr="000D7205" w:rsidRDefault="00E87700" w:rsidP="00DC16FB">
            <w:pPr>
              <w:autoSpaceDE w:val="0"/>
              <w:autoSpaceDN w:val="0"/>
              <w:adjustRightInd w:val="0"/>
              <w:ind w:left="60" w:right="60"/>
              <w:jc w:val="center"/>
              <w:rPr>
                <w:color w:val="000000" w:themeColor="text1"/>
                <w:sz w:val="22"/>
                <w:szCs w:val="22"/>
              </w:rPr>
            </w:pPr>
            <w:r w:rsidRPr="000D7205">
              <w:rPr>
                <w:color w:val="000000" w:themeColor="text1"/>
                <w:sz w:val="22"/>
                <w:szCs w:val="22"/>
              </w:rPr>
              <w:t>1.12</w:t>
            </w:r>
          </w:p>
        </w:tc>
        <w:tc>
          <w:tcPr>
            <w:tcW w:w="326" w:type="pct"/>
            <w:tcBorders>
              <w:bottom w:val="single" w:sz="4" w:space="0" w:color="auto"/>
            </w:tcBorders>
            <w:shd w:val="clear" w:color="auto" w:fill="FFFFFF"/>
            <w:vAlign w:val="center"/>
          </w:tcPr>
          <w:p w14:paraId="65FEBCFE" w14:textId="77777777" w:rsidR="00E87700" w:rsidRPr="000D7205" w:rsidRDefault="00E87700" w:rsidP="00DC16FB">
            <w:pPr>
              <w:autoSpaceDE w:val="0"/>
              <w:autoSpaceDN w:val="0"/>
              <w:adjustRightInd w:val="0"/>
              <w:ind w:left="60" w:right="60"/>
              <w:jc w:val="center"/>
              <w:rPr>
                <w:color w:val="000000" w:themeColor="text1"/>
                <w:sz w:val="22"/>
                <w:szCs w:val="22"/>
              </w:rPr>
            </w:pPr>
          </w:p>
        </w:tc>
        <w:tc>
          <w:tcPr>
            <w:tcW w:w="326" w:type="pct"/>
            <w:tcBorders>
              <w:bottom w:val="single" w:sz="4" w:space="0" w:color="auto"/>
            </w:tcBorders>
            <w:shd w:val="clear" w:color="auto" w:fill="FFFFFF"/>
            <w:vAlign w:val="center"/>
          </w:tcPr>
          <w:p w14:paraId="78A543F9" w14:textId="77777777" w:rsidR="00E87700" w:rsidRPr="000D7205" w:rsidRDefault="00E87700" w:rsidP="00DC16FB">
            <w:pPr>
              <w:autoSpaceDE w:val="0"/>
              <w:autoSpaceDN w:val="0"/>
              <w:adjustRightInd w:val="0"/>
              <w:ind w:left="60" w:right="60"/>
              <w:jc w:val="center"/>
              <w:rPr>
                <w:color w:val="000000" w:themeColor="text1"/>
                <w:sz w:val="22"/>
                <w:szCs w:val="22"/>
              </w:rPr>
            </w:pPr>
          </w:p>
        </w:tc>
        <w:tc>
          <w:tcPr>
            <w:tcW w:w="326" w:type="pct"/>
            <w:tcBorders>
              <w:bottom w:val="single" w:sz="4" w:space="0" w:color="auto"/>
            </w:tcBorders>
            <w:shd w:val="clear" w:color="auto" w:fill="FFFFFF"/>
            <w:vAlign w:val="center"/>
          </w:tcPr>
          <w:p w14:paraId="772D9047" w14:textId="77777777" w:rsidR="00E87700" w:rsidRPr="000D7205" w:rsidRDefault="00E87700" w:rsidP="00DC16FB">
            <w:pPr>
              <w:autoSpaceDE w:val="0"/>
              <w:autoSpaceDN w:val="0"/>
              <w:adjustRightInd w:val="0"/>
              <w:ind w:left="60" w:right="60"/>
              <w:jc w:val="center"/>
              <w:rPr>
                <w:color w:val="000000" w:themeColor="text1"/>
                <w:sz w:val="22"/>
                <w:szCs w:val="22"/>
              </w:rPr>
            </w:pPr>
          </w:p>
        </w:tc>
        <w:tc>
          <w:tcPr>
            <w:tcW w:w="326" w:type="pct"/>
            <w:tcBorders>
              <w:bottom w:val="single" w:sz="4" w:space="0" w:color="auto"/>
            </w:tcBorders>
            <w:shd w:val="clear" w:color="auto" w:fill="FFFFFF"/>
            <w:vAlign w:val="center"/>
          </w:tcPr>
          <w:p w14:paraId="2A04F87E" w14:textId="77777777" w:rsidR="00E87700" w:rsidRPr="000D7205" w:rsidRDefault="00E87700" w:rsidP="00DC16FB">
            <w:pPr>
              <w:autoSpaceDE w:val="0"/>
              <w:autoSpaceDN w:val="0"/>
              <w:adjustRightInd w:val="0"/>
              <w:ind w:left="60" w:right="60"/>
              <w:jc w:val="center"/>
              <w:rPr>
                <w:color w:val="000000" w:themeColor="text1"/>
                <w:sz w:val="22"/>
                <w:szCs w:val="22"/>
              </w:rPr>
            </w:pPr>
          </w:p>
        </w:tc>
        <w:tc>
          <w:tcPr>
            <w:tcW w:w="326" w:type="pct"/>
            <w:tcBorders>
              <w:bottom w:val="single" w:sz="4" w:space="0" w:color="auto"/>
            </w:tcBorders>
            <w:shd w:val="clear" w:color="auto" w:fill="FFFFFF"/>
            <w:vAlign w:val="center"/>
          </w:tcPr>
          <w:p w14:paraId="1BBDC7A0" w14:textId="77777777" w:rsidR="00E87700" w:rsidRPr="000D7205" w:rsidRDefault="00E87700" w:rsidP="00DC16FB">
            <w:pPr>
              <w:autoSpaceDE w:val="0"/>
              <w:autoSpaceDN w:val="0"/>
              <w:adjustRightInd w:val="0"/>
              <w:ind w:left="60" w:right="60"/>
              <w:jc w:val="center"/>
              <w:rPr>
                <w:color w:val="000000" w:themeColor="text1"/>
                <w:sz w:val="22"/>
                <w:szCs w:val="22"/>
              </w:rPr>
            </w:pPr>
          </w:p>
        </w:tc>
        <w:tc>
          <w:tcPr>
            <w:tcW w:w="326" w:type="pct"/>
            <w:tcBorders>
              <w:bottom w:val="single" w:sz="4" w:space="0" w:color="auto"/>
            </w:tcBorders>
            <w:shd w:val="clear" w:color="auto" w:fill="FFFFFF"/>
            <w:vAlign w:val="center"/>
          </w:tcPr>
          <w:p w14:paraId="5AA01466" w14:textId="77777777" w:rsidR="00E87700" w:rsidRPr="000D7205" w:rsidRDefault="00E87700" w:rsidP="00DC16FB">
            <w:pPr>
              <w:autoSpaceDE w:val="0"/>
              <w:autoSpaceDN w:val="0"/>
              <w:adjustRightInd w:val="0"/>
              <w:ind w:left="60" w:right="60"/>
              <w:jc w:val="center"/>
              <w:rPr>
                <w:color w:val="000000" w:themeColor="text1"/>
                <w:sz w:val="22"/>
                <w:szCs w:val="22"/>
              </w:rPr>
            </w:pPr>
          </w:p>
        </w:tc>
      </w:tr>
    </w:tbl>
    <w:p w14:paraId="64E9E539" w14:textId="77777777" w:rsidR="00E87700" w:rsidRPr="000D7205" w:rsidRDefault="00E87700" w:rsidP="00E87700">
      <w:pPr>
        <w:jc w:val="both"/>
        <w:rPr>
          <w:color w:val="000000" w:themeColor="text1"/>
          <w:sz w:val="22"/>
          <w:szCs w:val="22"/>
        </w:rPr>
      </w:pPr>
      <w:r w:rsidRPr="000D7205">
        <w:rPr>
          <w:color w:val="000000" w:themeColor="text1"/>
          <w:sz w:val="22"/>
          <w:szCs w:val="22"/>
        </w:rPr>
        <w:t>*</w:t>
      </w:r>
      <w:r w:rsidRPr="000D7205">
        <w:rPr>
          <w:i/>
          <w:color w:val="000000" w:themeColor="text1"/>
          <w:sz w:val="22"/>
          <w:szCs w:val="22"/>
        </w:rPr>
        <w:t>p</w:t>
      </w:r>
      <w:r w:rsidRPr="000D7205">
        <w:rPr>
          <w:color w:val="000000" w:themeColor="text1"/>
          <w:sz w:val="22"/>
          <w:szCs w:val="22"/>
        </w:rPr>
        <w:t>&lt;.01Table 5. Multiple linear regression analyses for predicting subscales of ETS-TR</w:t>
      </w:r>
    </w:p>
    <w:p w14:paraId="7C0BA1D5" w14:textId="77777777" w:rsidR="00E87700" w:rsidRPr="000D7205" w:rsidRDefault="00E87700" w:rsidP="00E87700">
      <w:pPr>
        <w:jc w:val="both"/>
        <w:rPr>
          <w:color w:val="000000" w:themeColor="text1"/>
          <w:sz w:val="22"/>
          <w:szCs w:val="22"/>
        </w:rPr>
      </w:pPr>
    </w:p>
    <w:p w14:paraId="654C5852" w14:textId="77777777" w:rsidR="00E87700" w:rsidRPr="000D7205" w:rsidRDefault="00E87700" w:rsidP="00E87700">
      <w:pPr>
        <w:pStyle w:val="Caption"/>
        <w:spacing w:after="120"/>
        <w:rPr>
          <w:b w:val="0"/>
          <w:color w:val="000000" w:themeColor="text1"/>
          <w:sz w:val="22"/>
          <w:szCs w:val="22"/>
          <w:lang w:val="tr-TR"/>
        </w:rPr>
      </w:pPr>
      <w:bookmarkStart w:id="8" w:name="_Ref465513086"/>
      <w:r w:rsidRPr="000D7205">
        <w:rPr>
          <w:b w:val="0"/>
          <w:color w:val="000000" w:themeColor="text1"/>
          <w:sz w:val="22"/>
          <w:szCs w:val="22"/>
        </w:rPr>
        <w:t xml:space="preserve">Table </w:t>
      </w:r>
      <w:r w:rsidRPr="000D7205">
        <w:rPr>
          <w:b w:val="0"/>
          <w:color w:val="000000" w:themeColor="text1"/>
          <w:sz w:val="22"/>
          <w:szCs w:val="22"/>
        </w:rPr>
        <w:fldChar w:fldCharType="begin"/>
      </w:r>
      <w:r w:rsidRPr="000D7205">
        <w:rPr>
          <w:b w:val="0"/>
          <w:color w:val="000000" w:themeColor="text1"/>
          <w:sz w:val="22"/>
          <w:szCs w:val="22"/>
        </w:rPr>
        <w:instrText xml:space="preserve"> SEQ Table \* ARABIC </w:instrText>
      </w:r>
      <w:r w:rsidRPr="000D7205">
        <w:rPr>
          <w:b w:val="0"/>
          <w:color w:val="000000" w:themeColor="text1"/>
          <w:sz w:val="22"/>
          <w:szCs w:val="22"/>
        </w:rPr>
        <w:fldChar w:fldCharType="separate"/>
      </w:r>
      <w:r>
        <w:rPr>
          <w:b w:val="0"/>
          <w:noProof/>
          <w:color w:val="000000" w:themeColor="text1"/>
          <w:sz w:val="22"/>
          <w:szCs w:val="22"/>
        </w:rPr>
        <w:t>5</w:t>
      </w:r>
      <w:r w:rsidRPr="000D7205">
        <w:rPr>
          <w:b w:val="0"/>
          <w:color w:val="000000" w:themeColor="text1"/>
          <w:sz w:val="22"/>
          <w:szCs w:val="22"/>
        </w:rPr>
        <w:fldChar w:fldCharType="end"/>
      </w:r>
      <w:bookmarkEnd w:id="8"/>
      <w:r w:rsidRPr="000D7205">
        <w:rPr>
          <w:b w:val="0"/>
          <w:color w:val="000000" w:themeColor="text1"/>
          <w:sz w:val="22"/>
          <w:szCs w:val="22"/>
        </w:rPr>
        <w:t>. Multiple linear regression analyses for predicting subscales of ETS-TR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6"/>
        <w:gridCol w:w="941"/>
        <w:gridCol w:w="663"/>
        <w:gridCol w:w="722"/>
        <w:gridCol w:w="222"/>
        <w:gridCol w:w="941"/>
        <w:gridCol w:w="663"/>
        <w:gridCol w:w="831"/>
        <w:gridCol w:w="222"/>
        <w:gridCol w:w="941"/>
        <w:gridCol w:w="1052"/>
        <w:gridCol w:w="831"/>
        <w:gridCol w:w="222"/>
        <w:gridCol w:w="1160"/>
        <w:gridCol w:w="819"/>
        <w:gridCol w:w="884"/>
      </w:tblGrid>
      <w:tr w:rsidR="00E87700" w:rsidRPr="000D7205" w14:paraId="691935BB" w14:textId="77777777" w:rsidTr="00DC16FB">
        <w:trPr>
          <w:trHeight w:val="113"/>
        </w:trPr>
        <w:tc>
          <w:tcPr>
            <w:tcW w:w="1092" w:type="pct"/>
            <w:tcBorders>
              <w:top w:val="single" w:sz="4" w:space="0" w:color="auto"/>
              <w:bottom w:val="single" w:sz="4" w:space="0" w:color="auto"/>
            </w:tcBorders>
            <w:vAlign w:val="center"/>
          </w:tcPr>
          <w:p w14:paraId="3CE52A04" w14:textId="77777777" w:rsidR="00E87700" w:rsidRPr="000D7205" w:rsidRDefault="00E87700" w:rsidP="00DC16FB">
            <w:pPr>
              <w:jc w:val="center"/>
              <w:rPr>
                <w:rFonts w:ascii="Times New Roman" w:hAnsi="Times New Roman" w:cs="Times New Roman"/>
                <w:color w:val="000000" w:themeColor="text1"/>
                <w:sz w:val="22"/>
                <w:szCs w:val="22"/>
              </w:rPr>
            </w:pPr>
          </w:p>
        </w:tc>
        <w:tc>
          <w:tcPr>
            <w:tcW w:w="817" w:type="pct"/>
            <w:gridSpan w:val="3"/>
            <w:tcBorders>
              <w:top w:val="single" w:sz="4" w:space="0" w:color="auto"/>
              <w:bottom w:val="single" w:sz="4" w:space="0" w:color="auto"/>
            </w:tcBorders>
            <w:vAlign w:val="center"/>
          </w:tcPr>
          <w:p w14:paraId="3E89A854"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Emotional Engagement</w:t>
            </w:r>
          </w:p>
        </w:tc>
        <w:tc>
          <w:tcPr>
            <w:tcW w:w="78" w:type="pct"/>
            <w:tcBorders>
              <w:top w:val="single" w:sz="4" w:space="0" w:color="auto"/>
            </w:tcBorders>
            <w:vAlign w:val="center"/>
          </w:tcPr>
          <w:p w14:paraId="420B864B"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 xml:space="preserve"> </w:t>
            </w:r>
          </w:p>
        </w:tc>
        <w:tc>
          <w:tcPr>
            <w:tcW w:w="856" w:type="pct"/>
            <w:gridSpan w:val="3"/>
            <w:tcBorders>
              <w:top w:val="single" w:sz="4" w:space="0" w:color="auto"/>
              <w:bottom w:val="single" w:sz="4" w:space="0" w:color="auto"/>
            </w:tcBorders>
            <w:vAlign w:val="center"/>
          </w:tcPr>
          <w:p w14:paraId="4F2BB4AD"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Cognitive Engagement</w:t>
            </w:r>
          </w:p>
        </w:tc>
        <w:tc>
          <w:tcPr>
            <w:tcW w:w="78" w:type="pct"/>
            <w:tcBorders>
              <w:top w:val="single" w:sz="4" w:space="0" w:color="auto"/>
            </w:tcBorders>
            <w:vAlign w:val="center"/>
          </w:tcPr>
          <w:p w14:paraId="5ABF2AFC" w14:textId="77777777" w:rsidR="00E87700" w:rsidRPr="000D7205" w:rsidRDefault="00E87700" w:rsidP="00DC16FB">
            <w:pPr>
              <w:jc w:val="center"/>
              <w:rPr>
                <w:rFonts w:ascii="Times New Roman" w:hAnsi="Times New Roman" w:cs="Times New Roman"/>
                <w:color w:val="000000" w:themeColor="text1"/>
                <w:sz w:val="22"/>
                <w:szCs w:val="22"/>
              </w:rPr>
            </w:pPr>
          </w:p>
        </w:tc>
        <w:tc>
          <w:tcPr>
            <w:tcW w:w="993" w:type="pct"/>
            <w:gridSpan w:val="3"/>
            <w:tcBorders>
              <w:top w:val="single" w:sz="4" w:space="0" w:color="auto"/>
              <w:bottom w:val="single" w:sz="4" w:space="0" w:color="auto"/>
            </w:tcBorders>
            <w:vAlign w:val="center"/>
          </w:tcPr>
          <w:p w14:paraId="72E0F317"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Social Engagement: Students</w:t>
            </w:r>
          </w:p>
        </w:tc>
        <w:tc>
          <w:tcPr>
            <w:tcW w:w="78" w:type="pct"/>
            <w:tcBorders>
              <w:top w:val="single" w:sz="4" w:space="0" w:color="auto"/>
            </w:tcBorders>
            <w:vAlign w:val="center"/>
          </w:tcPr>
          <w:p w14:paraId="3ADAA8A0" w14:textId="77777777" w:rsidR="00E87700" w:rsidRPr="000D7205" w:rsidRDefault="00E87700" w:rsidP="00DC16FB">
            <w:pPr>
              <w:jc w:val="center"/>
              <w:rPr>
                <w:rFonts w:ascii="Times New Roman" w:hAnsi="Times New Roman" w:cs="Times New Roman"/>
                <w:color w:val="000000" w:themeColor="text1"/>
                <w:sz w:val="22"/>
                <w:szCs w:val="22"/>
              </w:rPr>
            </w:pPr>
          </w:p>
        </w:tc>
        <w:tc>
          <w:tcPr>
            <w:tcW w:w="1008" w:type="pct"/>
            <w:gridSpan w:val="3"/>
            <w:tcBorders>
              <w:top w:val="single" w:sz="4" w:space="0" w:color="auto"/>
              <w:bottom w:val="single" w:sz="4" w:space="0" w:color="auto"/>
            </w:tcBorders>
            <w:vAlign w:val="center"/>
          </w:tcPr>
          <w:p w14:paraId="7183D1EC"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Social Engagement: Colleagues</w:t>
            </w:r>
          </w:p>
        </w:tc>
      </w:tr>
      <w:tr w:rsidR="00E87700" w:rsidRPr="000D7205" w14:paraId="40613A3C" w14:textId="77777777" w:rsidTr="00DC16FB">
        <w:trPr>
          <w:trHeight w:val="113"/>
        </w:trPr>
        <w:tc>
          <w:tcPr>
            <w:tcW w:w="1092" w:type="pct"/>
            <w:tcBorders>
              <w:top w:val="single" w:sz="4" w:space="0" w:color="auto"/>
              <w:bottom w:val="single" w:sz="4" w:space="0" w:color="auto"/>
            </w:tcBorders>
            <w:vAlign w:val="center"/>
          </w:tcPr>
          <w:p w14:paraId="072F2F76" w14:textId="77777777" w:rsidR="00E87700" w:rsidRPr="000D7205" w:rsidRDefault="00E87700" w:rsidP="00DC16FB">
            <w:pPr>
              <w:jc w:val="center"/>
              <w:rPr>
                <w:rFonts w:ascii="Times New Roman" w:hAnsi="Times New Roman" w:cs="Times New Roman"/>
                <w:color w:val="000000" w:themeColor="text1"/>
                <w:sz w:val="22"/>
                <w:szCs w:val="22"/>
              </w:rPr>
            </w:pPr>
          </w:p>
        </w:tc>
        <w:tc>
          <w:tcPr>
            <w:tcW w:w="331" w:type="pct"/>
            <w:tcBorders>
              <w:top w:val="single" w:sz="4" w:space="0" w:color="auto"/>
              <w:bottom w:val="single" w:sz="4" w:space="0" w:color="auto"/>
            </w:tcBorders>
            <w:vAlign w:val="center"/>
          </w:tcPr>
          <w:p w14:paraId="383C8441"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B</w:t>
            </w:r>
          </w:p>
        </w:tc>
        <w:tc>
          <w:tcPr>
            <w:tcW w:w="233" w:type="pct"/>
            <w:tcBorders>
              <w:top w:val="single" w:sz="4" w:space="0" w:color="auto"/>
              <w:bottom w:val="single" w:sz="4" w:space="0" w:color="auto"/>
            </w:tcBorders>
            <w:vAlign w:val="center"/>
          </w:tcPr>
          <w:p w14:paraId="04AA88E9"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 xml:space="preserve">SE </w:t>
            </w:r>
          </w:p>
        </w:tc>
        <w:tc>
          <w:tcPr>
            <w:tcW w:w="254" w:type="pct"/>
            <w:tcBorders>
              <w:top w:val="single" w:sz="4" w:space="0" w:color="auto"/>
              <w:bottom w:val="single" w:sz="4" w:space="0" w:color="auto"/>
            </w:tcBorders>
            <w:vAlign w:val="center"/>
          </w:tcPr>
          <w:p w14:paraId="1D52F736"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β</w:t>
            </w:r>
          </w:p>
        </w:tc>
        <w:tc>
          <w:tcPr>
            <w:tcW w:w="78" w:type="pct"/>
            <w:vAlign w:val="center"/>
          </w:tcPr>
          <w:p w14:paraId="12E29EAC"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 xml:space="preserve">      </w:t>
            </w:r>
          </w:p>
        </w:tc>
        <w:tc>
          <w:tcPr>
            <w:tcW w:w="331" w:type="pct"/>
            <w:tcBorders>
              <w:top w:val="single" w:sz="4" w:space="0" w:color="auto"/>
              <w:bottom w:val="single" w:sz="4" w:space="0" w:color="auto"/>
            </w:tcBorders>
            <w:vAlign w:val="center"/>
          </w:tcPr>
          <w:p w14:paraId="1AEDEDF9"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B</w:t>
            </w:r>
          </w:p>
        </w:tc>
        <w:tc>
          <w:tcPr>
            <w:tcW w:w="233" w:type="pct"/>
            <w:tcBorders>
              <w:top w:val="single" w:sz="4" w:space="0" w:color="auto"/>
              <w:bottom w:val="single" w:sz="4" w:space="0" w:color="auto"/>
            </w:tcBorders>
            <w:vAlign w:val="center"/>
          </w:tcPr>
          <w:p w14:paraId="34CF39DB"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 xml:space="preserve">SE </w:t>
            </w:r>
          </w:p>
        </w:tc>
        <w:tc>
          <w:tcPr>
            <w:tcW w:w="292" w:type="pct"/>
            <w:tcBorders>
              <w:top w:val="single" w:sz="4" w:space="0" w:color="auto"/>
              <w:bottom w:val="single" w:sz="4" w:space="0" w:color="auto"/>
            </w:tcBorders>
            <w:vAlign w:val="center"/>
          </w:tcPr>
          <w:p w14:paraId="0CEB5C94"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Β</w:t>
            </w:r>
          </w:p>
        </w:tc>
        <w:tc>
          <w:tcPr>
            <w:tcW w:w="78" w:type="pct"/>
            <w:vAlign w:val="center"/>
          </w:tcPr>
          <w:p w14:paraId="3C4B6153"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 xml:space="preserve">      </w:t>
            </w:r>
          </w:p>
        </w:tc>
        <w:tc>
          <w:tcPr>
            <w:tcW w:w="331" w:type="pct"/>
            <w:tcBorders>
              <w:top w:val="single" w:sz="4" w:space="0" w:color="auto"/>
              <w:bottom w:val="single" w:sz="4" w:space="0" w:color="auto"/>
            </w:tcBorders>
            <w:vAlign w:val="center"/>
          </w:tcPr>
          <w:p w14:paraId="32E17289"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B</w:t>
            </w:r>
          </w:p>
        </w:tc>
        <w:tc>
          <w:tcPr>
            <w:tcW w:w="370" w:type="pct"/>
            <w:tcBorders>
              <w:top w:val="single" w:sz="4" w:space="0" w:color="auto"/>
              <w:bottom w:val="single" w:sz="4" w:space="0" w:color="auto"/>
            </w:tcBorders>
            <w:vAlign w:val="center"/>
          </w:tcPr>
          <w:p w14:paraId="0DF3D341"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SE</w:t>
            </w:r>
          </w:p>
        </w:tc>
        <w:tc>
          <w:tcPr>
            <w:tcW w:w="292" w:type="pct"/>
            <w:tcBorders>
              <w:top w:val="single" w:sz="4" w:space="0" w:color="auto"/>
              <w:bottom w:val="single" w:sz="4" w:space="0" w:color="auto"/>
            </w:tcBorders>
            <w:vAlign w:val="center"/>
          </w:tcPr>
          <w:p w14:paraId="5DFC2427"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β</w:t>
            </w:r>
          </w:p>
        </w:tc>
        <w:tc>
          <w:tcPr>
            <w:tcW w:w="78" w:type="pct"/>
            <w:vAlign w:val="center"/>
          </w:tcPr>
          <w:p w14:paraId="2D03C735"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 xml:space="preserve">   </w:t>
            </w:r>
          </w:p>
        </w:tc>
        <w:tc>
          <w:tcPr>
            <w:tcW w:w="408" w:type="pct"/>
            <w:tcBorders>
              <w:top w:val="single" w:sz="4" w:space="0" w:color="auto"/>
              <w:bottom w:val="single" w:sz="4" w:space="0" w:color="auto"/>
            </w:tcBorders>
            <w:vAlign w:val="center"/>
          </w:tcPr>
          <w:p w14:paraId="04FE0A55"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B</w:t>
            </w:r>
          </w:p>
        </w:tc>
        <w:tc>
          <w:tcPr>
            <w:tcW w:w="288" w:type="pct"/>
            <w:tcBorders>
              <w:top w:val="single" w:sz="4" w:space="0" w:color="auto"/>
              <w:bottom w:val="single" w:sz="4" w:space="0" w:color="auto"/>
            </w:tcBorders>
            <w:vAlign w:val="center"/>
          </w:tcPr>
          <w:p w14:paraId="20DF1CB2"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SE</w:t>
            </w:r>
          </w:p>
        </w:tc>
        <w:tc>
          <w:tcPr>
            <w:tcW w:w="312" w:type="pct"/>
            <w:tcBorders>
              <w:top w:val="single" w:sz="4" w:space="0" w:color="auto"/>
              <w:bottom w:val="single" w:sz="4" w:space="0" w:color="auto"/>
            </w:tcBorders>
            <w:vAlign w:val="center"/>
          </w:tcPr>
          <w:p w14:paraId="2A5CACE3"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β</w:t>
            </w:r>
          </w:p>
        </w:tc>
      </w:tr>
      <w:tr w:rsidR="00E87700" w:rsidRPr="000D7205" w14:paraId="0491AA30" w14:textId="77777777" w:rsidTr="00DC16FB">
        <w:trPr>
          <w:trHeight w:val="113"/>
        </w:trPr>
        <w:tc>
          <w:tcPr>
            <w:tcW w:w="1092" w:type="pct"/>
            <w:tcBorders>
              <w:top w:val="single" w:sz="4" w:space="0" w:color="auto"/>
            </w:tcBorders>
            <w:vAlign w:val="center"/>
          </w:tcPr>
          <w:p w14:paraId="6D03EB5B" w14:textId="77777777" w:rsidR="00E87700" w:rsidRPr="000D7205" w:rsidRDefault="00E87700" w:rsidP="00DC16FB">
            <w:pP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Constant</w:t>
            </w:r>
          </w:p>
        </w:tc>
        <w:tc>
          <w:tcPr>
            <w:tcW w:w="331" w:type="pct"/>
            <w:tcBorders>
              <w:top w:val="single" w:sz="4" w:space="0" w:color="auto"/>
            </w:tcBorders>
            <w:vAlign w:val="center"/>
          </w:tcPr>
          <w:p w14:paraId="4A6900E9"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3.14**</w:t>
            </w:r>
          </w:p>
        </w:tc>
        <w:tc>
          <w:tcPr>
            <w:tcW w:w="233" w:type="pct"/>
            <w:vAlign w:val="center"/>
          </w:tcPr>
          <w:p w14:paraId="3954D86A"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.36</w:t>
            </w:r>
          </w:p>
        </w:tc>
        <w:tc>
          <w:tcPr>
            <w:tcW w:w="254" w:type="pct"/>
            <w:vAlign w:val="center"/>
          </w:tcPr>
          <w:p w14:paraId="06FF3852" w14:textId="77777777" w:rsidR="00E87700" w:rsidRPr="000D7205" w:rsidRDefault="00E87700" w:rsidP="00DC16FB">
            <w:pPr>
              <w:jc w:val="center"/>
              <w:rPr>
                <w:rFonts w:ascii="Times New Roman" w:hAnsi="Times New Roman" w:cs="Times New Roman"/>
                <w:color w:val="000000" w:themeColor="text1"/>
                <w:sz w:val="22"/>
                <w:szCs w:val="22"/>
              </w:rPr>
            </w:pPr>
          </w:p>
        </w:tc>
        <w:tc>
          <w:tcPr>
            <w:tcW w:w="78" w:type="pct"/>
            <w:vAlign w:val="center"/>
          </w:tcPr>
          <w:p w14:paraId="08206527" w14:textId="77777777" w:rsidR="00E87700" w:rsidRPr="000D7205" w:rsidRDefault="00E87700" w:rsidP="00DC16FB">
            <w:pPr>
              <w:jc w:val="center"/>
              <w:rPr>
                <w:rFonts w:ascii="Times New Roman" w:hAnsi="Times New Roman" w:cs="Times New Roman"/>
                <w:color w:val="000000" w:themeColor="text1"/>
                <w:sz w:val="22"/>
                <w:szCs w:val="22"/>
              </w:rPr>
            </w:pPr>
          </w:p>
        </w:tc>
        <w:tc>
          <w:tcPr>
            <w:tcW w:w="331" w:type="pct"/>
            <w:vAlign w:val="center"/>
          </w:tcPr>
          <w:p w14:paraId="5DD547F5"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2.90**</w:t>
            </w:r>
          </w:p>
        </w:tc>
        <w:tc>
          <w:tcPr>
            <w:tcW w:w="233" w:type="pct"/>
            <w:vAlign w:val="center"/>
          </w:tcPr>
          <w:p w14:paraId="5A366415"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.23</w:t>
            </w:r>
          </w:p>
        </w:tc>
        <w:tc>
          <w:tcPr>
            <w:tcW w:w="292" w:type="pct"/>
            <w:vAlign w:val="center"/>
          </w:tcPr>
          <w:p w14:paraId="73AA70E9" w14:textId="77777777" w:rsidR="00E87700" w:rsidRPr="000D7205" w:rsidRDefault="00E87700" w:rsidP="00DC16FB">
            <w:pPr>
              <w:jc w:val="center"/>
              <w:rPr>
                <w:rFonts w:ascii="Times New Roman" w:hAnsi="Times New Roman" w:cs="Times New Roman"/>
                <w:color w:val="000000" w:themeColor="text1"/>
                <w:sz w:val="22"/>
                <w:szCs w:val="22"/>
              </w:rPr>
            </w:pPr>
          </w:p>
        </w:tc>
        <w:tc>
          <w:tcPr>
            <w:tcW w:w="78" w:type="pct"/>
            <w:vAlign w:val="center"/>
          </w:tcPr>
          <w:p w14:paraId="6CBAA170" w14:textId="77777777" w:rsidR="00E87700" w:rsidRPr="000D7205" w:rsidRDefault="00E87700" w:rsidP="00DC16FB">
            <w:pPr>
              <w:jc w:val="center"/>
              <w:rPr>
                <w:rFonts w:ascii="Times New Roman" w:hAnsi="Times New Roman" w:cs="Times New Roman"/>
                <w:color w:val="000000" w:themeColor="text1"/>
                <w:sz w:val="22"/>
                <w:szCs w:val="22"/>
              </w:rPr>
            </w:pPr>
          </w:p>
        </w:tc>
        <w:tc>
          <w:tcPr>
            <w:tcW w:w="331" w:type="pct"/>
            <w:vAlign w:val="center"/>
          </w:tcPr>
          <w:p w14:paraId="4ED03D33"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2.70**</w:t>
            </w:r>
          </w:p>
        </w:tc>
        <w:tc>
          <w:tcPr>
            <w:tcW w:w="370" w:type="pct"/>
            <w:vAlign w:val="center"/>
          </w:tcPr>
          <w:p w14:paraId="25C89C94"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.25</w:t>
            </w:r>
          </w:p>
        </w:tc>
        <w:tc>
          <w:tcPr>
            <w:tcW w:w="292" w:type="pct"/>
            <w:vAlign w:val="center"/>
          </w:tcPr>
          <w:p w14:paraId="1C2BA572" w14:textId="77777777" w:rsidR="00E87700" w:rsidRPr="000D7205" w:rsidRDefault="00E87700" w:rsidP="00DC16FB">
            <w:pPr>
              <w:jc w:val="center"/>
              <w:rPr>
                <w:rFonts w:ascii="Times New Roman" w:hAnsi="Times New Roman" w:cs="Times New Roman"/>
                <w:color w:val="000000" w:themeColor="text1"/>
                <w:sz w:val="22"/>
                <w:szCs w:val="22"/>
              </w:rPr>
            </w:pPr>
          </w:p>
        </w:tc>
        <w:tc>
          <w:tcPr>
            <w:tcW w:w="78" w:type="pct"/>
            <w:vAlign w:val="center"/>
          </w:tcPr>
          <w:p w14:paraId="5176CB6C"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p>
        </w:tc>
        <w:tc>
          <w:tcPr>
            <w:tcW w:w="408" w:type="pct"/>
            <w:tcBorders>
              <w:top w:val="single" w:sz="4" w:space="0" w:color="auto"/>
            </w:tcBorders>
            <w:vAlign w:val="center"/>
          </w:tcPr>
          <w:p w14:paraId="5566D33D"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2.72**</w:t>
            </w:r>
          </w:p>
        </w:tc>
        <w:tc>
          <w:tcPr>
            <w:tcW w:w="288" w:type="pct"/>
            <w:tcBorders>
              <w:top w:val="single" w:sz="4" w:space="0" w:color="auto"/>
            </w:tcBorders>
            <w:vAlign w:val="center"/>
          </w:tcPr>
          <w:p w14:paraId="64C29F4D"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.36</w:t>
            </w:r>
          </w:p>
        </w:tc>
        <w:tc>
          <w:tcPr>
            <w:tcW w:w="312" w:type="pct"/>
            <w:tcBorders>
              <w:top w:val="single" w:sz="4" w:space="0" w:color="auto"/>
            </w:tcBorders>
            <w:vAlign w:val="center"/>
          </w:tcPr>
          <w:p w14:paraId="19664C81" w14:textId="77777777" w:rsidR="00E87700" w:rsidRPr="000D7205" w:rsidRDefault="00E87700" w:rsidP="00DC16FB">
            <w:pPr>
              <w:jc w:val="center"/>
              <w:rPr>
                <w:rFonts w:ascii="Times New Roman" w:hAnsi="Times New Roman" w:cs="Times New Roman"/>
                <w:color w:val="000000" w:themeColor="text1"/>
                <w:sz w:val="22"/>
                <w:szCs w:val="22"/>
              </w:rPr>
            </w:pPr>
          </w:p>
        </w:tc>
      </w:tr>
      <w:tr w:rsidR="00E87700" w:rsidRPr="000D7205" w14:paraId="4FDA9BC3" w14:textId="77777777" w:rsidTr="00DC16FB">
        <w:trPr>
          <w:trHeight w:val="113"/>
        </w:trPr>
        <w:tc>
          <w:tcPr>
            <w:tcW w:w="1092" w:type="pct"/>
            <w:vAlign w:val="center"/>
          </w:tcPr>
          <w:p w14:paraId="633AA530" w14:textId="77777777" w:rsidR="00E87700" w:rsidRPr="000D7205" w:rsidRDefault="00E87700" w:rsidP="00DC16FB">
            <w:pP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Efficacy for Student Engagement</w:t>
            </w:r>
          </w:p>
        </w:tc>
        <w:tc>
          <w:tcPr>
            <w:tcW w:w="331" w:type="pct"/>
            <w:vAlign w:val="center"/>
          </w:tcPr>
          <w:p w14:paraId="5BE013A7"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.08</w:t>
            </w:r>
          </w:p>
        </w:tc>
        <w:tc>
          <w:tcPr>
            <w:tcW w:w="233" w:type="pct"/>
            <w:vAlign w:val="center"/>
          </w:tcPr>
          <w:p w14:paraId="3E5ED91E"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.07</w:t>
            </w:r>
          </w:p>
        </w:tc>
        <w:tc>
          <w:tcPr>
            <w:tcW w:w="254" w:type="pct"/>
            <w:vAlign w:val="center"/>
          </w:tcPr>
          <w:p w14:paraId="57BC1981"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.09</w:t>
            </w:r>
          </w:p>
        </w:tc>
        <w:tc>
          <w:tcPr>
            <w:tcW w:w="78" w:type="pct"/>
            <w:vAlign w:val="center"/>
          </w:tcPr>
          <w:p w14:paraId="662B603F"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p>
        </w:tc>
        <w:tc>
          <w:tcPr>
            <w:tcW w:w="331" w:type="pct"/>
            <w:vAlign w:val="center"/>
          </w:tcPr>
          <w:p w14:paraId="291850CB"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.05</w:t>
            </w:r>
          </w:p>
        </w:tc>
        <w:tc>
          <w:tcPr>
            <w:tcW w:w="233" w:type="pct"/>
            <w:vAlign w:val="center"/>
          </w:tcPr>
          <w:p w14:paraId="24E0318C"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.05</w:t>
            </w:r>
          </w:p>
        </w:tc>
        <w:tc>
          <w:tcPr>
            <w:tcW w:w="292" w:type="pct"/>
            <w:vAlign w:val="center"/>
          </w:tcPr>
          <w:p w14:paraId="47D98B5F"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.08</w:t>
            </w:r>
          </w:p>
        </w:tc>
        <w:tc>
          <w:tcPr>
            <w:tcW w:w="78" w:type="pct"/>
            <w:vAlign w:val="center"/>
          </w:tcPr>
          <w:p w14:paraId="7FC4883C"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p>
        </w:tc>
        <w:tc>
          <w:tcPr>
            <w:tcW w:w="331" w:type="pct"/>
            <w:vAlign w:val="center"/>
          </w:tcPr>
          <w:p w14:paraId="31AB6600"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.23**</w:t>
            </w:r>
          </w:p>
        </w:tc>
        <w:tc>
          <w:tcPr>
            <w:tcW w:w="370" w:type="pct"/>
            <w:vAlign w:val="center"/>
          </w:tcPr>
          <w:p w14:paraId="1774DFC0"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.05</w:t>
            </w:r>
          </w:p>
        </w:tc>
        <w:tc>
          <w:tcPr>
            <w:tcW w:w="292" w:type="pct"/>
            <w:vAlign w:val="center"/>
          </w:tcPr>
          <w:p w14:paraId="79B882BE"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.35**</w:t>
            </w:r>
          </w:p>
        </w:tc>
        <w:tc>
          <w:tcPr>
            <w:tcW w:w="78" w:type="pct"/>
            <w:vAlign w:val="center"/>
          </w:tcPr>
          <w:p w14:paraId="367CA37E"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p>
        </w:tc>
        <w:tc>
          <w:tcPr>
            <w:tcW w:w="408" w:type="pct"/>
            <w:vAlign w:val="center"/>
          </w:tcPr>
          <w:p w14:paraId="6698E4F9"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.15*</w:t>
            </w:r>
          </w:p>
        </w:tc>
        <w:tc>
          <w:tcPr>
            <w:tcW w:w="288" w:type="pct"/>
            <w:vAlign w:val="center"/>
          </w:tcPr>
          <w:p w14:paraId="12951A3F"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.07</w:t>
            </w:r>
          </w:p>
        </w:tc>
        <w:tc>
          <w:tcPr>
            <w:tcW w:w="312" w:type="pct"/>
            <w:vAlign w:val="center"/>
          </w:tcPr>
          <w:p w14:paraId="7D1CAB0A"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.17*</w:t>
            </w:r>
          </w:p>
        </w:tc>
      </w:tr>
      <w:tr w:rsidR="00E87700" w:rsidRPr="000D7205" w14:paraId="13D6E5E4" w14:textId="77777777" w:rsidTr="00DC16FB">
        <w:trPr>
          <w:trHeight w:val="113"/>
        </w:trPr>
        <w:tc>
          <w:tcPr>
            <w:tcW w:w="1092" w:type="pct"/>
            <w:vAlign w:val="center"/>
          </w:tcPr>
          <w:p w14:paraId="10966EDF" w14:textId="77777777" w:rsidR="00E87700" w:rsidRPr="000D7205" w:rsidRDefault="00E87700" w:rsidP="00DC16FB">
            <w:pPr>
              <w:autoSpaceDE w:val="0"/>
              <w:autoSpaceDN w:val="0"/>
              <w:adjustRightInd w:val="0"/>
              <w:ind w:right="60"/>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Efficacy for Classroom Management</w:t>
            </w:r>
          </w:p>
        </w:tc>
        <w:tc>
          <w:tcPr>
            <w:tcW w:w="331" w:type="pct"/>
            <w:vAlign w:val="center"/>
          </w:tcPr>
          <w:p w14:paraId="76280B1E"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.13*</w:t>
            </w:r>
          </w:p>
        </w:tc>
        <w:tc>
          <w:tcPr>
            <w:tcW w:w="233" w:type="pct"/>
            <w:vAlign w:val="center"/>
          </w:tcPr>
          <w:p w14:paraId="793F813F"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.06</w:t>
            </w:r>
          </w:p>
        </w:tc>
        <w:tc>
          <w:tcPr>
            <w:tcW w:w="254" w:type="pct"/>
            <w:vAlign w:val="center"/>
          </w:tcPr>
          <w:p w14:paraId="144E37C3"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.19*</w:t>
            </w:r>
          </w:p>
        </w:tc>
        <w:tc>
          <w:tcPr>
            <w:tcW w:w="78" w:type="pct"/>
            <w:vAlign w:val="center"/>
          </w:tcPr>
          <w:p w14:paraId="17BE00A5"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p>
        </w:tc>
        <w:tc>
          <w:tcPr>
            <w:tcW w:w="331" w:type="pct"/>
            <w:vAlign w:val="center"/>
          </w:tcPr>
          <w:p w14:paraId="6F2B7462"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.01</w:t>
            </w:r>
          </w:p>
        </w:tc>
        <w:tc>
          <w:tcPr>
            <w:tcW w:w="233" w:type="pct"/>
            <w:vAlign w:val="center"/>
          </w:tcPr>
          <w:p w14:paraId="711CC783"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.04</w:t>
            </w:r>
          </w:p>
        </w:tc>
        <w:tc>
          <w:tcPr>
            <w:tcW w:w="292" w:type="pct"/>
            <w:vAlign w:val="center"/>
          </w:tcPr>
          <w:p w14:paraId="781EECCA"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.02</w:t>
            </w:r>
          </w:p>
        </w:tc>
        <w:tc>
          <w:tcPr>
            <w:tcW w:w="78" w:type="pct"/>
            <w:vAlign w:val="center"/>
          </w:tcPr>
          <w:p w14:paraId="556EF97E"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p>
        </w:tc>
        <w:tc>
          <w:tcPr>
            <w:tcW w:w="331" w:type="pct"/>
            <w:vAlign w:val="center"/>
          </w:tcPr>
          <w:p w14:paraId="1D663735"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.09*</w:t>
            </w:r>
          </w:p>
        </w:tc>
        <w:tc>
          <w:tcPr>
            <w:tcW w:w="370" w:type="pct"/>
            <w:vAlign w:val="center"/>
          </w:tcPr>
          <w:p w14:paraId="7560BD53"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.04</w:t>
            </w:r>
          </w:p>
        </w:tc>
        <w:tc>
          <w:tcPr>
            <w:tcW w:w="292" w:type="pct"/>
            <w:vAlign w:val="center"/>
          </w:tcPr>
          <w:p w14:paraId="1B4C0786"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.16*</w:t>
            </w:r>
          </w:p>
        </w:tc>
        <w:tc>
          <w:tcPr>
            <w:tcW w:w="78" w:type="pct"/>
            <w:vAlign w:val="center"/>
          </w:tcPr>
          <w:p w14:paraId="4EC96896"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p>
        </w:tc>
        <w:tc>
          <w:tcPr>
            <w:tcW w:w="408" w:type="pct"/>
            <w:vAlign w:val="center"/>
          </w:tcPr>
          <w:p w14:paraId="1FBE1238"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.13*</w:t>
            </w:r>
          </w:p>
        </w:tc>
        <w:tc>
          <w:tcPr>
            <w:tcW w:w="288" w:type="pct"/>
            <w:vAlign w:val="center"/>
          </w:tcPr>
          <w:p w14:paraId="59CDAC02"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.06</w:t>
            </w:r>
          </w:p>
        </w:tc>
        <w:tc>
          <w:tcPr>
            <w:tcW w:w="312" w:type="pct"/>
            <w:vAlign w:val="center"/>
          </w:tcPr>
          <w:p w14:paraId="424CB55F"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.16*</w:t>
            </w:r>
          </w:p>
        </w:tc>
      </w:tr>
      <w:tr w:rsidR="00E87700" w:rsidRPr="000D7205" w14:paraId="157A0CDB" w14:textId="77777777" w:rsidTr="00DC16FB">
        <w:trPr>
          <w:trHeight w:val="113"/>
        </w:trPr>
        <w:tc>
          <w:tcPr>
            <w:tcW w:w="1092" w:type="pct"/>
            <w:tcBorders>
              <w:bottom w:val="single" w:sz="4" w:space="0" w:color="auto"/>
            </w:tcBorders>
            <w:vAlign w:val="center"/>
          </w:tcPr>
          <w:p w14:paraId="363E1047" w14:textId="77777777" w:rsidR="00E87700" w:rsidRPr="000D7205" w:rsidRDefault="00E87700" w:rsidP="00DC16FB">
            <w:pP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Efficacy for Instructional Strategies</w:t>
            </w:r>
          </w:p>
        </w:tc>
        <w:tc>
          <w:tcPr>
            <w:tcW w:w="331" w:type="pct"/>
            <w:tcBorders>
              <w:bottom w:val="single" w:sz="4" w:space="0" w:color="auto"/>
            </w:tcBorders>
            <w:vAlign w:val="center"/>
          </w:tcPr>
          <w:p w14:paraId="06035355"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.06</w:t>
            </w:r>
          </w:p>
        </w:tc>
        <w:tc>
          <w:tcPr>
            <w:tcW w:w="233" w:type="pct"/>
            <w:tcBorders>
              <w:bottom w:val="single" w:sz="4" w:space="0" w:color="auto"/>
            </w:tcBorders>
            <w:vAlign w:val="center"/>
          </w:tcPr>
          <w:p w14:paraId="48A087B2"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.06</w:t>
            </w:r>
          </w:p>
        </w:tc>
        <w:tc>
          <w:tcPr>
            <w:tcW w:w="254" w:type="pct"/>
            <w:tcBorders>
              <w:bottom w:val="single" w:sz="4" w:space="0" w:color="auto"/>
            </w:tcBorders>
            <w:vAlign w:val="center"/>
          </w:tcPr>
          <w:p w14:paraId="51828AC2"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.08</w:t>
            </w:r>
          </w:p>
        </w:tc>
        <w:tc>
          <w:tcPr>
            <w:tcW w:w="78" w:type="pct"/>
            <w:vAlign w:val="center"/>
          </w:tcPr>
          <w:p w14:paraId="18121F2D"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p>
        </w:tc>
        <w:tc>
          <w:tcPr>
            <w:tcW w:w="331" w:type="pct"/>
            <w:tcBorders>
              <w:bottom w:val="single" w:sz="4" w:space="0" w:color="auto"/>
            </w:tcBorders>
            <w:vAlign w:val="center"/>
          </w:tcPr>
          <w:p w14:paraId="0A42CE01"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.26**</w:t>
            </w:r>
          </w:p>
        </w:tc>
        <w:tc>
          <w:tcPr>
            <w:tcW w:w="233" w:type="pct"/>
            <w:tcBorders>
              <w:bottom w:val="single" w:sz="4" w:space="0" w:color="auto"/>
            </w:tcBorders>
            <w:vAlign w:val="center"/>
          </w:tcPr>
          <w:p w14:paraId="3FE5A8DF"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.04</w:t>
            </w:r>
          </w:p>
        </w:tc>
        <w:tc>
          <w:tcPr>
            <w:tcW w:w="292" w:type="pct"/>
            <w:tcBorders>
              <w:bottom w:val="single" w:sz="4" w:space="0" w:color="auto"/>
            </w:tcBorders>
            <w:vAlign w:val="center"/>
          </w:tcPr>
          <w:p w14:paraId="688C48CD"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.47**</w:t>
            </w:r>
          </w:p>
        </w:tc>
        <w:tc>
          <w:tcPr>
            <w:tcW w:w="78" w:type="pct"/>
            <w:vAlign w:val="center"/>
          </w:tcPr>
          <w:p w14:paraId="68D1DFD9"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p>
        </w:tc>
        <w:tc>
          <w:tcPr>
            <w:tcW w:w="331" w:type="pct"/>
            <w:tcBorders>
              <w:bottom w:val="single" w:sz="4" w:space="0" w:color="auto"/>
            </w:tcBorders>
            <w:vAlign w:val="center"/>
          </w:tcPr>
          <w:p w14:paraId="56857FF1"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.03</w:t>
            </w:r>
          </w:p>
        </w:tc>
        <w:tc>
          <w:tcPr>
            <w:tcW w:w="370" w:type="pct"/>
            <w:tcBorders>
              <w:bottom w:val="single" w:sz="4" w:space="0" w:color="auto"/>
            </w:tcBorders>
            <w:vAlign w:val="center"/>
          </w:tcPr>
          <w:p w14:paraId="5A8A20E8"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.04</w:t>
            </w:r>
          </w:p>
        </w:tc>
        <w:tc>
          <w:tcPr>
            <w:tcW w:w="292" w:type="pct"/>
            <w:tcBorders>
              <w:bottom w:val="single" w:sz="4" w:space="0" w:color="auto"/>
            </w:tcBorders>
            <w:vAlign w:val="center"/>
          </w:tcPr>
          <w:p w14:paraId="001D54C1"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.05</w:t>
            </w:r>
          </w:p>
        </w:tc>
        <w:tc>
          <w:tcPr>
            <w:tcW w:w="78" w:type="pct"/>
            <w:vAlign w:val="center"/>
          </w:tcPr>
          <w:p w14:paraId="004915E2"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p>
        </w:tc>
        <w:tc>
          <w:tcPr>
            <w:tcW w:w="408" w:type="pct"/>
            <w:tcBorders>
              <w:bottom w:val="single" w:sz="4" w:space="0" w:color="auto"/>
            </w:tcBorders>
            <w:vAlign w:val="center"/>
          </w:tcPr>
          <w:p w14:paraId="0ED92133"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.05</w:t>
            </w:r>
          </w:p>
        </w:tc>
        <w:tc>
          <w:tcPr>
            <w:tcW w:w="288" w:type="pct"/>
            <w:tcBorders>
              <w:bottom w:val="single" w:sz="4" w:space="0" w:color="auto"/>
            </w:tcBorders>
            <w:vAlign w:val="center"/>
          </w:tcPr>
          <w:p w14:paraId="3ADB55D1"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.07</w:t>
            </w:r>
          </w:p>
        </w:tc>
        <w:tc>
          <w:tcPr>
            <w:tcW w:w="312" w:type="pct"/>
            <w:tcBorders>
              <w:bottom w:val="single" w:sz="4" w:space="0" w:color="auto"/>
            </w:tcBorders>
            <w:vAlign w:val="center"/>
          </w:tcPr>
          <w:p w14:paraId="0B77FEE3"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.06</w:t>
            </w:r>
          </w:p>
        </w:tc>
      </w:tr>
      <w:tr w:rsidR="00E87700" w:rsidRPr="000D7205" w14:paraId="4FE45052" w14:textId="77777777" w:rsidTr="00DC16FB">
        <w:trPr>
          <w:trHeight w:val="113"/>
        </w:trPr>
        <w:tc>
          <w:tcPr>
            <w:tcW w:w="1092" w:type="pct"/>
            <w:tcBorders>
              <w:top w:val="single" w:sz="4" w:space="0" w:color="auto"/>
            </w:tcBorders>
            <w:vAlign w:val="center"/>
          </w:tcPr>
          <w:p w14:paraId="064BDE7E" w14:textId="77777777" w:rsidR="00E87700" w:rsidRPr="000D7205" w:rsidRDefault="00E87700" w:rsidP="00DC16FB">
            <w:pPr>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F</w:t>
            </w:r>
          </w:p>
        </w:tc>
        <w:tc>
          <w:tcPr>
            <w:tcW w:w="817" w:type="pct"/>
            <w:gridSpan w:val="3"/>
            <w:tcBorders>
              <w:top w:val="single" w:sz="4" w:space="0" w:color="auto"/>
            </w:tcBorders>
            <w:vAlign w:val="center"/>
          </w:tcPr>
          <w:p w14:paraId="27A32C57"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10.77**</w:t>
            </w:r>
          </w:p>
        </w:tc>
        <w:tc>
          <w:tcPr>
            <w:tcW w:w="78" w:type="pct"/>
            <w:vAlign w:val="center"/>
          </w:tcPr>
          <w:p w14:paraId="39E8D1A9"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p>
        </w:tc>
        <w:tc>
          <w:tcPr>
            <w:tcW w:w="856" w:type="pct"/>
            <w:gridSpan w:val="3"/>
            <w:tcBorders>
              <w:top w:val="single" w:sz="4" w:space="0" w:color="auto"/>
            </w:tcBorders>
            <w:vAlign w:val="center"/>
          </w:tcPr>
          <w:p w14:paraId="33C001E2"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39.31**</w:t>
            </w:r>
          </w:p>
        </w:tc>
        <w:tc>
          <w:tcPr>
            <w:tcW w:w="78" w:type="pct"/>
            <w:vAlign w:val="center"/>
          </w:tcPr>
          <w:p w14:paraId="68150B7F"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p>
        </w:tc>
        <w:tc>
          <w:tcPr>
            <w:tcW w:w="331" w:type="pct"/>
            <w:tcBorders>
              <w:top w:val="single" w:sz="4" w:space="0" w:color="auto"/>
            </w:tcBorders>
            <w:vAlign w:val="center"/>
          </w:tcPr>
          <w:p w14:paraId="0A670385"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p>
        </w:tc>
        <w:tc>
          <w:tcPr>
            <w:tcW w:w="370" w:type="pct"/>
            <w:tcBorders>
              <w:top w:val="single" w:sz="4" w:space="0" w:color="auto"/>
            </w:tcBorders>
            <w:vAlign w:val="center"/>
          </w:tcPr>
          <w:p w14:paraId="2CFECCE0"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32.99**</w:t>
            </w:r>
          </w:p>
        </w:tc>
        <w:tc>
          <w:tcPr>
            <w:tcW w:w="292" w:type="pct"/>
            <w:tcBorders>
              <w:top w:val="single" w:sz="4" w:space="0" w:color="auto"/>
            </w:tcBorders>
            <w:vAlign w:val="center"/>
          </w:tcPr>
          <w:p w14:paraId="460672C2"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p>
        </w:tc>
        <w:tc>
          <w:tcPr>
            <w:tcW w:w="78" w:type="pct"/>
            <w:vAlign w:val="center"/>
          </w:tcPr>
          <w:p w14:paraId="006D5DF6"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p>
        </w:tc>
        <w:tc>
          <w:tcPr>
            <w:tcW w:w="1008" w:type="pct"/>
            <w:gridSpan w:val="3"/>
            <w:tcBorders>
              <w:top w:val="single" w:sz="4" w:space="0" w:color="auto"/>
            </w:tcBorders>
            <w:vAlign w:val="center"/>
          </w:tcPr>
          <w:p w14:paraId="7EBA65E7"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12.92**</w:t>
            </w:r>
          </w:p>
        </w:tc>
      </w:tr>
      <w:tr w:rsidR="00E87700" w:rsidRPr="000D7205" w14:paraId="2F77E66B" w14:textId="77777777" w:rsidTr="00DC16FB">
        <w:trPr>
          <w:trHeight w:val="113"/>
        </w:trPr>
        <w:tc>
          <w:tcPr>
            <w:tcW w:w="1092" w:type="pct"/>
            <w:tcBorders>
              <w:bottom w:val="single" w:sz="4" w:space="0" w:color="auto"/>
            </w:tcBorders>
            <w:vAlign w:val="center"/>
          </w:tcPr>
          <w:p w14:paraId="04EA337B" w14:textId="77777777" w:rsidR="00E87700" w:rsidRPr="000D7205" w:rsidRDefault="00E87700" w:rsidP="00DC16FB">
            <w:pPr>
              <w:jc w:val="center"/>
              <w:rPr>
                <w:rFonts w:ascii="Times New Roman" w:hAnsi="Times New Roman" w:cs="Times New Roman"/>
                <w:color w:val="000000" w:themeColor="text1"/>
                <w:sz w:val="22"/>
                <w:szCs w:val="22"/>
                <w:vertAlign w:val="superscript"/>
              </w:rPr>
            </w:pPr>
            <w:r w:rsidRPr="000D7205">
              <w:rPr>
                <w:rFonts w:ascii="Times New Roman" w:hAnsi="Times New Roman" w:cs="Times New Roman"/>
                <w:color w:val="000000" w:themeColor="text1"/>
                <w:sz w:val="22"/>
                <w:szCs w:val="22"/>
              </w:rPr>
              <w:t>R</w:t>
            </w:r>
            <w:r w:rsidRPr="000D7205">
              <w:rPr>
                <w:rFonts w:ascii="Times New Roman" w:hAnsi="Times New Roman" w:cs="Times New Roman"/>
                <w:color w:val="000000" w:themeColor="text1"/>
                <w:sz w:val="22"/>
                <w:szCs w:val="22"/>
                <w:vertAlign w:val="superscript"/>
              </w:rPr>
              <w:t>2</w:t>
            </w:r>
          </w:p>
        </w:tc>
        <w:tc>
          <w:tcPr>
            <w:tcW w:w="331" w:type="pct"/>
            <w:tcBorders>
              <w:bottom w:val="single" w:sz="4" w:space="0" w:color="auto"/>
            </w:tcBorders>
            <w:vAlign w:val="center"/>
          </w:tcPr>
          <w:p w14:paraId="27C5B96C"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p>
        </w:tc>
        <w:tc>
          <w:tcPr>
            <w:tcW w:w="233" w:type="pct"/>
            <w:tcBorders>
              <w:bottom w:val="single" w:sz="4" w:space="0" w:color="auto"/>
            </w:tcBorders>
            <w:vAlign w:val="center"/>
          </w:tcPr>
          <w:p w14:paraId="67671F80"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.10</w:t>
            </w:r>
          </w:p>
        </w:tc>
        <w:tc>
          <w:tcPr>
            <w:tcW w:w="254" w:type="pct"/>
            <w:tcBorders>
              <w:bottom w:val="single" w:sz="4" w:space="0" w:color="auto"/>
            </w:tcBorders>
            <w:vAlign w:val="center"/>
          </w:tcPr>
          <w:p w14:paraId="7A306556"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p>
        </w:tc>
        <w:tc>
          <w:tcPr>
            <w:tcW w:w="78" w:type="pct"/>
            <w:tcBorders>
              <w:bottom w:val="single" w:sz="4" w:space="0" w:color="auto"/>
            </w:tcBorders>
            <w:vAlign w:val="center"/>
          </w:tcPr>
          <w:p w14:paraId="2DAC8D67"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p>
        </w:tc>
        <w:tc>
          <w:tcPr>
            <w:tcW w:w="331" w:type="pct"/>
            <w:tcBorders>
              <w:bottom w:val="single" w:sz="4" w:space="0" w:color="auto"/>
            </w:tcBorders>
            <w:vAlign w:val="center"/>
          </w:tcPr>
          <w:p w14:paraId="4FB97751"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p>
        </w:tc>
        <w:tc>
          <w:tcPr>
            <w:tcW w:w="233" w:type="pct"/>
            <w:tcBorders>
              <w:bottom w:val="single" w:sz="4" w:space="0" w:color="auto"/>
            </w:tcBorders>
            <w:vAlign w:val="center"/>
          </w:tcPr>
          <w:p w14:paraId="19234288"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.29</w:t>
            </w:r>
          </w:p>
        </w:tc>
        <w:tc>
          <w:tcPr>
            <w:tcW w:w="292" w:type="pct"/>
            <w:tcBorders>
              <w:bottom w:val="single" w:sz="4" w:space="0" w:color="auto"/>
            </w:tcBorders>
            <w:vAlign w:val="center"/>
          </w:tcPr>
          <w:p w14:paraId="78BC28A7"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p>
        </w:tc>
        <w:tc>
          <w:tcPr>
            <w:tcW w:w="78" w:type="pct"/>
            <w:tcBorders>
              <w:bottom w:val="single" w:sz="4" w:space="0" w:color="auto"/>
            </w:tcBorders>
            <w:vAlign w:val="center"/>
          </w:tcPr>
          <w:p w14:paraId="65709949"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p>
        </w:tc>
        <w:tc>
          <w:tcPr>
            <w:tcW w:w="331" w:type="pct"/>
            <w:tcBorders>
              <w:bottom w:val="single" w:sz="4" w:space="0" w:color="auto"/>
            </w:tcBorders>
            <w:vAlign w:val="center"/>
          </w:tcPr>
          <w:p w14:paraId="2BB560DC"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p>
        </w:tc>
        <w:tc>
          <w:tcPr>
            <w:tcW w:w="370" w:type="pct"/>
            <w:tcBorders>
              <w:bottom w:val="single" w:sz="4" w:space="0" w:color="auto"/>
            </w:tcBorders>
            <w:vAlign w:val="center"/>
          </w:tcPr>
          <w:p w14:paraId="68519B81"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.26</w:t>
            </w:r>
          </w:p>
        </w:tc>
        <w:tc>
          <w:tcPr>
            <w:tcW w:w="292" w:type="pct"/>
            <w:tcBorders>
              <w:bottom w:val="single" w:sz="4" w:space="0" w:color="auto"/>
            </w:tcBorders>
            <w:vAlign w:val="center"/>
          </w:tcPr>
          <w:p w14:paraId="1DC79DED"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p>
        </w:tc>
        <w:tc>
          <w:tcPr>
            <w:tcW w:w="78" w:type="pct"/>
            <w:tcBorders>
              <w:bottom w:val="single" w:sz="4" w:space="0" w:color="auto"/>
            </w:tcBorders>
            <w:vAlign w:val="center"/>
          </w:tcPr>
          <w:p w14:paraId="0E023C75"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p>
        </w:tc>
        <w:tc>
          <w:tcPr>
            <w:tcW w:w="408" w:type="pct"/>
            <w:tcBorders>
              <w:bottom w:val="single" w:sz="4" w:space="0" w:color="auto"/>
            </w:tcBorders>
            <w:vAlign w:val="center"/>
          </w:tcPr>
          <w:p w14:paraId="06D60031"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p>
        </w:tc>
        <w:tc>
          <w:tcPr>
            <w:tcW w:w="288" w:type="pct"/>
            <w:tcBorders>
              <w:bottom w:val="single" w:sz="4" w:space="0" w:color="auto"/>
            </w:tcBorders>
            <w:vAlign w:val="center"/>
          </w:tcPr>
          <w:p w14:paraId="5AD2074E"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r w:rsidRPr="000D7205">
              <w:rPr>
                <w:rFonts w:ascii="Times New Roman" w:hAnsi="Times New Roman" w:cs="Times New Roman"/>
                <w:color w:val="000000" w:themeColor="text1"/>
                <w:sz w:val="22"/>
                <w:szCs w:val="22"/>
              </w:rPr>
              <w:t>.12</w:t>
            </w:r>
          </w:p>
        </w:tc>
        <w:tc>
          <w:tcPr>
            <w:tcW w:w="312" w:type="pct"/>
            <w:tcBorders>
              <w:bottom w:val="single" w:sz="4" w:space="0" w:color="auto"/>
            </w:tcBorders>
            <w:vAlign w:val="center"/>
          </w:tcPr>
          <w:p w14:paraId="466F1B52" w14:textId="77777777" w:rsidR="00E87700" w:rsidRPr="000D7205" w:rsidRDefault="00E87700" w:rsidP="00DC16FB">
            <w:pPr>
              <w:autoSpaceDE w:val="0"/>
              <w:autoSpaceDN w:val="0"/>
              <w:adjustRightInd w:val="0"/>
              <w:ind w:left="60" w:right="60"/>
              <w:jc w:val="center"/>
              <w:rPr>
                <w:rFonts w:ascii="Times New Roman" w:hAnsi="Times New Roman" w:cs="Times New Roman"/>
                <w:color w:val="000000" w:themeColor="text1"/>
                <w:sz w:val="22"/>
                <w:szCs w:val="22"/>
              </w:rPr>
            </w:pPr>
          </w:p>
        </w:tc>
      </w:tr>
    </w:tbl>
    <w:p w14:paraId="65029A3D" w14:textId="39F3EABF" w:rsidR="00B12CEB" w:rsidRPr="00E87700" w:rsidRDefault="00E87700" w:rsidP="00E87700">
      <w:pPr>
        <w:jc w:val="both"/>
        <w:rPr>
          <w:color w:val="000000" w:themeColor="text1"/>
          <w:sz w:val="22"/>
          <w:szCs w:val="22"/>
        </w:rPr>
      </w:pPr>
      <w:r w:rsidRPr="000D7205">
        <w:rPr>
          <w:color w:val="000000" w:themeColor="text1"/>
          <w:sz w:val="22"/>
          <w:szCs w:val="22"/>
        </w:rPr>
        <w:t>*</w:t>
      </w:r>
      <w:r w:rsidRPr="000D7205">
        <w:rPr>
          <w:i/>
          <w:color w:val="000000" w:themeColor="text1"/>
          <w:sz w:val="22"/>
          <w:szCs w:val="22"/>
        </w:rPr>
        <w:t>p</w:t>
      </w:r>
      <w:r w:rsidRPr="000D7205">
        <w:rPr>
          <w:color w:val="000000" w:themeColor="text1"/>
          <w:sz w:val="22"/>
          <w:szCs w:val="22"/>
        </w:rPr>
        <w:t>&lt;.05 **</w:t>
      </w:r>
      <w:r w:rsidRPr="000D7205">
        <w:rPr>
          <w:i/>
          <w:color w:val="000000" w:themeColor="text1"/>
          <w:sz w:val="22"/>
          <w:szCs w:val="22"/>
        </w:rPr>
        <w:t>p</w:t>
      </w:r>
      <w:r w:rsidRPr="000D7205">
        <w:rPr>
          <w:color w:val="000000" w:themeColor="text1"/>
          <w:sz w:val="22"/>
          <w:szCs w:val="22"/>
        </w:rPr>
        <w:t>&lt;..01</w:t>
      </w:r>
    </w:p>
    <w:sectPr w:rsidR="00B12CEB" w:rsidRPr="00E87700" w:rsidSect="009B1FA6">
      <w:pgSz w:w="16840" w:h="11901" w:orient="landscape"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356B4" w14:textId="77777777" w:rsidR="00976652" w:rsidRDefault="00976652" w:rsidP="00AF2C92">
      <w:r>
        <w:separator/>
      </w:r>
    </w:p>
  </w:endnote>
  <w:endnote w:type="continuationSeparator" w:id="0">
    <w:p w14:paraId="321801BB" w14:textId="77777777" w:rsidR="00976652" w:rsidRDefault="00976652"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erif">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9524C" w14:textId="77777777" w:rsidR="00DF7913" w:rsidRDefault="00DF7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5475080"/>
      <w:docPartObj>
        <w:docPartGallery w:val="Page Numbers (Bottom of Page)"/>
        <w:docPartUnique/>
      </w:docPartObj>
    </w:sdtPr>
    <w:sdtEndPr/>
    <w:sdtContent>
      <w:p w14:paraId="2FE99BD7" w14:textId="77777777" w:rsidR="00DF7913" w:rsidRDefault="00DF7913">
        <w:pPr>
          <w:pStyle w:val="Footer"/>
          <w:jc w:val="center"/>
        </w:pPr>
        <w:r>
          <w:fldChar w:fldCharType="begin"/>
        </w:r>
        <w:r>
          <w:instrText>PAGE   \* MERGEFORMAT</w:instrText>
        </w:r>
        <w:r>
          <w:fldChar w:fldCharType="separate"/>
        </w:r>
        <w:r w:rsidRPr="004C3100">
          <w:rPr>
            <w:noProof/>
            <w:lang w:val="tr-TR"/>
          </w:rPr>
          <w:t>1</w:t>
        </w:r>
        <w:r>
          <w:fldChar w:fldCharType="end"/>
        </w:r>
      </w:p>
    </w:sdtContent>
  </w:sdt>
  <w:p w14:paraId="300C5841" w14:textId="77777777" w:rsidR="00DF7913" w:rsidRDefault="00DF79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FE2E9" w14:textId="77777777" w:rsidR="00DF7913" w:rsidRDefault="00DF79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522188"/>
      <w:docPartObj>
        <w:docPartGallery w:val="Page Numbers (Bottom of Page)"/>
        <w:docPartUnique/>
      </w:docPartObj>
    </w:sdtPr>
    <w:sdtEndPr/>
    <w:sdtContent>
      <w:p w14:paraId="1851705A" w14:textId="77777777" w:rsidR="00DF7913" w:rsidRDefault="00DF7913">
        <w:pPr>
          <w:pStyle w:val="Footer"/>
          <w:jc w:val="center"/>
        </w:pPr>
        <w:r>
          <w:fldChar w:fldCharType="begin"/>
        </w:r>
        <w:r>
          <w:instrText>PAGE   \* MERGEFORMAT</w:instrText>
        </w:r>
        <w:r>
          <w:fldChar w:fldCharType="separate"/>
        </w:r>
        <w:r w:rsidRPr="00EB551C">
          <w:rPr>
            <w:noProof/>
            <w:lang w:val="tr-TR"/>
          </w:rPr>
          <w:t>13</w:t>
        </w:r>
        <w:r>
          <w:fldChar w:fldCharType="end"/>
        </w:r>
      </w:p>
    </w:sdtContent>
  </w:sdt>
  <w:p w14:paraId="074FF860" w14:textId="77777777" w:rsidR="00DF7913" w:rsidRDefault="00DF7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6ABC1" w14:textId="77777777" w:rsidR="00976652" w:rsidRDefault="00976652" w:rsidP="00AF2C92">
      <w:r>
        <w:separator/>
      </w:r>
    </w:p>
  </w:footnote>
  <w:footnote w:type="continuationSeparator" w:id="0">
    <w:p w14:paraId="0B0A47D9" w14:textId="77777777" w:rsidR="00976652" w:rsidRDefault="00976652"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C7065" w14:textId="2FDCB8A5" w:rsidR="00DF7913" w:rsidRDefault="00DF7913" w:rsidP="00B12CEB">
    <w:pPr>
      <w:pStyle w:val="Header"/>
      <w:jc w:val="right"/>
    </w:pPr>
    <w:r w:rsidRPr="001A4DC5">
      <w:rPr>
        <w:rFonts w:ascii="Droid Serif" w:hAnsi="Droid Serif"/>
        <w:bCs/>
        <w:i/>
        <w:kern w:val="36"/>
        <w:lang w:val="tr-TR" w:eastAsia="tr-TR"/>
      </w:rPr>
      <w:t xml:space="preserve">Teachers and Teaching: </w:t>
    </w:r>
    <w:r w:rsidRPr="001A4DC5">
      <w:rPr>
        <w:rFonts w:ascii="Droid Serif" w:hAnsi="Droid Serif" w:cs="Arial"/>
        <w:i/>
        <w:kern w:val="36"/>
        <w:lang w:val="tr-TR" w:eastAsia="tr-TR"/>
      </w:rPr>
      <w:t>Theory and Practice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10B62" w14:textId="4ED0E06E" w:rsidR="00DF7913" w:rsidRPr="00B12CEB" w:rsidRDefault="00DF7913" w:rsidP="00B12CEB">
    <w:pPr>
      <w:pStyle w:val="Header"/>
      <w:jc w:val="right"/>
      <w:rPr>
        <w:i/>
      </w:rPr>
    </w:pPr>
    <w:r w:rsidRPr="00B12CEB">
      <w:rPr>
        <w:i/>
      </w:rPr>
      <w:t>S. Yerdelen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8FAD9" w14:textId="77777777" w:rsidR="00DF7913" w:rsidRDefault="00DF7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F81E16"/>
    <w:multiLevelType w:val="hybridMultilevel"/>
    <w:tmpl w:val="3E3E42CA"/>
    <w:lvl w:ilvl="0" w:tplc="B9AA1C8A">
      <w:start w:val="1"/>
      <w:numFmt w:val="decimal"/>
      <w:lvlText w:val="%1."/>
      <w:lvlJc w:val="left"/>
      <w:pPr>
        <w:ind w:left="360" w:hanging="360"/>
      </w:pPr>
      <w:rPr>
        <w:rFonts w:eastAsiaTheme="minorHAnsi" w:cstheme="minorBidi"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DC2C4B"/>
    <w:multiLevelType w:val="hybridMultilevel"/>
    <w:tmpl w:val="0F6CFBC0"/>
    <w:lvl w:ilvl="0" w:tplc="A566B6AC">
      <w:start w:val="1"/>
      <w:numFmt w:val="decimal"/>
      <w:lvlText w:val="(%1)"/>
      <w:lvlJc w:val="left"/>
      <w:pPr>
        <w:ind w:left="720" w:hanging="360"/>
      </w:pPr>
      <w:rPr>
        <w:rFonts w:ascii="Times New Roman" w:eastAsiaTheme="minorHAnsi" w:hAnsi="Times New Roman" w:cs="Times New Roman"/>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B3730B9"/>
    <w:multiLevelType w:val="hybridMultilevel"/>
    <w:tmpl w:val="1032C36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C0B6D4A"/>
    <w:multiLevelType w:val="hybridMultilevel"/>
    <w:tmpl w:val="E898C87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ED6548D"/>
    <w:multiLevelType w:val="hybridMultilevel"/>
    <w:tmpl w:val="8AD0B73C"/>
    <w:lvl w:ilvl="0" w:tplc="041F000F">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54BE4F49"/>
    <w:multiLevelType w:val="hybridMultilevel"/>
    <w:tmpl w:val="D1CE580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4F7A09"/>
    <w:multiLevelType w:val="hybridMultilevel"/>
    <w:tmpl w:val="B4603ADE"/>
    <w:lvl w:ilvl="0" w:tplc="041F000F">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5"/>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1"/>
  </w:num>
  <w:num w:numId="14">
    <w:abstractNumId w:val="26"/>
  </w:num>
  <w:num w:numId="15">
    <w:abstractNumId w:val="17"/>
  </w:num>
  <w:num w:numId="16">
    <w:abstractNumId w:val="20"/>
  </w:num>
  <w:num w:numId="17">
    <w:abstractNumId w:val="12"/>
  </w:num>
  <w:num w:numId="18">
    <w:abstractNumId w:val="0"/>
  </w:num>
  <w:num w:numId="19">
    <w:abstractNumId w:val="13"/>
  </w:num>
  <w:num w:numId="20">
    <w:abstractNumId w:val="26"/>
  </w:num>
  <w:num w:numId="21">
    <w:abstractNumId w:val="26"/>
  </w:num>
  <w:num w:numId="22">
    <w:abstractNumId w:val="26"/>
  </w:num>
  <w:num w:numId="23">
    <w:abstractNumId w:val="26"/>
  </w:num>
  <w:num w:numId="24">
    <w:abstractNumId w:val="21"/>
  </w:num>
  <w:num w:numId="25">
    <w:abstractNumId w:val="22"/>
  </w:num>
  <w:num w:numId="26">
    <w:abstractNumId w:val="27"/>
  </w:num>
  <w:num w:numId="27">
    <w:abstractNumId w:val="28"/>
  </w:num>
  <w:num w:numId="28">
    <w:abstractNumId w:val="26"/>
  </w:num>
  <w:num w:numId="29">
    <w:abstractNumId w:val="16"/>
  </w:num>
  <w:num w:numId="30">
    <w:abstractNumId w:val="30"/>
  </w:num>
  <w:num w:numId="31">
    <w:abstractNumId w:val="14"/>
  </w:num>
  <w:num w:numId="32">
    <w:abstractNumId w:val="24"/>
  </w:num>
  <w:num w:numId="33">
    <w:abstractNumId w:val="19"/>
  </w:num>
  <w:num w:numId="34">
    <w:abstractNumId w:val="15"/>
  </w:num>
  <w:num w:numId="35">
    <w:abstractNumId w:val="11"/>
  </w:num>
  <w:num w:numId="36">
    <w:abstractNumId w:val="29"/>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680"/>
    <w:rsid w:val="0000146B"/>
    <w:rsid w:val="00001899"/>
    <w:rsid w:val="000049AD"/>
    <w:rsid w:val="00005768"/>
    <w:rsid w:val="0000681B"/>
    <w:rsid w:val="000133C0"/>
    <w:rsid w:val="00014C4E"/>
    <w:rsid w:val="00014D8B"/>
    <w:rsid w:val="00017107"/>
    <w:rsid w:val="000202E2"/>
    <w:rsid w:val="00022441"/>
    <w:rsid w:val="0002261E"/>
    <w:rsid w:val="00024839"/>
    <w:rsid w:val="00026871"/>
    <w:rsid w:val="00037A98"/>
    <w:rsid w:val="000404DA"/>
    <w:rsid w:val="000427FB"/>
    <w:rsid w:val="0004455E"/>
    <w:rsid w:val="00047CB5"/>
    <w:rsid w:val="00051FAA"/>
    <w:rsid w:val="000572A9"/>
    <w:rsid w:val="00061325"/>
    <w:rsid w:val="000733AC"/>
    <w:rsid w:val="00074A92"/>
    <w:rsid w:val="00074B81"/>
    <w:rsid w:val="00074D22"/>
    <w:rsid w:val="00075081"/>
    <w:rsid w:val="0007528A"/>
    <w:rsid w:val="000811AB"/>
    <w:rsid w:val="00083C5F"/>
    <w:rsid w:val="0009172C"/>
    <w:rsid w:val="000930EC"/>
    <w:rsid w:val="00093A33"/>
    <w:rsid w:val="00095E61"/>
    <w:rsid w:val="000966C1"/>
    <w:rsid w:val="000970AC"/>
    <w:rsid w:val="000A1148"/>
    <w:rsid w:val="000A1167"/>
    <w:rsid w:val="000A4428"/>
    <w:rsid w:val="000A6D40"/>
    <w:rsid w:val="000A7453"/>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2D61"/>
    <w:rsid w:val="000E38A2"/>
    <w:rsid w:val="000E450E"/>
    <w:rsid w:val="000E46EA"/>
    <w:rsid w:val="000E6259"/>
    <w:rsid w:val="000F4677"/>
    <w:rsid w:val="000F5BE0"/>
    <w:rsid w:val="00100587"/>
    <w:rsid w:val="0010284E"/>
    <w:rsid w:val="00103122"/>
    <w:rsid w:val="0010336A"/>
    <w:rsid w:val="001050F1"/>
    <w:rsid w:val="00105AEA"/>
    <w:rsid w:val="00106DAF"/>
    <w:rsid w:val="0011407B"/>
    <w:rsid w:val="00114ABE"/>
    <w:rsid w:val="00116023"/>
    <w:rsid w:val="00125D02"/>
    <w:rsid w:val="00134A51"/>
    <w:rsid w:val="00140727"/>
    <w:rsid w:val="00156A70"/>
    <w:rsid w:val="00160628"/>
    <w:rsid w:val="00161344"/>
    <w:rsid w:val="00162195"/>
    <w:rsid w:val="0016322A"/>
    <w:rsid w:val="00165A21"/>
    <w:rsid w:val="001705CE"/>
    <w:rsid w:val="00176C0D"/>
    <w:rsid w:val="0017714B"/>
    <w:rsid w:val="001804DF"/>
    <w:rsid w:val="00181BDC"/>
    <w:rsid w:val="00181DB0"/>
    <w:rsid w:val="001829E3"/>
    <w:rsid w:val="001924C0"/>
    <w:rsid w:val="0019394D"/>
    <w:rsid w:val="0019731E"/>
    <w:rsid w:val="001A09FE"/>
    <w:rsid w:val="001A49BD"/>
    <w:rsid w:val="001A67C9"/>
    <w:rsid w:val="001A69DE"/>
    <w:rsid w:val="001A713C"/>
    <w:rsid w:val="001B1521"/>
    <w:rsid w:val="001B1C7C"/>
    <w:rsid w:val="001B398F"/>
    <w:rsid w:val="001B46C6"/>
    <w:rsid w:val="001B4B48"/>
    <w:rsid w:val="001B4D1F"/>
    <w:rsid w:val="001B7681"/>
    <w:rsid w:val="001B7CAE"/>
    <w:rsid w:val="001C0772"/>
    <w:rsid w:val="001C0D4F"/>
    <w:rsid w:val="001C1BA3"/>
    <w:rsid w:val="001C1DEC"/>
    <w:rsid w:val="001C5736"/>
    <w:rsid w:val="001D4237"/>
    <w:rsid w:val="001D647F"/>
    <w:rsid w:val="001D6857"/>
    <w:rsid w:val="001D7536"/>
    <w:rsid w:val="001E0572"/>
    <w:rsid w:val="001E0A67"/>
    <w:rsid w:val="001E1028"/>
    <w:rsid w:val="001E14E2"/>
    <w:rsid w:val="001E6302"/>
    <w:rsid w:val="001E6BEA"/>
    <w:rsid w:val="001E7DCB"/>
    <w:rsid w:val="001F02DF"/>
    <w:rsid w:val="001F3411"/>
    <w:rsid w:val="001F4287"/>
    <w:rsid w:val="001F4DBA"/>
    <w:rsid w:val="0020415E"/>
    <w:rsid w:val="00204FF4"/>
    <w:rsid w:val="00205F49"/>
    <w:rsid w:val="0021056E"/>
    <w:rsid w:val="0021075D"/>
    <w:rsid w:val="0021165A"/>
    <w:rsid w:val="00211BC9"/>
    <w:rsid w:val="0021620C"/>
    <w:rsid w:val="00216E78"/>
    <w:rsid w:val="00217275"/>
    <w:rsid w:val="00230BFE"/>
    <w:rsid w:val="00232C17"/>
    <w:rsid w:val="00236F4B"/>
    <w:rsid w:val="00237B47"/>
    <w:rsid w:val="00242044"/>
    <w:rsid w:val="002426A5"/>
    <w:rsid w:val="00242B0D"/>
    <w:rsid w:val="002467C6"/>
    <w:rsid w:val="0024692A"/>
    <w:rsid w:val="00252BBA"/>
    <w:rsid w:val="00253123"/>
    <w:rsid w:val="00264001"/>
    <w:rsid w:val="00265167"/>
    <w:rsid w:val="00266354"/>
    <w:rsid w:val="00267A18"/>
    <w:rsid w:val="002726D6"/>
    <w:rsid w:val="00273462"/>
    <w:rsid w:val="0027395B"/>
    <w:rsid w:val="00275854"/>
    <w:rsid w:val="00282C29"/>
    <w:rsid w:val="00283B41"/>
    <w:rsid w:val="00285F28"/>
    <w:rsid w:val="00286398"/>
    <w:rsid w:val="0029123D"/>
    <w:rsid w:val="002A3C42"/>
    <w:rsid w:val="002A5BD2"/>
    <w:rsid w:val="002A5D75"/>
    <w:rsid w:val="002B0221"/>
    <w:rsid w:val="002B1B1A"/>
    <w:rsid w:val="002B7228"/>
    <w:rsid w:val="002C2ED8"/>
    <w:rsid w:val="002C53EE"/>
    <w:rsid w:val="002D24F7"/>
    <w:rsid w:val="002D2799"/>
    <w:rsid w:val="002D2CD7"/>
    <w:rsid w:val="002D4DDC"/>
    <w:rsid w:val="002D4F75"/>
    <w:rsid w:val="002D5978"/>
    <w:rsid w:val="002D5C30"/>
    <w:rsid w:val="002D6493"/>
    <w:rsid w:val="002D7AB6"/>
    <w:rsid w:val="002E06D0"/>
    <w:rsid w:val="002E3C27"/>
    <w:rsid w:val="002E403A"/>
    <w:rsid w:val="002E7295"/>
    <w:rsid w:val="002E7F3A"/>
    <w:rsid w:val="002F123A"/>
    <w:rsid w:val="002F4EDB"/>
    <w:rsid w:val="002F6054"/>
    <w:rsid w:val="002F7C7B"/>
    <w:rsid w:val="00310E13"/>
    <w:rsid w:val="00315713"/>
    <w:rsid w:val="0031686C"/>
    <w:rsid w:val="00316FE0"/>
    <w:rsid w:val="003204D2"/>
    <w:rsid w:val="0032605E"/>
    <w:rsid w:val="003275D1"/>
    <w:rsid w:val="00330A31"/>
    <w:rsid w:val="00330B2A"/>
    <w:rsid w:val="003319C7"/>
    <w:rsid w:val="00331E17"/>
    <w:rsid w:val="00333063"/>
    <w:rsid w:val="003408E3"/>
    <w:rsid w:val="00343480"/>
    <w:rsid w:val="00345E89"/>
    <w:rsid w:val="003522A1"/>
    <w:rsid w:val="0035254B"/>
    <w:rsid w:val="00353555"/>
    <w:rsid w:val="003565D4"/>
    <w:rsid w:val="003607FB"/>
    <w:rsid w:val="00360FD5"/>
    <w:rsid w:val="00362E95"/>
    <w:rsid w:val="0036340D"/>
    <w:rsid w:val="003634A5"/>
    <w:rsid w:val="00366868"/>
    <w:rsid w:val="00367506"/>
    <w:rsid w:val="00370085"/>
    <w:rsid w:val="003744A7"/>
    <w:rsid w:val="0037536D"/>
    <w:rsid w:val="00376235"/>
    <w:rsid w:val="00381FB6"/>
    <w:rsid w:val="003836D3"/>
    <w:rsid w:val="00383A52"/>
    <w:rsid w:val="00390802"/>
    <w:rsid w:val="00391652"/>
    <w:rsid w:val="0039507F"/>
    <w:rsid w:val="00396F73"/>
    <w:rsid w:val="003A0A6D"/>
    <w:rsid w:val="003A1260"/>
    <w:rsid w:val="003A295F"/>
    <w:rsid w:val="003A41DD"/>
    <w:rsid w:val="003A7033"/>
    <w:rsid w:val="003B47FE"/>
    <w:rsid w:val="003B5673"/>
    <w:rsid w:val="003B6287"/>
    <w:rsid w:val="003B62C9"/>
    <w:rsid w:val="003C7176"/>
    <w:rsid w:val="003D0929"/>
    <w:rsid w:val="003D0B41"/>
    <w:rsid w:val="003D3C86"/>
    <w:rsid w:val="003D4729"/>
    <w:rsid w:val="003D7DD6"/>
    <w:rsid w:val="003E436E"/>
    <w:rsid w:val="003E5AAF"/>
    <w:rsid w:val="003E600D"/>
    <w:rsid w:val="003E64DF"/>
    <w:rsid w:val="003E6A5D"/>
    <w:rsid w:val="003F193A"/>
    <w:rsid w:val="003F4207"/>
    <w:rsid w:val="003F5C46"/>
    <w:rsid w:val="003F6A70"/>
    <w:rsid w:val="003F7CBB"/>
    <w:rsid w:val="003F7D34"/>
    <w:rsid w:val="00406073"/>
    <w:rsid w:val="00412C8E"/>
    <w:rsid w:val="0041518D"/>
    <w:rsid w:val="004178B6"/>
    <w:rsid w:val="0042221D"/>
    <w:rsid w:val="00424DD3"/>
    <w:rsid w:val="004269C5"/>
    <w:rsid w:val="00435939"/>
    <w:rsid w:val="004364E4"/>
    <w:rsid w:val="00437CC7"/>
    <w:rsid w:val="00441507"/>
    <w:rsid w:val="00442B9C"/>
    <w:rsid w:val="00445EFA"/>
    <w:rsid w:val="0044738A"/>
    <w:rsid w:val="004473D3"/>
    <w:rsid w:val="00452231"/>
    <w:rsid w:val="004532A6"/>
    <w:rsid w:val="00455E7B"/>
    <w:rsid w:val="00460C13"/>
    <w:rsid w:val="00463228"/>
    <w:rsid w:val="00463782"/>
    <w:rsid w:val="004667E0"/>
    <w:rsid w:val="0046760E"/>
    <w:rsid w:val="00470E10"/>
    <w:rsid w:val="00477A97"/>
    <w:rsid w:val="00481343"/>
    <w:rsid w:val="00483BE7"/>
    <w:rsid w:val="0048549E"/>
    <w:rsid w:val="00493347"/>
    <w:rsid w:val="0049369B"/>
    <w:rsid w:val="00496092"/>
    <w:rsid w:val="004A08DB"/>
    <w:rsid w:val="004A1588"/>
    <w:rsid w:val="004A25D0"/>
    <w:rsid w:val="004A37E8"/>
    <w:rsid w:val="004A7549"/>
    <w:rsid w:val="004B09D4"/>
    <w:rsid w:val="004B309D"/>
    <w:rsid w:val="004B330A"/>
    <w:rsid w:val="004B7C8E"/>
    <w:rsid w:val="004C1F74"/>
    <w:rsid w:val="004C3100"/>
    <w:rsid w:val="004C3D3C"/>
    <w:rsid w:val="004D0EDC"/>
    <w:rsid w:val="004D1220"/>
    <w:rsid w:val="004D14B3"/>
    <w:rsid w:val="004D1529"/>
    <w:rsid w:val="004D2253"/>
    <w:rsid w:val="004D3311"/>
    <w:rsid w:val="004D5514"/>
    <w:rsid w:val="004D56C3"/>
    <w:rsid w:val="004E0338"/>
    <w:rsid w:val="004E4424"/>
    <w:rsid w:val="004E4FF3"/>
    <w:rsid w:val="004E56A8"/>
    <w:rsid w:val="004F3B55"/>
    <w:rsid w:val="004F4E46"/>
    <w:rsid w:val="004F51E1"/>
    <w:rsid w:val="004F6B7D"/>
    <w:rsid w:val="005015F6"/>
    <w:rsid w:val="005030C4"/>
    <w:rsid w:val="005031C5"/>
    <w:rsid w:val="00504FDC"/>
    <w:rsid w:val="005120CC"/>
    <w:rsid w:val="00512B7B"/>
    <w:rsid w:val="00514EA1"/>
    <w:rsid w:val="0051798B"/>
    <w:rsid w:val="0052048E"/>
    <w:rsid w:val="00521F5A"/>
    <w:rsid w:val="00525E06"/>
    <w:rsid w:val="00526454"/>
    <w:rsid w:val="0052724B"/>
    <w:rsid w:val="00531823"/>
    <w:rsid w:val="00534ECC"/>
    <w:rsid w:val="005368AF"/>
    <w:rsid w:val="0053720D"/>
    <w:rsid w:val="00540EF5"/>
    <w:rsid w:val="00541BF3"/>
    <w:rsid w:val="00541CD3"/>
    <w:rsid w:val="005471C9"/>
    <w:rsid w:val="005476FA"/>
    <w:rsid w:val="0055595E"/>
    <w:rsid w:val="00557988"/>
    <w:rsid w:val="00562C49"/>
    <w:rsid w:val="00562DEF"/>
    <w:rsid w:val="0056321A"/>
    <w:rsid w:val="00563A35"/>
    <w:rsid w:val="00566596"/>
    <w:rsid w:val="00572F2D"/>
    <w:rsid w:val="005741E9"/>
    <w:rsid w:val="005748CF"/>
    <w:rsid w:val="00584270"/>
    <w:rsid w:val="00584738"/>
    <w:rsid w:val="005920B0"/>
    <w:rsid w:val="005924A1"/>
    <w:rsid w:val="0059269E"/>
    <w:rsid w:val="0059380D"/>
    <w:rsid w:val="00595A8F"/>
    <w:rsid w:val="005977C2"/>
    <w:rsid w:val="00597BF2"/>
    <w:rsid w:val="005B134E"/>
    <w:rsid w:val="005B2039"/>
    <w:rsid w:val="005B344F"/>
    <w:rsid w:val="005B3FBA"/>
    <w:rsid w:val="005B4A1D"/>
    <w:rsid w:val="005B674D"/>
    <w:rsid w:val="005C0CBE"/>
    <w:rsid w:val="005C1FCF"/>
    <w:rsid w:val="005D1885"/>
    <w:rsid w:val="005D4A38"/>
    <w:rsid w:val="005E2EEA"/>
    <w:rsid w:val="005E3708"/>
    <w:rsid w:val="005E3CCD"/>
    <w:rsid w:val="005E3D6B"/>
    <w:rsid w:val="005E5B55"/>
    <w:rsid w:val="005E5E4A"/>
    <w:rsid w:val="005E693D"/>
    <w:rsid w:val="005E75BF"/>
    <w:rsid w:val="005F57BA"/>
    <w:rsid w:val="005F61E6"/>
    <w:rsid w:val="005F6C45"/>
    <w:rsid w:val="005F7466"/>
    <w:rsid w:val="00605A69"/>
    <w:rsid w:val="00606C54"/>
    <w:rsid w:val="00614375"/>
    <w:rsid w:val="00615B0A"/>
    <w:rsid w:val="006168CF"/>
    <w:rsid w:val="0062011B"/>
    <w:rsid w:val="0062512D"/>
    <w:rsid w:val="00626DE0"/>
    <w:rsid w:val="00630901"/>
    <w:rsid w:val="00631F8E"/>
    <w:rsid w:val="00636EE9"/>
    <w:rsid w:val="00640950"/>
    <w:rsid w:val="00641AE7"/>
    <w:rsid w:val="00642629"/>
    <w:rsid w:val="0065293D"/>
    <w:rsid w:val="00653EFC"/>
    <w:rsid w:val="00654021"/>
    <w:rsid w:val="00656A5F"/>
    <w:rsid w:val="00661045"/>
    <w:rsid w:val="006617EB"/>
    <w:rsid w:val="00666DA8"/>
    <w:rsid w:val="00671057"/>
    <w:rsid w:val="00675AAF"/>
    <w:rsid w:val="0068031A"/>
    <w:rsid w:val="00681B2F"/>
    <w:rsid w:val="0068335F"/>
    <w:rsid w:val="00687217"/>
    <w:rsid w:val="0068741F"/>
    <w:rsid w:val="00693302"/>
    <w:rsid w:val="0069640B"/>
    <w:rsid w:val="006A1B83"/>
    <w:rsid w:val="006A21CD"/>
    <w:rsid w:val="006A5918"/>
    <w:rsid w:val="006B21B2"/>
    <w:rsid w:val="006B4A4A"/>
    <w:rsid w:val="006C19B2"/>
    <w:rsid w:val="006C4409"/>
    <w:rsid w:val="006C5BB8"/>
    <w:rsid w:val="006C6936"/>
    <w:rsid w:val="006C7B01"/>
    <w:rsid w:val="006D0FE8"/>
    <w:rsid w:val="006D2F8B"/>
    <w:rsid w:val="006D4B2B"/>
    <w:rsid w:val="006D4F3C"/>
    <w:rsid w:val="006D5C66"/>
    <w:rsid w:val="006E1B3C"/>
    <w:rsid w:val="006E1DED"/>
    <w:rsid w:val="006E23FB"/>
    <w:rsid w:val="006E325A"/>
    <w:rsid w:val="006E33EC"/>
    <w:rsid w:val="006E3802"/>
    <w:rsid w:val="006E49DF"/>
    <w:rsid w:val="006E6C02"/>
    <w:rsid w:val="006F231A"/>
    <w:rsid w:val="006F6B55"/>
    <w:rsid w:val="006F788D"/>
    <w:rsid w:val="006F78E1"/>
    <w:rsid w:val="00701072"/>
    <w:rsid w:val="00702054"/>
    <w:rsid w:val="007035A4"/>
    <w:rsid w:val="00711799"/>
    <w:rsid w:val="00712B78"/>
    <w:rsid w:val="0071393B"/>
    <w:rsid w:val="00713EE2"/>
    <w:rsid w:val="007174FE"/>
    <w:rsid w:val="007177FC"/>
    <w:rsid w:val="00720C5E"/>
    <w:rsid w:val="00721701"/>
    <w:rsid w:val="00731094"/>
    <w:rsid w:val="00731835"/>
    <w:rsid w:val="007341F8"/>
    <w:rsid w:val="00734372"/>
    <w:rsid w:val="00734EB8"/>
    <w:rsid w:val="00735F8B"/>
    <w:rsid w:val="00742D1F"/>
    <w:rsid w:val="00743EBA"/>
    <w:rsid w:val="00744C8E"/>
    <w:rsid w:val="0074707E"/>
    <w:rsid w:val="007516DC"/>
    <w:rsid w:val="00752E58"/>
    <w:rsid w:val="00753CCD"/>
    <w:rsid w:val="00754B80"/>
    <w:rsid w:val="00756561"/>
    <w:rsid w:val="00761918"/>
    <w:rsid w:val="00762F03"/>
    <w:rsid w:val="0076413B"/>
    <w:rsid w:val="007648AE"/>
    <w:rsid w:val="00764BF8"/>
    <w:rsid w:val="0076514D"/>
    <w:rsid w:val="00773D59"/>
    <w:rsid w:val="00775374"/>
    <w:rsid w:val="00781003"/>
    <w:rsid w:val="007911FD"/>
    <w:rsid w:val="00793930"/>
    <w:rsid w:val="00793DD1"/>
    <w:rsid w:val="00794FEC"/>
    <w:rsid w:val="007A003E"/>
    <w:rsid w:val="007A1965"/>
    <w:rsid w:val="007A22F1"/>
    <w:rsid w:val="007A2ED1"/>
    <w:rsid w:val="007A4BE6"/>
    <w:rsid w:val="007B0DC6"/>
    <w:rsid w:val="007B1094"/>
    <w:rsid w:val="007B1762"/>
    <w:rsid w:val="007B3320"/>
    <w:rsid w:val="007C301F"/>
    <w:rsid w:val="007C4459"/>
    <w:rsid w:val="007C4540"/>
    <w:rsid w:val="007C65AF"/>
    <w:rsid w:val="007D135D"/>
    <w:rsid w:val="007D730F"/>
    <w:rsid w:val="007D7CD8"/>
    <w:rsid w:val="007E3AA7"/>
    <w:rsid w:val="007F737D"/>
    <w:rsid w:val="0080228C"/>
    <w:rsid w:val="0080308E"/>
    <w:rsid w:val="00805303"/>
    <w:rsid w:val="00806705"/>
    <w:rsid w:val="00806738"/>
    <w:rsid w:val="008216D5"/>
    <w:rsid w:val="008249CE"/>
    <w:rsid w:val="00831A50"/>
    <w:rsid w:val="00831B3C"/>
    <w:rsid w:val="00831C89"/>
    <w:rsid w:val="00832114"/>
    <w:rsid w:val="00834C46"/>
    <w:rsid w:val="0084093E"/>
    <w:rsid w:val="00841CE1"/>
    <w:rsid w:val="008473D8"/>
    <w:rsid w:val="00850EE7"/>
    <w:rsid w:val="008528DC"/>
    <w:rsid w:val="00852B8C"/>
    <w:rsid w:val="00854981"/>
    <w:rsid w:val="00864B2E"/>
    <w:rsid w:val="00865963"/>
    <w:rsid w:val="008662DD"/>
    <w:rsid w:val="00871C1D"/>
    <w:rsid w:val="00872FE5"/>
    <w:rsid w:val="0087450E"/>
    <w:rsid w:val="00875A82"/>
    <w:rsid w:val="00876CA3"/>
    <w:rsid w:val="008772FE"/>
    <w:rsid w:val="008775F1"/>
    <w:rsid w:val="008821AE"/>
    <w:rsid w:val="00883D3A"/>
    <w:rsid w:val="008854F7"/>
    <w:rsid w:val="00885A9D"/>
    <w:rsid w:val="008929D2"/>
    <w:rsid w:val="0089310F"/>
    <w:rsid w:val="00893636"/>
    <w:rsid w:val="00893B94"/>
    <w:rsid w:val="008946AE"/>
    <w:rsid w:val="00896E9D"/>
    <w:rsid w:val="00896F11"/>
    <w:rsid w:val="008A1049"/>
    <w:rsid w:val="008A1C98"/>
    <w:rsid w:val="008A322D"/>
    <w:rsid w:val="008A4D72"/>
    <w:rsid w:val="008A6285"/>
    <w:rsid w:val="008A63B2"/>
    <w:rsid w:val="008B345D"/>
    <w:rsid w:val="008B40DC"/>
    <w:rsid w:val="008B7FA8"/>
    <w:rsid w:val="008C1FC2"/>
    <w:rsid w:val="008C2980"/>
    <w:rsid w:val="008C43A1"/>
    <w:rsid w:val="008C4DD6"/>
    <w:rsid w:val="008C5AFB"/>
    <w:rsid w:val="008D07FB"/>
    <w:rsid w:val="008D0C02"/>
    <w:rsid w:val="008D357D"/>
    <w:rsid w:val="008D435A"/>
    <w:rsid w:val="008E387B"/>
    <w:rsid w:val="008E6087"/>
    <w:rsid w:val="008E758D"/>
    <w:rsid w:val="008E7A96"/>
    <w:rsid w:val="008F10A7"/>
    <w:rsid w:val="008F755D"/>
    <w:rsid w:val="008F7A39"/>
    <w:rsid w:val="008F7E76"/>
    <w:rsid w:val="0090100C"/>
    <w:rsid w:val="009021E8"/>
    <w:rsid w:val="0090465D"/>
    <w:rsid w:val="00904677"/>
    <w:rsid w:val="009059C2"/>
    <w:rsid w:val="00905EE2"/>
    <w:rsid w:val="009105CF"/>
    <w:rsid w:val="00911440"/>
    <w:rsid w:val="00911712"/>
    <w:rsid w:val="00911B27"/>
    <w:rsid w:val="009170BE"/>
    <w:rsid w:val="00920B55"/>
    <w:rsid w:val="009262C9"/>
    <w:rsid w:val="00927B1F"/>
    <w:rsid w:val="00930EB9"/>
    <w:rsid w:val="00933DC7"/>
    <w:rsid w:val="009418F4"/>
    <w:rsid w:val="00942BBC"/>
    <w:rsid w:val="00944180"/>
    <w:rsid w:val="00944AA0"/>
    <w:rsid w:val="00947DA2"/>
    <w:rsid w:val="00951177"/>
    <w:rsid w:val="009556D9"/>
    <w:rsid w:val="00960C49"/>
    <w:rsid w:val="009673E8"/>
    <w:rsid w:val="00974DB8"/>
    <w:rsid w:val="00975F05"/>
    <w:rsid w:val="00976652"/>
    <w:rsid w:val="00977124"/>
    <w:rsid w:val="00980661"/>
    <w:rsid w:val="0098093B"/>
    <w:rsid w:val="009876D4"/>
    <w:rsid w:val="009914A5"/>
    <w:rsid w:val="0099548E"/>
    <w:rsid w:val="00996456"/>
    <w:rsid w:val="00996A12"/>
    <w:rsid w:val="00997B0F"/>
    <w:rsid w:val="009A0CC3"/>
    <w:rsid w:val="009A1CAD"/>
    <w:rsid w:val="009A3440"/>
    <w:rsid w:val="009A5832"/>
    <w:rsid w:val="009A6838"/>
    <w:rsid w:val="009B1FA6"/>
    <w:rsid w:val="009B24B5"/>
    <w:rsid w:val="009B4EBC"/>
    <w:rsid w:val="009B5ABB"/>
    <w:rsid w:val="009B73CE"/>
    <w:rsid w:val="009C2461"/>
    <w:rsid w:val="009C6FE2"/>
    <w:rsid w:val="009C7674"/>
    <w:rsid w:val="009D004A"/>
    <w:rsid w:val="009D28BF"/>
    <w:rsid w:val="009D5880"/>
    <w:rsid w:val="009E1FD4"/>
    <w:rsid w:val="009E3B07"/>
    <w:rsid w:val="009E51D1"/>
    <w:rsid w:val="009E5531"/>
    <w:rsid w:val="009F171E"/>
    <w:rsid w:val="009F3D2F"/>
    <w:rsid w:val="009F7052"/>
    <w:rsid w:val="00A02668"/>
    <w:rsid w:val="00A02801"/>
    <w:rsid w:val="00A06A39"/>
    <w:rsid w:val="00A07F58"/>
    <w:rsid w:val="00A131CB"/>
    <w:rsid w:val="00A14847"/>
    <w:rsid w:val="00A16D6D"/>
    <w:rsid w:val="00A20D86"/>
    <w:rsid w:val="00A21383"/>
    <w:rsid w:val="00A2199F"/>
    <w:rsid w:val="00A21B31"/>
    <w:rsid w:val="00A2360E"/>
    <w:rsid w:val="00A26E0C"/>
    <w:rsid w:val="00A32FCB"/>
    <w:rsid w:val="00A34C25"/>
    <w:rsid w:val="00A3507D"/>
    <w:rsid w:val="00A3717A"/>
    <w:rsid w:val="00A4088C"/>
    <w:rsid w:val="00A409F5"/>
    <w:rsid w:val="00A42B08"/>
    <w:rsid w:val="00A4456B"/>
    <w:rsid w:val="00A448D4"/>
    <w:rsid w:val="00A452E0"/>
    <w:rsid w:val="00A51EA5"/>
    <w:rsid w:val="00A53742"/>
    <w:rsid w:val="00A557A1"/>
    <w:rsid w:val="00A63059"/>
    <w:rsid w:val="00A63AE3"/>
    <w:rsid w:val="00A651A4"/>
    <w:rsid w:val="00A71361"/>
    <w:rsid w:val="00A719F8"/>
    <w:rsid w:val="00A746E2"/>
    <w:rsid w:val="00A81FF2"/>
    <w:rsid w:val="00A83904"/>
    <w:rsid w:val="00A90A79"/>
    <w:rsid w:val="00A96B30"/>
    <w:rsid w:val="00AA59B5"/>
    <w:rsid w:val="00AA7777"/>
    <w:rsid w:val="00AA7B84"/>
    <w:rsid w:val="00AC0B4C"/>
    <w:rsid w:val="00AC0EF0"/>
    <w:rsid w:val="00AC1164"/>
    <w:rsid w:val="00AC2296"/>
    <w:rsid w:val="00AC2698"/>
    <w:rsid w:val="00AC2754"/>
    <w:rsid w:val="00AC48B0"/>
    <w:rsid w:val="00AC4ACD"/>
    <w:rsid w:val="00AC5DFB"/>
    <w:rsid w:val="00AC61AC"/>
    <w:rsid w:val="00AC77B3"/>
    <w:rsid w:val="00AD13DC"/>
    <w:rsid w:val="00AD1F7C"/>
    <w:rsid w:val="00AD6DE2"/>
    <w:rsid w:val="00AE0A40"/>
    <w:rsid w:val="00AE1ED4"/>
    <w:rsid w:val="00AE21E1"/>
    <w:rsid w:val="00AE2F8D"/>
    <w:rsid w:val="00AE3BAE"/>
    <w:rsid w:val="00AE4177"/>
    <w:rsid w:val="00AE6A21"/>
    <w:rsid w:val="00AF1C8F"/>
    <w:rsid w:val="00AF2B68"/>
    <w:rsid w:val="00AF2C92"/>
    <w:rsid w:val="00AF3EC1"/>
    <w:rsid w:val="00AF5025"/>
    <w:rsid w:val="00AF519F"/>
    <w:rsid w:val="00AF5387"/>
    <w:rsid w:val="00AF55F5"/>
    <w:rsid w:val="00AF7E86"/>
    <w:rsid w:val="00B024B9"/>
    <w:rsid w:val="00B0266A"/>
    <w:rsid w:val="00B0465C"/>
    <w:rsid w:val="00B0485F"/>
    <w:rsid w:val="00B04A3E"/>
    <w:rsid w:val="00B05294"/>
    <w:rsid w:val="00B077FA"/>
    <w:rsid w:val="00B11D3A"/>
    <w:rsid w:val="00B120B4"/>
    <w:rsid w:val="00B127D7"/>
    <w:rsid w:val="00B12CEB"/>
    <w:rsid w:val="00B13B0C"/>
    <w:rsid w:val="00B1453A"/>
    <w:rsid w:val="00B20F82"/>
    <w:rsid w:val="00B25BD5"/>
    <w:rsid w:val="00B34079"/>
    <w:rsid w:val="00B34B24"/>
    <w:rsid w:val="00B3793A"/>
    <w:rsid w:val="00B401BA"/>
    <w:rsid w:val="00B407E4"/>
    <w:rsid w:val="00B425B6"/>
    <w:rsid w:val="00B42A72"/>
    <w:rsid w:val="00B441AE"/>
    <w:rsid w:val="00B44A46"/>
    <w:rsid w:val="00B45A65"/>
    <w:rsid w:val="00B45F33"/>
    <w:rsid w:val="00B46D50"/>
    <w:rsid w:val="00B53170"/>
    <w:rsid w:val="00B548B9"/>
    <w:rsid w:val="00B56DBE"/>
    <w:rsid w:val="00B62999"/>
    <w:rsid w:val="00B63BE3"/>
    <w:rsid w:val="00B64885"/>
    <w:rsid w:val="00B66810"/>
    <w:rsid w:val="00B72BE3"/>
    <w:rsid w:val="00B73B80"/>
    <w:rsid w:val="00B76971"/>
    <w:rsid w:val="00B770C7"/>
    <w:rsid w:val="00B80F26"/>
    <w:rsid w:val="00B822BD"/>
    <w:rsid w:val="00B842F4"/>
    <w:rsid w:val="00B849BA"/>
    <w:rsid w:val="00B854E7"/>
    <w:rsid w:val="00B85F02"/>
    <w:rsid w:val="00B91A7B"/>
    <w:rsid w:val="00B929DD"/>
    <w:rsid w:val="00B93AF6"/>
    <w:rsid w:val="00B95405"/>
    <w:rsid w:val="00B963F1"/>
    <w:rsid w:val="00BA020A"/>
    <w:rsid w:val="00BB025A"/>
    <w:rsid w:val="00BB02A4"/>
    <w:rsid w:val="00BB1270"/>
    <w:rsid w:val="00BB1969"/>
    <w:rsid w:val="00BB1E44"/>
    <w:rsid w:val="00BB2B06"/>
    <w:rsid w:val="00BB5267"/>
    <w:rsid w:val="00BB52B8"/>
    <w:rsid w:val="00BB59D8"/>
    <w:rsid w:val="00BB7E69"/>
    <w:rsid w:val="00BC0E51"/>
    <w:rsid w:val="00BC2196"/>
    <w:rsid w:val="00BC3C1F"/>
    <w:rsid w:val="00BC7CE7"/>
    <w:rsid w:val="00BD166F"/>
    <w:rsid w:val="00BD295E"/>
    <w:rsid w:val="00BD4664"/>
    <w:rsid w:val="00BD4901"/>
    <w:rsid w:val="00BE1193"/>
    <w:rsid w:val="00BE45B7"/>
    <w:rsid w:val="00BE490B"/>
    <w:rsid w:val="00BE67DB"/>
    <w:rsid w:val="00BF4849"/>
    <w:rsid w:val="00BF49F1"/>
    <w:rsid w:val="00BF4EA7"/>
    <w:rsid w:val="00C00EDB"/>
    <w:rsid w:val="00C02863"/>
    <w:rsid w:val="00C037CD"/>
    <w:rsid w:val="00C0383A"/>
    <w:rsid w:val="00C067FF"/>
    <w:rsid w:val="00C12862"/>
    <w:rsid w:val="00C13D28"/>
    <w:rsid w:val="00C14585"/>
    <w:rsid w:val="00C165A0"/>
    <w:rsid w:val="00C216CE"/>
    <w:rsid w:val="00C2184F"/>
    <w:rsid w:val="00C22A78"/>
    <w:rsid w:val="00C23C7E"/>
    <w:rsid w:val="00C246C5"/>
    <w:rsid w:val="00C2565D"/>
    <w:rsid w:val="00C25A82"/>
    <w:rsid w:val="00C30A2A"/>
    <w:rsid w:val="00C33993"/>
    <w:rsid w:val="00C4069E"/>
    <w:rsid w:val="00C41ADC"/>
    <w:rsid w:val="00C41E8C"/>
    <w:rsid w:val="00C44149"/>
    <w:rsid w:val="00C44410"/>
    <w:rsid w:val="00C44A15"/>
    <w:rsid w:val="00C4630A"/>
    <w:rsid w:val="00C523F0"/>
    <w:rsid w:val="00C526D2"/>
    <w:rsid w:val="00C53A91"/>
    <w:rsid w:val="00C546AF"/>
    <w:rsid w:val="00C5794E"/>
    <w:rsid w:val="00C60968"/>
    <w:rsid w:val="00C63D39"/>
    <w:rsid w:val="00C63EDD"/>
    <w:rsid w:val="00C65B36"/>
    <w:rsid w:val="00C7292E"/>
    <w:rsid w:val="00C74E88"/>
    <w:rsid w:val="00C77696"/>
    <w:rsid w:val="00C77F2F"/>
    <w:rsid w:val="00C80924"/>
    <w:rsid w:val="00C8286B"/>
    <w:rsid w:val="00C83164"/>
    <w:rsid w:val="00C86393"/>
    <w:rsid w:val="00C947F8"/>
    <w:rsid w:val="00C9515F"/>
    <w:rsid w:val="00C963C5"/>
    <w:rsid w:val="00CA030C"/>
    <w:rsid w:val="00CA1F41"/>
    <w:rsid w:val="00CA32EE"/>
    <w:rsid w:val="00CA3506"/>
    <w:rsid w:val="00CA46DC"/>
    <w:rsid w:val="00CA5771"/>
    <w:rsid w:val="00CA6A1A"/>
    <w:rsid w:val="00CB2339"/>
    <w:rsid w:val="00CC1E75"/>
    <w:rsid w:val="00CC20EA"/>
    <w:rsid w:val="00CC2E0E"/>
    <w:rsid w:val="00CC361C"/>
    <w:rsid w:val="00CC474B"/>
    <w:rsid w:val="00CC56F1"/>
    <w:rsid w:val="00CC658C"/>
    <w:rsid w:val="00CC67BF"/>
    <w:rsid w:val="00CC7680"/>
    <w:rsid w:val="00CD0843"/>
    <w:rsid w:val="00CD3F89"/>
    <w:rsid w:val="00CD4E31"/>
    <w:rsid w:val="00CD58EE"/>
    <w:rsid w:val="00CD5A78"/>
    <w:rsid w:val="00CD62D9"/>
    <w:rsid w:val="00CD7345"/>
    <w:rsid w:val="00CE372E"/>
    <w:rsid w:val="00CF0A1B"/>
    <w:rsid w:val="00CF19F6"/>
    <w:rsid w:val="00CF2F4F"/>
    <w:rsid w:val="00CF536D"/>
    <w:rsid w:val="00D02E9D"/>
    <w:rsid w:val="00D10CB8"/>
    <w:rsid w:val="00D12806"/>
    <w:rsid w:val="00D12D44"/>
    <w:rsid w:val="00D13ECD"/>
    <w:rsid w:val="00D15018"/>
    <w:rsid w:val="00D158AC"/>
    <w:rsid w:val="00D1694C"/>
    <w:rsid w:val="00D20F5E"/>
    <w:rsid w:val="00D23B76"/>
    <w:rsid w:val="00D24B4A"/>
    <w:rsid w:val="00D333A2"/>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5777"/>
    <w:rsid w:val="00D8642D"/>
    <w:rsid w:val="00D90A5E"/>
    <w:rsid w:val="00D91A68"/>
    <w:rsid w:val="00D9234E"/>
    <w:rsid w:val="00D95A68"/>
    <w:rsid w:val="00DA17C7"/>
    <w:rsid w:val="00DA4F85"/>
    <w:rsid w:val="00DA6A9A"/>
    <w:rsid w:val="00DB1EFD"/>
    <w:rsid w:val="00DB216A"/>
    <w:rsid w:val="00DB3EAF"/>
    <w:rsid w:val="00DB46C6"/>
    <w:rsid w:val="00DB672D"/>
    <w:rsid w:val="00DC16FB"/>
    <w:rsid w:val="00DC3203"/>
    <w:rsid w:val="00DC3C99"/>
    <w:rsid w:val="00DC52F5"/>
    <w:rsid w:val="00DC5FD0"/>
    <w:rsid w:val="00DD0354"/>
    <w:rsid w:val="00DD27D7"/>
    <w:rsid w:val="00DD458C"/>
    <w:rsid w:val="00DD52D1"/>
    <w:rsid w:val="00DD72E9"/>
    <w:rsid w:val="00DD7605"/>
    <w:rsid w:val="00DE2020"/>
    <w:rsid w:val="00DE3476"/>
    <w:rsid w:val="00DE7BEA"/>
    <w:rsid w:val="00DF5B84"/>
    <w:rsid w:val="00DF6D5B"/>
    <w:rsid w:val="00DF771B"/>
    <w:rsid w:val="00DF7913"/>
    <w:rsid w:val="00DF7E14"/>
    <w:rsid w:val="00DF7EE2"/>
    <w:rsid w:val="00E01BAA"/>
    <w:rsid w:val="00E0282A"/>
    <w:rsid w:val="00E02F9B"/>
    <w:rsid w:val="00E03962"/>
    <w:rsid w:val="00E07E14"/>
    <w:rsid w:val="00E12DEA"/>
    <w:rsid w:val="00E14F94"/>
    <w:rsid w:val="00E17336"/>
    <w:rsid w:val="00E17D15"/>
    <w:rsid w:val="00E22B95"/>
    <w:rsid w:val="00E30331"/>
    <w:rsid w:val="00E30BB8"/>
    <w:rsid w:val="00E31F9C"/>
    <w:rsid w:val="00E32126"/>
    <w:rsid w:val="00E330B8"/>
    <w:rsid w:val="00E40488"/>
    <w:rsid w:val="00E4092D"/>
    <w:rsid w:val="00E41993"/>
    <w:rsid w:val="00E458B7"/>
    <w:rsid w:val="00E50367"/>
    <w:rsid w:val="00E50994"/>
    <w:rsid w:val="00E51ABA"/>
    <w:rsid w:val="00E524CB"/>
    <w:rsid w:val="00E531BD"/>
    <w:rsid w:val="00E65456"/>
    <w:rsid w:val="00E65A91"/>
    <w:rsid w:val="00E66188"/>
    <w:rsid w:val="00E664FB"/>
    <w:rsid w:val="00E672F0"/>
    <w:rsid w:val="00E70373"/>
    <w:rsid w:val="00E72E40"/>
    <w:rsid w:val="00E73665"/>
    <w:rsid w:val="00E73999"/>
    <w:rsid w:val="00E73BDC"/>
    <w:rsid w:val="00E73E9E"/>
    <w:rsid w:val="00E81660"/>
    <w:rsid w:val="00E854FE"/>
    <w:rsid w:val="00E87700"/>
    <w:rsid w:val="00E906CC"/>
    <w:rsid w:val="00E939A0"/>
    <w:rsid w:val="00E97E4E"/>
    <w:rsid w:val="00EA0F63"/>
    <w:rsid w:val="00EA1CC2"/>
    <w:rsid w:val="00EA2D76"/>
    <w:rsid w:val="00EA4644"/>
    <w:rsid w:val="00EA758A"/>
    <w:rsid w:val="00EB096F"/>
    <w:rsid w:val="00EB199F"/>
    <w:rsid w:val="00EB27C4"/>
    <w:rsid w:val="00EB2CCA"/>
    <w:rsid w:val="00EB4755"/>
    <w:rsid w:val="00EB5387"/>
    <w:rsid w:val="00EB551C"/>
    <w:rsid w:val="00EB5C10"/>
    <w:rsid w:val="00EB678A"/>
    <w:rsid w:val="00EB7322"/>
    <w:rsid w:val="00EC0FE9"/>
    <w:rsid w:val="00EC198B"/>
    <w:rsid w:val="00EC426D"/>
    <w:rsid w:val="00EC4A53"/>
    <w:rsid w:val="00EC5196"/>
    <w:rsid w:val="00EC571B"/>
    <w:rsid w:val="00EC57D7"/>
    <w:rsid w:val="00EC6385"/>
    <w:rsid w:val="00ED1BBD"/>
    <w:rsid w:val="00ED1DE9"/>
    <w:rsid w:val="00ED23D4"/>
    <w:rsid w:val="00ED5B83"/>
    <w:rsid w:val="00ED5E0B"/>
    <w:rsid w:val="00EE37B6"/>
    <w:rsid w:val="00EE425D"/>
    <w:rsid w:val="00EE7149"/>
    <w:rsid w:val="00EF0F45"/>
    <w:rsid w:val="00EF7463"/>
    <w:rsid w:val="00EF7971"/>
    <w:rsid w:val="00F002EF"/>
    <w:rsid w:val="00F01EE9"/>
    <w:rsid w:val="00F04900"/>
    <w:rsid w:val="00F065A4"/>
    <w:rsid w:val="00F126B9"/>
    <w:rsid w:val="00F12715"/>
    <w:rsid w:val="00F144D5"/>
    <w:rsid w:val="00F1460B"/>
    <w:rsid w:val="00F146F0"/>
    <w:rsid w:val="00F15039"/>
    <w:rsid w:val="00F16B1E"/>
    <w:rsid w:val="00F20FF3"/>
    <w:rsid w:val="00F2190B"/>
    <w:rsid w:val="00F228B5"/>
    <w:rsid w:val="00F229F0"/>
    <w:rsid w:val="00F2389C"/>
    <w:rsid w:val="00F25C67"/>
    <w:rsid w:val="00F30DFF"/>
    <w:rsid w:val="00F32B80"/>
    <w:rsid w:val="00F340EB"/>
    <w:rsid w:val="00F35285"/>
    <w:rsid w:val="00F43B9D"/>
    <w:rsid w:val="00F44D5E"/>
    <w:rsid w:val="00F453F4"/>
    <w:rsid w:val="00F53A35"/>
    <w:rsid w:val="00F55A3D"/>
    <w:rsid w:val="00F55F50"/>
    <w:rsid w:val="00F56798"/>
    <w:rsid w:val="00F5744B"/>
    <w:rsid w:val="00F61209"/>
    <w:rsid w:val="00F6259E"/>
    <w:rsid w:val="00F65DD4"/>
    <w:rsid w:val="00F672B2"/>
    <w:rsid w:val="00F83973"/>
    <w:rsid w:val="00F87FA3"/>
    <w:rsid w:val="00F93D8C"/>
    <w:rsid w:val="00F966DA"/>
    <w:rsid w:val="00FA1B2B"/>
    <w:rsid w:val="00FA3102"/>
    <w:rsid w:val="00FA48D4"/>
    <w:rsid w:val="00FA54FA"/>
    <w:rsid w:val="00FA6D39"/>
    <w:rsid w:val="00FB227E"/>
    <w:rsid w:val="00FB3022"/>
    <w:rsid w:val="00FB3D61"/>
    <w:rsid w:val="00FB44CE"/>
    <w:rsid w:val="00FB5009"/>
    <w:rsid w:val="00FB76AB"/>
    <w:rsid w:val="00FC4C32"/>
    <w:rsid w:val="00FC5BEF"/>
    <w:rsid w:val="00FC671D"/>
    <w:rsid w:val="00FD03FE"/>
    <w:rsid w:val="00FD126E"/>
    <w:rsid w:val="00FD3C36"/>
    <w:rsid w:val="00FD4D81"/>
    <w:rsid w:val="00FD4FC6"/>
    <w:rsid w:val="00FD7498"/>
    <w:rsid w:val="00FD7FB3"/>
    <w:rsid w:val="00FE4713"/>
    <w:rsid w:val="00FE707D"/>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00D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D62D9"/>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line="480" w:lineRule="auto"/>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pPr>
      <w:spacing w:line="480" w:lineRule="auto"/>
    </w:pPr>
  </w:style>
  <w:style w:type="paragraph" w:customStyle="1" w:styleId="Paragraph">
    <w:name w:val="Paragraph"/>
    <w:basedOn w:val="Normal"/>
    <w:next w:val="Newparagraph"/>
    <w:qFormat/>
    <w:rsid w:val="001B7681"/>
    <w:pPr>
      <w:widowControl w:val="0"/>
      <w:spacing w:before="240" w:line="480" w:lineRule="auto"/>
    </w:pPr>
  </w:style>
  <w:style w:type="paragraph" w:customStyle="1" w:styleId="Newparagraph">
    <w:name w:val="New paragraph"/>
    <w:basedOn w:val="Normal"/>
    <w:qFormat/>
    <w:rsid w:val="00AE2F8D"/>
    <w:pPr>
      <w:spacing w:line="480" w:lineRule="auto"/>
      <w:ind w:firstLine="720"/>
    </w:pPr>
  </w:style>
  <w:style w:type="paragraph" w:styleId="NormalIndent">
    <w:name w:val="Normal Indent"/>
    <w:basedOn w:val="Normal"/>
    <w:rsid w:val="00526454"/>
    <w:pPr>
      <w:spacing w:line="480" w:lineRule="auto"/>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3D0B41"/>
    <w:pPr>
      <w:spacing w:line="360" w:lineRule="auto"/>
    </w:pPr>
    <w:rPr>
      <w:sz w:val="22"/>
      <w:szCs w:val="20"/>
    </w:rPr>
  </w:style>
  <w:style w:type="character" w:customStyle="1" w:styleId="FootnoteTextChar">
    <w:name w:val="Footnote Text Char"/>
    <w:basedOn w:val="DefaultParagraphFont"/>
    <w:link w:val="FootnoteText"/>
    <w:uiPriority w:val="99"/>
    <w:rsid w:val="003D0B41"/>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spacing w:line="480" w:lineRule="auto"/>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F16B1E"/>
    <w:rPr>
      <w:color w:val="0000FF" w:themeColor="hyperlink"/>
      <w:u w:val="single"/>
    </w:rPr>
  </w:style>
  <w:style w:type="paragraph" w:styleId="ListParagraph">
    <w:name w:val="List Paragraph"/>
    <w:basedOn w:val="Normal"/>
    <w:link w:val="ListParagraphChar"/>
    <w:uiPriority w:val="34"/>
    <w:qFormat/>
    <w:rsid w:val="000E38A2"/>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ListParagraphChar">
    <w:name w:val="List Paragraph Char"/>
    <w:basedOn w:val="DefaultParagraphFont"/>
    <w:link w:val="ListParagraph"/>
    <w:uiPriority w:val="34"/>
    <w:rsid w:val="000E38A2"/>
    <w:rPr>
      <w:rFonts w:asciiTheme="minorHAnsi" w:eastAsiaTheme="minorHAnsi" w:hAnsiTheme="minorHAnsi" w:cstheme="minorBidi"/>
      <w:sz w:val="22"/>
      <w:szCs w:val="22"/>
      <w:lang w:val="en-US" w:eastAsia="en-US"/>
    </w:rPr>
  </w:style>
  <w:style w:type="table" w:styleId="TableGrid">
    <w:name w:val="Table Grid"/>
    <w:basedOn w:val="TableNormal"/>
    <w:uiPriority w:val="59"/>
    <w:rsid w:val="004364E4"/>
    <w:rPr>
      <w:rFonts w:asciiTheme="minorHAnsi" w:eastAsiaTheme="minorHAnsi" w:hAnsiTheme="minorHAnsi" w:cstheme="minorBidi"/>
      <w:sz w:val="22"/>
      <w:szCs w:val="22"/>
      <w:lang w:val="tr-T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64E4"/>
    <w:pPr>
      <w:autoSpaceDE w:val="0"/>
      <w:autoSpaceDN w:val="0"/>
      <w:adjustRightInd w:val="0"/>
    </w:pPr>
    <w:rPr>
      <w:rFonts w:eastAsiaTheme="minorHAnsi"/>
      <w:color w:val="000000"/>
      <w:sz w:val="24"/>
      <w:szCs w:val="24"/>
      <w:lang w:val="tr-TR" w:eastAsia="en-US"/>
    </w:rPr>
  </w:style>
  <w:style w:type="paragraph" w:styleId="BalloonText">
    <w:name w:val="Balloon Text"/>
    <w:basedOn w:val="Normal"/>
    <w:link w:val="BalloonTextChar"/>
    <w:semiHidden/>
    <w:unhideWhenUsed/>
    <w:rsid w:val="004364E4"/>
    <w:rPr>
      <w:rFonts w:ascii="Tahoma" w:hAnsi="Tahoma" w:cs="Tahoma"/>
      <w:sz w:val="16"/>
      <w:szCs w:val="16"/>
    </w:rPr>
  </w:style>
  <w:style w:type="character" w:customStyle="1" w:styleId="BalloonTextChar">
    <w:name w:val="Balloon Text Char"/>
    <w:basedOn w:val="DefaultParagraphFont"/>
    <w:link w:val="BalloonText"/>
    <w:semiHidden/>
    <w:rsid w:val="004364E4"/>
    <w:rPr>
      <w:rFonts w:ascii="Tahoma" w:hAnsi="Tahoma" w:cs="Tahoma"/>
      <w:sz w:val="16"/>
      <w:szCs w:val="16"/>
    </w:rPr>
  </w:style>
  <w:style w:type="character" w:customStyle="1" w:styleId="apple-converted-space">
    <w:name w:val="apple-converted-space"/>
    <w:basedOn w:val="DefaultParagraphFont"/>
    <w:rsid w:val="00EE425D"/>
  </w:style>
  <w:style w:type="paragraph" w:styleId="Bibliography">
    <w:name w:val="Bibliography"/>
    <w:basedOn w:val="Normal"/>
    <w:next w:val="Normal"/>
    <w:uiPriority w:val="37"/>
    <w:unhideWhenUsed/>
    <w:rsid w:val="00EE425D"/>
    <w:pPr>
      <w:spacing w:after="200" w:line="276" w:lineRule="auto"/>
    </w:pPr>
    <w:rPr>
      <w:rFonts w:asciiTheme="minorHAnsi" w:eastAsiaTheme="minorHAnsi" w:hAnsiTheme="minorHAnsi" w:cstheme="minorBidi"/>
      <w:sz w:val="22"/>
      <w:szCs w:val="22"/>
      <w:lang w:val="en-US" w:eastAsia="en-US"/>
    </w:rPr>
  </w:style>
  <w:style w:type="paragraph" w:styleId="Caption">
    <w:name w:val="caption"/>
    <w:basedOn w:val="Normal"/>
    <w:next w:val="Normal"/>
    <w:unhideWhenUsed/>
    <w:rsid w:val="00C2565D"/>
    <w:pPr>
      <w:spacing w:after="200"/>
    </w:pPr>
    <w:rPr>
      <w:b/>
      <w:bCs/>
      <w:color w:val="4F81BD" w:themeColor="accent1"/>
      <w:sz w:val="18"/>
      <w:szCs w:val="18"/>
    </w:rPr>
  </w:style>
  <w:style w:type="character" w:styleId="FollowedHyperlink">
    <w:name w:val="FollowedHyperlink"/>
    <w:basedOn w:val="DefaultParagraphFont"/>
    <w:semiHidden/>
    <w:unhideWhenUsed/>
    <w:rsid w:val="00EB4755"/>
    <w:rPr>
      <w:color w:val="800080" w:themeColor="followedHyperlink"/>
      <w:u w:val="single"/>
    </w:rPr>
  </w:style>
  <w:style w:type="character" w:styleId="Strong">
    <w:name w:val="Strong"/>
    <w:basedOn w:val="DefaultParagraphFont"/>
    <w:uiPriority w:val="22"/>
    <w:qFormat/>
    <w:rsid w:val="00872FE5"/>
    <w:rPr>
      <w:b/>
      <w:bCs/>
    </w:rPr>
  </w:style>
  <w:style w:type="character" w:styleId="CommentReference">
    <w:name w:val="annotation reference"/>
    <w:basedOn w:val="DefaultParagraphFont"/>
    <w:uiPriority w:val="99"/>
    <w:semiHidden/>
    <w:unhideWhenUsed/>
    <w:rsid w:val="005368AF"/>
    <w:rPr>
      <w:sz w:val="18"/>
      <w:szCs w:val="18"/>
    </w:rPr>
  </w:style>
  <w:style w:type="paragraph" w:styleId="CommentText">
    <w:name w:val="annotation text"/>
    <w:basedOn w:val="Normal"/>
    <w:link w:val="CommentTextChar"/>
    <w:uiPriority w:val="99"/>
    <w:semiHidden/>
    <w:unhideWhenUsed/>
    <w:rsid w:val="005368AF"/>
  </w:style>
  <w:style w:type="character" w:customStyle="1" w:styleId="CommentTextChar">
    <w:name w:val="Comment Text Char"/>
    <w:basedOn w:val="DefaultParagraphFont"/>
    <w:link w:val="CommentText"/>
    <w:uiPriority w:val="99"/>
    <w:semiHidden/>
    <w:rsid w:val="005368AF"/>
    <w:rPr>
      <w:sz w:val="24"/>
      <w:szCs w:val="24"/>
    </w:rPr>
  </w:style>
  <w:style w:type="paragraph" w:styleId="CommentSubject">
    <w:name w:val="annotation subject"/>
    <w:basedOn w:val="CommentText"/>
    <w:next w:val="CommentText"/>
    <w:link w:val="CommentSubjectChar"/>
    <w:semiHidden/>
    <w:unhideWhenUsed/>
    <w:rsid w:val="005368AF"/>
    <w:rPr>
      <w:b/>
      <w:bCs/>
      <w:sz w:val="20"/>
      <w:szCs w:val="20"/>
    </w:rPr>
  </w:style>
  <w:style w:type="character" w:customStyle="1" w:styleId="CommentSubjectChar">
    <w:name w:val="Comment Subject Char"/>
    <w:basedOn w:val="CommentTextChar"/>
    <w:link w:val="CommentSubject"/>
    <w:semiHidden/>
    <w:rsid w:val="005368AF"/>
    <w:rPr>
      <w:b/>
      <w:bCs/>
      <w:sz w:val="24"/>
      <w:szCs w:val="24"/>
    </w:rPr>
  </w:style>
  <w:style w:type="paragraph" w:styleId="Revision">
    <w:name w:val="Revision"/>
    <w:hidden/>
    <w:semiHidden/>
    <w:rsid w:val="00B44A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2695">
      <w:bodyDiv w:val="1"/>
      <w:marLeft w:val="0"/>
      <w:marRight w:val="0"/>
      <w:marTop w:val="0"/>
      <w:marBottom w:val="0"/>
      <w:divBdr>
        <w:top w:val="none" w:sz="0" w:space="0" w:color="auto"/>
        <w:left w:val="none" w:sz="0" w:space="0" w:color="auto"/>
        <w:bottom w:val="none" w:sz="0" w:space="0" w:color="auto"/>
        <w:right w:val="none" w:sz="0" w:space="0" w:color="auto"/>
      </w:divBdr>
    </w:div>
    <w:div w:id="45184432">
      <w:bodyDiv w:val="1"/>
      <w:marLeft w:val="0"/>
      <w:marRight w:val="0"/>
      <w:marTop w:val="0"/>
      <w:marBottom w:val="0"/>
      <w:divBdr>
        <w:top w:val="none" w:sz="0" w:space="0" w:color="auto"/>
        <w:left w:val="none" w:sz="0" w:space="0" w:color="auto"/>
        <w:bottom w:val="none" w:sz="0" w:space="0" w:color="auto"/>
        <w:right w:val="none" w:sz="0" w:space="0" w:color="auto"/>
      </w:divBdr>
    </w:div>
    <w:div w:id="216554172">
      <w:bodyDiv w:val="1"/>
      <w:marLeft w:val="0"/>
      <w:marRight w:val="0"/>
      <w:marTop w:val="0"/>
      <w:marBottom w:val="0"/>
      <w:divBdr>
        <w:top w:val="none" w:sz="0" w:space="0" w:color="auto"/>
        <w:left w:val="none" w:sz="0" w:space="0" w:color="auto"/>
        <w:bottom w:val="none" w:sz="0" w:space="0" w:color="auto"/>
        <w:right w:val="none" w:sz="0" w:space="0" w:color="auto"/>
      </w:divBdr>
      <w:divsChild>
        <w:div w:id="2011251630">
          <w:marLeft w:val="0"/>
          <w:marRight w:val="0"/>
          <w:marTop w:val="0"/>
          <w:marBottom w:val="0"/>
          <w:divBdr>
            <w:top w:val="none" w:sz="0" w:space="0" w:color="auto"/>
            <w:left w:val="none" w:sz="0" w:space="0" w:color="auto"/>
            <w:bottom w:val="none" w:sz="0" w:space="0" w:color="auto"/>
            <w:right w:val="none" w:sz="0" w:space="0" w:color="auto"/>
          </w:divBdr>
        </w:div>
        <w:div w:id="216207655">
          <w:marLeft w:val="0"/>
          <w:marRight w:val="0"/>
          <w:marTop w:val="0"/>
          <w:marBottom w:val="0"/>
          <w:divBdr>
            <w:top w:val="none" w:sz="0" w:space="0" w:color="auto"/>
            <w:left w:val="none" w:sz="0" w:space="0" w:color="auto"/>
            <w:bottom w:val="none" w:sz="0" w:space="0" w:color="auto"/>
            <w:right w:val="none" w:sz="0" w:space="0" w:color="auto"/>
          </w:divBdr>
        </w:div>
      </w:divsChild>
    </w:div>
    <w:div w:id="328796087">
      <w:bodyDiv w:val="1"/>
      <w:marLeft w:val="0"/>
      <w:marRight w:val="0"/>
      <w:marTop w:val="0"/>
      <w:marBottom w:val="0"/>
      <w:divBdr>
        <w:top w:val="none" w:sz="0" w:space="0" w:color="auto"/>
        <w:left w:val="none" w:sz="0" w:space="0" w:color="auto"/>
        <w:bottom w:val="none" w:sz="0" w:space="0" w:color="auto"/>
        <w:right w:val="none" w:sz="0" w:space="0" w:color="auto"/>
      </w:divBdr>
    </w:div>
    <w:div w:id="376777502">
      <w:bodyDiv w:val="1"/>
      <w:marLeft w:val="0"/>
      <w:marRight w:val="0"/>
      <w:marTop w:val="0"/>
      <w:marBottom w:val="0"/>
      <w:divBdr>
        <w:top w:val="none" w:sz="0" w:space="0" w:color="auto"/>
        <w:left w:val="none" w:sz="0" w:space="0" w:color="auto"/>
        <w:bottom w:val="none" w:sz="0" w:space="0" w:color="auto"/>
        <w:right w:val="none" w:sz="0" w:space="0" w:color="auto"/>
      </w:divBdr>
    </w:div>
    <w:div w:id="427119611">
      <w:bodyDiv w:val="1"/>
      <w:marLeft w:val="0"/>
      <w:marRight w:val="0"/>
      <w:marTop w:val="0"/>
      <w:marBottom w:val="0"/>
      <w:divBdr>
        <w:top w:val="none" w:sz="0" w:space="0" w:color="auto"/>
        <w:left w:val="none" w:sz="0" w:space="0" w:color="auto"/>
        <w:bottom w:val="none" w:sz="0" w:space="0" w:color="auto"/>
        <w:right w:val="none" w:sz="0" w:space="0" w:color="auto"/>
      </w:divBdr>
    </w:div>
    <w:div w:id="559168768">
      <w:bodyDiv w:val="1"/>
      <w:marLeft w:val="0"/>
      <w:marRight w:val="0"/>
      <w:marTop w:val="0"/>
      <w:marBottom w:val="0"/>
      <w:divBdr>
        <w:top w:val="none" w:sz="0" w:space="0" w:color="auto"/>
        <w:left w:val="none" w:sz="0" w:space="0" w:color="auto"/>
        <w:bottom w:val="none" w:sz="0" w:space="0" w:color="auto"/>
        <w:right w:val="none" w:sz="0" w:space="0" w:color="auto"/>
      </w:divBdr>
      <w:divsChild>
        <w:div w:id="732582913">
          <w:marLeft w:val="0"/>
          <w:marRight w:val="0"/>
          <w:marTop w:val="0"/>
          <w:marBottom w:val="0"/>
          <w:divBdr>
            <w:top w:val="none" w:sz="0" w:space="0" w:color="auto"/>
            <w:left w:val="none" w:sz="0" w:space="0" w:color="auto"/>
            <w:bottom w:val="none" w:sz="0" w:space="0" w:color="auto"/>
            <w:right w:val="none" w:sz="0" w:space="0" w:color="auto"/>
          </w:divBdr>
        </w:div>
      </w:divsChild>
    </w:div>
    <w:div w:id="674183738">
      <w:bodyDiv w:val="1"/>
      <w:marLeft w:val="0"/>
      <w:marRight w:val="0"/>
      <w:marTop w:val="0"/>
      <w:marBottom w:val="0"/>
      <w:divBdr>
        <w:top w:val="none" w:sz="0" w:space="0" w:color="auto"/>
        <w:left w:val="none" w:sz="0" w:space="0" w:color="auto"/>
        <w:bottom w:val="none" w:sz="0" w:space="0" w:color="auto"/>
        <w:right w:val="none" w:sz="0" w:space="0" w:color="auto"/>
      </w:divBdr>
    </w:div>
    <w:div w:id="803088051">
      <w:bodyDiv w:val="1"/>
      <w:marLeft w:val="0"/>
      <w:marRight w:val="0"/>
      <w:marTop w:val="0"/>
      <w:marBottom w:val="0"/>
      <w:divBdr>
        <w:top w:val="none" w:sz="0" w:space="0" w:color="auto"/>
        <w:left w:val="none" w:sz="0" w:space="0" w:color="auto"/>
        <w:bottom w:val="none" w:sz="0" w:space="0" w:color="auto"/>
        <w:right w:val="none" w:sz="0" w:space="0" w:color="auto"/>
      </w:divBdr>
    </w:div>
    <w:div w:id="878712003">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218204825">
      <w:bodyDiv w:val="1"/>
      <w:marLeft w:val="0"/>
      <w:marRight w:val="0"/>
      <w:marTop w:val="0"/>
      <w:marBottom w:val="0"/>
      <w:divBdr>
        <w:top w:val="none" w:sz="0" w:space="0" w:color="auto"/>
        <w:left w:val="none" w:sz="0" w:space="0" w:color="auto"/>
        <w:bottom w:val="none" w:sz="0" w:space="0" w:color="auto"/>
        <w:right w:val="none" w:sz="0" w:space="0" w:color="auto"/>
      </w:divBdr>
    </w:div>
    <w:div w:id="1457019899">
      <w:bodyDiv w:val="1"/>
      <w:marLeft w:val="0"/>
      <w:marRight w:val="0"/>
      <w:marTop w:val="0"/>
      <w:marBottom w:val="0"/>
      <w:divBdr>
        <w:top w:val="none" w:sz="0" w:space="0" w:color="auto"/>
        <w:left w:val="none" w:sz="0" w:space="0" w:color="auto"/>
        <w:bottom w:val="none" w:sz="0" w:space="0" w:color="auto"/>
        <w:right w:val="none" w:sz="0" w:space="0" w:color="auto"/>
      </w:divBdr>
    </w:div>
    <w:div w:id="1471552512">
      <w:bodyDiv w:val="1"/>
      <w:marLeft w:val="0"/>
      <w:marRight w:val="0"/>
      <w:marTop w:val="0"/>
      <w:marBottom w:val="0"/>
      <w:divBdr>
        <w:top w:val="none" w:sz="0" w:space="0" w:color="auto"/>
        <w:left w:val="none" w:sz="0" w:space="0" w:color="auto"/>
        <w:bottom w:val="none" w:sz="0" w:space="0" w:color="auto"/>
        <w:right w:val="none" w:sz="0" w:space="0" w:color="auto"/>
      </w:divBdr>
    </w:div>
    <w:div w:id="1910000736">
      <w:bodyDiv w:val="1"/>
      <w:marLeft w:val="0"/>
      <w:marRight w:val="0"/>
      <w:marTop w:val="0"/>
      <w:marBottom w:val="0"/>
      <w:divBdr>
        <w:top w:val="none" w:sz="0" w:space="0" w:color="auto"/>
        <w:left w:val="none" w:sz="0" w:space="0" w:color="auto"/>
        <w:bottom w:val="none" w:sz="0" w:space="0" w:color="auto"/>
        <w:right w:val="none" w:sz="0" w:space="0" w:color="auto"/>
      </w:divBdr>
    </w:div>
    <w:div w:id="1990405668">
      <w:bodyDiv w:val="1"/>
      <w:marLeft w:val="0"/>
      <w:marRight w:val="0"/>
      <w:marTop w:val="0"/>
      <w:marBottom w:val="0"/>
      <w:divBdr>
        <w:top w:val="none" w:sz="0" w:space="0" w:color="auto"/>
        <w:left w:val="none" w:sz="0" w:space="0" w:color="auto"/>
        <w:bottom w:val="none" w:sz="0" w:space="0" w:color="auto"/>
        <w:right w:val="none" w:sz="0" w:space="0" w:color="auto"/>
      </w:divBdr>
    </w:div>
    <w:div w:id="2028408916">
      <w:bodyDiv w:val="1"/>
      <w:marLeft w:val="0"/>
      <w:marRight w:val="0"/>
      <w:marTop w:val="0"/>
      <w:marBottom w:val="0"/>
      <w:divBdr>
        <w:top w:val="none" w:sz="0" w:space="0" w:color="auto"/>
        <w:left w:val="none" w:sz="0" w:space="0" w:color="auto"/>
        <w:bottom w:val="none" w:sz="0" w:space="0" w:color="auto"/>
        <w:right w:val="none" w:sz="0" w:space="0" w:color="auto"/>
      </w:divBdr>
    </w:div>
    <w:div w:id="2038042652">
      <w:bodyDiv w:val="1"/>
      <w:marLeft w:val="0"/>
      <w:marRight w:val="0"/>
      <w:marTop w:val="0"/>
      <w:marBottom w:val="0"/>
      <w:divBdr>
        <w:top w:val="none" w:sz="0" w:space="0" w:color="auto"/>
        <w:left w:val="none" w:sz="0" w:space="0" w:color="auto"/>
        <w:bottom w:val="none" w:sz="0" w:space="0" w:color="auto"/>
        <w:right w:val="none" w:sz="0" w:space="0" w:color="auto"/>
      </w:divBdr>
    </w:div>
    <w:div w:id="2097481370">
      <w:bodyDiv w:val="1"/>
      <w:marLeft w:val="0"/>
      <w:marRight w:val="0"/>
      <w:marTop w:val="0"/>
      <w:marBottom w:val="0"/>
      <w:divBdr>
        <w:top w:val="none" w:sz="0" w:space="0" w:color="auto"/>
        <w:left w:val="none" w:sz="0" w:space="0" w:color="auto"/>
        <w:bottom w:val="none" w:sz="0" w:space="0" w:color="auto"/>
        <w:right w:val="none" w:sz="0" w:space="0" w:color="auto"/>
      </w:divBdr>
    </w:div>
    <w:div w:id="2130926666">
      <w:bodyDiv w:val="1"/>
      <w:marLeft w:val="0"/>
      <w:marRight w:val="0"/>
      <w:marTop w:val="0"/>
      <w:marBottom w:val="0"/>
      <w:divBdr>
        <w:top w:val="none" w:sz="0" w:space="0" w:color="auto"/>
        <w:left w:val="none" w:sz="0" w:space="0" w:color="auto"/>
        <w:bottom w:val="none" w:sz="0" w:space="0" w:color="auto"/>
        <w:right w:val="none" w:sz="0" w:space="0" w:color="auto"/>
      </w:divBdr>
      <w:divsChild>
        <w:div w:id="1008753281">
          <w:marLeft w:val="0"/>
          <w:marRight w:val="0"/>
          <w:marTop w:val="0"/>
          <w:marBottom w:val="0"/>
          <w:divBdr>
            <w:top w:val="none" w:sz="0" w:space="0" w:color="auto"/>
            <w:left w:val="none" w:sz="0" w:space="0" w:color="auto"/>
            <w:bottom w:val="none" w:sz="0" w:space="0" w:color="auto"/>
            <w:right w:val="none" w:sz="0" w:space="0" w:color="auto"/>
          </w:divBdr>
        </w:div>
        <w:div w:id="441148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yerdelen@gmail.com" TargetMode="External"/><Relationship Id="rId13" Type="http://schemas.openxmlformats.org/officeDocument/2006/relationships/header" Target="header2.xml"/><Relationship Id="rId18" Type="http://schemas.openxmlformats.org/officeDocument/2006/relationships/hyperlink" Target="http://sgb.meb.gov.tr/meb_iys_dosyalar/2016_02/29061209_2015darefaalyetraporu.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hdl.handle.net/10724/9113"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digitalcommons.fiu.edu/etd/2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yerdelen@gmail.com" TargetMode="External"/><Relationship Id="rId24"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mailto:robert.klassen@york.ac.uk" TargetMode="External"/><Relationship Id="rId19" Type="http://schemas.openxmlformats.org/officeDocument/2006/relationships/hyperlink" Target="http://www.schaufeli.com" TargetMode="External"/><Relationship Id="rId4" Type="http://schemas.openxmlformats.org/officeDocument/2006/relationships/settings" Target="settings.xml"/><Relationship Id="rId9" Type="http://schemas.openxmlformats.org/officeDocument/2006/relationships/hyperlink" Target="mailto:tracy.durksen@unsw.edu.au" TargetMode="External"/><Relationship Id="rId14" Type="http://schemas.openxmlformats.org/officeDocument/2006/relationships/footer" Target="footer1.xml"/><Relationship Id="rId22" Type="http://schemas.openxmlformats.org/officeDocument/2006/relationships/hyperlink" Target="http://www.ipedr.com/vol5/no2/103-H10248.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Rar$DI00.044\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05080-FFE3-7441-9694-808637B03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C:\Users\User\AppData\Local\Temp\Rar$DI00.044\TF_Template_Word_Windows_2013.dotx</Template>
  <TotalTime>3</TotalTime>
  <Pages>24</Pages>
  <Words>7834</Words>
  <Characters>44660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TF_Template_Word_Windows_2013</vt:lpstr>
    </vt:vector>
  </TitlesOfParts>
  <Company>Informa Plc</Company>
  <LinksUpToDate>false</LinksUpToDate>
  <CharactersWithSpaces>52390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TF_Template_Word_Windows_2013</dc:title>
  <dc:creator>User</dc:creator>
  <cp:lastModifiedBy>Rob Klassen</cp:lastModifiedBy>
  <cp:revision>3</cp:revision>
  <cp:lastPrinted>2011-07-22T14:54:00Z</cp:lastPrinted>
  <dcterms:created xsi:type="dcterms:W3CDTF">2018-02-02T21:17:00Z</dcterms:created>
  <dcterms:modified xsi:type="dcterms:W3CDTF">2018-03-22T10:49:00Z</dcterms:modified>
</cp:coreProperties>
</file>