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22B" w:rsidRDefault="005A622B" w:rsidP="009B331A">
      <w:pPr>
        <w:spacing w:line="480" w:lineRule="auto"/>
      </w:pPr>
    </w:p>
    <w:p w:rsidR="00507E53" w:rsidRPr="000801CC" w:rsidRDefault="002148C3" w:rsidP="009B331A">
      <w:pPr>
        <w:spacing w:line="480" w:lineRule="auto"/>
        <w:rPr>
          <w:b/>
          <w:lang w:val="es-ES"/>
        </w:rPr>
      </w:pPr>
      <w:r>
        <w:tab/>
      </w:r>
      <w:r>
        <w:tab/>
      </w:r>
      <w:r>
        <w:tab/>
      </w:r>
      <w:r>
        <w:tab/>
      </w:r>
      <w:r w:rsidR="00AB7B1E">
        <w:t xml:space="preserve">                 </w:t>
      </w:r>
      <w:r w:rsidRPr="000801CC">
        <w:rPr>
          <w:b/>
          <w:lang w:val="es-ES"/>
        </w:rPr>
        <w:t>The Politics of Altruism</w:t>
      </w:r>
    </w:p>
    <w:p w:rsidR="002148C3" w:rsidRPr="000801CC" w:rsidRDefault="002148C3" w:rsidP="009B331A">
      <w:pPr>
        <w:spacing w:line="480" w:lineRule="auto"/>
        <w:rPr>
          <w:lang w:val="es-ES"/>
        </w:rPr>
      </w:pPr>
    </w:p>
    <w:p w:rsidR="002148C3" w:rsidRDefault="00632AFE" w:rsidP="009B331A">
      <w:pPr>
        <w:spacing w:line="480" w:lineRule="auto"/>
      </w:pPr>
      <w:r w:rsidRPr="00632AFE">
        <w:rPr>
          <w:lang w:val="es-ES"/>
        </w:rPr>
        <w:t>‘Increíble el primer animal que so</w:t>
      </w:r>
      <w:r>
        <w:rPr>
          <w:lang w:val="es-ES"/>
        </w:rPr>
        <w:t xml:space="preserve">ñó con otro animal’. </w:t>
      </w:r>
      <w:r w:rsidRPr="00632AFE">
        <w:t xml:space="preserve">‘Incredible the first animal that dreamed of another animal…’ The opening words of the 1975 novel </w:t>
      </w:r>
      <w:r w:rsidRPr="00487C21">
        <w:rPr>
          <w:i/>
        </w:rPr>
        <w:t>Terra Nostra</w:t>
      </w:r>
      <w:r w:rsidRPr="00632AFE">
        <w:t xml:space="preserve"> by the Mexican writer Carlos Fuentes.</w:t>
      </w:r>
      <w:r w:rsidR="00487C21">
        <w:t xml:space="preserve"> The words remind us that ‘altruism’ has a pre-history and that it is, among the varied aptitudes of humankind,</w:t>
      </w:r>
      <w:r w:rsidR="00417B11">
        <w:t xml:space="preserve"> one of the strangest. This essay</w:t>
      </w:r>
      <w:r w:rsidR="00487C21">
        <w:t xml:space="preserve"> is concerned with the quiet revaluation of Byron</w:t>
      </w:r>
      <w:r w:rsidR="00BF4AEC">
        <w:t>’s politics that has taken</w:t>
      </w:r>
      <w:r w:rsidR="00487C21">
        <w:t xml:space="preserve"> place over recent years, a revaluation that offers </w:t>
      </w:r>
      <w:r w:rsidR="00900046">
        <w:t>a counterweight to more traditional and more dramatic</w:t>
      </w:r>
      <w:r w:rsidR="00487C21">
        <w:t xml:space="preserve"> accounts</w:t>
      </w:r>
      <w:r w:rsidR="00505BA7">
        <w:t xml:space="preserve"> </w:t>
      </w:r>
      <w:r w:rsidR="00487C21">
        <w:t>of Byron</w:t>
      </w:r>
      <w:r w:rsidR="00635747">
        <w:t xml:space="preserve">’s apparent failures </w:t>
      </w:r>
      <w:r w:rsidR="005E54B3">
        <w:t>and ego</w:t>
      </w:r>
      <w:r w:rsidR="00AB7B1E">
        <w:t>ism in the political sphere.</w:t>
      </w:r>
    </w:p>
    <w:p w:rsidR="00487C21" w:rsidRDefault="00487C21" w:rsidP="009B331A">
      <w:pPr>
        <w:spacing w:line="480" w:lineRule="auto"/>
        <w:ind w:firstLine="720"/>
      </w:pPr>
      <w:r>
        <w:t>‘Altruism’, as a word,</w:t>
      </w:r>
      <w:r w:rsidR="00BA4FE6">
        <w:t xml:space="preserve"> looks</w:t>
      </w:r>
      <w:r>
        <w:t xml:space="preserve"> old and respectable. In f</w:t>
      </w:r>
      <w:r w:rsidR="00BA4FE6">
        <w:t>act, it is a ninetee</w:t>
      </w:r>
      <w:r w:rsidR="00177160">
        <w:t>nth-century coinage</w:t>
      </w:r>
      <w:r>
        <w:t>, from the French of Auguste Comte</w:t>
      </w:r>
      <w:r w:rsidR="00BA4FE6">
        <w:t xml:space="preserve">, </w:t>
      </w:r>
      <w:r w:rsidR="00BF4AEC">
        <w:t xml:space="preserve">the </w:t>
      </w:r>
      <w:r w:rsidR="00BA4FE6">
        <w:t>founder of sociology and positivi</w:t>
      </w:r>
      <w:r w:rsidR="00BF4AEC">
        <w:t>sm. It reached English in 1852 (</w:t>
      </w:r>
      <w:r w:rsidR="00BF4AEC" w:rsidRPr="00BF4AEC">
        <w:rPr>
          <w:i/>
        </w:rPr>
        <w:t>OED</w:t>
      </w:r>
      <w:r w:rsidR="00BF4AEC">
        <w:t>, 3</w:t>
      </w:r>
      <w:r w:rsidR="00BF4AEC" w:rsidRPr="00BF4AEC">
        <w:rPr>
          <w:vertAlign w:val="superscript"/>
        </w:rPr>
        <w:t>rd</w:t>
      </w:r>
      <w:r w:rsidR="00BF4AEC">
        <w:t>. ed.).</w:t>
      </w:r>
      <w:r w:rsidR="000801CC">
        <w:t xml:space="preserve"> </w:t>
      </w:r>
      <w:r w:rsidR="00BA4FE6">
        <w:t>The term, fro</w:t>
      </w:r>
      <w:r w:rsidR="000801CC">
        <w:t>m its inception, and by its</w:t>
      </w:r>
      <w:r w:rsidR="00BA4FE6">
        <w:t xml:space="preserve"> linguistic form, exists in a clear relation to ‘egoism’.</w:t>
      </w:r>
      <w:r w:rsidR="000801CC">
        <w:t xml:space="preserve"> That is, ‘altruism’ is always predicated on its apparent opposite.</w:t>
      </w:r>
      <w:r w:rsidR="00BA4FE6">
        <w:t xml:space="preserve"> Its pre-history is, inevitab</w:t>
      </w:r>
      <w:r w:rsidR="00BF4AEC">
        <w:t xml:space="preserve">ly, clouded. David Konstan </w:t>
      </w:r>
      <w:r w:rsidR="00BA4FE6">
        <w:t>has argued that Aristotle</w:t>
      </w:r>
      <w:r w:rsidR="00BF4AEC">
        <w:t xml:space="preserve"> </w:t>
      </w:r>
      <w:r w:rsidR="00010E69">
        <w:t>already has ‘a full-fledged concept of altruism</w:t>
      </w:r>
      <w:r w:rsidR="00BF4AEC">
        <w:t>,</w:t>
      </w:r>
      <w:r w:rsidR="00010E69">
        <w:t xml:space="preserve"> comparable to the modern ideal’</w:t>
      </w:r>
      <w:r w:rsidR="00BF4AEC">
        <w:t xml:space="preserve"> </w:t>
      </w:r>
      <w:r w:rsidR="00BF4AEC">
        <w:rPr>
          <w:rStyle w:val="FootnoteReference"/>
        </w:rPr>
        <w:footnoteReference w:id="1"/>
      </w:r>
      <w:r w:rsidR="00BF4AEC">
        <w:t>. While f</w:t>
      </w:r>
      <w:r w:rsidR="00010E69">
        <w:t>rom the Stoics</w:t>
      </w:r>
      <w:r w:rsidR="000801CC">
        <w:t xml:space="preserve"> of the fourth century BCE</w:t>
      </w:r>
      <w:r w:rsidR="00505BA7">
        <w:t xml:space="preserve"> to </w:t>
      </w:r>
      <w:r w:rsidR="00010E69">
        <w:t xml:space="preserve">specialists in evolutionary biology in the </w:t>
      </w:r>
      <w:r w:rsidR="000801CC">
        <w:t>21</w:t>
      </w:r>
      <w:r w:rsidR="000801CC" w:rsidRPr="000801CC">
        <w:rPr>
          <w:vertAlign w:val="superscript"/>
        </w:rPr>
        <w:t>st</w:t>
      </w:r>
      <w:r w:rsidR="00505BA7">
        <w:t xml:space="preserve"> century CE</w:t>
      </w:r>
      <w:r w:rsidR="000801CC">
        <w:t xml:space="preserve">, we find a series of attempts to look at issues that could, loosely, be grouped under </w:t>
      </w:r>
      <w:r w:rsidR="00BF4AEC">
        <w:t>the heading of ‘altruism’. T</w:t>
      </w:r>
      <w:r w:rsidR="000801CC">
        <w:t>his very pluralism</w:t>
      </w:r>
      <w:r w:rsidR="00BF4AEC">
        <w:t>, of course,</w:t>
      </w:r>
      <w:r w:rsidR="000801CC">
        <w:t xml:space="preserve"> inevitably makes the term a difficult one to work with.</w:t>
      </w:r>
    </w:p>
    <w:p w:rsidR="000801CC" w:rsidRDefault="00BF4AEC" w:rsidP="009B331A">
      <w:pPr>
        <w:spacing w:line="480" w:lineRule="auto"/>
        <w:ind w:firstLine="720"/>
      </w:pPr>
      <w:r>
        <w:t>R</w:t>
      </w:r>
      <w:r w:rsidR="00900046">
        <w:t>ecent research into altr</w:t>
      </w:r>
      <w:r w:rsidR="00AB7B1E">
        <w:t xml:space="preserve">uism has been helpful for anyone interested in the </w:t>
      </w:r>
      <w:r w:rsidR="00900046">
        <w:t xml:space="preserve">questions </w:t>
      </w:r>
      <w:r w:rsidR="000801CC">
        <w:t>raised by</w:t>
      </w:r>
      <w:r>
        <w:t xml:space="preserve"> the</w:t>
      </w:r>
      <w:r w:rsidR="00AB7B1E">
        <w:t xml:space="preserve"> trajectory of Byron’s life, or</w:t>
      </w:r>
      <w:r>
        <w:t xml:space="preserve"> by </w:t>
      </w:r>
      <w:r w:rsidR="00AB7B1E">
        <w:t xml:space="preserve">attempts </w:t>
      </w:r>
      <w:r w:rsidR="006F587C">
        <w:t>to read his actions outs</w:t>
      </w:r>
      <w:r w:rsidR="00900046">
        <w:t>ide the context of romantically-</w:t>
      </w:r>
      <w:r w:rsidR="006F587C">
        <w:t xml:space="preserve">inflated or self-destructive paradigms. </w:t>
      </w:r>
      <w:r w:rsidR="000801CC">
        <w:t>Most significa</w:t>
      </w:r>
      <w:r w:rsidR="006F587C">
        <w:t>ntly, there has been a</w:t>
      </w:r>
      <w:r w:rsidR="00900046">
        <w:t xml:space="preserve"> notable</w:t>
      </w:r>
      <w:r w:rsidR="006F587C">
        <w:t xml:space="preserve"> willingness </w:t>
      </w:r>
      <w:r w:rsidR="000801CC">
        <w:t>to recover the term ‘altruism’ fr</w:t>
      </w:r>
      <w:r w:rsidR="00900046">
        <w:t>om an impossible absolutism</w:t>
      </w:r>
      <w:r w:rsidR="000801CC">
        <w:t>. Some recent scholars argue that</w:t>
      </w:r>
      <w:r w:rsidR="006C3FAE">
        <w:t>, as Matthew Christ puts it,</w:t>
      </w:r>
      <w:r w:rsidR="000801CC">
        <w:t xml:space="preserve"> </w:t>
      </w:r>
      <w:r w:rsidR="0005319A">
        <w:t>‘</w:t>
      </w:r>
      <w:r w:rsidR="000801CC">
        <w:t xml:space="preserve">we do not need to take into account an agent’s motivations in </w:t>
      </w:r>
      <w:r w:rsidR="000801CC">
        <w:lastRenderedPageBreak/>
        <w:t xml:space="preserve">identifying altruistic behaviour because outcomes are </w:t>
      </w:r>
      <w:r w:rsidR="0005319A">
        <w:t>more important than motivations’.</w:t>
      </w:r>
      <w:r w:rsidR="006F587C">
        <w:rPr>
          <w:rStyle w:val="FootnoteReference"/>
        </w:rPr>
        <w:footnoteReference w:id="2"/>
      </w:r>
      <w:r w:rsidR="0005319A">
        <w:t xml:space="preserve"> This is helpful because motivation is, in the end, more or less impossible to decode (why did Byron go to Mesolongi?), and because the existence of what one might call ‘pure altruism’ can now be releg</w:t>
      </w:r>
      <w:r w:rsidR="00900046">
        <w:t>ated to the status of a theoretically interesting but pragmatically unhelpful--because</w:t>
      </w:r>
      <w:r w:rsidR="006F587C">
        <w:t xml:space="preserve"> </w:t>
      </w:r>
      <w:r w:rsidR="00635747">
        <w:t>unattainable</w:t>
      </w:r>
      <w:r w:rsidR="00900046">
        <w:t>--</w:t>
      </w:r>
      <w:r w:rsidR="00635747">
        <w:t>ideal</w:t>
      </w:r>
      <w:r w:rsidR="00900046">
        <w:t>. T</w:t>
      </w:r>
      <w:r w:rsidR="0005319A">
        <w:t>he more modern (and more modest) goal lies in identifying behaviours that are relatively unselfish, or more other-oriented than egotistical.</w:t>
      </w:r>
      <w:r w:rsidR="005E54B3">
        <w:t xml:space="preserve"> </w:t>
      </w:r>
    </w:p>
    <w:p w:rsidR="0005319A" w:rsidRDefault="0005319A" w:rsidP="009B331A">
      <w:pPr>
        <w:spacing w:line="480" w:lineRule="auto"/>
        <w:ind w:firstLine="720"/>
      </w:pPr>
      <w:r>
        <w:t xml:space="preserve">This retreat from the unworkable absolute to a more pragmatic relativism is, of course, characteristic of </w:t>
      </w:r>
      <w:r w:rsidR="00635747">
        <w:t xml:space="preserve">the fate of </w:t>
      </w:r>
      <w:r>
        <w:t>many terms in the c</w:t>
      </w:r>
      <w:r w:rsidR="002171A8">
        <w:t>ontemporary world. The</w:t>
      </w:r>
      <w:r w:rsidR="00900046">
        <w:t xml:space="preserve"> general</w:t>
      </w:r>
      <w:r w:rsidR="005E54B3">
        <w:t xml:space="preserve"> retreat has, in</w:t>
      </w:r>
      <w:r w:rsidR="002171A8">
        <w:t xml:space="preserve"> terms of Byron’s reputation,</w:t>
      </w:r>
      <w:r w:rsidR="00900046">
        <w:t xml:space="preserve"> been greatly </w:t>
      </w:r>
      <w:r w:rsidR="005E54B3">
        <w:t>to his advantage. Fifty years ago</w:t>
      </w:r>
      <w:r w:rsidR="002171A8">
        <w:t>, it was easy to pour scorn on the apparent naivety of Byron’s expression</w:t>
      </w:r>
      <w:r w:rsidR="00635747">
        <w:t>s</w:t>
      </w:r>
      <w:r w:rsidR="00505BA7">
        <w:t xml:space="preserve"> of political commitment: </w:t>
      </w:r>
      <w:r w:rsidR="00635747">
        <w:t xml:space="preserve">for example, </w:t>
      </w:r>
      <w:r w:rsidR="002171A8">
        <w:t>in the letter to Dougl</w:t>
      </w:r>
      <w:r w:rsidR="00505BA7">
        <w:t>as Kinnaird (</w:t>
      </w:r>
      <w:r w:rsidR="007C0466" w:rsidRPr="00DC7CEB">
        <w:rPr>
          <w:i/>
        </w:rPr>
        <w:t>BLJ</w:t>
      </w:r>
      <w:r w:rsidR="00DC7CEB">
        <w:rPr>
          <w:i/>
        </w:rPr>
        <w:t xml:space="preserve"> </w:t>
      </w:r>
      <w:r w:rsidR="007C0466">
        <w:t xml:space="preserve"> 9.207-8</w:t>
      </w:r>
      <w:r w:rsidR="00DC7CEB">
        <w:t xml:space="preserve">: </w:t>
      </w:r>
      <w:r w:rsidR="00505BA7">
        <w:t>12 September 1822), where he writes</w:t>
      </w:r>
      <w:r w:rsidR="00DC7CEB">
        <w:t xml:space="preserve"> ‘I have no violent expenc</w:t>
      </w:r>
      <w:r w:rsidR="002171A8">
        <w:t>es—but I want to get a sum together to go amongst the Greeks or A</w:t>
      </w:r>
      <w:r w:rsidR="00F01B35">
        <w:t>mericans—and do some good’. S</w:t>
      </w:r>
      <w:r w:rsidR="00DC7CEB">
        <w:t xml:space="preserve">uch </w:t>
      </w:r>
      <w:r w:rsidR="00900046">
        <w:t xml:space="preserve">expressions now sound </w:t>
      </w:r>
      <w:r w:rsidR="00DC7CEB">
        <w:t>much less problematic.</w:t>
      </w:r>
      <w:r w:rsidR="002171A8">
        <w:t xml:space="preserve"> </w:t>
      </w:r>
      <w:r w:rsidR="00DC7CEB">
        <w:t xml:space="preserve">In </w:t>
      </w:r>
      <w:r w:rsidR="002171A8">
        <w:t>Matthew Ch</w:t>
      </w:r>
      <w:r w:rsidR="006C3FAE">
        <w:t>rist</w:t>
      </w:r>
      <w:r w:rsidR="00DC7CEB">
        <w:t xml:space="preserve">’s </w:t>
      </w:r>
      <w:r w:rsidR="006C3FAE" w:rsidRPr="006C3FAE">
        <w:rPr>
          <w:i/>
        </w:rPr>
        <w:t>The Li</w:t>
      </w:r>
      <w:r w:rsidR="00DC7CEB">
        <w:rPr>
          <w:i/>
        </w:rPr>
        <w:t xml:space="preserve">mits of Altruism in Democratic </w:t>
      </w:r>
      <w:r w:rsidR="006C3FAE" w:rsidRPr="006C3FAE">
        <w:rPr>
          <w:i/>
        </w:rPr>
        <w:t>Athens</w:t>
      </w:r>
      <w:r w:rsidR="006C3FAE">
        <w:t xml:space="preserve">, </w:t>
      </w:r>
      <w:r w:rsidR="001118C1">
        <w:t>we find a desire</w:t>
      </w:r>
      <w:r w:rsidR="002171A8">
        <w:t xml:space="preserve"> to replace the term ‘altruism’ (even though it figures prominently in the title of his book) by the expression ‘help</w:t>
      </w:r>
      <w:r w:rsidR="00DC7CEB">
        <w:t>ing behavior’, as being</w:t>
      </w:r>
      <w:r w:rsidR="00900046">
        <w:t xml:space="preserve"> more</w:t>
      </w:r>
      <w:r w:rsidR="00DC7CEB">
        <w:t xml:space="preserve"> </w:t>
      </w:r>
      <w:r w:rsidR="00BC7263">
        <w:t>in keeping with the</w:t>
      </w:r>
      <w:r w:rsidR="00900046">
        <w:t xml:space="preserve"> </w:t>
      </w:r>
      <w:r w:rsidR="00DC7CEB">
        <w:t xml:space="preserve">modest, </w:t>
      </w:r>
      <w:r w:rsidR="002171A8">
        <w:t xml:space="preserve">relativist nature of what he seeks to investigate. </w:t>
      </w:r>
      <w:r w:rsidR="00DC7CEB">
        <w:t>The gap between ‘helping behavio</w:t>
      </w:r>
      <w:r w:rsidR="007F497A">
        <w:t>r’ an</w:t>
      </w:r>
      <w:r w:rsidR="00F01B35">
        <w:t>d doing ‘some</w:t>
      </w:r>
      <w:r w:rsidR="00900046">
        <w:t xml:space="preserve"> good’ is </w:t>
      </w:r>
      <w:r w:rsidR="00E46B64">
        <w:t>eminently bridgeable and the bridging works entirely in Byron’s favour.</w:t>
      </w:r>
    </w:p>
    <w:p w:rsidR="001118C1" w:rsidRDefault="001118C1" w:rsidP="009B331A">
      <w:pPr>
        <w:spacing w:line="480" w:lineRule="auto"/>
        <w:ind w:firstLine="720"/>
      </w:pPr>
      <w:r>
        <w:t>The retreat from the absolute and the systema</w:t>
      </w:r>
      <w:r w:rsidR="00F01B35">
        <w:t>tic has had similarly positive</w:t>
      </w:r>
      <w:r>
        <w:t xml:space="preserve"> effects on Byron’s reputat</w:t>
      </w:r>
      <w:r w:rsidR="00E46B64">
        <w:t xml:space="preserve">ion in other areas. </w:t>
      </w:r>
      <w:r>
        <w:t>Nostalgia for the ‘organic whole’ is</w:t>
      </w:r>
      <w:r w:rsidR="00635747">
        <w:t xml:space="preserve"> now</w:t>
      </w:r>
      <w:r>
        <w:t xml:space="preserve"> nowhere fashionable, and this makes Arnold’s famous reservations about Byron’s poetry seem very distant to us: ‘his poetic work could not have first grown and matured in his own mind, and then come forth as an organic whole; Byron had not enough of the artist in him</w:t>
      </w:r>
      <w:r w:rsidR="00F01B35">
        <w:t xml:space="preserve"> for this, nor</w:t>
      </w:r>
      <w:r>
        <w:t xml:space="preserve"> enough of self-command’. </w:t>
      </w:r>
      <w:r w:rsidR="00F01B35">
        <w:rPr>
          <w:rStyle w:val="FootnoteReference"/>
        </w:rPr>
        <w:footnoteReference w:id="3"/>
      </w:r>
      <w:r w:rsidR="00F01B35">
        <w:t xml:space="preserve"> </w:t>
      </w:r>
      <w:r>
        <w:t xml:space="preserve">While in </w:t>
      </w:r>
      <w:r>
        <w:lastRenderedPageBreak/>
        <w:t>th</w:t>
      </w:r>
      <w:r w:rsidR="00F01B35">
        <w:t xml:space="preserve">e political sphere, to which I </w:t>
      </w:r>
      <w:r>
        <w:t>shall shortly return, the retreat from ideologically-driven politics</w:t>
      </w:r>
      <w:r w:rsidR="00BC7263">
        <w:t xml:space="preserve"> has hugely </w:t>
      </w:r>
      <w:r w:rsidR="001D74FD">
        <w:t>affected the way in which Byron’s ow</w:t>
      </w:r>
      <w:r w:rsidR="003A4EDA">
        <w:t>n contributions in that area might</w:t>
      </w:r>
      <w:r w:rsidR="00F01B35">
        <w:t xml:space="preserve"> be</w:t>
      </w:r>
      <w:r w:rsidR="001D74FD">
        <w:t xml:space="preserve"> measured.</w:t>
      </w:r>
    </w:p>
    <w:p w:rsidR="001D74FD" w:rsidRDefault="001D74FD" w:rsidP="009B331A">
      <w:pPr>
        <w:spacing w:line="480" w:lineRule="auto"/>
        <w:ind w:firstLine="720"/>
      </w:pPr>
      <w:r>
        <w:t>Altruism is now most simply defined</w:t>
      </w:r>
      <w:r w:rsidR="00CD2DBE">
        <w:t xml:space="preserve"> in terms of the</w:t>
      </w:r>
      <w:r w:rsidR="00A7061D">
        <w:t xml:space="preserve"> recognition of the needs of others</w:t>
      </w:r>
      <w:r w:rsidR="00CD2DBE">
        <w:t xml:space="preserve"> and, generally, a willingness to act on that recognition. As the </w:t>
      </w:r>
      <w:r w:rsidR="00CD2DBE" w:rsidRPr="007910F2">
        <w:rPr>
          <w:i/>
        </w:rPr>
        <w:t>OED</w:t>
      </w:r>
      <w:r w:rsidR="00CD2DBE">
        <w:t xml:space="preserve"> puts it: ‘Disinterested or selfless concern for the well-being of others, esp. as a principle of action’. It’s worth recalling how much of an innovation this attitude is in human affairs. The standard account of citizenship in democratic Athens stressed the importance of citizens leaving each other alone as free and equal people, rather than engaging in mutual support. Citizens should refrain from harming each other, but </w:t>
      </w:r>
      <w:r w:rsidR="007910F2">
        <w:t xml:space="preserve">Athenian </w:t>
      </w:r>
      <w:r w:rsidR="00CD2DBE">
        <w:t>public discourse does not suggest that they are obliged to help their fellow citizens in distress.</w:t>
      </w:r>
      <w:r w:rsidR="00022645">
        <w:t xml:space="preserve"> </w:t>
      </w:r>
      <w:r w:rsidR="00022645">
        <w:rPr>
          <w:rStyle w:val="FootnoteReference"/>
        </w:rPr>
        <w:footnoteReference w:id="4"/>
      </w:r>
      <w:r w:rsidR="00CD2DBE">
        <w:t xml:space="preserve"> Hobbes, Locke, and Jefferson</w:t>
      </w:r>
      <w:r w:rsidR="00022645">
        <w:t xml:space="preserve"> all</w:t>
      </w:r>
      <w:r w:rsidR="00CD2DBE">
        <w:t xml:space="preserve"> saw human rights as a means of preserving a private sphere where people were free to develop their own desires</w:t>
      </w:r>
      <w:r w:rsidR="007910F2">
        <w:t xml:space="preserve"> and to enrich themselves</w:t>
      </w:r>
      <w:r w:rsidR="00CD2DBE">
        <w:t>. A reflection of this atti</w:t>
      </w:r>
      <w:r w:rsidR="00505BA7">
        <w:t>tude can</w:t>
      </w:r>
      <w:r w:rsidR="007910F2">
        <w:t xml:space="preserve"> be found in Byron’s approach to</w:t>
      </w:r>
      <w:r w:rsidR="00CD2DBE">
        <w:t xml:space="preserve"> freedom, even as late as 1822</w:t>
      </w:r>
      <w:r w:rsidR="00051BBE">
        <w:t xml:space="preserve">: in Canto 9 of </w:t>
      </w:r>
      <w:r w:rsidR="00051BBE" w:rsidRPr="00051BBE">
        <w:rPr>
          <w:i/>
        </w:rPr>
        <w:t>Don Juan</w:t>
      </w:r>
      <w:r w:rsidR="00E46B64">
        <w:t>, he writes</w:t>
      </w:r>
      <w:r w:rsidR="00051BBE">
        <w:t>:</w:t>
      </w:r>
    </w:p>
    <w:p w:rsidR="007910F2" w:rsidRDefault="007910F2" w:rsidP="009B331A">
      <w:pPr>
        <w:spacing w:line="480" w:lineRule="auto"/>
      </w:pPr>
    </w:p>
    <w:p w:rsidR="00051BBE" w:rsidRDefault="00051BBE" w:rsidP="009B331A">
      <w:pPr>
        <w:spacing w:line="480" w:lineRule="auto"/>
      </w:pPr>
      <w:r>
        <w:t>It is not that I adulate the people</w:t>
      </w:r>
      <w:r w:rsidR="00355B5E">
        <w:t>…</w:t>
      </w:r>
    </w:p>
    <w:p w:rsidR="00355B5E" w:rsidRDefault="00355B5E" w:rsidP="009B331A">
      <w:pPr>
        <w:spacing w:line="480" w:lineRule="auto"/>
      </w:pPr>
      <w:r>
        <w:t xml:space="preserve">                  </w:t>
      </w:r>
      <w:r w:rsidR="00FB2157">
        <w:t>…</w:t>
      </w:r>
      <w:r>
        <w:t xml:space="preserve">    I wish men to be free</w:t>
      </w:r>
    </w:p>
    <w:p w:rsidR="00355B5E" w:rsidRDefault="00355B5E" w:rsidP="009B331A">
      <w:pPr>
        <w:spacing w:line="480" w:lineRule="auto"/>
      </w:pPr>
      <w:r>
        <w:t>As much from mobs as kings—from you as me.  (</w:t>
      </w:r>
      <w:r w:rsidRPr="00355B5E">
        <w:rPr>
          <w:i/>
        </w:rPr>
        <w:t>DJ</w:t>
      </w:r>
      <w:r w:rsidR="00FB2157">
        <w:t xml:space="preserve"> 9. 193, 199-200</w:t>
      </w:r>
      <w:r>
        <w:t>)</w:t>
      </w:r>
    </w:p>
    <w:p w:rsidR="00355B5E" w:rsidRDefault="00355B5E" w:rsidP="009B331A">
      <w:pPr>
        <w:spacing w:line="480" w:lineRule="auto"/>
      </w:pPr>
    </w:p>
    <w:p w:rsidR="00EE7A01" w:rsidRDefault="00355B5E" w:rsidP="009B331A">
      <w:pPr>
        <w:spacing w:line="480" w:lineRule="auto"/>
      </w:pPr>
      <w:r>
        <w:t xml:space="preserve">Freedom here </w:t>
      </w:r>
      <w:r w:rsidR="007910F2">
        <w:t xml:space="preserve">is the heart-felt desire to be left in peace, free from the pressures and claims of others. </w:t>
      </w:r>
      <w:r w:rsidR="00EE7A01" w:rsidRPr="00EE7A01">
        <w:t>It is the place whe</w:t>
      </w:r>
      <w:r w:rsidR="00E46B64">
        <w:t xml:space="preserve">re the </w:t>
      </w:r>
      <w:r w:rsidR="003A4EDA">
        <w:t xml:space="preserve">singer of ‘The isles of Greece’ </w:t>
      </w:r>
      <w:r w:rsidR="00E46B64">
        <w:t xml:space="preserve">in </w:t>
      </w:r>
      <w:r w:rsidR="00E46B64" w:rsidRPr="00E46B64">
        <w:rPr>
          <w:i/>
        </w:rPr>
        <w:t>Don Juan</w:t>
      </w:r>
      <w:r w:rsidR="00E46B64">
        <w:t xml:space="preserve"> takes refuge at the </w:t>
      </w:r>
      <w:r w:rsidR="003A4EDA">
        <w:t xml:space="preserve">very </w:t>
      </w:r>
      <w:r w:rsidR="00EE7A01">
        <w:t>end</w:t>
      </w:r>
      <w:r w:rsidR="00E46B64">
        <w:t xml:space="preserve"> of the poem</w:t>
      </w:r>
      <w:r w:rsidR="00EE7A01">
        <w:t>,</w:t>
      </w:r>
      <w:r w:rsidR="00E46B64">
        <w:t xml:space="preserve"> weary of the complexities of freedom, action, and engagement, </w:t>
      </w:r>
      <w:r w:rsidR="00816021">
        <w:t>longing for the retreat from ‘we’ to ‘I’:</w:t>
      </w:r>
    </w:p>
    <w:p w:rsidR="00EE7A01" w:rsidRDefault="00EE7A01" w:rsidP="009B331A">
      <w:pPr>
        <w:spacing w:line="480" w:lineRule="auto"/>
      </w:pPr>
    </w:p>
    <w:p w:rsidR="00EE7A01" w:rsidRDefault="00EE7A01" w:rsidP="009B331A">
      <w:pPr>
        <w:spacing w:line="480" w:lineRule="auto"/>
      </w:pPr>
      <w:r>
        <w:t>Place me on Sunium’s marbled steep,</w:t>
      </w:r>
    </w:p>
    <w:p w:rsidR="00EE7A01" w:rsidRDefault="00EE7A01" w:rsidP="009B331A">
      <w:pPr>
        <w:spacing w:line="480" w:lineRule="auto"/>
      </w:pPr>
      <w:r>
        <w:t xml:space="preserve">    Where nothing, save the waves and I,</w:t>
      </w:r>
    </w:p>
    <w:p w:rsidR="00EE7A01" w:rsidRDefault="00EE7A01" w:rsidP="009B331A">
      <w:pPr>
        <w:spacing w:line="480" w:lineRule="auto"/>
      </w:pPr>
      <w:r>
        <w:lastRenderedPageBreak/>
        <w:t>May hear our mutual murmurs sweep;  (</w:t>
      </w:r>
      <w:r w:rsidRPr="00EE7A01">
        <w:rPr>
          <w:i/>
        </w:rPr>
        <w:t>DJ</w:t>
      </w:r>
      <w:r w:rsidR="00FB2157">
        <w:t xml:space="preserve"> 3.</w:t>
      </w:r>
      <w:r>
        <w:t>779-81)</w:t>
      </w:r>
    </w:p>
    <w:p w:rsidR="001F2A8F" w:rsidRDefault="001F2A8F" w:rsidP="009B331A">
      <w:pPr>
        <w:spacing w:line="480" w:lineRule="auto"/>
      </w:pPr>
    </w:p>
    <w:p w:rsidR="00355B5E" w:rsidRDefault="00EE7A01" w:rsidP="009B331A">
      <w:pPr>
        <w:spacing w:line="480" w:lineRule="auto"/>
      </w:pPr>
      <w:r w:rsidRPr="00EE7A01">
        <w:rPr>
          <w:lang w:val="fr-FR"/>
        </w:rPr>
        <w:t>This</w:t>
      </w:r>
      <w:r>
        <w:rPr>
          <w:lang w:val="fr-FR"/>
        </w:rPr>
        <w:t xml:space="preserve"> modality of freedom</w:t>
      </w:r>
      <w:r w:rsidRPr="00EE7A01">
        <w:rPr>
          <w:lang w:val="fr-FR"/>
        </w:rPr>
        <w:t xml:space="preserve"> </w:t>
      </w:r>
      <w:r w:rsidR="007910F2" w:rsidRPr="00EE7A01">
        <w:rPr>
          <w:lang w:val="fr-FR"/>
        </w:rPr>
        <w:t xml:space="preserve"> has an echo in </w:t>
      </w:r>
      <w:r w:rsidR="007910F2" w:rsidRPr="00EE7A01">
        <w:rPr>
          <w:i/>
          <w:lang w:val="fr-FR"/>
        </w:rPr>
        <w:t>Les Rêveries du promeneur solitaire</w:t>
      </w:r>
      <w:r w:rsidR="007910F2" w:rsidRPr="00EE7A01">
        <w:rPr>
          <w:lang w:val="fr-FR"/>
        </w:rPr>
        <w:t>, where</w:t>
      </w:r>
      <w:r w:rsidR="001F2A8F">
        <w:rPr>
          <w:lang w:val="fr-FR"/>
        </w:rPr>
        <w:t xml:space="preserve"> Rousse</w:t>
      </w:r>
      <w:r w:rsidR="00635747">
        <w:rPr>
          <w:lang w:val="fr-FR"/>
        </w:rPr>
        <w:t xml:space="preserve">au writes of </w:t>
      </w:r>
      <w:r w:rsidR="001F2A8F">
        <w:rPr>
          <w:lang w:val="fr-FR"/>
        </w:rPr>
        <w:t>the attraction of an</w:t>
      </w:r>
      <w:r w:rsidR="007910F2" w:rsidRPr="00EE7A01">
        <w:rPr>
          <w:lang w:val="fr-FR"/>
        </w:rPr>
        <w:t xml:space="preserve"> extremely passive</w:t>
      </w:r>
      <w:r w:rsidR="001F2A8F">
        <w:rPr>
          <w:lang w:val="fr-FR"/>
        </w:rPr>
        <w:t>, but</w:t>
      </w:r>
      <w:r w:rsidR="007910F2" w:rsidRPr="00EE7A01">
        <w:rPr>
          <w:lang w:val="fr-FR"/>
        </w:rPr>
        <w:t xml:space="preserve"> resi</w:t>
      </w:r>
      <w:r w:rsidR="00505BA7">
        <w:rPr>
          <w:lang w:val="fr-FR"/>
        </w:rPr>
        <w:t>stant, form of freedom: ‘Je n’ai</w:t>
      </w:r>
      <w:r w:rsidR="007910F2" w:rsidRPr="00EE7A01">
        <w:rPr>
          <w:lang w:val="fr-FR"/>
        </w:rPr>
        <w:t xml:space="preserve"> jamais cru que la liberté de l’homme consistât à faire ce qu’il veut, mais bien à ne jamais faire ce qu’il ne veut pas’ (end of </w:t>
      </w:r>
      <w:r w:rsidR="007910F2" w:rsidRPr="00EE7A01">
        <w:rPr>
          <w:i/>
          <w:lang w:val="fr-FR"/>
        </w:rPr>
        <w:t>Sixième promenade</w:t>
      </w:r>
      <w:r w:rsidR="007910F2" w:rsidRPr="00EE7A01">
        <w:rPr>
          <w:lang w:val="fr-FR"/>
        </w:rPr>
        <w:t>).</w:t>
      </w:r>
      <w:r w:rsidR="004E3323">
        <w:rPr>
          <w:lang w:val="fr-FR"/>
        </w:rPr>
        <w:t xml:space="preserve"> </w:t>
      </w:r>
      <w:r w:rsidR="004E3323">
        <w:rPr>
          <w:rStyle w:val="FootnoteReference"/>
          <w:lang w:val="fr-FR"/>
        </w:rPr>
        <w:footnoteReference w:id="5"/>
      </w:r>
      <w:r w:rsidR="007910F2" w:rsidRPr="00EE7A01">
        <w:rPr>
          <w:lang w:val="fr-FR"/>
        </w:rPr>
        <w:t xml:space="preserve"> </w:t>
      </w:r>
      <w:r w:rsidR="007910F2" w:rsidRPr="007910F2">
        <w:t>‘I have never believed that man’s freedom consisted in doing what he wants to do, but rather in never doing what</w:t>
      </w:r>
      <w:r w:rsidR="007910F2">
        <w:t xml:space="preserve"> he does not want to do’.</w:t>
      </w:r>
    </w:p>
    <w:p w:rsidR="00385B31" w:rsidRDefault="001E60AA" w:rsidP="009B331A">
      <w:pPr>
        <w:spacing w:line="480" w:lineRule="auto"/>
        <w:ind w:firstLine="720"/>
      </w:pPr>
      <w:r>
        <w:t xml:space="preserve">So </w:t>
      </w:r>
      <w:r w:rsidR="001F2A8F">
        <w:t>here</w:t>
      </w:r>
      <w:r>
        <w:t xml:space="preserve"> is</w:t>
      </w:r>
      <w:r w:rsidR="001F2A8F">
        <w:t xml:space="preserve"> an immediate challenge to any notion of a Byronic altruism. ‘No one can be more sick of—or indifferent to politics than I am—if they let me alone</w:t>
      </w:r>
      <w:r w:rsidR="003A4EDA">
        <w:t>’</w:t>
      </w:r>
      <w:r w:rsidR="001F2A8F">
        <w:t xml:space="preserve"> (</w:t>
      </w:r>
      <w:r w:rsidR="001F2A8F" w:rsidRPr="001F2A8F">
        <w:rPr>
          <w:i/>
        </w:rPr>
        <w:t>BLJ</w:t>
      </w:r>
      <w:r w:rsidR="00D545DA">
        <w:rPr>
          <w:i/>
        </w:rPr>
        <w:t xml:space="preserve"> </w:t>
      </w:r>
      <w:r w:rsidR="00D545DA">
        <w:t xml:space="preserve">7, 44: B </w:t>
      </w:r>
      <w:r w:rsidR="001F2A8F">
        <w:t>to John Murray</w:t>
      </w:r>
      <w:r w:rsidR="00D545DA">
        <w:t>,</w:t>
      </w:r>
      <w:r w:rsidR="003A4EDA">
        <w:t xml:space="preserve"> 21 February 1820); </w:t>
      </w:r>
      <w:r w:rsidR="001F2A8F">
        <w:t>’it is difficult to say whether hereditary right—or popular choice produce the worst Sovereigns…</w:t>
      </w:r>
      <w:r w:rsidR="00FF5537">
        <w:t xml:space="preserve">It is still more </w:t>
      </w:r>
      <w:r w:rsidR="001F2A8F">
        <w:t xml:space="preserve">difficult to say which form of Government is the </w:t>
      </w:r>
      <w:r w:rsidR="001F2A8F" w:rsidRPr="001F2A8F">
        <w:rPr>
          <w:i/>
        </w:rPr>
        <w:t>worst</w:t>
      </w:r>
      <w:r w:rsidR="001F2A8F">
        <w:t>—al</w:t>
      </w:r>
      <w:r>
        <w:t xml:space="preserve">l are so bad.—As for democracy </w:t>
      </w:r>
      <w:r w:rsidR="001F2A8F">
        <w:t xml:space="preserve">it is the worst of the whole—for </w:t>
      </w:r>
      <w:r w:rsidR="001F2A8F" w:rsidRPr="008F46A0">
        <w:rPr>
          <w:i/>
        </w:rPr>
        <w:t>what is (in fact)</w:t>
      </w:r>
      <w:r w:rsidR="001F2A8F">
        <w:t xml:space="preserve"> democracy?</w:t>
      </w:r>
      <w:r w:rsidR="008F46A0">
        <w:t xml:space="preserve"> An Aristocracy of Blackguards.—‘ (</w:t>
      </w:r>
      <w:r w:rsidR="008F46A0" w:rsidRPr="008F46A0">
        <w:rPr>
          <w:i/>
        </w:rPr>
        <w:t>BLJ</w:t>
      </w:r>
      <w:r w:rsidR="00D545DA">
        <w:t xml:space="preserve"> 8, 107:</w:t>
      </w:r>
      <w:r w:rsidR="008F46A0">
        <w:t xml:space="preserve"> </w:t>
      </w:r>
      <w:r w:rsidR="00505BA7">
        <w:rPr>
          <w:i/>
        </w:rPr>
        <w:t>J</w:t>
      </w:r>
      <w:r w:rsidR="008F46A0" w:rsidRPr="008F46A0">
        <w:rPr>
          <w:i/>
        </w:rPr>
        <w:t>ournal</w:t>
      </w:r>
      <w:r w:rsidR="008F46A0">
        <w:t>, Ravenna, 1 May 1821). Remarks</w:t>
      </w:r>
      <w:r w:rsidR="00FF5537">
        <w:t xml:space="preserve"> like these confirm a sense of a private world of immense privilege, in whic</w:t>
      </w:r>
      <w:r w:rsidR="003A4EDA">
        <w:t xml:space="preserve">h the very idea of thinking on behalf of </w:t>
      </w:r>
      <w:r w:rsidR="00FF5537">
        <w:t>others, still less of</w:t>
      </w:r>
      <w:r w:rsidR="00505BA7">
        <w:t xml:space="preserve"> acting for them, is unimaginable</w:t>
      </w:r>
      <w:r w:rsidR="003A4EDA">
        <w:t xml:space="preserve">. It reflects </w:t>
      </w:r>
      <w:r w:rsidR="00FF5537">
        <w:t xml:space="preserve">the distrust of government and politics that is the province of those for whom all government is potential imposition, of those who have no need of government because </w:t>
      </w:r>
      <w:r w:rsidR="00505BA7">
        <w:t>they already have all they require</w:t>
      </w:r>
      <w:r w:rsidR="00FF5537">
        <w:t xml:space="preserve"> and the</w:t>
      </w:r>
      <w:r w:rsidR="00D545DA">
        <w:t>ir</w:t>
      </w:r>
      <w:r w:rsidR="00FF5537">
        <w:t xml:space="preserve"> only problem is how to defend it.</w:t>
      </w:r>
    </w:p>
    <w:p w:rsidR="00FF5537" w:rsidRDefault="00FF5537" w:rsidP="009B331A">
      <w:pPr>
        <w:spacing w:line="480" w:lineRule="auto"/>
        <w:ind w:firstLine="720"/>
      </w:pPr>
      <w:r>
        <w:t xml:space="preserve">From here, it is a short step to viewing Byron as the subject of an entirely closed politics. Malcolm Kelsall’s 1987 book, </w:t>
      </w:r>
      <w:r w:rsidRPr="00FF5537">
        <w:rPr>
          <w:i/>
        </w:rPr>
        <w:t>Byron’s Politics</w:t>
      </w:r>
      <w:r w:rsidR="001E60AA">
        <w:t xml:space="preserve">, is the best </w:t>
      </w:r>
      <w:r>
        <w:t>account I know of this position.</w:t>
      </w:r>
      <w:r w:rsidR="008A77C6">
        <w:t xml:space="preserve"> While it may seem tendentious to try to summarise the argument of so complex a book, it has something of the following logic to it: the Whigs, in Byron’s time, were confined by an oppositional politics that was in the process of</w:t>
      </w:r>
      <w:r w:rsidR="00EA2DFF">
        <w:t xml:space="preserve"> collapsing under its own contradictions. </w:t>
      </w:r>
      <w:r w:rsidR="008A77C6">
        <w:t>As the inheritor of Whig values, Byron’s position in relation to</w:t>
      </w:r>
      <w:r w:rsidR="00EA2DFF">
        <w:t xml:space="preserve"> politics in general, and</w:t>
      </w:r>
      <w:r w:rsidR="008A77C6">
        <w:t xml:space="preserve"> </w:t>
      </w:r>
      <w:r w:rsidR="00EA2DFF">
        <w:t xml:space="preserve">to </w:t>
      </w:r>
      <w:r w:rsidR="008A77C6">
        <w:t>the history of fr</w:t>
      </w:r>
      <w:r w:rsidR="00EA2DFF">
        <w:t xml:space="preserve">eedom, in particular, was inevitably locked into the broader narrative of Whig historical failure. </w:t>
      </w:r>
      <w:r w:rsidR="008A77C6">
        <w:t>Leslie Mitchell puts</w:t>
      </w:r>
      <w:r w:rsidR="00EA2DFF">
        <w:t xml:space="preserve"> the Whig dilemma in the following terms</w:t>
      </w:r>
      <w:r w:rsidR="008A77C6">
        <w:t xml:space="preserve">: ‘As very specialised animals, [the Whigs] needed a parliamentary environment </w:t>
      </w:r>
      <w:r w:rsidR="008A77C6">
        <w:lastRenderedPageBreak/>
        <w:t>free of democratic constraints. There was a moment in the eighteenth and nineteenth centuries between autocracy and democracy that might be called the parliamentary period. It alone provided the oxygen which Whigs could breat</w:t>
      </w:r>
      <w:r w:rsidR="00EA2DFF">
        <w:t>he freely’.</w:t>
      </w:r>
      <w:r w:rsidR="002E29C9">
        <w:t xml:space="preserve"> </w:t>
      </w:r>
      <w:r w:rsidR="002E29C9">
        <w:rPr>
          <w:rStyle w:val="FootnoteReference"/>
        </w:rPr>
        <w:footnoteReference w:id="6"/>
      </w:r>
      <w:r w:rsidR="00EA2DFF">
        <w:t xml:space="preserve"> So Byron would be one of those ‘very specialised animals’, caught in an historical moment ‘between autocracy and democracy’, with nowhere to go.</w:t>
      </w:r>
    </w:p>
    <w:p w:rsidR="00EA2DFF" w:rsidRDefault="00EA2DFF" w:rsidP="009B331A">
      <w:pPr>
        <w:spacing w:line="480" w:lineRule="auto"/>
        <w:ind w:firstLine="720"/>
      </w:pPr>
      <w:r>
        <w:t>The Byron who fails</w:t>
      </w:r>
      <w:r w:rsidR="007616D7">
        <w:t xml:space="preserve"> is a potent and, it must be said, thoroughly romantic, image. Malcolm Kelsall writes: ‘The simple fact is that Byron, the man, failed at Missolonghi. The real British liberators of Greece were the guns of the fleet at Navarino. Byron also had failed as a Carbonaro in Italy, his revolutionary activity snuffed out before it had begun. His career as a would-be statesman in the House of Lords in London likewise terminated in nullity…The life of Byron is of </w:t>
      </w:r>
      <w:r w:rsidR="002E29C9">
        <w:t xml:space="preserve">no political significance’ </w:t>
      </w:r>
      <w:r w:rsidR="002E29C9">
        <w:rPr>
          <w:rStyle w:val="FootnoteReference"/>
        </w:rPr>
        <w:footnoteReference w:id="7"/>
      </w:r>
      <w:r w:rsidR="007616D7">
        <w:t xml:space="preserve">. </w:t>
      </w:r>
      <w:r w:rsidR="008D2098">
        <w:t>And yet such a position sits awkwardly with the testimony of men like Mazzini, who knew something of the problems of unification struggles, and who wrote</w:t>
      </w:r>
      <w:r w:rsidR="003759A1">
        <w:t xml:space="preserve"> in 1835</w:t>
      </w:r>
      <w:r w:rsidR="008D2098">
        <w:t xml:space="preserve">: ‘The day will come when Democracy will remember all that it owes to Byron’. </w:t>
      </w:r>
      <w:r w:rsidR="003759A1">
        <w:rPr>
          <w:rStyle w:val="FootnoteReference"/>
        </w:rPr>
        <w:footnoteReference w:id="8"/>
      </w:r>
    </w:p>
    <w:p w:rsidR="008D2098" w:rsidRDefault="001E60AA" w:rsidP="009B331A">
      <w:pPr>
        <w:spacing w:line="480" w:lineRule="auto"/>
        <w:ind w:firstLine="720"/>
      </w:pPr>
      <w:r>
        <w:t xml:space="preserve">We have here the </w:t>
      </w:r>
      <w:r w:rsidR="008D2098">
        <w:t xml:space="preserve">juxtaposition of two irreconcilable positions. On the one hand, there is an affirmation of politics as a closed system, in which people are defined in terms of class, gender, and a range of other more or less unchangeable attributes. </w:t>
      </w:r>
      <w:r w:rsidR="00291E60">
        <w:t>It is only within such a systematically functioning mo</w:t>
      </w:r>
      <w:r w:rsidR="00D21B15">
        <w:t>del that the idea of failure can exert</w:t>
      </w:r>
      <w:r w:rsidR="00291E60">
        <w:t xml:space="preserve"> a</w:t>
      </w:r>
      <w:r w:rsidR="00515B4A">
        <w:t xml:space="preserve"> logical</w:t>
      </w:r>
      <w:r w:rsidR="00291E60">
        <w:t xml:space="preserve"> hold on us. </w:t>
      </w:r>
      <w:r w:rsidR="00B0400D">
        <w:t>Byron can only fail against some set of values or challenges</w:t>
      </w:r>
      <w:r w:rsidR="00A034A6">
        <w:t xml:space="preserve"> that is coherent, systematic. </w:t>
      </w:r>
      <w:r w:rsidR="008D2098">
        <w:t>On the other hand, there is the</w:t>
      </w:r>
      <w:r w:rsidR="00291E60">
        <w:t xml:space="preserve"> kind of </w:t>
      </w:r>
      <w:r w:rsidR="008D2098">
        <w:t>p</w:t>
      </w:r>
      <w:r w:rsidR="00291E60">
        <w:t>olitics which is resistant to the systematic, more open to the value of the symbolic, an</w:t>
      </w:r>
      <w:r w:rsidR="00515B4A">
        <w:t>d which allows political agents to assume positions, and to achieve influence, which are not formally constrained by their own limitations, either as human beings or as political thinkers. In terms of the first kind of politics, Mazzini’s point</w:t>
      </w:r>
      <w:r>
        <w:t xml:space="preserve"> is absurd: we know </w:t>
      </w:r>
      <w:r w:rsidR="00515B4A">
        <w:t xml:space="preserve">that Byron hated democracy, so how could democracy ever owe anything to him? In terms of the second kind of politics, though, the </w:t>
      </w:r>
      <w:r w:rsidR="00BC7263">
        <w:t xml:space="preserve">symbolic value of </w:t>
      </w:r>
      <w:r w:rsidR="00515B4A">
        <w:t>Byron</w:t>
      </w:r>
      <w:r w:rsidR="00BC7263">
        <w:t>’s achievement</w:t>
      </w:r>
      <w:r w:rsidR="00515B4A">
        <w:t xml:space="preserve"> allows precisely for the</w:t>
      </w:r>
      <w:r w:rsidR="00BE3F0F">
        <w:t xml:space="preserve"> sort of remark that</w:t>
      </w:r>
      <w:r w:rsidR="00BC7263">
        <w:t xml:space="preserve"> we find associated with </w:t>
      </w:r>
      <w:r w:rsidR="00BE3F0F">
        <w:t xml:space="preserve">experienced political observers like </w:t>
      </w:r>
      <w:r w:rsidR="00515B4A">
        <w:t>Mazzini.</w:t>
      </w:r>
    </w:p>
    <w:p w:rsidR="00856C07" w:rsidRDefault="00BC7263" w:rsidP="009B331A">
      <w:pPr>
        <w:spacing w:line="480" w:lineRule="auto"/>
        <w:ind w:firstLine="720"/>
      </w:pPr>
      <w:r>
        <w:lastRenderedPageBreak/>
        <w:t>Byron was acutely aware of the aura of abs</w:t>
      </w:r>
      <w:r w:rsidR="00505BA7">
        <w:t xml:space="preserve">urdity and self-importance that </w:t>
      </w:r>
      <w:r w:rsidR="00A034A6">
        <w:t>always threatens the practice of altruism</w:t>
      </w:r>
      <w:r>
        <w:t>:</w:t>
      </w:r>
    </w:p>
    <w:p w:rsidR="00BC7263" w:rsidRDefault="00BC7263" w:rsidP="009B331A">
      <w:pPr>
        <w:spacing w:line="480" w:lineRule="auto"/>
      </w:pPr>
    </w:p>
    <w:p w:rsidR="00BC7263" w:rsidRDefault="00BC7263" w:rsidP="009B331A">
      <w:pPr>
        <w:spacing w:line="480" w:lineRule="auto"/>
      </w:pPr>
      <w:r>
        <w:t>When a man hath no freedom to fight for at home.</w:t>
      </w:r>
    </w:p>
    <w:p w:rsidR="00BC7263" w:rsidRDefault="00BC7263" w:rsidP="009B331A">
      <w:pPr>
        <w:spacing w:line="480" w:lineRule="auto"/>
      </w:pPr>
      <w:r>
        <w:t xml:space="preserve">   Let him</w:t>
      </w:r>
      <w:r w:rsidR="003759A1">
        <w:t xml:space="preserve"> combat for that of his neighbo</w:t>
      </w:r>
      <w:r>
        <w:t>rs;</w:t>
      </w:r>
    </w:p>
    <w:p w:rsidR="00BC7263" w:rsidRDefault="00BC7263" w:rsidP="009B331A">
      <w:pPr>
        <w:spacing w:line="480" w:lineRule="auto"/>
      </w:pPr>
      <w:r>
        <w:t>Let him think of the glories of Greece and of Rome,</w:t>
      </w:r>
    </w:p>
    <w:p w:rsidR="00BC7263" w:rsidRDefault="00BC7263" w:rsidP="009B331A">
      <w:pPr>
        <w:spacing w:line="480" w:lineRule="auto"/>
      </w:pPr>
      <w:r>
        <w:t xml:space="preserve">   And get knock’d on the head for his labours</w:t>
      </w:r>
      <w:r w:rsidR="00321CE1">
        <w:t>.  (</w:t>
      </w:r>
      <w:r w:rsidR="003759A1">
        <w:rPr>
          <w:i/>
        </w:rPr>
        <w:t xml:space="preserve">LBCPW </w:t>
      </w:r>
      <w:r w:rsidR="003759A1">
        <w:t>4.</w:t>
      </w:r>
      <w:r w:rsidR="00321CE1">
        <w:t>290).</w:t>
      </w:r>
    </w:p>
    <w:p w:rsidR="00321CE1" w:rsidRDefault="00321CE1" w:rsidP="009B331A">
      <w:pPr>
        <w:spacing w:line="480" w:lineRule="auto"/>
      </w:pPr>
    </w:p>
    <w:p w:rsidR="00321CE1" w:rsidRDefault="00321CE1" w:rsidP="009B331A">
      <w:pPr>
        <w:spacing w:line="480" w:lineRule="auto"/>
      </w:pPr>
      <w:r>
        <w:t>These lines</w:t>
      </w:r>
      <w:r w:rsidR="00423EEF">
        <w:t>, written in 1820,</w:t>
      </w:r>
      <w:r>
        <w:t xml:space="preserve"> come out of Byron’s experi</w:t>
      </w:r>
      <w:r w:rsidR="00874661">
        <w:t>ence of Italian politics. A</w:t>
      </w:r>
      <w:r>
        <w:t>ll actions that do not have a motivation in self-interest risk appearing, and, i</w:t>
      </w:r>
      <w:r w:rsidR="00874661">
        <w:t>ndeed, being</w:t>
      </w:r>
      <w:r w:rsidR="00423EEF">
        <w:t>, mere protestations</w:t>
      </w:r>
      <w:r w:rsidR="00874661">
        <w:t xml:space="preserve"> of</w:t>
      </w:r>
      <w:r>
        <w:t xml:space="preserve"> self-importance, </w:t>
      </w:r>
      <w:r w:rsidR="00423EEF">
        <w:t xml:space="preserve">reflecting a </w:t>
      </w:r>
      <w:r>
        <w:t>desire o</w:t>
      </w:r>
      <w:r w:rsidR="00423EEF">
        <w:t xml:space="preserve">n the part of the actor to join in a </w:t>
      </w:r>
      <w:r w:rsidR="008A3591">
        <w:t>self-</w:t>
      </w:r>
      <w:r w:rsidR="00423EEF">
        <w:t>dramatising narrative of commitment, the end result of which may well be a pointless death.</w:t>
      </w:r>
      <w:r w:rsidR="008A3591">
        <w:t xml:space="preserve"> For some biographers of </w:t>
      </w:r>
      <w:r w:rsidR="001E60AA">
        <w:t>Byron, this is the witty acknowledgement of the poet’s failure as a political animal.</w:t>
      </w:r>
      <w:r w:rsidR="00423EEF">
        <w:t xml:space="preserve"> The second stanza of the poem continues:</w:t>
      </w:r>
    </w:p>
    <w:p w:rsidR="00423EEF" w:rsidRDefault="00423EEF" w:rsidP="009B331A">
      <w:pPr>
        <w:spacing w:line="480" w:lineRule="auto"/>
      </w:pPr>
    </w:p>
    <w:p w:rsidR="00423EEF" w:rsidRDefault="00423EEF" w:rsidP="009B331A">
      <w:pPr>
        <w:spacing w:line="480" w:lineRule="auto"/>
      </w:pPr>
      <w:r>
        <w:t>To do good to mankind is the chivalrous plan,</w:t>
      </w:r>
    </w:p>
    <w:p w:rsidR="00423EEF" w:rsidRDefault="00423EEF" w:rsidP="009B331A">
      <w:pPr>
        <w:spacing w:line="480" w:lineRule="auto"/>
      </w:pPr>
      <w:r>
        <w:t xml:space="preserve">   And is always as nobly requited;</w:t>
      </w:r>
    </w:p>
    <w:p w:rsidR="00423EEF" w:rsidRDefault="00423EEF" w:rsidP="009B331A">
      <w:pPr>
        <w:spacing w:line="480" w:lineRule="auto"/>
      </w:pPr>
      <w:r>
        <w:t>Then battle for freedom wherever you can,</w:t>
      </w:r>
    </w:p>
    <w:p w:rsidR="00423EEF" w:rsidRDefault="00423EEF" w:rsidP="009B331A">
      <w:pPr>
        <w:spacing w:line="480" w:lineRule="auto"/>
      </w:pPr>
      <w:r>
        <w:t xml:space="preserve">    And, if not shot or hang’d, you’ll get knighted.</w:t>
      </w:r>
    </w:p>
    <w:p w:rsidR="00D76996" w:rsidRDefault="00D76996" w:rsidP="009B331A">
      <w:pPr>
        <w:spacing w:line="480" w:lineRule="auto"/>
      </w:pPr>
    </w:p>
    <w:p w:rsidR="00423EEF" w:rsidRDefault="008A1DCF" w:rsidP="009B331A">
      <w:pPr>
        <w:spacing w:line="480" w:lineRule="auto"/>
        <w:ind w:firstLine="720"/>
      </w:pPr>
      <w:r>
        <w:t>The</w:t>
      </w:r>
      <w:r w:rsidR="00423EEF">
        <w:t xml:space="preserve"> lines draw our attention, once again, to the extraordinary nature of the altruistic. Why would anyone, at the risk of death or humiliation or simple absurdity, go and fight someone else’s battle? </w:t>
      </w:r>
      <w:r w:rsidR="00813FF7">
        <w:t>Byron suggests</w:t>
      </w:r>
      <w:r w:rsidR="00D76996">
        <w:t xml:space="preserve"> here that</w:t>
      </w:r>
      <w:r w:rsidR="00813FF7">
        <w:t xml:space="preserve"> the</w:t>
      </w:r>
      <w:r w:rsidR="00D76996">
        <w:t xml:space="preserve"> only motivation must be negative: the desire for public recognition (‘you’ll get knighted’); elsewhere, he fears, as Pietro Gamba suggests, the self</w:t>
      </w:r>
      <w:r w:rsidR="008A3591">
        <w:t xml:space="preserve">-indulgence of the adventurer: </w:t>
      </w:r>
      <w:r w:rsidR="00D76996">
        <w:t xml:space="preserve">Byron had, Gamba says, ‘a great dread of being taken for a searcher </w:t>
      </w:r>
      <w:r w:rsidR="00D76996">
        <w:lastRenderedPageBreak/>
        <w:t>after adventures’</w:t>
      </w:r>
      <w:r w:rsidR="008B07BE">
        <w:t xml:space="preserve">. </w:t>
      </w:r>
      <w:r w:rsidR="008B07BE">
        <w:rPr>
          <w:rStyle w:val="FootnoteReference"/>
        </w:rPr>
        <w:footnoteReference w:id="9"/>
      </w:r>
      <w:r w:rsidR="008B07BE">
        <w:t xml:space="preserve"> </w:t>
      </w:r>
      <w:r w:rsidR="00423EEF">
        <w:t>The twenty-first century has behind it a long hi</w:t>
      </w:r>
      <w:r w:rsidR="001E60AA">
        <w:t>story of debates about</w:t>
      </w:r>
      <w:r w:rsidR="00423EEF">
        <w:t xml:space="preserve"> </w:t>
      </w:r>
      <w:r w:rsidR="001E60AA">
        <w:t>‘</w:t>
      </w:r>
      <w:r w:rsidR="00423EEF">
        <w:t>humanitarian wars</w:t>
      </w:r>
      <w:r w:rsidR="001E60AA">
        <w:t>’</w:t>
      </w:r>
      <w:r w:rsidR="00423EEF">
        <w:t>, military interventions justified on human right</w:t>
      </w:r>
      <w:r w:rsidR="00D76996">
        <w:t>s</w:t>
      </w:r>
      <w:r w:rsidR="00423EEF">
        <w:t xml:space="preserve"> grounds. It is easy to forget how strange the commitment to the Greek War of Independence was on the part, not just of Byron, of course, but of a whole international generation.</w:t>
      </w:r>
      <w:r w:rsidR="00813FF7">
        <w:t xml:space="preserve"> Not until the Spanish Civil War would there be a comparable internationalisation of commitment.</w:t>
      </w:r>
      <w:r w:rsidR="00D76996">
        <w:t xml:space="preserve"> The ‘Garden of the Heroes’ in Mesolongi</w:t>
      </w:r>
      <w:r w:rsidR="008A3591">
        <w:t xml:space="preserve"> is today a monument to this internationalism, with the statue of Byron at the end of the path that leads from the entrance, and then, all around, the monuments to the Greeks of the Independence War and to those many non-Greeks who also gave their lives in the struggle.</w:t>
      </w:r>
    </w:p>
    <w:p w:rsidR="00933FF5" w:rsidRDefault="00933FF5" w:rsidP="009B331A">
      <w:pPr>
        <w:spacing w:line="480" w:lineRule="auto"/>
        <w:ind w:firstLine="720"/>
      </w:pPr>
      <w:r>
        <w:t xml:space="preserve">I would like to make the case for Byron’s altruism in two parts. Firstly, from the perspective of what we can know about his actions in Greece in 1823-4. Here we are enormously advantaged by the publication of Roderick Beaton’s recent book, </w:t>
      </w:r>
      <w:r w:rsidRPr="00933FF5">
        <w:rPr>
          <w:i/>
        </w:rPr>
        <w:t>Byron’s War</w:t>
      </w:r>
      <w:r>
        <w:t>, which must forever change perceptions about what Byron did in Greece, what he thought, and what he might have achieved had he been there longer. Secondly, I want to look at the question of the symbolic value of Byron’s presence in Greece, its role in creating and perpetuating an international consensus about the importance of</w:t>
      </w:r>
      <w:r w:rsidR="001E60AA">
        <w:t xml:space="preserve"> modern</w:t>
      </w:r>
      <w:r>
        <w:t xml:space="preserve"> Greece to the rest of the world.</w:t>
      </w:r>
    </w:p>
    <w:p w:rsidR="00A034A6" w:rsidRDefault="00A034A6" w:rsidP="009B331A">
      <w:pPr>
        <w:spacing w:line="480" w:lineRule="auto"/>
        <w:ind w:firstLine="720"/>
      </w:pPr>
      <w:r>
        <w:t>So, to the first of these issues.</w:t>
      </w:r>
      <w:r w:rsidR="00A96869">
        <w:t xml:space="preserve"> As late as Fiona MacCarthy’s biog</w:t>
      </w:r>
      <w:r w:rsidR="001E60AA">
        <w:t>raphy of Byron (</w:t>
      </w:r>
      <w:r w:rsidR="00A96869">
        <w:t>2002</w:t>
      </w:r>
      <w:r w:rsidR="001E60AA">
        <w:t>)</w:t>
      </w:r>
      <w:r w:rsidR="00A96869">
        <w:t xml:space="preserve">, the portrait of the </w:t>
      </w:r>
      <w:r w:rsidR="00F93DDD">
        <w:t>poet in Mesolongi</w:t>
      </w:r>
      <w:r w:rsidR="00A96869">
        <w:t xml:space="preserve"> is the traditional one of the fa</w:t>
      </w:r>
      <w:r w:rsidR="00F93DDD">
        <w:t xml:space="preserve">mous man, out of his depth, </w:t>
      </w:r>
      <w:r w:rsidR="00A96869">
        <w:t>lost in a confusion of unrequited love (Lukas Chalandritsanos), unc</w:t>
      </w:r>
      <w:r w:rsidR="008B07BE">
        <w:t xml:space="preserve">ontrollable, ‘swaggering’ </w:t>
      </w:r>
      <w:r w:rsidR="00A96869">
        <w:t>Suliotes, monetary disputes, an</w:t>
      </w:r>
      <w:r w:rsidR="0097745A">
        <w:t xml:space="preserve">d generally unprepossessing </w:t>
      </w:r>
      <w:r w:rsidR="00A96869">
        <w:t>colleagues. His problem, MacCarthy suggests, was how ‘to formulate</w:t>
      </w:r>
      <w:r w:rsidR="0097745A">
        <w:t xml:space="preserve"> any useful strategy’</w:t>
      </w:r>
      <w:r w:rsidR="008B07BE">
        <w:t xml:space="preserve">, </w:t>
      </w:r>
      <w:r w:rsidR="008B07BE">
        <w:rPr>
          <w:rStyle w:val="FootnoteReference"/>
        </w:rPr>
        <w:footnoteReference w:id="10"/>
      </w:r>
      <w:r w:rsidR="008B07BE">
        <w:t xml:space="preserve"> </w:t>
      </w:r>
      <w:r w:rsidR="0097745A">
        <w:t xml:space="preserve"> and the impression she leaves is that th</w:t>
      </w:r>
      <w:r w:rsidR="00F93DDD">
        <w:t>is was a largely pointless task, given the political and economic circumstances.</w:t>
      </w:r>
      <w:r w:rsidR="0097745A">
        <w:t xml:space="preserve"> </w:t>
      </w:r>
      <w:r w:rsidR="007D560F">
        <w:t xml:space="preserve">Fred Rosen, in his book </w:t>
      </w:r>
      <w:r w:rsidR="007D560F" w:rsidRPr="007D560F">
        <w:rPr>
          <w:i/>
        </w:rPr>
        <w:t>Bentham, Byron and</w:t>
      </w:r>
      <w:r w:rsidR="007D560F">
        <w:t xml:space="preserve"> </w:t>
      </w:r>
      <w:r w:rsidR="007D560F" w:rsidRPr="007D560F">
        <w:rPr>
          <w:i/>
        </w:rPr>
        <w:t>Greece</w:t>
      </w:r>
      <w:r w:rsidR="007D560F">
        <w:t xml:space="preserve"> (1992) sta</w:t>
      </w:r>
      <w:r w:rsidR="00F93DDD">
        <w:t xml:space="preserve">tes </w:t>
      </w:r>
      <w:r w:rsidR="007D560F">
        <w:t xml:space="preserve">bluntly: </w:t>
      </w:r>
      <w:r w:rsidR="00F93DDD">
        <w:t xml:space="preserve">Byron was ‘entirely out of his depth in military matters, finding the acceptance of responsibility burdensome and boring…He lacked ideological </w:t>
      </w:r>
      <w:r w:rsidR="00F93DDD">
        <w:lastRenderedPageBreak/>
        <w:t>commitment in a setting that required it, if any progress (of whatever value) was to be made’.</w:t>
      </w:r>
      <w:r w:rsidR="00C15E90">
        <w:t xml:space="preserve"> </w:t>
      </w:r>
      <w:r w:rsidR="00C15E90">
        <w:rPr>
          <w:rStyle w:val="FootnoteReference"/>
        </w:rPr>
        <w:footnoteReference w:id="11"/>
      </w:r>
      <w:r w:rsidR="00F93DDD">
        <w:t xml:space="preserve"> He adds that, by comparison, men like Blaquiere and Stanhope, ‘were able to act largely because they worked from within frameworks carefully defined by id</w:t>
      </w:r>
      <w:r w:rsidR="00C15E90">
        <w:t>eas oriented to practice’.</w:t>
      </w:r>
      <w:r w:rsidR="00F93DDD">
        <w:t xml:space="preserve"> While Malcolm Kelsall believes, as we have seen, that ‘Byron, the man, failed at Missolonghi</w:t>
      </w:r>
      <w:r w:rsidR="00C5410A">
        <w:t>’</w:t>
      </w:r>
      <w:r w:rsidR="00F93DDD">
        <w:t>.</w:t>
      </w:r>
    </w:p>
    <w:p w:rsidR="00F93DDD" w:rsidRDefault="00F93DDD" w:rsidP="009B331A">
      <w:pPr>
        <w:spacing w:line="480" w:lineRule="auto"/>
        <w:ind w:firstLine="720"/>
      </w:pPr>
      <w:r>
        <w:t>Not the least of the virtues of Roderick Beaton’</w:t>
      </w:r>
      <w:r w:rsidR="00666E51">
        <w:t>s recent book is that turns the traditional story of romantic failure upside down. It is a quiet celebration of a very different kind of politics from that implied by all three of the ob</w:t>
      </w:r>
      <w:r w:rsidR="00792DBE">
        <w:t xml:space="preserve">servers I have just quoted. Byron wrote to Blaquiere, on arriving in Kefalonia on 3 August 1823: ‘Here am I—but where are </w:t>
      </w:r>
      <w:r w:rsidR="00792DBE" w:rsidRPr="00792DBE">
        <w:rPr>
          <w:i/>
        </w:rPr>
        <w:t>you</w:t>
      </w:r>
      <w:r w:rsidR="00792DBE">
        <w:t>?.</w:t>
      </w:r>
      <w:r w:rsidR="001B7165">
        <w:t>..what ought I to do?’ (</w:t>
      </w:r>
      <w:r w:rsidR="001B7165" w:rsidRPr="001A1CFE">
        <w:rPr>
          <w:i/>
        </w:rPr>
        <w:t>BLJ</w:t>
      </w:r>
      <w:r w:rsidR="001B7165">
        <w:t>, 11: 15),</w:t>
      </w:r>
      <w:r w:rsidR="00792DBE">
        <w:t xml:space="preserve"> which must be the least impressive of all political beginnings. What we can now see, however, is that this</w:t>
      </w:r>
      <w:r w:rsidR="00C5410A">
        <w:t xml:space="preserve"> unpromising beginning to an adventure was, in fact, </w:t>
      </w:r>
      <w:r w:rsidR="00792DBE">
        <w:t xml:space="preserve">the prelude to </w:t>
      </w:r>
      <w:r w:rsidR="00C5410A">
        <w:t xml:space="preserve">a </w:t>
      </w:r>
      <w:r w:rsidR="00BF47B8">
        <w:t>process of personal</w:t>
      </w:r>
      <w:r w:rsidR="00C5410A">
        <w:t xml:space="preserve"> and political development. </w:t>
      </w:r>
      <w:r w:rsidR="005B29FE">
        <w:t xml:space="preserve">Byron begins with something that looks like (but is not) </w:t>
      </w:r>
      <w:r w:rsidR="00C5410A">
        <w:t xml:space="preserve">a kind of </w:t>
      </w:r>
      <w:r w:rsidR="00C5410A" w:rsidRPr="005B29FE">
        <w:rPr>
          <w:i/>
        </w:rPr>
        <w:t>tabula rasa</w:t>
      </w:r>
      <w:r w:rsidR="00C5410A">
        <w:t xml:space="preserve">. He </w:t>
      </w:r>
      <w:r w:rsidR="00C5410A" w:rsidRPr="00C5410A">
        <w:rPr>
          <w:i/>
        </w:rPr>
        <w:t>wants</w:t>
      </w:r>
      <w:r w:rsidR="00C5410A">
        <w:t xml:space="preserve"> to do something for the Greeks; he has no idea, at this stage, what t</w:t>
      </w:r>
      <w:r w:rsidR="005B29FE">
        <w:t>hat something might usefully be; and so, in reality, he falls back on a politics of lofty neutrality.</w:t>
      </w:r>
    </w:p>
    <w:p w:rsidR="001A1CFE" w:rsidRDefault="00C5410A" w:rsidP="009B331A">
      <w:pPr>
        <w:spacing w:line="480" w:lineRule="auto"/>
        <w:ind w:firstLine="720"/>
      </w:pPr>
      <w:r>
        <w:t>While in Kefalonia, Byron used whatever means he had to gain information about the current state of Greek politics. That such information remained partial and confusing was inevitable, given the conditions in Greece and the difficulty i</w:t>
      </w:r>
      <w:r w:rsidR="005B29FE">
        <w:t xml:space="preserve">n establishing where power lay, at a time </w:t>
      </w:r>
      <w:r w:rsidR="0061675D">
        <w:t>of civil war amongst the Greeks themselves.</w:t>
      </w:r>
      <w:r w:rsidR="005D2CD4">
        <w:t xml:space="preserve"> </w:t>
      </w:r>
      <w:r w:rsidR="00123A7E">
        <w:t>Byron’s initial approach</w:t>
      </w:r>
      <w:r w:rsidR="005B29FE">
        <w:t xml:space="preserve"> was to try and impose</w:t>
      </w:r>
      <w:r w:rsidR="00123A7E">
        <w:t xml:space="preserve"> the illusion of an even-handedness. Where there was confusion, the only sensible way forward was to remain above the confusion. The ‘Cause’, as he liked to call it, was, in that sense, an almost abstract entity, something outside and beyond the messiness of the everyday realities of Greek politics. One of the most important developments in Byron’s thinking was the move away</w:t>
      </w:r>
      <w:r w:rsidR="001A1CFE">
        <w:t xml:space="preserve"> from this </w:t>
      </w:r>
      <w:r w:rsidR="005D2CD4">
        <w:t>Olympian approach to the crisis</w:t>
      </w:r>
      <w:r w:rsidR="00123A7E">
        <w:t>, towards somet</w:t>
      </w:r>
      <w:r w:rsidR="005B29FE">
        <w:t>hing more practical, more in keeping with what he observed than with what he hoped to impose.</w:t>
      </w:r>
    </w:p>
    <w:p w:rsidR="00C5410A" w:rsidRDefault="00123A7E" w:rsidP="009B331A">
      <w:pPr>
        <w:spacing w:line="480" w:lineRule="auto"/>
        <w:ind w:firstLine="720"/>
      </w:pPr>
      <w:r>
        <w:t xml:space="preserve"> In my own work, I</w:t>
      </w:r>
      <w:r w:rsidR="001B7165">
        <w:t xml:space="preserve"> have</w:t>
      </w:r>
      <w:r>
        <w:t xml:space="preserve"> tried to chart the</w:t>
      </w:r>
      <w:r w:rsidR="001B7165">
        <w:t xml:space="preserve"> general</w:t>
      </w:r>
      <w:r>
        <w:t xml:space="preserve"> chronology of this development. Roderick Beaton has been able to identify more or less the precise moment at which the change occurred. In </w:t>
      </w:r>
      <w:r>
        <w:lastRenderedPageBreak/>
        <w:t>quoting from a letter that no-one, to my knowledge has</w:t>
      </w:r>
      <w:r w:rsidR="003F21C4">
        <w:t xml:space="preserve"> ever</w:t>
      </w:r>
      <w:r>
        <w:t xml:space="preserve"> noted before, Roderick Beaton </w:t>
      </w:r>
      <w:r w:rsidR="003F21C4">
        <w:t>underlines the extreme importance, both</w:t>
      </w:r>
      <w:r w:rsidR="005D2CD4">
        <w:t xml:space="preserve"> in terms of realist politics, </w:t>
      </w:r>
      <w:r w:rsidR="003F21C4">
        <w:t>but also in terms of political symbolism</w:t>
      </w:r>
      <w:r w:rsidR="005D2CD4">
        <w:t>, of the position</w:t>
      </w:r>
      <w:r w:rsidR="003F21C4">
        <w:t xml:space="preserve"> Byron had reached by the beginning of December 1823. The letter, from Praidis, Mavrokordatos’s right-hand man, notes that: ‘it is now his [Byron’s] purpose</w:t>
      </w:r>
      <w:r w:rsidR="005D2CD4">
        <w:t xml:space="preserve"> to come to the aid of Greece, not once he has seen in place a Government and laws that are respected, but in order to secure the position of the Government and respect for its laws…’.</w:t>
      </w:r>
      <w:r w:rsidR="001B7165">
        <w:t xml:space="preserve"> </w:t>
      </w:r>
      <w:r w:rsidR="001B7165">
        <w:rPr>
          <w:rStyle w:val="FootnoteReference"/>
        </w:rPr>
        <w:footnoteReference w:id="12"/>
      </w:r>
      <w:r w:rsidR="005B29FE">
        <w:t xml:space="preserve"> This move</w:t>
      </w:r>
      <w:r w:rsidR="001A1CFE">
        <w:t xml:space="preserve"> </w:t>
      </w:r>
      <w:r w:rsidR="005D2CD4">
        <w:t xml:space="preserve">is much more interesting than </w:t>
      </w:r>
      <w:r w:rsidR="00467002">
        <w:t xml:space="preserve">Byron’s </w:t>
      </w:r>
      <w:r w:rsidR="005D2CD4">
        <w:t>original position, so often quoted by biographers: ‘</w:t>
      </w:r>
      <w:r w:rsidR="00467002">
        <w:t>As I did not come here to join a faction but a nation…’ (</w:t>
      </w:r>
      <w:r w:rsidR="00467002" w:rsidRPr="00467002">
        <w:rPr>
          <w:i/>
        </w:rPr>
        <w:t>BLJ</w:t>
      </w:r>
      <w:r w:rsidR="00CC4681">
        <w:t xml:space="preserve"> 11.32: ‘Journal in Cephalonia’</w:t>
      </w:r>
      <w:r w:rsidR="00467002">
        <w:t>). Recognising after a few months that there was as yet no Greek nation for him to join, Byron’s commitment became an act of choice, the taking o</w:t>
      </w:r>
      <w:r w:rsidR="005B29FE">
        <w:t xml:space="preserve">f sides. This is an altruistic </w:t>
      </w:r>
      <w:r w:rsidR="00A969DE">
        <w:t xml:space="preserve">shift, taking Byron away from the </w:t>
      </w:r>
      <w:r w:rsidR="005B29FE">
        <w:t>self-reassuring commitment to a principle of neutrality</w:t>
      </w:r>
      <w:r w:rsidR="00A969DE">
        <w:t xml:space="preserve"> towards a much less easy, because less predictable and less controllable, politics of engagement.</w:t>
      </w:r>
    </w:p>
    <w:p w:rsidR="00467002" w:rsidRDefault="00467002" w:rsidP="009B331A">
      <w:pPr>
        <w:spacing w:line="480" w:lineRule="auto"/>
        <w:ind w:firstLine="720"/>
      </w:pPr>
      <w:r>
        <w:t>In the end, it’s always possible to say that Byron cho</w:t>
      </w:r>
      <w:r w:rsidR="0061675D">
        <w:t>se Mavrokordatos because he was</w:t>
      </w:r>
      <w:r>
        <w:t xml:space="preserve"> the </w:t>
      </w:r>
      <w:bookmarkStart w:id="0" w:name="_GoBack"/>
      <w:bookmarkEnd w:id="0"/>
      <w:r>
        <w:t>kind of man the Whig in Byron was always destined to choose</w:t>
      </w:r>
      <w:r w:rsidR="0088111A">
        <w:t>. The aristocratic man committed to the higher public service, ‘their W</w:t>
      </w:r>
      <w:r w:rsidR="00FA479D">
        <w:t>ashington’ (which, of course, Mavrokordatos</w:t>
      </w:r>
      <w:r w:rsidR="0088111A">
        <w:t xml:space="preserve"> could never be). But this is a reductive account. Politics, as Byron came to understand, is about</w:t>
      </w:r>
      <w:r w:rsidR="00A969DE">
        <w:t xml:space="preserve"> making limited</w:t>
      </w:r>
      <w:r w:rsidR="0088111A">
        <w:t xml:space="preserve"> choic</w:t>
      </w:r>
      <w:r w:rsidR="00A969DE">
        <w:t xml:space="preserve">es within a constricted situation, and </w:t>
      </w:r>
      <w:r w:rsidR="0088111A">
        <w:t>in backing the Mavrokordatos view of the Greek</w:t>
      </w:r>
      <w:r w:rsidR="00A969DE">
        <w:t xml:space="preserve"> revolution, he gambled on the chance that was most likely to succeed. T</w:t>
      </w:r>
      <w:r w:rsidR="0088111A">
        <w:t xml:space="preserve">he singer of the ‘isles of Greece’ fragment in </w:t>
      </w:r>
      <w:r w:rsidR="0088111A" w:rsidRPr="0088111A">
        <w:rPr>
          <w:i/>
        </w:rPr>
        <w:t>Don Juan</w:t>
      </w:r>
      <w:r w:rsidR="0088111A">
        <w:t xml:space="preserve"> may confidently say:</w:t>
      </w:r>
    </w:p>
    <w:p w:rsidR="0088111A" w:rsidRDefault="0088111A" w:rsidP="009B331A">
      <w:pPr>
        <w:spacing w:line="480" w:lineRule="auto"/>
      </w:pPr>
    </w:p>
    <w:p w:rsidR="0088111A" w:rsidRDefault="0088111A" w:rsidP="009B331A">
      <w:pPr>
        <w:spacing w:line="480" w:lineRule="auto"/>
      </w:pPr>
      <w:r>
        <w:t>Trust not for freedom to the Franks—</w:t>
      </w:r>
    </w:p>
    <w:p w:rsidR="0088111A" w:rsidRDefault="0088111A" w:rsidP="009B331A">
      <w:pPr>
        <w:spacing w:line="480" w:lineRule="auto"/>
      </w:pPr>
      <w:r>
        <w:t xml:space="preserve">    They have a king who buys and sells…  (</w:t>
      </w:r>
      <w:r w:rsidRPr="0088111A">
        <w:rPr>
          <w:i/>
        </w:rPr>
        <w:t>DJ</w:t>
      </w:r>
      <w:r w:rsidR="00FB2157">
        <w:t xml:space="preserve"> 3.</w:t>
      </w:r>
      <w:r>
        <w:t xml:space="preserve"> 767-8)</w:t>
      </w:r>
    </w:p>
    <w:p w:rsidR="0088111A" w:rsidRDefault="0088111A" w:rsidP="009B331A">
      <w:pPr>
        <w:spacing w:line="480" w:lineRule="auto"/>
      </w:pPr>
    </w:p>
    <w:p w:rsidR="0088111A" w:rsidRDefault="008A1DCF" w:rsidP="009B331A">
      <w:pPr>
        <w:spacing w:line="480" w:lineRule="auto"/>
      </w:pPr>
      <w:r>
        <w:t xml:space="preserve">But </w:t>
      </w:r>
      <w:r w:rsidR="00C07E3A">
        <w:t>t</w:t>
      </w:r>
      <w:r w:rsidR="0088111A">
        <w:t>he political Byron was well aware that Greece had no chance without the Franks. Mavrokordatos, and, behind him, the rather shadowy figure of the Met</w:t>
      </w:r>
      <w:r w:rsidR="00FB2157">
        <w:t>ropolitan Ignatios in Pisa, was</w:t>
      </w:r>
      <w:r w:rsidR="0088111A">
        <w:t xml:space="preserve"> </w:t>
      </w:r>
      <w:r w:rsidR="0088111A">
        <w:lastRenderedPageBreak/>
        <w:t>seeking to construct a British-Hellenic axis that would d</w:t>
      </w:r>
      <w:r w:rsidR="00A969DE">
        <w:t xml:space="preserve">eliver independence on </w:t>
      </w:r>
      <w:r w:rsidR="0088111A">
        <w:t>respectabl</w:t>
      </w:r>
      <w:r w:rsidR="00C07E3A">
        <w:t xml:space="preserve">e terms, </w:t>
      </w:r>
      <w:r w:rsidR="00A969DE">
        <w:t xml:space="preserve">backing a nationalist, rather than a revolutionary, version of events, one that </w:t>
      </w:r>
      <w:r w:rsidR="0088111A">
        <w:t xml:space="preserve">would </w:t>
      </w:r>
      <w:r w:rsidR="00C07E3A">
        <w:t xml:space="preserve">shelter the nascent </w:t>
      </w:r>
      <w:r w:rsidR="00A969DE">
        <w:t xml:space="preserve">Greek state from a highly </w:t>
      </w:r>
      <w:r w:rsidR="00C07E3A">
        <w:t xml:space="preserve">unsympathetic political environment in Europe. Byron was useful in this project, both as an actor, in however limited </w:t>
      </w:r>
      <w:r w:rsidR="00CC4681">
        <w:t xml:space="preserve">a way, and as a symbol. Insofar </w:t>
      </w:r>
      <w:r w:rsidR="00C07E3A">
        <w:t>as a centralised Greek state was weakened by the absence of hard cash. Byron’s presence at the heart of Greek affairs made raising large sums on the London market more plausible. We now know that Byron was fully aware of the nature of the project with which Mavrokordatos sought</w:t>
      </w:r>
      <w:r w:rsidR="00FB2157">
        <w:t xml:space="preserve"> to identify him, and that he</w:t>
      </w:r>
      <w:r w:rsidR="00C07E3A">
        <w:t xml:space="preserve"> willingly gave his name</w:t>
      </w:r>
      <w:r w:rsidR="00FB2157">
        <w:t>, his money, and his reputation. That</w:t>
      </w:r>
      <w:r w:rsidR="00C07E3A">
        <w:t xml:space="preserve">, by any account, is a mark of </w:t>
      </w:r>
      <w:r w:rsidR="00A969DE">
        <w:t>the altruistic.</w:t>
      </w:r>
    </w:p>
    <w:p w:rsidR="008A1DCF" w:rsidRDefault="00A969DE" w:rsidP="009B331A">
      <w:pPr>
        <w:spacing w:line="480" w:lineRule="auto"/>
        <w:ind w:firstLine="720"/>
      </w:pPr>
      <w:r>
        <w:t xml:space="preserve">I conclude </w:t>
      </w:r>
      <w:r w:rsidR="00C07E3A">
        <w:t>with s</w:t>
      </w:r>
      <w:r w:rsidR="00FB2157">
        <w:t>omething less tangible, which has to do with</w:t>
      </w:r>
      <w:r w:rsidR="00C07E3A">
        <w:t xml:space="preserve"> the symbolic value of Byron’s commitment. For this enables us to place two kinds of politics in the balance. On the one hand, an ideologically-driven politics that knows where it starts </w:t>
      </w:r>
      <w:r w:rsidR="00956569">
        <w:t>and carries with it the baggage to evaluate its achievements; in terms of this kind of politics, Byron will inevitably</w:t>
      </w:r>
      <w:r w:rsidR="00C07E3A">
        <w:t xml:space="preserve"> fail. But, on the other hand, there is a politics which allows for mess, imprecision,</w:t>
      </w:r>
      <w:r>
        <w:t xml:space="preserve"> for</w:t>
      </w:r>
      <w:r w:rsidR="00C07E3A">
        <w:t xml:space="preserve"> finding your way towards a goal which often redefines itself as you move. It’s on this reading of politics that Byron’s altruism scores heavily. He </w:t>
      </w:r>
      <w:r>
        <w:t>explains precisely what he seeks to do</w:t>
      </w:r>
      <w:r w:rsidR="00C07E3A">
        <w:t xml:space="preserve"> in the lines that follow the ‘isles of Greece’ passage in </w:t>
      </w:r>
      <w:r w:rsidR="00C07E3A" w:rsidRPr="00C07E3A">
        <w:rPr>
          <w:i/>
        </w:rPr>
        <w:t>Don Juan</w:t>
      </w:r>
      <w:r w:rsidR="00FA479D">
        <w:t>. The earlier</w:t>
      </w:r>
      <w:r w:rsidR="00C07E3A">
        <w:t xml:space="preserve"> lines have taken us into a tangle of contradictions, about public and private, the rhetoric of patriotism against the self-indulgence of </w:t>
      </w:r>
      <w:r w:rsidR="009A57D2">
        <w:t>inner comp</w:t>
      </w:r>
      <w:r>
        <w:t xml:space="preserve">ulsions, the </w:t>
      </w:r>
      <w:r w:rsidR="00385ABA">
        <w:t>troubling</w:t>
      </w:r>
      <w:r>
        <w:t xml:space="preserve"> language of high freedom</w:t>
      </w:r>
      <w:r w:rsidR="009A57D2">
        <w:t xml:space="preserve"> in the mouth of a paid entertainer,</w:t>
      </w:r>
      <w:r w:rsidR="00385ABA">
        <w:t xml:space="preserve"> a language</w:t>
      </w:r>
      <w:r w:rsidR="009A57D2">
        <w:t xml:space="preserve"> con</w:t>
      </w:r>
      <w:r w:rsidR="00956569">
        <w:t>stantly redefined and made slippery.</w:t>
      </w:r>
    </w:p>
    <w:p w:rsidR="00C07E3A" w:rsidRDefault="009A57D2" w:rsidP="009B331A">
      <w:pPr>
        <w:spacing w:line="480" w:lineRule="auto"/>
        <w:ind w:firstLine="720"/>
      </w:pPr>
      <w:r>
        <w:t>And yet, ‘right or wro</w:t>
      </w:r>
      <w:r w:rsidR="00A969DE">
        <w:t>ng’, as Byron notes, the poem about Greece</w:t>
      </w:r>
      <w:r>
        <w:t xml:space="preserve"> has feeling; feeling makes others feel; and, finally, the ‘small drop of ink,/Falling like dew, upon a thought, produces/That which makes thou</w:t>
      </w:r>
      <w:r w:rsidR="00FB2157">
        <w:t>sands, perhaps millions, think’ (</w:t>
      </w:r>
      <w:r w:rsidR="00FB2157">
        <w:rPr>
          <w:i/>
        </w:rPr>
        <w:t xml:space="preserve">DJ </w:t>
      </w:r>
      <w:r w:rsidR="00956569">
        <w:t>3.793-95). The passage from feeling to thinking is what redeems the poem from a charge of simple propaganda, though, of course, the poem remains the most celebrated of all Byron’s propaganda gifts to Greece. The poet of the ‘isles of Greece’ may be flawed as a human being, but he is</w:t>
      </w:r>
      <w:r w:rsidR="009207F9">
        <w:t xml:space="preserve"> a Greek,</w:t>
      </w:r>
      <w:r w:rsidR="00385ABA">
        <w:t xml:space="preserve"> someone</w:t>
      </w:r>
      <w:r w:rsidR="00A969DE">
        <w:t xml:space="preserve"> with a point of view that reflect</w:t>
      </w:r>
      <w:r w:rsidR="009207F9">
        <w:t xml:space="preserve">s the troubling </w:t>
      </w:r>
      <w:r w:rsidR="00385ABA">
        <w:t>contradictions of an unfree country. I</w:t>
      </w:r>
      <w:r>
        <w:t>n political terms,</w:t>
      </w:r>
      <w:r w:rsidR="009207F9">
        <w:t xml:space="preserve"> the poem</w:t>
      </w:r>
      <w:r w:rsidR="00385ABA">
        <w:t xml:space="preserve"> celebrates a </w:t>
      </w:r>
      <w:r w:rsidR="00385ABA">
        <w:lastRenderedPageBreak/>
        <w:t>defusionary view of how a revolu</w:t>
      </w:r>
      <w:r w:rsidR="009207F9">
        <w:t xml:space="preserve">tionary politics might </w:t>
      </w:r>
      <w:r w:rsidR="00385ABA">
        <w:t>work in pr</w:t>
      </w:r>
      <w:r w:rsidR="00713B91">
        <w:t xml:space="preserve">actice, a view that is </w:t>
      </w:r>
      <w:r w:rsidR="00385ABA">
        <w:t>always potentia</w:t>
      </w:r>
      <w:r w:rsidR="00713B91">
        <w:t>lly vulnerable, open to the v</w:t>
      </w:r>
      <w:r w:rsidR="00385ABA">
        <w:t>agaries of chance</w:t>
      </w:r>
      <w:r w:rsidR="00713B91">
        <w:t xml:space="preserve">, but one which challenges, by implication, other more </w:t>
      </w:r>
      <w:r>
        <w:t>ideologically-driven</w:t>
      </w:r>
      <w:r w:rsidR="00713B91">
        <w:t xml:space="preserve">, </w:t>
      </w:r>
      <w:r>
        <w:t>evolutionary view</w:t>
      </w:r>
      <w:r w:rsidR="00713B91">
        <w:t>s</w:t>
      </w:r>
      <w:r>
        <w:t>. The small drop of ink</w:t>
      </w:r>
      <w:r w:rsidR="00713B91">
        <w:t xml:space="preserve">, as it falls, </w:t>
      </w:r>
      <w:r>
        <w:t xml:space="preserve">spreads </w:t>
      </w:r>
      <w:r w:rsidR="00713B91">
        <w:t>and oozes in unpredictable ways. A trust in this unpredictable process is also part of the legacy of altruism.</w:t>
      </w:r>
    </w:p>
    <w:p w:rsidR="00714B87" w:rsidRDefault="009A57D2" w:rsidP="009B331A">
      <w:pPr>
        <w:spacing w:line="480" w:lineRule="auto"/>
        <w:ind w:firstLine="720"/>
      </w:pPr>
      <w:r>
        <w:t>And it is legacy that is</w:t>
      </w:r>
      <w:r w:rsidR="00F67A96">
        <w:t xml:space="preserve"> underlined in countless ways. Consider the item which appeared</w:t>
      </w:r>
      <w:r w:rsidR="0061675D">
        <w:t xml:space="preserve"> in </w:t>
      </w:r>
      <w:r w:rsidR="00FA479D">
        <w:t xml:space="preserve">the London </w:t>
      </w:r>
      <w:r w:rsidR="00F67A96" w:rsidRPr="00FA479D">
        <w:rPr>
          <w:i/>
        </w:rPr>
        <w:t xml:space="preserve">Times </w:t>
      </w:r>
      <w:r w:rsidR="00F67A96">
        <w:t>on Saturday 29 July 1826</w:t>
      </w:r>
      <w:r w:rsidR="00882399">
        <w:t>. It advertised a forthcoming performance at Astley’s Royal Amphitheatre, the circus that had opened in 1773, and where Pablo Fanque, the first black circus proprietor in Britain made his London debut in 1847 (he’s remembered in the Beatles</w:t>
      </w:r>
      <w:r w:rsidR="00714B87">
        <w:t>’</w:t>
      </w:r>
      <w:r w:rsidR="00882399">
        <w:t xml:space="preserve"> song ‘Being for the Benefit of</w:t>
      </w:r>
      <w:r w:rsidR="0095756A">
        <w:t xml:space="preserve"> Mr Kite!’). T</w:t>
      </w:r>
      <w:r w:rsidR="00882399">
        <w:t>he news of the fall of Mesolongi o</w:t>
      </w:r>
      <w:r w:rsidR="0095756A">
        <w:t>n 10/22 April 1826 had reached Lond</w:t>
      </w:r>
      <w:r w:rsidR="004C31E4">
        <w:t>on around 15 May. Now, on 29 July 1826, in its classified advertising section,</w:t>
      </w:r>
      <w:r w:rsidR="00F5203D">
        <w:t xml:space="preserve"> the </w:t>
      </w:r>
      <w:r w:rsidR="00F5203D" w:rsidRPr="00FA479D">
        <w:rPr>
          <w:i/>
        </w:rPr>
        <w:t>Times</w:t>
      </w:r>
      <w:r w:rsidR="004C31E4">
        <w:t xml:space="preserve"> carried the announcement </w:t>
      </w:r>
      <w:r w:rsidR="0061675D">
        <w:t>of</w:t>
      </w:r>
      <w:r w:rsidR="0095756A">
        <w:t xml:space="preserve"> a ‘new grand spectacle of THE SIEGE OF MISSOLONGHI: or, The Massacre of the Greeks…The whole to conclude with PAUL PRY ON HORSEBACK’. Or here is the </w:t>
      </w:r>
      <w:r w:rsidR="0095756A" w:rsidRPr="00FA479D">
        <w:rPr>
          <w:i/>
        </w:rPr>
        <w:t>Times</w:t>
      </w:r>
      <w:r w:rsidR="0095756A">
        <w:t xml:space="preserve"> for 3 July 1826, in its news section:</w:t>
      </w:r>
      <w:r w:rsidR="009207F9">
        <w:t xml:space="preserve"> </w:t>
      </w:r>
      <w:r w:rsidR="008A1DCF">
        <w:t>‘</w:t>
      </w:r>
      <w:r w:rsidR="00714B87">
        <w:t>It appears that an extraordinary sensation has been excited in the</w:t>
      </w:r>
      <w:r w:rsidR="004C31E4">
        <w:t xml:space="preserve"> Swiss Cantons by the fall of Mi</w:t>
      </w:r>
      <w:r w:rsidR="00714B87">
        <w:t>ssolonghi, and that large subscriptions are making by all classes for the relief of the Greeks. The same feeling very generally prevails in France…</w:t>
      </w:r>
      <w:r w:rsidR="008A1DCF">
        <w:t>’</w:t>
      </w:r>
    </w:p>
    <w:p w:rsidR="008A1DCF" w:rsidRDefault="009207F9" w:rsidP="009B331A">
      <w:pPr>
        <w:spacing w:line="480" w:lineRule="auto"/>
        <w:ind w:firstLine="720"/>
      </w:pPr>
      <w:r>
        <w:t>There is</w:t>
      </w:r>
      <w:r w:rsidR="008A1DCF">
        <w:t xml:space="preserve"> no need </w:t>
      </w:r>
      <w:r w:rsidR="00713B91">
        <w:t>to be lit</w:t>
      </w:r>
      <w:r w:rsidR="001E4CB1">
        <w:t xml:space="preserve">eral here, </w:t>
      </w:r>
      <w:r w:rsidR="00713B91">
        <w:t>to suggest</w:t>
      </w:r>
      <w:r w:rsidR="00714B87">
        <w:t xml:space="preserve"> that Byron, by his sacrifice,</w:t>
      </w:r>
      <w:r w:rsidR="00713B91">
        <w:t xml:space="preserve"> somehow</w:t>
      </w:r>
      <w:r w:rsidR="007C4A67">
        <w:t xml:space="preserve"> directly</w:t>
      </w:r>
      <w:r w:rsidR="00714B87">
        <w:t xml:space="preserve"> </w:t>
      </w:r>
      <w:r w:rsidR="00A06A4C">
        <w:t>generated</w:t>
      </w:r>
      <w:r w:rsidR="00FA479D">
        <w:t xml:space="preserve"> the spectacle of Paul</w:t>
      </w:r>
      <w:r w:rsidR="004C31E4">
        <w:t xml:space="preserve"> P</w:t>
      </w:r>
      <w:r w:rsidR="00714B87">
        <w:t>ry on horseback</w:t>
      </w:r>
      <w:r w:rsidR="001E4CB1">
        <w:t xml:space="preserve">, or a </w:t>
      </w:r>
      <w:r w:rsidR="004C7C33">
        <w:t>sudden excitement in the Swiss Canton</w:t>
      </w:r>
      <w:r w:rsidR="00343815">
        <w:t>s. Or Delacroix’s</w:t>
      </w:r>
      <w:r w:rsidR="00D13E20">
        <w:t xml:space="preserve"> famous</w:t>
      </w:r>
      <w:r w:rsidR="00C662F9">
        <w:t xml:space="preserve"> painting of 1826 (‘Greece on the Ruins of Missolonghi’),</w:t>
      </w:r>
      <w:r w:rsidR="00714B87">
        <w:t xml:space="preserve"> with</w:t>
      </w:r>
      <w:r w:rsidR="00C662F9">
        <w:t xml:space="preserve"> its allegorical figure of a woman </w:t>
      </w:r>
      <w:r w:rsidR="00D13E20">
        <w:t>representing Greece</w:t>
      </w:r>
      <w:r w:rsidR="00C662F9">
        <w:t>,</w:t>
      </w:r>
      <w:r>
        <w:t xml:space="preserve"> </w:t>
      </w:r>
      <w:r w:rsidR="00025DFB">
        <w:t>ar</w:t>
      </w:r>
      <w:r w:rsidR="00006D9B">
        <w:t>ms outstretched in supplication</w:t>
      </w:r>
      <w:r w:rsidR="00C662F9">
        <w:t>.</w:t>
      </w:r>
      <w:r w:rsidR="00355603">
        <w:t xml:space="preserve"> </w:t>
      </w:r>
      <w:r w:rsidR="00355603">
        <w:rPr>
          <w:rStyle w:val="FootnoteReference"/>
        </w:rPr>
        <w:footnoteReference w:id="13"/>
      </w:r>
      <w:r>
        <w:t xml:space="preserve"> </w:t>
      </w:r>
      <w:r w:rsidR="00A06A4C">
        <w:t xml:space="preserve"> </w:t>
      </w:r>
      <w:r w:rsidR="004C7C33">
        <w:t xml:space="preserve">But the fact remains that, in the London </w:t>
      </w:r>
      <w:r w:rsidR="004C7C33" w:rsidRPr="00FA479D">
        <w:rPr>
          <w:i/>
        </w:rPr>
        <w:t>Times</w:t>
      </w:r>
      <w:r w:rsidR="004C7C33">
        <w:t>, there is only one mention of Mesol</w:t>
      </w:r>
      <w:r w:rsidR="00A06A4C">
        <w:t>ongi before Byron went</w:t>
      </w:r>
      <w:r w:rsidR="00FA479D">
        <w:t xml:space="preserve"> there, while </w:t>
      </w:r>
      <w:r w:rsidR="004C7C33">
        <w:t>after he’d been, and particularly a</w:t>
      </w:r>
      <w:r w:rsidR="006B0B15">
        <w:t>fter his death, the name recurs do</w:t>
      </w:r>
      <w:r w:rsidR="00CE78C7">
        <w:t>zens of times.</w:t>
      </w:r>
      <w:r w:rsidR="004C7C33">
        <w:t xml:space="preserve"> The</w:t>
      </w:r>
      <w:r w:rsidR="006B0B15">
        <w:t xml:space="preserve"> so-called</w:t>
      </w:r>
      <w:r w:rsidR="004C7C33">
        <w:t xml:space="preserve"> Exodos of </w:t>
      </w:r>
      <w:r w:rsidR="004C7C33">
        <w:lastRenderedPageBreak/>
        <w:t>1826</w:t>
      </w:r>
      <w:r w:rsidR="006B0B15">
        <w:t>, when the inhabitants of Mesolongi tragically attempted to break a Turkish siege,</w:t>
      </w:r>
      <w:r w:rsidR="00CE78C7">
        <w:t xml:space="preserve"> created such a huge emotional and political wave across </w:t>
      </w:r>
      <w:r w:rsidR="001E4CB1">
        <w:t>Europe</w:t>
      </w:r>
      <w:r w:rsidR="00CE78C7">
        <w:t xml:space="preserve"> partly</w:t>
      </w:r>
      <w:r w:rsidR="001E4CB1">
        <w:t xml:space="preserve"> </w:t>
      </w:r>
      <w:r w:rsidR="004C7C33">
        <w:t>because Meso</w:t>
      </w:r>
      <w:r w:rsidR="001E4CB1">
        <w:t>longi was the place where Byron had died</w:t>
      </w:r>
      <w:r w:rsidR="00CE78C7">
        <w:t>; it became, in the European imagination, a place where the self-sacrifice of the inhabitants</w:t>
      </w:r>
      <w:r w:rsidR="00FD746D">
        <w:t>,</w:t>
      </w:r>
      <w:r w:rsidR="00CE78C7">
        <w:t xml:space="preserve"> in th</w:t>
      </w:r>
      <w:r w:rsidR="00FD746D">
        <w:t>eir attempt at survival, connected with a vision of Byron’s symbolic self-sacrifice, in the name of Greek freedom.</w:t>
      </w:r>
    </w:p>
    <w:p w:rsidR="008A1DCF" w:rsidRDefault="004C7C33" w:rsidP="009B331A">
      <w:pPr>
        <w:spacing w:line="480" w:lineRule="auto"/>
        <w:ind w:firstLine="720"/>
      </w:pPr>
      <w:r>
        <w:t xml:space="preserve">It would be foolish, I think, to say that Byron went to Greece with the </w:t>
      </w:r>
      <w:r w:rsidR="00D76D6F">
        <w:t>express intention of dying</w:t>
      </w:r>
      <w:r w:rsidR="00FD746D">
        <w:t xml:space="preserve"> there</w:t>
      </w:r>
      <w:r>
        <w:t>, though some still subscribe to a version of that</w:t>
      </w:r>
      <w:r w:rsidR="001E4CB1">
        <w:t xml:space="preserve"> story</w:t>
      </w:r>
      <w:r>
        <w:t>. It is equally foolish, however, to suggest that he did not, by going to Greece, put his life on the line. That is altruism, by almost any definition.</w:t>
      </w:r>
      <w:r w:rsidR="0001150C">
        <w:t xml:space="preserve"> T</w:t>
      </w:r>
      <w:r>
        <w:t>he old narrative of a Byron lost and helpless in Greece, a depoliticised victim of events he neither foresaw nor understood</w:t>
      </w:r>
      <w:r w:rsidR="00A06A4C">
        <w:t>, looks increasingly like</w:t>
      </w:r>
      <w:r w:rsidR="0001150C">
        <w:t xml:space="preserve"> </w:t>
      </w:r>
      <w:r w:rsidR="001821EF">
        <w:t xml:space="preserve">a romantic fiction, sustainable only at the margins. </w:t>
      </w:r>
      <w:r w:rsidR="00D36D02">
        <w:t>Of course</w:t>
      </w:r>
      <w:r w:rsidR="006B0B15">
        <w:t xml:space="preserve">, Byron was at times lost, </w:t>
      </w:r>
      <w:r w:rsidR="00D36D02">
        <w:t>helpless</w:t>
      </w:r>
      <w:r w:rsidR="006B0B15">
        <w:t>,</w:t>
      </w:r>
      <w:r w:rsidR="00D36D02">
        <w:t xml:space="preserve"> and confused—but that is part of what it</w:t>
      </w:r>
      <w:r w:rsidR="006B0B15">
        <w:t xml:space="preserve"> means to be a political acto</w:t>
      </w:r>
      <w:r w:rsidR="00D36D02">
        <w:t>r</w:t>
      </w:r>
      <w:r w:rsidR="006B0B15">
        <w:t xml:space="preserve">, as we can see by reading between the </w:t>
      </w:r>
      <w:r w:rsidR="00D36D02">
        <w:t>lines of alm</w:t>
      </w:r>
      <w:r w:rsidR="006B0B15">
        <w:t xml:space="preserve">ost any political </w:t>
      </w:r>
      <w:r w:rsidR="00A06A4C">
        <w:t>autobiography</w:t>
      </w:r>
      <w:r w:rsidR="006B0B15">
        <w:t>.</w:t>
      </w:r>
      <w:r w:rsidR="001821EF">
        <w:t xml:space="preserve"> It is </w:t>
      </w:r>
      <w:r w:rsidR="0001150C">
        <w:t>partly in this</w:t>
      </w:r>
      <w:r w:rsidR="001821EF">
        <w:t xml:space="preserve"> broad</w:t>
      </w:r>
      <w:r w:rsidR="0001150C">
        <w:t xml:space="preserve"> sense that</w:t>
      </w:r>
      <w:r w:rsidR="001821EF">
        <w:t xml:space="preserve"> it is reasonable to</w:t>
      </w:r>
      <w:r w:rsidR="0001150C">
        <w:t xml:space="preserve"> </w:t>
      </w:r>
      <w:r w:rsidR="001821EF">
        <w:t>talk of the poetry of politics,</w:t>
      </w:r>
      <w:r w:rsidR="00D36D02">
        <w:t xml:space="preserve"> because politics</w:t>
      </w:r>
      <w:r w:rsidR="001821EF">
        <w:t xml:space="preserve"> as </w:t>
      </w:r>
      <w:r w:rsidR="001821EF" w:rsidRPr="001821EF">
        <w:rPr>
          <w:i/>
        </w:rPr>
        <w:t>practice</w:t>
      </w:r>
      <w:r w:rsidR="001821EF">
        <w:t xml:space="preserve"> is</w:t>
      </w:r>
      <w:r w:rsidR="009207F9">
        <w:t xml:space="preserve"> always to a degre</w:t>
      </w:r>
      <w:r w:rsidR="00495AEC">
        <w:t>e an imaginative process that lies</w:t>
      </w:r>
      <w:r w:rsidR="009207F9">
        <w:t xml:space="preserve"> beyond the control and the consciousness of its practitioners</w:t>
      </w:r>
      <w:r w:rsidR="00A06A4C">
        <w:t>;</w:t>
      </w:r>
      <w:r w:rsidR="00EF1C53">
        <w:t xml:space="preserve"> </w:t>
      </w:r>
      <w:r w:rsidR="001821EF">
        <w:t>a source of creative anxiety,</w:t>
      </w:r>
      <w:r w:rsidR="000705F6">
        <w:t xml:space="preserve"> of fantasies, and impossible narratives.</w:t>
      </w:r>
      <w:r w:rsidR="001E4CB1">
        <w:t xml:space="preserve"> </w:t>
      </w:r>
    </w:p>
    <w:p w:rsidR="00FD746D" w:rsidRDefault="008C020D" w:rsidP="009B331A">
      <w:pPr>
        <w:spacing w:line="480" w:lineRule="auto"/>
        <w:ind w:firstLine="720"/>
      </w:pPr>
      <w:r>
        <w:t xml:space="preserve">Finally, it’s important to try to link Byron’s political development to his poetry. Often the fact that he wrote little after going to Greece appears to sanction a radical decoupling of man and work, poetry and action. Sometimes we still hear the implication voiced that the world would have been better served had Byron finished </w:t>
      </w:r>
      <w:r w:rsidRPr="00D36D02">
        <w:rPr>
          <w:i/>
        </w:rPr>
        <w:t>Don Juan</w:t>
      </w:r>
      <w:r>
        <w:t xml:space="preserve">, instead of embarking on a frivolous adventure that cost him his life. But the man who acts and the man who writes are the same. The reasons for going to Greece may be complex and, in the end, unclear, and there was certainly an important element of chance in Byron’s decision. But the Byron who goes to Greece does not suddenly arise, discrete and </w:t>
      </w:r>
      <w:r w:rsidR="00FD746D">
        <w:t>differentiated from the man who</w:t>
      </w:r>
      <w:r w:rsidR="008D0875">
        <w:t xml:space="preserve"> wrote </w:t>
      </w:r>
      <w:r w:rsidR="008D0875" w:rsidRPr="008D0875">
        <w:rPr>
          <w:i/>
        </w:rPr>
        <w:t>Don Juan</w:t>
      </w:r>
      <w:r w:rsidR="008D0875">
        <w:t xml:space="preserve"> or who gave the ‘Frame Work Bill Speech’ in the House of Lords in 1812</w:t>
      </w:r>
      <w:r w:rsidR="00495AEC">
        <w:t xml:space="preserve">. The representation of </w:t>
      </w:r>
      <w:r w:rsidR="009207F9">
        <w:t>freedom</w:t>
      </w:r>
      <w:r w:rsidR="00072E41">
        <w:t xml:space="preserve"> in Byron’s poetry</w:t>
      </w:r>
      <w:r w:rsidR="00495AEC">
        <w:t>, for example,</w:t>
      </w:r>
      <w:r w:rsidR="00072E41">
        <w:t xml:space="preserve"> has an </w:t>
      </w:r>
      <w:r w:rsidR="002666D7">
        <w:t>inevi</w:t>
      </w:r>
      <w:r w:rsidR="00072E41">
        <w:t>table r</w:t>
      </w:r>
      <w:r w:rsidR="00495AEC">
        <w:t>elationship to the development</w:t>
      </w:r>
      <w:r w:rsidR="002666D7">
        <w:t xml:space="preserve"> </w:t>
      </w:r>
      <w:r w:rsidR="00072E41">
        <w:t>in his political thinking tha</w:t>
      </w:r>
      <w:r w:rsidR="002666D7">
        <w:t xml:space="preserve">t we have been discussing </w:t>
      </w:r>
      <w:r w:rsidR="002666D7">
        <w:lastRenderedPageBreak/>
        <w:t>here. When Byron and Hobhouse stood by the fort of Phyle and looked down at Athens on Christma</w:t>
      </w:r>
      <w:r w:rsidR="00374F9D">
        <w:t>s Day 1809, the word freedom evoked</w:t>
      </w:r>
      <w:r w:rsidR="002666D7">
        <w:t xml:space="preserve"> the debris of a</w:t>
      </w:r>
      <w:r w:rsidR="00374F9D">
        <w:t>n</w:t>
      </w:r>
      <w:r w:rsidR="002666D7">
        <w:t xml:space="preserve"> English public-school education (‘Spirit of freedom! when on Phyle’s brow/Thou sat’st with Thrasybulus and his train</w:t>
      </w:r>
      <w:r w:rsidR="00374F9D">
        <w:t>…’ (</w:t>
      </w:r>
      <w:r w:rsidR="00374F9D" w:rsidRPr="00374F9D">
        <w:rPr>
          <w:i/>
        </w:rPr>
        <w:t>CHP</w:t>
      </w:r>
      <w:r w:rsidR="00374F9D">
        <w:t xml:space="preserve">, 2. 702-3); </w:t>
      </w:r>
      <w:r w:rsidR="00495AEC">
        <w:t>while the famous apostrophe to freedom i</w:t>
      </w:r>
      <w:r w:rsidR="00374F9D">
        <w:t xml:space="preserve">n </w:t>
      </w:r>
      <w:r w:rsidR="00374F9D" w:rsidRPr="00374F9D">
        <w:rPr>
          <w:i/>
        </w:rPr>
        <w:t>CHP</w:t>
      </w:r>
      <w:r w:rsidR="00495AEC">
        <w:t xml:space="preserve"> 4 (‘Yet, Freedom! yet thy banner, torn, but flying,/Streams like the thunder-storm </w:t>
      </w:r>
      <w:r w:rsidR="00495AEC" w:rsidRPr="00495AEC">
        <w:rPr>
          <w:i/>
        </w:rPr>
        <w:t>against</w:t>
      </w:r>
      <w:r w:rsidR="00495AEC">
        <w:t xml:space="preserve"> the wind’, </w:t>
      </w:r>
      <w:r w:rsidR="00495AEC" w:rsidRPr="00495AEC">
        <w:rPr>
          <w:i/>
        </w:rPr>
        <w:t>CHP 4</w:t>
      </w:r>
      <w:r w:rsidR="00495AEC">
        <w:t>, 874-5) is self-dramatising, as the exclamation mark suggests, the invocation of something that belongs to a persona</w:t>
      </w:r>
      <w:r w:rsidR="00020CC6">
        <w:t xml:space="preserve">l mythology, something reassuringly </w:t>
      </w:r>
      <w:r w:rsidR="00495AEC">
        <w:t xml:space="preserve">distanced by metaphor (‘trumpet voice’, the tree that ‘hath lost its blossoms’, ‘the sap’, etc). By comparison, the ‘isles of Greece’ passage takes us into a world in which </w:t>
      </w:r>
      <w:r w:rsidR="00020CC6">
        <w:t>freedom is no longer an empowering</w:t>
      </w:r>
      <w:r w:rsidR="00006D9B">
        <w:t xml:space="preserve"> abstraction, but an element in the complex and often incoherent or competing claims of others.</w:t>
      </w:r>
    </w:p>
    <w:p w:rsidR="00D36D02" w:rsidRDefault="0001150C" w:rsidP="009B331A">
      <w:pPr>
        <w:spacing w:line="480" w:lineRule="auto"/>
        <w:ind w:firstLine="720"/>
      </w:pPr>
      <w:r>
        <w:t>Alt</w:t>
      </w:r>
      <w:r w:rsidR="00EF1C53">
        <w:t>ruism, however precis</w:t>
      </w:r>
      <w:r w:rsidR="001821EF">
        <w:t>ely</w:t>
      </w:r>
      <w:r w:rsidR="00EF1C53">
        <w:t xml:space="preserve"> or imprecisely defi</w:t>
      </w:r>
      <w:r w:rsidR="001821EF">
        <w:t>ned</w:t>
      </w:r>
      <w:r w:rsidR="00EF1C53">
        <w:t xml:space="preserve">, remains an extraordinary element in human affairs, as my initial quotation from Carlos Fuentes suggests. In a recent article in the </w:t>
      </w:r>
      <w:r w:rsidR="00EF1C53" w:rsidRPr="00EF1C53">
        <w:rPr>
          <w:i/>
        </w:rPr>
        <w:t>Guardian</w:t>
      </w:r>
      <w:r w:rsidR="00EF1C53">
        <w:t xml:space="preserve"> newspaper (3 April 2015), Martin Kettle writes: ‘One of the most valuable virtues in modern politics…is the ability to give the impression that you can see the world from the other person’s point of view’. An immediate response to this might be ‘obviously’, yet it is far from obvious</w:t>
      </w:r>
      <w:r w:rsidR="008C020D">
        <w:t xml:space="preserve">. Seeing </w:t>
      </w:r>
      <w:r w:rsidR="00465B83">
        <w:t>someone else’</w:t>
      </w:r>
      <w:r w:rsidR="008C020D">
        <w:t>s point</w:t>
      </w:r>
      <w:r w:rsidR="00495AEC">
        <w:t xml:space="preserve"> of view, whether</w:t>
      </w:r>
      <w:r w:rsidR="00020CC6">
        <w:t xml:space="preserve"> through</w:t>
      </w:r>
      <w:r w:rsidR="00495AEC">
        <w:t xml:space="preserve"> </w:t>
      </w:r>
      <w:r w:rsidR="008C020D">
        <w:t>genuine identification o</w:t>
      </w:r>
      <w:r w:rsidR="00020CC6">
        <w:t>r conscious dissimulation, is always complex</w:t>
      </w:r>
      <w:r w:rsidR="00465B83">
        <w:t xml:space="preserve">, and, </w:t>
      </w:r>
      <w:r w:rsidR="008C020D">
        <w:t xml:space="preserve">in a </w:t>
      </w:r>
      <w:r w:rsidR="000705F6">
        <w:t xml:space="preserve">specifically </w:t>
      </w:r>
      <w:r w:rsidR="000705F6" w:rsidRPr="000705F6">
        <w:rPr>
          <w:i/>
        </w:rPr>
        <w:t>political</w:t>
      </w:r>
      <w:r w:rsidR="008C020D">
        <w:t xml:space="preserve"> context</w:t>
      </w:r>
      <w:r w:rsidR="00495AEC">
        <w:t xml:space="preserve">, it is a process </w:t>
      </w:r>
      <w:r w:rsidR="000705F6">
        <w:t>insepar</w:t>
      </w:r>
      <w:r w:rsidR="00465B83">
        <w:t>able from the r</w:t>
      </w:r>
      <w:r w:rsidR="00020CC6">
        <w:t xml:space="preserve">ise of democracy. Byron disliked what he thought he knew about democracy as </w:t>
      </w:r>
      <w:r w:rsidR="00020CC6" w:rsidRPr="00020CC6">
        <w:rPr>
          <w:i/>
        </w:rPr>
        <w:t>system</w:t>
      </w:r>
      <w:r w:rsidR="00020CC6">
        <w:t>, but he never moves in straight lines. His</w:t>
      </w:r>
      <w:r w:rsidR="00C84E15">
        <w:t xml:space="preserve"> dedication to Greece is, in the end, part of a resista</w:t>
      </w:r>
      <w:r w:rsidR="00006D9B">
        <w:t>nce to the systematic, to the satisfying wholeness of ideological self-positioning. I</w:t>
      </w:r>
      <w:r w:rsidR="00D36D02">
        <w:t>t is in the gaps created by such resistance that a modern altruism can most easily breathe.</w:t>
      </w:r>
    </w:p>
    <w:p w:rsidR="00D36D02" w:rsidRDefault="00D36D02" w:rsidP="009B331A">
      <w:pPr>
        <w:spacing w:line="480" w:lineRule="auto"/>
      </w:pPr>
    </w:p>
    <w:p w:rsidR="00D36D02" w:rsidRDefault="00D36D02" w:rsidP="009B331A">
      <w:pPr>
        <w:spacing w:line="480" w:lineRule="auto"/>
      </w:pPr>
      <w:r>
        <w:tab/>
      </w:r>
      <w:r>
        <w:tab/>
      </w:r>
    </w:p>
    <w:p w:rsidR="00714B87" w:rsidRDefault="00714B87" w:rsidP="009B331A">
      <w:pPr>
        <w:spacing w:line="480" w:lineRule="auto"/>
      </w:pPr>
    </w:p>
    <w:p w:rsidR="00714B87" w:rsidRDefault="00714B87" w:rsidP="009B331A">
      <w:pPr>
        <w:spacing w:line="480" w:lineRule="auto"/>
      </w:pPr>
    </w:p>
    <w:p w:rsidR="00714B87" w:rsidRDefault="00714B87" w:rsidP="009B331A">
      <w:pPr>
        <w:spacing w:line="480" w:lineRule="auto"/>
      </w:pPr>
    </w:p>
    <w:p w:rsidR="00714B87" w:rsidRDefault="00714B87" w:rsidP="009B331A">
      <w:pPr>
        <w:spacing w:line="480" w:lineRule="auto"/>
      </w:pPr>
    </w:p>
    <w:p w:rsidR="00714B87" w:rsidRDefault="00714B87" w:rsidP="009B331A">
      <w:pPr>
        <w:spacing w:line="480" w:lineRule="auto"/>
      </w:pPr>
    </w:p>
    <w:p w:rsidR="0095756A" w:rsidRPr="00355603" w:rsidRDefault="00355603" w:rsidP="009B331A">
      <w:pPr>
        <w:spacing w:line="480" w:lineRule="auto"/>
        <w:rPr>
          <w:b/>
        </w:rPr>
      </w:pPr>
      <w:r>
        <w:tab/>
      </w:r>
      <w:r>
        <w:tab/>
      </w:r>
      <w:r>
        <w:tab/>
      </w:r>
      <w:r>
        <w:tab/>
      </w:r>
      <w:r>
        <w:tab/>
      </w:r>
      <w:r w:rsidRPr="00355603">
        <w:rPr>
          <w:b/>
        </w:rPr>
        <w:t>Bibliography</w:t>
      </w:r>
    </w:p>
    <w:p w:rsidR="009A57D2" w:rsidRDefault="009A57D2" w:rsidP="009B331A">
      <w:pPr>
        <w:spacing w:line="480" w:lineRule="auto"/>
      </w:pPr>
    </w:p>
    <w:p w:rsidR="00355603" w:rsidRDefault="00355603" w:rsidP="009B331A">
      <w:pPr>
        <w:pStyle w:val="FootnoteText"/>
        <w:spacing w:line="480" w:lineRule="auto"/>
      </w:pPr>
      <w:r>
        <w:t xml:space="preserve">Arnold, M. (1888), </w:t>
      </w:r>
      <w:r w:rsidRPr="00F01B35">
        <w:rPr>
          <w:i/>
        </w:rPr>
        <w:t>Essays in Criticism: Second Series</w:t>
      </w:r>
      <w:r>
        <w:t>, London: Macmillan</w:t>
      </w:r>
      <w:r w:rsidR="004E3323">
        <w:t>.</w:t>
      </w:r>
    </w:p>
    <w:p w:rsidR="00355603" w:rsidRDefault="00355603" w:rsidP="009B331A">
      <w:pPr>
        <w:pStyle w:val="FootnoteText"/>
        <w:spacing w:line="480" w:lineRule="auto"/>
      </w:pPr>
      <w:r>
        <w:t xml:space="preserve">Beaton, R. (2013), </w:t>
      </w:r>
      <w:r w:rsidRPr="00CC4681">
        <w:rPr>
          <w:i/>
        </w:rPr>
        <w:t>Byron’s War: Romantic Rebellion, Greek Revolution</w:t>
      </w:r>
      <w:r>
        <w:t>, Cambridge: Cambridge University Press.</w:t>
      </w:r>
    </w:p>
    <w:p w:rsidR="00355603" w:rsidRDefault="00355603" w:rsidP="009B331A">
      <w:pPr>
        <w:pStyle w:val="FootnoteText"/>
        <w:spacing w:line="480" w:lineRule="auto"/>
      </w:pPr>
      <w:r>
        <w:t xml:space="preserve">Christ, M. (2012), </w:t>
      </w:r>
      <w:r w:rsidRPr="007C0466">
        <w:rPr>
          <w:i/>
        </w:rPr>
        <w:t>The Limits of Altruism in Democratic Athens</w:t>
      </w:r>
      <w:r>
        <w:t>, Cambridge and New York: Cambridge University Press.</w:t>
      </w:r>
    </w:p>
    <w:p w:rsidR="00355603" w:rsidRDefault="00355603" w:rsidP="009B331A">
      <w:pPr>
        <w:pStyle w:val="FootnoteText"/>
        <w:spacing w:line="480" w:lineRule="auto"/>
      </w:pPr>
      <w:r>
        <w:t xml:space="preserve">Crawley, C.W. (ed.) (1965), </w:t>
      </w:r>
      <w:r w:rsidRPr="003759A1">
        <w:rPr>
          <w:i/>
        </w:rPr>
        <w:t>The New Cambridge Modern History</w:t>
      </w:r>
      <w:r>
        <w:t>, vol. IX, Cambridge: Cambridge University Press.</w:t>
      </w:r>
    </w:p>
    <w:p w:rsidR="00355603" w:rsidRDefault="00355603" w:rsidP="009B331A">
      <w:pPr>
        <w:pStyle w:val="FootnoteText"/>
        <w:spacing w:line="480" w:lineRule="auto"/>
      </w:pPr>
      <w:r>
        <w:t xml:space="preserve">Gamba, Count Peter. (1825), </w:t>
      </w:r>
      <w:r w:rsidRPr="008B07BE">
        <w:rPr>
          <w:i/>
        </w:rPr>
        <w:t>A Narrative of Lord Byron’s Last Journey to Greece</w:t>
      </w:r>
      <w:r>
        <w:t>, Paris: Galignani.</w:t>
      </w:r>
    </w:p>
    <w:p w:rsidR="004A5E39" w:rsidRDefault="004A5E39" w:rsidP="009B331A">
      <w:pPr>
        <w:pStyle w:val="FootnoteText"/>
        <w:spacing w:line="480" w:lineRule="auto"/>
      </w:pPr>
      <w:r>
        <w:t xml:space="preserve">Johnson, L. (1981), </w:t>
      </w:r>
      <w:r w:rsidRPr="00343815">
        <w:rPr>
          <w:i/>
        </w:rPr>
        <w:t>The Paintings of Eugène Delacroix: A Critical Catalogue 1816-1831</w:t>
      </w:r>
      <w:r>
        <w:t>, 2 vols, Oxford: Clarendon.</w:t>
      </w:r>
    </w:p>
    <w:p w:rsidR="00355603" w:rsidRDefault="00355603" w:rsidP="009B331A">
      <w:pPr>
        <w:pStyle w:val="FootnoteText"/>
        <w:spacing w:line="480" w:lineRule="auto"/>
      </w:pPr>
      <w:r>
        <w:t xml:space="preserve">Konstan, D. (2000), ‘Altruism’, </w:t>
      </w:r>
      <w:r w:rsidRPr="00BF4AEC">
        <w:rPr>
          <w:i/>
        </w:rPr>
        <w:t>Transactions of the American Philological Association</w:t>
      </w:r>
      <w:r>
        <w:t xml:space="preserve">  130: 1-17.</w:t>
      </w:r>
    </w:p>
    <w:p w:rsidR="00355603" w:rsidRDefault="00355603" w:rsidP="009B331A">
      <w:pPr>
        <w:pStyle w:val="FootnoteText"/>
        <w:spacing w:line="480" w:lineRule="auto"/>
      </w:pPr>
      <w:r>
        <w:t xml:space="preserve">MacCarthy, F. (2002), </w:t>
      </w:r>
      <w:r w:rsidRPr="008B07BE">
        <w:rPr>
          <w:i/>
        </w:rPr>
        <w:t>Byron: Life and Legend</w:t>
      </w:r>
      <w:r w:rsidR="004A5E39">
        <w:t xml:space="preserve">, London: </w:t>
      </w:r>
      <w:r>
        <w:t>Murray.</w:t>
      </w:r>
    </w:p>
    <w:p w:rsidR="00355603" w:rsidRDefault="00355603" w:rsidP="009B331A">
      <w:pPr>
        <w:pStyle w:val="FootnoteText"/>
        <w:spacing w:line="480" w:lineRule="auto"/>
      </w:pPr>
      <w:r>
        <w:t xml:space="preserve">Rosen, F. (1992), </w:t>
      </w:r>
      <w:r w:rsidRPr="00C15E90">
        <w:rPr>
          <w:i/>
        </w:rPr>
        <w:t>Bentham, Byron, and Greece: Constitutionalism, Nationalism, and Early Liberal Political</w:t>
      </w:r>
      <w:r w:rsidRPr="00C15E90">
        <w:t xml:space="preserve"> </w:t>
      </w:r>
      <w:r w:rsidRPr="00C15E90">
        <w:rPr>
          <w:i/>
        </w:rPr>
        <w:t>Thought</w:t>
      </w:r>
      <w:r>
        <w:t>, Oxford: Clarendon.</w:t>
      </w:r>
    </w:p>
    <w:p w:rsidR="004E3323" w:rsidRDefault="004E3323" w:rsidP="009B331A">
      <w:pPr>
        <w:pStyle w:val="FootnoteText"/>
        <w:spacing w:line="480" w:lineRule="auto"/>
      </w:pPr>
      <w:r>
        <w:t xml:space="preserve">Rousseau , J-J. (1959), </w:t>
      </w:r>
      <w:r w:rsidRPr="004E3323">
        <w:rPr>
          <w:i/>
        </w:rPr>
        <w:t>Oe</w:t>
      </w:r>
      <w:r>
        <w:rPr>
          <w:i/>
        </w:rPr>
        <w:t>uvres completes</w:t>
      </w:r>
      <w:r>
        <w:t>, e</w:t>
      </w:r>
      <w:r>
        <w:t>d. B. Gagnebin and M. Raymond, 5 vols, Paris: Gallimard</w:t>
      </w:r>
      <w:r>
        <w:t>.</w:t>
      </w:r>
    </w:p>
    <w:p w:rsidR="004E3323" w:rsidRDefault="004E3323" w:rsidP="009B331A">
      <w:pPr>
        <w:pStyle w:val="FootnoteText"/>
        <w:spacing w:line="480" w:lineRule="auto"/>
      </w:pPr>
    </w:p>
    <w:p w:rsidR="00355603" w:rsidRDefault="00355603" w:rsidP="009B331A">
      <w:pPr>
        <w:pStyle w:val="FootnoteText"/>
        <w:spacing w:line="480" w:lineRule="auto"/>
      </w:pPr>
    </w:p>
    <w:p w:rsidR="00355603" w:rsidRDefault="00355603" w:rsidP="009B331A">
      <w:pPr>
        <w:pStyle w:val="FootnoteText"/>
        <w:spacing w:line="480" w:lineRule="auto"/>
      </w:pPr>
    </w:p>
    <w:p w:rsidR="00355603" w:rsidRDefault="00355603" w:rsidP="009B331A">
      <w:pPr>
        <w:pStyle w:val="FootnoteText"/>
        <w:spacing w:line="480" w:lineRule="auto"/>
      </w:pPr>
    </w:p>
    <w:p w:rsidR="00355603" w:rsidRDefault="00355603" w:rsidP="009B331A">
      <w:pPr>
        <w:pStyle w:val="FootnoteText"/>
        <w:spacing w:line="480" w:lineRule="auto"/>
      </w:pPr>
    </w:p>
    <w:p w:rsidR="00355603" w:rsidRDefault="00355603" w:rsidP="009B331A">
      <w:pPr>
        <w:pStyle w:val="FootnoteText"/>
        <w:spacing w:line="480" w:lineRule="auto"/>
      </w:pPr>
    </w:p>
    <w:p w:rsidR="009A57D2" w:rsidRDefault="009A57D2" w:rsidP="009B331A">
      <w:pPr>
        <w:spacing w:line="480" w:lineRule="auto"/>
      </w:pPr>
    </w:p>
    <w:p w:rsidR="001079E9" w:rsidRDefault="001079E9" w:rsidP="009B331A">
      <w:pPr>
        <w:spacing w:line="480" w:lineRule="auto"/>
      </w:pPr>
    </w:p>
    <w:p w:rsidR="005D2CD4" w:rsidRDefault="005D2CD4" w:rsidP="009B331A">
      <w:pPr>
        <w:spacing w:line="480" w:lineRule="auto"/>
      </w:pPr>
    </w:p>
    <w:p w:rsidR="00713B91" w:rsidRDefault="00713B91" w:rsidP="009B331A">
      <w:pPr>
        <w:pStyle w:val="FootnoteText"/>
        <w:spacing w:line="480" w:lineRule="auto"/>
      </w:pPr>
    </w:p>
    <w:p w:rsidR="00933FF5" w:rsidRDefault="00933FF5" w:rsidP="009B331A">
      <w:pPr>
        <w:spacing w:line="480" w:lineRule="auto"/>
      </w:pPr>
    </w:p>
    <w:p w:rsidR="008D15E5" w:rsidRDefault="008D15E5" w:rsidP="009B331A">
      <w:pPr>
        <w:spacing w:line="480" w:lineRule="auto"/>
      </w:pPr>
    </w:p>
    <w:p w:rsidR="00933FF5" w:rsidRDefault="00933FF5" w:rsidP="009B331A">
      <w:pPr>
        <w:spacing w:line="480" w:lineRule="auto"/>
      </w:pPr>
    </w:p>
    <w:p w:rsidR="001119B9" w:rsidRDefault="001119B9" w:rsidP="009B331A">
      <w:pPr>
        <w:spacing w:line="480" w:lineRule="auto"/>
      </w:pPr>
    </w:p>
    <w:p w:rsidR="00000490" w:rsidRDefault="00000490" w:rsidP="009B331A">
      <w:pPr>
        <w:spacing w:line="480" w:lineRule="auto"/>
      </w:pPr>
    </w:p>
    <w:p w:rsidR="00423EEF" w:rsidRDefault="00423EEF" w:rsidP="009B331A">
      <w:pPr>
        <w:spacing w:line="480" w:lineRule="auto"/>
      </w:pPr>
    </w:p>
    <w:p w:rsidR="00423EEF" w:rsidRDefault="00423EEF" w:rsidP="009B331A">
      <w:pPr>
        <w:spacing w:line="480" w:lineRule="auto"/>
      </w:pPr>
    </w:p>
    <w:p w:rsidR="00D84A09" w:rsidRDefault="00D84A09" w:rsidP="009B331A">
      <w:pPr>
        <w:spacing w:line="480" w:lineRule="auto"/>
      </w:pPr>
    </w:p>
    <w:p w:rsidR="00501D17" w:rsidRDefault="00501D17" w:rsidP="009B331A">
      <w:pPr>
        <w:spacing w:line="480" w:lineRule="auto"/>
      </w:pPr>
    </w:p>
    <w:p w:rsidR="00BE3F0F" w:rsidRDefault="00BE3F0F" w:rsidP="009B331A">
      <w:pPr>
        <w:spacing w:line="480" w:lineRule="auto"/>
      </w:pPr>
    </w:p>
    <w:p w:rsidR="00FF5537" w:rsidRDefault="00FF5537" w:rsidP="009B331A">
      <w:pPr>
        <w:spacing w:line="480" w:lineRule="auto"/>
      </w:pPr>
    </w:p>
    <w:p w:rsidR="006335FF" w:rsidRDefault="006335FF" w:rsidP="009B331A">
      <w:pPr>
        <w:spacing w:line="480" w:lineRule="auto"/>
      </w:pPr>
    </w:p>
    <w:p w:rsidR="004F1EF2" w:rsidRPr="007910F2" w:rsidRDefault="004F1EF2" w:rsidP="009B331A">
      <w:pPr>
        <w:spacing w:line="480" w:lineRule="auto"/>
      </w:pPr>
    </w:p>
    <w:p w:rsidR="00051BBE" w:rsidRPr="007910F2" w:rsidRDefault="00051BBE" w:rsidP="009B331A">
      <w:pPr>
        <w:spacing w:line="480" w:lineRule="auto"/>
      </w:pPr>
    </w:p>
    <w:p w:rsidR="00051BBE" w:rsidRPr="007910F2" w:rsidRDefault="00051BBE" w:rsidP="009B331A">
      <w:pPr>
        <w:spacing w:line="480" w:lineRule="auto"/>
      </w:pPr>
    </w:p>
    <w:p w:rsidR="0005319A" w:rsidRPr="007910F2" w:rsidRDefault="0005319A" w:rsidP="009B331A">
      <w:pPr>
        <w:spacing w:line="480" w:lineRule="auto"/>
      </w:pPr>
    </w:p>
    <w:p w:rsidR="0005319A" w:rsidRPr="007910F2" w:rsidRDefault="0005319A" w:rsidP="009B331A">
      <w:pPr>
        <w:spacing w:line="480" w:lineRule="auto"/>
      </w:pPr>
    </w:p>
    <w:p w:rsidR="000801CC" w:rsidRPr="007910F2" w:rsidRDefault="000801CC" w:rsidP="009B331A">
      <w:pPr>
        <w:spacing w:line="480" w:lineRule="auto"/>
      </w:pPr>
    </w:p>
    <w:p w:rsidR="00010E69" w:rsidRPr="007910F2" w:rsidRDefault="00010E69" w:rsidP="009B331A">
      <w:pPr>
        <w:spacing w:line="480" w:lineRule="auto"/>
      </w:pPr>
    </w:p>
    <w:p w:rsidR="00BA4FE6" w:rsidRPr="007910F2" w:rsidRDefault="00BA4FE6" w:rsidP="009B331A">
      <w:pPr>
        <w:spacing w:line="480" w:lineRule="auto"/>
      </w:pPr>
    </w:p>
    <w:sectPr w:rsidR="00BA4FE6" w:rsidRPr="007910F2" w:rsidSect="00507E5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F0E" w:rsidRDefault="00F57F0E" w:rsidP="00BF4AEC">
      <w:pPr>
        <w:spacing w:line="240" w:lineRule="auto"/>
      </w:pPr>
      <w:r>
        <w:separator/>
      </w:r>
    </w:p>
  </w:endnote>
  <w:endnote w:type="continuationSeparator" w:id="0">
    <w:p w:rsidR="00F57F0E" w:rsidRDefault="00F57F0E" w:rsidP="00BF4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E" w:rsidRDefault="00F57F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E" w:rsidRDefault="00F57F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E" w:rsidRDefault="00F57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F0E" w:rsidRDefault="00F57F0E" w:rsidP="00BF4AEC">
      <w:pPr>
        <w:spacing w:line="240" w:lineRule="auto"/>
      </w:pPr>
      <w:r>
        <w:separator/>
      </w:r>
    </w:p>
  </w:footnote>
  <w:footnote w:type="continuationSeparator" w:id="0">
    <w:p w:rsidR="00F57F0E" w:rsidRDefault="00F57F0E" w:rsidP="00BF4AEC">
      <w:pPr>
        <w:spacing w:line="240" w:lineRule="auto"/>
      </w:pPr>
      <w:r>
        <w:continuationSeparator/>
      </w:r>
    </w:p>
  </w:footnote>
  <w:footnote w:id="1">
    <w:p w:rsidR="00F57F0E" w:rsidRDefault="00F57F0E">
      <w:pPr>
        <w:pStyle w:val="FootnoteText"/>
      </w:pPr>
      <w:r>
        <w:rPr>
          <w:rStyle w:val="FootnoteReference"/>
        </w:rPr>
        <w:footnoteRef/>
      </w:r>
      <w:r>
        <w:t xml:space="preserve">  Konstan, D. (2000), ‘Altruism’, </w:t>
      </w:r>
      <w:r w:rsidRPr="00BF4AEC">
        <w:rPr>
          <w:i/>
        </w:rPr>
        <w:t>Transactions of the A</w:t>
      </w:r>
      <w:r>
        <w:rPr>
          <w:i/>
        </w:rPr>
        <w:t>m</w:t>
      </w:r>
      <w:r w:rsidR="00557CB7">
        <w:rPr>
          <w:i/>
        </w:rPr>
        <w:t xml:space="preserve">erican Philological Association </w:t>
      </w:r>
      <w:r>
        <w:t>130: 5.</w:t>
      </w:r>
    </w:p>
  </w:footnote>
  <w:footnote w:id="2">
    <w:p w:rsidR="00F57F0E" w:rsidRDefault="00F57F0E">
      <w:pPr>
        <w:pStyle w:val="FootnoteText"/>
      </w:pPr>
      <w:r>
        <w:rPr>
          <w:rStyle w:val="FootnoteReference"/>
        </w:rPr>
        <w:footnoteRef/>
      </w:r>
      <w:r>
        <w:t xml:space="preserve">  Christ, M. (2012), </w:t>
      </w:r>
      <w:r w:rsidRPr="007C0466">
        <w:rPr>
          <w:i/>
        </w:rPr>
        <w:t>The Limits of Altruism in Democratic Athens</w:t>
      </w:r>
      <w:r>
        <w:t xml:space="preserve">, Cambridge and New York: Cambridge University Press: 4-5. Cf Konstan (2000): altruism, he suggests, is not ‘in the first instance, a question about behavior but rather about the </w:t>
      </w:r>
      <w:r w:rsidR="00557CB7">
        <w:t>interpretation of behavior’: 2.</w:t>
      </w:r>
    </w:p>
  </w:footnote>
  <w:footnote w:id="3">
    <w:p w:rsidR="00F57F0E" w:rsidRDefault="00F57F0E">
      <w:pPr>
        <w:pStyle w:val="FootnoteText"/>
      </w:pPr>
      <w:r>
        <w:rPr>
          <w:rStyle w:val="FootnoteReference"/>
        </w:rPr>
        <w:footnoteRef/>
      </w:r>
      <w:r>
        <w:t xml:space="preserve">  Arnold, M. (1888), </w:t>
      </w:r>
      <w:r w:rsidRPr="00F01B35">
        <w:rPr>
          <w:i/>
        </w:rPr>
        <w:t>Essays in Criticism: Second Series</w:t>
      </w:r>
      <w:r>
        <w:t>, London: Macmillan: 168.</w:t>
      </w:r>
    </w:p>
  </w:footnote>
  <w:footnote w:id="4">
    <w:p w:rsidR="00F57F0E" w:rsidRDefault="00F57F0E">
      <w:pPr>
        <w:pStyle w:val="FootnoteText"/>
      </w:pPr>
      <w:r>
        <w:rPr>
          <w:rStyle w:val="FootnoteReference"/>
        </w:rPr>
        <w:footnoteRef/>
      </w:r>
      <w:r>
        <w:t xml:space="preserve">  Christ (2012): 8.</w:t>
      </w:r>
    </w:p>
  </w:footnote>
  <w:footnote w:id="5">
    <w:p w:rsidR="004E3323" w:rsidRDefault="004E3323">
      <w:pPr>
        <w:pStyle w:val="FootnoteText"/>
      </w:pPr>
      <w:r>
        <w:rPr>
          <w:rStyle w:val="FootnoteReference"/>
        </w:rPr>
        <w:footnoteRef/>
      </w:r>
      <w:r>
        <w:t xml:space="preserve">  </w:t>
      </w:r>
      <w:r w:rsidRPr="004E3323">
        <w:rPr>
          <w:i/>
        </w:rPr>
        <w:t>Oeuvres completes de Jean-Jacques Rousseau</w:t>
      </w:r>
      <w:r>
        <w:t>, (1959). Ed. B. Gagnebin and M. Raymond, 5 vols, Paris: Gallimard: I: 1059.</w:t>
      </w:r>
    </w:p>
  </w:footnote>
  <w:footnote w:id="6">
    <w:p w:rsidR="00F57F0E" w:rsidRDefault="00F57F0E">
      <w:pPr>
        <w:pStyle w:val="FootnoteText"/>
      </w:pPr>
      <w:r>
        <w:rPr>
          <w:rStyle w:val="FootnoteReference"/>
        </w:rPr>
        <w:footnoteRef/>
      </w:r>
      <w:r>
        <w:t xml:space="preserve"> Mitchell, L. (2005), </w:t>
      </w:r>
      <w:r w:rsidRPr="002E29C9">
        <w:rPr>
          <w:i/>
        </w:rPr>
        <w:t>The Whig World, 1760-1837</w:t>
      </w:r>
      <w:r w:rsidR="00557CB7">
        <w:t>, London: Hambledon Continuum:</w:t>
      </w:r>
      <w:r>
        <w:t xml:space="preserve"> xi.</w:t>
      </w:r>
    </w:p>
  </w:footnote>
  <w:footnote w:id="7">
    <w:p w:rsidR="00F57F0E" w:rsidRDefault="00F57F0E">
      <w:pPr>
        <w:pStyle w:val="FootnoteText"/>
      </w:pPr>
      <w:r>
        <w:rPr>
          <w:rStyle w:val="FootnoteReference"/>
        </w:rPr>
        <w:footnoteRef/>
      </w:r>
      <w:r>
        <w:t xml:space="preserve"> Kelsall, M. (1987), </w:t>
      </w:r>
      <w:r w:rsidRPr="00557CB7">
        <w:rPr>
          <w:i/>
        </w:rPr>
        <w:t>Byron’s Politics</w:t>
      </w:r>
      <w:r>
        <w:t xml:space="preserve">, Brighton: Harvester, </w:t>
      </w:r>
    </w:p>
  </w:footnote>
  <w:footnote w:id="8">
    <w:p w:rsidR="00F57F0E" w:rsidRDefault="00F57F0E">
      <w:pPr>
        <w:pStyle w:val="FootnoteText"/>
      </w:pPr>
      <w:r>
        <w:rPr>
          <w:rStyle w:val="FootnoteReference"/>
        </w:rPr>
        <w:footnoteRef/>
      </w:r>
      <w:r>
        <w:t xml:space="preserve">  Crawley, C.W. (ed.) (1965), </w:t>
      </w:r>
      <w:r w:rsidRPr="003759A1">
        <w:rPr>
          <w:i/>
        </w:rPr>
        <w:t>The New Cambridge Modern History</w:t>
      </w:r>
      <w:r w:rsidR="00D5221F">
        <w:t>, vol. I</w:t>
      </w:r>
      <w:r>
        <w:t>X, Cambrid</w:t>
      </w:r>
      <w:r w:rsidR="00D5221F">
        <w:t xml:space="preserve">ge: Cambridge University Press: </w:t>
      </w:r>
      <w:r>
        <w:t>108.</w:t>
      </w:r>
    </w:p>
  </w:footnote>
  <w:footnote w:id="9">
    <w:p w:rsidR="00F57F0E" w:rsidRDefault="00F57F0E">
      <w:pPr>
        <w:pStyle w:val="FootnoteText"/>
      </w:pPr>
      <w:r>
        <w:rPr>
          <w:rStyle w:val="FootnoteReference"/>
        </w:rPr>
        <w:footnoteRef/>
      </w:r>
      <w:r>
        <w:t xml:space="preserve">  Gamba, Count Peter. (1825), </w:t>
      </w:r>
      <w:r w:rsidRPr="008B07BE">
        <w:rPr>
          <w:i/>
        </w:rPr>
        <w:t>A Narrative of Lord Byron’s Last Journey to Greece</w:t>
      </w:r>
      <w:r w:rsidR="00D5221F">
        <w:t xml:space="preserve">, Paris: Galignani: </w:t>
      </w:r>
      <w:r>
        <w:t>33.</w:t>
      </w:r>
    </w:p>
  </w:footnote>
  <w:footnote w:id="10">
    <w:p w:rsidR="00F57F0E" w:rsidRDefault="00F57F0E">
      <w:pPr>
        <w:pStyle w:val="FootnoteText"/>
      </w:pPr>
      <w:r>
        <w:rPr>
          <w:rStyle w:val="FootnoteReference"/>
        </w:rPr>
        <w:footnoteRef/>
      </w:r>
      <w:r>
        <w:t xml:space="preserve">  MacCarthy, F. (2002), </w:t>
      </w:r>
      <w:r w:rsidRPr="008B07BE">
        <w:rPr>
          <w:i/>
        </w:rPr>
        <w:t>Byron: Life and Legend</w:t>
      </w:r>
      <w:r w:rsidR="00D5221F">
        <w:t xml:space="preserve">, London: Murray: </w:t>
      </w:r>
      <w:r>
        <w:t>494.</w:t>
      </w:r>
    </w:p>
  </w:footnote>
  <w:footnote w:id="11">
    <w:p w:rsidR="00F57F0E" w:rsidRDefault="00F57F0E">
      <w:pPr>
        <w:pStyle w:val="FootnoteText"/>
      </w:pPr>
      <w:r>
        <w:rPr>
          <w:rStyle w:val="FootnoteReference"/>
        </w:rPr>
        <w:footnoteRef/>
      </w:r>
      <w:r>
        <w:t xml:space="preserve"> Rosen, F. (1992), </w:t>
      </w:r>
      <w:r w:rsidRPr="00C15E90">
        <w:rPr>
          <w:i/>
        </w:rPr>
        <w:t>Bentham, Byron, and Greece: Constitutionalism, Nationalism, and Early Liberal Political</w:t>
      </w:r>
      <w:r w:rsidRPr="00C15E90">
        <w:t xml:space="preserve"> </w:t>
      </w:r>
      <w:r w:rsidRPr="00C15E90">
        <w:rPr>
          <w:i/>
        </w:rPr>
        <w:t>Thought</w:t>
      </w:r>
      <w:r w:rsidR="00D5221F">
        <w:t xml:space="preserve">, Oxford: Clarendon: </w:t>
      </w:r>
      <w:r>
        <w:t>193.</w:t>
      </w:r>
    </w:p>
  </w:footnote>
  <w:footnote w:id="12">
    <w:p w:rsidR="00F57F0E" w:rsidRDefault="00F57F0E">
      <w:pPr>
        <w:pStyle w:val="FootnoteText"/>
      </w:pPr>
      <w:r>
        <w:rPr>
          <w:rStyle w:val="FootnoteReference"/>
        </w:rPr>
        <w:footnoteRef/>
      </w:r>
      <w:r>
        <w:t xml:space="preserve">  Beaton, R. (2013), </w:t>
      </w:r>
      <w:r w:rsidRPr="00CC4681">
        <w:rPr>
          <w:i/>
        </w:rPr>
        <w:t>Byron’s War: Romantic Rebellion, Greek Revolution</w:t>
      </w:r>
      <w:r>
        <w:t>, Cambrid</w:t>
      </w:r>
      <w:r w:rsidR="00D5221F">
        <w:t xml:space="preserve">ge: Cambridge University Press: </w:t>
      </w:r>
      <w:r>
        <w:t>197. Praidis to Mavrokordatos, 22 November/4 December 1823.</w:t>
      </w:r>
    </w:p>
  </w:footnote>
  <w:footnote w:id="13">
    <w:p w:rsidR="00F57F0E" w:rsidRDefault="00F57F0E">
      <w:pPr>
        <w:pStyle w:val="FootnoteText"/>
      </w:pPr>
      <w:r>
        <w:rPr>
          <w:rStyle w:val="FootnoteReference"/>
        </w:rPr>
        <w:footnoteRef/>
      </w:r>
      <w:r>
        <w:t xml:space="preserve"> From 1885 to 1964, the painting was mistakenly called ‘Greece Expiring on the Ruins of Missolonghi’. See Johnson, L. (1981), </w:t>
      </w:r>
      <w:r w:rsidRPr="00343815">
        <w:rPr>
          <w:i/>
        </w:rPr>
        <w:t>The Paintings of Eugène Delacroix: A Critical Catalogue 1816-1831</w:t>
      </w:r>
      <w:r w:rsidR="00D5221F">
        <w:t xml:space="preserve">, 2 vols, Oxford: Clarendon, I: </w:t>
      </w:r>
      <w:r>
        <w:t xml:space="preserve">69-71. Johnson notes that it ‘has been suggested Delacroix painted this canvas as a memorial to [Byron]’, and that the hand which emerges from the ruins in the painting may have been influenced by the dead Selim’s hand in </w:t>
      </w:r>
      <w:r w:rsidRPr="00D13E20">
        <w:rPr>
          <w:i/>
        </w:rPr>
        <w:t>The Bride of Abydos</w:t>
      </w:r>
      <w:r>
        <w:t xml:space="preserve"> (2.607-8). But Johnson concludes that ‘there is no firm evidence for believing that this picture was intended to be more than a tribute to Greece alone, conceived in much the same circumstances as Picasso’s </w:t>
      </w:r>
      <w:r w:rsidRPr="00D13E20">
        <w:rPr>
          <w:i/>
        </w:rPr>
        <w:t>Guernica</w:t>
      </w:r>
      <w:r>
        <w:t>, under the shock of recent catastrophic war news’.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E" w:rsidRDefault="00F57F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330412"/>
      <w:docPartObj>
        <w:docPartGallery w:val="Page Numbers (Top of Page)"/>
        <w:docPartUnique/>
      </w:docPartObj>
    </w:sdtPr>
    <w:sdtEndPr>
      <w:rPr>
        <w:noProof/>
      </w:rPr>
    </w:sdtEndPr>
    <w:sdtContent>
      <w:p w:rsidR="00F57F0E" w:rsidRDefault="00F57F0E">
        <w:pPr>
          <w:pStyle w:val="Header"/>
          <w:jc w:val="center"/>
        </w:pPr>
        <w:r>
          <w:fldChar w:fldCharType="begin"/>
        </w:r>
        <w:r>
          <w:instrText xml:space="preserve"> PAGE   \* MERGEFORMAT </w:instrText>
        </w:r>
        <w:r>
          <w:fldChar w:fldCharType="separate"/>
        </w:r>
        <w:r w:rsidR="009B331A">
          <w:rPr>
            <w:noProof/>
          </w:rPr>
          <w:t>10</w:t>
        </w:r>
        <w:r>
          <w:rPr>
            <w:noProof/>
          </w:rPr>
          <w:fldChar w:fldCharType="end"/>
        </w:r>
      </w:p>
    </w:sdtContent>
  </w:sdt>
  <w:p w:rsidR="00F57F0E" w:rsidRDefault="00F57F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E" w:rsidRDefault="00F57F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48C3"/>
    <w:rsid w:val="00000490"/>
    <w:rsid w:val="00006D9B"/>
    <w:rsid w:val="00010E69"/>
    <w:rsid w:val="0001150C"/>
    <w:rsid w:val="00020CC6"/>
    <w:rsid w:val="00022645"/>
    <w:rsid w:val="00024496"/>
    <w:rsid w:val="00025DFB"/>
    <w:rsid w:val="000265A3"/>
    <w:rsid w:val="00051BBE"/>
    <w:rsid w:val="0005319A"/>
    <w:rsid w:val="00061395"/>
    <w:rsid w:val="000705F6"/>
    <w:rsid w:val="00072E41"/>
    <w:rsid w:val="000801CC"/>
    <w:rsid w:val="00081000"/>
    <w:rsid w:val="000C06C3"/>
    <w:rsid w:val="000F5C9A"/>
    <w:rsid w:val="001079E9"/>
    <w:rsid w:val="001118C1"/>
    <w:rsid w:val="001119B9"/>
    <w:rsid w:val="001123BB"/>
    <w:rsid w:val="00117BD3"/>
    <w:rsid w:val="00123A7E"/>
    <w:rsid w:val="001706B3"/>
    <w:rsid w:val="00177160"/>
    <w:rsid w:val="001821EF"/>
    <w:rsid w:val="001A1CFE"/>
    <w:rsid w:val="001B7165"/>
    <w:rsid w:val="001D74FD"/>
    <w:rsid w:val="001E4CB1"/>
    <w:rsid w:val="001E60AA"/>
    <w:rsid w:val="001F2A8F"/>
    <w:rsid w:val="002148C3"/>
    <w:rsid w:val="002171A8"/>
    <w:rsid w:val="002600AE"/>
    <w:rsid w:val="002666D7"/>
    <w:rsid w:val="00291E60"/>
    <w:rsid w:val="002D355F"/>
    <w:rsid w:val="002E29C9"/>
    <w:rsid w:val="00321CE1"/>
    <w:rsid w:val="00343815"/>
    <w:rsid w:val="00355603"/>
    <w:rsid w:val="00355B5E"/>
    <w:rsid w:val="00374F9D"/>
    <w:rsid w:val="003759A1"/>
    <w:rsid w:val="003839E6"/>
    <w:rsid w:val="00385ABA"/>
    <w:rsid w:val="00385B31"/>
    <w:rsid w:val="003A4EDA"/>
    <w:rsid w:val="003F21C4"/>
    <w:rsid w:val="00417B11"/>
    <w:rsid w:val="00423EEF"/>
    <w:rsid w:val="00465B83"/>
    <w:rsid w:val="00467002"/>
    <w:rsid w:val="00487C21"/>
    <w:rsid w:val="00495AEC"/>
    <w:rsid w:val="004A5E39"/>
    <w:rsid w:val="004C31E4"/>
    <w:rsid w:val="004C7C33"/>
    <w:rsid w:val="004E3323"/>
    <w:rsid w:val="004F1EF2"/>
    <w:rsid w:val="00501D17"/>
    <w:rsid w:val="00505BA7"/>
    <w:rsid w:val="00507E53"/>
    <w:rsid w:val="00515B4A"/>
    <w:rsid w:val="00557CB7"/>
    <w:rsid w:val="005A622B"/>
    <w:rsid w:val="005B29FE"/>
    <w:rsid w:val="005D2CD4"/>
    <w:rsid w:val="005E54B3"/>
    <w:rsid w:val="0061675D"/>
    <w:rsid w:val="00632AFE"/>
    <w:rsid w:val="006335FF"/>
    <w:rsid w:val="00635747"/>
    <w:rsid w:val="00666E51"/>
    <w:rsid w:val="006B0B15"/>
    <w:rsid w:val="006C3FAE"/>
    <w:rsid w:val="006F587C"/>
    <w:rsid w:val="00713B91"/>
    <w:rsid w:val="00714B87"/>
    <w:rsid w:val="007616D7"/>
    <w:rsid w:val="007910F2"/>
    <w:rsid w:val="00792DBE"/>
    <w:rsid w:val="007C0466"/>
    <w:rsid w:val="007C4A67"/>
    <w:rsid w:val="007D560F"/>
    <w:rsid w:val="007F497A"/>
    <w:rsid w:val="00813FF7"/>
    <w:rsid w:val="00816021"/>
    <w:rsid w:val="00856C07"/>
    <w:rsid w:val="00874661"/>
    <w:rsid w:val="0088111A"/>
    <w:rsid w:val="00882399"/>
    <w:rsid w:val="008A1DCF"/>
    <w:rsid w:val="008A3591"/>
    <w:rsid w:val="008A72D7"/>
    <w:rsid w:val="008A77C6"/>
    <w:rsid w:val="008B07BE"/>
    <w:rsid w:val="008C020D"/>
    <w:rsid w:val="008D0875"/>
    <w:rsid w:val="008D15E5"/>
    <w:rsid w:val="008D2098"/>
    <w:rsid w:val="008F46A0"/>
    <w:rsid w:val="00900046"/>
    <w:rsid w:val="009207F9"/>
    <w:rsid w:val="00933FF5"/>
    <w:rsid w:val="00956569"/>
    <w:rsid w:val="0095756A"/>
    <w:rsid w:val="0097745A"/>
    <w:rsid w:val="009A57D2"/>
    <w:rsid w:val="009B331A"/>
    <w:rsid w:val="009B5FD0"/>
    <w:rsid w:val="00A034A6"/>
    <w:rsid w:val="00A06A4C"/>
    <w:rsid w:val="00A60F23"/>
    <w:rsid w:val="00A7061D"/>
    <w:rsid w:val="00A96869"/>
    <w:rsid w:val="00A969DE"/>
    <w:rsid w:val="00AB7B1E"/>
    <w:rsid w:val="00AC3ED3"/>
    <w:rsid w:val="00AD6CA4"/>
    <w:rsid w:val="00B0400D"/>
    <w:rsid w:val="00B51F4F"/>
    <w:rsid w:val="00BA4FE6"/>
    <w:rsid w:val="00BC7263"/>
    <w:rsid w:val="00BE3F0F"/>
    <w:rsid w:val="00BF47B8"/>
    <w:rsid w:val="00BF4AEC"/>
    <w:rsid w:val="00C07E3A"/>
    <w:rsid w:val="00C15E90"/>
    <w:rsid w:val="00C44E6C"/>
    <w:rsid w:val="00C455A1"/>
    <w:rsid w:val="00C5410A"/>
    <w:rsid w:val="00C662F9"/>
    <w:rsid w:val="00C84E15"/>
    <w:rsid w:val="00CC4681"/>
    <w:rsid w:val="00CD2DBE"/>
    <w:rsid w:val="00CE78C7"/>
    <w:rsid w:val="00D13E20"/>
    <w:rsid w:val="00D21B15"/>
    <w:rsid w:val="00D36D02"/>
    <w:rsid w:val="00D5221F"/>
    <w:rsid w:val="00D545DA"/>
    <w:rsid w:val="00D76996"/>
    <w:rsid w:val="00D76D6F"/>
    <w:rsid w:val="00D84A09"/>
    <w:rsid w:val="00DC7CEB"/>
    <w:rsid w:val="00E46B64"/>
    <w:rsid w:val="00EA2DFF"/>
    <w:rsid w:val="00EE7A01"/>
    <w:rsid w:val="00EF1C53"/>
    <w:rsid w:val="00F01B35"/>
    <w:rsid w:val="00F5203D"/>
    <w:rsid w:val="00F57F0E"/>
    <w:rsid w:val="00F67A96"/>
    <w:rsid w:val="00F93DDD"/>
    <w:rsid w:val="00FA479D"/>
    <w:rsid w:val="00FB2157"/>
    <w:rsid w:val="00FD746D"/>
    <w:rsid w:val="00FF5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F4AEC"/>
    <w:pPr>
      <w:spacing w:line="240" w:lineRule="auto"/>
    </w:pPr>
    <w:rPr>
      <w:sz w:val="20"/>
      <w:szCs w:val="20"/>
    </w:rPr>
  </w:style>
  <w:style w:type="character" w:customStyle="1" w:styleId="FootnoteTextChar">
    <w:name w:val="Footnote Text Char"/>
    <w:basedOn w:val="DefaultParagraphFont"/>
    <w:link w:val="FootnoteText"/>
    <w:uiPriority w:val="99"/>
    <w:semiHidden/>
    <w:rsid w:val="00BF4AEC"/>
    <w:rPr>
      <w:sz w:val="20"/>
      <w:szCs w:val="20"/>
    </w:rPr>
  </w:style>
  <w:style w:type="character" w:styleId="FootnoteReference">
    <w:name w:val="footnote reference"/>
    <w:basedOn w:val="DefaultParagraphFont"/>
    <w:uiPriority w:val="99"/>
    <w:semiHidden/>
    <w:unhideWhenUsed/>
    <w:rsid w:val="00BF4AEC"/>
    <w:rPr>
      <w:vertAlign w:val="superscript"/>
    </w:rPr>
  </w:style>
  <w:style w:type="paragraph" w:styleId="BalloonText">
    <w:name w:val="Balloon Text"/>
    <w:basedOn w:val="Normal"/>
    <w:link w:val="BalloonTextChar"/>
    <w:uiPriority w:val="99"/>
    <w:semiHidden/>
    <w:unhideWhenUsed/>
    <w:rsid w:val="008D08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875"/>
    <w:rPr>
      <w:rFonts w:ascii="Tahoma" w:hAnsi="Tahoma" w:cs="Tahoma"/>
      <w:sz w:val="16"/>
      <w:szCs w:val="16"/>
    </w:rPr>
  </w:style>
  <w:style w:type="paragraph" w:styleId="Header">
    <w:name w:val="header"/>
    <w:basedOn w:val="Normal"/>
    <w:link w:val="HeaderChar"/>
    <w:uiPriority w:val="99"/>
    <w:unhideWhenUsed/>
    <w:rsid w:val="00B51F4F"/>
    <w:pPr>
      <w:tabs>
        <w:tab w:val="center" w:pos="4513"/>
        <w:tab w:val="right" w:pos="9026"/>
      </w:tabs>
      <w:spacing w:line="240" w:lineRule="auto"/>
    </w:pPr>
  </w:style>
  <w:style w:type="character" w:customStyle="1" w:styleId="HeaderChar">
    <w:name w:val="Header Char"/>
    <w:basedOn w:val="DefaultParagraphFont"/>
    <w:link w:val="Header"/>
    <w:uiPriority w:val="99"/>
    <w:rsid w:val="00B51F4F"/>
  </w:style>
  <w:style w:type="paragraph" w:styleId="Footer">
    <w:name w:val="footer"/>
    <w:basedOn w:val="Normal"/>
    <w:link w:val="FooterChar"/>
    <w:uiPriority w:val="99"/>
    <w:unhideWhenUsed/>
    <w:rsid w:val="00B51F4F"/>
    <w:pPr>
      <w:tabs>
        <w:tab w:val="center" w:pos="4513"/>
        <w:tab w:val="right" w:pos="9026"/>
      </w:tabs>
      <w:spacing w:line="240" w:lineRule="auto"/>
    </w:pPr>
  </w:style>
  <w:style w:type="character" w:customStyle="1" w:styleId="FooterChar">
    <w:name w:val="Footer Char"/>
    <w:basedOn w:val="DefaultParagraphFont"/>
    <w:link w:val="Footer"/>
    <w:uiPriority w:val="99"/>
    <w:rsid w:val="00B51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CCC9-B55C-41FB-9E88-6D805B85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5825F7AF.dotm</Template>
  <TotalTime>180</TotalTime>
  <Pages>15</Pages>
  <Words>4226</Words>
  <Characters>24093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28263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smjm1</dc:creator>
  <cp:lastModifiedBy>Stephen Minta</cp:lastModifiedBy>
  <cp:revision>15</cp:revision>
  <cp:lastPrinted>2015-04-15T10:46:00Z</cp:lastPrinted>
  <dcterms:created xsi:type="dcterms:W3CDTF">2015-04-08T18:25:00Z</dcterms:created>
  <dcterms:modified xsi:type="dcterms:W3CDTF">2015-04-15T12:23:00Z</dcterms:modified>
</cp:coreProperties>
</file>