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21"/>
        <w:tblW w:w="5000" w:type="pct"/>
        <w:tblLook w:val="04A0" w:firstRow="1" w:lastRow="0" w:firstColumn="1" w:lastColumn="0" w:noHBand="0" w:noVBand="1"/>
      </w:tblPr>
      <w:tblGrid>
        <w:gridCol w:w="1950"/>
        <w:gridCol w:w="5103"/>
        <w:gridCol w:w="2835"/>
        <w:gridCol w:w="1885"/>
        <w:gridCol w:w="2401"/>
      </w:tblGrid>
      <w:tr w:rsidR="00E37D49" w:rsidRPr="001E07DE" w:rsidTr="00281428">
        <w:tc>
          <w:tcPr>
            <w:tcW w:w="688" w:type="pct"/>
          </w:tcPr>
          <w:p w:rsidR="00E37D49" w:rsidRPr="001E07DE" w:rsidRDefault="00E37D49" w:rsidP="00281428">
            <w:pPr>
              <w:rPr>
                <w:rFonts w:ascii="Cambria" w:eastAsia="Arial,Cambria" w:hAnsi="Cambria" w:cs="Arial"/>
                <w:b/>
                <w:sz w:val="20"/>
                <w:szCs w:val="20"/>
                <w:lang w:eastAsia="en-GB"/>
              </w:rPr>
            </w:pPr>
            <w:r w:rsidRPr="001E07DE">
              <w:rPr>
                <w:rFonts w:ascii="Cambria" w:eastAsia="Times New Roman" w:hAnsi="Cambria" w:cs="Arial"/>
                <w:b/>
                <w:color w:val="000000"/>
                <w:sz w:val="20"/>
                <w:szCs w:val="20"/>
                <w:lang w:eastAsia="en-GB"/>
              </w:rPr>
              <w:t>Study Identifier</w:t>
            </w:r>
          </w:p>
        </w:tc>
        <w:tc>
          <w:tcPr>
            <w:tcW w:w="1800" w:type="pct"/>
          </w:tcPr>
          <w:p w:rsidR="00E37D49" w:rsidRPr="001E07DE" w:rsidRDefault="00E37D49" w:rsidP="00281428">
            <w:pPr>
              <w:rPr>
                <w:rFonts w:ascii="Cambria" w:eastAsia="Arial Narrow" w:hAnsi="Cambria" w:cs="Arial Narrow"/>
                <w:b/>
                <w:sz w:val="20"/>
                <w:szCs w:val="20"/>
                <w:lang w:eastAsia="en-GB"/>
              </w:rPr>
            </w:pPr>
            <w:r w:rsidRPr="001E07DE">
              <w:rPr>
                <w:rFonts w:ascii="Cambria" w:eastAsia="Times New Roman" w:hAnsi="Cambria" w:cs="Arial"/>
                <w:b/>
                <w:color w:val="000000"/>
                <w:sz w:val="20"/>
                <w:szCs w:val="20"/>
                <w:lang w:eastAsia="en-GB"/>
              </w:rPr>
              <w:t>Aim</w:t>
            </w:r>
          </w:p>
        </w:tc>
        <w:tc>
          <w:tcPr>
            <w:tcW w:w="1000" w:type="pct"/>
          </w:tcPr>
          <w:p w:rsidR="00E37D49" w:rsidRPr="001E07DE" w:rsidRDefault="00E37D49" w:rsidP="00281428">
            <w:pPr>
              <w:ind w:left="360"/>
              <w:rPr>
                <w:rFonts w:ascii="Cambria" w:eastAsia="Times New Roman" w:hAnsi="Cambria" w:cs="Times New Roman"/>
                <w:b/>
                <w:sz w:val="20"/>
                <w:szCs w:val="20"/>
                <w:lang w:eastAsia="en-GB"/>
              </w:rPr>
            </w:pPr>
            <w:r w:rsidRPr="001E07DE">
              <w:rPr>
                <w:rFonts w:ascii="Cambria" w:eastAsia="Times New Roman" w:hAnsi="Cambria" w:cs="Arial"/>
                <w:b/>
                <w:color w:val="000000"/>
                <w:sz w:val="20"/>
                <w:szCs w:val="20"/>
                <w:lang w:eastAsia="en-GB"/>
              </w:rPr>
              <w:t>Method and population</w:t>
            </w:r>
          </w:p>
        </w:tc>
        <w:tc>
          <w:tcPr>
            <w:tcW w:w="665" w:type="pct"/>
          </w:tcPr>
          <w:p w:rsidR="00E37D49" w:rsidRPr="001E07DE" w:rsidRDefault="00E37D49" w:rsidP="00281428">
            <w:pPr>
              <w:ind w:left="360"/>
              <w:jc w:val="both"/>
              <w:rPr>
                <w:rFonts w:ascii="Cambria" w:eastAsia="Times New Roman" w:hAnsi="Cambria" w:cs="Times New Roman"/>
                <w:b/>
                <w:sz w:val="20"/>
                <w:szCs w:val="20"/>
                <w:lang w:eastAsia="en-GB"/>
              </w:rPr>
            </w:pPr>
            <w:r w:rsidRPr="001E07DE">
              <w:rPr>
                <w:rFonts w:ascii="Cambria" w:eastAsia="Times New Roman" w:hAnsi="Cambria" w:cs="Arial"/>
                <w:b/>
                <w:color w:val="000000"/>
                <w:sz w:val="20"/>
                <w:szCs w:val="20"/>
                <w:lang w:eastAsia="en-GB"/>
              </w:rPr>
              <w:t>Location</w:t>
            </w:r>
          </w:p>
        </w:tc>
        <w:tc>
          <w:tcPr>
            <w:tcW w:w="847" w:type="pct"/>
          </w:tcPr>
          <w:p w:rsidR="00E37D49" w:rsidRPr="001E07DE" w:rsidRDefault="00E37D49" w:rsidP="00281428">
            <w:pPr>
              <w:ind w:left="360"/>
              <w:rPr>
                <w:rFonts w:ascii="Cambria" w:eastAsia="Times New Roman" w:hAnsi="Cambria" w:cs="Times New Roman"/>
                <w:b/>
                <w:sz w:val="20"/>
                <w:szCs w:val="20"/>
                <w:lang w:eastAsia="en-GB"/>
              </w:rPr>
            </w:pPr>
            <w:r w:rsidRPr="001E07DE">
              <w:rPr>
                <w:rFonts w:ascii="Cambria" w:eastAsia="Times New Roman" w:hAnsi="Cambria" w:cs="Arial"/>
                <w:b/>
                <w:color w:val="000000"/>
                <w:sz w:val="20"/>
                <w:szCs w:val="20"/>
                <w:lang w:eastAsia="en-GB"/>
              </w:rPr>
              <w:t>Programme</w:t>
            </w:r>
          </w:p>
        </w:tc>
      </w:tr>
      <w:tr w:rsidR="00E37D49" w:rsidRPr="001E07DE" w:rsidTr="00281428">
        <w:tc>
          <w:tcPr>
            <w:tcW w:w="688" w:type="pct"/>
          </w:tcPr>
          <w:p w:rsidR="00E37D49" w:rsidRPr="001E07DE" w:rsidRDefault="00E37D49" w:rsidP="00281428">
            <w:pPr>
              <w:rPr>
                <w:rFonts w:ascii="Cambria" w:eastAsia="Cambria" w:hAnsi="Cambria" w:cs="Arial"/>
                <w:sz w:val="20"/>
                <w:szCs w:val="20"/>
                <w:lang w:eastAsia="en-GB"/>
              </w:rPr>
            </w:pPr>
            <w:r w:rsidRPr="001E07DE">
              <w:rPr>
                <w:rFonts w:ascii="Cambria" w:eastAsia="Arial,Cambria" w:hAnsi="Cambria" w:cs="Arial"/>
                <w:sz w:val="20"/>
                <w:szCs w:val="20"/>
                <w:lang w:eastAsia="en-GB"/>
              </w:rPr>
              <w:t>Allan (2004)</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Arial Narrow" w:hAnsi="Cambria" w:cs="Arial Narrow"/>
                <w:sz w:val="20"/>
                <w:szCs w:val="20"/>
                <w:lang w:eastAsia="en-GB"/>
              </w:rPr>
              <w:t>Which therapeutic approaches would be most effective with sexually violent children and how these approaches would inform practitioners about reasons children became sexually violent and what role parents played in intervention</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Social workers, psychologists, counsellors, psychiatrists and therapists.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Australia</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Times New Roman" w:hAnsi="Cambria" w:cs="Arial"/>
                <w:sz w:val="20"/>
                <w:szCs w:val="20"/>
                <w:lang w:eastAsia="en-GB"/>
              </w:rPr>
            </w:pPr>
            <w:r w:rsidRPr="001E07DE">
              <w:rPr>
                <w:rFonts w:ascii="Cambria" w:eastAsia="Arial,Cambria" w:hAnsi="Cambria" w:cs="Arial"/>
                <w:sz w:val="20"/>
                <w:szCs w:val="20"/>
                <w:lang w:eastAsia="en-GB"/>
              </w:rPr>
              <w:t>Allan (2006)</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To investigate experiences of therapeutic practitioners who worked with children identified as sexually violent.</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Social workers, psychologists, counsellors, psychiatrists and therapists.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Australia</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Cambria" w:hAnsi="Cambria" w:cs="Arial"/>
                <w:sz w:val="20"/>
                <w:szCs w:val="20"/>
                <w:lang w:eastAsia="en-GB"/>
              </w:rPr>
            </w:pPr>
            <w:r w:rsidRPr="001E07DE">
              <w:rPr>
                <w:rFonts w:ascii="Cambria" w:eastAsia="Arial,Cambria" w:hAnsi="Cambria" w:cs="Arial"/>
                <w:sz w:val="20"/>
                <w:szCs w:val="20"/>
                <w:lang w:eastAsia="en-GB"/>
              </w:rPr>
              <w:t xml:space="preserve">Belton et al (2014) </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To understand how manualised treatment programme for males aged 12-18 with harmful sexual behaviour (HSB) is used and experienced in a social care context.</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Young people and their parents or carers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Kingdom</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Change for Good</w:t>
            </w:r>
          </w:p>
        </w:tc>
      </w:tr>
      <w:tr w:rsidR="00E37D49" w:rsidRPr="001E07DE" w:rsidTr="00281428">
        <w:tc>
          <w:tcPr>
            <w:tcW w:w="688" w:type="pct"/>
          </w:tcPr>
          <w:p w:rsidR="00E37D49" w:rsidRPr="001E07DE" w:rsidRDefault="00E37D49" w:rsidP="00281428">
            <w:pPr>
              <w:rPr>
                <w:rFonts w:ascii="Cambria" w:eastAsia="Cambria" w:hAnsi="Cambria" w:cs="Arial"/>
                <w:sz w:val="20"/>
                <w:szCs w:val="20"/>
                <w:lang w:eastAsia="en-GB"/>
              </w:rPr>
            </w:pPr>
            <w:proofErr w:type="spellStart"/>
            <w:r w:rsidRPr="001E07DE">
              <w:rPr>
                <w:rFonts w:ascii="Cambria" w:eastAsia="Arial,Cambria" w:hAnsi="Cambria" w:cs="Arial"/>
                <w:sz w:val="20"/>
                <w:szCs w:val="20"/>
                <w:lang w:eastAsia="en-GB"/>
              </w:rPr>
              <w:t>Brogi</w:t>
            </w:r>
            <w:proofErr w:type="spellEnd"/>
            <w:r w:rsidRPr="001E07DE">
              <w:rPr>
                <w:rFonts w:ascii="Cambria" w:eastAsia="Arial,Cambria" w:hAnsi="Cambria" w:cs="Arial"/>
                <w:sz w:val="20"/>
                <w:szCs w:val="20"/>
                <w:lang w:eastAsia="en-GB"/>
              </w:rPr>
              <w:t xml:space="preserve"> &amp; Bagley (1998)</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 xml:space="preserve">To establish if </w:t>
            </w:r>
            <w:proofErr w:type="spellStart"/>
            <w:r w:rsidRPr="001E07DE">
              <w:rPr>
                <w:rFonts w:ascii="Cambria" w:eastAsia="Times New Roman" w:hAnsi="Cambria" w:cs="Arial"/>
                <w:color w:val="000000"/>
                <w:sz w:val="20"/>
                <w:szCs w:val="20"/>
                <w:shd w:val="clear" w:color="auto" w:fill="FFFFFF"/>
                <w:lang w:eastAsia="en-GB"/>
              </w:rPr>
              <w:t>Utting</w:t>
            </w:r>
            <w:proofErr w:type="spellEnd"/>
            <w:r w:rsidRPr="001E07DE">
              <w:rPr>
                <w:rFonts w:ascii="Cambria" w:eastAsia="Times New Roman" w:hAnsi="Cambria" w:cs="Arial"/>
                <w:color w:val="000000"/>
                <w:sz w:val="20"/>
                <w:szCs w:val="20"/>
                <w:shd w:val="clear" w:color="auto" w:fill="FFFFFF"/>
                <w:lang w:eastAsia="en-GB"/>
              </w:rPr>
              <w:t xml:space="preserve"> recommendations (Children in the Public Care, 1991) had been adopted, locally or nationally; and to investigate whether child and young adolescent victims of sexual abuse continue to be held along with disturbed and assaultive children and adolescents,</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Managers of secure residential centres for young people</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Kingdom</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Cambria" w:hAnsi="Cambria" w:cs="Arial"/>
                <w:sz w:val="20"/>
                <w:szCs w:val="20"/>
                <w:lang w:eastAsia="en-GB"/>
              </w:rPr>
            </w:pPr>
            <w:r w:rsidRPr="001E07DE">
              <w:rPr>
                <w:rFonts w:ascii="Cambria" w:eastAsia="Arial,Cambria" w:hAnsi="Cambria" w:cs="Arial"/>
                <w:sz w:val="20"/>
                <w:szCs w:val="20"/>
                <w:lang w:eastAsia="en-GB"/>
              </w:rPr>
              <w:t xml:space="preserve">Cheung &amp; </w:t>
            </w:r>
            <w:proofErr w:type="spellStart"/>
            <w:r w:rsidRPr="001E07DE">
              <w:rPr>
                <w:rFonts w:ascii="Cambria" w:eastAsia="Arial,Cambria" w:hAnsi="Cambria" w:cs="Arial"/>
                <w:sz w:val="20"/>
                <w:szCs w:val="20"/>
                <w:lang w:eastAsia="en-GB"/>
              </w:rPr>
              <w:t>Brandes</w:t>
            </w:r>
            <w:proofErr w:type="spellEnd"/>
            <w:r w:rsidRPr="001E07DE">
              <w:rPr>
                <w:rFonts w:ascii="Cambria" w:eastAsia="Arial,Cambria" w:hAnsi="Cambria" w:cs="Arial"/>
                <w:sz w:val="20"/>
                <w:szCs w:val="20"/>
                <w:lang w:eastAsia="en-GB"/>
              </w:rPr>
              <w:t xml:space="preserve"> (2011) </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To examine factors that service providers consider as effective components in programs that help young male sexual offenders to achieve rehabilitation.</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Service and treatment professionals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States</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Arial,Cambria" w:hAnsi="Cambria" w:cs="Arial"/>
                <w:sz w:val="20"/>
                <w:szCs w:val="20"/>
                <w:lang w:eastAsia="en-GB"/>
              </w:rPr>
              <w:t>Deacon (2015)</w:t>
            </w:r>
          </w:p>
        </w:tc>
        <w:tc>
          <w:tcPr>
            <w:tcW w:w="18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Times New Roman"/>
                <w:sz w:val="20"/>
                <w:szCs w:val="20"/>
                <w:lang w:eastAsia="en-GB"/>
              </w:rPr>
              <w:t>How CSCS deal with referrals of children with SHB; Reflections of social work (SW) practitioners when working with these families; User (parent/carer) views about how cases were managed; Parent/carer experience of SW interventions. Best practice recommendations to inform effective intervention by SW practitioners, and training to  be offered</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Social work practitioners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Kingdom</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Arial,Cambria" w:hAnsi="Cambria" w:cs="Arial"/>
                <w:sz w:val="20"/>
                <w:szCs w:val="20"/>
                <w:lang w:eastAsia="en-GB"/>
              </w:rPr>
              <w:t>Draper et al (2013)</w:t>
            </w:r>
          </w:p>
        </w:tc>
        <w:tc>
          <w:tcPr>
            <w:tcW w:w="18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Times New Roman"/>
                <w:sz w:val="20"/>
                <w:szCs w:val="20"/>
                <w:lang w:eastAsia="en-GB"/>
              </w:rPr>
              <w:t>To qualitatively evaluate the Fight with Insight (FWI) programme using a case-study approach</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FWI participants, parents of FWI participants, and comparison group of youth offenders who had only participated in CBT sessions, but not in alternative therapies, such as boxing.</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South Africa</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Fight With Insight</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Times New Roman" w:hAnsi="Cambria" w:cs="Times New Roman"/>
                <w:bCs/>
                <w:sz w:val="20"/>
                <w:szCs w:val="20"/>
                <w:lang w:eastAsia="en-GB"/>
              </w:rPr>
              <w:t xml:space="preserve">Duane et al (2002) </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 xml:space="preserve">To document changes in a group of parents’ psychological adjustment over the course of the NIAP Parents Group Programme and to explore the </w:t>
            </w:r>
            <w:r w:rsidRPr="001E07DE">
              <w:rPr>
                <w:rFonts w:ascii="Cambria" w:eastAsia="Times New Roman" w:hAnsi="Cambria" w:cs="Times New Roman"/>
                <w:sz w:val="20"/>
                <w:szCs w:val="20"/>
                <w:lang w:eastAsia="en-GB"/>
              </w:rPr>
              <w:lastRenderedPageBreak/>
              <w:t>psychological processes that underpin these changes.</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lastRenderedPageBreak/>
              <w:t xml:space="preserve">Parents attending psycho-educational support group for parents of adolescents who </w:t>
            </w:r>
            <w:r w:rsidRPr="001E07DE">
              <w:rPr>
                <w:rFonts w:ascii="Cambria" w:eastAsia="Times New Roman" w:hAnsi="Cambria" w:cs="Times New Roman"/>
                <w:sz w:val="20"/>
                <w:szCs w:val="20"/>
                <w:lang w:eastAsia="en-GB"/>
              </w:rPr>
              <w:lastRenderedPageBreak/>
              <w:t>have committed a sexual offence</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lastRenderedPageBreak/>
              <w:t>Ireland</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NIAP Parents Group Programme</w:t>
            </w:r>
          </w:p>
        </w:tc>
      </w:tr>
      <w:tr w:rsidR="00E37D49" w:rsidRPr="001E07DE" w:rsidTr="00281428">
        <w:tc>
          <w:tcPr>
            <w:tcW w:w="688" w:type="pct"/>
          </w:tcPr>
          <w:p w:rsidR="00E37D49" w:rsidRPr="001E07DE" w:rsidRDefault="00E37D49" w:rsidP="00281428">
            <w:pPr>
              <w:rPr>
                <w:rFonts w:ascii="Cambria" w:eastAsia="Cambria" w:hAnsi="Cambria" w:cs="Arial"/>
                <w:sz w:val="20"/>
                <w:szCs w:val="20"/>
                <w:lang w:eastAsia="en-GB"/>
              </w:rPr>
            </w:pPr>
            <w:r w:rsidRPr="001E07DE">
              <w:rPr>
                <w:rFonts w:ascii="Cambria" w:eastAsia="Arial,Cambria" w:hAnsi="Cambria" w:cs="Arial"/>
                <w:sz w:val="20"/>
                <w:szCs w:val="20"/>
                <w:lang w:eastAsia="en-GB"/>
              </w:rPr>
              <w:lastRenderedPageBreak/>
              <w:t>Farmer &amp;  Pollock (2003)</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To draw out key themes about management of problematic sexual behaviours in foster and residential care.</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Sexually abused and/or abusing young people aged 10 or over</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Kingdom</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Times New Roman" w:hAnsi="Cambria" w:cs="Arial"/>
                <w:sz w:val="20"/>
                <w:szCs w:val="20"/>
                <w:lang w:eastAsia="en-GB"/>
              </w:rPr>
            </w:pPr>
            <w:r w:rsidRPr="001E07DE">
              <w:rPr>
                <w:rFonts w:ascii="Cambria" w:eastAsia="Arial,Cambria" w:hAnsi="Cambria" w:cs="Arial"/>
                <w:sz w:val="20"/>
                <w:szCs w:val="20"/>
                <w:lang w:eastAsia="en-GB"/>
              </w:rPr>
              <w:t xml:space="preserve">Geary et al (2011) </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To identify consumer perspectives of strengths and weaknesses of programme delivery at three community treatment programmes for sexually abusive youth</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Adolescents plus a range of caregiver roles (parent, extended family member, step-parent, placement caregiver)</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New Zealand</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Cambria" w:hAnsi="Cambria" w:cs="Arial"/>
                <w:sz w:val="20"/>
                <w:szCs w:val="20"/>
                <w:lang w:eastAsia="en-GB"/>
              </w:rPr>
            </w:pPr>
            <w:r w:rsidRPr="001E07DE">
              <w:rPr>
                <w:rFonts w:ascii="Cambria" w:eastAsia="Arial,Cambria" w:hAnsi="Cambria" w:cs="Arial"/>
                <w:sz w:val="20"/>
                <w:szCs w:val="20"/>
                <w:lang w:eastAsia="en-GB"/>
              </w:rPr>
              <w:t>Green &amp; Masson (2002)</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To analyse a wide range of knowledge, attitudes and sexual behaviours of children in residential care</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Children, residential workers, managers and social workers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Kingdom</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Cambria" w:hAnsi="Cambria" w:cs="Arial"/>
                <w:sz w:val="20"/>
                <w:szCs w:val="20"/>
                <w:lang w:eastAsia="en-GB"/>
              </w:rPr>
            </w:pPr>
            <w:r w:rsidRPr="001E07DE">
              <w:rPr>
                <w:rFonts w:ascii="Cambria" w:eastAsia="Arial,Cambria" w:hAnsi="Cambria" w:cs="Arial"/>
                <w:sz w:val="20"/>
                <w:szCs w:val="20"/>
                <w:lang w:eastAsia="en-GB"/>
              </w:rPr>
              <w:t xml:space="preserve">Griffin et al (1997) </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To describe how group-based work with potentially isolated local professionals may help treatment program to maintain systemic perspective</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Group leaders participating in 30-week treatment programme</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Kingdom</w:t>
            </w:r>
          </w:p>
        </w:tc>
        <w:tc>
          <w:tcPr>
            <w:tcW w:w="847" w:type="pct"/>
          </w:tcPr>
          <w:p w:rsidR="00E37D49" w:rsidRPr="001E07DE" w:rsidRDefault="00E37D49" w:rsidP="00281428">
            <w:pPr>
              <w:rPr>
                <w:rFonts w:ascii="Cambria" w:eastAsia="Times New Roman" w:hAnsi="Cambria" w:cs="Arial"/>
                <w:sz w:val="20"/>
                <w:szCs w:val="20"/>
                <w:lang w:eastAsia="en-GB"/>
              </w:rPr>
            </w:pPr>
            <w:r w:rsidRPr="001E07DE">
              <w:rPr>
                <w:rFonts w:ascii="Cambria" w:eastAsia="Times New Roman" w:hAnsi="Cambria" w:cs="Arial"/>
                <w:sz w:val="20"/>
                <w:szCs w:val="20"/>
                <w:lang w:eastAsia="en-GB"/>
              </w:rPr>
              <w:t>Young Abusers Project’</w:t>
            </w:r>
          </w:p>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sz w:val="20"/>
                <w:szCs w:val="20"/>
                <w:lang w:eastAsia="en-GB"/>
              </w:rPr>
              <w:t>Group based programme</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Arial,Cambria" w:hAnsi="Cambria" w:cs="Arial"/>
                <w:sz w:val="20"/>
                <w:szCs w:val="20"/>
                <w:lang w:eastAsia="en-GB"/>
              </w:rPr>
              <w:t>Hall (2006)</w:t>
            </w:r>
          </w:p>
        </w:tc>
        <w:tc>
          <w:tcPr>
            <w:tcW w:w="18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Times New Roman"/>
                <w:sz w:val="20"/>
                <w:szCs w:val="20"/>
                <w:lang w:eastAsia="en-GB"/>
              </w:rPr>
              <w:t>To see how one social services department had responded to national guidance, issued in Working Together (</w:t>
            </w:r>
            <w:proofErr w:type="spellStart"/>
            <w:r w:rsidRPr="001E07DE">
              <w:rPr>
                <w:rFonts w:ascii="Cambria" w:eastAsia="Times New Roman" w:hAnsi="Cambria" w:cs="Times New Roman"/>
                <w:sz w:val="20"/>
                <w:szCs w:val="20"/>
                <w:lang w:eastAsia="en-GB"/>
              </w:rPr>
              <w:t>DoH</w:t>
            </w:r>
            <w:proofErr w:type="spellEnd"/>
            <w:r w:rsidRPr="001E07DE">
              <w:rPr>
                <w:rFonts w:ascii="Cambria" w:eastAsia="Times New Roman" w:hAnsi="Cambria" w:cs="Times New Roman"/>
                <w:sz w:val="20"/>
                <w:szCs w:val="20"/>
                <w:lang w:eastAsia="en-GB"/>
              </w:rPr>
              <w:t>, 1991),</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Social Workers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Kingdom</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Times New Roman" w:hAnsi="Cambria" w:cs="Arial"/>
                <w:sz w:val="20"/>
                <w:szCs w:val="20"/>
                <w:lang w:eastAsia="en-GB"/>
              </w:rPr>
            </w:pPr>
            <w:proofErr w:type="spellStart"/>
            <w:r w:rsidRPr="001E07DE">
              <w:rPr>
                <w:rFonts w:ascii="Cambria" w:eastAsia="Arial,Cambria" w:hAnsi="Cambria" w:cs="Arial"/>
                <w:sz w:val="20"/>
                <w:szCs w:val="20"/>
                <w:lang w:eastAsia="en-GB"/>
              </w:rPr>
              <w:t>Halse</w:t>
            </w:r>
            <w:proofErr w:type="spellEnd"/>
            <w:r w:rsidRPr="001E07DE">
              <w:rPr>
                <w:rFonts w:ascii="Cambria" w:eastAsia="Arial,Cambria" w:hAnsi="Cambria" w:cs="Arial"/>
                <w:sz w:val="20"/>
                <w:szCs w:val="20"/>
                <w:lang w:eastAsia="en-GB"/>
              </w:rPr>
              <w:t xml:space="preserve"> et al (2012)   </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 xml:space="preserve">To gain better understanding of treatment components </w:t>
            </w:r>
            <w:proofErr w:type="gramStart"/>
            <w:r w:rsidRPr="001E07DE">
              <w:rPr>
                <w:rFonts w:ascii="Cambria" w:eastAsia="Times New Roman" w:hAnsi="Cambria" w:cs="Arial"/>
                <w:color w:val="000000"/>
                <w:sz w:val="20"/>
                <w:szCs w:val="20"/>
                <w:shd w:val="clear" w:color="auto" w:fill="FFFFFF"/>
                <w:lang w:eastAsia="en-GB"/>
              </w:rPr>
              <w:t>that</w:t>
            </w:r>
            <w:proofErr w:type="gramEnd"/>
            <w:r w:rsidRPr="001E07DE">
              <w:rPr>
                <w:rFonts w:ascii="Cambria" w:eastAsia="Times New Roman" w:hAnsi="Cambria" w:cs="Arial"/>
                <w:color w:val="000000"/>
                <w:sz w:val="20"/>
                <w:szCs w:val="20"/>
                <w:shd w:val="clear" w:color="auto" w:fill="FFFFFF"/>
                <w:lang w:eastAsia="en-GB"/>
              </w:rPr>
              <w:t xml:space="preserve"> IASOs considered effective in eliciting positive changes, both personally and within family environment.</w:t>
            </w:r>
          </w:p>
        </w:tc>
        <w:tc>
          <w:tcPr>
            <w:tcW w:w="1000" w:type="pct"/>
          </w:tcPr>
          <w:p w:rsidR="00E37D49" w:rsidRPr="001E07DE" w:rsidRDefault="00E37D49" w:rsidP="00281428">
            <w:pPr>
              <w:rPr>
                <w:rFonts w:ascii="Cambria" w:eastAsia="Times New Roman" w:hAnsi="Cambria" w:cs="Times New Roman"/>
                <w:sz w:val="20"/>
                <w:szCs w:val="20"/>
                <w:lang w:eastAsia="en-GB"/>
              </w:rPr>
            </w:pPr>
            <w:proofErr w:type="spellStart"/>
            <w:r w:rsidRPr="001E07DE">
              <w:rPr>
                <w:rFonts w:ascii="Cambria" w:eastAsia="Times New Roman" w:hAnsi="Cambria" w:cs="Times New Roman"/>
                <w:sz w:val="20"/>
                <w:szCs w:val="20"/>
                <w:lang w:eastAsia="en-GB"/>
              </w:rPr>
              <w:t>Intrafamilial</w:t>
            </w:r>
            <w:proofErr w:type="spellEnd"/>
            <w:r w:rsidRPr="001E07DE">
              <w:rPr>
                <w:rFonts w:ascii="Cambria" w:eastAsia="Times New Roman" w:hAnsi="Cambria" w:cs="Times New Roman"/>
                <w:sz w:val="20"/>
                <w:szCs w:val="20"/>
                <w:lang w:eastAsia="en-GB"/>
              </w:rPr>
              <w:t xml:space="preserve"> Adolescent Sex Offenders'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Australia</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Times New Roman" w:hAnsi="Cambria" w:cs="Arial"/>
                <w:sz w:val="20"/>
                <w:szCs w:val="20"/>
                <w:lang w:eastAsia="en-GB"/>
              </w:rPr>
            </w:pPr>
            <w:r w:rsidRPr="001E07DE">
              <w:rPr>
                <w:rFonts w:ascii="Cambria" w:eastAsia="Times New Roman" w:hAnsi="Cambria" w:cs="Arial"/>
                <w:sz w:val="20"/>
                <w:szCs w:val="20"/>
                <w:lang w:eastAsia="en-GB"/>
              </w:rPr>
              <w:t>Jones (2014)</w:t>
            </w:r>
          </w:p>
        </w:tc>
        <w:tc>
          <w:tcPr>
            <w:tcW w:w="1800" w:type="pct"/>
          </w:tcPr>
          <w:p w:rsidR="00E37D49" w:rsidRPr="001E07DE" w:rsidRDefault="00E37D49" w:rsidP="00281428">
            <w:pPr>
              <w:contextualSpacing/>
              <w:rPr>
                <w:rFonts w:ascii="Cambria" w:eastAsia="Times New Roman" w:hAnsi="Cambria" w:cs="Times New Roman"/>
                <w:sz w:val="20"/>
                <w:szCs w:val="20"/>
                <w:lang w:eastAsia="en-GB"/>
              </w:rPr>
            </w:pPr>
            <w:r>
              <w:rPr>
                <w:rFonts w:ascii="Cambria" w:eastAsia="Times New Roman" w:hAnsi="Cambria" w:cs="Times New Roman"/>
                <w:sz w:val="20"/>
                <w:szCs w:val="20"/>
                <w:lang w:eastAsia="en-GB"/>
              </w:rPr>
              <w:t>T</w:t>
            </w:r>
            <w:r w:rsidRPr="001E07DE">
              <w:rPr>
                <w:rFonts w:ascii="Cambria" w:eastAsia="Times New Roman" w:hAnsi="Cambria" w:cs="Times New Roman"/>
                <w:sz w:val="20"/>
                <w:szCs w:val="20"/>
                <w:lang w:eastAsia="en-GB"/>
              </w:rPr>
              <w:t>o identify how parents of ASOs felt when they provided support to their child after his sexual offense</w:t>
            </w:r>
          </w:p>
          <w:p w:rsidR="00E37D49" w:rsidRPr="001E07DE" w:rsidRDefault="00E37D49" w:rsidP="00281428">
            <w:pPr>
              <w:contextualSpacing/>
              <w:rPr>
                <w:rFonts w:ascii="Cambria" w:eastAsia="Times New Roman" w:hAnsi="Cambria" w:cs="Times New Roman"/>
                <w:sz w:val="20"/>
                <w:szCs w:val="20"/>
                <w:lang w:eastAsia="en-GB"/>
              </w:rPr>
            </w:pPr>
            <w:r>
              <w:rPr>
                <w:rFonts w:ascii="Cambria" w:eastAsia="Times New Roman" w:hAnsi="Cambria" w:cs="Times New Roman"/>
                <w:sz w:val="20"/>
                <w:szCs w:val="20"/>
                <w:lang w:eastAsia="en-GB"/>
              </w:rPr>
              <w:t>T</w:t>
            </w:r>
            <w:r w:rsidRPr="001E07DE">
              <w:rPr>
                <w:rFonts w:ascii="Cambria" w:eastAsia="Times New Roman" w:hAnsi="Cambria" w:cs="Times New Roman"/>
                <w:sz w:val="20"/>
                <w:szCs w:val="20"/>
                <w:lang w:eastAsia="en-GB"/>
              </w:rPr>
              <w:t>o identify their lived experience and describe ways in which they coped with the emotional toll.</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Parents and parental figures of adolescents who have sexually offended (ASOs)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States</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proofErr w:type="spellStart"/>
            <w:r w:rsidRPr="001E07DE">
              <w:rPr>
                <w:rFonts w:ascii="Cambria" w:eastAsia="Times New Roman" w:hAnsi="Cambria" w:cs="Arial"/>
                <w:color w:val="000000"/>
                <w:sz w:val="20"/>
                <w:szCs w:val="20"/>
                <w:shd w:val="clear" w:color="auto" w:fill="FFFFFF"/>
                <w:lang w:eastAsia="en-GB"/>
              </w:rPr>
              <w:t>Ladwa</w:t>
            </w:r>
            <w:proofErr w:type="spellEnd"/>
            <w:r w:rsidRPr="001E07DE">
              <w:rPr>
                <w:rFonts w:ascii="Cambria" w:eastAsia="Times New Roman" w:hAnsi="Cambria" w:cs="Arial"/>
                <w:color w:val="000000"/>
                <w:sz w:val="20"/>
                <w:szCs w:val="20"/>
                <w:shd w:val="clear" w:color="auto" w:fill="FFFFFF"/>
                <w:lang w:eastAsia="en-GB"/>
              </w:rPr>
              <w:t>-Thomas &amp; Sanders (1999)</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To explore social worker definitions of abusive behaviour, views as to the causes of young people abusing others, social work intervention and personal resources needed to work with young abusers.</w:t>
            </w:r>
          </w:p>
        </w:tc>
        <w:tc>
          <w:tcPr>
            <w:tcW w:w="10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Arial"/>
                <w:color w:val="000000"/>
                <w:sz w:val="20"/>
                <w:szCs w:val="20"/>
                <w:shd w:val="clear" w:color="auto" w:fill="FFFFFF"/>
                <w:lang w:eastAsia="en-GB"/>
              </w:rPr>
              <w:t>Social workers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Kingdom</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proofErr w:type="spellStart"/>
            <w:r w:rsidRPr="001E07DE">
              <w:rPr>
                <w:rFonts w:ascii="Cambria" w:eastAsia="Arial,Cambria" w:hAnsi="Cambria" w:cs="Arial"/>
                <w:sz w:val="20"/>
                <w:szCs w:val="20"/>
                <w:lang w:eastAsia="en-GB"/>
              </w:rPr>
              <w:t>Lambie</w:t>
            </w:r>
            <w:proofErr w:type="spellEnd"/>
            <w:r w:rsidRPr="001E07DE">
              <w:rPr>
                <w:rFonts w:ascii="Cambria" w:eastAsia="Arial,Cambria" w:hAnsi="Cambria" w:cs="Arial"/>
                <w:sz w:val="20"/>
                <w:szCs w:val="20"/>
                <w:lang w:eastAsia="en-GB"/>
              </w:rPr>
              <w:t xml:space="preserve"> et al (2000)</w:t>
            </w:r>
          </w:p>
        </w:tc>
        <w:tc>
          <w:tcPr>
            <w:tcW w:w="18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Times New Roman"/>
                <w:sz w:val="20"/>
                <w:szCs w:val="20"/>
                <w:lang w:eastAsia="en-GB"/>
              </w:rPr>
              <w:t>To gather detailed information about clients’ experiences of the Wilderness programme</w:t>
            </w:r>
          </w:p>
        </w:tc>
        <w:tc>
          <w:tcPr>
            <w:tcW w:w="10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Arial"/>
                <w:color w:val="000000"/>
                <w:sz w:val="20"/>
                <w:szCs w:val="20"/>
                <w:shd w:val="clear" w:color="auto" w:fill="FFFFFF"/>
                <w:lang w:eastAsia="en-GB"/>
              </w:rPr>
              <w:t>Adolescent sexual offenders who had attended a community treatment programme</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New Zealand</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Outdoor wilderness group programme</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Arial,Cambria" w:hAnsi="Cambria" w:cs="Arial"/>
                <w:sz w:val="20"/>
                <w:szCs w:val="20"/>
                <w:lang w:eastAsia="en-GB"/>
              </w:rPr>
              <w:t>Lawson (2003)</w:t>
            </w:r>
          </w:p>
        </w:tc>
        <w:tc>
          <w:tcPr>
            <w:tcW w:w="1800" w:type="pct"/>
          </w:tcPr>
          <w:p w:rsidR="00E37D49" w:rsidRPr="001E07DE" w:rsidRDefault="00E37D49" w:rsidP="00281428">
            <w:pPr>
              <w:rPr>
                <w:rFonts w:ascii="Cambria" w:eastAsia="Times New Roman" w:hAnsi="Cambria" w:cs="Times New Roman"/>
                <w:color w:val="000000"/>
                <w:sz w:val="20"/>
                <w:szCs w:val="20"/>
                <w:shd w:val="clear" w:color="auto" w:fill="FFFFFF"/>
                <w:lang w:eastAsia="en-GB"/>
              </w:rPr>
            </w:pPr>
            <w:r w:rsidRPr="001E07DE">
              <w:rPr>
                <w:rFonts w:ascii="Cambria" w:eastAsia="Times New Roman" w:hAnsi="Cambria" w:cs="Times New Roman"/>
                <w:sz w:val="20"/>
                <w:szCs w:val="20"/>
                <w:lang w:eastAsia="en-GB"/>
              </w:rPr>
              <w:t>To explore treatment from the perspective of youths who have molested children.</w:t>
            </w:r>
          </w:p>
        </w:tc>
        <w:tc>
          <w:tcPr>
            <w:tcW w:w="1000" w:type="pct"/>
          </w:tcPr>
          <w:p w:rsidR="00E37D49" w:rsidRPr="001E07DE" w:rsidRDefault="00E37D49" w:rsidP="00281428">
            <w:pPr>
              <w:rPr>
                <w:rFonts w:ascii="Cambria" w:eastAsia="Times New Roman" w:hAnsi="Cambria" w:cs="Times New Roman"/>
                <w:color w:val="000000"/>
                <w:sz w:val="20"/>
                <w:szCs w:val="20"/>
                <w:shd w:val="clear" w:color="auto" w:fill="FFFFFF"/>
                <w:lang w:eastAsia="en-GB"/>
              </w:rPr>
            </w:pPr>
            <w:r w:rsidRPr="001E07DE">
              <w:rPr>
                <w:rFonts w:ascii="Cambria" w:eastAsia="Times New Roman" w:hAnsi="Cambria" w:cs="Times New Roman"/>
                <w:color w:val="000000"/>
                <w:sz w:val="20"/>
                <w:szCs w:val="20"/>
                <w:shd w:val="clear" w:color="auto" w:fill="FFFFFF"/>
                <w:lang w:eastAsia="en-GB"/>
              </w:rPr>
              <w:t>Youths who have molested children</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States</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Arial,Cambria" w:hAnsi="Cambria" w:cs="Arial"/>
                <w:sz w:val="20"/>
                <w:szCs w:val="20"/>
                <w:lang w:eastAsia="en-GB"/>
              </w:rPr>
              <w:t>Martin (2004)</w:t>
            </w:r>
          </w:p>
        </w:tc>
        <w:tc>
          <w:tcPr>
            <w:tcW w:w="18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Times New Roman"/>
                <w:color w:val="000000"/>
                <w:sz w:val="20"/>
                <w:szCs w:val="20"/>
                <w:shd w:val="clear" w:color="auto" w:fill="FFFFFF"/>
                <w:lang w:eastAsia="en-GB"/>
              </w:rPr>
              <w:t xml:space="preserve">To explore the experience of participants in a treatment program to obtain a better understanding of individual, </w:t>
            </w:r>
            <w:r w:rsidRPr="001E07DE">
              <w:rPr>
                <w:rFonts w:ascii="Cambria" w:eastAsia="Times New Roman" w:hAnsi="Cambria" w:cs="Times New Roman"/>
                <w:color w:val="000000"/>
                <w:sz w:val="20"/>
                <w:szCs w:val="20"/>
                <w:shd w:val="clear" w:color="auto" w:fill="FFFFFF"/>
                <w:lang w:eastAsia="en-GB"/>
              </w:rPr>
              <w:lastRenderedPageBreak/>
              <w:t>interpersonal, and social factors</w:t>
            </w:r>
          </w:p>
        </w:tc>
        <w:tc>
          <w:tcPr>
            <w:tcW w:w="10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Times New Roman"/>
                <w:color w:val="000000"/>
                <w:sz w:val="20"/>
                <w:szCs w:val="20"/>
                <w:shd w:val="clear" w:color="auto" w:fill="FFFFFF"/>
                <w:lang w:eastAsia="en-GB"/>
              </w:rPr>
              <w:lastRenderedPageBreak/>
              <w:t xml:space="preserve">Male adolescents (15-18), having completed treatment </w:t>
            </w:r>
            <w:r w:rsidRPr="001E07DE">
              <w:rPr>
                <w:rFonts w:ascii="Cambria" w:eastAsia="Times New Roman" w:hAnsi="Cambria" w:cs="Times New Roman"/>
                <w:color w:val="000000"/>
                <w:sz w:val="20"/>
                <w:szCs w:val="20"/>
                <w:shd w:val="clear" w:color="auto" w:fill="FFFFFF"/>
                <w:lang w:eastAsia="en-GB"/>
              </w:rPr>
              <w:lastRenderedPageBreak/>
              <w:t>program for adolescent sexual offenders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lastRenderedPageBreak/>
              <w:t>United States</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Arial,Cambria" w:hAnsi="Cambria" w:cs="Arial"/>
                <w:sz w:val="20"/>
                <w:szCs w:val="20"/>
                <w:lang w:eastAsia="en-GB"/>
              </w:rPr>
              <w:lastRenderedPageBreak/>
              <w:t xml:space="preserve">Miller (2011) </w:t>
            </w:r>
          </w:p>
        </w:tc>
        <w:tc>
          <w:tcPr>
            <w:tcW w:w="18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Arial"/>
                <w:color w:val="000000"/>
                <w:sz w:val="20"/>
                <w:szCs w:val="20"/>
                <w:shd w:val="clear" w:color="auto" w:fill="FFFFFF"/>
                <w:lang w:eastAsia="en-GB"/>
              </w:rPr>
              <w:t>To explore the process by which cultural meaning systems</w:t>
            </w:r>
            <w:r>
              <w:rPr>
                <w:rFonts w:ascii="Cambria" w:eastAsia="Times New Roman" w:hAnsi="Cambria" w:cs="Arial"/>
                <w:color w:val="000000"/>
                <w:sz w:val="20"/>
                <w:szCs w:val="20"/>
                <w:shd w:val="clear" w:color="auto" w:fill="FFFFFF"/>
                <w:lang w:eastAsia="en-GB"/>
              </w:rPr>
              <w:t xml:space="preserve"> </w:t>
            </w:r>
            <w:r w:rsidRPr="001E07DE">
              <w:rPr>
                <w:rFonts w:ascii="Cambria" w:eastAsia="Times New Roman" w:hAnsi="Cambria" w:cs="Arial"/>
                <w:color w:val="000000"/>
                <w:sz w:val="20"/>
                <w:szCs w:val="20"/>
                <w:shd w:val="clear" w:color="auto" w:fill="FFFFFF"/>
                <w:lang w:eastAsia="en-GB"/>
              </w:rPr>
              <w:t>have been made available to residents in their interactions with the adult ‘experts’ (i.e. the correctional staff) in this particular setting.</w:t>
            </w:r>
          </w:p>
        </w:tc>
        <w:tc>
          <w:tcPr>
            <w:tcW w:w="10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Arial"/>
                <w:color w:val="000000"/>
                <w:sz w:val="20"/>
                <w:szCs w:val="20"/>
                <w:shd w:val="clear" w:color="auto" w:fill="FFFFFF"/>
                <w:lang w:eastAsia="en-GB"/>
              </w:rPr>
              <w:t>Young women who have perpetrated sexual abuse</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States</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Think It Over program</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Arial,Cambria" w:hAnsi="Cambria" w:cs="Arial"/>
                <w:sz w:val="20"/>
                <w:szCs w:val="20"/>
                <w:lang w:eastAsia="en-GB"/>
              </w:rPr>
              <w:t>Muster (1992)</w:t>
            </w:r>
          </w:p>
        </w:tc>
        <w:tc>
          <w:tcPr>
            <w:tcW w:w="18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Arial"/>
                <w:color w:val="000000"/>
                <w:sz w:val="20"/>
                <w:szCs w:val="20"/>
                <w:shd w:val="clear" w:color="auto" w:fill="FFFFFF"/>
                <w:lang w:eastAsia="en-GB"/>
              </w:rPr>
              <w:t>To accumulate information on attitudes to confrontational versus sympathetic treatment methods</w:t>
            </w:r>
          </w:p>
        </w:tc>
        <w:tc>
          <w:tcPr>
            <w:tcW w:w="10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proofErr w:type="spellStart"/>
            <w:r w:rsidRPr="001E07DE">
              <w:rPr>
                <w:rFonts w:ascii="Cambria" w:eastAsia="Times New Roman" w:hAnsi="Cambria" w:cs="Arial"/>
                <w:color w:val="000000"/>
                <w:sz w:val="20"/>
                <w:szCs w:val="20"/>
                <w:shd w:val="clear" w:color="auto" w:fill="FFFFFF"/>
                <w:lang w:eastAsia="en-GB"/>
              </w:rPr>
              <w:t>Counselors</w:t>
            </w:r>
            <w:proofErr w:type="spellEnd"/>
            <w:r w:rsidRPr="001E07DE">
              <w:rPr>
                <w:rFonts w:ascii="Cambria" w:eastAsia="Times New Roman" w:hAnsi="Cambria" w:cs="Arial"/>
                <w:color w:val="000000"/>
                <w:sz w:val="20"/>
                <w:szCs w:val="20"/>
                <w:shd w:val="clear" w:color="auto" w:fill="FFFFFF"/>
                <w:lang w:eastAsia="en-GB"/>
              </w:rPr>
              <w:t xml:space="preserve"> and psychologists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States</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Arial,Cambria" w:hAnsi="Cambria" w:cs="Arial"/>
                <w:sz w:val="20"/>
                <w:szCs w:val="20"/>
                <w:lang w:eastAsia="en-GB"/>
              </w:rPr>
            </w:pPr>
            <w:r w:rsidRPr="001E07DE">
              <w:rPr>
                <w:rFonts w:ascii="Cambria" w:eastAsia="Arial,Cambria" w:hAnsi="Cambria" w:cs="Arial"/>
                <w:sz w:val="20"/>
                <w:szCs w:val="20"/>
                <w:lang w:eastAsia="en-GB"/>
              </w:rPr>
              <w:t>Pierce (2011)</w:t>
            </w:r>
          </w:p>
        </w:tc>
        <w:tc>
          <w:tcPr>
            <w:tcW w:w="1800" w:type="pct"/>
          </w:tcPr>
          <w:p w:rsidR="00E37D49" w:rsidRPr="001E07DE" w:rsidRDefault="00E37D49" w:rsidP="00281428">
            <w:pPr>
              <w:rPr>
                <w:rFonts w:ascii="Cambria" w:eastAsia="Times New Roman" w:hAnsi="Cambria" w:cs="Arial"/>
                <w:color w:val="000000"/>
                <w:sz w:val="20"/>
                <w:szCs w:val="20"/>
                <w:shd w:val="clear" w:color="auto" w:fill="FFFFFF"/>
                <w:lang w:eastAsia="en-GB"/>
              </w:rPr>
            </w:pPr>
            <w:r w:rsidRPr="001E07DE">
              <w:rPr>
                <w:rFonts w:ascii="Cambria" w:eastAsia="Times New Roman" w:hAnsi="Cambria" w:cs="Arial"/>
                <w:color w:val="000000"/>
                <w:sz w:val="20"/>
                <w:szCs w:val="20"/>
                <w:shd w:val="clear" w:color="auto" w:fill="FFFFFF"/>
                <w:lang w:eastAsia="en-GB"/>
              </w:rPr>
              <w:t>To describe the lived experience of parents of adolescents who had sexually offended.</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Parents/parental figures of adolescents legally adjudicated for sexual offenses and currently involved in sex offender-specific treatment.</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States</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Family Treatment Program (FTP)</w:t>
            </w:r>
          </w:p>
        </w:tc>
      </w:tr>
      <w:tr w:rsidR="00E37D49" w:rsidRPr="001E07DE" w:rsidTr="00281428">
        <w:tc>
          <w:tcPr>
            <w:tcW w:w="688" w:type="pct"/>
          </w:tcPr>
          <w:p w:rsidR="00E37D49" w:rsidRPr="001E07DE" w:rsidRDefault="00E37D49" w:rsidP="00281428">
            <w:pPr>
              <w:rPr>
                <w:rFonts w:ascii="Cambria" w:eastAsia="Times New Roman" w:hAnsi="Cambria" w:cs="Arial"/>
                <w:sz w:val="20"/>
                <w:szCs w:val="20"/>
                <w:lang w:eastAsia="en-GB"/>
              </w:rPr>
            </w:pPr>
            <w:r w:rsidRPr="001E07DE">
              <w:rPr>
                <w:rFonts w:ascii="Cambria" w:eastAsia="Arial,Cambria" w:hAnsi="Cambria" w:cs="Arial"/>
                <w:sz w:val="20"/>
                <w:szCs w:val="20"/>
                <w:lang w:eastAsia="en-GB"/>
              </w:rPr>
              <w:t>Slattery et al (2012)</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Arial"/>
                <w:color w:val="000000"/>
                <w:sz w:val="20"/>
                <w:szCs w:val="20"/>
                <w:shd w:val="clear" w:color="auto" w:fill="FFFFFF"/>
                <w:lang w:eastAsia="en-GB"/>
              </w:rPr>
              <w:t>To assess risks and needs of young males convicted of sexual offences, and piloted interventions to address these needs while in custody and following release in to community</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Convicted prisoners and remand prisoners (16-20 years)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Ireland</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Not specified</w:t>
            </w:r>
          </w:p>
        </w:tc>
      </w:tr>
      <w:tr w:rsidR="00E37D49" w:rsidRPr="001E07DE" w:rsidTr="00281428">
        <w:tc>
          <w:tcPr>
            <w:tcW w:w="688" w:type="pct"/>
          </w:tcPr>
          <w:p w:rsidR="00E37D49" w:rsidRPr="001E07DE" w:rsidRDefault="00E37D49" w:rsidP="00281428">
            <w:pPr>
              <w:rPr>
                <w:rFonts w:ascii="Cambria" w:eastAsia="Arial" w:hAnsi="Cambria" w:cs="Arial"/>
                <w:sz w:val="20"/>
                <w:szCs w:val="20"/>
                <w:lang w:eastAsia="en-GB"/>
              </w:rPr>
            </w:pPr>
            <w:proofErr w:type="spellStart"/>
            <w:r w:rsidRPr="001E07DE">
              <w:rPr>
                <w:rFonts w:ascii="Cambria" w:eastAsia="Arial" w:hAnsi="Cambria" w:cs="Arial"/>
                <w:sz w:val="20"/>
                <w:szCs w:val="20"/>
                <w:lang w:eastAsia="en-GB"/>
              </w:rPr>
              <w:t>Somervell</w:t>
            </w:r>
            <w:proofErr w:type="spellEnd"/>
            <w:r w:rsidRPr="001E07DE">
              <w:rPr>
                <w:rFonts w:ascii="Cambria" w:eastAsia="Arial" w:hAnsi="Cambria" w:cs="Arial"/>
                <w:sz w:val="20"/>
                <w:szCs w:val="20"/>
                <w:lang w:eastAsia="en-GB"/>
              </w:rPr>
              <w:t xml:space="preserve"> &amp; </w:t>
            </w:r>
            <w:proofErr w:type="spellStart"/>
            <w:r w:rsidRPr="001E07DE">
              <w:rPr>
                <w:rFonts w:ascii="Cambria" w:eastAsia="Arial" w:hAnsi="Cambria" w:cs="Arial"/>
                <w:sz w:val="20"/>
                <w:szCs w:val="20"/>
                <w:lang w:eastAsia="en-GB"/>
              </w:rPr>
              <w:t>Lambie</w:t>
            </w:r>
            <w:proofErr w:type="spellEnd"/>
            <w:r w:rsidRPr="001E07DE">
              <w:rPr>
                <w:rFonts w:ascii="Cambria" w:eastAsia="Arial" w:hAnsi="Cambria" w:cs="Arial"/>
                <w:sz w:val="20"/>
                <w:szCs w:val="20"/>
                <w:lang w:eastAsia="en-GB"/>
              </w:rPr>
              <w:t xml:space="preserve"> (2009</w:t>
            </w:r>
            <w:r w:rsidRPr="001E07DE">
              <w:rPr>
                <w:rFonts w:ascii="Cambria" w:eastAsia="Arial" w:hAnsi="Cambria" w:cs="Times New Roman"/>
                <w:sz w:val="20"/>
                <w:szCs w:val="20"/>
                <w:lang w:eastAsia="en-GB"/>
              </w:rPr>
              <w:t>)</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To explore the function of the WT camps and to theorize about the processes underlying this function.</w:t>
            </w:r>
          </w:p>
        </w:tc>
        <w:tc>
          <w:tcPr>
            <w:tcW w:w="1000" w:type="pct"/>
          </w:tcPr>
          <w:p w:rsidR="00E37D49" w:rsidRPr="001E07DE" w:rsidRDefault="00E37D49" w:rsidP="00281428">
            <w:pPr>
              <w:rPr>
                <w:rFonts w:ascii="Cambria" w:eastAsia="Times New Roman" w:hAnsi="Cambria" w:cs="Arial"/>
                <w:iCs/>
                <w:color w:val="000000"/>
                <w:sz w:val="20"/>
                <w:szCs w:val="20"/>
                <w:shd w:val="clear" w:color="auto" w:fill="FFFFFF"/>
                <w:lang w:eastAsia="en-GB"/>
              </w:rPr>
            </w:pPr>
            <w:r w:rsidRPr="001E07DE">
              <w:rPr>
                <w:rFonts w:ascii="Cambria" w:eastAsia="Times New Roman" w:hAnsi="Cambria" w:cs="Times New Roman"/>
                <w:sz w:val="20"/>
                <w:szCs w:val="20"/>
                <w:lang w:eastAsia="en-GB"/>
              </w:rPr>
              <w:t>Male adolescents from 1318 years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New Zealand</w:t>
            </w:r>
          </w:p>
        </w:tc>
        <w:tc>
          <w:tcPr>
            <w:tcW w:w="847" w:type="pct"/>
          </w:tcPr>
          <w:p w:rsidR="00E37D49" w:rsidRPr="001E07DE" w:rsidRDefault="00E37D49" w:rsidP="00281428">
            <w:pPr>
              <w:rPr>
                <w:rFonts w:ascii="Cambria" w:eastAsia="Times New Roman" w:hAnsi="Cambria" w:cs="Arial"/>
                <w:iCs/>
                <w:color w:val="000000"/>
                <w:sz w:val="20"/>
                <w:szCs w:val="20"/>
                <w:shd w:val="clear" w:color="auto" w:fill="FFFFFF"/>
                <w:lang w:eastAsia="en-GB"/>
              </w:rPr>
            </w:pPr>
            <w:r w:rsidRPr="001E07DE">
              <w:rPr>
                <w:rFonts w:ascii="Cambria" w:eastAsia="Times New Roman" w:hAnsi="Cambria" w:cs="Arial"/>
                <w:iCs/>
                <w:color w:val="000000"/>
                <w:sz w:val="20"/>
                <w:szCs w:val="20"/>
                <w:shd w:val="clear" w:color="auto" w:fill="FFFFFF"/>
                <w:lang w:eastAsia="en-GB"/>
              </w:rPr>
              <w:t>Wilderness Therapy (WT)</w:t>
            </w:r>
          </w:p>
        </w:tc>
      </w:tr>
      <w:tr w:rsidR="00E37D49" w:rsidRPr="001E07DE" w:rsidTr="00281428">
        <w:tc>
          <w:tcPr>
            <w:tcW w:w="688" w:type="pct"/>
          </w:tcPr>
          <w:p w:rsidR="00E37D49" w:rsidRPr="001E07DE" w:rsidRDefault="00E37D49" w:rsidP="00281428">
            <w:pPr>
              <w:rPr>
                <w:rFonts w:ascii="Cambria" w:eastAsia="Arial" w:hAnsi="Cambria" w:cs="Arial"/>
                <w:sz w:val="20"/>
                <w:szCs w:val="20"/>
                <w:lang w:eastAsia="en-GB"/>
              </w:rPr>
            </w:pPr>
            <w:r w:rsidRPr="001E07DE">
              <w:rPr>
                <w:rFonts w:ascii="Cambria" w:eastAsia="Arial" w:hAnsi="Cambria" w:cs="Arial"/>
                <w:sz w:val="20"/>
                <w:szCs w:val="20"/>
                <w:lang w:eastAsia="en-GB"/>
              </w:rPr>
              <w:t>Yoder (2013)</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To understand the process of family-inclusive treatment and to understand how families contribute to positive outcomes</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Approved Colorado treatment providers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 xml:space="preserve">United States </w:t>
            </w:r>
          </w:p>
        </w:tc>
        <w:tc>
          <w:tcPr>
            <w:tcW w:w="847" w:type="pct"/>
          </w:tcPr>
          <w:p w:rsidR="00E37D49" w:rsidRPr="001E07DE" w:rsidRDefault="00E37D49" w:rsidP="00281428">
            <w:pPr>
              <w:rPr>
                <w:rFonts w:ascii="Cambria" w:eastAsia="Times New Roman" w:hAnsi="Cambria" w:cs="Times New Roman"/>
                <w:color w:val="0D0D0D"/>
                <w:sz w:val="20"/>
                <w:szCs w:val="20"/>
                <w:lang w:eastAsia="en-GB"/>
              </w:rPr>
            </w:pPr>
            <w:r w:rsidRPr="001E07DE">
              <w:rPr>
                <w:rFonts w:ascii="Cambria" w:eastAsia="Times New Roman" w:hAnsi="Cambria" w:cs="Arial"/>
                <w:bCs/>
                <w:color w:val="0D0D0D"/>
                <w:sz w:val="20"/>
                <w:szCs w:val="20"/>
                <w:shd w:val="clear" w:color="auto" w:fill="F1F1F2"/>
                <w:lang w:eastAsia="en-GB"/>
              </w:rPr>
              <w:t>Functional Family Therapy (FFT)</w:t>
            </w:r>
          </w:p>
        </w:tc>
      </w:tr>
      <w:tr w:rsidR="00E37D49" w:rsidRPr="001E07DE" w:rsidTr="00281428">
        <w:tc>
          <w:tcPr>
            <w:tcW w:w="688" w:type="pct"/>
          </w:tcPr>
          <w:p w:rsidR="00E37D49" w:rsidRPr="001E07DE" w:rsidRDefault="00E37D49" w:rsidP="00281428">
            <w:pPr>
              <w:rPr>
                <w:rFonts w:ascii="Cambria" w:eastAsia="Times New Roman" w:hAnsi="Cambria" w:cs="Arial"/>
                <w:sz w:val="20"/>
                <w:szCs w:val="20"/>
                <w:lang w:eastAsia="en-GB"/>
              </w:rPr>
            </w:pPr>
            <w:r w:rsidRPr="001E07DE">
              <w:rPr>
                <w:rFonts w:ascii="Cambria" w:eastAsia="Arial" w:hAnsi="Cambria" w:cs="Arial"/>
                <w:sz w:val="20"/>
                <w:szCs w:val="20"/>
                <w:lang w:eastAsia="en-GB"/>
              </w:rPr>
              <w:t xml:space="preserve">Yoder &amp; </w:t>
            </w:r>
            <w:proofErr w:type="spellStart"/>
            <w:r w:rsidRPr="001E07DE">
              <w:rPr>
                <w:rFonts w:ascii="Cambria" w:eastAsia="Arial" w:hAnsi="Cambria" w:cs="Arial"/>
                <w:sz w:val="20"/>
                <w:szCs w:val="20"/>
                <w:lang w:eastAsia="en-GB"/>
              </w:rPr>
              <w:t>Ruch</w:t>
            </w:r>
            <w:proofErr w:type="spellEnd"/>
            <w:r w:rsidRPr="001E07DE">
              <w:rPr>
                <w:rFonts w:ascii="Cambria" w:eastAsia="Arial" w:hAnsi="Cambria" w:cs="Arial"/>
                <w:sz w:val="20"/>
                <w:szCs w:val="20"/>
                <w:lang w:eastAsia="en-GB"/>
              </w:rPr>
              <w:t xml:space="preserve"> (2015)</w:t>
            </w:r>
          </w:p>
        </w:tc>
        <w:tc>
          <w:tcPr>
            <w:tcW w:w="18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What strategies do service providers use to engage families in treatment of youth who have sexually offended?</w:t>
            </w:r>
          </w:p>
        </w:tc>
        <w:tc>
          <w:tcPr>
            <w:tcW w:w="1000"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Treatment providers and probation officers</w:t>
            </w:r>
          </w:p>
        </w:tc>
        <w:tc>
          <w:tcPr>
            <w:tcW w:w="665" w:type="pct"/>
          </w:tcPr>
          <w:p w:rsidR="00E37D49" w:rsidRPr="001E07DE" w:rsidRDefault="00E37D49" w:rsidP="00281428">
            <w:pPr>
              <w:jc w:val="both"/>
              <w:rPr>
                <w:rFonts w:ascii="Cambria" w:eastAsia="Times New Roman" w:hAnsi="Cambria" w:cs="Times New Roman"/>
                <w:sz w:val="20"/>
                <w:szCs w:val="20"/>
                <w:lang w:eastAsia="en-GB"/>
              </w:rPr>
            </w:pPr>
            <w:r w:rsidRPr="001E07DE">
              <w:rPr>
                <w:rFonts w:ascii="Cambria" w:eastAsia="Times New Roman" w:hAnsi="Cambria" w:cs="Times New Roman"/>
                <w:sz w:val="20"/>
                <w:szCs w:val="20"/>
                <w:lang w:eastAsia="en-GB"/>
              </w:rPr>
              <w:t>United States</w:t>
            </w:r>
          </w:p>
        </w:tc>
        <w:tc>
          <w:tcPr>
            <w:tcW w:w="847" w:type="pct"/>
          </w:tcPr>
          <w:p w:rsidR="00E37D49" w:rsidRPr="001E07DE" w:rsidRDefault="00E37D49" w:rsidP="00281428">
            <w:pPr>
              <w:rPr>
                <w:rFonts w:ascii="Cambria" w:eastAsia="Times New Roman" w:hAnsi="Cambria" w:cs="Times New Roman"/>
                <w:sz w:val="20"/>
                <w:szCs w:val="20"/>
                <w:lang w:eastAsia="en-GB"/>
              </w:rPr>
            </w:pPr>
            <w:r w:rsidRPr="001E07DE">
              <w:rPr>
                <w:rFonts w:ascii="Cambria" w:eastAsia="Times New Roman" w:hAnsi="Cambria" w:cs="Times New Roman"/>
                <w:sz w:val="20"/>
                <w:szCs w:val="20"/>
                <w:shd w:val="clear" w:color="auto" w:fill="F1F1F2"/>
                <w:lang w:eastAsia="en-GB"/>
              </w:rPr>
              <w:t>Functional Family Therapy (FFT)</w:t>
            </w:r>
          </w:p>
        </w:tc>
      </w:tr>
    </w:tbl>
    <w:p w:rsidR="00E91AEB" w:rsidRDefault="00E91AEB">
      <w:bookmarkStart w:id="0" w:name="_GoBack"/>
      <w:bookmarkEnd w:id="0"/>
    </w:p>
    <w:sectPr w:rsidR="00E91AEB" w:rsidSect="00E37D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Cambri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49"/>
    <w:rsid w:val="00E37D49"/>
    <w:rsid w:val="00E91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1">
    <w:name w:val="Table Grid121"/>
    <w:basedOn w:val="TableNormal"/>
    <w:next w:val="TableGrid"/>
    <w:uiPriority w:val="59"/>
    <w:rsid w:val="00E37D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3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1">
    <w:name w:val="Table Grid121"/>
    <w:basedOn w:val="TableNormal"/>
    <w:next w:val="TableGrid"/>
    <w:uiPriority w:val="59"/>
    <w:rsid w:val="00E37D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3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2018-03-16T11:49:00Z</dcterms:created>
  <dcterms:modified xsi:type="dcterms:W3CDTF">2018-03-16T11:56:00Z</dcterms:modified>
</cp:coreProperties>
</file>