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0029C" w14:textId="3451F106" w:rsidR="005B3A33" w:rsidRPr="00A761A3" w:rsidRDefault="00A761A3" w:rsidP="009F66EB">
      <w:pPr>
        <w:jc w:val="both"/>
      </w:pPr>
      <w:r w:rsidRPr="005A1E61">
        <w:rPr>
          <w:b/>
          <w:bCs/>
        </w:rPr>
        <w:t>Gaza Draft</w:t>
      </w:r>
      <w:r w:rsidRPr="005A1E61">
        <w:rPr>
          <w:b/>
          <w:bCs/>
          <w:vertAlign w:val="superscript"/>
        </w:rPr>
        <w:footnoteReference w:id="1"/>
      </w:r>
    </w:p>
    <w:p w14:paraId="6FD30DCD" w14:textId="2902D529" w:rsidR="00A761A3" w:rsidRPr="00A761A3" w:rsidRDefault="00A761A3" w:rsidP="006163BF">
      <w:pPr>
        <w:jc w:val="both"/>
        <w:rPr>
          <w:b/>
          <w:bCs/>
        </w:rPr>
      </w:pPr>
      <w:r w:rsidRPr="00A761A3">
        <w:rPr>
          <w:b/>
          <w:bCs/>
        </w:rPr>
        <w:t xml:space="preserve">Introduction </w:t>
      </w:r>
    </w:p>
    <w:p w14:paraId="01EFA154" w14:textId="6CB5B31A" w:rsidR="00562BB6" w:rsidRPr="005A1E61" w:rsidRDefault="006163BF">
      <w:pPr>
        <w:jc w:val="both"/>
        <w:rPr>
          <w:b/>
          <w:bCs/>
        </w:rPr>
      </w:pPr>
      <w:r w:rsidRPr="009F66EB">
        <w:t>Three years have passed</w:t>
      </w:r>
      <w:r w:rsidR="00A761A3" w:rsidRPr="009F66EB">
        <w:t xml:space="preserve"> since the conclusion of the latest military assault on the Gaza Strip</w:t>
      </w:r>
      <w:r w:rsidRPr="009F66EB">
        <w:t>.</w:t>
      </w:r>
      <w:r w:rsidR="00A761A3" w:rsidRPr="009F66EB">
        <w:t xml:space="preserve"> </w:t>
      </w:r>
      <w:r w:rsidRPr="009F66EB">
        <w:t>M</w:t>
      </w:r>
      <w:r w:rsidR="00A761A3" w:rsidRPr="009F66EB">
        <w:t xml:space="preserve">ost of the Palestinian enclave still lies in ruin. Many Gazans continue to lack permanent housing, </w:t>
      </w:r>
      <w:r w:rsidR="00304315" w:rsidRPr="009F66EB">
        <w:t>living in shelters</w:t>
      </w:r>
      <w:r w:rsidR="00A761A3" w:rsidRPr="009F66EB">
        <w:t xml:space="preserve"> and other forms of temporary </w:t>
      </w:r>
      <w:r w:rsidR="009F66EB" w:rsidRPr="005A1E61">
        <w:t>accommodation</w:t>
      </w:r>
      <w:r w:rsidR="00A761A3" w:rsidRPr="009F66EB">
        <w:t xml:space="preserve">. </w:t>
      </w:r>
      <w:r w:rsidR="005341AB">
        <w:t>A</w:t>
      </w:r>
      <w:r w:rsidR="005341AB" w:rsidRPr="009F66EB">
        <w:t>n absence of basic infrastructure—electricity, clean water, sewage treatment, and waste management—</w:t>
      </w:r>
      <w:r w:rsidR="005341AB">
        <w:t xml:space="preserve">has </w:t>
      </w:r>
      <w:r w:rsidR="005341AB" w:rsidRPr="009F66EB">
        <w:t>blight</w:t>
      </w:r>
      <w:r w:rsidR="005341AB">
        <w:t>ed</w:t>
      </w:r>
      <w:r w:rsidR="005341AB" w:rsidRPr="009F66EB">
        <w:t xml:space="preserve"> the daily lives of Gaza’s 1.9 million citizens.</w:t>
      </w:r>
      <w:r w:rsidR="005341AB" w:rsidRPr="009F66EB">
        <w:rPr>
          <w:rStyle w:val="FootnoteReference"/>
        </w:rPr>
        <w:footnoteReference w:id="2"/>
      </w:r>
      <w:r w:rsidR="005341AB" w:rsidRPr="009F66EB">
        <w:t xml:space="preserve"> </w:t>
      </w:r>
      <w:r w:rsidR="009F66EB" w:rsidRPr="00A761A3" w:rsidDel="003734DF">
        <w:t xml:space="preserve">While the reconstruction process trudges along, </w:t>
      </w:r>
      <w:r w:rsidR="001D52C6" w:rsidRPr="009F66EB">
        <w:t xml:space="preserve">a lack of employment opportunities </w:t>
      </w:r>
      <w:r w:rsidR="005341AB">
        <w:t>has left</w:t>
      </w:r>
      <w:r w:rsidR="005341AB" w:rsidRPr="009F66EB">
        <w:t xml:space="preserve"> </w:t>
      </w:r>
      <w:r w:rsidR="001D52C6" w:rsidRPr="009F66EB">
        <w:t>42 percent of the total population and 60 percent of Gaza’s youth</w:t>
      </w:r>
      <w:r w:rsidR="00544D1B" w:rsidRPr="009F66EB">
        <w:t xml:space="preserve"> </w:t>
      </w:r>
      <w:r w:rsidR="001D52C6" w:rsidRPr="009F66EB">
        <w:t>unemployed.</w:t>
      </w:r>
      <w:r w:rsidR="001D52C6" w:rsidRPr="009F66EB">
        <w:rPr>
          <w:rStyle w:val="FootnoteReference"/>
        </w:rPr>
        <w:footnoteReference w:id="3"/>
      </w:r>
      <w:r w:rsidR="001D52C6" w:rsidRPr="009F66EB">
        <w:t xml:space="preserve"> </w:t>
      </w:r>
      <w:r w:rsidR="009F66EB">
        <w:t xml:space="preserve"> </w:t>
      </w:r>
      <w:r w:rsidR="009F66EB" w:rsidRPr="00A761A3" w:rsidDel="003734DF">
        <w:t>Gaza can barely sustain the l</w:t>
      </w:r>
      <w:r w:rsidR="009F66EB">
        <w:t>ives of its current inhabitants.</w:t>
      </w:r>
      <w:r w:rsidR="009F66EB" w:rsidRPr="00A761A3" w:rsidDel="003734DF">
        <w:t xml:space="preserve"> </w:t>
      </w:r>
      <w:r w:rsidR="009F66EB">
        <w:t>W</w:t>
      </w:r>
      <w:r w:rsidR="009F66EB" w:rsidRPr="00A761A3" w:rsidDel="003734DF">
        <w:t>ith an annua</w:t>
      </w:r>
      <w:r w:rsidR="00945284">
        <w:t>l population growth of 2.4</w:t>
      </w:r>
      <w:r w:rsidR="009F66EB" w:rsidRPr="00A761A3" w:rsidDel="003734DF">
        <w:t xml:space="preserve"> percent, the situation in the Palestinian enclave </w:t>
      </w:r>
      <w:r w:rsidR="009F66EB">
        <w:t>is only becoming</w:t>
      </w:r>
      <w:r w:rsidR="009F66EB" w:rsidRPr="00A761A3" w:rsidDel="003734DF">
        <w:t xml:space="preserve"> increasingly grim </w:t>
      </w:r>
      <w:r w:rsidR="009F66EB">
        <w:t>as</w:t>
      </w:r>
      <w:r w:rsidR="009F66EB" w:rsidRPr="00A761A3" w:rsidDel="003734DF">
        <w:t xml:space="preserve"> humanitarian and reconstruction efforts </w:t>
      </w:r>
      <w:r w:rsidR="009F66EB">
        <w:t>fail to</w:t>
      </w:r>
      <w:r w:rsidR="009F66EB" w:rsidRPr="00A761A3" w:rsidDel="003734DF">
        <w:t xml:space="preserve"> expand.</w:t>
      </w:r>
      <w:r w:rsidR="009F66EB" w:rsidRPr="00A761A3" w:rsidDel="003734DF">
        <w:rPr>
          <w:vertAlign w:val="superscript"/>
        </w:rPr>
        <w:footnoteReference w:id="4"/>
      </w:r>
    </w:p>
    <w:p w14:paraId="0EC56E4E" w14:textId="0A992625" w:rsidR="00A761A3" w:rsidRPr="009F66EB" w:rsidRDefault="00562BB6" w:rsidP="005A1E61">
      <w:pPr>
        <w:jc w:val="both"/>
      </w:pPr>
      <w:r w:rsidRPr="009F66EB">
        <w:t>Meanwhile, t</w:t>
      </w:r>
      <w:r w:rsidR="00EE76AC" w:rsidRPr="009F66EB">
        <w:t>he enduring Israeli siege and naval blockade of Gaza exacerbates these problems, clos</w:t>
      </w:r>
      <w:r w:rsidR="005341AB">
        <w:t xml:space="preserve">ing </w:t>
      </w:r>
      <w:r w:rsidR="00EE76AC" w:rsidRPr="009F66EB">
        <w:t xml:space="preserve">Gaza off to the outside world. </w:t>
      </w:r>
      <w:r w:rsidR="00206F46" w:rsidRPr="009F66EB">
        <w:t xml:space="preserve"> </w:t>
      </w:r>
      <w:r w:rsidR="00A761A3" w:rsidRPr="009F66EB">
        <w:t xml:space="preserve">The conditions </w:t>
      </w:r>
      <w:r w:rsidR="006163BF" w:rsidRPr="009F66EB">
        <w:t xml:space="preserve">in </w:t>
      </w:r>
      <w:r w:rsidR="00A761A3" w:rsidRPr="009F66EB">
        <w:t>Gaza amount to those of an outdoor prison; a collective punishment that adds to the despair and frustration that arise</w:t>
      </w:r>
      <w:r w:rsidR="00206F46" w:rsidRPr="009F66EB">
        <w:t>s</w:t>
      </w:r>
      <w:r w:rsidR="00A761A3" w:rsidRPr="009F66EB">
        <w:t xml:space="preserve"> from the enduring Israeli occupation and the need for a political settlement to the Israeli-Palestinian conflict. While a final status agreement </w:t>
      </w:r>
      <w:r w:rsidR="00206F46" w:rsidRPr="009F66EB">
        <w:t xml:space="preserve">for peace </w:t>
      </w:r>
      <w:r w:rsidR="00A761A3" w:rsidRPr="009F66EB">
        <w:t xml:space="preserve">between the Israelis and Palestinians seems out of reach, the humanitarian problems posed by the substandard living conditions in Gaza require the attention of international actors associated with the peace process. If the living conditions in Gaza do not improve in the near future, the region will inevitably experience another round of conflict, more violent than the last. </w:t>
      </w:r>
    </w:p>
    <w:p w14:paraId="78A8EA7D" w14:textId="1BCEC428" w:rsidR="00C43533" w:rsidRPr="009F66EB" w:rsidRDefault="00007474" w:rsidP="006163BF">
      <w:pPr>
        <w:jc w:val="both"/>
      </w:pPr>
      <w:r w:rsidRPr="009F66EB">
        <w:t>This policy briefing examines the organization of the Gaza Reconstruction Mechanism (GRM)—the temporary tripartite agreement between the Palestinian Authority (PA), the Israeli government, and the United Nations</w:t>
      </w:r>
      <w:r w:rsidR="00032BAC" w:rsidRPr="005A1E61">
        <w:t xml:space="preserve"> (U</w:t>
      </w:r>
      <w:r w:rsidR="00253D75">
        <w:t>.</w:t>
      </w:r>
      <w:r w:rsidR="00032BAC" w:rsidRPr="005A1E61">
        <w:t>N</w:t>
      </w:r>
      <w:r w:rsidR="00253D75">
        <w:t>.</w:t>
      </w:r>
      <w:r w:rsidR="00032BAC" w:rsidRPr="005A1E61">
        <w:t>)</w:t>
      </w:r>
      <w:r w:rsidR="00304315" w:rsidRPr="009F66EB">
        <w:t xml:space="preserve"> that </w:t>
      </w:r>
      <w:r w:rsidR="006163BF" w:rsidRPr="009F66EB">
        <w:t xml:space="preserve">has </w:t>
      </w:r>
      <w:r w:rsidR="00304315" w:rsidRPr="009F66EB">
        <w:t>govern</w:t>
      </w:r>
      <w:r w:rsidR="006163BF" w:rsidRPr="009F66EB">
        <w:t>ed</w:t>
      </w:r>
      <w:r w:rsidR="00304315" w:rsidRPr="009F66EB">
        <w:t xml:space="preserve"> the reconstruction of Gaza </w:t>
      </w:r>
      <w:r w:rsidR="006163BF" w:rsidRPr="009F66EB">
        <w:t xml:space="preserve">since </w:t>
      </w:r>
      <w:r w:rsidR="00304315" w:rsidRPr="009F66EB">
        <w:t>the 2014 war</w:t>
      </w:r>
      <w:r w:rsidRPr="009F66EB">
        <w:t>.</w:t>
      </w:r>
      <w:r w:rsidR="00DD28E1" w:rsidRPr="009F66EB">
        <w:t xml:space="preserve"> It will describe the failures of the GRM, </w:t>
      </w:r>
      <w:r w:rsidR="00790546">
        <w:t>arguing that</w:t>
      </w:r>
      <w:r w:rsidR="00790546" w:rsidRPr="009F66EB">
        <w:t xml:space="preserve"> </w:t>
      </w:r>
      <w:r w:rsidR="00DD28E1" w:rsidRPr="009F66EB">
        <w:t xml:space="preserve">it </w:t>
      </w:r>
      <w:r w:rsidR="00C43533" w:rsidRPr="009F66EB">
        <w:t xml:space="preserve">has </w:t>
      </w:r>
      <w:r w:rsidR="00DD28E1" w:rsidRPr="009F66EB">
        <w:t>not advance</w:t>
      </w:r>
      <w:r w:rsidR="00C43533" w:rsidRPr="009F66EB">
        <w:t>d</w:t>
      </w:r>
      <w:r w:rsidR="00DD28E1" w:rsidRPr="009F66EB">
        <w:t xml:space="preserve"> the reconstruction of Gaza as originally intended. </w:t>
      </w:r>
      <w:r w:rsidR="00015AD8" w:rsidRPr="009F66EB">
        <w:t xml:space="preserve">Instead, the GRM </w:t>
      </w:r>
      <w:r w:rsidR="006163BF" w:rsidRPr="009F66EB">
        <w:t xml:space="preserve">has </w:t>
      </w:r>
      <w:r w:rsidR="00015AD8" w:rsidRPr="009F66EB">
        <w:t xml:space="preserve">not only hindered progress </w:t>
      </w:r>
      <w:r w:rsidR="006163BF" w:rsidRPr="009F66EB">
        <w:t>on</w:t>
      </w:r>
      <w:r w:rsidR="00015AD8" w:rsidRPr="009F66EB">
        <w:t xml:space="preserve"> reconstruction, but it </w:t>
      </w:r>
      <w:r w:rsidR="00C43533" w:rsidRPr="009F66EB">
        <w:t xml:space="preserve">has </w:t>
      </w:r>
      <w:r w:rsidR="00015AD8" w:rsidRPr="009F66EB">
        <w:t xml:space="preserve">also institutionalized the Israeli blockade. </w:t>
      </w:r>
    </w:p>
    <w:p w14:paraId="31EC7C02" w14:textId="0B8E1D9C" w:rsidR="00007474" w:rsidRPr="009F66EB" w:rsidRDefault="00DD28E1">
      <w:pPr>
        <w:jc w:val="both"/>
      </w:pPr>
      <w:r w:rsidRPr="00772E22">
        <w:t xml:space="preserve">The authors will conclude with several recommendations on how to </w:t>
      </w:r>
      <w:r w:rsidR="00562BB6" w:rsidRPr="00772E22">
        <w:t>dismantle and replace</w:t>
      </w:r>
      <w:r w:rsidRPr="00772E22">
        <w:t xml:space="preserve"> the GRM</w:t>
      </w:r>
      <w:r w:rsidR="00024274">
        <w:t>,</w:t>
      </w:r>
      <w:r w:rsidRPr="00772E22">
        <w:t xml:space="preserve"> </w:t>
      </w:r>
      <w:r w:rsidR="00253D75">
        <w:t>while</w:t>
      </w:r>
      <w:r w:rsidR="00253D75" w:rsidRPr="00772E22">
        <w:t xml:space="preserve"> </w:t>
      </w:r>
      <w:r w:rsidRPr="00772E22">
        <w:t>accounting for political shifts in the Israeli-Palestinian conflict</w:t>
      </w:r>
      <w:r w:rsidR="00C43533" w:rsidRPr="00772E22">
        <w:t xml:space="preserve"> and</w:t>
      </w:r>
      <w:r w:rsidRPr="00772E22">
        <w:t xml:space="preserve"> changes in global attitudes toward post-conflict reconstruction projects</w:t>
      </w:r>
      <w:r w:rsidR="00C43533" w:rsidRPr="00772E22">
        <w:t>. The briefing will also</w:t>
      </w:r>
      <w:r w:rsidRPr="00772E22">
        <w:t xml:space="preserve"> </w:t>
      </w:r>
      <w:r w:rsidR="00C43533" w:rsidRPr="00772E22">
        <w:t xml:space="preserve">suggest ways </w:t>
      </w:r>
      <w:r w:rsidRPr="00772E22">
        <w:t>to improve the quality of life for Gaza’s people. After all, despite the absence of a political solution to the conflict at</w:t>
      </w:r>
      <w:r w:rsidR="00253D75">
        <w:t xml:space="preserve"> </w:t>
      </w:r>
      <w:r w:rsidRPr="00772E22">
        <w:t xml:space="preserve">large, the international community should not lose sight of resolving </w:t>
      </w:r>
      <w:r w:rsidR="00253D75">
        <w:t xml:space="preserve">the </w:t>
      </w:r>
      <w:r w:rsidR="00D95877">
        <w:t>humanitarian crisi</w:t>
      </w:r>
      <w:r w:rsidRPr="00772E22">
        <w:t>s that continue</w:t>
      </w:r>
      <w:r w:rsidR="00253D75">
        <w:t>s</w:t>
      </w:r>
      <w:r w:rsidRPr="00772E22">
        <w:t xml:space="preserve"> to affect </w:t>
      </w:r>
      <w:r w:rsidR="00D95877">
        <w:t>the civilian population</w:t>
      </w:r>
      <w:r w:rsidRPr="00772E22">
        <w:t xml:space="preserve"> caught in the middle of</w:t>
      </w:r>
      <w:r w:rsidR="00253D75">
        <w:t xml:space="preserve"> an</w:t>
      </w:r>
      <w:r w:rsidRPr="00772E22">
        <w:t xml:space="preserve"> intractable political conflict.</w:t>
      </w:r>
      <w:r w:rsidRPr="009F66EB">
        <w:t xml:space="preserve">  </w:t>
      </w:r>
      <w:r w:rsidR="00A761A3" w:rsidRPr="009F66EB">
        <w:tab/>
      </w:r>
    </w:p>
    <w:p w14:paraId="036B1994" w14:textId="2825641C" w:rsidR="00DD28E1" w:rsidRPr="006163BF" w:rsidRDefault="00843669" w:rsidP="006163BF">
      <w:pPr>
        <w:jc w:val="both"/>
        <w:rPr>
          <w:b/>
          <w:bCs/>
        </w:rPr>
      </w:pPr>
      <w:r>
        <w:rPr>
          <w:b/>
          <w:bCs/>
        </w:rPr>
        <w:lastRenderedPageBreak/>
        <w:t>Impediments to Reconstruction</w:t>
      </w:r>
    </w:p>
    <w:p w14:paraId="75E21CA5" w14:textId="725C9A2A" w:rsidR="00EC662C" w:rsidRDefault="00A761A3" w:rsidP="00596326">
      <w:pPr>
        <w:jc w:val="both"/>
      </w:pPr>
      <w:r w:rsidRPr="00A761A3">
        <w:t xml:space="preserve">Several factors account for the slow reconstruction of Gaza. </w:t>
      </w:r>
      <w:r w:rsidR="00016117">
        <w:t>T</w:t>
      </w:r>
      <w:r w:rsidR="00016117" w:rsidRPr="00A761A3">
        <w:t xml:space="preserve">he </w:t>
      </w:r>
      <w:r w:rsidR="00016117">
        <w:t>first</w:t>
      </w:r>
      <w:r w:rsidR="00016117" w:rsidRPr="00A761A3">
        <w:t xml:space="preserve"> </w:t>
      </w:r>
      <w:r w:rsidR="00F72F84">
        <w:t xml:space="preserve">is </w:t>
      </w:r>
      <w:r w:rsidR="00016117" w:rsidRPr="00A761A3">
        <w:t>restrict</w:t>
      </w:r>
      <w:r w:rsidR="00F72F84">
        <w:t>ed</w:t>
      </w:r>
      <w:r w:rsidR="00016117" w:rsidRPr="00A761A3">
        <w:t xml:space="preserve"> access in</w:t>
      </w:r>
      <w:r w:rsidR="00196287">
        <w:t>to</w:t>
      </w:r>
      <w:r w:rsidR="00016117" w:rsidRPr="00A761A3">
        <w:t xml:space="preserve"> and out of the territory</w:t>
      </w:r>
      <w:r w:rsidR="009E3643">
        <w:t xml:space="preserve">, </w:t>
      </w:r>
      <w:r w:rsidR="009E3643" w:rsidRPr="00A761A3">
        <w:t>enforced by both Israeli and Egyptian authorities</w:t>
      </w:r>
      <w:r w:rsidR="00016117" w:rsidRPr="00A761A3">
        <w:t>. The Coordination of Government Activities in the Territories (COGAT), a unit of the Israeli Ministry of Defense, approve</w:t>
      </w:r>
      <w:r w:rsidR="00D95877">
        <w:t>s</w:t>
      </w:r>
      <w:r w:rsidR="00016117" w:rsidRPr="00A761A3">
        <w:t xml:space="preserve"> any construction or humanitarian convoys crossing into Gaza from two entry points: Kerem Shalom</w:t>
      </w:r>
      <w:r w:rsidR="009E3643">
        <w:t xml:space="preserve"> in the south</w:t>
      </w:r>
      <w:r w:rsidR="00016117" w:rsidRPr="00A761A3">
        <w:t xml:space="preserve"> for commercial goods and Erez in the north for people </w:t>
      </w:r>
      <w:r w:rsidR="00016117" w:rsidRPr="0030091A">
        <w:t xml:space="preserve">(see </w:t>
      </w:r>
      <w:r w:rsidR="00AB0065" w:rsidRPr="0030091A">
        <w:t>Figure</w:t>
      </w:r>
      <w:r w:rsidR="00623A51" w:rsidRPr="0030091A">
        <w:t xml:space="preserve"> </w:t>
      </w:r>
      <w:r w:rsidR="00623A51">
        <w:t>I</w:t>
      </w:r>
      <w:r w:rsidR="00016117">
        <w:t>)</w:t>
      </w:r>
      <w:r w:rsidR="00016117" w:rsidRPr="00A761A3">
        <w:t>.</w:t>
      </w:r>
      <w:r w:rsidR="00BA1DAA">
        <w:rPr>
          <w:rStyle w:val="FootnoteReference"/>
        </w:rPr>
        <w:footnoteReference w:id="5"/>
      </w:r>
      <w:r w:rsidR="00016117" w:rsidRPr="00A761A3">
        <w:t xml:space="preserve"> </w:t>
      </w:r>
      <w:r w:rsidR="009E3643" w:rsidRPr="00A761A3">
        <w:t>Egypt</w:t>
      </w:r>
      <w:r w:rsidR="009E3643">
        <w:t>ian authorities control access via</w:t>
      </w:r>
      <w:r w:rsidR="009E3643" w:rsidRPr="00A761A3">
        <w:t xml:space="preserve"> </w:t>
      </w:r>
      <w:r w:rsidR="009E3643">
        <w:t xml:space="preserve">the </w:t>
      </w:r>
      <w:r w:rsidR="00016117" w:rsidRPr="00A761A3">
        <w:t>Rafah border crossing</w:t>
      </w:r>
      <w:r w:rsidR="009E3643">
        <w:t>,</w:t>
      </w:r>
      <w:r w:rsidR="00786D5B">
        <w:t xml:space="preserve"> which was </w:t>
      </w:r>
      <w:r w:rsidR="00016117" w:rsidRPr="00A761A3">
        <w:t>only opened for 32 days in 2015</w:t>
      </w:r>
      <w:r w:rsidR="00196287">
        <w:t>,</w:t>
      </w:r>
      <w:r w:rsidR="00196287" w:rsidRPr="00A761A3">
        <w:t xml:space="preserve"> </w:t>
      </w:r>
      <w:r w:rsidR="00016117">
        <w:t>44</w:t>
      </w:r>
      <w:r w:rsidR="00016117" w:rsidRPr="00A761A3">
        <w:t xml:space="preserve"> days </w:t>
      </w:r>
      <w:r w:rsidR="00196287">
        <w:t>in 2016</w:t>
      </w:r>
      <w:r w:rsidR="00EA2145">
        <w:t>,</w:t>
      </w:r>
      <w:r w:rsidR="00016117" w:rsidRPr="00A761A3">
        <w:t xml:space="preserve"> </w:t>
      </w:r>
      <w:r w:rsidR="00016117">
        <w:t xml:space="preserve">and </w:t>
      </w:r>
      <w:r w:rsidR="00196287">
        <w:t xml:space="preserve">10 </w:t>
      </w:r>
      <w:r w:rsidR="00FA6668">
        <w:t xml:space="preserve">non-consecutive </w:t>
      </w:r>
      <w:r w:rsidR="00196287">
        <w:t>days in 2017 (</w:t>
      </w:r>
      <w:r w:rsidR="00016117">
        <w:t xml:space="preserve">as of </w:t>
      </w:r>
      <w:r w:rsidR="00596326">
        <w:t>May</w:t>
      </w:r>
      <w:r w:rsidR="00196287">
        <w:t>)</w:t>
      </w:r>
      <w:r w:rsidR="00016117" w:rsidRPr="00A761A3">
        <w:t>.</w:t>
      </w:r>
      <w:r w:rsidR="00196287" w:rsidRPr="00196287">
        <w:rPr>
          <w:vertAlign w:val="superscript"/>
        </w:rPr>
        <w:t xml:space="preserve"> </w:t>
      </w:r>
      <w:r w:rsidR="00196287" w:rsidRPr="00A761A3">
        <w:rPr>
          <w:vertAlign w:val="superscript"/>
        </w:rPr>
        <w:footnoteReference w:id="6"/>
      </w:r>
      <w:r w:rsidR="00016117" w:rsidRPr="00A761A3">
        <w:t xml:space="preserve"> Due to </w:t>
      </w:r>
      <w:r w:rsidR="009E3643">
        <w:t>these</w:t>
      </w:r>
      <w:r w:rsidR="00F72F84" w:rsidRPr="00A761A3">
        <w:t xml:space="preserve"> </w:t>
      </w:r>
      <w:r w:rsidR="00016117" w:rsidRPr="00A761A3">
        <w:t xml:space="preserve">restrictions, humanitarian and construction supplies </w:t>
      </w:r>
      <w:r w:rsidR="009E3643">
        <w:t>have</w:t>
      </w:r>
      <w:r w:rsidR="009E3643" w:rsidRPr="00A761A3">
        <w:t xml:space="preserve"> </w:t>
      </w:r>
      <w:r w:rsidR="00016117" w:rsidRPr="00A761A3">
        <w:t>not</w:t>
      </w:r>
      <w:r w:rsidR="009E3643">
        <w:t xml:space="preserve"> been</w:t>
      </w:r>
      <w:r w:rsidR="00016117" w:rsidRPr="00A761A3">
        <w:t xml:space="preserve"> arriv</w:t>
      </w:r>
      <w:r w:rsidR="009E3643">
        <w:t>ing</w:t>
      </w:r>
      <w:r w:rsidR="00016117" w:rsidRPr="00A761A3">
        <w:t xml:space="preserve"> in the quantities essential to effectively rebuild </w:t>
      </w:r>
      <w:r w:rsidR="00F72F84">
        <w:t>Gaza</w:t>
      </w:r>
      <w:r w:rsidR="00F72F84" w:rsidRPr="00A761A3">
        <w:t xml:space="preserve"> </w:t>
      </w:r>
      <w:r w:rsidR="00016117" w:rsidRPr="00A761A3">
        <w:t xml:space="preserve">and cater </w:t>
      </w:r>
      <w:r w:rsidR="00016117">
        <w:t>to</w:t>
      </w:r>
      <w:r w:rsidR="00016117" w:rsidRPr="00A761A3">
        <w:t xml:space="preserve"> the growth taking place in </w:t>
      </w:r>
      <w:r w:rsidR="00F72F84">
        <w:t>the territory</w:t>
      </w:r>
      <w:r w:rsidR="00016117" w:rsidRPr="00A761A3">
        <w:t xml:space="preserve">. </w:t>
      </w:r>
    </w:p>
    <w:p w14:paraId="234B333F" w14:textId="0D4D37A7" w:rsidR="007F1585" w:rsidRPr="007F1585" w:rsidRDefault="007F1585" w:rsidP="007F1585">
      <w:pPr>
        <w:pStyle w:val="Caption"/>
        <w:keepNext/>
        <w:jc w:val="center"/>
        <w:rPr>
          <w:b/>
          <w:bCs/>
          <w:i w:val="0"/>
          <w:iCs w:val="0"/>
          <w:color w:val="auto"/>
          <w:sz w:val="22"/>
          <w:szCs w:val="22"/>
        </w:rPr>
      </w:pPr>
      <w:r w:rsidRPr="007F1585">
        <w:rPr>
          <w:b/>
          <w:bCs/>
          <w:i w:val="0"/>
          <w:iCs w:val="0"/>
          <w:color w:val="auto"/>
          <w:sz w:val="22"/>
          <w:szCs w:val="22"/>
        </w:rPr>
        <w:t xml:space="preserve">Figure </w:t>
      </w:r>
      <w:r w:rsidR="0030091A">
        <w:rPr>
          <w:b/>
          <w:bCs/>
          <w:i w:val="0"/>
          <w:iCs w:val="0"/>
          <w:color w:val="auto"/>
          <w:sz w:val="22"/>
          <w:szCs w:val="22"/>
        </w:rPr>
        <w:fldChar w:fldCharType="begin"/>
      </w:r>
      <w:r w:rsidR="0030091A">
        <w:rPr>
          <w:b/>
          <w:bCs/>
          <w:i w:val="0"/>
          <w:iCs w:val="0"/>
          <w:color w:val="auto"/>
          <w:sz w:val="22"/>
          <w:szCs w:val="22"/>
        </w:rPr>
        <w:instrText xml:space="preserve"> SEQ Figure \* ROMAN </w:instrText>
      </w:r>
      <w:r w:rsidR="0030091A">
        <w:rPr>
          <w:b/>
          <w:bCs/>
          <w:i w:val="0"/>
          <w:iCs w:val="0"/>
          <w:color w:val="auto"/>
          <w:sz w:val="22"/>
          <w:szCs w:val="22"/>
        </w:rPr>
        <w:fldChar w:fldCharType="separate"/>
      </w:r>
      <w:r w:rsidR="0030091A">
        <w:rPr>
          <w:b/>
          <w:bCs/>
          <w:i w:val="0"/>
          <w:iCs w:val="0"/>
          <w:noProof/>
          <w:color w:val="auto"/>
          <w:sz w:val="22"/>
          <w:szCs w:val="22"/>
        </w:rPr>
        <w:t>I</w:t>
      </w:r>
      <w:r w:rsidR="0030091A">
        <w:rPr>
          <w:b/>
          <w:bCs/>
          <w:i w:val="0"/>
          <w:iCs w:val="0"/>
          <w:color w:val="auto"/>
          <w:sz w:val="22"/>
          <w:szCs w:val="22"/>
        </w:rPr>
        <w:fldChar w:fldCharType="end"/>
      </w:r>
      <w:r w:rsidRPr="007F1585">
        <w:rPr>
          <w:b/>
          <w:bCs/>
          <w:i w:val="0"/>
          <w:iCs w:val="0"/>
          <w:color w:val="auto"/>
          <w:sz w:val="22"/>
          <w:szCs w:val="22"/>
        </w:rPr>
        <w:t>: Map of Gaza with Crossing Points</w:t>
      </w:r>
    </w:p>
    <w:p w14:paraId="4F8C9518" w14:textId="0AE0C190" w:rsidR="007F1585" w:rsidRDefault="00BA1DAA" w:rsidP="007F1585">
      <w:pPr>
        <w:keepNext/>
        <w:jc w:val="center"/>
      </w:pPr>
      <w:r w:rsidRPr="00A17426">
        <w:rPr>
          <w:noProof/>
        </w:rPr>
        <w:drawing>
          <wp:anchor distT="0" distB="0" distL="114300" distR="114300" simplePos="0" relativeHeight="251658240" behindDoc="0" locked="0" layoutInCell="1" allowOverlap="1" wp14:anchorId="344D95D5" wp14:editId="606CE1E0">
            <wp:simplePos x="0" y="0"/>
            <wp:positionH relativeFrom="column">
              <wp:posOffset>1097198</wp:posOffset>
            </wp:positionH>
            <wp:positionV relativeFrom="paragraph">
              <wp:posOffset>4279</wp:posOffset>
            </wp:positionV>
            <wp:extent cx="3715346" cy="4584562"/>
            <wp:effectExtent l="0" t="0" r="0" b="6985"/>
            <wp:wrapNone/>
            <wp:docPr id="2" name="Picture 2" descr="C:\Users\fmasri\AppData\Local\Microsoft\Windows\Temporary Internet Files\Content.Outlook\0HQ0BHLN\Fi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asri\AppData\Local\Microsoft\Windows\Temporary Internet Files\Content.Outlook\0HQ0BHLN\Fira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5346" cy="45845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10084" w14:textId="7DE07572" w:rsidR="0030091A" w:rsidRDefault="0030091A">
      <w:pPr>
        <w:jc w:val="both"/>
      </w:pPr>
    </w:p>
    <w:p w14:paraId="2B521A37" w14:textId="0A12B61A" w:rsidR="0030091A" w:rsidRDefault="0030091A">
      <w:pPr>
        <w:jc w:val="both"/>
      </w:pPr>
    </w:p>
    <w:p w14:paraId="15E307C4" w14:textId="77777777" w:rsidR="0030091A" w:rsidRDefault="0030091A">
      <w:pPr>
        <w:jc w:val="both"/>
      </w:pPr>
    </w:p>
    <w:p w14:paraId="3151168B" w14:textId="77777777" w:rsidR="0030091A" w:rsidRDefault="0030091A">
      <w:pPr>
        <w:jc w:val="both"/>
      </w:pPr>
    </w:p>
    <w:p w14:paraId="01CBD2FF" w14:textId="77777777" w:rsidR="0030091A" w:rsidRDefault="0030091A">
      <w:pPr>
        <w:jc w:val="both"/>
      </w:pPr>
    </w:p>
    <w:p w14:paraId="0847ECC2" w14:textId="77777777" w:rsidR="0030091A" w:rsidRDefault="0030091A">
      <w:pPr>
        <w:jc w:val="both"/>
      </w:pPr>
    </w:p>
    <w:p w14:paraId="031494EF" w14:textId="77777777" w:rsidR="0030091A" w:rsidRDefault="0030091A">
      <w:pPr>
        <w:jc w:val="both"/>
      </w:pPr>
    </w:p>
    <w:p w14:paraId="45878124" w14:textId="77777777" w:rsidR="0030091A" w:rsidRDefault="0030091A">
      <w:pPr>
        <w:jc w:val="both"/>
      </w:pPr>
    </w:p>
    <w:p w14:paraId="19B5CCF3" w14:textId="77777777" w:rsidR="0030091A" w:rsidRDefault="0030091A">
      <w:pPr>
        <w:jc w:val="both"/>
      </w:pPr>
    </w:p>
    <w:p w14:paraId="548F69B9" w14:textId="77777777" w:rsidR="0030091A" w:rsidRDefault="0030091A">
      <w:pPr>
        <w:jc w:val="both"/>
      </w:pPr>
    </w:p>
    <w:p w14:paraId="2DAD83B5" w14:textId="77777777" w:rsidR="0030091A" w:rsidRDefault="0030091A">
      <w:pPr>
        <w:jc w:val="both"/>
      </w:pPr>
    </w:p>
    <w:p w14:paraId="5715B140" w14:textId="77777777" w:rsidR="0030091A" w:rsidRDefault="0030091A">
      <w:pPr>
        <w:jc w:val="both"/>
      </w:pPr>
    </w:p>
    <w:p w14:paraId="39B22E83" w14:textId="77777777" w:rsidR="0030091A" w:rsidRDefault="0030091A">
      <w:pPr>
        <w:jc w:val="both"/>
      </w:pPr>
    </w:p>
    <w:p w14:paraId="41A2E78E" w14:textId="77777777" w:rsidR="0030091A" w:rsidRDefault="0030091A">
      <w:pPr>
        <w:jc w:val="both"/>
      </w:pPr>
    </w:p>
    <w:p w14:paraId="6369C7BC" w14:textId="15342675" w:rsidR="0030091A" w:rsidRDefault="0030091A">
      <w:pPr>
        <w:jc w:val="both"/>
      </w:pPr>
    </w:p>
    <w:p w14:paraId="04CB86D3" w14:textId="441CCC0B" w:rsidR="0030091A" w:rsidRDefault="00BA1DAA">
      <w:pPr>
        <w:jc w:val="both"/>
      </w:pPr>
      <w:r>
        <w:rPr>
          <w:noProof/>
        </w:rPr>
        <mc:AlternateContent>
          <mc:Choice Requires="wps">
            <w:drawing>
              <wp:anchor distT="0" distB="0" distL="114300" distR="114300" simplePos="0" relativeHeight="251660288" behindDoc="0" locked="0" layoutInCell="1" allowOverlap="1" wp14:anchorId="340256EC" wp14:editId="11B0AD0D">
                <wp:simplePos x="0" y="0"/>
                <wp:positionH relativeFrom="column">
                  <wp:posOffset>865974</wp:posOffset>
                </wp:positionH>
                <wp:positionV relativeFrom="paragraph">
                  <wp:posOffset>58779</wp:posOffset>
                </wp:positionV>
                <wp:extent cx="4372610" cy="635"/>
                <wp:effectExtent l="0" t="0" r="0" b="0"/>
                <wp:wrapNone/>
                <wp:docPr id="1" name="Text Box 1"/>
                <wp:cNvGraphicFramePr/>
                <a:graphic xmlns:a="http://schemas.openxmlformats.org/drawingml/2006/main">
                  <a:graphicData uri="http://schemas.microsoft.com/office/word/2010/wordprocessingShape">
                    <wps:wsp>
                      <wps:cNvSpPr txBox="1"/>
                      <wps:spPr>
                        <a:xfrm>
                          <a:off x="0" y="0"/>
                          <a:ext cx="4372610" cy="635"/>
                        </a:xfrm>
                        <a:prstGeom prst="rect">
                          <a:avLst/>
                        </a:prstGeom>
                        <a:solidFill>
                          <a:prstClr val="white"/>
                        </a:solidFill>
                        <a:ln>
                          <a:noFill/>
                        </a:ln>
                      </wps:spPr>
                      <wps:txbx>
                        <w:txbxContent>
                          <w:p w14:paraId="7275EF8A" w14:textId="4E77E38F" w:rsidR="00C950E7" w:rsidRPr="0030091A" w:rsidRDefault="00C950E7" w:rsidP="004F22E6">
                            <w:pPr>
                              <w:pStyle w:val="Caption"/>
                              <w:jc w:val="center"/>
                              <w:rPr>
                                <w:i w:val="0"/>
                                <w:iCs w:val="0"/>
                                <w:noProof/>
                              </w:rPr>
                            </w:pPr>
                            <w:r w:rsidRPr="0030091A">
                              <w:rPr>
                                <w:i w:val="0"/>
                                <w:iCs w:val="0"/>
                              </w:rPr>
                              <w:t xml:space="preserve">Source: </w:t>
                            </w:r>
                            <w:r>
                              <w:rPr>
                                <w:i w:val="0"/>
                                <w:iCs w:val="0"/>
                              </w:rPr>
                              <w:t>UNOCHA, 2016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40256EC" id="_x0000_t202" coordsize="21600,21600" o:spt="202" path="m,l,21600r21600,l21600,xe">
                <v:stroke joinstyle="miter"/>
                <v:path gradientshapeok="t" o:connecttype="rect"/>
              </v:shapetype>
              <v:shape id="Text Box 1" o:spid="_x0000_s1026" type="#_x0000_t202" style="position:absolute;left:0;text-align:left;margin-left:68.2pt;margin-top:4.65pt;width:344.3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7uRKQIAAF0EAAAOAAAAZHJzL2Uyb0RvYy54bWysVMGO0zAQvSPxD5bvNG0XCoqarkpXRUir&#10;3ZVatGfXcRpLjseM3Sbl6xk7SRcWToiLO5l5fvabN+7ytmsMOyv0GmzBZ5MpZ8pKKLU9Fvzbfvvu&#10;E2c+CFsKA1YV/KI8v129fbNsXa7mUIMpFTIisT5vXcHrEFyeZV7WqhF+Ak5ZKlaAjQj0icesRNES&#10;e2Oy+XS6yFrA0iFI5T1l7/oiXyX+qlIyPFaVV4GZgtPdQloxrYe4ZqulyI8oXK3lcA3xD7dohLZ0&#10;6JXqTgTBTqj/oGq0RPBQhYmEJoOq0lIlDaRmNn2lZlcLp5IWao531zb5/0crH85PyHRJ3nFmRUMW&#10;7VUX2Gfo2Cx2p3U+J9DOESx0lI7IIe8pGUV3FTbxl+QwqlOfL9feRjJJyfc3H+eLGZUk1RY3HyJH&#10;9rLVoQ9fFDQsBgVHMi71U5zvfeihIySe5MHocquNiR+xsDHIzoJMbmsd1ED+G8rYiLUQd/WEMZNF&#10;fb2OGIXu0A3iDlBeSDNCPzPeya2mg+6FD08CaUhICw1+eKSlMtAWHIaIsxrwx9/yEU/eUZWzloau&#10;4P77SaDizHy15Gqc0DHAMTiMgT01GyCJ5BTdJoW0AYMZwwqheab3sI6nUElYSWcVPIzhJvSjT+9J&#10;qvU6gWgOnQj3dudkpB4buu+eBbrBjkAuPsA4jiJ/5UqPTb649SlQi5NlsaF9F4c+0wwn04f3Fh/J&#10;r98J9fKvsPoJAAD//wMAUEsDBBQABgAIAAAAIQDkDpxW3QAAAAcBAAAPAAAAZHJzL2Rvd25yZXYu&#10;eG1sTI8xT8MwEIV3JP6DdUgsiDo0ISohTlVVMMBSEbqwufE1DsTnKHba8O85Jhg/vad335Xr2fXi&#10;hGPoPCm4WyQgkBpvOmoV7N+fb1cgQtRkdO8JFXxjgHV1eVHqwvgzveGpjq3gEQqFVmBjHAopQ2PR&#10;6bDwAxJnRz86HRnHVppRn3nc9XKZJLl0uiO+YPWAW4vNVz05BbvsY2dvpuPT6yZLx5f9tM0/21qp&#10;66t58wgi4hz/yvCrz+pQsdPBT2SC6JnTPOOqgocUBOer5T3/dmDOQFal/O9f/QAAAP//AwBQSwEC&#10;LQAUAAYACAAAACEAtoM4kv4AAADhAQAAEwAAAAAAAAAAAAAAAAAAAAAAW0NvbnRlbnRfVHlwZXNd&#10;LnhtbFBLAQItABQABgAIAAAAIQA4/SH/1gAAAJQBAAALAAAAAAAAAAAAAAAAAC8BAABfcmVscy8u&#10;cmVsc1BLAQItABQABgAIAAAAIQCQT7uRKQIAAF0EAAAOAAAAAAAAAAAAAAAAAC4CAABkcnMvZTJv&#10;RG9jLnhtbFBLAQItABQABgAIAAAAIQDkDpxW3QAAAAcBAAAPAAAAAAAAAAAAAAAAAIMEAABkcnMv&#10;ZG93bnJldi54bWxQSwUGAAAAAAQABADzAAAAjQUAAAAA&#10;" stroked="f">
                <v:textbox style="mso-fit-shape-to-text:t" inset="0,0,0,0">
                  <w:txbxContent>
                    <w:p w14:paraId="7275EF8A" w14:textId="4E77E38F" w:rsidR="00C950E7" w:rsidRPr="0030091A" w:rsidRDefault="00C950E7" w:rsidP="004F22E6">
                      <w:pPr>
                        <w:pStyle w:val="Caption"/>
                        <w:jc w:val="center"/>
                        <w:rPr>
                          <w:i w:val="0"/>
                          <w:iCs w:val="0"/>
                          <w:noProof/>
                        </w:rPr>
                      </w:pPr>
                      <w:r w:rsidRPr="0030091A">
                        <w:rPr>
                          <w:i w:val="0"/>
                          <w:iCs w:val="0"/>
                        </w:rPr>
                        <w:t xml:space="preserve">Source: </w:t>
                      </w:r>
                      <w:r>
                        <w:rPr>
                          <w:i w:val="0"/>
                          <w:iCs w:val="0"/>
                        </w:rPr>
                        <w:t>UNOCHA, 2016</w:t>
                      </w:r>
                    </w:p>
                  </w:txbxContent>
                </v:textbox>
              </v:shape>
            </w:pict>
          </mc:Fallback>
        </mc:AlternateContent>
      </w:r>
    </w:p>
    <w:p w14:paraId="65FC8AE3" w14:textId="79120A29" w:rsidR="0030091A" w:rsidRDefault="0030091A">
      <w:pPr>
        <w:jc w:val="both"/>
      </w:pPr>
    </w:p>
    <w:p w14:paraId="75505B72" w14:textId="298F0986" w:rsidR="00843669" w:rsidRDefault="00EC662C">
      <w:pPr>
        <w:jc w:val="both"/>
      </w:pPr>
      <w:r>
        <w:lastRenderedPageBreak/>
        <w:t>T</w:t>
      </w:r>
      <w:r w:rsidR="00A761A3" w:rsidRPr="00A761A3">
        <w:t>he ongoing political rift</w:t>
      </w:r>
      <w:r w:rsidR="00D95877">
        <w:t>s</w:t>
      </w:r>
      <w:r w:rsidR="00A761A3" w:rsidRPr="00A761A3">
        <w:t xml:space="preserve"> between </w:t>
      </w:r>
      <w:r w:rsidR="00D95877" w:rsidRPr="00A761A3">
        <w:t>Hamas</w:t>
      </w:r>
      <w:r w:rsidR="00D95877">
        <w:t>—</w:t>
      </w:r>
      <w:r w:rsidR="00D95877" w:rsidRPr="00A761A3">
        <w:t>the de-facto government in Gaza</w:t>
      </w:r>
      <w:r w:rsidR="00D95877">
        <w:t xml:space="preserve">—on one hand, and </w:t>
      </w:r>
      <w:r w:rsidR="00A761A3" w:rsidRPr="00A761A3">
        <w:t>the Fatah-led PA</w:t>
      </w:r>
      <w:r w:rsidR="00D95877">
        <w:t>, Egypt, and Israel on the other, only exacerbates the problem</w:t>
      </w:r>
      <w:r w:rsidR="00A761A3" w:rsidRPr="00A761A3">
        <w:t xml:space="preserve">. </w:t>
      </w:r>
      <w:r w:rsidR="00786D5B">
        <w:t xml:space="preserve">Both </w:t>
      </w:r>
      <w:r w:rsidR="00A761A3" w:rsidRPr="00A761A3">
        <w:t xml:space="preserve">Egypt and Israel do not trust Hamas </w:t>
      </w:r>
      <w:r w:rsidR="001F72B9">
        <w:t xml:space="preserve">and continue to consider </w:t>
      </w:r>
      <w:r w:rsidR="006D7D71">
        <w:t xml:space="preserve">it </w:t>
      </w:r>
      <w:r w:rsidR="008020C1">
        <w:t>a security</w:t>
      </w:r>
      <w:r w:rsidR="001F72B9">
        <w:t xml:space="preserve"> threat</w:t>
      </w:r>
      <w:r w:rsidR="00A761A3" w:rsidRPr="00A761A3">
        <w:t>. Egyptian President Abdel-Fattah el-Si</w:t>
      </w:r>
      <w:r w:rsidR="000C129E">
        <w:t>s</w:t>
      </w:r>
      <w:r w:rsidR="00A761A3" w:rsidRPr="00A761A3">
        <w:t>si</w:t>
      </w:r>
      <w:r w:rsidR="00786D5B">
        <w:t xml:space="preserve"> </w:t>
      </w:r>
      <w:r w:rsidR="00A761A3" w:rsidRPr="00A761A3">
        <w:t xml:space="preserve">hinted that </w:t>
      </w:r>
      <w:r w:rsidR="00786D5B">
        <w:t>he</w:t>
      </w:r>
      <w:r w:rsidR="00786D5B" w:rsidRPr="00A761A3">
        <w:t xml:space="preserve"> </w:t>
      </w:r>
      <w:r w:rsidR="00786D5B">
        <w:t>would</w:t>
      </w:r>
      <w:r w:rsidR="00786D5B" w:rsidRPr="00A761A3">
        <w:t xml:space="preserve"> </w:t>
      </w:r>
      <w:r w:rsidR="001F72B9">
        <w:t>regularly open</w:t>
      </w:r>
      <w:r w:rsidR="001F72B9" w:rsidRPr="00A761A3">
        <w:t xml:space="preserve"> </w:t>
      </w:r>
      <w:r w:rsidR="00A761A3" w:rsidRPr="00A761A3">
        <w:t xml:space="preserve">the Rafah border crossing if the PA </w:t>
      </w:r>
      <w:r w:rsidR="00790546">
        <w:t>were to</w:t>
      </w:r>
      <w:r w:rsidR="00786D5B">
        <w:t xml:space="preserve"> </w:t>
      </w:r>
      <w:r w:rsidR="00A761A3" w:rsidRPr="00A761A3">
        <w:t xml:space="preserve">provide security in </w:t>
      </w:r>
      <w:r w:rsidR="004B434B">
        <w:t>Gaza</w:t>
      </w:r>
      <w:r w:rsidR="001F72B9">
        <w:t xml:space="preserve"> instead of</w:t>
      </w:r>
      <w:r w:rsidR="00A761A3" w:rsidRPr="00A761A3">
        <w:t xml:space="preserve"> Hamas.</w:t>
      </w:r>
      <w:r w:rsidR="00A761A3" w:rsidRPr="00A761A3">
        <w:rPr>
          <w:vertAlign w:val="superscript"/>
        </w:rPr>
        <w:footnoteReference w:id="7"/>
      </w:r>
      <w:r w:rsidR="00A761A3" w:rsidRPr="00A761A3">
        <w:t xml:space="preserve"> </w:t>
      </w:r>
      <w:r w:rsidR="00015AD8">
        <w:t>This would not only allow for an increase in the amount of construction materials coming into Gaza, but it would also bring these goods at a cheaper cost—due to the lower tax duties placed on goods entering through Rafah, as opposed to</w:t>
      </w:r>
      <w:r w:rsidR="006E0FC4">
        <w:t xml:space="preserve"> the</w:t>
      </w:r>
      <w:r w:rsidR="00015AD8">
        <w:t xml:space="preserve"> Israeli border crossings.</w:t>
      </w:r>
      <w:r w:rsidR="00015AD8">
        <w:rPr>
          <w:rStyle w:val="FootnoteReference"/>
        </w:rPr>
        <w:footnoteReference w:id="8"/>
      </w:r>
      <w:r w:rsidR="00015AD8">
        <w:t xml:space="preserve"> </w:t>
      </w:r>
    </w:p>
    <w:p w14:paraId="027FA95F" w14:textId="1C19B5AE" w:rsidR="00A761A3" w:rsidRDefault="00790546" w:rsidP="00D57477">
      <w:pPr>
        <w:jc w:val="both"/>
      </w:pPr>
      <w:r w:rsidRPr="005F7118">
        <w:t>F</w:t>
      </w:r>
      <w:r w:rsidR="00A761A3" w:rsidRPr="005F7118">
        <w:t xml:space="preserve">unding issues have </w:t>
      </w:r>
      <w:r w:rsidR="00843669" w:rsidRPr="005F7118">
        <w:t xml:space="preserve">also </w:t>
      </w:r>
      <w:r w:rsidR="008E1C82" w:rsidRPr="005F7118">
        <w:t>impeded</w:t>
      </w:r>
      <w:r w:rsidR="00A761A3" w:rsidRPr="005F7118">
        <w:t xml:space="preserve"> reconstruction. </w:t>
      </w:r>
      <w:r w:rsidR="00113EAE">
        <w:t>Despite the enthusiasm expressed during the</w:t>
      </w:r>
      <w:r w:rsidR="00A761A3" w:rsidRPr="005F7118">
        <w:t xml:space="preserve"> Cairo Conference in October 2014, where numerous pledges were made to rebuild Gaza, most of </w:t>
      </w:r>
      <w:r w:rsidR="00D95877">
        <w:t>the</w:t>
      </w:r>
      <w:r w:rsidR="00A761A3" w:rsidRPr="005F7118">
        <w:t xml:space="preserve"> </w:t>
      </w:r>
      <w:r w:rsidR="00D95877">
        <w:t>donations</w:t>
      </w:r>
      <w:r w:rsidR="00A761A3" w:rsidRPr="005F7118">
        <w:t xml:space="preserve"> remain unfulfilled. </w:t>
      </w:r>
      <w:r w:rsidR="00EC662C" w:rsidRPr="005F7118">
        <w:t>Of the $5.4 billion pledged at the conference,</w:t>
      </w:r>
      <w:r w:rsidR="008E1C82" w:rsidRPr="005F7118">
        <w:t xml:space="preserve"> </w:t>
      </w:r>
      <w:r w:rsidR="00E62AC3" w:rsidRPr="005F7118">
        <w:t xml:space="preserve">over </w:t>
      </w:r>
      <w:r w:rsidR="00EC662C" w:rsidRPr="005F7118">
        <w:t>half was committed to reconstruction projects in Gaza</w:t>
      </w:r>
      <w:r w:rsidR="0083687E" w:rsidRPr="005F7118">
        <w:t xml:space="preserve">—of which only </w:t>
      </w:r>
      <w:r w:rsidR="005C0507" w:rsidRPr="005F7118">
        <w:t>51</w:t>
      </w:r>
      <w:r w:rsidR="0083687E" w:rsidRPr="005F7118">
        <w:t xml:space="preserve"> percent </w:t>
      </w:r>
      <w:r w:rsidR="005C0507" w:rsidRPr="005F7118">
        <w:t>was</w:t>
      </w:r>
      <w:r w:rsidR="0083687E" w:rsidRPr="005F7118">
        <w:t xml:space="preserve"> disbursed</w:t>
      </w:r>
      <w:r w:rsidR="00E62AC3" w:rsidRPr="005F7118">
        <w:t xml:space="preserve"> as of December 31, 2016</w:t>
      </w:r>
      <w:r w:rsidR="00EC662C" w:rsidRPr="005F7118">
        <w:t>.</w:t>
      </w:r>
      <w:r w:rsidR="009C4E6D" w:rsidRPr="005F7118">
        <w:rPr>
          <w:rStyle w:val="FootnoteReference"/>
        </w:rPr>
        <w:footnoteReference w:id="9"/>
      </w:r>
      <w:r w:rsidR="00EC662C" w:rsidRPr="005F7118">
        <w:t xml:space="preserve"> </w:t>
      </w:r>
      <w:r w:rsidR="00745A7A" w:rsidRPr="005F7118">
        <w:t xml:space="preserve">The </w:t>
      </w:r>
      <w:r w:rsidR="00A761A3" w:rsidRPr="005F7118">
        <w:t>Gulf states</w:t>
      </w:r>
      <w:r w:rsidR="001F72B9" w:rsidRPr="005F7118">
        <w:t>—Bahrain, Kuwait, Qatar, Saudi Arabia</w:t>
      </w:r>
      <w:r w:rsidR="0030091A">
        <w:t>, and the United Arab Emirates</w:t>
      </w:r>
      <w:r w:rsidR="00745A7A" w:rsidRPr="005F7118">
        <w:t>—</w:t>
      </w:r>
      <w:r w:rsidR="00A761A3" w:rsidRPr="005F7118">
        <w:t xml:space="preserve">made some of the largest pledges during the conference; however, </w:t>
      </w:r>
      <w:r w:rsidR="008A52B3" w:rsidRPr="005F7118">
        <w:t>the bloc</w:t>
      </w:r>
      <w:r w:rsidR="00A761A3" w:rsidRPr="005F7118">
        <w:t xml:space="preserve"> </w:t>
      </w:r>
      <w:r w:rsidR="00113EAE">
        <w:t>is also behind the bulk</w:t>
      </w:r>
      <w:r w:rsidR="002076E0" w:rsidRPr="005F7118">
        <w:t xml:space="preserve"> </w:t>
      </w:r>
      <w:r w:rsidR="00A761A3" w:rsidRPr="005F7118">
        <w:t xml:space="preserve">of unfulfilled </w:t>
      </w:r>
      <w:r w:rsidR="00CA6D67">
        <w:t>payments</w:t>
      </w:r>
      <w:r w:rsidR="00DE0C58" w:rsidRPr="005F7118">
        <w:t>—</w:t>
      </w:r>
      <w:r w:rsidR="005D6B9D">
        <w:t>87</w:t>
      </w:r>
      <w:r w:rsidR="000826B4">
        <w:t xml:space="preserve"> </w:t>
      </w:r>
      <w:r w:rsidR="005F7118">
        <w:t xml:space="preserve">percent of </w:t>
      </w:r>
      <w:r w:rsidR="005D6B9D">
        <w:t>unfulfilled</w:t>
      </w:r>
      <w:r w:rsidR="005F7118">
        <w:t xml:space="preserve"> pledges</w:t>
      </w:r>
      <w:r w:rsidR="005D6B9D">
        <w:t xml:space="preserve"> are from the Gulf,</w:t>
      </w:r>
      <w:r w:rsidR="005F7118">
        <w:t xml:space="preserve"> and </w:t>
      </w:r>
      <w:r w:rsidR="000826B4">
        <w:t>78</w:t>
      </w:r>
      <w:r w:rsidR="000826B4" w:rsidRPr="005F7118">
        <w:t xml:space="preserve"> </w:t>
      </w:r>
      <w:r w:rsidR="00DE0C58" w:rsidRPr="005F7118">
        <w:t xml:space="preserve">percent of </w:t>
      </w:r>
      <w:r w:rsidR="00234069" w:rsidRPr="005F7118">
        <w:t xml:space="preserve">the </w:t>
      </w:r>
      <w:r w:rsidR="00DE0C58" w:rsidRPr="005F7118">
        <w:t>Gulf</w:t>
      </w:r>
      <w:r w:rsidR="00234069" w:rsidRPr="005F7118">
        <w:t>’s</w:t>
      </w:r>
      <w:r w:rsidR="00DE0C58" w:rsidRPr="005F7118">
        <w:t xml:space="preserve"> pledges remain unfulfilled</w:t>
      </w:r>
      <w:r w:rsidR="0030091A">
        <w:t xml:space="preserve"> (see Table I)</w:t>
      </w:r>
      <w:r w:rsidR="00DE0C58" w:rsidRPr="005F7118">
        <w:t>.</w:t>
      </w:r>
      <w:r w:rsidR="00DE0C58" w:rsidRPr="005F7118">
        <w:rPr>
          <w:vertAlign w:val="superscript"/>
        </w:rPr>
        <w:t xml:space="preserve"> </w:t>
      </w:r>
      <w:r w:rsidR="00DE0C58" w:rsidRPr="005F7118">
        <w:rPr>
          <w:vertAlign w:val="superscript"/>
        </w:rPr>
        <w:footnoteReference w:id="10"/>
      </w:r>
      <w:r w:rsidR="00A761A3" w:rsidRPr="005F7118">
        <w:t xml:space="preserve"> </w:t>
      </w:r>
    </w:p>
    <w:tbl>
      <w:tblPr>
        <w:tblStyle w:val="TableGrid"/>
        <w:tblW w:w="0" w:type="auto"/>
        <w:tblLook w:val="04A0" w:firstRow="1" w:lastRow="0" w:firstColumn="1" w:lastColumn="0" w:noHBand="0" w:noVBand="1"/>
      </w:tblPr>
      <w:tblGrid>
        <w:gridCol w:w="2555"/>
        <w:gridCol w:w="2265"/>
        <w:gridCol w:w="2265"/>
        <w:gridCol w:w="2265"/>
      </w:tblGrid>
      <w:tr w:rsidR="00623A51" w14:paraId="505FE4BC" w14:textId="77777777" w:rsidTr="00AE106E">
        <w:tc>
          <w:tcPr>
            <w:tcW w:w="9350" w:type="dxa"/>
            <w:gridSpan w:val="4"/>
            <w:tcBorders>
              <w:top w:val="nil"/>
              <w:left w:val="nil"/>
              <w:right w:val="nil"/>
            </w:tcBorders>
          </w:tcPr>
          <w:p w14:paraId="7B3C38E7" w14:textId="261F25A1" w:rsidR="00623A51" w:rsidRPr="005A1E61" w:rsidRDefault="0030091A" w:rsidP="004F22E6">
            <w:pPr>
              <w:jc w:val="center"/>
              <w:rPr>
                <w:b/>
                <w:bCs/>
              </w:rPr>
            </w:pPr>
            <w:r>
              <w:rPr>
                <w:b/>
                <w:bCs/>
              </w:rPr>
              <w:t xml:space="preserve">Table </w:t>
            </w:r>
            <w:r w:rsidR="00623A51">
              <w:rPr>
                <w:b/>
                <w:bCs/>
              </w:rPr>
              <w:t xml:space="preserve">I: </w:t>
            </w:r>
            <w:r w:rsidR="00AE106E">
              <w:rPr>
                <w:b/>
                <w:bCs/>
              </w:rPr>
              <w:t xml:space="preserve">Disbursement Status by Donor of </w:t>
            </w:r>
            <w:r w:rsidR="004F22E6">
              <w:rPr>
                <w:b/>
                <w:bCs/>
              </w:rPr>
              <w:t xml:space="preserve">Pledged </w:t>
            </w:r>
            <w:r w:rsidR="00AE106E">
              <w:rPr>
                <w:b/>
                <w:bCs/>
              </w:rPr>
              <w:t xml:space="preserve">Support to Gaza </w:t>
            </w:r>
            <w:r w:rsidR="009C20AB">
              <w:rPr>
                <w:b/>
                <w:bCs/>
              </w:rPr>
              <w:t>(USD Million)</w:t>
            </w:r>
            <w:r w:rsidR="00AE106E">
              <w:rPr>
                <w:b/>
                <w:bCs/>
              </w:rPr>
              <w:t xml:space="preserve"> </w:t>
            </w:r>
          </w:p>
        </w:tc>
      </w:tr>
      <w:tr w:rsidR="002076E0" w14:paraId="7FCA2C53" w14:textId="5A9AADA9" w:rsidTr="005A1E61">
        <w:tc>
          <w:tcPr>
            <w:tcW w:w="2555" w:type="dxa"/>
          </w:tcPr>
          <w:p w14:paraId="7B4443E0" w14:textId="541385DF" w:rsidR="002076E0" w:rsidRPr="005A1E61" w:rsidRDefault="004F22E6" w:rsidP="005A1E61">
            <w:pPr>
              <w:jc w:val="center"/>
              <w:rPr>
                <w:b/>
                <w:bCs/>
              </w:rPr>
            </w:pPr>
            <w:r>
              <w:rPr>
                <w:b/>
                <w:bCs/>
              </w:rPr>
              <w:t>Donor</w:t>
            </w:r>
          </w:p>
        </w:tc>
        <w:tc>
          <w:tcPr>
            <w:tcW w:w="2265" w:type="dxa"/>
          </w:tcPr>
          <w:p w14:paraId="04ECF3F8" w14:textId="60243152" w:rsidR="002076E0" w:rsidRPr="005A1E61" w:rsidRDefault="002076E0" w:rsidP="005A1E61">
            <w:pPr>
              <w:jc w:val="center"/>
              <w:rPr>
                <w:b/>
                <w:bCs/>
              </w:rPr>
            </w:pPr>
            <w:r w:rsidRPr="005A1E61">
              <w:rPr>
                <w:b/>
                <w:bCs/>
              </w:rPr>
              <w:t>Pledged Support to Gaza</w:t>
            </w:r>
          </w:p>
        </w:tc>
        <w:tc>
          <w:tcPr>
            <w:tcW w:w="2265" w:type="dxa"/>
          </w:tcPr>
          <w:p w14:paraId="115833DC" w14:textId="4A0BB574" w:rsidR="002076E0" w:rsidRPr="005A1E61" w:rsidRDefault="002076E0" w:rsidP="005A1E61">
            <w:pPr>
              <w:jc w:val="center"/>
              <w:rPr>
                <w:b/>
                <w:bCs/>
              </w:rPr>
            </w:pPr>
            <w:r w:rsidRPr="005A1E61">
              <w:rPr>
                <w:b/>
                <w:bCs/>
              </w:rPr>
              <w:t>Disbursement of Support to Gaza</w:t>
            </w:r>
          </w:p>
        </w:tc>
        <w:tc>
          <w:tcPr>
            <w:tcW w:w="2265" w:type="dxa"/>
          </w:tcPr>
          <w:p w14:paraId="7B0524CD" w14:textId="62AE2419" w:rsidR="002076E0" w:rsidRPr="005A1E61" w:rsidRDefault="002076E0" w:rsidP="005A1E61">
            <w:pPr>
              <w:jc w:val="center"/>
              <w:rPr>
                <w:b/>
                <w:bCs/>
              </w:rPr>
            </w:pPr>
            <w:r w:rsidRPr="005A1E61">
              <w:rPr>
                <w:b/>
                <w:bCs/>
              </w:rPr>
              <w:t>Disbursement Ratio of Support to Gaza</w:t>
            </w:r>
          </w:p>
        </w:tc>
      </w:tr>
      <w:tr w:rsidR="002076E0" w14:paraId="33D0C2F9" w14:textId="0F61C8B5" w:rsidTr="005A1E61">
        <w:tc>
          <w:tcPr>
            <w:tcW w:w="2555" w:type="dxa"/>
          </w:tcPr>
          <w:p w14:paraId="0A136F35" w14:textId="18E9AD86" w:rsidR="002076E0" w:rsidRPr="005A1E61" w:rsidRDefault="002076E0" w:rsidP="005A1E61">
            <w:pPr>
              <w:jc w:val="center"/>
              <w:rPr>
                <w:b/>
                <w:bCs/>
              </w:rPr>
            </w:pPr>
            <w:r w:rsidRPr="005A1E61">
              <w:rPr>
                <w:b/>
                <w:bCs/>
              </w:rPr>
              <w:t>Bahrain</w:t>
            </w:r>
          </w:p>
        </w:tc>
        <w:tc>
          <w:tcPr>
            <w:tcW w:w="2265" w:type="dxa"/>
          </w:tcPr>
          <w:p w14:paraId="269DEBE5" w14:textId="074A7D7B" w:rsidR="002076E0" w:rsidRDefault="002076E0" w:rsidP="005A1E61">
            <w:pPr>
              <w:jc w:val="center"/>
            </w:pPr>
            <w:r>
              <w:t>6.5</w:t>
            </w:r>
          </w:p>
        </w:tc>
        <w:tc>
          <w:tcPr>
            <w:tcW w:w="2265" w:type="dxa"/>
          </w:tcPr>
          <w:p w14:paraId="136F670B" w14:textId="11611C7B" w:rsidR="002076E0" w:rsidRDefault="002076E0" w:rsidP="005A1E61">
            <w:pPr>
              <w:jc w:val="center"/>
            </w:pPr>
            <w:r>
              <w:t>5.15</w:t>
            </w:r>
          </w:p>
        </w:tc>
        <w:tc>
          <w:tcPr>
            <w:tcW w:w="2265" w:type="dxa"/>
          </w:tcPr>
          <w:p w14:paraId="355D8186" w14:textId="1D0A5382" w:rsidR="002076E0" w:rsidRDefault="002076E0" w:rsidP="005A1E61">
            <w:pPr>
              <w:jc w:val="center"/>
            </w:pPr>
            <w:r>
              <w:t>79%</w:t>
            </w:r>
          </w:p>
        </w:tc>
      </w:tr>
      <w:tr w:rsidR="002076E0" w14:paraId="0BE3710D" w14:textId="5F3ECD3E" w:rsidTr="005A1E61">
        <w:tc>
          <w:tcPr>
            <w:tcW w:w="2555" w:type="dxa"/>
          </w:tcPr>
          <w:p w14:paraId="6AD4AA37" w14:textId="6F3B41B0" w:rsidR="002076E0" w:rsidRPr="005A1E61" w:rsidRDefault="002076E0" w:rsidP="005A1E61">
            <w:pPr>
              <w:jc w:val="center"/>
              <w:rPr>
                <w:b/>
                <w:bCs/>
              </w:rPr>
            </w:pPr>
            <w:r w:rsidRPr="005A1E61">
              <w:rPr>
                <w:b/>
                <w:bCs/>
              </w:rPr>
              <w:t>Kuwait</w:t>
            </w:r>
          </w:p>
        </w:tc>
        <w:tc>
          <w:tcPr>
            <w:tcW w:w="2265" w:type="dxa"/>
          </w:tcPr>
          <w:p w14:paraId="7B92DF10" w14:textId="558E53DA" w:rsidR="002076E0" w:rsidRDefault="002076E0" w:rsidP="005A1E61">
            <w:pPr>
              <w:jc w:val="center"/>
            </w:pPr>
            <w:r>
              <w:t>200</w:t>
            </w:r>
          </w:p>
        </w:tc>
        <w:tc>
          <w:tcPr>
            <w:tcW w:w="2265" w:type="dxa"/>
          </w:tcPr>
          <w:p w14:paraId="4C8455FC" w14:textId="6CC29FC1" w:rsidR="002076E0" w:rsidRDefault="002076E0" w:rsidP="005A1E61">
            <w:pPr>
              <w:jc w:val="center"/>
            </w:pPr>
            <w:r>
              <w:t>48.93</w:t>
            </w:r>
          </w:p>
        </w:tc>
        <w:tc>
          <w:tcPr>
            <w:tcW w:w="2265" w:type="dxa"/>
          </w:tcPr>
          <w:p w14:paraId="07549C04" w14:textId="3CF43E5B" w:rsidR="002076E0" w:rsidRDefault="002076E0" w:rsidP="005A1E61">
            <w:pPr>
              <w:jc w:val="center"/>
            </w:pPr>
            <w:r>
              <w:t>24%</w:t>
            </w:r>
          </w:p>
        </w:tc>
      </w:tr>
      <w:tr w:rsidR="002076E0" w14:paraId="06F292D8" w14:textId="53F20CC9" w:rsidTr="005A1E61">
        <w:tc>
          <w:tcPr>
            <w:tcW w:w="2555" w:type="dxa"/>
          </w:tcPr>
          <w:p w14:paraId="2F74C4A8" w14:textId="5D12370F" w:rsidR="002076E0" w:rsidRPr="005A1E61" w:rsidRDefault="002076E0" w:rsidP="005A1E61">
            <w:pPr>
              <w:jc w:val="center"/>
              <w:rPr>
                <w:b/>
                <w:bCs/>
              </w:rPr>
            </w:pPr>
            <w:r w:rsidRPr="005A1E61">
              <w:rPr>
                <w:b/>
                <w:bCs/>
              </w:rPr>
              <w:t>Qatar</w:t>
            </w:r>
          </w:p>
        </w:tc>
        <w:tc>
          <w:tcPr>
            <w:tcW w:w="2265" w:type="dxa"/>
          </w:tcPr>
          <w:p w14:paraId="2DA93F11" w14:textId="017799D1" w:rsidR="002076E0" w:rsidRDefault="002076E0" w:rsidP="005A1E61">
            <w:pPr>
              <w:jc w:val="center"/>
            </w:pPr>
            <w:r>
              <w:t>1000</w:t>
            </w:r>
          </w:p>
        </w:tc>
        <w:tc>
          <w:tcPr>
            <w:tcW w:w="2265" w:type="dxa"/>
          </w:tcPr>
          <w:p w14:paraId="50E54771" w14:textId="1ABA49DB" w:rsidR="002076E0" w:rsidRDefault="002076E0" w:rsidP="005A1E61">
            <w:pPr>
              <w:jc w:val="center"/>
            </w:pPr>
            <w:r>
              <w:t>216.06</w:t>
            </w:r>
          </w:p>
        </w:tc>
        <w:tc>
          <w:tcPr>
            <w:tcW w:w="2265" w:type="dxa"/>
          </w:tcPr>
          <w:p w14:paraId="07E151DD" w14:textId="01465653" w:rsidR="002076E0" w:rsidRDefault="002076E0" w:rsidP="005A1E61">
            <w:pPr>
              <w:jc w:val="center"/>
            </w:pPr>
            <w:r>
              <w:t>22%</w:t>
            </w:r>
          </w:p>
        </w:tc>
      </w:tr>
      <w:tr w:rsidR="002076E0" w14:paraId="579400AC" w14:textId="6A0E52C4" w:rsidTr="005A1E61">
        <w:tc>
          <w:tcPr>
            <w:tcW w:w="2555" w:type="dxa"/>
          </w:tcPr>
          <w:p w14:paraId="22F82550" w14:textId="69028685" w:rsidR="002076E0" w:rsidRPr="005A1E61" w:rsidRDefault="002076E0" w:rsidP="005A1E61">
            <w:pPr>
              <w:jc w:val="center"/>
              <w:rPr>
                <w:b/>
                <w:bCs/>
              </w:rPr>
            </w:pPr>
            <w:r w:rsidRPr="005A1E61">
              <w:rPr>
                <w:b/>
                <w:bCs/>
              </w:rPr>
              <w:t>Saudi Arabia</w:t>
            </w:r>
          </w:p>
        </w:tc>
        <w:tc>
          <w:tcPr>
            <w:tcW w:w="2265" w:type="dxa"/>
          </w:tcPr>
          <w:p w14:paraId="24BC346C" w14:textId="77B01173" w:rsidR="002076E0" w:rsidRDefault="002076E0" w:rsidP="005A1E61">
            <w:pPr>
              <w:jc w:val="center"/>
            </w:pPr>
            <w:r>
              <w:t>500</w:t>
            </w:r>
          </w:p>
        </w:tc>
        <w:tc>
          <w:tcPr>
            <w:tcW w:w="2265" w:type="dxa"/>
          </w:tcPr>
          <w:p w14:paraId="6333DC36" w14:textId="15670632" w:rsidR="002076E0" w:rsidRDefault="002076E0" w:rsidP="005A1E61">
            <w:pPr>
              <w:jc w:val="center"/>
            </w:pPr>
            <w:r>
              <w:t>90.41</w:t>
            </w:r>
          </w:p>
        </w:tc>
        <w:tc>
          <w:tcPr>
            <w:tcW w:w="2265" w:type="dxa"/>
          </w:tcPr>
          <w:p w14:paraId="428A0DFB" w14:textId="1FBCA2FD" w:rsidR="002076E0" w:rsidRDefault="002076E0" w:rsidP="005A1E61">
            <w:pPr>
              <w:jc w:val="center"/>
            </w:pPr>
            <w:r>
              <w:t>18%</w:t>
            </w:r>
          </w:p>
        </w:tc>
      </w:tr>
      <w:tr w:rsidR="002076E0" w14:paraId="2A9195A6" w14:textId="45473BC9" w:rsidTr="005A1E61">
        <w:tc>
          <w:tcPr>
            <w:tcW w:w="2555" w:type="dxa"/>
          </w:tcPr>
          <w:p w14:paraId="63EAA664" w14:textId="1FD99391" w:rsidR="002076E0" w:rsidRPr="005A1E61" w:rsidRDefault="002076E0" w:rsidP="005A1E61">
            <w:pPr>
              <w:jc w:val="center"/>
              <w:rPr>
                <w:b/>
                <w:bCs/>
              </w:rPr>
            </w:pPr>
            <w:r w:rsidRPr="005A1E61">
              <w:rPr>
                <w:b/>
                <w:bCs/>
              </w:rPr>
              <w:t>United Arab Emirates</w:t>
            </w:r>
          </w:p>
        </w:tc>
        <w:tc>
          <w:tcPr>
            <w:tcW w:w="2265" w:type="dxa"/>
          </w:tcPr>
          <w:p w14:paraId="3BFE3759" w14:textId="2C6559B9" w:rsidR="002076E0" w:rsidRDefault="002076E0" w:rsidP="005A1E61">
            <w:pPr>
              <w:jc w:val="center"/>
            </w:pPr>
            <w:r>
              <w:t>200</w:t>
            </w:r>
          </w:p>
        </w:tc>
        <w:tc>
          <w:tcPr>
            <w:tcW w:w="2265" w:type="dxa"/>
          </w:tcPr>
          <w:p w14:paraId="229E3630" w14:textId="10AA0B48" w:rsidR="002076E0" w:rsidRDefault="002076E0" w:rsidP="005A1E61">
            <w:pPr>
              <w:jc w:val="center"/>
            </w:pPr>
            <w:r>
              <w:t>59.08</w:t>
            </w:r>
          </w:p>
        </w:tc>
        <w:tc>
          <w:tcPr>
            <w:tcW w:w="2265" w:type="dxa"/>
          </w:tcPr>
          <w:p w14:paraId="58CD738C" w14:textId="1C29243A" w:rsidR="002076E0" w:rsidRDefault="002076E0" w:rsidP="005A1E61">
            <w:pPr>
              <w:jc w:val="center"/>
            </w:pPr>
            <w:r>
              <w:t>30%</w:t>
            </w:r>
          </w:p>
        </w:tc>
      </w:tr>
      <w:tr w:rsidR="000826B4" w14:paraId="6E2030B1" w14:textId="77777777" w:rsidTr="005A1E61">
        <w:tc>
          <w:tcPr>
            <w:tcW w:w="2555" w:type="dxa"/>
          </w:tcPr>
          <w:p w14:paraId="229CD46C" w14:textId="5730C35C" w:rsidR="000826B4" w:rsidRPr="005A1E61" w:rsidRDefault="000826B4" w:rsidP="005A1E61">
            <w:pPr>
              <w:jc w:val="center"/>
              <w:rPr>
                <w:b/>
                <w:bCs/>
              </w:rPr>
            </w:pPr>
            <w:r>
              <w:rPr>
                <w:b/>
                <w:bCs/>
              </w:rPr>
              <w:t>GCC Total</w:t>
            </w:r>
          </w:p>
        </w:tc>
        <w:tc>
          <w:tcPr>
            <w:tcW w:w="2265" w:type="dxa"/>
          </w:tcPr>
          <w:p w14:paraId="758DEDFA" w14:textId="7AB5B4B9" w:rsidR="000826B4" w:rsidRDefault="000826B4" w:rsidP="005A1E61">
            <w:pPr>
              <w:jc w:val="center"/>
            </w:pPr>
            <w:r>
              <w:t>1906.5</w:t>
            </w:r>
          </w:p>
        </w:tc>
        <w:tc>
          <w:tcPr>
            <w:tcW w:w="2265" w:type="dxa"/>
          </w:tcPr>
          <w:p w14:paraId="60EF793E" w14:textId="44FA70E9" w:rsidR="000826B4" w:rsidRDefault="000826B4" w:rsidP="005A1E61">
            <w:pPr>
              <w:jc w:val="center"/>
            </w:pPr>
            <w:r>
              <w:t>419.63</w:t>
            </w:r>
          </w:p>
        </w:tc>
        <w:tc>
          <w:tcPr>
            <w:tcW w:w="2265" w:type="dxa"/>
          </w:tcPr>
          <w:p w14:paraId="5E0B2F3D" w14:textId="0D077604" w:rsidR="000826B4" w:rsidRDefault="000826B4" w:rsidP="005A1E61">
            <w:pPr>
              <w:jc w:val="center"/>
            </w:pPr>
            <w:r>
              <w:t>22%</w:t>
            </w:r>
          </w:p>
        </w:tc>
      </w:tr>
      <w:tr w:rsidR="002076E0" w14:paraId="49CD09C9" w14:textId="5CD6A06B" w:rsidTr="005D6B9D">
        <w:trPr>
          <w:trHeight w:val="242"/>
        </w:trPr>
        <w:tc>
          <w:tcPr>
            <w:tcW w:w="2555" w:type="dxa"/>
          </w:tcPr>
          <w:p w14:paraId="56898EC2" w14:textId="576ECC23" w:rsidR="002076E0" w:rsidRPr="005A1E61" w:rsidRDefault="002076E0" w:rsidP="005A1E61">
            <w:pPr>
              <w:jc w:val="center"/>
              <w:rPr>
                <w:b/>
                <w:bCs/>
              </w:rPr>
            </w:pPr>
            <w:r w:rsidRPr="005A1E61">
              <w:rPr>
                <w:b/>
                <w:bCs/>
              </w:rPr>
              <w:t>Worldwide Total</w:t>
            </w:r>
          </w:p>
        </w:tc>
        <w:tc>
          <w:tcPr>
            <w:tcW w:w="2265" w:type="dxa"/>
          </w:tcPr>
          <w:p w14:paraId="763687A2" w14:textId="667F79C8" w:rsidR="002076E0" w:rsidRDefault="002076E0" w:rsidP="005A1E61">
            <w:pPr>
              <w:jc w:val="center"/>
            </w:pPr>
            <w:r>
              <w:t>3499</w:t>
            </w:r>
          </w:p>
        </w:tc>
        <w:tc>
          <w:tcPr>
            <w:tcW w:w="2265" w:type="dxa"/>
          </w:tcPr>
          <w:p w14:paraId="24FE45EB" w14:textId="375B4A3A" w:rsidR="002076E0" w:rsidRDefault="002076E0" w:rsidP="005A1E61">
            <w:pPr>
              <w:jc w:val="center"/>
            </w:pPr>
            <w:r>
              <w:t>1796</w:t>
            </w:r>
          </w:p>
        </w:tc>
        <w:tc>
          <w:tcPr>
            <w:tcW w:w="2265" w:type="dxa"/>
          </w:tcPr>
          <w:p w14:paraId="30D50B8E" w14:textId="3A1AD884" w:rsidR="002076E0" w:rsidRDefault="002076E0" w:rsidP="00AB0065">
            <w:pPr>
              <w:keepNext/>
              <w:jc w:val="center"/>
            </w:pPr>
            <w:r>
              <w:t>51%</w:t>
            </w:r>
          </w:p>
        </w:tc>
      </w:tr>
    </w:tbl>
    <w:p w14:paraId="529A6018" w14:textId="1D93B011" w:rsidR="00AB0065" w:rsidRPr="007F1585" w:rsidRDefault="007F1585" w:rsidP="007F1585">
      <w:pPr>
        <w:pStyle w:val="Caption"/>
        <w:jc w:val="center"/>
        <w:rPr>
          <w:i w:val="0"/>
          <w:iCs w:val="0"/>
        </w:rPr>
      </w:pPr>
      <w:r w:rsidRPr="007F1585">
        <w:rPr>
          <w:i w:val="0"/>
          <w:iCs w:val="0"/>
        </w:rPr>
        <w:t>Source: World Bank</w:t>
      </w:r>
      <w:r w:rsidR="004D3569">
        <w:rPr>
          <w:i w:val="0"/>
          <w:iCs w:val="0"/>
        </w:rPr>
        <w:t xml:space="preserve">, </w:t>
      </w:r>
      <w:r w:rsidR="009C20AB">
        <w:rPr>
          <w:i w:val="0"/>
          <w:iCs w:val="0"/>
        </w:rPr>
        <w:t>2016</w:t>
      </w:r>
    </w:p>
    <w:p w14:paraId="57799EEB" w14:textId="6ABC9D23" w:rsidR="00606410" w:rsidRDefault="00A761A3" w:rsidP="004F22E6">
      <w:pPr>
        <w:jc w:val="both"/>
      </w:pPr>
      <w:r w:rsidRPr="00A761A3">
        <w:t xml:space="preserve">Various factors explain the slow trickle of donor funding. For donors outside the Middle East, donor-fatigue seems to represent one reason behind the slow disbursal. </w:t>
      </w:r>
      <w:r w:rsidR="005956CE">
        <w:t>D</w:t>
      </w:r>
      <w:r w:rsidRPr="00A761A3">
        <w:t>onors appear to appreciate the severity of the humanitarian situation in Gaza, as demonstrated by the pledges made in Cairo</w:t>
      </w:r>
      <w:r w:rsidR="00DF08DA">
        <w:t>.</w:t>
      </w:r>
      <w:r w:rsidR="00DF08DA" w:rsidRPr="00A761A3">
        <w:t xml:space="preserve"> </w:t>
      </w:r>
      <w:r w:rsidR="005956CE">
        <w:t xml:space="preserve">Despite this, a </w:t>
      </w:r>
      <w:r w:rsidRPr="00A761A3">
        <w:t>sense of futility took hold over some of the Western donors, as they saw their previous investments go up in</w:t>
      </w:r>
      <w:r w:rsidR="00042B6A">
        <w:t xml:space="preserve"> the</w:t>
      </w:r>
      <w:r w:rsidRPr="00A761A3">
        <w:t xml:space="preserve"> flame</w:t>
      </w:r>
      <w:r w:rsidR="00DE0C58">
        <w:t>s</w:t>
      </w:r>
      <w:r w:rsidR="00042B6A">
        <w:t xml:space="preserve"> of war</w:t>
      </w:r>
      <w:r w:rsidRPr="00A761A3">
        <w:t xml:space="preserve"> for the second, and in some cases, third time, </w:t>
      </w:r>
      <w:r w:rsidR="00745A7A">
        <w:t>making them</w:t>
      </w:r>
      <w:r w:rsidRPr="00A761A3">
        <w:t xml:space="preserve"> </w:t>
      </w:r>
      <w:r w:rsidR="004F22E6">
        <w:t>apprehensive</w:t>
      </w:r>
      <w:r w:rsidR="004F22E6" w:rsidRPr="00A761A3">
        <w:t xml:space="preserve"> </w:t>
      </w:r>
      <w:r w:rsidR="00745A7A">
        <w:t>about providing</w:t>
      </w:r>
      <w:r w:rsidRPr="00A761A3">
        <w:t xml:space="preserve"> </w:t>
      </w:r>
      <w:r w:rsidR="00790546">
        <w:t>further</w:t>
      </w:r>
      <w:r w:rsidRPr="00A761A3">
        <w:t xml:space="preserve"> funding.</w:t>
      </w:r>
    </w:p>
    <w:p w14:paraId="78A642FF" w14:textId="484CE085" w:rsidR="00042B6A" w:rsidRPr="00A761A3" w:rsidRDefault="00A761A3" w:rsidP="00672356">
      <w:pPr>
        <w:jc w:val="both"/>
        <w:rPr>
          <w:b/>
        </w:rPr>
      </w:pPr>
      <w:r w:rsidRPr="00A761A3">
        <w:lastRenderedPageBreak/>
        <w:t>On the other hand, the Middle East</w:t>
      </w:r>
      <w:r w:rsidR="00234069">
        <w:t>ern</w:t>
      </w:r>
      <w:r w:rsidRPr="00A761A3">
        <w:t xml:space="preserve"> states that pledged donations to Gaza’s reconstruction have explicitly and implicitly demonstrated political positions that </w:t>
      </w:r>
      <w:r w:rsidR="00790546">
        <w:t xml:space="preserve">have </w:t>
      </w:r>
      <w:r w:rsidRPr="00A761A3">
        <w:t>reflect</w:t>
      </w:r>
      <w:r w:rsidR="00790546">
        <w:t>ed a</w:t>
      </w:r>
      <w:r w:rsidRPr="00A761A3">
        <w:t xml:space="preserve"> polarization into two camps following the Arab Spring. </w:t>
      </w:r>
      <w:r w:rsidR="00042B6A">
        <w:t>O</w:t>
      </w:r>
      <w:r w:rsidR="00042B6A" w:rsidRPr="00A761A3">
        <w:t>n one level or another</w:t>
      </w:r>
      <w:r w:rsidR="00042B6A">
        <w:t>,</w:t>
      </w:r>
      <w:r w:rsidR="00042B6A" w:rsidRPr="00A761A3">
        <w:t xml:space="preserve"> </w:t>
      </w:r>
      <w:r w:rsidRPr="00A761A3">
        <w:t xml:space="preserve">Egypt, Kuwait, Saudi Arabia, and the </w:t>
      </w:r>
      <w:r w:rsidR="001F72B9">
        <w:t xml:space="preserve">UAE </w:t>
      </w:r>
      <w:r w:rsidRPr="00A761A3">
        <w:t xml:space="preserve">oppose Hamas, </w:t>
      </w:r>
      <w:r w:rsidR="00234069">
        <w:t>having expressed</w:t>
      </w:r>
      <w:r w:rsidR="00042B6A">
        <w:t xml:space="preserve"> concern over the organization’s</w:t>
      </w:r>
      <w:r w:rsidR="00042B6A" w:rsidRPr="00A761A3">
        <w:t xml:space="preserve"> </w:t>
      </w:r>
      <w:r w:rsidRPr="00A761A3">
        <w:t xml:space="preserve">ties to the Muslim Brotherhood. </w:t>
      </w:r>
      <w:r w:rsidR="00042B6A" w:rsidRPr="00A761A3">
        <w:t xml:space="preserve">Countries in opposition to Hamas do </w:t>
      </w:r>
      <w:r w:rsidR="008A52B3">
        <w:t>not want to send money to Gaza to avoid</w:t>
      </w:r>
      <w:r w:rsidR="00042B6A" w:rsidRPr="00A761A3">
        <w:t xml:space="preserve"> bolster</w:t>
      </w:r>
      <w:r w:rsidR="008A52B3">
        <w:t>ing local</w:t>
      </w:r>
      <w:r w:rsidR="00042B6A" w:rsidRPr="00A761A3">
        <w:t xml:space="preserve"> support </w:t>
      </w:r>
      <w:r w:rsidR="00745A7A">
        <w:t>for</w:t>
      </w:r>
      <w:r w:rsidR="00042B6A" w:rsidRPr="00A761A3">
        <w:t xml:space="preserve"> the Islamist movement. They also </w:t>
      </w:r>
      <w:r w:rsidR="00042B6A">
        <w:t>rely</w:t>
      </w:r>
      <w:r w:rsidR="00042B6A" w:rsidRPr="00A761A3">
        <w:t xml:space="preserve"> on the assumption that slower reconstruction would erode Hamas’ legitimacy </w:t>
      </w:r>
      <w:r w:rsidR="00745A7A">
        <w:t>in the Strip, ultimately forcing</w:t>
      </w:r>
      <w:r w:rsidR="00042B6A" w:rsidRPr="00A761A3">
        <w:t xml:space="preserve"> </w:t>
      </w:r>
      <w:r w:rsidR="00745A7A">
        <w:t>a</w:t>
      </w:r>
      <w:r w:rsidR="00042B6A" w:rsidRPr="00A761A3">
        <w:t xml:space="preserve"> return </w:t>
      </w:r>
      <w:r w:rsidR="00042B6A">
        <w:t xml:space="preserve">to </w:t>
      </w:r>
      <w:r w:rsidR="00042B6A" w:rsidRPr="00A761A3">
        <w:t xml:space="preserve">the political arrangements </w:t>
      </w:r>
      <w:r w:rsidR="00042B6A">
        <w:t xml:space="preserve">that preceded </w:t>
      </w:r>
      <w:r w:rsidR="00745A7A">
        <w:t>the organization’s</w:t>
      </w:r>
      <w:r w:rsidR="00616D4E">
        <w:t xml:space="preserve"> </w:t>
      </w:r>
      <w:r w:rsidR="00672356" w:rsidRPr="00A761A3">
        <w:t>200</w:t>
      </w:r>
      <w:r w:rsidR="00672356">
        <w:t xml:space="preserve">7 </w:t>
      </w:r>
      <w:r w:rsidR="00745A7A">
        <w:t>unilateral take</w:t>
      </w:r>
      <w:r w:rsidR="00042B6A" w:rsidRPr="00A761A3">
        <w:t xml:space="preserve">over. </w:t>
      </w:r>
    </w:p>
    <w:p w14:paraId="4C2A96A6" w14:textId="20A64586" w:rsidR="007F2765" w:rsidRDefault="00A761A3" w:rsidP="0056478C">
      <w:pPr>
        <w:jc w:val="both"/>
      </w:pPr>
      <w:r w:rsidRPr="00A761A3">
        <w:t xml:space="preserve">Meanwhile, Qatar and Turkey have delivered </w:t>
      </w:r>
      <w:r w:rsidR="008A52B3">
        <w:t>the</w:t>
      </w:r>
      <w:r w:rsidR="00E62AC3">
        <w:t xml:space="preserve"> two</w:t>
      </w:r>
      <w:r w:rsidR="008A52B3">
        <w:t xml:space="preserve"> largest </w:t>
      </w:r>
      <w:r w:rsidR="00E62AC3">
        <w:t>aid packages to Gaza</w:t>
      </w:r>
      <w:r w:rsidR="008A52B3">
        <w:t xml:space="preserve"> </w:t>
      </w:r>
      <w:r w:rsidR="00693982">
        <w:t xml:space="preserve">out of all </w:t>
      </w:r>
      <w:r w:rsidRPr="00A761A3">
        <w:t>Middle Easter</w:t>
      </w:r>
      <w:r w:rsidR="00E62AC3">
        <w:t>n</w:t>
      </w:r>
      <w:r w:rsidRPr="00A761A3">
        <w:t xml:space="preserve"> countr</w:t>
      </w:r>
      <w:r w:rsidR="00E62AC3">
        <w:t xml:space="preserve">ies </w:t>
      </w:r>
      <w:r w:rsidR="008A52B3">
        <w:t>($216.06 and $139.48 million respectively)</w:t>
      </w:r>
      <w:r w:rsidR="00042B6A">
        <w:t>. T</w:t>
      </w:r>
      <w:r w:rsidRPr="00A761A3">
        <w:t>hey have done so because they were able to employ their close political ties to Hamas</w:t>
      </w:r>
      <w:r w:rsidR="00295387">
        <w:t>—</w:t>
      </w:r>
      <w:r w:rsidRPr="00A761A3">
        <w:t xml:space="preserve">having exhibited fewer reservations than their regional neighbors in providing assistance via Gaza’s de facto government. For example, </w:t>
      </w:r>
      <w:r w:rsidR="00295387">
        <w:t xml:space="preserve">in July 2016 </w:t>
      </w:r>
      <w:r w:rsidRPr="00A761A3">
        <w:t>Qatar contributed $30 million to pay the salaries of a consid</w:t>
      </w:r>
      <w:r w:rsidR="00CA6D67">
        <w:t>erable section of Gaza’s public-</w:t>
      </w:r>
      <w:r w:rsidRPr="00A761A3">
        <w:t xml:space="preserve">sector employees, who were left </w:t>
      </w:r>
      <w:r w:rsidR="00CA6D67">
        <w:t>without pay</w:t>
      </w:r>
      <w:r w:rsidRPr="00A761A3">
        <w:t xml:space="preserve"> since 2013 </w:t>
      </w:r>
      <w:r w:rsidR="00DF08DA" w:rsidRPr="00A761A3">
        <w:t>because</w:t>
      </w:r>
      <w:r w:rsidRPr="00A761A3">
        <w:t xml:space="preserve"> of a disagreement between </w:t>
      </w:r>
      <w:r w:rsidR="00042B6A">
        <w:t xml:space="preserve">the </w:t>
      </w:r>
      <w:r w:rsidRPr="00A761A3">
        <w:t>PA and Hamas.</w:t>
      </w:r>
      <w:r w:rsidRPr="00A761A3">
        <w:rPr>
          <w:vertAlign w:val="superscript"/>
        </w:rPr>
        <w:footnoteReference w:id="11"/>
      </w:r>
      <w:r w:rsidRPr="00A761A3">
        <w:t xml:space="preserve"> </w:t>
      </w:r>
      <w:r w:rsidR="00693982">
        <w:t>However, those generous deliveries are rare, and t</w:t>
      </w:r>
      <w:r w:rsidR="00693982" w:rsidRPr="00693982">
        <w:t xml:space="preserve">he shortage of donor funds continues to slow the reconstruction of Gaza. Since the World Bank released its pledge disbursal report in </w:t>
      </w:r>
      <w:r w:rsidR="0056478C">
        <w:t>December</w:t>
      </w:r>
      <w:r w:rsidR="0056478C" w:rsidRPr="00693982">
        <w:t xml:space="preserve"> </w:t>
      </w:r>
      <w:r w:rsidR="00693982" w:rsidRPr="00693982">
        <w:t xml:space="preserve">2016, funding did not see any increases. </w:t>
      </w:r>
    </w:p>
    <w:p w14:paraId="65F4C92B" w14:textId="1CBDEFE7" w:rsidR="00A761A3" w:rsidRPr="00A761A3" w:rsidRDefault="005D6B9D" w:rsidP="0056478C">
      <w:pPr>
        <w:jc w:val="both"/>
        <w:rPr>
          <w:b/>
        </w:rPr>
      </w:pPr>
      <w:r>
        <w:t>In fact, b</w:t>
      </w:r>
      <w:r w:rsidR="00693982" w:rsidRPr="00A761A3">
        <w:t xml:space="preserve">arring a final political solution to the Israeli-Palestinian conflict, donors will </w:t>
      </w:r>
      <w:r w:rsidR="00693982">
        <w:t xml:space="preserve">continue to </w:t>
      </w:r>
      <w:r w:rsidR="00693982" w:rsidRPr="00A761A3">
        <w:t xml:space="preserve">reluctantly donate money to Gaza, a place that faces a perpetual cycle of destruction and reconstruction. </w:t>
      </w:r>
      <w:r w:rsidR="0056478C">
        <w:t>A</w:t>
      </w:r>
      <w:r w:rsidR="00790546" w:rsidRPr="00843669">
        <w:t xml:space="preserve">bove all, a political settlement between the Israeli government and the Palestinians </w:t>
      </w:r>
      <w:r w:rsidR="00790546">
        <w:t xml:space="preserve">is the measure </w:t>
      </w:r>
      <w:r w:rsidR="00113EAE">
        <w:t xml:space="preserve">that </w:t>
      </w:r>
      <w:r w:rsidR="00790546" w:rsidRPr="00247AD3">
        <w:t>would</w:t>
      </w:r>
      <w:r w:rsidR="00790546" w:rsidRPr="00843669">
        <w:t xml:space="preserve"> </w:t>
      </w:r>
      <w:r w:rsidR="00790546">
        <w:t xml:space="preserve">most </w:t>
      </w:r>
      <w:r w:rsidR="00790546" w:rsidRPr="00843669">
        <w:t xml:space="preserve">dramatically </w:t>
      </w:r>
      <w:r w:rsidR="00CA6D67">
        <w:t>improve</w:t>
      </w:r>
      <w:r w:rsidR="00790546" w:rsidRPr="00843669">
        <w:t xml:space="preserve"> the conditions in Gaza. </w:t>
      </w:r>
      <w:r w:rsidR="00790546" w:rsidRPr="00247AD3">
        <w:t>However, w</w:t>
      </w:r>
      <w:r w:rsidR="00790546" w:rsidRPr="00843669">
        <w:t xml:space="preserve">ith the creation of the most conservative Israeli governing coalition in the Jewish state’s history, a lack of political will on the part of Israeli Prime Minister Benjamin Netanyahu to negotiate with the Palestinians, and the intransigence of the PA and Hamas to form a unity government, a final settlement to end the decades long conflict </w:t>
      </w:r>
      <w:r w:rsidR="000819B6">
        <w:t>seems like a fantasy.</w:t>
      </w:r>
      <w:r w:rsidR="00790546" w:rsidRPr="00843669">
        <w:t xml:space="preserve"> </w:t>
      </w:r>
    </w:p>
    <w:p w14:paraId="7AD664B0" w14:textId="3D77EC51" w:rsidR="00A761A3" w:rsidRPr="00A761A3" w:rsidRDefault="00600D8E" w:rsidP="005A1E61">
      <w:pPr>
        <w:tabs>
          <w:tab w:val="left" w:pos="5640"/>
        </w:tabs>
        <w:jc w:val="both"/>
        <w:rPr>
          <w:b/>
        </w:rPr>
      </w:pPr>
      <w:r>
        <w:rPr>
          <w:b/>
        </w:rPr>
        <w:t>What is the</w:t>
      </w:r>
      <w:r w:rsidR="00FA7B79">
        <w:rPr>
          <w:b/>
        </w:rPr>
        <w:t xml:space="preserve"> </w:t>
      </w:r>
      <w:r w:rsidR="00A761A3" w:rsidRPr="00A761A3">
        <w:rPr>
          <w:b/>
        </w:rPr>
        <w:t>Gaza Reconstruction Mechanism</w:t>
      </w:r>
      <w:r>
        <w:rPr>
          <w:b/>
        </w:rPr>
        <w:t>?</w:t>
      </w:r>
    </w:p>
    <w:p w14:paraId="1C70D97F" w14:textId="55A212C7" w:rsidR="00F60D24" w:rsidRDefault="00CA6D67" w:rsidP="0056478C">
      <w:pPr>
        <w:jc w:val="both"/>
      </w:pPr>
      <w:r>
        <w:t>Given these obstacles, t</w:t>
      </w:r>
      <w:r w:rsidR="00A761A3" w:rsidRPr="00A761A3">
        <w:t>he GRM</w:t>
      </w:r>
      <w:r>
        <w:t xml:space="preserve"> was</w:t>
      </w:r>
      <w:r w:rsidR="000B3D22">
        <w:t xml:space="preserve"> initiated in September 2014</w:t>
      </w:r>
      <w:r>
        <w:t xml:space="preserve"> in an attempt to reconstruct Gaza through</w:t>
      </w:r>
      <w:r w:rsidR="00A761A3" w:rsidRPr="00A761A3">
        <w:t xml:space="preserve"> a multi-tiered</w:t>
      </w:r>
      <w:r w:rsidR="00F52C47">
        <w:t xml:space="preserve"> </w:t>
      </w:r>
      <w:r>
        <w:t>mechanism</w:t>
      </w:r>
      <w:r w:rsidR="00A761A3" w:rsidRPr="00A761A3">
        <w:t xml:space="preserve"> involving the Israeli government, the PA, and the </w:t>
      </w:r>
      <w:r w:rsidR="00032BAC">
        <w:t>U</w:t>
      </w:r>
      <w:r w:rsidR="008A5BB9">
        <w:t>.</w:t>
      </w:r>
      <w:r w:rsidR="00032BAC">
        <w:t>N</w:t>
      </w:r>
      <w:r w:rsidR="00A761A3" w:rsidRPr="00A761A3">
        <w:t>.</w:t>
      </w:r>
      <w:r w:rsidR="00F60D24">
        <w:t xml:space="preserve"> A</w:t>
      </w:r>
      <w:r w:rsidR="00F60D24" w:rsidRPr="00A761A3">
        <w:t>t the time of the GRM’s inception</w:t>
      </w:r>
      <w:r w:rsidR="00F60D24">
        <w:t>,</w:t>
      </w:r>
      <w:r w:rsidR="00F60D24" w:rsidRPr="00A761A3">
        <w:t xml:space="preserve"> Robert Serry—the </w:t>
      </w:r>
      <w:r w:rsidR="00F60D24">
        <w:t>U.N. Special Coordinator for the Middle East Peace Process (U</w:t>
      </w:r>
      <w:r w:rsidR="00F60D24" w:rsidRPr="00A761A3">
        <w:t>NSCO</w:t>
      </w:r>
      <w:r w:rsidR="00F60D24">
        <w:t>)</w:t>
      </w:r>
      <w:r w:rsidR="00F60D24" w:rsidRPr="00A761A3">
        <w:t>—</w:t>
      </w:r>
      <w:r w:rsidR="00F60D24">
        <w:t xml:space="preserve">promoted </w:t>
      </w:r>
      <w:r>
        <w:t>it</w:t>
      </w:r>
      <w:r w:rsidR="00F60D24" w:rsidRPr="00A761A3">
        <w:t xml:space="preserve"> </w:t>
      </w:r>
      <w:r w:rsidR="00F60D24">
        <w:t xml:space="preserve">as a means of coordination between the PA and the Israeli government to </w:t>
      </w:r>
      <w:r w:rsidR="000B3D22">
        <w:t>expedite reconstruction</w:t>
      </w:r>
      <w:r w:rsidR="00F60D24">
        <w:t xml:space="preserve">. </w:t>
      </w:r>
      <w:r w:rsidR="00BB34DE">
        <w:t>It was instated to</w:t>
      </w:r>
      <w:r w:rsidR="00BB34DE" w:rsidRPr="00A761A3">
        <w:t xml:space="preserve"> </w:t>
      </w:r>
      <w:r w:rsidR="000B3D22">
        <w:t>ease</w:t>
      </w:r>
      <w:r w:rsidR="00BB34DE" w:rsidRPr="00A761A3">
        <w:t xml:space="preserve"> the flow of construction materials into Gaza </w:t>
      </w:r>
      <w:r w:rsidR="0056478C">
        <w:t xml:space="preserve">by </w:t>
      </w:r>
      <w:r w:rsidR="00BB34DE">
        <w:t>creating</w:t>
      </w:r>
      <w:r w:rsidR="00BB34DE" w:rsidRPr="00A761A3">
        <w:t xml:space="preserve"> a direct line of communication between COGAT and the PA, with the </w:t>
      </w:r>
      <w:r w:rsidR="00693982">
        <w:t>U.N.</w:t>
      </w:r>
      <w:r w:rsidR="00BB34DE" w:rsidRPr="00A761A3">
        <w:t xml:space="preserve"> serving as an inter</w:t>
      </w:r>
      <w:r w:rsidR="00BB34DE">
        <w:t xml:space="preserve">mediary between the two parties. </w:t>
      </w:r>
      <w:r w:rsidR="00AB769D">
        <w:t>During</w:t>
      </w:r>
      <w:r w:rsidR="00693982">
        <w:t xml:space="preserve"> </w:t>
      </w:r>
      <w:r w:rsidR="00AB769D">
        <w:t>the GRM’s announcement</w:t>
      </w:r>
      <w:r w:rsidR="004D56CE">
        <w:t xml:space="preserve">, Serry </w:t>
      </w:r>
      <w:r w:rsidR="00113EAE">
        <w:t>argued</w:t>
      </w:r>
      <w:r w:rsidR="004D56CE">
        <w:t xml:space="preserve"> that </w:t>
      </w:r>
      <w:r w:rsidR="00AB769D">
        <w:t>it</w:t>
      </w:r>
      <w:r w:rsidR="004D56CE">
        <w:t xml:space="preserve"> would not only address Israeli security concerns, but it would also reinforce donor confidence, providing necessary funding for </w:t>
      </w:r>
      <w:r w:rsidR="00687C61">
        <w:t xml:space="preserve">such </w:t>
      </w:r>
      <w:r w:rsidR="004D56CE">
        <w:t>reconstruction</w:t>
      </w:r>
      <w:r w:rsidR="00687C61">
        <w:t xml:space="preserve"> to take place</w:t>
      </w:r>
      <w:r w:rsidR="004D56CE">
        <w:t>.</w:t>
      </w:r>
      <w:r w:rsidR="00AB769D">
        <w:rPr>
          <w:rStyle w:val="FootnoteReference"/>
        </w:rPr>
        <w:footnoteReference w:id="12"/>
      </w:r>
      <w:r w:rsidR="004D56CE">
        <w:t xml:space="preserve"> </w:t>
      </w:r>
      <w:r w:rsidR="004D56CE" w:rsidRPr="00A761A3">
        <w:t xml:space="preserve"> </w:t>
      </w:r>
    </w:p>
    <w:p w14:paraId="0153A807" w14:textId="2D548D7A" w:rsidR="00F20EC5" w:rsidRPr="00A761A3" w:rsidRDefault="00F60D24" w:rsidP="009440F5">
      <w:pPr>
        <w:jc w:val="both"/>
      </w:pPr>
      <w:r w:rsidRPr="00A761A3">
        <w:t>Through the GRM, an extensive system of inspection and monitoring of imports to Gaza was created.  The theory behind this three-party arrangement was that by satisfying the security concerns of Israel, the U</w:t>
      </w:r>
      <w:r w:rsidR="00BB34DE">
        <w:t>.</w:t>
      </w:r>
      <w:r w:rsidRPr="00A761A3">
        <w:t>N</w:t>
      </w:r>
      <w:r w:rsidR="00BB34DE">
        <w:t>.</w:t>
      </w:r>
      <w:r w:rsidRPr="00A761A3">
        <w:t xml:space="preserve"> </w:t>
      </w:r>
      <w:r w:rsidRPr="00A761A3">
        <w:lastRenderedPageBreak/>
        <w:t xml:space="preserve">and PA would speed up import of construction materials into Gaza, and as such help rebuild </w:t>
      </w:r>
      <w:r w:rsidR="00600D8E">
        <w:t>it in</w:t>
      </w:r>
      <w:r w:rsidRPr="00A761A3">
        <w:t xml:space="preserve"> the aftermath of</w:t>
      </w:r>
      <w:r w:rsidR="00FD4196">
        <w:t xml:space="preserve"> the</w:t>
      </w:r>
      <w:r w:rsidRPr="00A761A3">
        <w:t xml:space="preserve"> destruction caused by the war</w:t>
      </w:r>
      <w:r w:rsidR="00F20EC5">
        <w:t>,</w:t>
      </w:r>
      <w:r w:rsidRPr="00A761A3">
        <w:t xml:space="preserve"> while </w:t>
      </w:r>
      <w:r w:rsidR="009440F5">
        <w:t xml:space="preserve">simultaneously </w:t>
      </w:r>
      <w:r w:rsidRPr="00A761A3">
        <w:t>creating badly needed job opportunities for young Gazans in the private construction sector.</w:t>
      </w:r>
      <w:r w:rsidRPr="00F60D24">
        <w:t xml:space="preserve"> </w:t>
      </w:r>
      <w:r w:rsidR="00BB34DE" w:rsidRPr="00A761A3">
        <w:t>UNSCO define</w:t>
      </w:r>
      <w:r w:rsidR="00BB34DE">
        <w:t>d the GRM as a short-term arrangement</w:t>
      </w:r>
      <w:r w:rsidR="00BB34DE" w:rsidRPr="00A761A3">
        <w:t xml:space="preserve">, </w:t>
      </w:r>
      <w:r w:rsidR="00BB34DE">
        <w:t>although it</w:t>
      </w:r>
      <w:r w:rsidR="00BB34DE" w:rsidRPr="00A761A3">
        <w:t xml:space="preserve"> did not establish an end date for the mechanism.</w:t>
      </w:r>
      <w:r w:rsidR="00BB34DE" w:rsidRPr="00A761A3">
        <w:rPr>
          <w:vertAlign w:val="superscript"/>
        </w:rPr>
        <w:footnoteReference w:id="13"/>
      </w:r>
      <w:r w:rsidR="00BB34DE" w:rsidRPr="00F20EC5">
        <w:t xml:space="preserve"> </w:t>
      </w:r>
      <w:r w:rsidR="00BB34DE">
        <w:t>A</w:t>
      </w:r>
      <w:r w:rsidR="000A53AE">
        <w:t>cknowledging the unsustainability of the situation in Gaza, Serry remarked that, “we consider this temporary mechanism [the GRM] an important step towards the objective of lifting all remaining closures.”</w:t>
      </w:r>
      <w:r w:rsidR="000A53AE">
        <w:rPr>
          <w:rStyle w:val="FootnoteReference"/>
        </w:rPr>
        <w:footnoteReference w:id="14"/>
      </w:r>
      <w:r w:rsidR="000A53AE">
        <w:t xml:space="preserve"> </w:t>
      </w:r>
      <w:r w:rsidR="00BB34DE">
        <w:t>On paper, t</w:t>
      </w:r>
      <w:r w:rsidR="00F20EC5">
        <w:t>he</w:t>
      </w:r>
      <w:r w:rsidR="00BB34DE">
        <w:t xml:space="preserve"> general objective of the GRM was</w:t>
      </w:r>
      <w:r w:rsidR="00F20EC5" w:rsidRPr="00A761A3">
        <w:t xml:space="preserve"> “to enable construction</w:t>
      </w:r>
      <w:r w:rsidR="00F20EC5">
        <w:t xml:space="preserve"> </w:t>
      </w:r>
      <w:r w:rsidR="00F20EC5" w:rsidRPr="00A761A3">
        <w:t>and reconstruction work at the large scale now required in the Gaza Strip</w:t>
      </w:r>
      <w:r w:rsidR="00F20EC5">
        <w:t>.</w:t>
      </w:r>
      <w:r w:rsidR="00F20EC5" w:rsidRPr="00A761A3">
        <w:t>”</w:t>
      </w:r>
      <w:r w:rsidR="00F20EC5" w:rsidRPr="00A761A3">
        <w:rPr>
          <w:vertAlign w:val="superscript"/>
        </w:rPr>
        <w:footnoteReference w:id="15"/>
      </w:r>
      <w:r w:rsidR="00F20EC5" w:rsidRPr="00A761A3">
        <w:t xml:space="preserve"> </w:t>
      </w:r>
      <w:r w:rsidR="00F20EC5">
        <w:t xml:space="preserve"> This aim </w:t>
      </w:r>
      <w:r w:rsidR="00BB34DE">
        <w:t>was</w:t>
      </w:r>
      <w:r w:rsidR="00F20EC5">
        <w:t xml:space="preserve"> detailed in four corollary objectives</w:t>
      </w:r>
      <w:r w:rsidR="00F20EC5" w:rsidRPr="00A761A3">
        <w:t>:</w:t>
      </w:r>
    </w:p>
    <w:p w14:paraId="0D02D2E9" w14:textId="18A7C7AE" w:rsidR="000A53AE" w:rsidRDefault="00F20EC5" w:rsidP="005A1E61">
      <w:pPr>
        <w:ind w:left="360"/>
        <w:jc w:val="both"/>
      </w:pPr>
      <w:r>
        <w:t>(a) E</w:t>
      </w:r>
      <w:r w:rsidRPr="00A761A3">
        <w:t xml:space="preserve">nable the Government of Palestine to lead the reconstruction effort;  </w:t>
      </w:r>
      <w:r>
        <w:t>(b)</w:t>
      </w:r>
      <w:r w:rsidRPr="00A761A3">
        <w:t xml:space="preserve"> </w:t>
      </w:r>
      <w:r>
        <w:t>e</w:t>
      </w:r>
      <w:r w:rsidRPr="00A761A3">
        <w:t>nable the Gazan private sector; </w:t>
      </w:r>
      <w:r>
        <w:t>(</w:t>
      </w:r>
      <w:r w:rsidRPr="00A761A3">
        <w:t>c</w:t>
      </w:r>
      <w:r>
        <w:t>)</w:t>
      </w:r>
      <w:r w:rsidRPr="00A761A3">
        <w:t xml:space="preserve"> </w:t>
      </w:r>
      <w:r>
        <w:t>a</w:t>
      </w:r>
      <w:r w:rsidRPr="00A761A3">
        <w:t xml:space="preserve">ssure donors that their investments in construction work in Gaza will be implemented without delay; </w:t>
      </w:r>
      <w:r>
        <w:t>(</w:t>
      </w:r>
      <w:r w:rsidRPr="00A761A3">
        <w:t>d</w:t>
      </w:r>
      <w:r>
        <w:t>)</w:t>
      </w:r>
      <w:r w:rsidRPr="00A761A3">
        <w:t xml:space="preserve"> </w:t>
      </w:r>
      <w:r>
        <w:t>a</w:t>
      </w:r>
      <w:r w:rsidRPr="00A761A3">
        <w:t>ddress Israeli security concerns related to the use of construction and other “dual use</w:t>
      </w:r>
      <w:r>
        <w:t>”</w:t>
      </w:r>
      <w:r w:rsidRPr="00A761A3">
        <w:t xml:space="preserve"> material.</w:t>
      </w:r>
      <w:r w:rsidRPr="00A761A3">
        <w:rPr>
          <w:vertAlign w:val="superscript"/>
        </w:rPr>
        <w:footnoteReference w:id="16"/>
      </w:r>
    </w:p>
    <w:p w14:paraId="62FE7C21" w14:textId="376A9A7F" w:rsidR="00C85790" w:rsidRPr="005A1E61" w:rsidRDefault="00F60D24" w:rsidP="00AA69C1">
      <w:pPr>
        <w:jc w:val="both"/>
      </w:pPr>
      <w:r w:rsidRPr="00A761A3">
        <w:t>On the face of it</w:t>
      </w:r>
      <w:r w:rsidR="00616D4E">
        <w:t>, the</w:t>
      </w:r>
      <w:r w:rsidRPr="00A761A3">
        <w:t xml:space="preserve"> idea seemed like a positive outcome at the time, </w:t>
      </w:r>
      <w:r w:rsidR="00BB34DE">
        <w:t>working in favor</w:t>
      </w:r>
      <w:r w:rsidR="00F20EC5">
        <w:t xml:space="preserve"> </w:t>
      </w:r>
      <w:r w:rsidR="00BB34DE">
        <w:t>of</w:t>
      </w:r>
      <w:r w:rsidRPr="00A761A3">
        <w:t xml:space="preserve"> all involved.  </w:t>
      </w:r>
      <w:r w:rsidR="00C85790">
        <w:t xml:space="preserve">However, </w:t>
      </w:r>
      <w:r w:rsidR="00F20EC5">
        <w:t xml:space="preserve">many of those objectives were lost during implementation. </w:t>
      </w:r>
      <w:r w:rsidR="004D56CE">
        <w:t>It quickly became evident that t</w:t>
      </w:r>
      <w:r w:rsidR="004D56CE" w:rsidRPr="00A761A3">
        <w:t xml:space="preserve">he way the GRM was conceived </w:t>
      </w:r>
      <w:r w:rsidR="00D26C66">
        <w:t>gave</w:t>
      </w:r>
      <w:r w:rsidR="004D56CE" w:rsidRPr="00A761A3">
        <w:t xml:space="preserve"> Israel’s COGAT </w:t>
      </w:r>
      <w:r w:rsidR="004D56CE">
        <w:t>the final word</w:t>
      </w:r>
      <w:r w:rsidR="004D56CE" w:rsidRPr="00A761A3">
        <w:t xml:space="preserve"> over any construction project or constr</w:t>
      </w:r>
      <w:r w:rsidR="004D56CE">
        <w:t>uction materials entering Gaza.</w:t>
      </w:r>
      <w:r w:rsidR="00C85790">
        <w:t xml:space="preserve"> </w:t>
      </w:r>
      <w:r w:rsidR="004D56CE">
        <w:t xml:space="preserve">Thus, </w:t>
      </w:r>
      <w:r w:rsidR="00C85790" w:rsidRPr="00A761A3">
        <w:t>Israel’s security</w:t>
      </w:r>
      <w:r w:rsidR="00C85790">
        <w:t xml:space="preserve"> concerns</w:t>
      </w:r>
      <w:r w:rsidR="00C85790" w:rsidRPr="00A761A3">
        <w:t xml:space="preserve"> </w:t>
      </w:r>
      <w:r w:rsidR="000B3D22">
        <w:t>were prioritized</w:t>
      </w:r>
      <w:r w:rsidR="00C85790" w:rsidRPr="00A761A3">
        <w:t xml:space="preserve">. </w:t>
      </w:r>
      <w:r w:rsidR="004D56CE">
        <w:t xml:space="preserve">Meanwhile, </w:t>
      </w:r>
      <w:r w:rsidR="000B3D22">
        <w:t>n</w:t>
      </w:r>
      <w:r w:rsidR="000B3D22" w:rsidRPr="00A761A3">
        <w:t>either the PA nor Hamas were given much s</w:t>
      </w:r>
      <w:r w:rsidR="000B3D22">
        <w:t xml:space="preserve">ay over the rebuilding </w:t>
      </w:r>
      <w:r w:rsidR="000B3D22" w:rsidRPr="00D26C66">
        <w:t>process</w:t>
      </w:r>
      <w:r w:rsidR="000B3D22">
        <w:t xml:space="preserve"> and </w:t>
      </w:r>
      <w:r w:rsidR="004D56CE">
        <w:t>l</w:t>
      </w:r>
      <w:r w:rsidR="00C85790">
        <w:t>eadership by the “Government of Palestine” was minimized.</w:t>
      </w:r>
      <w:r w:rsidR="004D30D8" w:rsidRPr="00D26C66">
        <w:t xml:space="preserve"> In fact, t</w:t>
      </w:r>
      <w:r w:rsidR="000B3D22">
        <w:t xml:space="preserve">he mechanism </w:t>
      </w:r>
      <w:r w:rsidR="00C85790" w:rsidRPr="00D26C66">
        <w:t xml:space="preserve">has </w:t>
      </w:r>
      <w:r w:rsidR="00C0449A" w:rsidRPr="00D26C66">
        <w:t xml:space="preserve">failed </w:t>
      </w:r>
      <w:r w:rsidR="004D30D8" w:rsidRPr="00D26C66">
        <w:t xml:space="preserve">even </w:t>
      </w:r>
      <w:r w:rsidR="00C0449A" w:rsidRPr="00D26C66">
        <w:t xml:space="preserve">to address </w:t>
      </w:r>
      <w:r w:rsidR="00C85790" w:rsidRPr="00D26C66">
        <w:t xml:space="preserve">the third </w:t>
      </w:r>
      <w:r w:rsidR="004D30D8" w:rsidRPr="00D26C66">
        <w:t>objective</w:t>
      </w:r>
      <w:r w:rsidR="00C85790" w:rsidRPr="00D26C66">
        <w:t xml:space="preserve">. </w:t>
      </w:r>
      <w:r w:rsidR="00C0449A" w:rsidRPr="00D26C66">
        <w:t xml:space="preserve">Construction has proceeded at a slow pace and with many delays, which has </w:t>
      </w:r>
      <w:r w:rsidR="00D26C66" w:rsidRPr="00D26C66">
        <w:t>discouraged</w:t>
      </w:r>
      <w:r w:rsidR="00C0449A" w:rsidRPr="00D26C66">
        <w:t xml:space="preserve"> donors </w:t>
      </w:r>
      <w:r w:rsidR="00D26C66" w:rsidRPr="00D26C66">
        <w:t>from increasing</w:t>
      </w:r>
      <w:r w:rsidR="00C0449A" w:rsidRPr="00D26C66">
        <w:t xml:space="preserve"> the speed at which they disburse aid to Gaza.</w:t>
      </w:r>
      <w:r w:rsidR="00C0449A" w:rsidRPr="00D26C66">
        <w:rPr>
          <w:vertAlign w:val="superscript"/>
        </w:rPr>
        <w:t xml:space="preserve"> </w:t>
      </w:r>
      <w:r w:rsidR="00AA69C1" w:rsidRPr="00D26C66">
        <w:rPr>
          <w:vertAlign w:val="superscript"/>
        </w:rPr>
        <w:footnoteReference w:id="17"/>
      </w:r>
      <w:r w:rsidR="00AA69C1" w:rsidRPr="004D30D8">
        <w:t xml:space="preserve"> </w:t>
      </w:r>
    </w:p>
    <w:p w14:paraId="2C61FDBA" w14:textId="31581AD2" w:rsidR="00F60D24" w:rsidRDefault="00EE28A8" w:rsidP="00AA69C1">
      <w:pPr>
        <w:jc w:val="both"/>
      </w:pPr>
      <w:r w:rsidRPr="00A761A3">
        <w:t>The purpose of establishing any political tool hinges upon creating a highly efficient and functioning system to reach a defined goal. In theory, that should be the primary purpose of the GRM. It should provide a clear channel of communication between COGAT,</w:t>
      </w:r>
      <w:r w:rsidR="00FD4196">
        <w:t xml:space="preserve"> the</w:t>
      </w:r>
      <w:r w:rsidRPr="00A761A3">
        <w:t xml:space="preserve"> PA, </w:t>
      </w:r>
      <w:r w:rsidR="00FD4196">
        <w:t xml:space="preserve">the </w:t>
      </w:r>
      <w:r>
        <w:t>U.N.</w:t>
      </w:r>
      <w:r w:rsidRPr="00A761A3">
        <w:t xml:space="preserve">, and members of Gaza’s civil society to facilitate reconstruction projects in the Palestinian enclave. </w:t>
      </w:r>
      <w:r>
        <w:t xml:space="preserve"> However, a</w:t>
      </w:r>
      <w:r w:rsidR="004D56CE">
        <w:t>s the following sections will show, g</w:t>
      </w:r>
      <w:r w:rsidR="00F60D24" w:rsidRPr="00A761A3">
        <w:t>iven the underlying causes of the conflict and the absence of political will to make the mechanism work as intended, the GRM ended up creating a cumbersome bureaucracy, which,</w:t>
      </w:r>
      <w:r w:rsidR="00616D4E">
        <w:t xml:space="preserve"> </w:t>
      </w:r>
      <w:r w:rsidR="00AA69C1">
        <w:t>after</w:t>
      </w:r>
      <w:r w:rsidR="00AA69C1" w:rsidRPr="00A761A3">
        <w:t xml:space="preserve"> </w:t>
      </w:r>
      <w:r w:rsidR="00F20EC5">
        <w:t>three years</w:t>
      </w:r>
      <w:r w:rsidR="00F60D24" w:rsidRPr="00A761A3">
        <w:t>, represents at best</w:t>
      </w:r>
      <w:r w:rsidR="00AA69C1">
        <w:t>,</w:t>
      </w:r>
      <w:r w:rsidR="00F60D24" w:rsidRPr="00A761A3">
        <w:t xml:space="preserve"> a system of conflict management, not resolution; and at worst</w:t>
      </w:r>
      <w:r w:rsidR="008A69F4">
        <w:t>,</w:t>
      </w:r>
      <w:r w:rsidR="00F60D24" w:rsidRPr="00A761A3">
        <w:t xml:space="preserve"> an institutionalization of the Israeli siege of Gaza. </w:t>
      </w:r>
    </w:p>
    <w:p w14:paraId="371C08FE" w14:textId="02A74BCE" w:rsidR="00B071E6" w:rsidRPr="005A1E61" w:rsidRDefault="00FD4196" w:rsidP="00592F1D">
      <w:pPr>
        <w:jc w:val="both"/>
        <w:rPr>
          <w:b/>
          <w:bCs/>
        </w:rPr>
      </w:pPr>
      <w:r>
        <w:rPr>
          <w:b/>
          <w:bCs/>
        </w:rPr>
        <w:t>Lagging Progress</w:t>
      </w:r>
    </w:p>
    <w:p w14:paraId="271933C2" w14:textId="112B7FB6" w:rsidR="009323CF" w:rsidRDefault="00994C25" w:rsidP="005A1EA5">
      <w:pPr>
        <w:jc w:val="both"/>
      </w:pPr>
      <w:r>
        <w:lastRenderedPageBreak/>
        <w:t>T</w:t>
      </w:r>
      <w:r w:rsidR="00592F1D" w:rsidRPr="00A761A3">
        <w:t>he 2014 war caused a wide ar</w:t>
      </w:r>
      <w:r w:rsidR="00592F1D">
        <w:t xml:space="preserve">ray of damages to 171,000 homes, </w:t>
      </w:r>
      <w:r w:rsidR="00592F1D" w:rsidRPr="00A761A3">
        <w:t>rang</w:t>
      </w:r>
      <w:r w:rsidR="00592F1D">
        <w:t>ing</w:t>
      </w:r>
      <w:r w:rsidR="00592F1D" w:rsidRPr="00A761A3">
        <w:t xml:space="preserve"> from minor damages </w:t>
      </w:r>
      <w:r w:rsidR="00592F1D">
        <w:t xml:space="preserve">to </w:t>
      </w:r>
      <w:r w:rsidR="00592F1D" w:rsidRPr="00A761A3">
        <w:t xml:space="preserve">complete </w:t>
      </w:r>
      <w:r w:rsidR="00592F1D">
        <w:t>destruction</w:t>
      </w:r>
      <w:r w:rsidR="00592F1D" w:rsidRPr="00A761A3">
        <w:t>.</w:t>
      </w:r>
      <w:r w:rsidR="00C70DE5">
        <w:t xml:space="preserve"> As </w:t>
      </w:r>
      <w:r w:rsidR="00441BA7">
        <w:t>Table II</w:t>
      </w:r>
      <w:r w:rsidR="00592F1D" w:rsidRPr="00A761A3">
        <w:t xml:space="preserve"> illustrates, the cost of repairs to these homes ranges from $5,000 or less to $35,000 or more.</w:t>
      </w:r>
      <w:r w:rsidR="00923C66" w:rsidRPr="00923C66">
        <w:rPr>
          <w:rStyle w:val="FootnoteReference"/>
        </w:rPr>
        <w:t xml:space="preserve"> </w:t>
      </w:r>
      <w:r w:rsidR="00923C66">
        <w:rPr>
          <w:rStyle w:val="FootnoteReference"/>
        </w:rPr>
        <w:footnoteReference w:id="18"/>
      </w:r>
      <w:r w:rsidR="00592F1D" w:rsidRPr="00A761A3">
        <w:t xml:space="preserve"> From the 171,000 affected homes, </w:t>
      </w:r>
      <w:r w:rsidR="00024BB5">
        <w:t xml:space="preserve">about </w:t>
      </w:r>
      <w:r w:rsidR="00AB0065">
        <w:t>6</w:t>
      </w:r>
      <w:r w:rsidR="004D30D8">
        <w:t>1,086</w:t>
      </w:r>
      <w:r w:rsidR="00592F1D" w:rsidRPr="00A761A3">
        <w:t xml:space="preserve"> still need repair</w:t>
      </w:r>
      <w:r w:rsidR="00441BA7">
        <w:t>s or require new construction</w:t>
      </w:r>
      <w:r w:rsidR="005A1EA5">
        <w:t xml:space="preserve">, </w:t>
      </w:r>
      <w:r w:rsidR="00923C66">
        <w:t xml:space="preserve">but have not yet </w:t>
      </w:r>
      <w:r w:rsidR="00AB0065">
        <w:t>received confirm</w:t>
      </w:r>
      <w:r w:rsidR="005A1EA5">
        <w:t>ation for funding as of May 2017</w:t>
      </w:r>
      <w:r w:rsidR="00592F1D" w:rsidRPr="00A761A3">
        <w:t xml:space="preserve">. </w:t>
      </w:r>
      <w:r w:rsidR="00923C66">
        <w:t>In other words,</w:t>
      </w:r>
      <w:r w:rsidR="00592F1D" w:rsidRPr="00A761A3">
        <w:t xml:space="preserve"> more than a third of the affected homes still require work.</w:t>
      </w:r>
      <w:r w:rsidR="00592F1D">
        <w:t xml:space="preserve"> Shelter Cluster estimates that the completion of reconstruction will not occur until August 2018, a year after the initial deadline.</w:t>
      </w:r>
      <w:r w:rsidR="00592F1D">
        <w:rPr>
          <w:rStyle w:val="FootnoteReference"/>
        </w:rPr>
        <w:footnoteReference w:id="19"/>
      </w:r>
      <w:r w:rsidR="005A1EA5">
        <w:t xml:space="preserve"> </w:t>
      </w:r>
    </w:p>
    <w:tbl>
      <w:tblPr>
        <w:tblStyle w:val="TableGrid"/>
        <w:tblW w:w="0" w:type="auto"/>
        <w:tblLook w:val="04A0" w:firstRow="1" w:lastRow="0" w:firstColumn="1" w:lastColumn="0" w:noHBand="0" w:noVBand="1"/>
      </w:tblPr>
      <w:tblGrid>
        <w:gridCol w:w="1749"/>
        <w:gridCol w:w="1507"/>
        <w:gridCol w:w="1538"/>
        <w:gridCol w:w="1686"/>
        <w:gridCol w:w="1743"/>
        <w:gridCol w:w="1137"/>
      </w:tblGrid>
      <w:tr w:rsidR="00C70DE5" w14:paraId="7A28B12C" w14:textId="4FE997A5" w:rsidTr="00C70DE5">
        <w:tc>
          <w:tcPr>
            <w:tcW w:w="8223" w:type="dxa"/>
            <w:gridSpan w:val="5"/>
            <w:tcBorders>
              <w:top w:val="nil"/>
              <w:left w:val="nil"/>
              <w:right w:val="nil"/>
            </w:tcBorders>
          </w:tcPr>
          <w:p w14:paraId="498B2574" w14:textId="1C7DC01B" w:rsidR="00C70DE5" w:rsidRPr="00623A51" w:rsidRDefault="00441BA7" w:rsidP="00573B9D">
            <w:pPr>
              <w:jc w:val="center"/>
              <w:rPr>
                <w:b/>
                <w:bCs/>
              </w:rPr>
            </w:pPr>
            <w:r>
              <w:rPr>
                <w:b/>
                <w:bCs/>
              </w:rPr>
              <w:t>Table II</w:t>
            </w:r>
            <w:r w:rsidR="00C70DE5" w:rsidRPr="00623A51">
              <w:rPr>
                <w:b/>
                <w:bCs/>
              </w:rPr>
              <w:t>:</w:t>
            </w:r>
            <w:r w:rsidR="009C20AB">
              <w:rPr>
                <w:b/>
                <w:bCs/>
              </w:rPr>
              <w:t xml:space="preserve"> Reconstruction Progress</w:t>
            </w:r>
            <w:r w:rsidR="00C70DE5" w:rsidRPr="00623A51">
              <w:rPr>
                <w:b/>
                <w:bCs/>
              </w:rPr>
              <w:t xml:space="preserve"> </w:t>
            </w:r>
            <w:r w:rsidR="009C20AB">
              <w:rPr>
                <w:b/>
                <w:bCs/>
              </w:rPr>
              <w:t>by Category and Average Cost (# of units, USD)</w:t>
            </w:r>
          </w:p>
        </w:tc>
        <w:tc>
          <w:tcPr>
            <w:tcW w:w="1137" w:type="dxa"/>
            <w:tcBorders>
              <w:top w:val="nil"/>
              <w:left w:val="nil"/>
              <w:right w:val="nil"/>
            </w:tcBorders>
          </w:tcPr>
          <w:p w14:paraId="4F6B8149" w14:textId="77777777" w:rsidR="00C70DE5" w:rsidRPr="00623A51" w:rsidRDefault="00C70DE5" w:rsidP="00573B9D">
            <w:pPr>
              <w:jc w:val="center"/>
              <w:rPr>
                <w:b/>
                <w:bCs/>
              </w:rPr>
            </w:pPr>
          </w:p>
        </w:tc>
      </w:tr>
      <w:tr w:rsidR="00C70DE5" w14:paraId="028A9426" w14:textId="6A4BC062" w:rsidTr="00C70DE5">
        <w:tc>
          <w:tcPr>
            <w:tcW w:w="1749" w:type="dxa"/>
          </w:tcPr>
          <w:p w14:paraId="0621E39E" w14:textId="77777777" w:rsidR="00C70DE5" w:rsidRPr="00AE106E" w:rsidRDefault="00C70DE5" w:rsidP="00573B9D">
            <w:pPr>
              <w:jc w:val="center"/>
              <w:rPr>
                <w:b/>
                <w:bCs/>
              </w:rPr>
            </w:pPr>
            <w:r>
              <w:rPr>
                <w:b/>
                <w:bCs/>
              </w:rPr>
              <w:t>Damage L</w:t>
            </w:r>
            <w:r w:rsidRPr="00AE106E">
              <w:rPr>
                <w:b/>
                <w:bCs/>
              </w:rPr>
              <w:t>evel</w:t>
            </w:r>
          </w:p>
        </w:tc>
        <w:tc>
          <w:tcPr>
            <w:tcW w:w="1507" w:type="dxa"/>
          </w:tcPr>
          <w:p w14:paraId="5D25D6F9" w14:textId="77777777" w:rsidR="00C70DE5" w:rsidRPr="00AE106E" w:rsidRDefault="00C70DE5" w:rsidP="00573B9D">
            <w:pPr>
              <w:jc w:val="center"/>
              <w:rPr>
                <w:b/>
                <w:bCs/>
              </w:rPr>
            </w:pPr>
            <w:r w:rsidRPr="00AE106E">
              <w:rPr>
                <w:b/>
                <w:bCs/>
              </w:rPr>
              <w:t>Minor Damage</w:t>
            </w:r>
          </w:p>
        </w:tc>
        <w:tc>
          <w:tcPr>
            <w:tcW w:w="1538" w:type="dxa"/>
          </w:tcPr>
          <w:p w14:paraId="0FB4FF9A" w14:textId="77777777" w:rsidR="00C70DE5" w:rsidRPr="00AE106E" w:rsidRDefault="00C70DE5" w:rsidP="00573B9D">
            <w:pPr>
              <w:jc w:val="center"/>
              <w:rPr>
                <w:b/>
                <w:bCs/>
              </w:rPr>
            </w:pPr>
            <w:r w:rsidRPr="00AE106E">
              <w:rPr>
                <w:b/>
                <w:bCs/>
              </w:rPr>
              <w:t>Major Damage</w:t>
            </w:r>
          </w:p>
        </w:tc>
        <w:tc>
          <w:tcPr>
            <w:tcW w:w="1686" w:type="dxa"/>
          </w:tcPr>
          <w:p w14:paraId="2DBE7510" w14:textId="77777777" w:rsidR="00C70DE5" w:rsidRPr="00AE106E" w:rsidRDefault="00C70DE5" w:rsidP="00573B9D">
            <w:pPr>
              <w:jc w:val="center"/>
              <w:rPr>
                <w:b/>
                <w:bCs/>
              </w:rPr>
            </w:pPr>
            <w:r w:rsidRPr="00AE106E">
              <w:rPr>
                <w:b/>
                <w:bCs/>
              </w:rPr>
              <w:t>Severe Damage</w:t>
            </w:r>
          </w:p>
        </w:tc>
        <w:tc>
          <w:tcPr>
            <w:tcW w:w="1743" w:type="dxa"/>
          </w:tcPr>
          <w:p w14:paraId="7E9DB08A" w14:textId="77777777" w:rsidR="00C70DE5" w:rsidRPr="00AE106E" w:rsidRDefault="00C70DE5" w:rsidP="00573B9D">
            <w:pPr>
              <w:jc w:val="center"/>
              <w:rPr>
                <w:b/>
                <w:bCs/>
              </w:rPr>
            </w:pPr>
            <w:r w:rsidRPr="00AE106E">
              <w:rPr>
                <w:b/>
                <w:bCs/>
              </w:rPr>
              <w:t>Destroyed</w:t>
            </w:r>
          </w:p>
        </w:tc>
        <w:tc>
          <w:tcPr>
            <w:tcW w:w="1137" w:type="dxa"/>
          </w:tcPr>
          <w:p w14:paraId="77205AE5" w14:textId="3AABC5B3" w:rsidR="00C70DE5" w:rsidRPr="00AE106E" w:rsidRDefault="00C70DE5" w:rsidP="00573B9D">
            <w:pPr>
              <w:jc w:val="center"/>
              <w:rPr>
                <w:b/>
                <w:bCs/>
              </w:rPr>
            </w:pPr>
            <w:r>
              <w:rPr>
                <w:b/>
                <w:bCs/>
              </w:rPr>
              <w:t>Total</w:t>
            </w:r>
          </w:p>
        </w:tc>
      </w:tr>
      <w:tr w:rsidR="00C70DE5" w14:paraId="3094BACC" w14:textId="2F4C0797" w:rsidTr="00C70DE5">
        <w:tc>
          <w:tcPr>
            <w:tcW w:w="1749" w:type="dxa"/>
          </w:tcPr>
          <w:p w14:paraId="19622C94" w14:textId="77777777" w:rsidR="00C70DE5" w:rsidRPr="00AE106E" w:rsidRDefault="00C70DE5" w:rsidP="00573B9D">
            <w:pPr>
              <w:jc w:val="center"/>
              <w:rPr>
                <w:b/>
                <w:bCs/>
              </w:rPr>
            </w:pPr>
            <w:r>
              <w:rPr>
                <w:b/>
                <w:bCs/>
              </w:rPr>
              <w:t>Damage D</w:t>
            </w:r>
            <w:r w:rsidRPr="00AE106E">
              <w:rPr>
                <w:b/>
                <w:bCs/>
              </w:rPr>
              <w:t>escription</w:t>
            </w:r>
          </w:p>
        </w:tc>
        <w:tc>
          <w:tcPr>
            <w:tcW w:w="1507" w:type="dxa"/>
          </w:tcPr>
          <w:p w14:paraId="6654FB23" w14:textId="77777777" w:rsidR="00C70DE5" w:rsidRDefault="00C70DE5" w:rsidP="00573B9D">
            <w:pPr>
              <w:jc w:val="center"/>
            </w:pPr>
            <w:r>
              <w:t>Windows and doors and small holes in external walls.</w:t>
            </w:r>
          </w:p>
        </w:tc>
        <w:tc>
          <w:tcPr>
            <w:tcW w:w="1538" w:type="dxa"/>
          </w:tcPr>
          <w:p w14:paraId="65336898" w14:textId="77777777" w:rsidR="00C70DE5" w:rsidRDefault="00C70DE5" w:rsidP="00573B9D">
            <w:pPr>
              <w:jc w:val="center"/>
            </w:pPr>
            <w:r>
              <w:t>Damages are in part of the house and some parts are still inhabited.</w:t>
            </w:r>
          </w:p>
        </w:tc>
        <w:tc>
          <w:tcPr>
            <w:tcW w:w="1686" w:type="dxa"/>
          </w:tcPr>
          <w:p w14:paraId="00408B3B" w14:textId="28E4B0A9" w:rsidR="00C70DE5" w:rsidRDefault="00C70DE5" w:rsidP="00573B9D">
            <w:pPr>
              <w:jc w:val="center"/>
            </w:pPr>
            <w:r>
              <w:t>Damages are in essential parts of the house. It is uninhabitable until major work takes place</w:t>
            </w:r>
            <w:r w:rsidR="00A80D20">
              <w:t>.</w:t>
            </w:r>
          </w:p>
        </w:tc>
        <w:tc>
          <w:tcPr>
            <w:tcW w:w="1743" w:type="dxa"/>
          </w:tcPr>
          <w:p w14:paraId="4729FB26" w14:textId="77777777" w:rsidR="00C70DE5" w:rsidRDefault="00C70DE5" w:rsidP="00573B9D">
            <w:pPr>
              <w:jc w:val="center"/>
            </w:pPr>
            <w:r>
              <w:t>Destroyed or beyond repair. The housing unit needs demolition and reconstruction.</w:t>
            </w:r>
          </w:p>
        </w:tc>
        <w:tc>
          <w:tcPr>
            <w:tcW w:w="1137" w:type="dxa"/>
          </w:tcPr>
          <w:p w14:paraId="12CC0433" w14:textId="391D04EF" w:rsidR="00C70DE5" w:rsidRDefault="009C20AB" w:rsidP="00573B9D">
            <w:pPr>
              <w:jc w:val="center"/>
            </w:pPr>
            <w:r>
              <w:t>-</w:t>
            </w:r>
          </w:p>
        </w:tc>
      </w:tr>
      <w:tr w:rsidR="00C70DE5" w14:paraId="789400B4" w14:textId="37C9D1EC" w:rsidTr="00C70DE5">
        <w:tc>
          <w:tcPr>
            <w:tcW w:w="1749" w:type="dxa"/>
          </w:tcPr>
          <w:p w14:paraId="54CEEBBD" w14:textId="77777777" w:rsidR="00C70DE5" w:rsidRPr="00AE106E" w:rsidRDefault="00C70DE5" w:rsidP="00573B9D">
            <w:pPr>
              <w:jc w:val="center"/>
              <w:rPr>
                <w:b/>
                <w:bCs/>
              </w:rPr>
            </w:pPr>
            <w:r w:rsidRPr="00AE106E">
              <w:rPr>
                <w:b/>
                <w:bCs/>
              </w:rPr>
              <w:t>Aver</w:t>
            </w:r>
            <w:r>
              <w:rPr>
                <w:b/>
                <w:bCs/>
              </w:rPr>
              <w:t>age Cost of R</w:t>
            </w:r>
            <w:r w:rsidRPr="00AE106E">
              <w:rPr>
                <w:b/>
                <w:bCs/>
              </w:rPr>
              <w:t>econstruction</w:t>
            </w:r>
          </w:p>
        </w:tc>
        <w:tc>
          <w:tcPr>
            <w:tcW w:w="1507" w:type="dxa"/>
          </w:tcPr>
          <w:p w14:paraId="2136A461" w14:textId="77777777" w:rsidR="00C70DE5" w:rsidRDefault="00C70DE5" w:rsidP="00573B9D">
            <w:pPr>
              <w:jc w:val="center"/>
            </w:pPr>
            <w:r>
              <w:t>Less than $5,000</w:t>
            </w:r>
          </w:p>
        </w:tc>
        <w:tc>
          <w:tcPr>
            <w:tcW w:w="1538" w:type="dxa"/>
          </w:tcPr>
          <w:p w14:paraId="484CD43C" w14:textId="77777777" w:rsidR="00C70DE5" w:rsidRDefault="00C70DE5" w:rsidP="00573B9D">
            <w:pPr>
              <w:jc w:val="center"/>
            </w:pPr>
            <w:r>
              <w:t>More than $5,000</w:t>
            </w:r>
          </w:p>
        </w:tc>
        <w:tc>
          <w:tcPr>
            <w:tcW w:w="1686" w:type="dxa"/>
          </w:tcPr>
          <w:p w14:paraId="4676E813" w14:textId="77777777" w:rsidR="00C70DE5" w:rsidRDefault="00C70DE5" w:rsidP="00573B9D">
            <w:pPr>
              <w:jc w:val="center"/>
            </w:pPr>
            <w:r>
              <w:t>$10,000 to $18,000</w:t>
            </w:r>
          </w:p>
        </w:tc>
        <w:tc>
          <w:tcPr>
            <w:tcW w:w="1743" w:type="dxa"/>
          </w:tcPr>
          <w:p w14:paraId="5AB1F86B" w14:textId="77777777" w:rsidR="00C70DE5" w:rsidRDefault="00C70DE5" w:rsidP="00573B9D">
            <w:pPr>
              <w:keepNext/>
              <w:jc w:val="center"/>
            </w:pPr>
            <w:r>
              <w:t>$35,000</w:t>
            </w:r>
          </w:p>
        </w:tc>
        <w:tc>
          <w:tcPr>
            <w:tcW w:w="1137" w:type="dxa"/>
          </w:tcPr>
          <w:p w14:paraId="548729D1" w14:textId="048EC7F9" w:rsidR="00C70DE5" w:rsidRDefault="009C20AB" w:rsidP="00573B9D">
            <w:pPr>
              <w:keepNext/>
              <w:jc w:val="center"/>
            </w:pPr>
            <w:r>
              <w:t>-</w:t>
            </w:r>
          </w:p>
        </w:tc>
      </w:tr>
      <w:tr w:rsidR="00C70DE5" w14:paraId="6F1D36BA" w14:textId="605C2405" w:rsidTr="00C70DE5">
        <w:tc>
          <w:tcPr>
            <w:tcW w:w="1749" w:type="dxa"/>
          </w:tcPr>
          <w:p w14:paraId="600C1890" w14:textId="06C1E4E2" w:rsidR="00C70DE5" w:rsidRPr="00AE106E" w:rsidRDefault="009C20AB" w:rsidP="00573B9D">
            <w:pPr>
              <w:jc w:val="center"/>
              <w:rPr>
                <w:b/>
                <w:bCs/>
              </w:rPr>
            </w:pPr>
            <w:r>
              <w:rPr>
                <w:b/>
                <w:bCs/>
              </w:rPr>
              <w:t>Number</w:t>
            </w:r>
            <w:r w:rsidR="00C70DE5">
              <w:rPr>
                <w:b/>
                <w:bCs/>
              </w:rPr>
              <w:t xml:space="preserve"> of Units</w:t>
            </w:r>
          </w:p>
        </w:tc>
        <w:tc>
          <w:tcPr>
            <w:tcW w:w="1507" w:type="dxa"/>
          </w:tcPr>
          <w:p w14:paraId="4B17380F" w14:textId="594C4639" w:rsidR="00C70DE5" w:rsidRDefault="00C70DE5" w:rsidP="00573B9D">
            <w:pPr>
              <w:jc w:val="center"/>
            </w:pPr>
            <w:r>
              <w:t>147,500</w:t>
            </w:r>
          </w:p>
        </w:tc>
        <w:tc>
          <w:tcPr>
            <w:tcW w:w="1538" w:type="dxa"/>
          </w:tcPr>
          <w:p w14:paraId="54CE78EE" w14:textId="1B6E560B" w:rsidR="00C70DE5" w:rsidRDefault="00C70DE5" w:rsidP="00573B9D">
            <w:pPr>
              <w:jc w:val="center"/>
            </w:pPr>
            <w:r>
              <w:t>5,700</w:t>
            </w:r>
          </w:p>
        </w:tc>
        <w:tc>
          <w:tcPr>
            <w:tcW w:w="1686" w:type="dxa"/>
          </w:tcPr>
          <w:p w14:paraId="1002285E" w14:textId="11C65875" w:rsidR="00C70DE5" w:rsidRDefault="009C20AB" w:rsidP="00573B9D">
            <w:pPr>
              <w:jc w:val="center"/>
            </w:pPr>
            <w:r>
              <w:t>6,800</w:t>
            </w:r>
          </w:p>
        </w:tc>
        <w:tc>
          <w:tcPr>
            <w:tcW w:w="1743" w:type="dxa"/>
          </w:tcPr>
          <w:p w14:paraId="3DD352D3" w14:textId="52C13158" w:rsidR="00C70DE5" w:rsidRDefault="00C70DE5" w:rsidP="00573B9D">
            <w:pPr>
              <w:keepNext/>
              <w:jc w:val="center"/>
            </w:pPr>
            <w:r>
              <w:t>11,000</w:t>
            </w:r>
          </w:p>
        </w:tc>
        <w:tc>
          <w:tcPr>
            <w:tcW w:w="1137" w:type="dxa"/>
          </w:tcPr>
          <w:p w14:paraId="49DEBFA3" w14:textId="1E7718C7" w:rsidR="00C70DE5" w:rsidRDefault="00441BA7" w:rsidP="00573B9D">
            <w:pPr>
              <w:keepNext/>
              <w:jc w:val="center"/>
            </w:pPr>
            <w:r>
              <w:t>171,000</w:t>
            </w:r>
          </w:p>
        </w:tc>
      </w:tr>
      <w:tr w:rsidR="00C70DE5" w14:paraId="4A11E5AB" w14:textId="016AB8AB" w:rsidTr="00C70DE5">
        <w:tc>
          <w:tcPr>
            <w:tcW w:w="1749" w:type="dxa"/>
          </w:tcPr>
          <w:p w14:paraId="4EC961C0" w14:textId="0DB26B91" w:rsidR="00C70DE5" w:rsidRPr="00AE106E" w:rsidRDefault="00C70DE5" w:rsidP="00573B9D">
            <w:pPr>
              <w:jc w:val="center"/>
              <w:rPr>
                <w:b/>
                <w:bCs/>
              </w:rPr>
            </w:pPr>
            <w:r>
              <w:rPr>
                <w:b/>
                <w:bCs/>
              </w:rPr>
              <w:t>Completed</w:t>
            </w:r>
          </w:p>
        </w:tc>
        <w:tc>
          <w:tcPr>
            <w:tcW w:w="1507" w:type="dxa"/>
          </w:tcPr>
          <w:p w14:paraId="1EB7D70C" w14:textId="59496EF9" w:rsidR="00C70DE5" w:rsidRDefault="00024BB5" w:rsidP="00573B9D">
            <w:pPr>
              <w:jc w:val="center"/>
            </w:pPr>
            <w:r>
              <w:t>84,308</w:t>
            </w:r>
          </w:p>
        </w:tc>
        <w:tc>
          <w:tcPr>
            <w:tcW w:w="1538" w:type="dxa"/>
          </w:tcPr>
          <w:p w14:paraId="0DC1A81A" w14:textId="60EF6212" w:rsidR="00C70DE5" w:rsidRDefault="00024BB5" w:rsidP="00573B9D">
            <w:pPr>
              <w:jc w:val="center"/>
            </w:pPr>
            <w:r>
              <w:t>1,794</w:t>
            </w:r>
          </w:p>
        </w:tc>
        <w:tc>
          <w:tcPr>
            <w:tcW w:w="1686" w:type="dxa"/>
          </w:tcPr>
          <w:p w14:paraId="595A9E86" w14:textId="67C572B1" w:rsidR="00C70DE5" w:rsidRDefault="00024BB5" w:rsidP="00573B9D">
            <w:pPr>
              <w:jc w:val="center"/>
            </w:pPr>
            <w:r>
              <w:t>6,768</w:t>
            </w:r>
          </w:p>
        </w:tc>
        <w:tc>
          <w:tcPr>
            <w:tcW w:w="1743" w:type="dxa"/>
          </w:tcPr>
          <w:p w14:paraId="0480538C" w14:textId="033BEDFA" w:rsidR="00C70DE5" w:rsidRDefault="00024BB5" w:rsidP="00573B9D">
            <w:pPr>
              <w:keepNext/>
              <w:jc w:val="center"/>
            </w:pPr>
            <w:r>
              <w:t>4,274</w:t>
            </w:r>
          </w:p>
        </w:tc>
        <w:tc>
          <w:tcPr>
            <w:tcW w:w="1137" w:type="dxa"/>
          </w:tcPr>
          <w:p w14:paraId="763B3389" w14:textId="6708D5D0" w:rsidR="00C70DE5" w:rsidRDefault="00024BB5" w:rsidP="00573B9D">
            <w:pPr>
              <w:keepNext/>
              <w:jc w:val="center"/>
            </w:pPr>
            <w:r>
              <w:t>97,144</w:t>
            </w:r>
          </w:p>
        </w:tc>
      </w:tr>
      <w:tr w:rsidR="00C70DE5" w14:paraId="0DEB6F73" w14:textId="5835108C" w:rsidTr="00C70DE5">
        <w:tc>
          <w:tcPr>
            <w:tcW w:w="1749" w:type="dxa"/>
          </w:tcPr>
          <w:p w14:paraId="3EB88FFD" w14:textId="28A37A56" w:rsidR="00C70DE5" w:rsidRDefault="00C70DE5" w:rsidP="00573B9D">
            <w:pPr>
              <w:jc w:val="center"/>
              <w:rPr>
                <w:b/>
                <w:bCs/>
              </w:rPr>
            </w:pPr>
            <w:r>
              <w:rPr>
                <w:b/>
                <w:bCs/>
              </w:rPr>
              <w:t>In Progress</w:t>
            </w:r>
          </w:p>
        </w:tc>
        <w:tc>
          <w:tcPr>
            <w:tcW w:w="1507" w:type="dxa"/>
          </w:tcPr>
          <w:p w14:paraId="4978A8BD" w14:textId="379C753D" w:rsidR="00C70DE5" w:rsidRDefault="00024BB5" w:rsidP="00573B9D">
            <w:pPr>
              <w:jc w:val="center"/>
            </w:pPr>
            <w:r>
              <w:t>8,857</w:t>
            </w:r>
          </w:p>
        </w:tc>
        <w:tc>
          <w:tcPr>
            <w:tcW w:w="1538" w:type="dxa"/>
          </w:tcPr>
          <w:p w14:paraId="34EE2D9B" w14:textId="548BD218" w:rsidR="00C70DE5" w:rsidRDefault="00024BB5" w:rsidP="00573B9D">
            <w:pPr>
              <w:jc w:val="center"/>
            </w:pPr>
            <w:r>
              <w:t>898</w:t>
            </w:r>
          </w:p>
        </w:tc>
        <w:tc>
          <w:tcPr>
            <w:tcW w:w="1686" w:type="dxa"/>
          </w:tcPr>
          <w:p w14:paraId="30587012" w14:textId="08A3DBD9" w:rsidR="00C70DE5" w:rsidRDefault="00024BB5" w:rsidP="00573B9D">
            <w:pPr>
              <w:jc w:val="center"/>
            </w:pPr>
            <w:r>
              <w:t>32</w:t>
            </w:r>
          </w:p>
        </w:tc>
        <w:tc>
          <w:tcPr>
            <w:tcW w:w="1743" w:type="dxa"/>
          </w:tcPr>
          <w:p w14:paraId="4BD0376F" w14:textId="530AD548" w:rsidR="00C70DE5" w:rsidRDefault="00024BB5" w:rsidP="00573B9D">
            <w:pPr>
              <w:keepNext/>
              <w:jc w:val="center"/>
            </w:pPr>
            <w:r>
              <w:t>1,516</w:t>
            </w:r>
          </w:p>
        </w:tc>
        <w:tc>
          <w:tcPr>
            <w:tcW w:w="1137" w:type="dxa"/>
          </w:tcPr>
          <w:p w14:paraId="06C8A0F5" w14:textId="60AF2D00" w:rsidR="00C70DE5" w:rsidRDefault="00024BB5" w:rsidP="00573B9D">
            <w:pPr>
              <w:keepNext/>
              <w:jc w:val="center"/>
            </w:pPr>
            <w:r>
              <w:t>11,303</w:t>
            </w:r>
          </w:p>
        </w:tc>
      </w:tr>
      <w:tr w:rsidR="00441BA7" w14:paraId="7466F6ED" w14:textId="77777777" w:rsidTr="00C70DE5">
        <w:tc>
          <w:tcPr>
            <w:tcW w:w="1749" w:type="dxa"/>
          </w:tcPr>
          <w:p w14:paraId="32C3C75D" w14:textId="4885D8EF" w:rsidR="00441BA7" w:rsidRDefault="00441BA7" w:rsidP="00573B9D">
            <w:pPr>
              <w:jc w:val="center"/>
              <w:rPr>
                <w:b/>
                <w:bCs/>
              </w:rPr>
            </w:pPr>
            <w:r>
              <w:rPr>
                <w:b/>
                <w:bCs/>
              </w:rPr>
              <w:t>Funded</w:t>
            </w:r>
            <w:r>
              <w:rPr>
                <w:rStyle w:val="FootnoteReference"/>
                <w:b/>
                <w:bCs/>
              </w:rPr>
              <w:footnoteReference w:id="20"/>
            </w:r>
          </w:p>
        </w:tc>
        <w:tc>
          <w:tcPr>
            <w:tcW w:w="1507" w:type="dxa"/>
          </w:tcPr>
          <w:p w14:paraId="1BC3F65B" w14:textId="63810BC7" w:rsidR="00441BA7" w:rsidRDefault="00024BB5" w:rsidP="00573B9D">
            <w:pPr>
              <w:jc w:val="center"/>
            </w:pPr>
            <w:r>
              <w:t>0</w:t>
            </w:r>
          </w:p>
        </w:tc>
        <w:tc>
          <w:tcPr>
            <w:tcW w:w="1538" w:type="dxa"/>
          </w:tcPr>
          <w:p w14:paraId="47CEC40B" w14:textId="33BC3146" w:rsidR="00441BA7" w:rsidRDefault="00024BB5" w:rsidP="00573B9D">
            <w:pPr>
              <w:jc w:val="center"/>
            </w:pPr>
            <w:r>
              <w:t>58</w:t>
            </w:r>
          </w:p>
        </w:tc>
        <w:tc>
          <w:tcPr>
            <w:tcW w:w="1686" w:type="dxa"/>
          </w:tcPr>
          <w:p w14:paraId="6243C2AB" w14:textId="67468843" w:rsidR="00441BA7" w:rsidRDefault="00024BB5" w:rsidP="00573B9D">
            <w:pPr>
              <w:jc w:val="center"/>
            </w:pPr>
            <w:r>
              <w:t>0</w:t>
            </w:r>
          </w:p>
        </w:tc>
        <w:tc>
          <w:tcPr>
            <w:tcW w:w="1743" w:type="dxa"/>
          </w:tcPr>
          <w:p w14:paraId="5C9010CE" w14:textId="4967D5CF" w:rsidR="00441BA7" w:rsidRDefault="00024BB5" w:rsidP="00573B9D">
            <w:pPr>
              <w:keepNext/>
              <w:jc w:val="center"/>
            </w:pPr>
            <w:r>
              <w:t>1,409</w:t>
            </w:r>
          </w:p>
        </w:tc>
        <w:tc>
          <w:tcPr>
            <w:tcW w:w="1137" w:type="dxa"/>
          </w:tcPr>
          <w:p w14:paraId="1DE1A440" w14:textId="219BE2DD" w:rsidR="00441BA7" w:rsidRDefault="00024BB5" w:rsidP="00573B9D">
            <w:pPr>
              <w:keepNext/>
              <w:jc w:val="center"/>
            </w:pPr>
            <w:r>
              <w:t>1,467</w:t>
            </w:r>
          </w:p>
        </w:tc>
      </w:tr>
      <w:tr w:rsidR="00AB0065" w14:paraId="02014B50" w14:textId="77777777" w:rsidTr="00C70DE5">
        <w:tc>
          <w:tcPr>
            <w:tcW w:w="1749" w:type="dxa"/>
          </w:tcPr>
          <w:p w14:paraId="5A6EA2E7" w14:textId="1B486318" w:rsidR="00AB0065" w:rsidRDefault="00AB0065" w:rsidP="00573B9D">
            <w:pPr>
              <w:jc w:val="center"/>
              <w:rPr>
                <w:b/>
                <w:bCs/>
              </w:rPr>
            </w:pPr>
            <w:r>
              <w:rPr>
                <w:b/>
                <w:bCs/>
              </w:rPr>
              <w:t>Remaining Units</w:t>
            </w:r>
          </w:p>
        </w:tc>
        <w:tc>
          <w:tcPr>
            <w:tcW w:w="1507" w:type="dxa"/>
          </w:tcPr>
          <w:p w14:paraId="616C65E9" w14:textId="6CA05ED3" w:rsidR="00AB0065" w:rsidRDefault="00024BB5" w:rsidP="00573B9D">
            <w:pPr>
              <w:jc w:val="center"/>
            </w:pPr>
            <w:r>
              <w:t>54,335</w:t>
            </w:r>
          </w:p>
        </w:tc>
        <w:tc>
          <w:tcPr>
            <w:tcW w:w="1538" w:type="dxa"/>
          </w:tcPr>
          <w:p w14:paraId="168E8E5D" w14:textId="1BCD1999" w:rsidR="00AB0065" w:rsidRDefault="00024BB5" w:rsidP="00573B9D">
            <w:pPr>
              <w:jc w:val="center"/>
            </w:pPr>
            <w:r>
              <w:t>2,950</w:t>
            </w:r>
          </w:p>
        </w:tc>
        <w:tc>
          <w:tcPr>
            <w:tcW w:w="1686" w:type="dxa"/>
          </w:tcPr>
          <w:p w14:paraId="75F83CC8" w14:textId="78C61B5D" w:rsidR="00AB0065" w:rsidRDefault="00AB0065" w:rsidP="00573B9D">
            <w:pPr>
              <w:jc w:val="center"/>
            </w:pPr>
            <w:r>
              <w:t>0</w:t>
            </w:r>
          </w:p>
        </w:tc>
        <w:tc>
          <w:tcPr>
            <w:tcW w:w="1743" w:type="dxa"/>
          </w:tcPr>
          <w:p w14:paraId="4F40AAEF" w14:textId="62F9530E" w:rsidR="00AB0065" w:rsidRDefault="00024BB5" w:rsidP="00573B9D">
            <w:pPr>
              <w:keepNext/>
              <w:jc w:val="center"/>
            </w:pPr>
            <w:r>
              <w:t>3,801</w:t>
            </w:r>
          </w:p>
        </w:tc>
        <w:tc>
          <w:tcPr>
            <w:tcW w:w="1137" w:type="dxa"/>
          </w:tcPr>
          <w:p w14:paraId="7EEA6A69" w14:textId="7B94C242" w:rsidR="00AB0065" w:rsidRDefault="00024BB5" w:rsidP="00AB0065">
            <w:pPr>
              <w:keepNext/>
              <w:jc w:val="center"/>
            </w:pPr>
            <w:r>
              <w:t>61,086</w:t>
            </w:r>
          </w:p>
        </w:tc>
      </w:tr>
    </w:tbl>
    <w:p w14:paraId="6B74B900" w14:textId="7DD162B1" w:rsidR="00AB0065" w:rsidRPr="007F1585" w:rsidRDefault="00AB0065" w:rsidP="00024BB5">
      <w:pPr>
        <w:pStyle w:val="Caption"/>
        <w:jc w:val="center"/>
        <w:rPr>
          <w:b/>
          <w:bCs/>
          <w:i w:val="0"/>
          <w:iCs w:val="0"/>
        </w:rPr>
      </w:pPr>
      <w:r w:rsidRPr="007F1585">
        <w:rPr>
          <w:i w:val="0"/>
          <w:iCs w:val="0"/>
        </w:rPr>
        <w:t>Source: Shelter Cluster</w:t>
      </w:r>
      <w:r w:rsidR="00521216">
        <w:rPr>
          <w:i w:val="0"/>
          <w:iCs w:val="0"/>
        </w:rPr>
        <w:t xml:space="preserve"> Palestine</w:t>
      </w:r>
    </w:p>
    <w:p w14:paraId="791166E9" w14:textId="0DEFBD03" w:rsidR="00095B96" w:rsidRPr="00656CD5" w:rsidRDefault="00656CD5" w:rsidP="00095B96">
      <w:pPr>
        <w:jc w:val="both"/>
      </w:pPr>
      <w:r>
        <w:t>N</w:t>
      </w:r>
      <w:r w:rsidRPr="00A761A3">
        <w:t xml:space="preserve">early </w:t>
      </w:r>
      <w:r>
        <w:t>three</w:t>
      </w:r>
      <w:r w:rsidRPr="00A761A3">
        <w:t xml:space="preserve"> years after the war in Gaza and </w:t>
      </w:r>
      <w:r>
        <w:t xml:space="preserve">two </w:t>
      </w:r>
      <w:r w:rsidRPr="00A761A3">
        <w:t>year</w:t>
      </w:r>
      <w:r>
        <w:t>s</w:t>
      </w:r>
      <w:r w:rsidRPr="00A761A3">
        <w:t xml:space="preserve"> and a half after the introduction of the GRM, the limited progress made in reconstruction has demonstrated the ineffectuality of</w:t>
      </w:r>
      <w:r>
        <w:t xml:space="preserve"> the mechanism. According to a </w:t>
      </w:r>
      <w:r w:rsidRPr="00A761A3">
        <w:t xml:space="preserve">U.N. Office for the Coordination of Humanitarian Affairs (UNOCHA) report, “at the height of the 2014 war, nearly 500,000 people, 28 percent of the population, were displaced from their homes.” </w:t>
      </w:r>
      <w:r>
        <w:t>From the</w:t>
      </w:r>
      <w:r w:rsidRPr="00A761A3">
        <w:t xml:space="preserve"> 16,00</w:t>
      </w:r>
      <w:r>
        <w:t>0 families that were still displaced between August and December 2015, 6</w:t>
      </w:r>
      <w:r w:rsidRPr="00A761A3">
        <w:t>2.5 percent claimed that they rented accommodation, and of that group, 50 percent fear</w:t>
      </w:r>
      <w:r>
        <w:t>ed</w:t>
      </w:r>
      <w:r w:rsidRPr="00A761A3">
        <w:t xml:space="preserve"> eviction from their rented living quarters. </w:t>
      </w:r>
      <w:r>
        <w:t>As of April 2016</w:t>
      </w:r>
      <w:r w:rsidRPr="00A761A3">
        <w:t xml:space="preserve">, </w:t>
      </w:r>
      <w:r>
        <w:t xml:space="preserve">approximately </w:t>
      </w:r>
      <w:r w:rsidRPr="00A761A3">
        <w:t>75,000</w:t>
      </w:r>
      <w:r>
        <w:t xml:space="preserve"> people were estimated to</w:t>
      </w:r>
      <w:r w:rsidRPr="00A761A3">
        <w:t xml:space="preserve"> remain displaced.</w:t>
      </w:r>
      <w:r w:rsidRPr="00A761A3">
        <w:rPr>
          <w:vertAlign w:val="superscript"/>
        </w:rPr>
        <w:footnoteReference w:id="21"/>
      </w:r>
      <w:r w:rsidRPr="00A761A3">
        <w:t xml:space="preserve"> </w:t>
      </w:r>
      <w:r w:rsidR="00095B96">
        <w:t xml:space="preserve">Those numbers demonstrate that displacement continues to be an issue and </w:t>
      </w:r>
      <w:r w:rsidRPr="00A761A3">
        <w:t xml:space="preserve">the GRM did not </w:t>
      </w:r>
      <w:r>
        <w:t xml:space="preserve">effectively </w:t>
      </w:r>
      <w:r w:rsidRPr="00A761A3">
        <w:t>expedite reconstruction</w:t>
      </w:r>
      <w:r>
        <w:t>.</w:t>
      </w:r>
    </w:p>
    <w:p w14:paraId="5360040A" w14:textId="38E7A083" w:rsidR="004D56CE" w:rsidRPr="00247AD3" w:rsidRDefault="004D56CE" w:rsidP="004D56CE">
      <w:pPr>
        <w:rPr>
          <w:b/>
          <w:bCs/>
        </w:rPr>
      </w:pPr>
      <w:r w:rsidRPr="00247AD3">
        <w:rPr>
          <w:b/>
          <w:bCs/>
        </w:rPr>
        <w:t xml:space="preserve">A </w:t>
      </w:r>
      <w:r>
        <w:rPr>
          <w:b/>
          <w:bCs/>
        </w:rPr>
        <w:t>Labyrinth</w:t>
      </w:r>
      <w:r w:rsidRPr="00247AD3">
        <w:rPr>
          <w:b/>
          <w:bCs/>
        </w:rPr>
        <w:t xml:space="preserve"> </w:t>
      </w:r>
      <w:r w:rsidR="00774C82">
        <w:rPr>
          <w:b/>
          <w:bCs/>
        </w:rPr>
        <w:t xml:space="preserve">of </w:t>
      </w:r>
      <w:r w:rsidRPr="00247AD3">
        <w:rPr>
          <w:b/>
          <w:bCs/>
        </w:rPr>
        <w:t>Bureaucracy</w:t>
      </w:r>
    </w:p>
    <w:p w14:paraId="2587C468" w14:textId="19304555" w:rsidR="004D56CE" w:rsidRDefault="004D56CE" w:rsidP="004D56CE">
      <w:pPr>
        <w:jc w:val="both"/>
        <w:rPr>
          <w:vertAlign w:val="superscript"/>
        </w:rPr>
      </w:pPr>
      <w:r>
        <w:lastRenderedPageBreak/>
        <w:t xml:space="preserve">A look at the </w:t>
      </w:r>
      <w:r w:rsidRPr="00A761A3">
        <w:t>approval process gives a glimpse into the high amount of bureaucracy created by the GRM</w:t>
      </w:r>
      <w:r w:rsidR="00A56AFB">
        <w:t xml:space="preserve">, which can partially explain </w:t>
      </w:r>
      <w:r w:rsidR="00774C82">
        <w:t>the lag</w:t>
      </w:r>
      <w:r w:rsidRPr="00A761A3">
        <w:t>. Before a family in Gaza receives any construction materials, they must g</w:t>
      </w:r>
      <w:r>
        <w:t>o thr</w:t>
      </w:r>
      <w:r w:rsidR="00D44C49">
        <w:t>ough a multi-step process (see F</w:t>
      </w:r>
      <w:r w:rsidR="0030091A">
        <w:t>igure II</w:t>
      </w:r>
      <w:r>
        <w:t>).</w:t>
      </w:r>
      <w:r w:rsidR="000A71C7">
        <w:rPr>
          <w:rStyle w:val="FootnoteReference"/>
        </w:rPr>
        <w:footnoteReference w:id="22"/>
      </w:r>
      <w:r>
        <w:t xml:space="preserve"> </w:t>
      </w:r>
      <w:r w:rsidRPr="00A761A3">
        <w:t xml:space="preserve">First, the PA Ministry of Public Works and Housing (MoPWH) completes a survey of the damage to the homes. The assessment includes the amount of damage incurred, as well as the amount and type of building materials required for a particular reconstruction project. It then uploads the assessment to the joint COGAT, PA, and U.N. database established </w:t>
      </w:r>
      <w:r>
        <w:t>under</w:t>
      </w:r>
      <w:r w:rsidRPr="00A761A3">
        <w:t xml:space="preserve"> the GRM. The PA sub</w:t>
      </w:r>
      <w:r w:rsidR="00994C25">
        <w:t>mits the assessment to the High-</w:t>
      </w:r>
      <w:r w:rsidRPr="00A761A3">
        <w:t xml:space="preserve">Level Steering Committee (HLST), comprised of representatives from COGAT, the PA, and the </w:t>
      </w:r>
      <w:r>
        <w:t>U.N</w:t>
      </w:r>
      <w:r w:rsidRPr="00A761A3">
        <w:t xml:space="preserve">. At this </w:t>
      </w:r>
      <w:r>
        <w:t>point</w:t>
      </w:r>
      <w:r w:rsidRPr="00A761A3">
        <w:t>, COGAT can either approve or veto the assessment. After the approval process, the HLST then provides the beneficiary with coupons</w:t>
      </w:r>
      <w:r w:rsidR="00994C25">
        <w:t>,</w:t>
      </w:r>
      <w:r w:rsidRPr="00A761A3">
        <w:t xml:space="preserve"> giving them permission to purchase construction materials from approved vendors.</w:t>
      </w:r>
      <w:r>
        <w:t xml:space="preserve"> T</w:t>
      </w:r>
      <w:r w:rsidRPr="00A761A3">
        <w:t>h</w:t>
      </w:r>
      <w:r>
        <w:t xml:space="preserve">is </w:t>
      </w:r>
      <w:r w:rsidRPr="00A761A3">
        <w:t>authorization process must be completed for each step of construction—</w:t>
      </w:r>
      <w:r>
        <w:t>including</w:t>
      </w:r>
      <w:r w:rsidRPr="00A761A3">
        <w:t xml:space="preserve"> laying a house’s foundation, framing, plastering, and finishing work</w:t>
      </w:r>
      <w:r>
        <w:t>.</w:t>
      </w:r>
      <w:r w:rsidR="0075100C" w:rsidRPr="0075100C">
        <w:rPr>
          <w:vertAlign w:val="superscript"/>
        </w:rPr>
        <w:t xml:space="preserve"> </w:t>
      </w:r>
      <w:r w:rsidR="0075100C" w:rsidRPr="00A761A3">
        <w:rPr>
          <w:vertAlign w:val="superscript"/>
        </w:rPr>
        <w:footnoteReference w:id="23"/>
      </w:r>
    </w:p>
    <w:p w14:paraId="31CA130B" w14:textId="643D7ECC" w:rsidR="005F7118" w:rsidRPr="005F7118" w:rsidRDefault="005F7118" w:rsidP="005F7118">
      <w:pPr>
        <w:pStyle w:val="Caption"/>
        <w:keepNext/>
        <w:jc w:val="center"/>
        <w:rPr>
          <w:b/>
          <w:bCs/>
          <w:i w:val="0"/>
          <w:iCs w:val="0"/>
          <w:color w:val="auto"/>
          <w:sz w:val="22"/>
          <w:szCs w:val="22"/>
        </w:rPr>
      </w:pPr>
      <w:r w:rsidRPr="005F7118">
        <w:rPr>
          <w:b/>
          <w:bCs/>
          <w:i w:val="0"/>
          <w:iCs w:val="0"/>
          <w:color w:val="auto"/>
          <w:sz w:val="22"/>
          <w:szCs w:val="22"/>
        </w:rPr>
        <w:t xml:space="preserve">Figure </w:t>
      </w:r>
      <w:r w:rsidR="0030091A">
        <w:rPr>
          <w:b/>
          <w:bCs/>
          <w:i w:val="0"/>
          <w:iCs w:val="0"/>
          <w:color w:val="auto"/>
          <w:sz w:val="22"/>
          <w:szCs w:val="22"/>
        </w:rPr>
        <w:fldChar w:fldCharType="begin"/>
      </w:r>
      <w:r w:rsidR="0030091A">
        <w:rPr>
          <w:b/>
          <w:bCs/>
          <w:i w:val="0"/>
          <w:iCs w:val="0"/>
          <w:color w:val="auto"/>
          <w:sz w:val="22"/>
          <w:szCs w:val="22"/>
        </w:rPr>
        <w:instrText xml:space="preserve"> SEQ Figure \* ROMAN </w:instrText>
      </w:r>
      <w:r w:rsidR="0030091A">
        <w:rPr>
          <w:b/>
          <w:bCs/>
          <w:i w:val="0"/>
          <w:iCs w:val="0"/>
          <w:color w:val="auto"/>
          <w:sz w:val="22"/>
          <w:szCs w:val="22"/>
        </w:rPr>
        <w:fldChar w:fldCharType="separate"/>
      </w:r>
      <w:r w:rsidR="0030091A">
        <w:rPr>
          <w:b/>
          <w:bCs/>
          <w:i w:val="0"/>
          <w:iCs w:val="0"/>
          <w:noProof/>
          <w:color w:val="auto"/>
          <w:sz w:val="22"/>
          <w:szCs w:val="22"/>
        </w:rPr>
        <w:t>II</w:t>
      </w:r>
      <w:r w:rsidR="0030091A">
        <w:rPr>
          <w:b/>
          <w:bCs/>
          <w:i w:val="0"/>
          <w:iCs w:val="0"/>
          <w:color w:val="auto"/>
          <w:sz w:val="22"/>
          <w:szCs w:val="22"/>
        </w:rPr>
        <w:fldChar w:fldCharType="end"/>
      </w:r>
      <w:r w:rsidRPr="005F7118">
        <w:rPr>
          <w:b/>
          <w:bCs/>
          <w:i w:val="0"/>
          <w:iCs w:val="0"/>
          <w:color w:val="auto"/>
          <w:sz w:val="22"/>
          <w:szCs w:val="22"/>
        </w:rPr>
        <w:t>: Gaza Reconstruction Mechanism Monitoring Streams</w:t>
      </w:r>
    </w:p>
    <w:p w14:paraId="790D5C48" w14:textId="77777777" w:rsidR="0030091A" w:rsidRDefault="005F7118" w:rsidP="0030091A">
      <w:pPr>
        <w:keepNext/>
        <w:jc w:val="both"/>
      </w:pPr>
      <w:r w:rsidRPr="001D46B2">
        <w:rPr>
          <w:noProof/>
        </w:rPr>
        <w:drawing>
          <wp:inline distT="0" distB="0" distL="0" distR="0" wp14:anchorId="490CFBEF" wp14:editId="1DE1D9B1">
            <wp:extent cx="5943600" cy="2686685"/>
            <wp:effectExtent l="0" t="0" r="0" b="0"/>
            <wp:docPr id="4" name="Picture 4" descr="M:\Fraus Masri\Gaza\Updates\process-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raus Masri\Gaza\Updates\process-diagra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686685"/>
                    </a:xfrm>
                    <a:prstGeom prst="rect">
                      <a:avLst/>
                    </a:prstGeom>
                    <a:noFill/>
                    <a:ln>
                      <a:noFill/>
                    </a:ln>
                  </pic:spPr>
                </pic:pic>
              </a:graphicData>
            </a:graphic>
          </wp:inline>
        </w:drawing>
      </w:r>
    </w:p>
    <w:p w14:paraId="641E8433" w14:textId="60EF3C03" w:rsidR="005F7118" w:rsidRPr="0030091A" w:rsidRDefault="0030091A" w:rsidP="00231642">
      <w:pPr>
        <w:pStyle w:val="Caption"/>
        <w:jc w:val="center"/>
        <w:rPr>
          <w:i w:val="0"/>
          <w:iCs w:val="0"/>
        </w:rPr>
      </w:pPr>
      <w:r w:rsidRPr="0030091A">
        <w:rPr>
          <w:i w:val="0"/>
          <w:iCs w:val="0"/>
        </w:rPr>
        <w:t xml:space="preserve">Source: </w:t>
      </w:r>
      <w:r w:rsidR="00171E44">
        <w:rPr>
          <w:i w:val="0"/>
          <w:iCs w:val="0"/>
        </w:rPr>
        <w:t xml:space="preserve">GRM </w:t>
      </w:r>
    </w:p>
    <w:p w14:paraId="7B8833DE" w14:textId="0998E9E4" w:rsidR="00FC3880" w:rsidRDefault="00A56AFB" w:rsidP="00994C25">
      <w:pPr>
        <w:jc w:val="both"/>
      </w:pPr>
      <w:r>
        <w:t>Structural issues with the GRM arrangement complicate an already complicated process. T</w:t>
      </w:r>
      <w:r w:rsidRPr="00A761A3">
        <w:t>he database, which governs the approval process, is run</w:t>
      </w:r>
      <w:r w:rsidR="00774C82">
        <w:t xml:space="preserve">, </w:t>
      </w:r>
      <w:r w:rsidR="00774C82" w:rsidRPr="00A761A3">
        <w:t xml:space="preserve">not </w:t>
      </w:r>
      <w:r w:rsidR="00994C25">
        <w:t>by authorities in</w:t>
      </w:r>
      <w:r w:rsidR="00774C82" w:rsidRPr="00A761A3">
        <w:t xml:space="preserve"> Gaza</w:t>
      </w:r>
      <w:r w:rsidR="00774C82">
        <w:t>, but by the PA in the West Bank</w:t>
      </w:r>
      <w:r w:rsidR="00231642">
        <w:t>,</w:t>
      </w:r>
      <w:r w:rsidRPr="00A761A3">
        <w:t xml:space="preserve"> some 160 kilometers from the commercial good entry point at Kerem Shalom</w:t>
      </w:r>
      <w:r w:rsidRPr="00A56AFB">
        <w:t>.</w:t>
      </w:r>
      <w:r w:rsidRPr="00A56AFB">
        <w:rPr>
          <w:vertAlign w:val="superscript"/>
        </w:rPr>
        <w:footnoteReference w:id="24"/>
      </w:r>
      <w:r w:rsidRPr="00A56AFB">
        <w:t xml:space="preserve"> Another </w:t>
      </w:r>
      <w:r w:rsidRPr="005A1E61">
        <w:t>o</w:t>
      </w:r>
      <w:r w:rsidR="004D56CE" w:rsidRPr="005A1E61">
        <w:t>ne of the PA’s duties is to funnel money to construction efforts through the Ministry of Finance. This method was intended to ensure transparency while building the PA’s capacity but ended up contributing significantly to the slowing of the rebuilding process</w:t>
      </w:r>
      <w:r w:rsidR="004D56CE" w:rsidRPr="00A56AFB">
        <w:t xml:space="preserve">. </w:t>
      </w:r>
      <w:r w:rsidR="00FC3880" w:rsidRPr="00A761A3">
        <w:t xml:space="preserve">According to the </w:t>
      </w:r>
      <w:r>
        <w:t xml:space="preserve">GRM </w:t>
      </w:r>
      <w:r w:rsidR="00FC3880" w:rsidRPr="00A761A3">
        <w:t xml:space="preserve">agreement, the </w:t>
      </w:r>
      <w:r w:rsidR="00FC3880">
        <w:t>duration between registering a beneficiary</w:t>
      </w:r>
      <w:r w:rsidR="00FC3880" w:rsidRPr="00A761A3">
        <w:t xml:space="preserve"> and </w:t>
      </w:r>
      <w:r w:rsidR="00FC3880">
        <w:t xml:space="preserve">their </w:t>
      </w:r>
      <w:r w:rsidR="00FC3880" w:rsidRPr="00A761A3">
        <w:t xml:space="preserve">receiving approval to purchase aggregate, reinforcing bars, and cement </w:t>
      </w:r>
      <w:r w:rsidR="00FC3880" w:rsidRPr="00A761A3">
        <w:lastRenderedPageBreak/>
        <w:t>(ABC), “shall be limited to two working days.”</w:t>
      </w:r>
      <w:r w:rsidR="00FC3880" w:rsidRPr="00A761A3">
        <w:rPr>
          <w:vertAlign w:val="superscript"/>
        </w:rPr>
        <w:footnoteReference w:id="25"/>
      </w:r>
      <w:r w:rsidR="00FC3880" w:rsidRPr="00A761A3">
        <w:t xml:space="preserve"> </w:t>
      </w:r>
      <w:r w:rsidR="00FC3880">
        <w:t>However, in actuality, the waiting period</w:t>
      </w:r>
      <w:r w:rsidR="00FC3880" w:rsidRPr="00A761A3">
        <w:t xml:space="preserve"> </w:t>
      </w:r>
      <w:r>
        <w:t xml:space="preserve">has </w:t>
      </w:r>
      <w:r w:rsidR="00FC3880" w:rsidRPr="00A761A3">
        <w:t>often</w:t>
      </w:r>
      <w:r>
        <w:t xml:space="preserve"> amounted</w:t>
      </w:r>
      <w:r w:rsidR="00FC3880">
        <w:t xml:space="preserve"> to </w:t>
      </w:r>
      <w:r w:rsidR="00FC3880" w:rsidRPr="00A761A3">
        <w:t xml:space="preserve">weeks, or even months </w:t>
      </w:r>
      <w:r w:rsidR="00FD4196">
        <w:t>after</w:t>
      </w:r>
      <w:r w:rsidR="00FC3880" w:rsidRPr="00A761A3">
        <w:t xml:space="preserve"> each stage of construction.</w:t>
      </w:r>
      <w:r w:rsidR="00FC3880" w:rsidRPr="00A761A3">
        <w:rPr>
          <w:vertAlign w:val="superscript"/>
        </w:rPr>
        <w:footnoteReference w:id="26"/>
      </w:r>
      <w:r w:rsidR="00FC3880" w:rsidRPr="00A761A3">
        <w:t xml:space="preserve"> </w:t>
      </w:r>
    </w:p>
    <w:p w14:paraId="13E2892D" w14:textId="1667E9FC" w:rsidR="00A56AFB" w:rsidRPr="00247AD3" w:rsidRDefault="00A56AFB" w:rsidP="00A56AFB">
      <w:pPr>
        <w:jc w:val="both"/>
        <w:rPr>
          <w:b/>
          <w:bCs/>
        </w:rPr>
      </w:pPr>
      <w:r>
        <w:rPr>
          <w:b/>
          <w:bCs/>
        </w:rPr>
        <w:t xml:space="preserve">Lack of </w:t>
      </w:r>
      <w:r w:rsidR="00616D4E">
        <w:rPr>
          <w:b/>
          <w:bCs/>
        </w:rPr>
        <w:t xml:space="preserve">Local </w:t>
      </w:r>
      <w:r>
        <w:rPr>
          <w:b/>
          <w:bCs/>
        </w:rPr>
        <w:t>Ownership</w:t>
      </w:r>
    </w:p>
    <w:p w14:paraId="74B52E47" w14:textId="134C9E43" w:rsidR="00A56AFB" w:rsidRDefault="00A56AFB" w:rsidP="00A56AFB">
      <w:pPr>
        <w:jc w:val="both"/>
      </w:pPr>
      <w:r>
        <w:t>Notably absent from the GRM arrangement were Hamas and Gaza’s civil society.</w:t>
      </w:r>
      <w:r>
        <w:rPr>
          <w:rStyle w:val="FootnoteReference"/>
        </w:rPr>
        <w:footnoteReference w:id="27"/>
      </w:r>
      <w:r>
        <w:t xml:space="preserve"> </w:t>
      </w:r>
      <w:r w:rsidR="00774C82">
        <w:t xml:space="preserve">In addition to contributing to </w:t>
      </w:r>
      <w:r w:rsidR="00616D4E">
        <w:t xml:space="preserve">the aforementioned </w:t>
      </w:r>
      <w:r w:rsidR="00774C82">
        <w:t>delays, b</w:t>
      </w:r>
      <w:r>
        <w:t xml:space="preserve">y not consulting </w:t>
      </w:r>
      <w:r w:rsidR="00774C82">
        <w:t>with Gaza’s local communities</w:t>
      </w:r>
      <w:r w:rsidR="00D01A5D">
        <w:t>, UNSCO</w:t>
      </w:r>
      <w:r>
        <w:t xml:space="preserve"> effectively allowed the process of reconstruction to be non-inclusive—leaving the fate of Gaza’s communities up to people who do not have as great of a stake in the rebuilding process. This has caused</w:t>
      </w:r>
      <w:r w:rsidRPr="00A761A3">
        <w:t xml:space="preserve"> a crippling lack of communication </w:t>
      </w:r>
      <w:r>
        <w:t>between</w:t>
      </w:r>
      <w:r w:rsidRPr="00A761A3">
        <w:t xml:space="preserve"> Gaza’s civil society and the three entities that developed the </w:t>
      </w:r>
      <w:r>
        <w:t>mechanism.</w:t>
      </w:r>
    </w:p>
    <w:p w14:paraId="65BD5D11" w14:textId="77777777" w:rsidR="00A56AFB" w:rsidRDefault="00A56AFB" w:rsidP="00A56AFB">
      <w:pPr>
        <w:jc w:val="both"/>
      </w:pPr>
      <w:r>
        <w:t>On</w:t>
      </w:r>
      <w:r w:rsidRPr="00A761A3">
        <w:t xml:space="preserve"> a basic level, members of Gaza’s civil society were not consulted during the development of the GRM, nor were representatives from Hamas’s political wing. Thus, the needs of Gaza’s people did not receive appropriate consideration during the conception of the </w:t>
      </w:r>
      <w:r>
        <w:t>mechanism</w:t>
      </w:r>
      <w:r w:rsidRPr="00A761A3">
        <w:t xml:space="preserve">. Gazans were only consulted on the reconstruction effort after the conception of the GRM, so they had no choice but to accept </w:t>
      </w:r>
      <w:r>
        <w:t>a</w:t>
      </w:r>
      <w:r w:rsidRPr="00A761A3">
        <w:t xml:space="preserve"> program developed without their consent. Only after the start of the GRM did the authorities associated with it conduct a survey assessing the damage and the needs of Gazans. </w:t>
      </w:r>
    </w:p>
    <w:p w14:paraId="377AA871" w14:textId="46BA9A63" w:rsidR="00A56AFB" w:rsidRPr="005A1E61" w:rsidRDefault="00A56AFB">
      <w:pPr>
        <w:jc w:val="both"/>
      </w:pPr>
      <w:r w:rsidRPr="00A761A3">
        <w:t xml:space="preserve">In fact, civil society groups in Gaza did not see the full text of the GRM agreement until over a year after its conception. These groups </w:t>
      </w:r>
      <w:r w:rsidR="00116852" w:rsidRPr="00A761A3">
        <w:t xml:space="preserve">would </w:t>
      </w:r>
      <w:r w:rsidRPr="00A761A3">
        <w:t xml:space="preserve">probably have never seen the specifics of the agreement had they not demanded its publication by </w:t>
      </w:r>
      <w:r>
        <w:t>UNSCO</w:t>
      </w:r>
      <w:r w:rsidRPr="00A761A3">
        <w:t>.</w:t>
      </w:r>
      <w:r w:rsidRPr="00A761A3">
        <w:rPr>
          <w:vertAlign w:val="superscript"/>
        </w:rPr>
        <w:footnoteReference w:id="28"/>
      </w:r>
      <w:r w:rsidRPr="00A761A3">
        <w:t xml:space="preserve"> The only </w:t>
      </w:r>
      <w:r>
        <w:t>document on the</w:t>
      </w:r>
      <w:r w:rsidRPr="00A761A3">
        <w:t xml:space="preserve"> GRM, published by UNSCO, was a fact sheet that summarized the </w:t>
      </w:r>
      <w:r>
        <w:t>procedures</w:t>
      </w:r>
      <w:r w:rsidRPr="00A761A3">
        <w:t xml:space="preserve">, </w:t>
      </w:r>
      <w:r w:rsidR="00774C82">
        <w:t>without</w:t>
      </w:r>
      <w:r w:rsidRPr="00A761A3">
        <w:t xml:space="preserve"> go</w:t>
      </w:r>
      <w:r w:rsidR="00774C82">
        <w:t>ing</w:t>
      </w:r>
      <w:r w:rsidRPr="00A761A3">
        <w:t xml:space="preserve"> over the finer points regarding the monitoring process.</w:t>
      </w:r>
      <w:r w:rsidRPr="00A761A3">
        <w:rPr>
          <w:vertAlign w:val="superscript"/>
        </w:rPr>
        <w:footnoteReference w:id="29"/>
      </w:r>
      <w:r>
        <w:t xml:space="preserve"> </w:t>
      </w:r>
      <w:r w:rsidRPr="00A761A3">
        <w:t xml:space="preserve">Thus, from the perspective of the people of Gaza, a group of outsiders concocted plans </w:t>
      </w:r>
      <w:r>
        <w:t>to</w:t>
      </w:r>
      <w:r w:rsidRPr="00A761A3">
        <w:t xml:space="preserve"> rebuild the territory while lacking any knowledge of the actual needs </w:t>
      </w:r>
      <w:r>
        <w:t>of the</w:t>
      </w:r>
      <w:r w:rsidR="00AD2880">
        <w:t xml:space="preserve"> local communities</w:t>
      </w:r>
      <w:r w:rsidRPr="00A761A3">
        <w:t>.</w:t>
      </w:r>
    </w:p>
    <w:p w14:paraId="0DDB8269" w14:textId="669CF11D" w:rsidR="00592F1D" w:rsidRPr="005A1E61" w:rsidRDefault="00FC3880">
      <w:pPr>
        <w:jc w:val="both"/>
        <w:rPr>
          <w:b/>
          <w:bCs/>
        </w:rPr>
      </w:pPr>
      <w:r>
        <w:rPr>
          <w:b/>
          <w:bCs/>
        </w:rPr>
        <w:t xml:space="preserve">Institutionalizing a </w:t>
      </w:r>
      <w:r w:rsidR="00EE28A8">
        <w:rPr>
          <w:b/>
          <w:bCs/>
        </w:rPr>
        <w:t>Siege</w:t>
      </w:r>
    </w:p>
    <w:p w14:paraId="15DA1FD3" w14:textId="17533380" w:rsidR="001D46B2" w:rsidRDefault="00616D4E">
      <w:pPr>
        <w:jc w:val="both"/>
      </w:pPr>
      <w:r>
        <w:t>While Gazan’s have little ownership over th</w:t>
      </w:r>
      <w:r w:rsidR="00776A74">
        <w:t>e mechanism</w:t>
      </w:r>
      <w:r>
        <w:t>, the Israeli</w:t>
      </w:r>
      <w:r w:rsidR="00822770">
        <w:t>s</w:t>
      </w:r>
      <w:r>
        <w:t xml:space="preserve"> have too much. W</w:t>
      </w:r>
      <w:r w:rsidR="00A761A3" w:rsidRPr="00A761A3">
        <w:t xml:space="preserve">ith the GRM in place, the Israelis can now point to the mechanism as a justification for controlling the goods that enter the Palestinian enclave. </w:t>
      </w:r>
      <w:r w:rsidR="00F32047" w:rsidRPr="00A761A3">
        <w:t>Due to the potential dual-use nature—civilian and military</w:t>
      </w:r>
      <w:r w:rsidR="00F32047">
        <w:t xml:space="preserve"> application</w:t>
      </w:r>
      <w:r w:rsidR="00F32047" w:rsidRPr="00A761A3">
        <w:t xml:space="preserve">—of some of the construction materials entering Gaza, the GRM was initially proposed to reassure Israel </w:t>
      </w:r>
      <w:r w:rsidR="00F32047">
        <w:t>through</w:t>
      </w:r>
      <w:r w:rsidR="00F32047" w:rsidRPr="00A761A3">
        <w:t xml:space="preserve"> </w:t>
      </w:r>
      <w:r w:rsidR="00F32047">
        <w:t>instituting</w:t>
      </w:r>
      <w:r w:rsidR="00F32047" w:rsidRPr="00A761A3">
        <w:t xml:space="preserve"> </w:t>
      </w:r>
      <w:r w:rsidR="00F32047">
        <w:t>a</w:t>
      </w:r>
      <w:r w:rsidR="00F32047" w:rsidRPr="00A761A3">
        <w:t xml:space="preserve"> “neutral” apparatus </w:t>
      </w:r>
      <w:r w:rsidR="00F32047">
        <w:t xml:space="preserve">that would </w:t>
      </w:r>
      <w:r w:rsidR="00F32047" w:rsidRPr="00A761A3">
        <w:t xml:space="preserve">inspect all materials entering the territory. </w:t>
      </w:r>
      <w:r w:rsidR="00F32047">
        <w:t xml:space="preserve"> </w:t>
      </w:r>
      <w:r w:rsidR="00A761A3" w:rsidRPr="00A761A3">
        <w:t>Although the GRM was successful in establishing an indirect line of communication between the Palestinians and Israelis to ease the flow of construction materials, in actuality it institutionalized the Israeli blockade by giving the Israeli government the highest authority over the reconstruction process</w:t>
      </w:r>
      <w:r w:rsidR="00DF187D">
        <w:t>.</w:t>
      </w:r>
      <w:r w:rsidR="00FC3880">
        <w:t xml:space="preserve"> </w:t>
      </w:r>
      <w:r w:rsidR="00FC3880" w:rsidRPr="00A761A3">
        <w:t>In effect, the GRM has moved beyond being a confidence building measure, and transformed into a political tool in the hands of Israel.</w:t>
      </w:r>
    </w:p>
    <w:p w14:paraId="06D03E27" w14:textId="1CC36EF2" w:rsidR="00822770" w:rsidRDefault="00C70598" w:rsidP="00F73D1A">
      <w:pPr>
        <w:jc w:val="both"/>
      </w:pPr>
      <w:r>
        <w:t>E</w:t>
      </w:r>
      <w:r w:rsidRPr="00A761A3">
        <w:t>ven with the sophisticated system of inspection and monitoring of imports, COGAT still finds ways to</w:t>
      </w:r>
      <w:r>
        <w:t xml:space="preserve"> further</w:t>
      </w:r>
      <w:r w:rsidRPr="00A761A3">
        <w:t xml:space="preserve"> impede</w:t>
      </w:r>
      <w:r>
        <w:t xml:space="preserve"> the reconstruction process</w:t>
      </w:r>
      <w:r w:rsidR="00A7559F">
        <w:t xml:space="preserve">. </w:t>
      </w:r>
      <w:r w:rsidR="00601C92" w:rsidRPr="00A761A3">
        <w:t xml:space="preserve">Despite expansions made to the Kerem Shalom crossing—the </w:t>
      </w:r>
      <w:r w:rsidR="00601C92" w:rsidRPr="00A761A3">
        <w:lastRenderedPageBreak/>
        <w:t xml:space="preserve">checkpoint where commercial goods enter Gaza—and the donation of a security scanner by the Dutch government, COGAT continues to </w:t>
      </w:r>
      <w:r w:rsidR="00AD2880">
        <w:t>devise</w:t>
      </w:r>
      <w:r w:rsidR="00601C92" w:rsidRPr="00A761A3">
        <w:t xml:space="preserve"> </w:t>
      </w:r>
      <w:r w:rsidR="00AD2880">
        <w:t>new methods</w:t>
      </w:r>
      <w:r w:rsidR="00601C92" w:rsidRPr="00A761A3">
        <w:t xml:space="preserve"> to slow the entrance of construction materials through the crossing.</w:t>
      </w:r>
      <w:r w:rsidR="00601C92" w:rsidRPr="00A761A3">
        <w:rPr>
          <w:vertAlign w:val="superscript"/>
        </w:rPr>
        <w:footnoteReference w:id="30"/>
      </w:r>
      <w:r w:rsidR="00601C92" w:rsidRPr="00A761A3">
        <w:t xml:space="preserve"> In May 2016, Israel </w:t>
      </w:r>
      <w:r w:rsidR="00601C92">
        <w:t>imposed</w:t>
      </w:r>
      <w:r w:rsidR="00601C92" w:rsidRPr="00A761A3">
        <w:t xml:space="preserve"> a 45-day ban on the import of cement, because it accused Hamas of hijacking deliveries.</w:t>
      </w:r>
      <w:r w:rsidR="00601C92" w:rsidRPr="00A761A3">
        <w:rPr>
          <w:vertAlign w:val="superscript"/>
        </w:rPr>
        <w:footnoteReference w:id="31"/>
      </w:r>
      <w:r w:rsidR="00601C92" w:rsidRPr="00A761A3">
        <w:t xml:space="preserve"> COGAT also banned the import of wood planks, which it accuse</w:t>
      </w:r>
      <w:r w:rsidR="00174943">
        <w:t>d</w:t>
      </w:r>
      <w:r w:rsidR="00601C92" w:rsidRPr="00A761A3">
        <w:t xml:space="preserve"> Hamas of using to buttress its extensive network of tunnels.</w:t>
      </w:r>
      <w:r w:rsidR="00601C92" w:rsidRPr="00A761A3">
        <w:rPr>
          <w:vertAlign w:val="superscript"/>
        </w:rPr>
        <w:footnoteReference w:id="32"/>
      </w:r>
      <w:r w:rsidR="00601C92" w:rsidRPr="00A761A3">
        <w:t xml:space="preserve"> In terms of construction materials, cement and wood constitute basic elements required for the construction of homes, hospitals, and schools. </w:t>
      </w:r>
      <w:r w:rsidR="00822770" w:rsidRPr="00A761A3">
        <w:t xml:space="preserve">Bans on the import of cement and lumber have significantly decreased the capacity for progress </w:t>
      </w:r>
      <w:r w:rsidR="00822770">
        <w:t>in</w:t>
      </w:r>
      <w:r w:rsidR="00822770" w:rsidRPr="00A761A3">
        <w:t xml:space="preserve"> Gaza’s reconstruction. </w:t>
      </w:r>
      <w:r w:rsidR="006B1691" w:rsidRPr="00A761A3">
        <w:t xml:space="preserve">Figure </w:t>
      </w:r>
      <w:r w:rsidR="006B1691">
        <w:t>III</w:t>
      </w:r>
      <w:r w:rsidR="006B1691" w:rsidRPr="00A761A3">
        <w:t xml:space="preserve"> displays the deficit of ABC materials required to complete the housing projects assessed by the MoPWH.</w:t>
      </w:r>
      <w:r w:rsidR="006B1691">
        <w:rPr>
          <w:rStyle w:val="FootnoteReference"/>
        </w:rPr>
        <w:footnoteReference w:id="33"/>
      </w:r>
      <w:r w:rsidR="006B1691">
        <w:t xml:space="preserve"> </w:t>
      </w:r>
      <w:r w:rsidR="00822770" w:rsidRPr="00A761A3">
        <w:t>The diminishing progress of construction projects proves that the continued blockade and control of movement imposed on Gaza by the Israeli government poses an exceptional obstruction to the improvement of the quality of life for Gaza’s residents.</w:t>
      </w:r>
    </w:p>
    <w:p w14:paraId="5A4F1648" w14:textId="183100F8" w:rsidR="0030091A" w:rsidRPr="0030091A" w:rsidRDefault="0030091A" w:rsidP="0030091A">
      <w:pPr>
        <w:pStyle w:val="Caption"/>
        <w:keepNext/>
        <w:jc w:val="center"/>
        <w:rPr>
          <w:b/>
          <w:bCs/>
          <w:i w:val="0"/>
          <w:iCs w:val="0"/>
          <w:color w:val="auto"/>
          <w:sz w:val="22"/>
          <w:szCs w:val="22"/>
        </w:rPr>
      </w:pPr>
      <w:r w:rsidRPr="0030091A">
        <w:rPr>
          <w:b/>
          <w:bCs/>
          <w:i w:val="0"/>
          <w:iCs w:val="0"/>
          <w:color w:val="auto"/>
          <w:sz w:val="22"/>
          <w:szCs w:val="22"/>
        </w:rPr>
        <w:t xml:space="preserve">Figure </w:t>
      </w:r>
      <w:r w:rsidRPr="0030091A">
        <w:rPr>
          <w:b/>
          <w:bCs/>
          <w:i w:val="0"/>
          <w:iCs w:val="0"/>
          <w:color w:val="auto"/>
          <w:sz w:val="22"/>
          <w:szCs w:val="22"/>
        </w:rPr>
        <w:fldChar w:fldCharType="begin"/>
      </w:r>
      <w:r w:rsidRPr="0030091A">
        <w:rPr>
          <w:b/>
          <w:bCs/>
          <w:i w:val="0"/>
          <w:iCs w:val="0"/>
          <w:color w:val="auto"/>
          <w:sz w:val="22"/>
          <w:szCs w:val="22"/>
        </w:rPr>
        <w:instrText xml:space="preserve"> SEQ Figure \* ROMAN </w:instrText>
      </w:r>
      <w:r w:rsidRPr="0030091A">
        <w:rPr>
          <w:b/>
          <w:bCs/>
          <w:i w:val="0"/>
          <w:iCs w:val="0"/>
          <w:color w:val="auto"/>
          <w:sz w:val="22"/>
          <w:szCs w:val="22"/>
        </w:rPr>
        <w:fldChar w:fldCharType="separate"/>
      </w:r>
      <w:r w:rsidRPr="0030091A">
        <w:rPr>
          <w:b/>
          <w:bCs/>
          <w:i w:val="0"/>
          <w:iCs w:val="0"/>
          <w:noProof/>
          <w:color w:val="auto"/>
          <w:sz w:val="22"/>
          <w:szCs w:val="22"/>
        </w:rPr>
        <w:t>III</w:t>
      </w:r>
      <w:r w:rsidRPr="0030091A">
        <w:rPr>
          <w:b/>
          <w:bCs/>
          <w:i w:val="0"/>
          <w:iCs w:val="0"/>
          <w:color w:val="auto"/>
          <w:sz w:val="22"/>
          <w:szCs w:val="22"/>
        </w:rPr>
        <w:fldChar w:fldCharType="end"/>
      </w:r>
      <w:r w:rsidRPr="0030091A">
        <w:rPr>
          <w:b/>
          <w:bCs/>
          <w:i w:val="0"/>
          <w:iCs w:val="0"/>
          <w:color w:val="auto"/>
          <w:sz w:val="22"/>
          <w:szCs w:val="22"/>
        </w:rPr>
        <w:t>: Cement and Rebar Entered vs. Required Quantity (Tonnes)</w:t>
      </w:r>
    </w:p>
    <w:p w14:paraId="47A084EB" w14:textId="672DBAFA" w:rsidR="00C70DE5" w:rsidRDefault="005F7118" w:rsidP="00C70DE5">
      <w:pPr>
        <w:keepNext/>
        <w:jc w:val="both"/>
      </w:pPr>
      <w:r>
        <w:rPr>
          <w:noProof/>
        </w:rPr>
        <w:drawing>
          <wp:inline distT="0" distB="0" distL="0" distR="0" wp14:anchorId="2A52990F" wp14:editId="5B53623E">
            <wp:extent cx="5943600" cy="1205972"/>
            <wp:effectExtent l="0" t="0" r="0" b="0"/>
            <wp:docPr id="8" name="Picture 8" descr="C:\Users\LENOVO\AppData\Local\Microsoft\Windows\INetCache\Content.Word\2017-07-06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AppData\Local\Microsoft\Windows\INetCache\Content.Word\2017-07-06 (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205972"/>
                    </a:xfrm>
                    <a:prstGeom prst="rect">
                      <a:avLst/>
                    </a:prstGeom>
                    <a:noFill/>
                    <a:ln>
                      <a:noFill/>
                    </a:ln>
                  </pic:spPr>
                </pic:pic>
              </a:graphicData>
            </a:graphic>
          </wp:inline>
        </w:drawing>
      </w:r>
    </w:p>
    <w:p w14:paraId="7E5EBBF7" w14:textId="7FDCBDE1" w:rsidR="00C70DE5" w:rsidRPr="007F1585" w:rsidRDefault="00C70DE5" w:rsidP="007F1585">
      <w:pPr>
        <w:pStyle w:val="Caption"/>
        <w:jc w:val="center"/>
        <w:rPr>
          <w:i w:val="0"/>
          <w:iCs w:val="0"/>
        </w:rPr>
      </w:pPr>
      <w:r w:rsidRPr="007F1585">
        <w:rPr>
          <w:i w:val="0"/>
          <w:iCs w:val="0"/>
        </w:rPr>
        <w:t>Source</w:t>
      </w:r>
      <w:r w:rsidR="00171E44">
        <w:rPr>
          <w:i w:val="0"/>
          <w:iCs w:val="0"/>
        </w:rPr>
        <w:t>: Shelter Cluster Palestine,</w:t>
      </w:r>
      <w:r w:rsidRPr="007F1585">
        <w:rPr>
          <w:i w:val="0"/>
          <w:iCs w:val="0"/>
        </w:rPr>
        <w:t xml:space="preserve"> 2016</w:t>
      </w:r>
    </w:p>
    <w:p w14:paraId="02138E53" w14:textId="7F219B3B" w:rsidR="00005598" w:rsidRPr="00A761A3" w:rsidRDefault="00601C92">
      <w:pPr>
        <w:jc w:val="both"/>
      </w:pPr>
      <w:r w:rsidRPr="00A761A3">
        <w:t xml:space="preserve">Without providing hard evidence, other than stated </w:t>
      </w:r>
      <w:r w:rsidR="00FF489E">
        <w:t>accusations</w:t>
      </w:r>
      <w:r w:rsidRPr="00A761A3">
        <w:t>, COGAT continues to ban necessary construction materials from entering Gaza</w:t>
      </w:r>
      <w:r w:rsidR="006B1691">
        <w:t>.</w:t>
      </w:r>
      <w:r w:rsidR="00822770">
        <w:t xml:space="preserve"> </w:t>
      </w:r>
      <w:r w:rsidR="00822770" w:rsidRPr="00A761A3">
        <w:t xml:space="preserve">The GRM could have been a shining example of joint Israeli-Palestinian cooperation, used as a framework for future collaborative projects, but instead COGAT found it suitable to hinder construction and abuse </w:t>
      </w:r>
      <w:r w:rsidR="00822770">
        <w:t>it</w:t>
      </w:r>
      <w:r w:rsidR="00822770" w:rsidRPr="00A761A3">
        <w:t xml:space="preserve">. The purpose of the GRM was to share the responsibility of the reconstruction between </w:t>
      </w:r>
      <w:r w:rsidR="006B1691">
        <w:t>different</w:t>
      </w:r>
      <w:r w:rsidR="00822770" w:rsidRPr="00A761A3">
        <w:t xml:space="preserve"> stakeholders in Gaza—including the Israelis—not leave it up to</w:t>
      </w:r>
      <w:r w:rsidR="0078416E">
        <w:t xml:space="preserve"> the party with the most power.</w:t>
      </w:r>
    </w:p>
    <w:p w14:paraId="5DC5DD7B" w14:textId="0351C8C2" w:rsidR="00601C92" w:rsidRPr="005A1E61" w:rsidRDefault="00005598">
      <w:pPr>
        <w:jc w:val="both"/>
        <w:rPr>
          <w:b/>
          <w:bCs/>
        </w:rPr>
      </w:pPr>
      <w:r w:rsidRPr="005A1E61">
        <w:rPr>
          <w:b/>
          <w:bCs/>
        </w:rPr>
        <w:t>The Ripple Effect</w:t>
      </w:r>
    </w:p>
    <w:p w14:paraId="7232B921" w14:textId="69279D91" w:rsidR="00005598" w:rsidRDefault="00822770">
      <w:pPr>
        <w:jc w:val="both"/>
      </w:pPr>
      <w:r w:rsidRPr="00A761A3">
        <w:t>Maher al-Tabbaa, a Gazan economist and a spokesperson for the local chamber of commerce, asserts that COGAT</w:t>
      </w:r>
      <w:r>
        <w:t>’s</w:t>
      </w:r>
      <w:r w:rsidRPr="00A761A3">
        <w:t xml:space="preserve"> restrictions on material imports amount to “economic warfare.”</w:t>
      </w:r>
      <w:r w:rsidRPr="00A761A3">
        <w:rPr>
          <w:vertAlign w:val="superscript"/>
        </w:rPr>
        <w:footnoteReference w:id="34"/>
      </w:r>
      <w:r>
        <w:t xml:space="preserve"> </w:t>
      </w:r>
      <w:r w:rsidR="00174943">
        <w:t xml:space="preserve">Those policies have had </w:t>
      </w:r>
      <w:r w:rsidR="00C70598">
        <w:t>sizeable</w:t>
      </w:r>
      <w:r w:rsidR="00174943">
        <w:t xml:space="preserve"> effect</w:t>
      </w:r>
      <w:r w:rsidR="00C70598">
        <w:t>s</w:t>
      </w:r>
      <w:r w:rsidR="00174943">
        <w:t xml:space="preserve"> on </w:t>
      </w:r>
      <w:r>
        <w:t>Gaza’s</w:t>
      </w:r>
      <w:r w:rsidR="00C70598">
        <w:t xml:space="preserve"> overall</w:t>
      </w:r>
      <w:r w:rsidR="00174943">
        <w:t xml:space="preserve"> economy</w:t>
      </w:r>
      <w:r w:rsidR="00AD2880">
        <w:t xml:space="preserve">. For </w:t>
      </w:r>
      <w:r w:rsidR="00637D23">
        <w:t>instance, t</w:t>
      </w:r>
      <w:r>
        <w:t xml:space="preserve">he Strip’s </w:t>
      </w:r>
      <w:r w:rsidR="008F1C76">
        <w:t xml:space="preserve">well-established </w:t>
      </w:r>
      <w:r w:rsidR="00A761A3" w:rsidRPr="00A761A3">
        <w:t xml:space="preserve">furniture manufacturing industry can no longer make furniture because it lacks the raw materials to do so. As a </w:t>
      </w:r>
      <w:r w:rsidR="00A761A3" w:rsidRPr="00A761A3">
        <w:lastRenderedPageBreak/>
        <w:t>result, these companies significantly downsize</w:t>
      </w:r>
      <w:r w:rsidR="008A3334">
        <w:t>d</w:t>
      </w:r>
      <w:r w:rsidR="00A761A3" w:rsidRPr="00A761A3">
        <w:t xml:space="preserve"> </w:t>
      </w:r>
      <w:r w:rsidR="008A3334">
        <w:t>their</w:t>
      </w:r>
      <w:r w:rsidR="008A3334" w:rsidRPr="00A761A3">
        <w:t xml:space="preserve"> </w:t>
      </w:r>
      <w:r w:rsidR="00A761A3" w:rsidRPr="00A761A3">
        <w:t>labor force</w:t>
      </w:r>
      <w:r w:rsidR="005C40C4">
        <w:t>, deliver</w:t>
      </w:r>
      <w:r w:rsidR="00637D23">
        <w:t>ing</w:t>
      </w:r>
      <w:r w:rsidR="005C40C4">
        <w:t xml:space="preserve"> </w:t>
      </w:r>
      <w:r w:rsidR="005C40C4" w:rsidRPr="00A761A3">
        <w:t>another punishing blow</w:t>
      </w:r>
      <w:r w:rsidR="005C40C4">
        <w:t xml:space="preserve"> to</w:t>
      </w:r>
      <w:r w:rsidR="005C40C4" w:rsidRPr="00A761A3">
        <w:t xml:space="preserve"> a community that already </w:t>
      </w:r>
      <w:r w:rsidR="005C40C4">
        <w:t>struggled with</w:t>
      </w:r>
      <w:r w:rsidR="005C40C4" w:rsidRPr="00A761A3">
        <w:t xml:space="preserve"> high unemployment</w:t>
      </w:r>
      <w:r w:rsidR="005C40C4">
        <w:t>.</w:t>
      </w:r>
      <w:r w:rsidR="00A761A3" w:rsidRPr="00A761A3">
        <w:rPr>
          <w:vertAlign w:val="superscript"/>
        </w:rPr>
        <w:footnoteReference w:id="35"/>
      </w:r>
      <w:r w:rsidR="00FF489E">
        <w:t xml:space="preserve"> </w:t>
      </w:r>
    </w:p>
    <w:p w14:paraId="59CE1957" w14:textId="343F8CD4" w:rsidR="00F6243F" w:rsidRDefault="00AD2880">
      <w:pPr>
        <w:jc w:val="both"/>
      </w:pPr>
      <w:r>
        <w:t>A</w:t>
      </w:r>
      <w:r w:rsidR="0043608A" w:rsidRPr="00A761A3">
        <w:t>ccording to the U.N. Relief and Works Agency for Palestine Refugees in the Near East (UNRWA), “over 80 percent of the people in Gaza depend on humanitarian assistance.”</w:t>
      </w:r>
      <w:r w:rsidR="0043608A">
        <w:rPr>
          <w:rStyle w:val="FootnoteReference"/>
        </w:rPr>
        <w:footnoteReference w:id="36"/>
      </w:r>
      <w:r w:rsidR="0043608A" w:rsidRPr="00A761A3">
        <w:t xml:space="preserve"> </w:t>
      </w:r>
      <w:r w:rsidR="0043608A">
        <w:t xml:space="preserve">Another report by </w:t>
      </w:r>
      <w:r w:rsidR="00F6243F">
        <w:t xml:space="preserve">UNOCHA </w:t>
      </w:r>
      <w:r w:rsidR="0043608A">
        <w:t>found that</w:t>
      </w:r>
      <w:r w:rsidR="00414674">
        <w:t xml:space="preserve"> </w:t>
      </w:r>
      <w:r w:rsidR="00F6243F" w:rsidRPr="00A761A3">
        <w:t xml:space="preserve">over 80 percent of </w:t>
      </w:r>
      <w:r w:rsidR="00414674">
        <w:t>displaced Gazan</w:t>
      </w:r>
      <w:r w:rsidR="00C70598">
        <w:t xml:space="preserve"> </w:t>
      </w:r>
      <w:r w:rsidR="00F6243F" w:rsidRPr="00A761A3">
        <w:t>families</w:t>
      </w:r>
      <w:r w:rsidR="00414674">
        <w:t xml:space="preserve"> have</w:t>
      </w:r>
      <w:r w:rsidR="00F6243F" w:rsidRPr="00A761A3">
        <w:t xml:space="preserve"> borrowed money to get b</w:t>
      </w:r>
      <w:r w:rsidR="00637D23">
        <w:t>y in the past year, over 85 per</w:t>
      </w:r>
      <w:r w:rsidR="00F6243F" w:rsidRPr="00A761A3">
        <w:t xml:space="preserve">cent purchased most of their </w:t>
      </w:r>
      <w:r w:rsidR="00637D23">
        <w:t>food on credit, and over 40 per</w:t>
      </w:r>
      <w:r w:rsidR="00F6243F" w:rsidRPr="00A761A3">
        <w:t>cent have decreased their cons</w:t>
      </w:r>
      <w:r w:rsidR="00414674">
        <w:t>umption of food.</w:t>
      </w:r>
      <w:r w:rsidR="00F6243F" w:rsidRPr="00A761A3">
        <w:rPr>
          <w:vertAlign w:val="superscript"/>
        </w:rPr>
        <w:footnoteReference w:id="37"/>
      </w:r>
      <w:r w:rsidR="00F6243F" w:rsidRPr="00A761A3">
        <w:t xml:space="preserve"> </w:t>
      </w:r>
      <w:r w:rsidR="00C70598" w:rsidRPr="00A761A3">
        <w:t xml:space="preserve">Although the GRM does not deal with the financial problems of Gaza’s residents, the figures provided by </w:t>
      </w:r>
      <w:r w:rsidR="00C70598">
        <w:t>those studies</w:t>
      </w:r>
      <w:r w:rsidR="00C70598" w:rsidRPr="00A761A3">
        <w:t xml:space="preserve"> do reveal one of </w:t>
      </w:r>
      <w:r w:rsidR="00C70598">
        <w:t>its</w:t>
      </w:r>
      <w:r w:rsidR="00C70598" w:rsidRPr="00A761A3">
        <w:t xml:space="preserve"> shortcomings. It did not create the job boom in the construction sector predicted by those who helped develop it. </w:t>
      </w:r>
      <w:r w:rsidR="00F6243F" w:rsidRPr="00A761A3">
        <w:t>Clearly, more economic opportunities are needed in Gaza</w:t>
      </w:r>
      <w:r w:rsidR="00F6243F">
        <w:t xml:space="preserve">, and the ripple effect </w:t>
      </w:r>
      <w:r w:rsidR="00C70598">
        <w:t>initiated by</w:t>
      </w:r>
      <w:r w:rsidR="00F6243F">
        <w:t xml:space="preserve"> the</w:t>
      </w:r>
      <w:r w:rsidR="00637D23">
        <w:t xml:space="preserve"> GRM has been far from positive. </w:t>
      </w:r>
    </w:p>
    <w:p w14:paraId="3055F335" w14:textId="7DDF6C3B" w:rsidR="00005598" w:rsidRPr="00A761A3" w:rsidRDefault="00A761A3">
      <w:pPr>
        <w:jc w:val="both"/>
        <w:rPr>
          <w:b/>
          <w:bCs/>
        </w:rPr>
      </w:pPr>
      <w:r w:rsidRPr="00153141">
        <w:rPr>
          <w:b/>
          <w:bCs/>
        </w:rPr>
        <w:t>Recommendations</w:t>
      </w:r>
      <w:r w:rsidRPr="00A761A3">
        <w:rPr>
          <w:b/>
          <w:bCs/>
        </w:rPr>
        <w:t xml:space="preserve"> </w:t>
      </w:r>
    </w:p>
    <w:p w14:paraId="0AB7691B" w14:textId="34296D90" w:rsidR="00E44613" w:rsidRDefault="00A761A3" w:rsidP="00E44613">
      <w:pPr>
        <w:jc w:val="both"/>
      </w:pPr>
      <w:r w:rsidRPr="00A761A3">
        <w:t>The absence of a long-term solution to the Israeli-Palestinian conflict leaves only one alternative to mitigate the suffering of Gaza’s people and prevent another cycle of war and destruction and that is to accelerate the speed of reconstruction</w:t>
      </w:r>
      <w:r w:rsidR="00E44613">
        <w:t>.</w:t>
      </w:r>
      <w:r w:rsidR="00E44613" w:rsidRPr="00A761A3">
        <w:t xml:space="preserve"> </w:t>
      </w:r>
      <w:r w:rsidR="000C2204">
        <w:t>N</w:t>
      </w:r>
      <w:r w:rsidR="00E44613" w:rsidRPr="00A761A3">
        <w:t xml:space="preserve">oting the complications </w:t>
      </w:r>
      <w:r w:rsidR="00E44613">
        <w:t xml:space="preserve">to </w:t>
      </w:r>
      <w:r w:rsidR="00E44613" w:rsidRPr="00A761A3">
        <w:t xml:space="preserve">reconstruction </w:t>
      </w:r>
      <w:r w:rsidR="00E44613">
        <w:t xml:space="preserve">in Gaza </w:t>
      </w:r>
      <w:r w:rsidR="00E44613" w:rsidRPr="00A761A3">
        <w:t>created by the GRM, the blockade, and the Fatah-Hamas political deadlock, several actions could be taken to alleviate these problems</w:t>
      </w:r>
      <w:r w:rsidR="00E44613">
        <w:t>.</w:t>
      </w:r>
    </w:p>
    <w:p w14:paraId="31573D41" w14:textId="0942F3B4" w:rsidR="00A761A3" w:rsidRPr="00A761A3" w:rsidRDefault="00E44613">
      <w:pPr>
        <w:jc w:val="both"/>
        <w:rPr>
          <w:b/>
          <w:bCs/>
        </w:rPr>
      </w:pPr>
      <w:r>
        <w:t>After re</w:t>
      </w:r>
      <w:r w:rsidR="005A1EA5">
        <w:t>-</w:t>
      </w:r>
      <w:r>
        <w:t xml:space="preserve">embarking on a path toward </w:t>
      </w:r>
      <w:r w:rsidRPr="00A761A3">
        <w:t>reconciliation between Fatah and Hamas</w:t>
      </w:r>
      <w:r>
        <w:t>,</w:t>
      </w:r>
      <w:r w:rsidR="00A761A3" w:rsidRPr="00A761A3">
        <w:t xml:space="preserve"> </w:t>
      </w:r>
      <w:r>
        <w:t xml:space="preserve">the </w:t>
      </w:r>
      <w:r w:rsidR="001B4D50">
        <w:t>dissolution</w:t>
      </w:r>
      <w:r w:rsidR="001B4D50" w:rsidRPr="00A761A3">
        <w:t xml:space="preserve"> </w:t>
      </w:r>
      <w:r w:rsidR="00A761A3" w:rsidRPr="00A761A3">
        <w:t xml:space="preserve">of the GRM should take precedent in any effort to revive the reconstruction of Gaza. </w:t>
      </w:r>
      <w:r>
        <w:t xml:space="preserve">A new mechanism that sees a stronger role in monitoring for both Gaza’s civil society and </w:t>
      </w:r>
      <w:r w:rsidR="000C2204">
        <w:t>the donor community</w:t>
      </w:r>
      <w:r>
        <w:t xml:space="preserve"> </w:t>
      </w:r>
      <w:r w:rsidRPr="00A761A3">
        <w:t>could inspire confidence in the</w:t>
      </w:r>
      <w:r>
        <w:t xml:space="preserve"> process and </w:t>
      </w:r>
      <w:r w:rsidR="000C2204">
        <w:t>increase donor financial flows to the Strip</w:t>
      </w:r>
      <w:r w:rsidRPr="00A761A3">
        <w:t>.</w:t>
      </w:r>
      <w:r w:rsidR="000C2204">
        <w:t xml:space="preserve"> A greater focus on infrastructure projects </w:t>
      </w:r>
      <w:r>
        <w:t xml:space="preserve">would </w:t>
      </w:r>
      <w:r w:rsidR="000C2204">
        <w:t>also ensure</w:t>
      </w:r>
      <w:r w:rsidRPr="00A761A3">
        <w:t xml:space="preserve"> that </w:t>
      </w:r>
      <w:r w:rsidR="0043608A">
        <w:t xml:space="preserve">the </w:t>
      </w:r>
      <w:r w:rsidRPr="00A761A3">
        <w:t xml:space="preserve">process generates maximum employment across </w:t>
      </w:r>
      <w:r w:rsidR="000C2204">
        <w:t>Gaza</w:t>
      </w:r>
      <w:r w:rsidRPr="00A761A3">
        <w:t>.</w:t>
      </w:r>
    </w:p>
    <w:p w14:paraId="66156314" w14:textId="56C0ED43" w:rsidR="00402955" w:rsidRPr="00760406" w:rsidRDefault="00FC10CD" w:rsidP="00402955">
      <w:pPr>
        <w:jc w:val="both"/>
        <w:rPr>
          <w:b/>
          <w:bCs/>
        </w:rPr>
      </w:pPr>
      <w:r>
        <w:rPr>
          <w:b/>
          <w:bCs/>
        </w:rPr>
        <w:t>Revive Reconciliation</w:t>
      </w:r>
    </w:p>
    <w:p w14:paraId="3928066A" w14:textId="41158126" w:rsidR="005625E3" w:rsidRDefault="005625E3">
      <w:pPr>
        <w:jc w:val="both"/>
      </w:pPr>
      <w:r w:rsidRPr="00A761A3">
        <w:t xml:space="preserve">The ongoing political deadlock in Palestinian politics guarantees </w:t>
      </w:r>
      <w:r w:rsidR="00A80D20">
        <w:t xml:space="preserve">the </w:t>
      </w:r>
      <w:r w:rsidRPr="00A761A3">
        <w:t>perpetual stagnation of Gaza’s reconstruction. Fatah and Hamas need to address each other’s economic and political grievances.</w:t>
      </w:r>
      <w:r>
        <w:t xml:space="preserve"> </w:t>
      </w:r>
      <w:r w:rsidR="00656CD5">
        <w:t>Fortunately, a</w:t>
      </w:r>
      <w:r w:rsidRPr="00A761A3">
        <w:t xml:space="preserve">n opening to reconcile Fatah and Hamas continues to grow, especially with the </w:t>
      </w:r>
      <w:r>
        <w:t>replacement</w:t>
      </w:r>
      <w:r w:rsidRPr="00A761A3">
        <w:t xml:space="preserve"> of Khaled Mashaal</w:t>
      </w:r>
      <w:r>
        <w:t>—</w:t>
      </w:r>
      <w:r w:rsidRPr="00A761A3">
        <w:t>Hamas’s political chief</w:t>
      </w:r>
      <w:r>
        <w:t xml:space="preserve">—with former </w:t>
      </w:r>
      <w:r w:rsidR="009A4DC8">
        <w:t>Prime Minister</w:t>
      </w:r>
      <w:r>
        <w:t xml:space="preserve"> Ismail Haniyeh and the adoption of a new charter</w:t>
      </w:r>
      <w:r w:rsidRPr="00A761A3">
        <w:t>.</w:t>
      </w:r>
      <w:r w:rsidRPr="00A761A3">
        <w:rPr>
          <w:vertAlign w:val="superscript"/>
        </w:rPr>
        <w:footnoteReference w:id="38"/>
      </w:r>
      <w:r w:rsidRPr="00A761A3">
        <w:t xml:space="preserve">   </w:t>
      </w:r>
      <w:r>
        <w:t>The appointment of Haniyeh as Hamas’s political leader suggests that the organization looks to continue down a path of moderation, appeasing stakeholders in the region.</w:t>
      </w:r>
      <w:r>
        <w:rPr>
          <w:rStyle w:val="FootnoteReference"/>
        </w:rPr>
        <w:footnoteReference w:id="39"/>
      </w:r>
      <w:r>
        <w:t xml:space="preserve"> </w:t>
      </w:r>
      <w:r w:rsidR="0043608A">
        <w:t>T</w:t>
      </w:r>
      <w:r>
        <w:t>hese developments signal to Fatah that Hamas wishes to re-engage in reconciliation talks.</w:t>
      </w:r>
    </w:p>
    <w:p w14:paraId="1B1DA8A0" w14:textId="09893855" w:rsidR="00402955" w:rsidRDefault="00402955" w:rsidP="000A33DD">
      <w:pPr>
        <w:jc w:val="both"/>
      </w:pPr>
      <w:r w:rsidRPr="00A761A3">
        <w:lastRenderedPageBreak/>
        <w:t>Cairo</w:t>
      </w:r>
      <w:r w:rsidR="00A80D20">
        <w:t>, which controls one of the key crossings into Gaza,</w:t>
      </w:r>
      <w:r w:rsidRPr="00A761A3">
        <w:t xml:space="preserve"> </w:t>
      </w:r>
      <w:r w:rsidR="0043608A">
        <w:t xml:space="preserve">should </w:t>
      </w:r>
      <w:r w:rsidR="00656CD5">
        <w:t xml:space="preserve">continue to </w:t>
      </w:r>
      <w:r w:rsidR="004270B1">
        <w:t>mediate betwee</w:t>
      </w:r>
      <w:r w:rsidR="00A80D20">
        <w:t>n the two Palestinian factions.</w:t>
      </w:r>
      <w:r w:rsidRPr="00A761A3">
        <w:t xml:space="preserve"> </w:t>
      </w:r>
      <w:r w:rsidR="00656CD5">
        <w:t>However, i</w:t>
      </w:r>
      <w:r w:rsidRPr="00A761A3">
        <w:t>n order for Egypt to serve as an effective m</w:t>
      </w:r>
      <w:r w:rsidR="00BE0010">
        <w:t xml:space="preserve">ediator, </w:t>
      </w:r>
      <w:r w:rsidR="000A33DD">
        <w:t xml:space="preserve">el-Sissi </w:t>
      </w:r>
      <w:r w:rsidRPr="00A761A3">
        <w:t>must first reconcile with Hamas</w:t>
      </w:r>
      <w:r w:rsidR="000A33DD">
        <w:t xml:space="preserve"> himself</w:t>
      </w:r>
      <w:r>
        <w:t>.</w:t>
      </w:r>
      <w:r w:rsidR="000A33DD">
        <w:t xml:space="preserve"> </w:t>
      </w:r>
      <w:r w:rsidR="001D23BF">
        <w:t>R</w:t>
      </w:r>
      <w:r w:rsidR="00C950E7">
        <w:t>ecent</w:t>
      </w:r>
      <w:r w:rsidR="006B1691">
        <w:t xml:space="preserve"> developments </w:t>
      </w:r>
      <w:r w:rsidR="00C950E7">
        <w:t xml:space="preserve">are signaling that this </w:t>
      </w:r>
      <w:r w:rsidR="000A33DD">
        <w:t>could</w:t>
      </w:r>
      <w:r w:rsidR="00C950E7">
        <w:t xml:space="preserve"> </w:t>
      </w:r>
      <w:r w:rsidR="000A33DD">
        <w:t>soon be realized as well</w:t>
      </w:r>
      <w:r w:rsidR="00C950E7">
        <w:t>.</w:t>
      </w:r>
      <w:r w:rsidR="00884F5F">
        <w:t xml:space="preserve"> Mohammed Dahlan</w:t>
      </w:r>
      <w:r w:rsidR="0022076A">
        <w:t>—</w:t>
      </w:r>
      <w:r w:rsidR="00884F5F">
        <w:t>a former Fatah official</w:t>
      </w:r>
      <w:r w:rsidR="0022076A">
        <w:t xml:space="preserve"> despised by both Hamas and PA President Mahmoud Abbas–</w:t>
      </w:r>
      <w:r w:rsidR="00884F5F">
        <w:t xml:space="preserve"> helped advance a reconciliation agreement between </w:t>
      </w:r>
      <w:r w:rsidR="004270B1">
        <w:t>Egypt</w:t>
      </w:r>
      <w:r w:rsidR="00884F5F">
        <w:t xml:space="preserve"> and Hamas.</w:t>
      </w:r>
      <w:r w:rsidR="00884F5F">
        <w:rPr>
          <w:rStyle w:val="FootnoteReference"/>
        </w:rPr>
        <w:footnoteReference w:id="40"/>
      </w:r>
      <w:r w:rsidR="00884F5F">
        <w:t xml:space="preserve"> </w:t>
      </w:r>
      <w:r w:rsidR="00C950E7">
        <w:t>Under</w:t>
      </w:r>
      <w:r w:rsidR="004270B1">
        <w:t xml:space="preserve"> the agreement, Hamas </w:t>
      </w:r>
      <w:r w:rsidR="00C950E7">
        <w:t>has agreed to</w:t>
      </w:r>
      <w:r w:rsidR="004270B1">
        <w:t xml:space="preserve"> establish a buffer zone</w:t>
      </w:r>
      <w:r w:rsidR="00C950E7">
        <w:t xml:space="preserve"> along its border with Egypt</w:t>
      </w:r>
      <w:r w:rsidR="000A33DD">
        <w:t xml:space="preserve">. </w:t>
      </w:r>
      <w:r w:rsidR="00C950E7">
        <w:t>In a move that signaled its own good will,</w:t>
      </w:r>
      <w:r w:rsidR="006F70A0">
        <w:t xml:space="preserve"> Egypt sent fuel to Gaza </w:t>
      </w:r>
      <w:r w:rsidR="00C950E7">
        <w:t xml:space="preserve">in June </w:t>
      </w:r>
      <w:r w:rsidR="006F70A0">
        <w:t xml:space="preserve">to help alleviate </w:t>
      </w:r>
      <w:r w:rsidR="001D23BF">
        <w:t>the</w:t>
      </w:r>
      <w:r w:rsidR="006F70A0">
        <w:t xml:space="preserve"> </w:t>
      </w:r>
      <w:r w:rsidR="000A33DD">
        <w:t>ongoing</w:t>
      </w:r>
      <w:r w:rsidR="006F70A0">
        <w:t xml:space="preserve"> power crisis.</w:t>
      </w:r>
      <w:r w:rsidR="006F70A0">
        <w:rPr>
          <w:rStyle w:val="FootnoteReference"/>
        </w:rPr>
        <w:footnoteReference w:id="41"/>
      </w:r>
      <w:r w:rsidR="004270B1">
        <w:t xml:space="preserve">  </w:t>
      </w:r>
      <w:r w:rsidR="00B0469B">
        <w:t xml:space="preserve">As </w:t>
      </w:r>
      <w:r w:rsidR="00E1776F" w:rsidRPr="00A761A3">
        <w:t xml:space="preserve">reconciliation </w:t>
      </w:r>
      <w:r w:rsidR="00E1776F">
        <w:t xml:space="preserve">between </w:t>
      </w:r>
      <w:r w:rsidR="00596206">
        <w:t>Egypt</w:t>
      </w:r>
      <w:r w:rsidR="00E1776F">
        <w:t xml:space="preserve"> and </w:t>
      </w:r>
      <w:r w:rsidRPr="00A761A3">
        <w:t xml:space="preserve">Hamas moves forward, el-Sissi </w:t>
      </w:r>
      <w:r w:rsidR="000A33DD">
        <w:t>should</w:t>
      </w:r>
      <w:r w:rsidRPr="00A761A3">
        <w:t xml:space="preserve"> leverage </w:t>
      </w:r>
      <w:r w:rsidR="009323CF">
        <w:t>his</w:t>
      </w:r>
      <w:r w:rsidRPr="00A761A3">
        <w:t xml:space="preserve"> restored relationship with Hamas to mediate between it and Fatah.</w:t>
      </w:r>
      <w:r w:rsidR="0022076A">
        <w:t xml:space="preserve"> </w:t>
      </w:r>
    </w:p>
    <w:p w14:paraId="1A6928F7" w14:textId="3D1B8FEC" w:rsidR="00FF1802" w:rsidRDefault="008B6213" w:rsidP="006163BF">
      <w:pPr>
        <w:jc w:val="both"/>
      </w:pPr>
      <w:r>
        <w:rPr>
          <w:b/>
          <w:bCs/>
        </w:rPr>
        <w:t>Dissolve the GRM</w:t>
      </w:r>
    </w:p>
    <w:p w14:paraId="18DE3648" w14:textId="744B80A2" w:rsidR="00005DDD" w:rsidRDefault="005625E3" w:rsidP="00C76537">
      <w:pPr>
        <w:jc w:val="both"/>
      </w:pPr>
      <w:r>
        <w:t>In the meantime,</w:t>
      </w:r>
      <w:r w:rsidR="00AE11F0">
        <w:t xml:space="preserve"> the </w:t>
      </w:r>
      <w:r w:rsidR="00AE11F0" w:rsidRPr="00A761A3">
        <w:t>GRM</w:t>
      </w:r>
      <w:r w:rsidR="00AE11F0">
        <w:t xml:space="preserve"> should be dissolved</w:t>
      </w:r>
      <w:r w:rsidR="00AE11F0" w:rsidRPr="00A761A3">
        <w:t xml:space="preserve">. </w:t>
      </w:r>
      <w:r w:rsidR="00005DDD">
        <w:t>It is time to give Gazans ownership over reconstruction</w:t>
      </w:r>
      <w:r w:rsidR="00FE5C6A">
        <w:t xml:space="preserve">, allowing them </w:t>
      </w:r>
      <w:r w:rsidR="000A33DD">
        <w:t>to participate in</w:t>
      </w:r>
      <w:r w:rsidR="00FE5C6A">
        <w:t xml:space="preserve"> the development of an alternative </w:t>
      </w:r>
      <w:r w:rsidR="005A1E61">
        <w:t xml:space="preserve">reconstruction </w:t>
      </w:r>
      <w:r w:rsidR="00FE5C6A">
        <w:t>mechanism</w:t>
      </w:r>
      <w:r w:rsidR="00005DDD">
        <w:t>.</w:t>
      </w:r>
      <w:r w:rsidR="00AE11F0">
        <w:t xml:space="preserve"> </w:t>
      </w:r>
      <w:r w:rsidR="00FE5C6A" w:rsidRPr="00A761A3">
        <w:t>As mentioned before, Gaza’s civil society and de facto government were not consulted during the</w:t>
      </w:r>
      <w:r w:rsidR="00AE1C69">
        <w:t xml:space="preserve"> GRM’s</w:t>
      </w:r>
      <w:r w:rsidR="00FE5C6A" w:rsidRPr="00A761A3">
        <w:t xml:space="preserve"> planning process.</w:t>
      </w:r>
      <w:r w:rsidR="00FE5C6A">
        <w:t xml:space="preserve">  Therefore, t</w:t>
      </w:r>
      <w:r w:rsidR="008F69CE" w:rsidRPr="00A761A3">
        <w:t xml:space="preserve">he result of the agreement between COGAT, the PA, and the </w:t>
      </w:r>
      <w:r w:rsidR="008F69CE">
        <w:t>U</w:t>
      </w:r>
      <w:r w:rsidR="00005DDD">
        <w:t>.</w:t>
      </w:r>
      <w:r w:rsidR="008F69CE">
        <w:t>N</w:t>
      </w:r>
      <w:r w:rsidR="00005DDD">
        <w:t>.</w:t>
      </w:r>
      <w:r w:rsidR="008F69CE" w:rsidRPr="00A761A3">
        <w:t xml:space="preserve"> gave </w:t>
      </w:r>
      <w:r w:rsidR="00005DDD" w:rsidRPr="00A761A3">
        <w:t xml:space="preserve">COGAT </w:t>
      </w:r>
      <w:r w:rsidR="008F69CE" w:rsidRPr="00A761A3">
        <w:t xml:space="preserve">a disproportionate amount of power </w:t>
      </w:r>
      <w:r w:rsidR="00234D3E">
        <w:t xml:space="preserve">over the </w:t>
      </w:r>
      <w:r w:rsidR="00234D3E" w:rsidRPr="00A761A3">
        <w:t xml:space="preserve">approval </w:t>
      </w:r>
      <w:r w:rsidR="00005DDD">
        <w:t xml:space="preserve">of </w:t>
      </w:r>
      <w:r w:rsidR="00234D3E" w:rsidRPr="00A761A3">
        <w:t>construction materials</w:t>
      </w:r>
      <w:r w:rsidR="008F69CE" w:rsidRPr="00A761A3">
        <w:t>.</w:t>
      </w:r>
      <w:r w:rsidR="00AE11F0">
        <w:t xml:space="preserve"> </w:t>
      </w:r>
      <w:r w:rsidR="00005DDD">
        <w:t>In addition to rearranging the power dynamics, empowering Gazan’s</w:t>
      </w:r>
      <w:r w:rsidR="00234D3E">
        <w:t xml:space="preserve"> could also reduce costs and allow the U.N. to remove itself from a situation that greatly sullied its reputation as a thoughtful mediator in this conflict. </w:t>
      </w:r>
      <w:r w:rsidR="00005DDD">
        <w:t xml:space="preserve">An alternative mechanism could see a greater role for </w:t>
      </w:r>
      <w:r w:rsidR="008F69CE">
        <w:t xml:space="preserve">Gaza’s civil society </w:t>
      </w:r>
      <w:r w:rsidR="00005DDD">
        <w:t xml:space="preserve">in the </w:t>
      </w:r>
      <w:r w:rsidR="008F69CE">
        <w:t>monitor</w:t>
      </w:r>
      <w:r w:rsidR="00005DDD">
        <w:t xml:space="preserve">ing </w:t>
      </w:r>
      <w:r w:rsidR="008F69CE">
        <w:t>of materials</w:t>
      </w:r>
      <w:r w:rsidR="00B113C8">
        <w:t xml:space="preserve"> in conjunction with COGAT</w:t>
      </w:r>
      <w:r w:rsidR="008F69CE">
        <w:t xml:space="preserve">, while Hamas </w:t>
      </w:r>
      <w:r w:rsidR="00005DDD">
        <w:t>could</w:t>
      </w:r>
      <w:r w:rsidR="008F69CE">
        <w:t xml:space="preserve"> be forced to take greater responsibility over reconstruction, leaving them beholden to the satisfaction of Gaza’s citizens.</w:t>
      </w:r>
      <w:r w:rsidR="00005DDD">
        <w:t xml:space="preserve"> </w:t>
      </w:r>
    </w:p>
    <w:p w14:paraId="7598500F" w14:textId="643F41FD" w:rsidR="00A761A3" w:rsidRPr="00A761A3" w:rsidRDefault="00005DDD" w:rsidP="00C76537">
      <w:pPr>
        <w:jc w:val="both"/>
      </w:pPr>
      <w:r>
        <w:t xml:space="preserve">Yet, a few matters should be put into consideration. </w:t>
      </w:r>
      <w:r w:rsidR="00A761A3" w:rsidRPr="00A761A3">
        <w:t xml:space="preserve">Israeli security concerns regarding </w:t>
      </w:r>
      <w:r w:rsidR="00031604">
        <w:t xml:space="preserve">the </w:t>
      </w:r>
      <w:r w:rsidR="00A761A3" w:rsidRPr="00A761A3">
        <w:t xml:space="preserve">dual-use </w:t>
      </w:r>
      <w:r w:rsidR="00031604">
        <w:t xml:space="preserve">of </w:t>
      </w:r>
      <w:r w:rsidR="00A761A3" w:rsidRPr="00A761A3">
        <w:t>materials should not be discounted</w:t>
      </w:r>
      <w:r w:rsidR="00C76537">
        <w:t>,</w:t>
      </w:r>
      <w:r w:rsidR="00A761A3" w:rsidRPr="00A761A3">
        <w:t xml:space="preserve"> </w:t>
      </w:r>
      <w:r w:rsidR="00C76537">
        <w:t>b</w:t>
      </w:r>
      <w:r w:rsidR="00C76537" w:rsidRPr="00A761A3">
        <w:t xml:space="preserve">ut </w:t>
      </w:r>
      <w:r w:rsidR="00031604">
        <w:t>they</w:t>
      </w:r>
      <w:r w:rsidR="00A761A3" w:rsidRPr="00A761A3">
        <w:t xml:space="preserve"> should </w:t>
      </w:r>
      <w:r w:rsidR="00031604">
        <w:t xml:space="preserve">definitely </w:t>
      </w:r>
      <w:r w:rsidR="00A761A3" w:rsidRPr="00A761A3">
        <w:t xml:space="preserve">be addressed in a more efficient manner. Monitoring the usage of the construction materials by </w:t>
      </w:r>
      <w:r w:rsidR="004C56D8">
        <w:t>the</w:t>
      </w:r>
      <w:r w:rsidR="006F317A" w:rsidRPr="00A761A3">
        <w:t xml:space="preserve"> </w:t>
      </w:r>
      <w:r w:rsidR="00A761A3" w:rsidRPr="00A761A3">
        <w:t xml:space="preserve">HLST should </w:t>
      </w:r>
      <w:r w:rsidR="005A1E61">
        <w:t>not necessarily stop</w:t>
      </w:r>
      <w:r w:rsidR="00A761A3" w:rsidRPr="00A761A3">
        <w:t>, but there should be more of an effort on the PA side to communicate more openly with Hamas. This issue could be dealt with during the Fatah-Hamas reconciliation talks</w:t>
      </w:r>
      <w:r w:rsidR="00444067">
        <w:t xml:space="preserve"> </w:t>
      </w:r>
      <w:r w:rsidR="00A761A3" w:rsidRPr="00A761A3">
        <w:t xml:space="preserve">by stressing to Hamas the importance of cooperating with the reconstruction process. No materials should be diverted to reinforce tunnels or any other projects deemed hostile to either Fatah or Israel. This would be a tough sell to Hamas, but it would behoove Hamas to recognize the political capital it could gain by showing its willingness to cooperate in the reconstruction process. </w:t>
      </w:r>
    </w:p>
    <w:p w14:paraId="652A7378" w14:textId="424B42BB" w:rsidR="00225887" w:rsidRDefault="00225887" w:rsidP="006163BF">
      <w:pPr>
        <w:jc w:val="both"/>
      </w:pPr>
      <w:r>
        <w:rPr>
          <w:b/>
          <w:bCs/>
        </w:rPr>
        <w:t>Introduce Donor Monitors</w:t>
      </w:r>
    </w:p>
    <w:p w14:paraId="6A1E2348" w14:textId="4029D34A" w:rsidR="009323CF" w:rsidRPr="00760406" w:rsidRDefault="009323CF" w:rsidP="00E36B7A">
      <w:pPr>
        <w:jc w:val="both"/>
      </w:pPr>
      <w:r>
        <w:t>A</w:t>
      </w:r>
      <w:r w:rsidRPr="00A761A3">
        <w:t xml:space="preserve"> new mechanism to distribute reconstruction aid to Gazans will </w:t>
      </w:r>
      <w:r w:rsidR="00656CD5">
        <w:t>renew</w:t>
      </w:r>
      <w:r w:rsidRPr="00A761A3">
        <w:t xml:space="preserve"> interest among international donors to fulfill their pledges</w:t>
      </w:r>
      <w:r>
        <w:t>.</w:t>
      </w:r>
      <w:r w:rsidRPr="00A761A3">
        <w:t xml:space="preserve"> </w:t>
      </w:r>
      <w:r>
        <w:t xml:space="preserve">For instance, </w:t>
      </w:r>
      <w:r w:rsidRPr="00760406">
        <w:t>Kuwait, one of the more prolific donors to Gaza’s reconstruction, refused to fulfill its pledges because it recognized the inefficiency of the GRM.</w:t>
      </w:r>
      <w:r w:rsidRPr="00760406">
        <w:rPr>
          <w:vertAlign w:val="superscript"/>
        </w:rPr>
        <w:footnoteReference w:id="42"/>
      </w:r>
      <w:r w:rsidRPr="00A761A3">
        <w:t xml:space="preserve"> </w:t>
      </w:r>
      <w:r>
        <w:t>So</w:t>
      </w:r>
      <w:r w:rsidR="005A1EA5">
        <w:t>,</w:t>
      </w:r>
      <w:r>
        <w:t xml:space="preserve"> a</w:t>
      </w:r>
      <w:r w:rsidRPr="00A761A3">
        <w:t xml:space="preserve"> positive change in the flow of reconstruction </w:t>
      </w:r>
      <w:r>
        <w:t>could</w:t>
      </w:r>
      <w:r w:rsidRPr="00A761A3">
        <w:t xml:space="preserve"> resus</w:t>
      </w:r>
      <w:r>
        <w:t xml:space="preserve">citate the supply of donor aid. </w:t>
      </w:r>
      <w:r w:rsidR="007F2765">
        <w:t>I</w:t>
      </w:r>
      <w:r w:rsidR="007F2765" w:rsidRPr="00760406">
        <w:t xml:space="preserve">nternational </w:t>
      </w:r>
      <w:r w:rsidR="007F2765" w:rsidRPr="00760406">
        <w:lastRenderedPageBreak/>
        <w:t xml:space="preserve">organizations involved in reconstruction should </w:t>
      </w:r>
      <w:r w:rsidR="007F2765">
        <w:t>use the new mechanism</w:t>
      </w:r>
      <w:r w:rsidR="007F2765" w:rsidRPr="00760406">
        <w:t xml:space="preserve"> to encourage the fulfillment of pledges made at the 2014 Cairo Conference.</w:t>
      </w:r>
      <w:r w:rsidR="007F2765">
        <w:t xml:space="preserve"> Additionally, regional actors should be encouraged to pro</w:t>
      </w:r>
      <w:r w:rsidR="00656CD5">
        <w:t>vide unilateral support to Gaza</w:t>
      </w:r>
      <w:r w:rsidR="007F2765">
        <w:t xml:space="preserve"> in an effort to expedite the reconstruction process. The Qatari unilateral model, although not perfect, seems to provide Gaza with better relief than the method provided by the GRM.</w:t>
      </w:r>
      <w:r w:rsidR="007F2765">
        <w:rPr>
          <w:rStyle w:val="FootnoteReference"/>
        </w:rPr>
        <w:footnoteReference w:id="43"/>
      </w:r>
      <w:r w:rsidR="007F2765">
        <w:t xml:space="preserve"> </w:t>
      </w:r>
      <w:r w:rsidR="00E36B7A">
        <w:t>Despite the recent Gulf crisis, Qatar recommitted its support to Gaza, diminishing the possibility of Hamas seeking patronage elsewhere, like Iran.</w:t>
      </w:r>
      <w:r w:rsidR="00E36B7A">
        <w:rPr>
          <w:rStyle w:val="FootnoteReference"/>
        </w:rPr>
        <w:footnoteReference w:id="44"/>
      </w:r>
      <w:r w:rsidR="00E36B7A">
        <w:t xml:space="preserve">  </w:t>
      </w:r>
      <w:r w:rsidR="007F2765">
        <w:t xml:space="preserve">Qatar’s envoy to Gaza, Mohammed al-Emadi, </w:t>
      </w:r>
      <w:r w:rsidR="00E36B7A">
        <w:t xml:space="preserve">continues to </w:t>
      </w:r>
      <w:r w:rsidR="007F2765">
        <w:t>visit Gaza to oversee the projects his government funds to help rebuild areas destroyed by the war.</w:t>
      </w:r>
      <w:r w:rsidR="008052B5">
        <w:t xml:space="preserve"> </w:t>
      </w:r>
    </w:p>
    <w:p w14:paraId="34F69231" w14:textId="066A71E2" w:rsidR="007F2765" w:rsidRDefault="00AE11F0">
      <w:pPr>
        <w:jc w:val="both"/>
      </w:pPr>
      <w:r>
        <w:t>Introducing a donor</w:t>
      </w:r>
      <w:r w:rsidR="0089075D">
        <w:t xml:space="preserve"> monitoring</w:t>
      </w:r>
      <w:r>
        <w:t xml:space="preserve"> board</w:t>
      </w:r>
      <w:r w:rsidR="0089075D" w:rsidRPr="00A761A3">
        <w:t xml:space="preserve"> </w:t>
      </w:r>
      <w:r>
        <w:t xml:space="preserve">is one way to </w:t>
      </w:r>
      <w:r w:rsidR="007F2765">
        <w:t xml:space="preserve">further </w:t>
      </w:r>
      <w:r w:rsidR="0089075D" w:rsidRPr="00A761A3">
        <w:t>inspire confidence in donors, as it would give them a larger role in the reconstruction process.</w:t>
      </w:r>
      <w:r w:rsidR="0089075D" w:rsidRPr="00A761A3">
        <w:rPr>
          <w:vertAlign w:val="superscript"/>
        </w:rPr>
        <w:footnoteReference w:id="45"/>
      </w:r>
      <w:r w:rsidR="0089075D" w:rsidRPr="00A761A3">
        <w:t xml:space="preserve"> </w:t>
      </w:r>
      <w:r w:rsidR="0054460C">
        <w:t>Previously, t</w:t>
      </w:r>
      <w:r w:rsidR="00A761A3" w:rsidRPr="00A761A3">
        <w:t xml:space="preserve">he GRM maintained a relatively small group of stakeholders in the reconstruction process. </w:t>
      </w:r>
      <w:r w:rsidR="003F2AE7">
        <w:t>A</w:t>
      </w:r>
      <w:r w:rsidR="003F2AE7" w:rsidRPr="00A761A3">
        <w:t xml:space="preserve">llowing </w:t>
      </w:r>
      <w:r w:rsidR="003F2AE7">
        <w:t>donors</w:t>
      </w:r>
      <w:r w:rsidR="003F2AE7" w:rsidRPr="00A761A3">
        <w:t xml:space="preserve"> to monitor the projects through their own representative</w:t>
      </w:r>
      <w:r w:rsidR="003F2AE7">
        <w:t xml:space="preserve"> would</w:t>
      </w:r>
      <w:r w:rsidR="003F2AE7" w:rsidRPr="00A761A3">
        <w:t xml:space="preserve"> </w:t>
      </w:r>
      <w:r w:rsidR="00A761A3" w:rsidRPr="00A761A3">
        <w:t xml:space="preserve">make </w:t>
      </w:r>
      <w:r w:rsidR="003F2AE7">
        <w:t>them</w:t>
      </w:r>
      <w:r w:rsidR="003F2AE7" w:rsidRPr="00A761A3">
        <w:t xml:space="preserve"> </w:t>
      </w:r>
      <w:r w:rsidR="00A761A3" w:rsidRPr="00A761A3">
        <w:t>more comfortable with the reconstruction effort</w:t>
      </w:r>
      <w:r w:rsidR="003F2AE7">
        <w:t xml:space="preserve">, </w:t>
      </w:r>
      <w:r w:rsidR="00A761A3" w:rsidRPr="00A761A3">
        <w:t>inspir</w:t>
      </w:r>
      <w:r w:rsidR="003F2AE7">
        <w:t>ing</w:t>
      </w:r>
      <w:r w:rsidR="00A761A3" w:rsidRPr="00A761A3">
        <w:t xml:space="preserve"> them to fulfill their pledges. </w:t>
      </w:r>
      <w:r w:rsidRPr="00A761A3">
        <w:t xml:space="preserve">Gaza’s civil society </w:t>
      </w:r>
      <w:r>
        <w:t>should be tasked with developing t</w:t>
      </w:r>
      <w:r w:rsidRPr="00A761A3">
        <w:t xml:space="preserve">his multi-party board of trustees </w:t>
      </w:r>
      <w:r>
        <w:t>to</w:t>
      </w:r>
      <w:r w:rsidRPr="00A761A3">
        <w:t xml:space="preserve"> ensure</w:t>
      </w:r>
      <w:r>
        <w:t xml:space="preserve"> that</w:t>
      </w:r>
      <w:r w:rsidRPr="00A761A3">
        <w:t xml:space="preserve"> the needs of Gaza’s residents receive consideration. </w:t>
      </w:r>
      <w:r w:rsidR="00A761A3" w:rsidRPr="00A761A3">
        <w:t xml:space="preserve">Regional </w:t>
      </w:r>
      <w:r w:rsidR="003F2AE7">
        <w:t>donors</w:t>
      </w:r>
      <w:r w:rsidR="003F2AE7" w:rsidRPr="00A761A3">
        <w:t xml:space="preserve"> </w:t>
      </w:r>
      <w:r w:rsidR="00A761A3" w:rsidRPr="00A761A3">
        <w:t xml:space="preserve">that were not satisfied with the GRM </w:t>
      </w:r>
      <w:r w:rsidR="0054460C">
        <w:t>should particularly be encouraged to</w:t>
      </w:r>
      <w:r w:rsidR="0054460C" w:rsidRPr="00A761A3">
        <w:t xml:space="preserve"> </w:t>
      </w:r>
      <w:r w:rsidR="00A761A3" w:rsidRPr="00A761A3">
        <w:t>participate.</w:t>
      </w:r>
      <w:r w:rsidR="0054460C">
        <w:t xml:space="preserve"> Countries suc</w:t>
      </w:r>
      <w:r w:rsidR="009005A9">
        <w:t>h as</w:t>
      </w:r>
      <w:r w:rsidR="0054460C">
        <w:t xml:space="preserve"> </w:t>
      </w:r>
      <w:r w:rsidR="00A761A3" w:rsidRPr="00A761A3">
        <w:t>Egypt, Kuwait, Qatar, Saudi Arabia, Turkey, and the UAE</w:t>
      </w:r>
      <w:r w:rsidR="0054460C">
        <w:t xml:space="preserve">, which have either invested financially in the reconstruction process or expressed security concerns about it, </w:t>
      </w:r>
      <w:r w:rsidR="00D171A0">
        <w:t>should</w:t>
      </w:r>
      <w:r w:rsidR="00A761A3" w:rsidRPr="00A761A3">
        <w:t xml:space="preserve"> be </w:t>
      </w:r>
      <w:r w:rsidR="0054460C">
        <w:t>included in</w:t>
      </w:r>
      <w:r w:rsidR="00A761A3" w:rsidRPr="00A761A3">
        <w:t xml:space="preserve"> this board of stakeholders. </w:t>
      </w:r>
    </w:p>
    <w:p w14:paraId="3B34301F" w14:textId="2BCCCDED" w:rsidR="00A761A3" w:rsidRPr="00A761A3" w:rsidRDefault="00A761A3" w:rsidP="006163BF">
      <w:pPr>
        <w:jc w:val="both"/>
        <w:rPr>
          <w:b/>
          <w:bCs/>
        </w:rPr>
      </w:pPr>
      <w:r w:rsidRPr="00A761A3">
        <w:rPr>
          <w:b/>
          <w:bCs/>
        </w:rPr>
        <w:t>Focus on Infrastructure</w:t>
      </w:r>
    </w:p>
    <w:p w14:paraId="6358A9A7" w14:textId="770FAB29" w:rsidR="00573B9D" w:rsidRDefault="007F2765" w:rsidP="00A80D20">
      <w:pPr>
        <w:jc w:val="both"/>
      </w:pPr>
      <w:r>
        <w:t xml:space="preserve">To allow those funds to trickle down more effectively, </w:t>
      </w:r>
      <w:r w:rsidR="00D47879">
        <w:t>the</w:t>
      </w:r>
      <w:r w:rsidR="00A761A3" w:rsidRPr="00A761A3">
        <w:t xml:space="preserve"> reconstruction effort should pivot toward infrastructure projects</w:t>
      </w:r>
      <w:r w:rsidR="00D47879">
        <w:t xml:space="preserve">. </w:t>
      </w:r>
      <w:r w:rsidR="00A761A3" w:rsidRPr="00A761A3">
        <w:t>Accord</w:t>
      </w:r>
      <w:r w:rsidR="00627807">
        <w:t>ing to an advisor with the Offic</w:t>
      </w:r>
      <w:r w:rsidR="00A761A3" w:rsidRPr="00A761A3">
        <w:t>e of the Quartet, the reconstruction efforts were meant to not only rebuild Gaza, but also to provide Gazans with job opportunities during the reconstruction effort.</w:t>
      </w:r>
      <w:r w:rsidR="00A761A3" w:rsidRPr="00A761A3">
        <w:rPr>
          <w:vertAlign w:val="superscript"/>
        </w:rPr>
        <w:footnoteReference w:id="46"/>
      </w:r>
      <w:r w:rsidR="00A761A3" w:rsidRPr="00A761A3">
        <w:t xml:space="preserve"> Housing reconstruction efforts have failed to do this</w:t>
      </w:r>
      <w:r w:rsidR="001C496C">
        <w:t>.</w:t>
      </w:r>
      <w:r w:rsidR="00A761A3" w:rsidRPr="00A761A3">
        <w:t xml:space="preserve"> </w:t>
      </w:r>
      <w:r w:rsidR="001C496C">
        <w:t>Vanity projects like shopping malls and elaborate mosques may improve the morale of some of Gaza’s citizens, but those projects do not improve their lives in the long-term</w:t>
      </w:r>
      <w:r w:rsidR="001C496C" w:rsidRPr="00A761A3">
        <w:t xml:space="preserve">. </w:t>
      </w:r>
      <w:r w:rsidR="001C496C">
        <w:t>I</w:t>
      </w:r>
      <w:r w:rsidR="00A761A3" w:rsidRPr="00A761A3">
        <w:t>nfrastructure projects</w:t>
      </w:r>
      <w:r w:rsidR="00987BA0">
        <w:t>,</w:t>
      </w:r>
      <w:r w:rsidR="00A761A3" w:rsidRPr="00A761A3">
        <w:t xml:space="preserve"> </w:t>
      </w:r>
      <w:r w:rsidR="00987BA0">
        <w:t>such as</w:t>
      </w:r>
      <w:r w:rsidR="00987BA0" w:rsidRPr="00A761A3">
        <w:t xml:space="preserve"> </w:t>
      </w:r>
      <w:r w:rsidR="00A761A3" w:rsidRPr="00A761A3">
        <w:t xml:space="preserve">desalination plants, power </w:t>
      </w:r>
      <w:r w:rsidR="00271F0C">
        <w:t>stations</w:t>
      </w:r>
      <w:r w:rsidR="00A761A3" w:rsidRPr="00A761A3">
        <w:t xml:space="preserve">, and </w:t>
      </w:r>
      <w:r w:rsidR="00D47879">
        <w:t xml:space="preserve">road </w:t>
      </w:r>
      <w:r w:rsidR="00A761A3" w:rsidRPr="00A761A3">
        <w:t xml:space="preserve">revitalization, </w:t>
      </w:r>
      <w:r w:rsidR="00987BA0">
        <w:t>are more likely</w:t>
      </w:r>
      <w:r w:rsidR="00987BA0" w:rsidRPr="00A761A3">
        <w:t xml:space="preserve"> </w:t>
      </w:r>
      <w:r w:rsidR="001C496C">
        <w:t xml:space="preserve">to </w:t>
      </w:r>
      <w:r w:rsidR="00A761A3" w:rsidRPr="00A761A3">
        <w:t xml:space="preserve">create </w:t>
      </w:r>
      <w:r w:rsidR="001C496C">
        <w:t xml:space="preserve">long-term </w:t>
      </w:r>
      <w:r w:rsidR="00A0535B">
        <w:t xml:space="preserve">local </w:t>
      </w:r>
      <w:r w:rsidR="00A761A3" w:rsidRPr="00A761A3">
        <w:t xml:space="preserve">jobs. </w:t>
      </w:r>
    </w:p>
    <w:p w14:paraId="59F229AC" w14:textId="7DA8D2AD" w:rsidR="00A761A3" w:rsidRPr="00A761A3" w:rsidRDefault="00465100" w:rsidP="001D1E85">
      <w:pPr>
        <w:jc w:val="both"/>
      </w:pPr>
      <w:r w:rsidRPr="00A761A3">
        <w:t xml:space="preserve">The reconciliation agreement </w:t>
      </w:r>
      <w:r w:rsidR="001D1E85">
        <w:t xml:space="preserve">that took place </w:t>
      </w:r>
      <w:r w:rsidRPr="00A761A3">
        <w:t>be</w:t>
      </w:r>
      <w:r>
        <w:t>tween Israel and Turkey</w:t>
      </w:r>
      <w:r w:rsidR="001D1E85">
        <w:t xml:space="preserve"> last year</w:t>
      </w:r>
      <w:r>
        <w:t xml:space="preserve"> provided</w:t>
      </w:r>
      <w:r w:rsidRPr="00A761A3">
        <w:t xml:space="preserve"> a unique opportunity to make this a reality.</w:t>
      </w:r>
      <w:r w:rsidR="001D1E85">
        <w:t xml:space="preserve"> </w:t>
      </w:r>
      <w:r w:rsidR="001D1E85" w:rsidRPr="00A761A3">
        <w:t>Through the reconciliation deal, Israel agreed to allow Turkey to send tons of humanitarian aid through the Israeli port of Ashdod, circumventing the blockade imposed by the Israeli military.</w:t>
      </w:r>
      <w:r w:rsidR="001D1E85" w:rsidRPr="00A761A3">
        <w:rPr>
          <w:vertAlign w:val="superscript"/>
        </w:rPr>
        <w:footnoteReference w:id="47"/>
      </w:r>
      <w:r w:rsidR="001D1E85" w:rsidRPr="00A761A3">
        <w:t xml:space="preserve"> The arrangement allow</w:t>
      </w:r>
      <w:r w:rsidR="001D1E85">
        <w:t>ed</w:t>
      </w:r>
      <w:r w:rsidR="001D1E85" w:rsidRPr="00A761A3">
        <w:t xml:space="preserve"> Turkey to contribute to numerous infrastructure projects</w:t>
      </w:r>
      <w:r w:rsidR="001D1E85">
        <w:t>,</w:t>
      </w:r>
      <w:r w:rsidR="001D1E85" w:rsidRPr="00A761A3">
        <w:t xml:space="preserve"> including </w:t>
      </w:r>
      <w:r w:rsidR="001D1E85">
        <w:t xml:space="preserve"> the construction of a </w:t>
      </w:r>
      <w:r w:rsidR="001D1E85" w:rsidRPr="00A761A3">
        <w:t>desalination plant, power station, and hospital.</w:t>
      </w:r>
      <w:r w:rsidR="001D1E85" w:rsidRPr="00A761A3">
        <w:rPr>
          <w:vertAlign w:val="superscript"/>
        </w:rPr>
        <w:footnoteReference w:id="48"/>
      </w:r>
      <w:r w:rsidR="001D1E85" w:rsidRPr="00A761A3">
        <w:t xml:space="preserve"> </w:t>
      </w:r>
      <w:r w:rsidR="001D1E85">
        <w:t xml:space="preserve">Construction materials </w:t>
      </w:r>
      <w:r w:rsidR="001D1E85">
        <w:lastRenderedPageBreak/>
        <w:t>for the hospital have recently arrived in Ashdod, en route to Gaza.</w:t>
      </w:r>
      <w:r w:rsidR="001D1E85">
        <w:rPr>
          <w:rStyle w:val="FootnoteReference"/>
        </w:rPr>
        <w:footnoteReference w:id="49"/>
      </w:r>
      <w:r w:rsidR="001D1E85">
        <w:t xml:space="preserve"> Those efforts will allow</w:t>
      </w:r>
      <w:r w:rsidR="001D1E85" w:rsidRPr="00A761A3">
        <w:t xml:space="preserve"> Gazans to not only rebuild their home</w:t>
      </w:r>
      <w:r w:rsidR="001D1E85">
        <w:t>s</w:t>
      </w:r>
      <w:r w:rsidR="001D1E85" w:rsidRPr="00A761A3">
        <w:t xml:space="preserve">, but also to </w:t>
      </w:r>
      <w:r w:rsidR="001D1E85">
        <w:t>find</w:t>
      </w:r>
      <w:r w:rsidR="001D1E85" w:rsidRPr="00A761A3">
        <w:t xml:space="preserve"> jobs that</w:t>
      </w:r>
      <w:r w:rsidR="001D23BF">
        <w:t>,</w:t>
      </w:r>
      <w:r w:rsidR="001D1E85" w:rsidRPr="00A761A3">
        <w:t xml:space="preserve"> at the very least, </w:t>
      </w:r>
      <w:r w:rsidR="001D1E85">
        <w:t xml:space="preserve">can </w:t>
      </w:r>
      <w:r w:rsidR="001D1E85" w:rsidRPr="00A761A3">
        <w:t xml:space="preserve">temporarily provide them with </w:t>
      </w:r>
      <w:r w:rsidR="001D1E85">
        <w:t xml:space="preserve">the </w:t>
      </w:r>
      <w:r w:rsidR="001D1E85" w:rsidRPr="00A761A3">
        <w:t>means to support their families.</w:t>
      </w:r>
      <w:r w:rsidR="001D1E85">
        <w:t xml:space="preserve"> </w:t>
      </w:r>
    </w:p>
    <w:p w14:paraId="336DC5A2" w14:textId="77777777" w:rsidR="00A761A3" w:rsidRPr="00A761A3" w:rsidRDefault="00A761A3" w:rsidP="006163BF">
      <w:pPr>
        <w:jc w:val="both"/>
        <w:rPr>
          <w:b/>
          <w:bCs/>
        </w:rPr>
      </w:pPr>
      <w:r w:rsidRPr="00A761A3">
        <w:rPr>
          <w:b/>
          <w:bCs/>
        </w:rPr>
        <w:t>Conclusion</w:t>
      </w:r>
    </w:p>
    <w:p w14:paraId="49C40D1B" w14:textId="45D38025" w:rsidR="0056561F" w:rsidRDefault="00881896" w:rsidP="00573B9D">
      <w:pPr>
        <w:jc w:val="both"/>
      </w:pPr>
      <w:r>
        <w:t xml:space="preserve">Opening up to alternatives </w:t>
      </w:r>
      <w:r w:rsidR="00393FD9">
        <w:t>through</w:t>
      </w:r>
      <w:r w:rsidR="00A761A3" w:rsidRPr="00A761A3">
        <w:t xml:space="preserve"> </w:t>
      </w:r>
      <w:r w:rsidR="00573B9D">
        <w:t xml:space="preserve">the </w:t>
      </w:r>
      <w:r>
        <w:t>empower</w:t>
      </w:r>
      <w:r w:rsidR="00573B9D">
        <w:t>ment of</w:t>
      </w:r>
      <w:r>
        <w:t xml:space="preserve"> </w:t>
      </w:r>
      <w:r w:rsidR="00A761A3" w:rsidRPr="00A761A3">
        <w:t>fresh</w:t>
      </w:r>
      <w:r w:rsidR="00573B9D">
        <w:t>,</w:t>
      </w:r>
      <w:r w:rsidR="00A761A3" w:rsidRPr="00A761A3">
        <w:t xml:space="preserve"> </w:t>
      </w:r>
      <w:r>
        <w:t xml:space="preserve">local </w:t>
      </w:r>
      <w:r w:rsidR="00A761A3" w:rsidRPr="00A761A3">
        <w:t xml:space="preserve">perspectives </w:t>
      </w:r>
      <w:r w:rsidR="00393FD9">
        <w:t>is the only way</w:t>
      </w:r>
      <w:r w:rsidR="00A761A3" w:rsidRPr="00A761A3">
        <w:t xml:space="preserve"> </w:t>
      </w:r>
      <w:r w:rsidR="00393FD9">
        <w:t>to</w:t>
      </w:r>
      <w:r w:rsidR="00A761A3" w:rsidRPr="00A761A3">
        <w:t xml:space="preserve"> revive the reconstruction of Gaza.</w:t>
      </w:r>
      <w:r>
        <w:t xml:space="preserve"> </w:t>
      </w:r>
      <w:r w:rsidRPr="00A761A3">
        <w:t xml:space="preserve">These new possibilities will never realize their potential if the </w:t>
      </w:r>
      <w:r>
        <w:t>U.N.</w:t>
      </w:r>
      <w:r w:rsidRPr="00A761A3">
        <w:t xml:space="preserve"> and </w:t>
      </w:r>
      <w:r w:rsidR="001D23BF">
        <w:t>other</w:t>
      </w:r>
      <w:r w:rsidRPr="00A761A3">
        <w:t xml:space="preserve"> stakeholders—Israel included—do not consider the </w:t>
      </w:r>
      <w:r>
        <w:t>repeal</w:t>
      </w:r>
      <w:r w:rsidRPr="00A761A3">
        <w:t xml:space="preserve"> of the GRM. </w:t>
      </w:r>
      <w:r>
        <w:t>D</w:t>
      </w:r>
      <w:r w:rsidRPr="00A761A3">
        <w:t>eny</w:t>
      </w:r>
      <w:r>
        <w:t>ing</w:t>
      </w:r>
      <w:r w:rsidRPr="00A761A3">
        <w:t xml:space="preserve"> Gaza</w:t>
      </w:r>
      <w:r>
        <w:t>ns</w:t>
      </w:r>
      <w:r w:rsidRPr="00A761A3">
        <w:t xml:space="preserve"> the chance to improve their </w:t>
      </w:r>
      <w:r>
        <w:t xml:space="preserve">own </w:t>
      </w:r>
      <w:r w:rsidRPr="00A761A3">
        <w:t>lives will make Gaza even more like a prison, and as the U.N. report on Gaza concluded, “The daily lives of Gazans in 2020 will be worse than they are now.”</w:t>
      </w:r>
      <w:r w:rsidRPr="00A761A3">
        <w:rPr>
          <w:vertAlign w:val="superscript"/>
        </w:rPr>
        <w:footnoteReference w:id="50"/>
      </w:r>
      <w:r w:rsidRPr="00A761A3">
        <w:t xml:space="preserve"> </w:t>
      </w:r>
      <w:r>
        <w:t>What that would look like is unfathomable, because</w:t>
      </w:r>
      <w:r w:rsidRPr="00A761A3">
        <w:t xml:space="preserve"> Gaza </w:t>
      </w:r>
      <w:r>
        <w:t>is already</w:t>
      </w:r>
      <w:r w:rsidRPr="00A761A3">
        <w:t xml:space="preserve"> uninhabitable </w:t>
      </w:r>
      <w:r>
        <w:t>today.</w:t>
      </w:r>
      <w:r w:rsidR="00A761A3" w:rsidRPr="00A761A3">
        <w:t xml:space="preserve"> If such a political breakthrough materializes, years of restrictions placed on Gaza could diminish. Construction materials and </w:t>
      </w:r>
      <w:r w:rsidR="009C20AB">
        <w:t xml:space="preserve">employment </w:t>
      </w:r>
      <w:r w:rsidR="00A761A3" w:rsidRPr="00A761A3">
        <w:t xml:space="preserve">opportunities would return to this </w:t>
      </w:r>
      <w:r>
        <w:t>once thriving community</w:t>
      </w:r>
      <w:r w:rsidR="00A761A3" w:rsidRPr="00A761A3">
        <w:t>.</w:t>
      </w:r>
      <w:r>
        <w:t xml:space="preserve"> On the other hand,</w:t>
      </w:r>
      <w:r w:rsidRPr="00881896">
        <w:t xml:space="preserve"> </w:t>
      </w:r>
      <w:r>
        <w:t>s</w:t>
      </w:r>
      <w:r w:rsidRPr="00A761A3">
        <w:t xml:space="preserve">ustaining the status quo in Gaza will mark </w:t>
      </w:r>
      <w:r>
        <w:t>another</w:t>
      </w:r>
      <w:r w:rsidRPr="00A761A3">
        <w:t xml:space="preserve"> failure in the history of humanitarian aid, calling into question the </w:t>
      </w:r>
      <w:r>
        <w:t xml:space="preserve">utility </w:t>
      </w:r>
      <w:r w:rsidRPr="00A761A3">
        <w:t xml:space="preserve">and purpose of international aid organizations.    </w:t>
      </w:r>
    </w:p>
    <w:sectPr w:rsidR="0056561F" w:rsidSect="001C3339">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FC330" w14:textId="77777777" w:rsidR="00C950E7" w:rsidRDefault="00C950E7" w:rsidP="00A761A3">
      <w:pPr>
        <w:spacing w:after="0" w:line="240" w:lineRule="auto"/>
      </w:pPr>
      <w:r>
        <w:separator/>
      </w:r>
    </w:p>
  </w:endnote>
  <w:endnote w:type="continuationSeparator" w:id="0">
    <w:p w14:paraId="67B0ED02" w14:textId="77777777" w:rsidR="00C950E7" w:rsidRDefault="00C950E7" w:rsidP="00A76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661ED" w14:textId="77777777" w:rsidR="00C950E7" w:rsidRDefault="00C950E7" w:rsidP="00A761A3">
      <w:pPr>
        <w:spacing w:after="0" w:line="240" w:lineRule="auto"/>
      </w:pPr>
      <w:r>
        <w:separator/>
      </w:r>
    </w:p>
  </w:footnote>
  <w:footnote w:type="continuationSeparator" w:id="0">
    <w:p w14:paraId="6A4AA742" w14:textId="77777777" w:rsidR="00C950E7" w:rsidRDefault="00C950E7" w:rsidP="00A761A3">
      <w:pPr>
        <w:spacing w:after="0" w:line="240" w:lineRule="auto"/>
      </w:pPr>
      <w:r>
        <w:continuationSeparator/>
      </w:r>
    </w:p>
  </w:footnote>
  <w:footnote w:id="1">
    <w:p w14:paraId="044EF2D5" w14:textId="5B4D34FA" w:rsidR="00C950E7" w:rsidRPr="003C2646" w:rsidRDefault="00C950E7" w:rsidP="00C86F00">
      <w:pPr>
        <w:pStyle w:val="FootnoteText"/>
        <w:rPr>
          <w:rFonts w:asciiTheme="majorBidi" w:hAnsiTheme="majorBidi" w:cstheme="majorBidi"/>
        </w:rPr>
      </w:pPr>
      <w:r w:rsidRPr="003C2646">
        <w:rPr>
          <w:rStyle w:val="FootnoteReference"/>
          <w:rFonts w:asciiTheme="majorBidi" w:hAnsiTheme="majorBidi" w:cstheme="majorBidi"/>
        </w:rPr>
        <w:footnoteRef/>
      </w:r>
      <w:r w:rsidRPr="003C2646">
        <w:rPr>
          <w:rFonts w:asciiTheme="majorBidi" w:hAnsiTheme="majorBidi" w:cstheme="majorBidi"/>
        </w:rPr>
        <w:t xml:space="preserve"> </w:t>
      </w:r>
      <w:r w:rsidRPr="00BA1DAA">
        <w:rPr>
          <w:rFonts w:cstheme="majorBidi"/>
        </w:rPr>
        <w:t xml:space="preserve">Sultan Barakat is a former senior fellow and director of research at the Brookings Doha Center. Firas Masri is a research assistant at the Brookings Doha Center. The authors wish to thank those who provided their insights through interviews for this paper. Khaled Elgindy, Beverley Milton-Edwards, and Sara Roy provided constructive, as well as helpful feedback and comments. The authors also acknowledge the assistance and support of the Brookings Doha Center staff, especially Fatema Alhashemi and Sumaya Attia.   </w:t>
      </w:r>
    </w:p>
  </w:footnote>
  <w:footnote w:id="2">
    <w:p w14:paraId="6A6C6A23" w14:textId="1966E57F" w:rsidR="00C950E7" w:rsidRDefault="00C950E7" w:rsidP="005341AB">
      <w:pPr>
        <w:pStyle w:val="FootnoteText"/>
      </w:pPr>
      <w:r>
        <w:rPr>
          <w:rStyle w:val="FootnoteReference"/>
        </w:rPr>
        <w:footnoteRef/>
      </w:r>
      <w:r>
        <w:t xml:space="preserve"> United Nations Office for the Coordination of Humanitarian Affairs (UNOCHA), “The Gaza Strip: The Humanitarian Impact of the Blockade,” November 14, 2016, </w:t>
      </w:r>
      <w:hyperlink r:id="rId1" w:history="1">
        <w:r w:rsidRPr="006A1C3D">
          <w:rPr>
            <w:rStyle w:val="Hyperlink"/>
          </w:rPr>
          <w:t>https://w</w:t>
        </w:r>
        <w:r w:rsidRPr="006A1C3D">
          <w:rPr>
            <w:rStyle w:val="Hyperlink"/>
          </w:rPr>
          <w:t>ww.ochaopt.org/content/gaza-strip-humanitarian-impact-blockade-november-2016</w:t>
        </w:r>
      </w:hyperlink>
      <w:r>
        <w:t xml:space="preserve">. </w:t>
      </w:r>
    </w:p>
  </w:footnote>
  <w:footnote w:id="3">
    <w:p w14:paraId="398FD56F" w14:textId="70C8E423" w:rsidR="00C950E7" w:rsidRDefault="00C950E7">
      <w:pPr>
        <w:pStyle w:val="FootnoteText"/>
      </w:pPr>
      <w:r>
        <w:rPr>
          <w:rStyle w:val="FootnoteReference"/>
        </w:rPr>
        <w:footnoteRef/>
      </w:r>
      <w:r>
        <w:t xml:space="preserve"> Ibid.</w:t>
      </w:r>
    </w:p>
  </w:footnote>
  <w:footnote w:id="4">
    <w:p w14:paraId="6101DECE" w14:textId="1E12ECA6" w:rsidR="00C950E7" w:rsidRPr="000658D4" w:rsidRDefault="00C950E7" w:rsidP="009F66EB">
      <w:pPr>
        <w:pStyle w:val="FootnoteText"/>
      </w:pPr>
      <w:r>
        <w:rPr>
          <w:rStyle w:val="FootnoteReference"/>
        </w:rPr>
        <w:footnoteRef/>
      </w:r>
      <w:r>
        <w:t xml:space="preserve"> Central Intelligence Agency, “Gaza Strip,” </w:t>
      </w:r>
      <w:r w:rsidRPr="000658D4">
        <w:rPr>
          <w:i/>
          <w:iCs/>
        </w:rPr>
        <w:t>Wo</w:t>
      </w:r>
      <w:bookmarkStart w:id="0" w:name="_GoBack"/>
      <w:bookmarkEnd w:id="0"/>
      <w:r w:rsidRPr="000658D4">
        <w:rPr>
          <w:i/>
          <w:iCs/>
        </w:rPr>
        <w:t>rld Factbook</w:t>
      </w:r>
      <w:r>
        <w:t>, July 25, 2016,</w:t>
      </w:r>
      <w:r w:rsidRPr="00253D75">
        <w:t xml:space="preserve"> https://www.cia.gov/library/publications/the-world-factbook/geos/gz.html</w:t>
      </w:r>
      <w:r>
        <w:t>.</w:t>
      </w:r>
    </w:p>
  </w:footnote>
  <w:footnote w:id="5">
    <w:p w14:paraId="659327A7" w14:textId="6ABEFF14" w:rsidR="00C950E7" w:rsidRDefault="00C950E7">
      <w:pPr>
        <w:pStyle w:val="FootnoteText"/>
      </w:pPr>
      <w:r>
        <w:rPr>
          <w:rStyle w:val="FootnoteReference"/>
        </w:rPr>
        <w:footnoteRef/>
      </w:r>
      <w:r>
        <w:t xml:space="preserve"> UNOCHA, “The Gaza Strip.”</w:t>
      </w:r>
    </w:p>
  </w:footnote>
  <w:footnote w:id="6">
    <w:p w14:paraId="50257B38" w14:textId="7CF3031B" w:rsidR="00C950E7" w:rsidRPr="003C2646" w:rsidRDefault="00C950E7" w:rsidP="00596326">
      <w:pPr>
        <w:pStyle w:val="FootnoteText"/>
        <w:rPr>
          <w:rFonts w:asciiTheme="majorBidi" w:hAnsiTheme="majorBidi" w:cstheme="majorBidi"/>
        </w:rPr>
      </w:pPr>
      <w:r w:rsidRPr="003C2646">
        <w:rPr>
          <w:rStyle w:val="FootnoteReference"/>
          <w:rFonts w:asciiTheme="majorBidi" w:hAnsiTheme="majorBidi" w:cstheme="majorBidi"/>
        </w:rPr>
        <w:footnoteRef/>
      </w:r>
      <w:r w:rsidRPr="003C2646">
        <w:rPr>
          <w:rFonts w:asciiTheme="majorBidi" w:hAnsiTheme="majorBidi" w:cstheme="majorBidi"/>
        </w:rPr>
        <w:t xml:space="preserve"> </w:t>
      </w:r>
      <w:r>
        <w:t xml:space="preserve">UNOCHA, “Gaza Crossings’ Operation Status: Monthly Update-April 2017,” May 17, 2017, </w:t>
      </w:r>
      <w:hyperlink r:id="rId2" w:history="1">
        <w:r w:rsidRPr="002374E8">
          <w:rPr>
            <w:rStyle w:val="Hyperlink"/>
          </w:rPr>
          <w:t>https://www.ochaopt.org/content/gaza-crossings-operations-status-monthly-update-april-2017</w:t>
        </w:r>
      </w:hyperlink>
      <w:r>
        <w:t xml:space="preserve">. </w:t>
      </w:r>
    </w:p>
  </w:footnote>
  <w:footnote w:id="7">
    <w:p w14:paraId="63C68256" w14:textId="4DD1E0D0" w:rsidR="00C950E7" w:rsidRPr="004D3569" w:rsidRDefault="00C950E7" w:rsidP="008367D2">
      <w:pPr>
        <w:pStyle w:val="FootnoteText"/>
        <w:rPr>
          <w:rFonts w:cstheme="majorBidi"/>
        </w:rPr>
      </w:pPr>
      <w:r w:rsidRPr="003C2646">
        <w:rPr>
          <w:rStyle w:val="FootnoteReference"/>
          <w:rFonts w:asciiTheme="majorBidi" w:hAnsiTheme="majorBidi" w:cstheme="majorBidi"/>
        </w:rPr>
        <w:footnoteRef/>
      </w:r>
      <w:r w:rsidRPr="003C2646">
        <w:rPr>
          <w:rFonts w:asciiTheme="majorBidi" w:hAnsiTheme="majorBidi" w:cstheme="majorBidi"/>
        </w:rPr>
        <w:t xml:space="preserve"> </w:t>
      </w:r>
      <w:r w:rsidRPr="004D3569">
        <w:rPr>
          <w:rFonts w:cstheme="majorBidi"/>
        </w:rPr>
        <w:t xml:space="preserve">Rasha Abou Jalal, “Egypt Announces Deal to Open Rafah Crossing, But When Will It Actually Open?” </w:t>
      </w:r>
      <w:r w:rsidRPr="004D3569">
        <w:rPr>
          <w:rFonts w:cstheme="majorBidi"/>
          <w:i/>
          <w:iCs/>
        </w:rPr>
        <w:t>al-Monitor</w:t>
      </w:r>
      <w:r w:rsidRPr="004D3569">
        <w:rPr>
          <w:rFonts w:cstheme="majorBidi"/>
        </w:rPr>
        <w:t xml:space="preserve">, November 26, 2015, </w:t>
      </w:r>
      <w:hyperlink r:id="rId3" w:history="1">
        <w:r w:rsidRPr="004D3569">
          <w:rPr>
            <w:rStyle w:val="Hyperlink"/>
            <w:rFonts w:cstheme="majorBidi"/>
          </w:rPr>
          <w:t>http://www.al-monitor.com/pulse/originals/2015/11/egypt-pa-deal-rafah-crossing-open-hamas-opposition.html</w:t>
        </w:r>
      </w:hyperlink>
      <w:r w:rsidRPr="004D3569">
        <w:rPr>
          <w:rFonts w:cstheme="majorBidi"/>
        </w:rPr>
        <w:t xml:space="preserve">. </w:t>
      </w:r>
      <w:r w:rsidRPr="004D3569">
        <w:t>Initially, the aim was to replace the Hamas security forces at the border, but, according to the article, it seems that Egypt was eventually willing to accept Hamas security at the border with PA support/collaboration.</w:t>
      </w:r>
    </w:p>
  </w:footnote>
  <w:footnote w:id="8">
    <w:p w14:paraId="2BDAD2E2" w14:textId="017094D3" w:rsidR="00C950E7" w:rsidRPr="004D3569" w:rsidRDefault="00C950E7" w:rsidP="00B0469B">
      <w:pPr>
        <w:pStyle w:val="FootnoteText"/>
      </w:pPr>
      <w:r w:rsidRPr="004D3569">
        <w:rPr>
          <w:rStyle w:val="FootnoteReference"/>
        </w:rPr>
        <w:footnoteRef/>
      </w:r>
      <w:r w:rsidRPr="004D3569">
        <w:t xml:space="preserve"> </w:t>
      </w:r>
      <w:r w:rsidRPr="004D3569">
        <w:rPr>
          <w:rFonts w:cstheme="majorBidi"/>
        </w:rPr>
        <w:t>Quartet official, interview with authors, Doha, Qatar, February 23, 2016.</w:t>
      </w:r>
    </w:p>
  </w:footnote>
  <w:footnote w:id="9">
    <w:p w14:paraId="04404CC0" w14:textId="03FE20C5" w:rsidR="00C950E7" w:rsidRPr="004D3569" w:rsidRDefault="00C950E7">
      <w:pPr>
        <w:pStyle w:val="FootnoteText"/>
      </w:pPr>
      <w:r w:rsidRPr="004D3569">
        <w:rPr>
          <w:rStyle w:val="FootnoteReference"/>
        </w:rPr>
        <w:footnoteRef/>
      </w:r>
      <w:r w:rsidRPr="004D3569">
        <w:t xml:space="preserve"> Michael R. Gordon, “Conference Pledges $5.4 Billion to Rebuild Gaza Strip,” </w:t>
      </w:r>
      <w:r w:rsidRPr="004D3569">
        <w:rPr>
          <w:i/>
          <w:iCs/>
        </w:rPr>
        <w:t>New York Times</w:t>
      </w:r>
      <w:r w:rsidRPr="004D3569">
        <w:t xml:space="preserve">, October 12, 2014, </w:t>
      </w:r>
      <w:hyperlink r:id="rId4" w:history="1">
        <w:r w:rsidRPr="004D3569">
          <w:rPr>
            <w:rStyle w:val="Hyperlink"/>
          </w:rPr>
          <w:t>https://www.nytimes.com/2014/10/13/world/middleeast/us-pledges-212-million-in-new-aid-for-gaza.html</w:t>
        </w:r>
      </w:hyperlink>
      <w:r w:rsidRPr="004D3569">
        <w:t xml:space="preserve">; </w:t>
      </w:r>
      <w:r w:rsidRPr="004D3569">
        <w:rPr>
          <w:rFonts w:cstheme="majorBidi"/>
        </w:rPr>
        <w:t xml:space="preserve">The World Bank, “Reconstructing Gaza—Donor Pledges,” December 31, 2016, </w:t>
      </w:r>
      <w:hyperlink r:id="rId5" w:anchor="4" w:history="1">
        <w:r w:rsidRPr="004D3569">
          <w:rPr>
            <w:rStyle w:val="Hyperlink"/>
            <w:rFonts w:cstheme="majorBidi"/>
          </w:rPr>
          <w:t>http://www.worldbank.org/en/programs/rebuilding-gaza-donor-pledges#4</w:t>
        </w:r>
      </w:hyperlink>
      <w:r w:rsidRPr="004D3569">
        <w:rPr>
          <w:rFonts w:cstheme="majorBidi"/>
        </w:rPr>
        <w:t>.</w:t>
      </w:r>
    </w:p>
  </w:footnote>
  <w:footnote w:id="10">
    <w:p w14:paraId="7C8D2B02" w14:textId="6883EB8C" w:rsidR="00C950E7" w:rsidRPr="003C2646" w:rsidRDefault="00C950E7" w:rsidP="005E3345">
      <w:pPr>
        <w:pStyle w:val="FootnoteText"/>
        <w:rPr>
          <w:rFonts w:asciiTheme="majorBidi" w:hAnsiTheme="majorBidi" w:cstheme="majorBidi"/>
        </w:rPr>
      </w:pPr>
      <w:r w:rsidRPr="004D3569">
        <w:rPr>
          <w:rStyle w:val="FootnoteReference"/>
          <w:rFonts w:cstheme="majorBidi"/>
        </w:rPr>
        <w:footnoteRef/>
      </w:r>
      <w:r w:rsidRPr="004D3569">
        <w:rPr>
          <w:rFonts w:cstheme="majorBidi"/>
        </w:rPr>
        <w:t xml:space="preserve"> Ibid.</w:t>
      </w:r>
    </w:p>
  </w:footnote>
  <w:footnote w:id="11">
    <w:p w14:paraId="558ABE3C" w14:textId="6E2D64C6" w:rsidR="00C950E7" w:rsidRDefault="00C950E7" w:rsidP="00A96D2E">
      <w:pPr>
        <w:pStyle w:val="FootnoteText"/>
      </w:pPr>
      <w:r w:rsidRPr="0078407F">
        <w:rPr>
          <w:rStyle w:val="FootnoteReference"/>
        </w:rPr>
        <w:footnoteRef/>
      </w:r>
      <w:r w:rsidRPr="0078407F">
        <w:t xml:space="preserve"> Reuters, “Qatar Says Gives $30 Million to Pay Gaza Public Sector Workers,” July</w:t>
      </w:r>
      <w:r>
        <w:t xml:space="preserve"> 22,</w:t>
      </w:r>
      <w:r w:rsidRPr="0078407F">
        <w:t xml:space="preserve"> 2016, </w:t>
      </w:r>
      <w:hyperlink r:id="rId6" w:history="1">
        <w:r w:rsidRPr="0078407F">
          <w:rPr>
            <w:rStyle w:val="Hyperlink"/>
          </w:rPr>
          <w:t>http://www.reuters.com/article/us-palestinians-gaza-qatar-idUSKCN1021AQ</w:t>
        </w:r>
      </w:hyperlink>
      <w:r w:rsidRPr="0078407F">
        <w:t>.</w:t>
      </w:r>
    </w:p>
  </w:footnote>
  <w:footnote w:id="12">
    <w:p w14:paraId="43D5674A" w14:textId="14209EDE" w:rsidR="00C950E7" w:rsidRPr="003B08EE" w:rsidRDefault="00C950E7">
      <w:pPr>
        <w:pStyle w:val="FootnoteText"/>
      </w:pPr>
      <w:r w:rsidRPr="003B08EE">
        <w:rPr>
          <w:rStyle w:val="FootnoteReference"/>
        </w:rPr>
        <w:footnoteRef/>
      </w:r>
      <w:r w:rsidRPr="003B08EE">
        <w:t xml:space="preserve"> U.N. News Centre, “Middle East: U.N. Envoy Announces Deal on Reconstruction in Gaza,” September 16, 2014, </w:t>
      </w:r>
      <w:hyperlink r:id="rId7" w:anchor=".V2pUufl96Uk" w:history="1">
        <w:r w:rsidRPr="003B08EE">
          <w:rPr>
            <w:rStyle w:val="Hyperlink"/>
          </w:rPr>
          <w:t>http://www.un.org/apps/news/story.asp?NewsID=48730#.V2pUufl96Uk</w:t>
        </w:r>
      </w:hyperlink>
      <w:r w:rsidRPr="003B08EE">
        <w:t xml:space="preserve">. </w:t>
      </w:r>
    </w:p>
  </w:footnote>
  <w:footnote w:id="13">
    <w:p w14:paraId="1C4DF6AF" w14:textId="21BF30FF" w:rsidR="00C950E7" w:rsidRPr="005A1E61" w:rsidRDefault="00C950E7" w:rsidP="00BB34DE">
      <w:pPr>
        <w:pStyle w:val="FootnoteText"/>
        <w:rPr>
          <w:rFonts w:cstheme="majorBidi"/>
        </w:rPr>
      </w:pPr>
      <w:r w:rsidRPr="005A1E61">
        <w:rPr>
          <w:rStyle w:val="FootnoteReference"/>
          <w:rFonts w:cstheme="majorBidi"/>
        </w:rPr>
        <w:footnoteRef/>
      </w:r>
      <w:r w:rsidRPr="005A1E61">
        <w:rPr>
          <w:rFonts w:cstheme="majorBidi"/>
        </w:rPr>
        <w:t xml:space="preserve"> UNSCO, “Gaza Reconstruction Mechanism,” October 2014, 6, </w:t>
      </w:r>
      <w:hyperlink r:id="rId8" w:history="1">
        <w:r w:rsidRPr="00844C57">
          <w:rPr>
            <w:rStyle w:val="Hyperlink"/>
            <w:rFonts w:cstheme="majorBidi"/>
          </w:rPr>
          <w:t>http://www.aidwatch.ps/sites/default/files/resource-field_media/gaza_reconstruction_mechanism_full-tex</w:t>
        </w:r>
        <w:r w:rsidRPr="00844C57">
          <w:rPr>
            <w:rStyle w:val="Hyperlink"/>
            <w:rFonts w:cstheme="majorBidi"/>
          </w:rPr>
          <w:t>t.pdf</w:t>
        </w:r>
      </w:hyperlink>
      <w:r w:rsidRPr="005A1E61">
        <w:rPr>
          <w:rFonts w:cstheme="majorBidi"/>
        </w:rPr>
        <w:t>.</w:t>
      </w:r>
    </w:p>
  </w:footnote>
  <w:footnote w:id="14">
    <w:p w14:paraId="3F21F1D2" w14:textId="257687DB" w:rsidR="00C950E7" w:rsidRPr="003B08EE" w:rsidRDefault="00C950E7" w:rsidP="000A53AE">
      <w:pPr>
        <w:pStyle w:val="FootnoteText"/>
      </w:pPr>
      <w:r w:rsidRPr="003B08EE">
        <w:rPr>
          <w:rStyle w:val="FootnoteReference"/>
        </w:rPr>
        <w:footnoteRef/>
      </w:r>
      <w:r w:rsidRPr="003B08EE">
        <w:t xml:space="preserve"> Robert Serry, “Briefing to the Security Council on the Situation in the Middle East,” UNSCO, September 16, 2014, 3, </w:t>
      </w:r>
      <w:hyperlink r:id="rId9" w:history="1">
        <w:r w:rsidRPr="003B08EE">
          <w:rPr>
            <w:rStyle w:val="Hyperlink"/>
          </w:rPr>
          <w:t>http://www.unsco.org/Documents/Statements/MSCB/2008/Security%20Council%20Briefing%20-%2016%20September%202014.pdf</w:t>
        </w:r>
      </w:hyperlink>
      <w:r w:rsidRPr="003B08EE">
        <w:t xml:space="preserve">. </w:t>
      </w:r>
    </w:p>
  </w:footnote>
  <w:footnote w:id="15">
    <w:p w14:paraId="2034AEA1" w14:textId="2D776FB9" w:rsidR="00C950E7" w:rsidRPr="005A1E61" w:rsidRDefault="00C950E7" w:rsidP="00F20EC5">
      <w:pPr>
        <w:pStyle w:val="FootnoteText"/>
        <w:rPr>
          <w:rFonts w:cstheme="majorBidi"/>
        </w:rPr>
      </w:pPr>
      <w:r w:rsidRPr="005A1E61">
        <w:rPr>
          <w:rStyle w:val="FootnoteReference"/>
          <w:rFonts w:cstheme="majorBidi"/>
        </w:rPr>
        <w:footnoteRef/>
      </w:r>
      <w:r w:rsidRPr="005A1E61">
        <w:rPr>
          <w:rFonts w:cstheme="majorBidi"/>
        </w:rPr>
        <w:t xml:space="preserve"> United Nations Office of the Special Coordinator for the Middle East Peace Process (UNSCO), “Gaza Reconstruction Mechanism Fact Sheet,” October</w:t>
      </w:r>
      <w:r>
        <w:rPr>
          <w:rFonts w:cstheme="majorBidi"/>
        </w:rPr>
        <w:t xml:space="preserve"> 20,</w:t>
      </w:r>
      <w:r w:rsidRPr="005A1E61">
        <w:rPr>
          <w:rFonts w:cstheme="majorBidi"/>
        </w:rPr>
        <w:t xml:space="preserve"> 2014, 1, </w:t>
      </w:r>
      <w:hyperlink r:id="rId10" w:history="1">
        <w:r w:rsidRPr="005A1E61">
          <w:rPr>
            <w:rStyle w:val="Hyperlink"/>
            <w:rFonts w:cstheme="majorBidi"/>
          </w:rPr>
          <w:t>http://www.unsco.org/Gaza</w:t>
        </w:r>
        <w:r w:rsidRPr="005A1E61">
          <w:rPr>
            <w:rStyle w:val="Hyperlink"/>
            <w:rFonts w:cstheme="majorBidi"/>
          </w:rPr>
          <w:t>%20Reconstruction%20Mechanism%20Fact%20Sheet%209%20October%202014.pdf</w:t>
        </w:r>
      </w:hyperlink>
      <w:r w:rsidRPr="005A1E61">
        <w:rPr>
          <w:rFonts w:cstheme="majorBidi"/>
        </w:rPr>
        <w:t xml:space="preserve">. </w:t>
      </w:r>
    </w:p>
  </w:footnote>
  <w:footnote w:id="16">
    <w:p w14:paraId="201C141E" w14:textId="77777777" w:rsidR="00C950E7" w:rsidRPr="005A1E61" w:rsidRDefault="00C950E7" w:rsidP="00F20EC5">
      <w:pPr>
        <w:pStyle w:val="FootnoteText"/>
        <w:rPr>
          <w:rFonts w:cstheme="majorBidi"/>
        </w:rPr>
      </w:pPr>
      <w:r w:rsidRPr="005A1E61">
        <w:rPr>
          <w:rStyle w:val="FootnoteReference"/>
          <w:rFonts w:cstheme="majorBidi"/>
        </w:rPr>
        <w:footnoteRef/>
      </w:r>
      <w:r w:rsidRPr="005A1E61">
        <w:rPr>
          <w:rFonts w:cstheme="majorBidi"/>
        </w:rPr>
        <w:t xml:space="preserve"> Ibid.</w:t>
      </w:r>
    </w:p>
  </w:footnote>
  <w:footnote w:id="17">
    <w:p w14:paraId="1DCB860E" w14:textId="77777777" w:rsidR="00C950E7" w:rsidRPr="005A1E61" w:rsidRDefault="00C950E7" w:rsidP="00AA69C1">
      <w:pPr>
        <w:pStyle w:val="FootnoteText"/>
        <w:rPr>
          <w:rFonts w:cstheme="majorBidi"/>
        </w:rPr>
      </w:pPr>
      <w:r w:rsidRPr="005A1E61">
        <w:rPr>
          <w:rStyle w:val="FootnoteReference"/>
          <w:rFonts w:cstheme="majorBidi"/>
        </w:rPr>
        <w:footnoteRef/>
      </w:r>
      <w:r w:rsidRPr="005A1E61">
        <w:rPr>
          <w:rFonts w:cstheme="majorBidi"/>
        </w:rPr>
        <w:t xml:space="preserve"> United Nations, “Security Council Briefing on the Situation in </w:t>
      </w:r>
      <w:r>
        <w:rPr>
          <w:rFonts w:cstheme="majorBidi"/>
        </w:rPr>
        <w:t xml:space="preserve">the Middle East,” May 25, 2016, </w:t>
      </w:r>
      <w:hyperlink r:id="rId11" w:history="1">
        <w:r w:rsidRPr="005A1E61">
          <w:rPr>
            <w:rStyle w:val="Hyperlink"/>
          </w:rPr>
          <w:t>http://www.un.org/undpa/en/speeches-statements/25052016/middle-east</w:t>
        </w:r>
      </w:hyperlink>
      <w:r>
        <w:rPr>
          <w:rFonts w:cstheme="majorBidi"/>
        </w:rPr>
        <w:t xml:space="preserve">; </w:t>
      </w:r>
      <w:r w:rsidRPr="00760406">
        <w:rPr>
          <w:rFonts w:cstheme="majorBidi"/>
        </w:rPr>
        <w:t>The World Bank, “Reconstructing Gaza.”</w:t>
      </w:r>
    </w:p>
  </w:footnote>
  <w:footnote w:id="18">
    <w:p w14:paraId="03757914" w14:textId="229C6203" w:rsidR="00C950E7" w:rsidRPr="00F953EE" w:rsidRDefault="00C950E7" w:rsidP="000A71C7">
      <w:pPr>
        <w:pStyle w:val="FootnoteText"/>
        <w:rPr>
          <w:rFonts w:cstheme="majorBidi"/>
        </w:rPr>
      </w:pPr>
      <w:r w:rsidRPr="00F953EE">
        <w:rPr>
          <w:rStyle w:val="FootnoteReference"/>
        </w:rPr>
        <w:footnoteRef/>
      </w:r>
      <w:r w:rsidRPr="00F953EE">
        <w:t xml:space="preserve"> </w:t>
      </w:r>
      <w:r w:rsidRPr="00F953EE">
        <w:rPr>
          <w:rFonts w:cstheme="majorBidi"/>
        </w:rPr>
        <w:t xml:space="preserve">Shelter Cluster Palestine, “Key Figures (May 2017),” June 12, 2017, </w:t>
      </w:r>
      <w:hyperlink r:id="rId12" w:history="1">
        <w:r w:rsidRPr="00F953EE">
          <w:rPr>
            <w:rStyle w:val="Hyperlink"/>
            <w:rFonts w:cstheme="majorBidi"/>
          </w:rPr>
          <w:t>http://www.shelterpalestine.org/Upload/Doc/b6072f7d-f7</w:t>
        </w:r>
        <w:r w:rsidRPr="00F953EE">
          <w:rPr>
            <w:rStyle w:val="Hyperlink"/>
            <w:rFonts w:cstheme="majorBidi"/>
          </w:rPr>
          <w:t>89-4a14-8f37-cb3f70d46614.pdf</w:t>
        </w:r>
      </w:hyperlink>
      <w:r w:rsidRPr="00F953EE">
        <w:rPr>
          <w:rFonts w:cstheme="majorBidi"/>
        </w:rPr>
        <w:t xml:space="preserve">; Shelter Cluster Palestine, “Gaza Reconstruction Mechanism - How to Engage? (Version 3)” July 31, 2015, 8, </w:t>
      </w:r>
      <w:hyperlink r:id="rId13" w:history="1">
        <w:r w:rsidRPr="00F953EE">
          <w:rPr>
            <w:rStyle w:val="Hyperlink"/>
            <w:rFonts w:cstheme="majorBidi"/>
          </w:rPr>
          <w:t>http://shelterpalestine.org/Upload/Doc/b9b914b2-d2a7-4885-a7b2-df42cef23b91.pdf</w:t>
        </w:r>
      </w:hyperlink>
      <w:r w:rsidRPr="00F953EE">
        <w:rPr>
          <w:rFonts w:cstheme="majorBidi"/>
        </w:rPr>
        <w:t xml:space="preserve">. </w:t>
      </w:r>
    </w:p>
  </w:footnote>
  <w:footnote w:id="19">
    <w:p w14:paraId="4603786A" w14:textId="02609960" w:rsidR="00C950E7" w:rsidRPr="00F953EE" w:rsidRDefault="00C950E7" w:rsidP="00592F1D">
      <w:pPr>
        <w:pStyle w:val="FootnoteText"/>
      </w:pPr>
      <w:r w:rsidRPr="00F953EE">
        <w:rPr>
          <w:rStyle w:val="FootnoteReference"/>
        </w:rPr>
        <w:footnoteRef/>
      </w:r>
      <w:r w:rsidRPr="00F953EE">
        <w:t xml:space="preserve"> Ibid. This estimate is based off the assumption that all pledges will be met. Given the slow trickle of donor funds, this projected completion seems unlikely. </w:t>
      </w:r>
    </w:p>
  </w:footnote>
  <w:footnote w:id="20">
    <w:p w14:paraId="51E0145A" w14:textId="7374029F" w:rsidR="00C950E7" w:rsidRDefault="00C950E7" w:rsidP="00024BB5">
      <w:pPr>
        <w:pStyle w:val="FootnoteText"/>
      </w:pPr>
      <w:r w:rsidRPr="00F953EE">
        <w:rPr>
          <w:rStyle w:val="FootnoteReference"/>
        </w:rPr>
        <w:footnoteRef/>
      </w:r>
      <w:r w:rsidRPr="00F953EE">
        <w:t xml:space="preserve"> Number of units that received funding confirmation in 2017.</w:t>
      </w:r>
    </w:p>
  </w:footnote>
  <w:footnote w:id="21">
    <w:p w14:paraId="5C26F242" w14:textId="77777777" w:rsidR="00656CD5" w:rsidRPr="00F953EE" w:rsidRDefault="00656CD5" w:rsidP="00656CD5">
      <w:pPr>
        <w:pStyle w:val="FootnoteText"/>
        <w:rPr>
          <w:rFonts w:cstheme="majorBidi"/>
        </w:rPr>
      </w:pPr>
      <w:r w:rsidRPr="00F953EE">
        <w:rPr>
          <w:rStyle w:val="FootnoteReference"/>
          <w:rFonts w:cstheme="majorBidi"/>
        </w:rPr>
        <w:footnoteRef/>
      </w:r>
      <w:r w:rsidRPr="00F953EE">
        <w:rPr>
          <w:rFonts w:cstheme="majorBidi"/>
        </w:rPr>
        <w:t xml:space="preserve"> UNOCHA, “Gaza: Internally Displaced Persons,” April 2016, 1, </w:t>
      </w:r>
      <w:hyperlink r:id="rId14" w:history="1">
        <w:r w:rsidRPr="00F953EE">
          <w:rPr>
            <w:rStyle w:val="Hyperlink"/>
            <w:rFonts w:cstheme="majorBidi"/>
          </w:rPr>
          <w:t>https://www.</w:t>
        </w:r>
        <w:r w:rsidRPr="00F953EE">
          <w:rPr>
            <w:rStyle w:val="Hyperlink"/>
            <w:rFonts w:cstheme="majorBidi"/>
          </w:rPr>
          <w:t>ochaopt.org/content/gaza-internally-displaced-persons-april-2016</w:t>
        </w:r>
      </w:hyperlink>
      <w:r w:rsidRPr="00F953EE">
        <w:rPr>
          <w:rFonts w:cstheme="majorBidi"/>
        </w:rPr>
        <w:t>.</w:t>
      </w:r>
    </w:p>
  </w:footnote>
  <w:footnote w:id="22">
    <w:p w14:paraId="620395C0" w14:textId="3F221349" w:rsidR="00C950E7" w:rsidRPr="00F953EE" w:rsidRDefault="00C950E7">
      <w:pPr>
        <w:pStyle w:val="FootnoteText"/>
      </w:pPr>
      <w:r w:rsidRPr="00F953EE">
        <w:rPr>
          <w:rStyle w:val="FootnoteReference"/>
        </w:rPr>
        <w:footnoteRef/>
      </w:r>
      <w:r w:rsidRPr="00F953EE">
        <w:t xml:space="preserve"> The Gaza Reconstruction Mechanism, “An Agreement Between the Government of Palestine (GOP) and the Government of Israel (GOI),” accessed July 16, 2017, </w:t>
      </w:r>
      <w:hyperlink r:id="rId15" w:history="1">
        <w:r w:rsidRPr="00F953EE">
          <w:rPr>
            <w:rStyle w:val="Hyperlink"/>
          </w:rPr>
          <w:t>http://grm.report/</w:t>
        </w:r>
      </w:hyperlink>
      <w:r w:rsidRPr="00F953EE">
        <w:t xml:space="preserve">. </w:t>
      </w:r>
    </w:p>
  </w:footnote>
  <w:footnote w:id="23">
    <w:p w14:paraId="6C1869FD" w14:textId="333357AE" w:rsidR="00C950E7" w:rsidRPr="00F953EE" w:rsidRDefault="00C950E7" w:rsidP="006F70A0">
      <w:pPr>
        <w:pStyle w:val="FootnoteText"/>
        <w:rPr>
          <w:rFonts w:cstheme="majorBidi"/>
        </w:rPr>
      </w:pPr>
      <w:r w:rsidRPr="00F953EE">
        <w:rPr>
          <w:rStyle w:val="FootnoteReference"/>
          <w:rFonts w:cstheme="majorBidi"/>
        </w:rPr>
        <w:footnoteRef/>
      </w:r>
      <w:r w:rsidRPr="00F953EE">
        <w:rPr>
          <w:rFonts w:cstheme="majorBidi"/>
        </w:rPr>
        <w:t xml:space="preserve"> UNSCO, “Gaza Reconstruction Mechanism,” 2; Member of Gaza civil society, interview with the authors, Doha, Qatar, January 20, 2016.</w:t>
      </w:r>
    </w:p>
  </w:footnote>
  <w:footnote w:id="24">
    <w:p w14:paraId="75801F81" w14:textId="7F859F16" w:rsidR="00C950E7" w:rsidRPr="003C2646" w:rsidRDefault="00C950E7" w:rsidP="00A56AFB">
      <w:pPr>
        <w:pStyle w:val="FootnoteText"/>
        <w:rPr>
          <w:rFonts w:asciiTheme="majorBidi" w:hAnsiTheme="majorBidi" w:cstheme="majorBidi"/>
        </w:rPr>
      </w:pPr>
      <w:r w:rsidRPr="00F953EE">
        <w:rPr>
          <w:rStyle w:val="FootnoteReference"/>
          <w:rFonts w:cstheme="majorBidi"/>
        </w:rPr>
        <w:footnoteRef/>
      </w:r>
      <w:r w:rsidRPr="00F953EE">
        <w:rPr>
          <w:rFonts w:cstheme="majorBidi"/>
        </w:rPr>
        <w:t xml:space="preserve"> IRIN News, “What’s in the U.N.’s New Gaza Agreement?” September 19, 2014, http://www.irinnews.org/analysis/2014/09/19/whats-uns-new-gaza-agreement.</w:t>
      </w:r>
    </w:p>
  </w:footnote>
  <w:footnote w:id="25">
    <w:p w14:paraId="2FA64384" w14:textId="77777777" w:rsidR="00C950E7" w:rsidRPr="00F953EE" w:rsidRDefault="00C950E7" w:rsidP="00FC3880">
      <w:pPr>
        <w:pStyle w:val="FootnoteText"/>
        <w:rPr>
          <w:rFonts w:cstheme="majorBidi"/>
        </w:rPr>
      </w:pPr>
      <w:r w:rsidRPr="00F953EE">
        <w:rPr>
          <w:rStyle w:val="FootnoteReference"/>
          <w:rFonts w:cstheme="majorBidi"/>
        </w:rPr>
        <w:footnoteRef/>
      </w:r>
      <w:r w:rsidRPr="00F953EE">
        <w:rPr>
          <w:rFonts w:cstheme="majorBidi"/>
        </w:rPr>
        <w:t xml:space="preserve"> UNSCO, “Gaza Reconstruction Mechanism,” 3.</w:t>
      </w:r>
    </w:p>
  </w:footnote>
  <w:footnote w:id="26">
    <w:p w14:paraId="1878F5DF" w14:textId="124E5A36" w:rsidR="00C950E7" w:rsidRPr="00F953EE" w:rsidRDefault="00C950E7" w:rsidP="00FC3880">
      <w:pPr>
        <w:pStyle w:val="FootnoteText"/>
        <w:rPr>
          <w:rFonts w:cstheme="majorBidi"/>
        </w:rPr>
      </w:pPr>
      <w:r w:rsidRPr="00F953EE">
        <w:rPr>
          <w:rStyle w:val="FootnoteReference"/>
          <w:rFonts w:cstheme="majorBidi"/>
        </w:rPr>
        <w:footnoteRef/>
      </w:r>
      <w:r w:rsidRPr="00F953EE">
        <w:rPr>
          <w:rFonts w:cstheme="majorBidi"/>
        </w:rPr>
        <w:t xml:space="preserve"> Shlomi Eldar, “Why Young Gazans Need Cement to Get Married,” </w:t>
      </w:r>
      <w:r w:rsidRPr="00F953EE">
        <w:rPr>
          <w:rFonts w:cstheme="majorBidi"/>
          <w:i/>
          <w:iCs/>
        </w:rPr>
        <w:t>al-Monitor</w:t>
      </w:r>
      <w:r w:rsidRPr="00F953EE">
        <w:rPr>
          <w:rFonts w:cstheme="majorBidi"/>
        </w:rPr>
        <w:t>, December 3, 2015, http://www.al-monitor.com/pulse/originals/2015/12/israel-gaza-cement-housing-shortage-youngsters-tunnels.html.</w:t>
      </w:r>
    </w:p>
  </w:footnote>
  <w:footnote w:id="27">
    <w:p w14:paraId="4C796E9B" w14:textId="5B5FFD1B" w:rsidR="00C950E7" w:rsidRPr="00F953EE" w:rsidRDefault="00C950E7" w:rsidP="00A56AFB">
      <w:pPr>
        <w:pStyle w:val="FootnoteText"/>
      </w:pPr>
      <w:r w:rsidRPr="00F953EE">
        <w:rPr>
          <w:rStyle w:val="FootnoteReference"/>
        </w:rPr>
        <w:footnoteRef/>
      </w:r>
      <w:r w:rsidRPr="00F953EE">
        <w:t xml:space="preserve"> Middle East Monitor, “Hamas: ‘We have Alternatives should Reconstruction Fail,’” November 26, 2014, </w:t>
      </w:r>
      <w:hyperlink r:id="rId16" w:history="1">
        <w:r w:rsidRPr="00F953EE">
          <w:rPr>
            <w:rStyle w:val="Hyperlink"/>
          </w:rPr>
          <w:t>https://www.middleeastmonitor.com/20141126-hamas-we-have-alternatives-should-reconstruction-fail</w:t>
        </w:r>
      </w:hyperlink>
      <w:r w:rsidRPr="00F953EE">
        <w:t xml:space="preserve">. </w:t>
      </w:r>
    </w:p>
  </w:footnote>
  <w:footnote w:id="28">
    <w:p w14:paraId="69950DE4" w14:textId="6E5F9482" w:rsidR="00C950E7" w:rsidRPr="00F953EE" w:rsidRDefault="00C950E7" w:rsidP="00A56AFB">
      <w:pPr>
        <w:pStyle w:val="FootnoteText"/>
        <w:rPr>
          <w:rFonts w:cstheme="majorBidi"/>
        </w:rPr>
      </w:pPr>
      <w:r w:rsidRPr="00F953EE">
        <w:rPr>
          <w:rStyle w:val="FootnoteReference"/>
          <w:rFonts w:cstheme="majorBidi"/>
        </w:rPr>
        <w:footnoteRef/>
      </w:r>
      <w:r w:rsidRPr="00F953EE">
        <w:rPr>
          <w:rFonts w:cstheme="majorBidi"/>
        </w:rPr>
        <w:t xml:space="preserve"> Palestinian Civil Society Organizations, “Letter to UNSCO,” November 26, 2015, http://www.ewash.org/news/letter-unsco.</w:t>
      </w:r>
    </w:p>
  </w:footnote>
  <w:footnote w:id="29">
    <w:p w14:paraId="1642DF03" w14:textId="40744AC7" w:rsidR="00C950E7" w:rsidRPr="003C2646" w:rsidRDefault="00C950E7" w:rsidP="00A56AFB">
      <w:pPr>
        <w:pStyle w:val="FootnoteText"/>
        <w:rPr>
          <w:rFonts w:asciiTheme="majorBidi" w:hAnsiTheme="majorBidi" w:cstheme="majorBidi"/>
        </w:rPr>
      </w:pPr>
      <w:r w:rsidRPr="00F953EE">
        <w:rPr>
          <w:rStyle w:val="FootnoteReference"/>
          <w:rFonts w:cstheme="majorBidi"/>
        </w:rPr>
        <w:footnoteRef/>
      </w:r>
      <w:r w:rsidRPr="00F953EE">
        <w:rPr>
          <w:rFonts w:cstheme="majorBidi"/>
        </w:rPr>
        <w:t xml:space="preserve"> UNSCO, “Gaza Reconstruction Mechanism Fact Sheet.”</w:t>
      </w:r>
    </w:p>
  </w:footnote>
  <w:footnote w:id="30">
    <w:p w14:paraId="1ED92B72" w14:textId="4920C01B" w:rsidR="00C950E7" w:rsidRPr="00F953EE" w:rsidRDefault="00C950E7" w:rsidP="00601C92">
      <w:pPr>
        <w:pStyle w:val="FootnoteText"/>
        <w:rPr>
          <w:rFonts w:cstheme="majorBidi"/>
        </w:rPr>
      </w:pPr>
      <w:r w:rsidRPr="00F953EE">
        <w:rPr>
          <w:rStyle w:val="FootnoteReference"/>
          <w:rFonts w:cstheme="majorBidi"/>
        </w:rPr>
        <w:footnoteRef/>
      </w:r>
      <w:r w:rsidRPr="00F953EE">
        <w:rPr>
          <w:rFonts w:cstheme="majorBidi"/>
        </w:rPr>
        <w:t xml:space="preserve"> AP and Times of Israel Staff, “New Scanner at Gaza Crossing to Speed Rebuilding Effort,” </w:t>
      </w:r>
      <w:r w:rsidRPr="00F953EE">
        <w:rPr>
          <w:rFonts w:cstheme="majorBidi"/>
          <w:i/>
          <w:iCs/>
        </w:rPr>
        <w:t>Times of Israel</w:t>
      </w:r>
      <w:r w:rsidRPr="00F953EE">
        <w:rPr>
          <w:rFonts w:cstheme="majorBidi"/>
        </w:rPr>
        <w:t xml:space="preserve">, July 16, 2015, </w:t>
      </w:r>
      <w:hyperlink r:id="rId17" w:history="1">
        <w:r w:rsidRPr="00F953EE">
          <w:rPr>
            <w:rStyle w:val="Hyperlink"/>
            <w:rFonts w:cstheme="majorBidi"/>
          </w:rPr>
          <w:t>http://www.timesofisrael.com/new-scanner-at-gaza-crossing-to-speed-rebuilding-efforts/</w:t>
        </w:r>
      </w:hyperlink>
      <w:r w:rsidRPr="00F953EE">
        <w:rPr>
          <w:rFonts w:cstheme="majorBidi"/>
        </w:rPr>
        <w:t>.</w:t>
      </w:r>
    </w:p>
  </w:footnote>
  <w:footnote w:id="31">
    <w:p w14:paraId="0C646EF0" w14:textId="77289449" w:rsidR="00C950E7" w:rsidRPr="00F953EE" w:rsidRDefault="00C950E7" w:rsidP="00601C92">
      <w:pPr>
        <w:pStyle w:val="FootnoteText"/>
        <w:rPr>
          <w:rFonts w:cstheme="majorBidi"/>
        </w:rPr>
      </w:pPr>
      <w:r w:rsidRPr="00F953EE">
        <w:rPr>
          <w:rStyle w:val="FootnoteReference"/>
          <w:rFonts w:cstheme="majorBidi"/>
        </w:rPr>
        <w:footnoteRef/>
      </w:r>
      <w:r w:rsidRPr="00F953EE">
        <w:rPr>
          <w:rFonts w:cstheme="majorBidi"/>
        </w:rPr>
        <w:t xml:space="preserve"> Nidal al-Mughrabi, “Israel Resumes Cement Shipments for Private Gaza Reconstruction After 45-Day Break,” </w:t>
      </w:r>
      <w:r w:rsidRPr="00F953EE">
        <w:rPr>
          <w:rFonts w:cstheme="majorBidi"/>
          <w:i/>
          <w:iCs/>
        </w:rPr>
        <w:t>Reuters</w:t>
      </w:r>
      <w:r w:rsidRPr="00F953EE">
        <w:rPr>
          <w:rFonts w:cstheme="majorBidi"/>
        </w:rPr>
        <w:t xml:space="preserve">, May 24, 2016, </w:t>
      </w:r>
      <w:hyperlink r:id="rId18" w:history="1">
        <w:r w:rsidRPr="00F953EE">
          <w:rPr>
            <w:rStyle w:val="Hyperlink"/>
            <w:rFonts w:cstheme="majorBidi"/>
          </w:rPr>
          <w:t>http://www.reuters.com/article/us-israel-palestinians-cement-idUSKCN0YE11R</w:t>
        </w:r>
      </w:hyperlink>
      <w:r w:rsidRPr="00F953EE">
        <w:rPr>
          <w:rFonts w:cstheme="majorBidi"/>
        </w:rPr>
        <w:t>.</w:t>
      </w:r>
    </w:p>
  </w:footnote>
  <w:footnote w:id="32">
    <w:p w14:paraId="04009B59" w14:textId="1B1869F0" w:rsidR="00C950E7" w:rsidRPr="00F953EE" w:rsidRDefault="00C950E7" w:rsidP="00601C92">
      <w:pPr>
        <w:pStyle w:val="FootnoteText"/>
        <w:rPr>
          <w:rFonts w:cstheme="majorBidi"/>
        </w:rPr>
      </w:pPr>
      <w:r w:rsidRPr="00F953EE">
        <w:rPr>
          <w:rStyle w:val="FootnoteReference"/>
          <w:rFonts w:cstheme="majorBidi"/>
        </w:rPr>
        <w:footnoteRef/>
      </w:r>
      <w:r w:rsidRPr="00F953EE">
        <w:rPr>
          <w:rFonts w:cstheme="majorBidi"/>
        </w:rPr>
        <w:t xml:space="preserve"> Jeffrey Heller, “Israel Cuts Back Gaza’s Lumber Imports – Palestinians,” </w:t>
      </w:r>
      <w:r w:rsidRPr="00F953EE">
        <w:rPr>
          <w:rFonts w:cstheme="majorBidi"/>
          <w:i/>
          <w:iCs/>
        </w:rPr>
        <w:t>Reuters</w:t>
      </w:r>
      <w:r w:rsidRPr="00F953EE">
        <w:rPr>
          <w:rFonts w:cstheme="majorBidi"/>
        </w:rPr>
        <w:t xml:space="preserve">, April 6, 2015, </w:t>
      </w:r>
      <w:hyperlink r:id="rId19" w:history="1">
        <w:r w:rsidRPr="00F953EE">
          <w:rPr>
            <w:rStyle w:val="Hyperlink"/>
            <w:rFonts w:cstheme="majorBidi"/>
          </w:rPr>
          <w:t>http://uk.reuters.com/article/uk-israel-palestinians-gaza-idUKKBN0MX0SJ20150406</w:t>
        </w:r>
      </w:hyperlink>
      <w:r w:rsidRPr="00F953EE">
        <w:rPr>
          <w:rFonts w:cstheme="majorBidi"/>
        </w:rPr>
        <w:t xml:space="preserve">. </w:t>
      </w:r>
    </w:p>
  </w:footnote>
  <w:footnote w:id="33">
    <w:p w14:paraId="05F79CF1" w14:textId="77777777" w:rsidR="00C950E7" w:rsidRPr="00F953EE" w:rsidRDefault="00C950E7" w:rsidP="006B1691">
      <w:pPr>
        <w:pStyle w:val="FootnoteText"/>
      </w:pPr>
      <w:r w:rsidRPr="00F953EE">
        <w:rPr>
          <w:rStyle w:val="FootnoteReference"/>
        </w:rPr>
        <w:footnoteRef/>
      </w:r>
      <w:r w:rsidRPr="00F953EE">
        <w:t xml:space="preserve"> </w:t>
      </w:r>
      <w:r w:rsidRPr="00F953EE">
        <w:rPr>
          <w:rFonts w:cstheme="majorBidi"/>
        </w:rPr>
        <w:t xml:space="preserve">Shelter Cluster Palestine, “Key Facts (May 2016),” June 8, 2016, </w:t>
      </w:r>
      <w:hyperlink r:id="rId20" w:history="1">
        <w:r w:rsidRPr="00F953EE">
          <w:rPr>
            <w:rStyle w:val="Hyperlink"/>
            <w:rFonts w:cstheme="majorBidi"/>
          </w:rPr>
          <w:t>http://shelterpalestine.org/Upload/Doc/16e94567-472e-4675-8c50-e69b32f055da.pdf</w:t>
        </w:r>
      </w:hyperlink>
      <w:r w:rsidRPr="00F953EE">
        <w:rPr>
          <w:rFonts w:cstheme="majorBidi"/>
        </w:rPr>
        <w:t xml:space="preserve">. </w:t>
      </w:r>
    </w:p>
  </w:footnote>
  <w:footnote w:id="34">
    <w:p w14:paraId="7841B845" w14:textId="69DEF86B" w:rsidR="00C950E7" w:rsidRPr="00F953EE" w:rsidRDefault="00C950E7" w:rsidP="00822770">
      <w:pPr>
        <w:pStyle w:val="FootnoteText"/>
        <w:rPr>
          <w:rFonts w:cstheme="majorBidi"/>
        </w:rPr>
      </w:pPr>
      <w:r w:rsidRPr="00F953EE">
        <w:rPr>
          <w:rStyle w:val="FootnoteReference"/>
          <w:rFonts w:cstheme="majorBidi"/>
        </w:rPr>
        <w:footnoteRef/>
      </w:r>
      <w:r w:rsidRPr="00F953EE">
        <w:rPr>
          <w:rFonts w:cstheme="majorBidi"/>
        </w:rPr>
        <w:t xml:space="preserve"> Heller, “Israel Cuts Back Gaza’s Lumber Imports.” </w:t>
      </w:r>
    </w:p>
  </w:footnote>
  <w:footnote w:id="35">
    <w:p w14:paraId="48DF8035" w14:textId="70D3533C" w:rsidR="00C950E7" w:rsidRPr="00F953EE" w:rsidRDefault="00C950E7">
      <w:pPr>
        <w:pStyle w:val="FootnoteText"/>
        <w:rPr>
          <w:rFonts w:cstheme="majorBidi"/>
        </w:rPr>
      </w:pPr>
      <w:r w:rsidRPr="00F953EE">
        <w:rPr>
          <w:rStyle w:val="FootnoteReference"/>
          <w:rFonts w:cstheme="majorBidi"/>
        </w:rPr>
        <w:footnoteRef/>
      </w:r>
      <w:r w:rsidRPr="00F953EE">
        <w:rPr>
          <w:rFonts w:cstheme="majorBidi"/>
        </w:rPr>
        <w:t xml:space="preserve"> “Marketing of Furniture from Gaza in Israel Permitted—Wood to Make the Furniture is not,” Gisha Legal Center for the Freedom of Movement, November 2, 2015, </w:t>
      </w:r>
      <w:hyperlink r:id="rId21" w:history="1">
        <w:r w:rsidRPr="00F953EE">
          <w:rPr>
            <w:rStyle w:val="Hyperlink"/>
            <w:rFonts w:cstheme="majorBidi"/>
          </w:rPr>
          <w:t>http://gisha.org/en-blog/2015/11/02/marketing-of-furniture-from-gaza-in-israel-permitted-wood-to-the-make-the-furniture-is-not/</w:t>
        </w:r>
      </w:hyperlink>
      <w:r w:rsidRPr="00F953EE">
        <w:rPr>
          <w:rFonts w:cstheme="majorBidi"/>
        </w:rPr>
        <w:t>.</w:t>
      </w:r>
    </w:p>
  </w:footnote>
  <w:footnote w:id="36">
    <w:p w14:paraId="61229137" w14:textId="008300B4" w:rsidR="00C950E7" w:rsidRPr="00F953EE" w:rsidRDefault="00C950E7">
      <w:pPr>
        <w:pStyle w:val="FootnoteText"/>
      </w:pPr>
      <w:r w:rsidRPr="00F953EE">
        <w:rPr>
          <w:rStyle w:val="FootnoteReference"/>
        </w:rPr>
        <w:footnoteRef/>
      </w:r>
      <w:r w:rsidRPr="00F953EE">
        <w:t xml:space="preserve"> </w:t>
      </w:r>
      <w:r w:rsidRPr="00F953EE">
        <w:rPr>
          <w:rFonts w:cstheme="majorBidi"/>
        </w:rPr>
        <w:t xml:space="preserve">UNRWA, “Gaza Situation Report 149,” June 23, 2016, </w:t>
      </w:r>
      <w:hyperlink r:id="rId22" w:history="1">
        <w:r w:rsidRPr="00F953EE">
          <w:rPr>
            <w:rStyle w:val="Hyperlink"/>
            <w:rFonts w:cstheme="majorBidi"/>
          </w:rPr>
          <w:t>http://www.unrwa.org/newsroom/emergency-reports/gaza-situation-report-149</w:t>
        </w:r>
      </w:hyperlink>
      <w:r w:rsidRPr="00F953EE">
        <w:rPr>
          <w:rFonts w:cstheme="majorBidi"/>
        </w:rPr>
        <w:t>.</w:t>
      </w:r>
    </w:p>
  </w:footnote>
  <w:footnote w:id="37">
    <w:p w14:paraId="6A8D4B68" w14:textId="3692C1B8" w:rsidR="00C950E7" w:rsidRPr="00F953EE" w:rsidRDefault="00C950E7" w:rsidP="00F6243F">
      <w:pPr>
        <w:pStyle w:val="FootnoteText"/>
        <w:rPr>
          <w:rFonts w:cstheme="majorBidi"/>
        </w:rPr>
      </w:pPr>
      <w:r w:rsidRPr="00F953EE">
        <w:rPr>
          <w:rStyle w:val="FootnoteReference"/>
          <w:rFonts w:cstheme="majorBidi"/>
        </w:rPr>
        <w:footnoteRef/>
      </w:r>
      <w:r w:rsidRPr="00F953EE">
        <w:rPr>
          <w:rFonts w:cstheme="majorBidi"/>
        </w:rPr>
        <w:t xml:space="preserve"> UNOCHA, “Gaza: Internally Displaced Persons,” 1.</w:t>
      </w:r>
    </w:p>
  </w:footnote>
  <w:footnote w:id="38">
    <w:p w14:paraId="4DB28961" w14:textId="784E28BC" w:rsidR="00C950E7" w:rsidRPr="003C2646" w:rsidRDefault="00C950E7" w:rsidP="005625E3">
      <w:pPr>
        <w:pStyle w:val="FootnoteText"/>
        <w:rPr>
          <w:rFonts w:asciiTheme="majorBidi" w:hAnsiTheme="majorBidi" w:cstheme="majorBidi"/>
        </w:rPr>
      </w:pPr>
      <w:r w:rsidRPr="00F953EE">
        <w:rPr>
          <w:rStyle w:val="FootnoteReference"/>
          <w:rFonts w:cstheme="majorBidi"/>
        </w:rPr>
        <w:footnoteRef/>
      </w:r>
      <w:r w:rsidRPr="00F953EE">
        <w:rPr>
          <w:rFonts w:cstheme="majorBidi"/>
        </w:rPr>
        <w:t xml:space="preserve"> Beverly Milton-Edwards, “Head-hunting for Hamas,” </w:t>
      </w:r>
      <w:r w:rsidRPr="00F953EE">
        <w:rPr>
          <w:rFonts w:cstheme="majorBidi"/>
          <w:i/>
          <w:iCs/>
        </w:rPr>
        <w:t xml:space="preserve">Markaz </w:t>
      </w:r>
      <w:r w:rsidRPr="00F953EE">
        <w:rPr>
          <w:rFonts w:cstheme="majorBidi"/>
        </w:rPr>
        <w:t xml:space="preserve">(blog), Brookings Institution, October 12, 2016, </w:t>
      </w:r>
      <w:hyperlink r:id="rId23" w:history="1">
        <w:r w:rsidRPr="00F953EE">
          <w:rPr>
            <w:rStyle w:val="Hyperlink"/>
            <w:rFonts w:cstheme="majorBidi"/>
          </w:rPr>
          <w:t>https://www.brookings.edu/blog/markaz/2016/10/12/head-hunting-for-hamas/</w:t>
        </w:r>
      </w:hyperlink>
      <w:r w:rsidRPr="00F953EE">
        <w:rPr>
          <w:rFonts w:cstheme="majorBidi"/>
        </w:rPr>
        <w:t>.</w:t>
      </w:r>
    </w:p>
  </w:footnote>
  <w:footnote w:id="39">
    <w:p w14:paraId="554D338A" w14:textId="762D1722" w:rsidR="00C950E7" w:rsidRPr="00F953EE" w:rsidRDefault="00C950E7" w:rsidP="005625E3">
      <w:pPr>
        <w:pStyle w:val="FootnoteText"/>
      </w:pPr>
      <w:r w:rsidRPr="00F953EE">
        <w:rPr>
          <w:rStyle w:val="FootnoteReference"/>
        </w:rPr>
        <w:footnoteRef/>
      </w:r>
      <w:r w:rsidRPr="00F953EE">
        <w:t xml:space="preserve"> </w:t>
      </w:r>
      <w:r w:rsidRPr="00F953EE">
        <w:rPr>
          <w:rFonts w:cstheme="majorBidi"/>
        </w:rPr>
        <w:t xml:space="preserve">Joshua Mitnick and Rushdi Abualouf, “Hamas Selects Popular Gaza Politician Ismail Haniyeh as its New Leader,” </w:t>
      </w:r>
      <w:r w:rsidRPr="00F953EE">
        <w:rPr>
          <w:rFonts w:cstheme="majorBidi"/>
          <w:i/>
          <w:iCs/>
        </w:rPr>
        <w:t>Los Angeles Times</w:t>
      </w:r>
      <w:r w:rsidRPr="00F953EE">
        <w:rPr>
          <w:rFonts w:cstheme="majorBidi"/>
        </w:rPr>
        <w:t xml:space="preserve">, May 6, 2017, </w:t>
      </w:r>
      <w:r w:rsidRPr="00F953EE">
        <w:t xml:space="preserve">http://www.latimes.com/world/middleeast/la-fg-hamas-leader-haniyeh-20170506-story.html. </w:t>
      </w:r>
    </w:p>
  </w:footnote>
  <w:footnote w:id="40">
    <w:p w14:paraId="12826D5D" w14:textId="71557A4A" w:rsidR="00C950E7" w:rsidRPr="00F953EE" w:rsidRDefault="00C950E7">
      <w:pPr>
        <w:pStyle w:val="FootnoteText"/>
      </w:pPr>
      <w:r w:rsidRPr="00F953EE">
        <w:rPr>
          <w:rStyle w:val="FootnoteReference"/>
        </w:rPr>
        <w:footnoteRef/>
      </w:r>
      <w:r w:rsidRPr="00F953EE">
        <w:t xml:space="preserve"> Dylan Collins, “Will Mohammed Dahlan Return to Lead Gaza?” </w:t>
      </w:r>
      <w:r w:rsidRPr="00F953EE">
        <w:rPr>
          <w:i/>
          <w:iCs/>
        </w:rPr>
        <w:t>Al-Jazeera</w:t>
      </w:r>
      <w:r w:rsidRPr="00F953EE">
        <w:t xml:space="preserve">, July 10, 2017, </w:t>
      </w:r>
      <w:hyperlink r:id="rId24" w:history="1">
        <w:r w:rsidRPr="00F953EE">
          <w:rPr>
            <w:rStyle w:val="Hyperlink"/>
          </w:rPr>
          <w:t>http://www.aljaze</w:t>
        </w:r>
        <w:r w:rsidRPr="00F953EE">
          <w:rPr>
            <w:rStyle w:val="Hyperlink"/>
          </w:rPr>
          <w:t>era.com/indepth/features/2017/07/mohammed-</w:t>
        </w:r>
        <w:r w:rsidRPr="00F953EE">
          <w:rPr>
            <w:rStyle w:val="Hyperlink"/>
          </w:rPr>
          <w:t>dahlan-return-lead-gaza-170709143522193.html</w:t>
        </w:r>
      </w:hyperlink>
      <w:r w:rsidRPr="00F953EE">
        <w:t xml:space="preserve">; Peter Beaumont, “Hamas Seeks Help from Palestinian Foe to Relieve Pressure on Gaza,” </w:t>
      </w:r>
      <w:r w:rsidRPr="00F953EE">
        <w:rPr>
          <w:i/>
          <w:iCs/>
        </w:rPr>
        <w:t>The Guardian</w:t>
      </w:r>
      <w:r w:rsidRPr="00F953EE">
        <w:t xml:space="preserve">, July 9, 2017, </w:t>
      </w:r>
      <w:hyperlink r:id="rId25" w:history="1">
        <w:r w:rsidRPr="00F953EE">
          <w:rPr>
            <w:rStyle w:val="Hyperlink"/>
          </w:rPr>
          <w:t>https://ww</w:t>
        </w:r>
        <w:r w:rsidRPr="00F953EE">
          <w:rPr>
            <w:rStyle w:val="Hyperlink"/>
          </w:rPr>
          <w:t>w.theguardian.com/world/2017/jul/09/hamas-seeks-help-from-palestinian-foe-to-relieve-pressure-on-gaza</w:t>
        </w:r>
      </w:hyperlink>
      <w:r w:rsidRPr="00F953EE">
        <w:t xml:space="preserve">. </w:t>
      </w:r>
    </w:p>
  </w:footnote>
  <w:footnote w:id="41">
    <w:p w14:paraId="6F6E44A7" w14:textId="26448415" w:rsidR="00C950E7" w:rsidRPr="00F953EE" w:rsidRDefault="00C950E7">
      <w:pPr>
        <w:pStyle w:val="FootnoteText"/>
      </w:pPr>
      <w:r w:rsidRPr="00F953EE">
        <w:rPr>
          <w:rStyle w:val="FootnoteReference"/>
        </w:rPr>
        <w:footnoteRef/>
      </w:r>
      <w:r w:rsidRPr="00F953EE">
        <w:t xml:space="preserve"> Jack Khoury, “Gaza Electricity Worsens: Only Generating Plant and Power Lines from Egypt Shut Down,” </w:t>
      </w:r>
      <w:r w:rsidRPr="00F953EE">
        <w:rPr>
          <w:i/>
          <w:iCs/>
        </w:rPr>
        <w:t>Haaretz</w:t>
      </w:r>
      <w:r w:rsidRPr="00F953EE">
        <w:t xml:space="preserve">, July 13, 2017, </w:t>
      </w:r>
      <w:hyperlink r:id="rId26" w:history="1">
        <w:r w:rsidRPr="00F953EE">
          <w:rPr>
            <w:rStyle w:val="Hyperlink"/>
          </w:rPr>
          <w:t>http://www.haa</w:t>
        </w:r>
        <w:r w:rsidRPr="00F953EE">
          <w:rPr>
            <w:rStyle w:val="Hyperlink"/>
          </w:rPr>
          <w:t>retz.com/middle-east-news/palestinians/1.801075</w:t>
        </w:r>
      </w:hyperlink>
      <w:r w:rsidRPr="00F953EE">
        <w:t xml:space="preserve">. </w:t>
      </w:r>
    </w:p>
  </w:footnote>
  <w:footnote w:id="42">
    <w:p w14:paraId="213C6124" w14:textId="23BCBF26" w:rsidR="00C950E7" w:rsidRPr="00F953EE" w:rsidRDefault="00C950E7" w:rsidP="006F70A0">
      <w:pPr>
        <w:pStyle w:val="FootnoteText"/>
        <w:rPr>
          <w:rFonts w:cstheme="majorBidi"/>
        </w:rPr>
      </w:pPr>
      <w:r w:rsidRPr="00F953EE">
        <w:rPr>
          <w:rStyle w:val="FootnoteReference"/>
          <w:rFonts w:cstheme="majorBidi"/>
        </w:rPr>
        <w:footnoteRef/>
      </w:r>
      <w:r w:rsidRPr="00F953EE">
        <w:rPr>
          <w:rFonts w:cstheme="majorBidi"/>
        </w:rPr>
        <w:t xml:space="preserve"> Member of Gaza civil society, interview.</w:t>
      </w:r>
    </w:p>
  </w:footnote>
  <w:footnote w:id="43">
    <w:p w14:paraId="04BC950C" w14:textId="77777777" w:rsidR="00C950E7" w:rsidRPr="00F953EE" w:rsidRDefault="00C950E7" w:rsidP="007F2765">
      <w:pPr>
        <w:pStyle w:val="FootnoteText"/>
      </w:pPr>
      <w:r w:rsidRPr="00F953EE">
        <w:rPr>
          <w:rStyle w:val="FootnoteReference"/>
        </w:rPr>
        <w:footnoteRef/>
      </w:r>
      <w:r w:rsidRPr="00F953EE">
        <w:t xml:space="preserve"> Khaled Abu Amer, “Qatar’s Lifeline to Gaza,” </w:t>
      </w:r>
      <w:r w:rsidRPr="00F953EE">
        <w:rPr>
          <w:i/>
          <w:iCs/>
        </w:rPr>
        <w:t>Al-Monitor</w:t>
      </w:r>
      <w:r w:rsidRPr="00F953EE">
        <w:t xml:space="preserve">, April 3, 2017, </w:t>
      </w:r>
      <w:hyperlink r:id="rId27" w:history="1">
        <w:r w:rsidRPr="00F953EE">
          <w:rPr>
            <w:rStyle w:val="Hyperlink"/>
          </w:rPr>
          <w:t>http://www.al-monitor.com/pulse/originals/2017/03/palestine-qatar-reconstruction-committee-gaza-consensus.html</w:t>
        </w:r>
      </w:hyperlink>
      <w:r w:rsidRPr="00F953EE">
        <w:t xml:space="preserve">.  </w:t>
      </w:r>
    </w:p>
  </w:footnote>
  <w:footnote w:id="44">
    <w:p w14:paraId="33AB0F03" w14:textId="235752D5" w:rsidR="00C950E7" w:rsidRPr="00F953EE" w:rsidRDefault="00C950E7" w:rsidP="00F953EE">
      <w:pPr>
        <w:pStyle w:val="FootnoteText"/>
      </w:pPr>
      <w:r w:rsidRPr="00F953EE">
        <w:rPr>
          <w:rStyle w:val="FootnoteReference"/>
        </w:rPr>
        <w:footnoteRef/>
      </w:r>
      <w:r w:rsidRPr="00F953EE">
        <w:t xml:space="preserve"> “Qatar Envoy to Gaza Pledges Continued Support,” </w:t>
      </w:r>
      <w:r w:rsidRPr="00F953EE">
        <w:rPr>
          <w:i/>
          <w:iCs/>
        </w:rPr>
        <w:t>Al-Jazeera</w:t>
      </w:r>
      <w:r w:rsidRPr="00F953EE">
        <w:t xml:space="preserve">, July 10, 2017, </w:t>
      </w:r>
      <w:hyperlink r:id="rId28" w:history="1">
        <w:r w:rsidRPr="00F953EE">
          <w:rPr>
            <w:rStyle w:val="Hyperlink"/>
          </w:rPr>
          <w:t>http://www.aljazeera.com/news/2017/07/qatar-envoy-gaza-pledges-continued-support-170710070251325.html</w:t>
        </w:r>
      </w:hyperlink>
      <w:r w:rsidRPr="00F953EE">
        <w:t xml:space="preserve">. </w:t>
      </w:r>
    </w:p>
  </w:footnote>
  <w:footnote w:id="45">
    <w:p w14:paraId="5DC242D0" w14:textId="7DDA73A2" w:rsidR="00C950E7" w:rsidRPr="00F953EE" w:rsidRDefault="00C950E7" w:rsidP="006F70A0">
      <w:pPr>
        <w:pStyle w:val="FootnoteText"/>
        <w:rPr>
          <w:rFonts w:cstheme="majorBidi"/>
        </w:rPr>
      </w:pPr>
      <w:r w:rsidRPr="00F953EE">
        <w:rPr>
          <w:rStyle w:val="FootnoteReference"/>
          <w:rFonts w:cstheme="majorBidi"/>
        </w:rPr>
        <w:footnoteRef/>
      </w:r>
      <w:r w:rsidRPr="00F953EE">
        <w:rPr>
          <w:rFonts w:cstheme="majorBidi"/>
        </w:rPr>
        <w:t xml:space="preserve"> Member of Gaza civil society, interview.. </w:t>
      </w:r>
    </w:p>
  </w:footnote>
  <w:footnote w:id="46">
    <w:p w14:paraId="18A1B04E" w14:textId="07F9ED8E" w:rsidR="00C950E7" w:rsidRPr="003C2646" w:rsidRDefault="00C950E7" w:rsidP="00A761A3">
      <w:pPr>
        <w:pStyle w:val="FootnoteText"/>
        <w:rPr>
          <w:rFonts w:asciiTheme="majorBidi" w:hAnsiTheme="majorBidi" w:cstheme="majorBidi"/>
        </w:rPr>
      </w:pPr>
      <w:r w:rsidRPr="00F953EE">
        <w:rPr>
          <w:rStyle w:val="FootnoteReference"/>
          <w:rFonts w:cstheme="majorBidi"/>
        </w:rPr>
        <w:footnoteRef/>
      </w:r>
      <w:r w:rsidRPr="00F953EE">
        <w:rPr>
          <w:rFonts w:cstheme="majorBidi"/>
        </w:rPr>
        <w:t xml:space="preserve"> Shahla, interview.</w:t>
      </w:r>
    </w:p>
  </w:footnote>
  <w:footnote w:id="47">
    <w:p w14:paraId="14183E00" w14:textId="77777777" w:rsidR="00C950E7" w:rsidRPr="00F953EE" w:rsidRDefault="00C950E7" w:rsidP="001D1E85">
      <w:pPr>
        <w:pStyle w:val="FootnoteText"/>
        <w:rPr>
          <w:rFonts w:cstheme="majorBidi"/>
        </w:rPr>
      </w:pPr>
      <w:r w:rsidRPr="00F953EE">
        <w:rPr>
          <w:rStyle w:val="FootnoteReference"/>
          <w:rFonts w:cstheme="majorBidi"/>
        </w:rPr>
        <w:footnoteRef/>
      </w:r>
      <w:r w:rsidRPr="00F953EE">
        <w:rPr>
          <w:rFonts w:cstheme="majorBidi"/>
        </w:rPr>
        <w:t xml:space="preserve"> Orr Hirschauge, Ned Levin, and Ayla Albayrak, “Israel and Turkey to Restore Full Diplomatic Ties,” </w:t>
      </w:r>
      <w:r w:rsidRPr="00F953EE">
        <w:rPr>
          <w:rFonts w:cstheme="majorBidi"/>
          <w:i/>
          <w:iCs/>
        </w:rPr>
        <w:t>Wall Street Journal</w:t>
      </w:r>
      <w:r w:rsidRPr="00F953EE">
        <w:rPr>
          <w:rFonts w:cstheme="majorBidi"/>
        </w:rPr>
        <w:t xml:space="preserve">, June 26, 2016, </w:t>
      </w:r>
      <w:hyperlink r:id="rId29" w:history="1">
        <w:r w:rsidRPr="00F953EE">
          <w:rPr>
            <w:rStyle w:val="Hyperlink"/>
            <w:rFonts w:cstheme="majorBidi"/>
          </w:rPr>
          <w:t>http://www.wsj.com/articles/israel-and-turkey-to-restore-full-diplomatic-ties-1466965042</w:t>
        </w:r>
      </w:hyperlink>
      <w:r w:rsidRPr="00F953EE">
        <w:rPr>
          <w:rFonts w:cstheme="majorBidi"/>
        </w:rPr>
        <w:t>. </w:t>
      </w:r>
    </w:p>
  </w:footnote>
  <w:footnote w:id="48">
    <w:p w14:paraId="010F525B" w14:textId="77777777" w:rsidR="00C950E7" w:rsidRPr="00F953EE" w:rsidRDefault="00C950E7" w:rsidP="001D1E85">
      <w:pPr>
        <w:pStyle w:val="FootnoteText"/>
        <w:rPr>
          <w:rFonts w:cstheme="majorBidi"/>
        </w:rPr>
      </w:pPr>
      <w:r w:rsidRPr="00F953EE">
        <w:rPr>
          <w:rStyle w:val="FootnoteReference"/>
          <w:rFonts w:cstheme="majorBidi"/>
        </w:rPr>
        <w:footnoteRef/>
      </w:r>
      <w:r w:rsidRPr="00F953EE">
        <w:rPr>
          <w:rFonts w:cstheme="majorBidi"/>
        </w:rPr>
        <w:t xml:space="preserve"> Barak Ravid, “Israel and Turkey Officially Announce Rapprochement Deal, Ending Diplomatic Crisis,” </w:t>
      </w:r>
      <w:r w:rsidRPr="00F953EE">
        <w:rPr>
          <w:rFonts w:cstheme="majorBidi"/>
          <w:i/>
          <w:iCs/>
        </w:rPr>
        <w:t>Haaretz</w:t>
      </w:r>
      <w:r w:rsidRPr="00F953EE">
        <w:rPr>
          <w:rFonts w:cstheme="majorBidi"/>
        </w:rPr>
        <w:t xml:space="preserve">, June 27, 2016, </w:t>
      </w:r>
      <w:hyperlink r:id="rId30" w:history="1">
        <w:r w:rsidRPr="00F953EE">
          <w:rPr>
            <w:rStyle w:val="Hyperlink"/>
            <w:rFonts w:cstheme="majorBidi"/>
          </w:rPr>
          <w:t>http://www.haaretz.com/israel-news/1.727369</w:t>
        </w:r>
      </w:hyperlink>
      <w:r w:rsidRPr="00F953EE">
        <w:rPr>
          <w:rFonts w:cstheme="majorBidi"/>
        </w:rPr>
        <w:t xml:space="preserve"> .</w:t>
      </w:r>
    </w:p>
  </w:footnote>
  <w:footnote w:id="49">
    <w:p w14:paraId="2BA0BA80" w14:textId="77777777" w:rsidR="00C950E7" w:rsidRPr="00F953EE" w:rsidRDefault="00C950E7" w:rsidP="001D1E85">
      <w:pPr>
        <w:pStyle w:val="FootnoteText"/>
      </w:pPr>
      <w:r w:rsidRPr="00F953EE">
        <w:rPr>
          <w:rStyle w:val="FootnoteReference"/>
        </w:rPr>
        <w:footnoteRef/>
      </w:r>
      <w:r w:rsidRPr="00F953EE">
        <w:t xml:space="preserve"> “Materials for Building Turkish Hospital, Reached Ashdod, will Arrive Soon in Gaza, Haniyeh says,” </w:t>
      </w:r>
      <w:r w:rsidRPr="00F953EE">
        <w:rPr>
          <w:i/>
          <w:iCs/>
        </w:rPr>
        <w:t>Daily Sabah</w:t>
      </w:r>
      <w:r w:rsidRPr="00F953EE">
        <w:t xml:space="preserve">, July 5, 2017, </w:t>
      </w:r>
      <w:hyperlink r:id="rId31" w:history="1">
        <w:r w:rsidRPr="00F953EE">
          <w:rPr>
            <w:rStyle w:val="Hyperlink"/>
          </w:rPr>
          <w:t>https://www.dailysabah.com/mideast/2017/07/05/materials-for-building-turkish-hospital-reached-ashdod-will-soon-arrive-in-gaza-haniyeh-says</w:t>
        </w:r>
      </w:hyperlink>
      <w:r w:rsidRPr="00F953EE">
        <w:t xml:space="preserve">. </w:t>
      </w:r>
    </w:p>
  </w:footnote>
  <w:footnote w:id="50">
    <w:p w14:paraId="54991D76" w14:textId="77777777" w:rsidR="00C950E7" w:rsidRPr="00F953EE" w:rsidRDefault="00C950E7" w:rsidP="00881896">
      <w:pPr>
        <w:pStyle w:val="FootnoteText"/>
      </w:pPr>
      <w:r w:rsidRPr="00F953EE">
        <w:rPr>
          <w:rStyle w:val="FootnoteReference"/>
        </w:rPr>
        <w:footnoteRef/>
      </w:r>
      <w:r w:rsidRPr="00F953EE">
        <w:t xml:space="preserve"> United Nations Country Team in the Occupied Palestinian Territory, “Gaza in 2020: A Livable Place?” August 2012,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615684"/>
      <w:docPartObj>
        <w:docPartGallery w:val="Page Numbers (Top of Page)"/>
        <w:docPartUnique/>
      </w:docPartObj>
    </w:sdtPr>
    <w:sdtEndPr>
      <w:rPr>
        <w:noProof/>
      </w:rPr>
    </w:sdtEndPr>
    <w:sdtContent>
      <w:p w14:paraId="077C7DDC" w14:textId="06D9EABC" w:rsidR="00C950E7" w:rsidRDefault="00C950E7">
        <w:pPr>
          <w:pStyle w:val="Header"/>
          <w:jc w:val="right"/>
        </w:pPr>
        <w:r>
          <w:fldChar w:fldCharType="begin"/>
        </w:r>
        <w:r>
          <w:instrText xml:space="preserve"> PAGE   \* MERGEFORMAT </w:instrText>
        </w:r>
        <w:r>
          <w:fldChar w:fldCharType="separate"/>
        </w:r>
        <w:r w:rsidR="00095B96">
          <w:rPr>
            <w:noProof/>
          </w:rPr>
          <w:t>2</w:t>
        </w:r>
        <w:r>
          <w:rPr>
            <w:noProof/>
          </w:rPr>
          <w:fldChar w:fldCharType="end"/>
        </w:r>
      </w:p>
    </w:sdtContent>
  </w:sdt>
  <w:p w14:paraId="4DF51AC4" w14:textId="77777777" w:rsidR="00C950E7" w:rsidRDefault="00C95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97190"/>
    <w:multiLevelType w:val="hybridMultilevel"/>
    <w:tmpl w:val="61C4F9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CB380C"/>
    <w:multiLevelType w:val="hybridMultilevel"/>
    <w:tmpl w:val="618EE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F8163E"/>
    <w:multiLevelType w:val="hybridMultilevel"/>
    <w:tmpl w:val="A1104D5C"/>
    <w:lvl w:ilvl="0" w:tplc="F918B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A3"/>
    <w:rsid w:val="00005598"/>
    <w:rsid w:val="00005DDD"/>
    <w:rsid w:val="00006F28"/>
    <w:rsid w:val="00007474"/>
    <w:rsid w:val="00015AD8"/>
    <w:rsid w:val="00016117"/>
    <w:rsid w:val="00017ABB"/>
    <w:rsid w:val="00024274"/>
    <w:rsid w:val="00024BB5"/>
    <w:rsid w:val="00026119"/>
    <w:rsid w:val="00031604"/>
    <w:rsid w:val="00032BAC"/>
    <w:rsid w:val="00042B6A"/>
    <w:rsid w:val="0005365D"/>
    <w:rsid w:val="00054D1F"/>
    <w:rsid w:val="00066B51"/>
    <w:rsid w:val="000724D8"/>
    <w:rsid w:val="000819B6"/>
    <w:rsid w:val="000826B4"/>
    <w:rsid w:val="00095B96"/>
    <w:rsid w:val="000A33DD"/>
    <w:rsid w:val="000A37AC"/>
    <w:rsid w:val="000A53AE"/>
    <w:rsid w:val="000A71C7"/>
    <w:rsid w:val="000B3D22"/>
    <w:rsid w:val="000B6CC6"/>
    <w:rsid w:val="000C129E"/>
    <w:rsid w:val="000C2204"/>
    <w:rsid w:val="000C729E"/>
    <w:rsid w:val="000E036E"/>
    <w:rsid w:val="000E68A1"/>
    <w:rsid w:val="000F40BC"/>
    <w:rsid w:val="001070F9"/>
    <w:rsid w:val="00113AB5"/>
    <w:rsid w:val="00113EAE"/>
    <w:rsid w:val="00116852"/>
    <w:rsid w:val="00131596"/>
    <w:rsid w:val="00147F50"/>
    <w:rsid w:val="00150946"/>
    <w:rsid w:val="00153141"/>
    <w:rsid w:val="00153B9F"/>
    <w:rsid w:val="00171E44"/>
    <w:rsid w:val="00174943"/>
    <w:rsid w:val="001825A3"/>
    <w:rsid w:val="00186A10"/>
    <w:rsid w:val="00196287"/>
    <w:rsid w:val="001B40EB"/>
    <w:rsid w:val="001B4D50"/>
    <w:rsid w:val="001C3339"/>
    <w:rsid w:val="001C496C"/>
    <w:rsid w:val="001D1E85"/>
    <w:rsid w:val="001D23BF"/>
    <w:rsid w:val="001D46B2"/>
    <w:rsid w:val="001D52C6"/>
    <w:rsid w:val="001E3C4A"/>
    <w:rsid w:val="001E4390"/>
    <w:rsid w:val="001F2F8D"/>
    <w:rsid w:val="001F72B9"/>
    <w:rsid w:val="001F73D1"/>
    <w:rsid w:val="00204AFE"/>
    <w:rsid w:val="00206E10"/>
    <w:rsid w:val="00206F46"/>
    <w:rsid w:val="002076E0"/>
    <w:rsid w:val="00211F1C"/>
    <w:rsid w:val="00214568"/>
    <w:rsid w:val="0022076A"/>
    <w:rsid w:val="00225887"/>
    <w:rsid w:val="00231642"/>
    <w:rsid w:val="00234069"/>
    <w:rsid w:val="00234D3E"/>
    <w:rsid w:val="00235128"/>
    <w:rsid w:val="00235DD7"/>
    <w:rsid w:val="00240703"/>
    <w:rsid w:val="00253915"/>
    <w:rsid w:val="00253D75"/>
    <w:rsid w:val="00267681"/>
    <w:rsid w:val="00271F0C"/>
    <w:rsid w:val="00281013"/>
    <w:rsid w:val="002855CC"/>
    <w:rsid w:val="00295387"/>
    <w:rsid w:val="002A5FD3"/>
    <w:rsid w:val="002B30E7"/>
    <w:rsid w:val="002F355A"/>
    <w:rsid w:val="0030091A"/>
    <w:rsid w:val="00304315"/>
    <w:rsid w:val="00346629"/>
    <w:rsid w:val="00351D44"/>
    <w:rsid w:val="0035467F"/>
    <w:rsid w:val="00364172"/>
    <w:rsid w:val="003660BD"/>
    <w:rsid w:val="003734DF"/>
    <w:rsid w:val="00393FD9"/>
    <w:rsid w:val="003B08EE"/>
    <w:rsid w:val="003B7C3D"/>
    <w:rsid w:val="003D71E2"/>
    <w:rsid w:val="003F059D"/>
    <w:rsid w:val="003F2AE7"/>
    <w:rsid w:val="00402955"/>
    <w:rsid w:val="00414674"/>
    <w:rsid w:val="004270B1"/>
    <w:rsid w:val="0043608A"/>
    <w:rsid w:val="004360C0"/>
    <w:rsid w:val="00441BA7"/>
    <w:rsid w:val="00444067"/>
    <w:rsid w:val="004468DF"/>
    <w:rsid w:val="00465100"/>
    <w:rsid w:val="00476399"/>
    <w:rsid w:val="00486C45"/>
    <w:rsid w:val="004A4FF2"/>
    <w:rsid w:val="004B3D84"/>
    <w:rsid w:val="004B434B"/>
    <w:rsid w:val="004B6632"/>
    <w:rsid w:val="004B744E"/>
    <w:rsid w:val="004C56D8"/>
    <w:rsid w:val="004C7357"/>
    <w:rsid w:val="004D30D8"/>
    <w:rsid w:val="004D3569"/>
    <w:rsid w:val="004D56CE"/>
    <w:rsid w:val="004E5C5F"/>
    <w:rsid w:val="004F22E6"/>
    <w:rsid w:val="00510174"/>
    <w:rsid w:val="0051595F"/>
    <w:rsid w:val="00521216"/>
    <w:rsid w:val="005341AB"/>
    <w:rsid w:val="0053666F"/>
    <w:rsid w:val="0054323C"/>
    <w:rsid w:val="0054460C"/>
    <w:rsid w:val="00544D1B"/>
    <w:rsid w:val="005625E3"/>
    <w:rsid w:val="00562BB6"/>
    <w:rsid w:val="00563772"/>
    <w:rsid w:val="0056478C"/>
    <w:rsid w:val="0056561F"/>
    <w:rsid w:val="00565A5D"/>
    <w:rsid w:val="00567A5B"/>
    <w:rsid w:val="00573B9D"/>
    <w:rsid w:val="00574BF9"/>
    <w:rsid w:val="00582629"/>
    <w:rsid w:val="00583CA7"/>
    <w:rsid w:val="0058653D"/>
    <w:rsid w:val="00592F1D"/>
    <w:rsid w:val="005956CE"/>
    <w:rsid w:val="00596206"/>
    <w:rsid w:val="00596326"/>
    <w:rsid w:val="005A1E61"/>
    <w:rsid w:val="005A1EA5"/>
    <w:rsid w:val="005A221C"/>
    <w:rsid w:val="005B3A33"/>
    <w:rsid w:val="005C0507"/>
    <w:rsid w:val="005C40C4"/>
    <w:rsid w:val="005D28BF"/>
    <w:rsid w:val="005D6B9D"/>
    <w:rsid w:val="005E3345"/>
    <w:rsid w:val="005F7118"/>
    <w:rsid w:val="00600D8E"/>
    <w:rsid w:val="00601C92"/>
    <w:rsid w:val="00606410"/>
    <w:rsid w:val="006163BF"/>
    <w:rsid w:val="00616D4E"/>
    <w:rsid w:val="00620586"/>
    <w:rsid w:val="00623A51"/>
    <w:rsid w:val="00627807"/>
    <w:rsid w:val="00632531"/>
    <w:rsid w:val="00636088"/>
    <w:rsid w:val="00637D23"/>
    <w:rsid w:val="00644D59"/>
    <w:rsid w:val="00655B83"/>
    <w:rsid w:val="00656CD5"/>
    <w:rsid w:val="006614AF"/>
    <w:rsid w:val="00663292"/>
    <w:rsid w:val="00672356"/>
    <w:rsid w:val="0068422A"/>
    <w:rsid w:val="00687C61"/>
    <w:rsid w:val="00693982"/>
    <w:rsid w:val="006B07FF"/>
    <w:rsid w:val="006B1691"/>
    <w:rsid w:val="006C0328"/>
    <w:rsid w:val="006D5B15"/>
    <w:rsid w:val="006D7D71"/>
    <w:rsid w:val="006E0FC4"/>
    <w:rsid w:val="006F317A"/>
    <w:rsid w:val="006F5550"/>
    <w:rsid w:val="006F70A0"/>
    <w:rsid w:val="00705DC9"/>
    <w:rsid w:val="007126A3"/>
    <w:rsid w:val="0072339F"/>
    <w:rsid w:val="007320F4"/>
    <w:rsid w:val="00745A7A"/>
    <w:rsid w:val="0075100C"/>
    <w:rsid w:val="00755469"/>
    <w:rsid w:val="00760100"/>
    <w:rsid w:val="0076255F"/>
    <w:rsid w:val="00772E22"/>
    <w:rsid w:val="00774C82"/>
    <w:rsid w:val="00776A74"/>
    <w:rsid w:val="00783B2E"/>
    <w:rsid w:val="0078407F"/>
    <w:rsid w:val="0078416E"/>
    <w:rsid w:val="00786C49"/>
    <w:rsid w:val="00786D5B"/>
    <w:rsid w:val="00790546"/>
    <w:rsid w:val="007D0595"/>
    <w:rsid w:val="007D7213"/>
    <w:rsid w:val="007F1585"/>
    <w:rsid w:val="007F2765"/>
    <w:rsid w:val="008020C1"/>
    <w:rsid w:val="008052B5"/>
    <w:rsid w:val="0081279D"/>
    <w:rsid w:val="00817F45"/>
    <w:rsid w:val="00822770"/>
    <w:rsid w:val="00824D52"/>
    <w:rsid w:val="008367D2"/>
    <w:rsid w:val="0083687E"/>
    <w:rsid w:val="008432CF"/>
    <w:rsid w:val="00843669"/>
    <w:rsid w:val="00844302"/>
    <w:rsid w:val="008510C6"/>
    <w:rsid w:val="0086249B"/>
    <w:rsid w:val="00864236"/>
    <w:rsid w:val="00866B0E"/>
    <w:rsid w:val="00875656"/>
    <w:rsid w:val="00881896"/>
    <w:rsid w:val="00884F5F"/>
    <w:rsid w:val="0089075D"/>
    <w:rsid w:val="008A0A40"/>
    <w:rsid w:val="008A3334"/>
    <w:rsid w:val="008A52B3"/>
    <w:rsid w:val="008A5BB9"/>
    <w:rsid w:val="008A69F4"/>
    <w:rsid w:val="008B2712"/>
    <w:rsid w:val="008B6213"/>
    <w:rsid w:val="008C0B56"/>
    <w:rsid w:val="008E1C82"/>
    <w:rsid w:val="008F1C76"/>
    <w:rsid w:val="008F69CE"/>
    <w:rsid w:val="008F7300"/>
    <w:rsid w:val="009005A9"/>
    <w:rsid w:val="00923C66"/>
    <w:rsid w:val="009323CF"/>
    <w:rsid w:val="009440F5"/>
    <w:rsid w:val="00945284"/>
    <w:rsid w:val="00952FA0"/>
    <w:rsid w:val="0096755D"/>
    <w:rsid w:val="00987BA0"/>
    <w:rsid w:val="00994C25"/>
    <w:rsid w:val="009A4DC8"/>
    <w:rsid w:val="009C20AB"/>
    <w:rsid w:val="009C4E6D"/>
    <w:rsid w:val="009E3643"/>
    <w:rsid w:val="009E5D42"/>
    <w:rsid w:val="009F66EB"/>
    <w:rsid w:val="00A0535B"/>
    <w:rsid w:val="00A17426"/>
    <w:rsid w:val="00A42F09"/>
    <w:rsid w:val="00A53CFF"/>
    <w:rsid w:val="00A56AFB"/>
    <w:rsid w:val="00A7559F"/>
    <w:rsid w:val="00A761A3"/>
    <w:rsid w:val="00A769C2"/>
    <w:rsid w:val="00A80D20"/>
    <w:rsid w:val="00A9530A"/>
    <w:rsid w:val="00A96D2E"/>
    <w:rsid w:val="00AA69C1"/>
    <w:rsid w:val="00AB0065"/>
    <w:rsid w:val="00AB28DA"/>
    <w:rsid w:val="00AB2DFC"/>
    <w:rsid w:val="00AB769D"/>
    <w:rsid w:val="00AC10E0"/>
    <w:rsid w:val="00AD2880"/>
    <w:rsid w:val="00AE106E"/>
    <w:rsid w:val="00AE11F0"/>
    <w:rsid w:val="00AE1242"/>
    <w:rsid w:val="00AE1C69"/>
    <w:rsid w:val="00AF60C8"/>
    <w:rsid w:val="00B0469B"/>
    <w:rsid w:val="00B071E6"/>
    <w:rsid w:val="00B113C8"/>
    <w:rsid w:val="00BA1DAA"/>
    <w:rsid w:val="00BB34DE"/>
    <w:rsid w:val="00BC70C8"/>
    <w:rsid w:val="00BE0010"/>
    <w:rsid w:val="00BF003F"/>
    <w:rsid w:val="00C0449A"/>
    <w:rsid w:val="00C27A39"/>
    <w:rsid w:val="00C43533"/>
    <w:rsid w:val="00C44DB6"/>
    <w:rsid w:val="00C47F6D"/>
    <w:rsid w:val="00C70598"/>
    <w:rsid w:val="00C70DE5"/>
    <w:rsid w:val="00C76537"/>
    <w:rsid w:val="00C81B8E"/>
    <w:rsid w:val="00C85790"/>
    <w:rsid w:val="00C86F00"/>
    <w:rsid w:val="00C950E7"/>
    <w:rsid w:val="00CA6D67"/>
    <w:rsid w:val="00CB1E11"/>
    <w:rsid w:val="00CC27DF"/>
    <w:rsid w:val="00CD5850"/>
    <w:rsid w:val="00CE00FD"/>
    <w:rsid w:val="00CE135F"/>
    <w:rsid w:val="00CF48F3"/>
    <w:rsid w:val="00CF6362"/>
    <w:rsid w:val="00D01A5D"/>
    <w:rsid w:val="00D171A0"/>
    <w:rsid w:val="00D21303"/>
    <w:rsid w:val="00D26C66"/>
    <w:rsid w:val="00D34421"/>
    <w:rsid w:val="00D371D1"/>
    <w:rsid w:val="00D44C49"/>
    <w:rsid w:val="00D47879"/>
    <w:rsid w:val="00D56CBB"/>
    <w:rsid w:val="00D57477"/>
    <w:rsid w:val="00D95877"/>
    <w:rsid w:val="00DB5608"/>
    <w:rsid w:val="00DB70DC"/>
    <w:rsid w:val="00DD28E1"/>
    <w:rsid w:val="00DE0C58"/>
    <w:rsid w:val="00DF08DA"/>
    <w:rsid w:val="00DF187D"/>
    <w:rsid w:val="00DF1B6B"/>
    <w:rsid w:val="00E11F74"/>
    <w:rsid w:val="00E1776F"/>
    <w:rsid w:val="00E1797C"/>
    <w:rsid w:val="00E26516"/>
    <w:rsid w:val="00E274A2"/>
    <w:rsid w:val="00E30520"/>
    <w:rsid w:val="00E30586"/>
    <w:rsid w:val="00E36B7A"/>
    <w:rsid w:val="00E44613"/>
    <w:rsid w:val="00E45072"/>
    <w:rsid w:val="00E62AC3"/>
    <w:rsid w:val="00E97B2E"/>
    <w:rsid w:val="00EA2145"/>
    <w:rsid w:val="00EB4D79"/>
    <w:rsid w:val="00EC662C"/>
    <w:rsid w:val="00ED1355"/>
    <w:rsid w:val="00ED153C"/>
    <w:rsid w:val="00ED6306"/>
    <w:rsid w:val="00EE28A8"/>
    <w:rsid w:val="00EE76AC"/>
    <w:rsid w:val="00EF610C"/>
    <w:rsid w:val="00F12C01"/>
    <w:rsid w:val="00F20EC5"/>
    <w:rsid w:val="00F32047"/>
    <w:rsid w:val="00F3779D"/>
    <w:rsid w:val="00F43B3C"/>
    <w:rsid w:val="00F46FC1"/>
    <w:rsid w:val="00F52C47"/>
    <w:rsid w:val="00F53A76"/>
    <w:rsid w:val="00F60D24"/>
    <w:rsid w:val="00F6243F"/>
    <w:rsid w:val="00F72F84"/>
    <w:rsid w:val="00F73D1A"/>
    <w:rsid w:val="00F85B1C"/>
    <w:rsid w:val="00F953EE"/>
    <w:rsid w:val="00F9719A"/>
    <w:rsid w:val="00FA3990"/>
    <w:rsid w:val="00FA6668"/>
    <w:rsid w:val="00FA7B79"/>
    <w:rsid w:val="00FC10CD"/>
    <w:rsid w:val="00FC3880"/>
    <w:rsid w:val="00FD4196"/>
    <w:rsid w:val="00FD6650"/>
    <w:rsid w:val="00FE5C6A"/>
    <w:rsid w:val="00FF1802"/>
    <w:rsid w:val="00FF48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D5D71"/>
  <w15:chartTrackingRefBased/>
  <w15:docId w15:val="{E9322428-ADAB-4C38-945B-84E308FC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761A3"/>
    <w:pPr>
      <w:spacing w:line="240" w:lineRule="auto"/>
    </w:pPr>
    <w:rPr>
      <w:sz w:val="20"/>
      <w:szCs w:val="20"/>
    </w:rPr>
  </w:style>
  <w:style w:type="character" w:customStyle="1" w:styleId="CommentTextChar">
    <w:name w:val="Comment Text Char"/>
    <w:basedOn w:val="DefaultParagraphFont"/>
    <w:link w:val="CommentText"/>
    <w:uiPriority w:val="99"/>
    <w:semiHidden/>
    <w:rsid w:val="00A761A3"/>
    <w:rPr>
      <w:sz w:val="20"/>
      <w:szCs w:val="20"/>
    </w:rPr>
  </w:style>
  <w:style w:type="character" w:styleId="Hyperlink">
    <w:name w:val="Hyperlink"/>
    <w:basedOn w:val="DefaultParagraphFont"/>
    <w:uiPriority w:val="99"/>
    <w:unhideWhenUsed/>
    <w:rsid w:val="00A761A3"/>
    <w:rPr>
      <w:color w:val="0563C1" w:themeColor="hyperlink"/>
      <w:u w:val="single"/>
    </w:rPr>
  </w:style>
  <w:style w:type="paragraph" w:styleId="Header">
    <w:name w:val="header"/>
    <w:basedOn w:val="Normal"/>
    <w:link w:val="HeaderChar"/>
    <w:uiPriority w:val="99"/>
    <w:unhideWhenUsed/>
    <w:rsid w:val="00A76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1A3"/>
  </w:style>
  <w:style w:type="paragraph" w:styleId="FootnoteText">
    <w:name w:val="footnote text"/>
    <w:basedOn w:val="Normal"/>
    <w:link w:val="FootnoteTextChar"/>
    <w:uiPriority w:val="99"/>
    <w:unhideWhenUsed/>
    <w:rsid w:val="00A761A3"/>
    <w:pPr>
      <w:spacing w:after="0" w:line="240" w:lineRule="auto"/>
    </w:pPr>
    <w:rPr>
      <w:sz w:val="20"/>
      <w:szCs w:val="20"/>
    </w:rPr>
  </w:style>
  <w:style w:type="character" w:customStyle="1" w:styleId="FootnoteTextChar">
    <w:name w:val="Footnote Text Char"/>
    <w:basedOn w:val="DefaultParagraphFont"/>
    <w:link w:val="FootnoteText"/>
    <w:uiPriority w:val="99"/>
    <w:rsid w:val="00A761A3"/>
    <w:rPr>
      <w:sz w:val="20"/>
      <w:szCs w:val="20"/>
    </w:rPr>
  </w:style>
  <w:style w:type="character" w:styleId="FootnoteReference">
    <w:name w:val="footnote reference"/>
    <w:basedOn w:val="DefaultParagraphFont"/>
    <w:uiPriority w:val="99"/>
    <w:semiHidden/>
    <w:unhideWhenUsed/>
    <w:rsid w:val="00A761A3"/>
    <w:rPr>
      <w:vertAlign w:val="superscript"/>
    </w:rPr>
  </w:style>
  <w:style w:type="character" w:styleId="CommentReference">
    <w:name w:val="annotation reference"/>
    <w:basedOn w:val="DefaultParagraphFont"/>
    <w:uiPriority w:val="99"/>
    <w:semiHidden/>
    <w:unhideWhenUsed/>
    <w:rsid w:val="00A761A3"/>
    <w:rPr>
      <w:sz w:val="18"/>
      <w:szCs w:val="18"/>
    </w:rPr>
  </w:style>
  <w:style w:type="paragraph" w:styleId="BalloonText">
    <w:name w:val="Balloon Text"/>
    <w:basedOn w:val="Normal"/>
    <w:link w:val="BalloonTextChar"/>
    <w:uiPriority w:val="99"/>
    <w:semiHidden/>
    <w:unhideWhenUsed/>
    <w:rsid w:val="00A761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1A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36088"/>
    <w:rPr>
      <w:b/>
      <w:bCs/>
    </w:rPr>
  </w:style>
  <w:style w:type="character" w:customStyle="1" w:styleId="CommentSubjectChar">
    <w:name w:val="Comment Subject Char"/>
    <w:basedOn w:val="CommentTextChar"/>
    <w:link w:val="CommentSubject"/>
    <w:uiPriority w:val="99"/>
    <w:semiHidden/>
    <w:rsid w:val="00636088"/>
    <w:rPr>
      <w:b/>
      <w:bCs/>
      <w:sz w:val="20"/>
      <w:szCs w:val="20"/>
    </w:rPr>
  </w:style>
  <w:style w:type="character" w:styleId="FollowedHyperlink">
    <w:name w:val="FollowedHyperlink"/>
    <w:basedOn w:val="DefaultParagraphFont"/>
    <w:uiPriority w:val="99"/>
    <w:semiHidden/>
    <w:unhideWhenUsed/>
    <w:rsid w:val="002B30E7"/>
    <w:rPr>
      <w:color w:val="954F72" w:themeColor="followedHyperlink"/>
      <w:u w:val="single"/>
    </w:rPr>
  </w:style>
  <w:style w:type="paragraph" w:styleId="Footer">
    <w:name w:val="footer"/>
    <w:basedOn w:val="Normal"/>
    <w:link w:val="FooterChar"/>
    <w:uiPriority w:val="99"/>
    <w:unhideWhenUsed/>
    <w:rsid w:val="00562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BB6"/>
  </w:style>
  <w:style w:type="paragraph" w:styleId="BodyText">
    <w:name w:val="Body Text"/>
    <w:basedOn w:val="Normal"/>
    <w:link w:val="BodyTextChar"/>
    <w:uiPriority w:val="1"/>
    <w:qFormat/>
    <w:rsid w:val="001B4D50"/>
    <w:pPr>
      <w:autoSpaceDE w:val="0"/>
      <w:autoSpaceDN w:val="0"/>
      <w:adjustRightInd w:val="0"/>
      <w:spacing w:before="33" w:after="0" w:line="240" w:lineRule="auto"/>
      <w:ind w:left="100"/>
    </w:pPr>
    <w:rPr>
      <w:rFonts w:ascii="Calibri Light" w:hAnsi="Calibri Light" w:cs="Calibri Light"/>
      <w:sz w:val="19"/>
      <w:szCs w:val="19"/>
    </w:rPr>
  </w:style>
  <w:style w:type="character" w:customStyle="1" w:styleId="BodyTextChar">
    <w:name w:val="Body Text Char"/>
    <w:basedOn w:val="DefaultParagraphFont"/>
    <w:link w:val="BodyText"/>
    <w:uiPriority w:val="1"/>
    <w:rsid w:val="001B4D50"/>
    <w:rPr>
      <w:rFonts w:ascii="Calibri Light" w:hAnsi="Calibri Light" w:cs="Calibri Light"/>
      <w:sz w:val="19"/>
      <w:szCs w:val="19"/>
    </w:rPr>
  </w:style>
  <w:style w:type="paragraph" w:customStyle="1" w:styleId="TableParagraph">
    <w:name w:val="Table Paragraph"/>
    <w:basedOn w:val="Normal"/>
    <w:uiPriority w:val="1"/>
    <w:qFormat/>
    <w:rsid w:val="001B4D50"/>
    <w:pPr>
      <w:autoSpaceDE w:val="0"/>
      <w:autoSpaceDN w:val="0"/>
      <w:adjustRightInd w:val="0"/>
      <w:spacing w:after="0" w:line="240" w:lineRule="auto"/>
    </w:pPr>
    <w:rPr>
      <w:rFonts w:ascii="Times New Roman" w:hAnsi="Times New Roman" w:cs="Times New Roman"/>
      <w:sz w:val="24"/>
      <w:szCs w:val="24"/>
    </w:rPr>
  </w:style>
  <w:style w:type="character" w:customStyle="1" w:styleId="Mention1">
    <w:name w:val="Mention1"/>
    <w:basedOn w:val="DefaultParagraphFont"/>
    <w:uiPriority w:val="99"/>
    <w:semiHidden/>
    <w:unhideWhenUsed/>
    <w:rsid w:val="009E3643"/>
    <w:rPr>
      <w:color w:val="2B579A"/>
      <w:shd w:val="clear" w:color="auto" w:fill="E6E6E6"/>
    </w:rPr>
  </w:style>
  <w:style w:type="paragraph" w:styleId="ListParagraph">
    <w:name w:val="List Paragraph"/>
    <w:basedOn w:val="Normal"/>
    <w:uiPriority w:val="34"/>
    <w:qFormat/>
    <w:rsid w:val="002F355A"/>
    <w:pPr>
      <w:ind w:left="720"/>
      <w:contextualSpacing/>
    </w:pPr>
  </w:style>
  <w:style w:type="table" w:styleId="TableGrid">
    <w:name w:val="Table Grid"/>
    <w:basedOn w:val="TableNormal"/>
    <w:uiPriority w:val="39"/>
    <w:rsid w:val="001F7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23A51"/>
    <w:pPr>
      <w:spacing w:after="200" w:line="240" w:lineRule="auto"/>
    </w:pPr>
    <w:rPr>
      <w:i/>
      <w:iCs/>
      <w:color w:val="44546A" w:themeColor="text2"/>
      <w:sz w:val="18"/>
      <w:szCs w:val="18"/>
    </w:rPr>
  </w:style>
  <w:style w:type="character" w:styleId="Mention">
    <w:name w:val="Mention"/>
    <w:basedOn w:val="DefaultParagraphFont"/>
    <w:uiPriority w:val="99"/>
    <w:semiHidden/>
    <w:unhideWhenUsed/>
    <w:rsid w:val="000A71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www.aidwatch.ps/sites/default/files/resource-field_media/gaza_reconstruction_mechanism_full-text.pdf" TargetMode="External"/><Relationship Id="rId13" Type="http://schemas.openxmlformats.org/officeDocument/2006/relationships/hyperlink" Target="http://shelterpalestine.org/Upload/Doc/b9b914b2-d2a7-4885-a7b2-df42cef23b91.pdf" TargetMode="External"/><Relationship Id="rId18" Type="http://schemas.openxmlformats.org/officeDocument/2006/relationships/hyperlink" Target="http://www.reuters.com/article/us-israel-palestinians-cement-idUSKCN0YE11R" TargetMode="External"/><Relationship Id="rId26" Type="http://schemas.openxmlformats.org/officeDocument/2006/relationships/hyperlink" Target="http://www.haaretz.com/middle-east-news/palestinians/1.801075" TargetMode="External"/><Relationship Id="rId3" Type="http://schemas.openxmlformats.org/officeDocument/2006/relationships/hyperlink" Target="http://www.al-monitor.com/pulse/originals/2015/11/egypt-pa-deal-rafah-crossing-open-hamas-opposition.html" TargetMode="External"/><Relationship Id="rId21" Type="http://schemas.openxmlformats.org/officeDocument/2006/relationships/hyperlink" Target="http://gisha.org/en-blog/2015/11/02/marketing-of-furniture-from-gaza-in-israel-permitted-wood-to-the-make-the-furniture-is-not/" TargetMode="External"/><Relationship Id="rId7" Type="http://schemas.openxmlformats.org/officeDocument/2006/relationships/hyperlink" Target="http://www.un.org/apps/news/story.asp?NewsID=48730" TargetMode="External"/><Relationship Id="rId12" Type="http://schemas.openxmlformats.org/officeDocument/2006/relationships/hyperlink" Target="http://www.shelterpalestine.org/Upload/Doc/b6072f7d-f789-4a14-8f37-cb3f70d46614.pdf" TargetMode="External"/><Relationship Id="rId17" Type="http://schemas.openxmlformats.org/officeDocument/2006/relationships/hyperlink" Target="http://www.timesofisrael.com/new-scanner-at-gaza-crossing-to-speed-rebuilding-efforts/" TargetMode="External"/><Relationship Id="rId25" Type="http://schemas.openxmlformats.org/officeDocument/2006/relationships/hyperlink" Target="https://www.theguardian.com/world/2017/jul/09/hamas-seeks-help-from-palestinian-foe-to-relieve-pressure-on-gaza" TargetMode="External"/><Relationship Id="rId2" Type="http://schemas.openxmlformats.org/officeDocument/2006/relationships/hyperlink" Target="https://www.ochaopt.org/content/gaza-crossings-operations-status-monthly-update-april-2017" TargetMode="External"/><Relationship Id="rId16" Type="http://schemas.openxmlformats.org/officeDocument/2006/relationships/hyperlink" Target="https://www.middleeastmonitor.com/20141126-hamas-we-have-alternatives-should-reconstruction-fail" TargetMode="External"/><Relationship Id="rId20" Type="http://schemas.openxmlformats.org/officeDocument/2006/relationships/hyperlink" Target="http://shelterpalestine.org/Upload/Doc/16e94567-472e-4675-8c50-e69b32f055da.pdf" TargetMode="External"/><Relationship Id="rId29" Type="http://schemas.openxmlformats.org/officeDocument/2006/relationships/hyperlink" Target="http://www.wsj.com/articles/israel-and-turkey-to-restore-full-diplomatic-ties-1466965042" TargetMode="External"/><Relationship Id="rId1" Type="http://schemas.openxmlformats.org/officeDocument/2006/relationships/hyperlink" Target="https://www.ochaopt.org/content/gaza-strip-humanitarian-impact-blockade-november-2016" TargetMode="External"/><Relationship Id="rId6" Type="http://schemas.openxmlformats.org/officeDocument/2006/relationships/hyperlink" Target="http://www.reuters.com/article/us-palestinians-gaza-qatar-idUSKCN1021AQ" TargetMode="External"/><Relationship Id="rId11" Type="http://schemas.openxmlformats.org/officeDocument/2006/relationships/hyperlink" Target="http://www.un.org/undpa/en/speeches-statements/25052016/middle-east" TargetMode="External"/><Relationship Id="rId24" Type="http://schemas.openxmlformats.org/officeDocument/2006/relationships/hyperlink" Target="http://www.aljazeera.com/indepth/features/2017/07/mohammed-dahlan-return-lead-gaza-170709143522193.html" TargetMode="External"/><Relationship Id="rId5" Type="http://schemas.openxmlformats.org/officeDocument/2006/relationships/hyperlink" Target="http://www.worldbank.org/en/programs/rebuilding-gaza-donor-pledges" TargetMode="External"/><Relationship Id="rId15" Type="http://schemas.openxmlformats.org/officeDocument/2006/relationships/hyperlink" Target="http://grm.report/" TargetMode="External"/><Relationship Id="rId23" Type="http://schemas.openxmlformats.org/officeDocument/2006/relationships/hyperlink" Target="https://www.brookings.edu/blog/markaz/2016/10/12/head-hunting-for-hamas/" TargetMode="External"/><Relationship Id="rId28" Type="http://schemas.openxmlformats.org/officeDocument/2006/relationships/hyperlink" Target="http://www.aljazeera.com/news/2017/07/qatar-envoy-gaza-pledges-continued-support-170710070251325.html" TargetMode="External"/><Relationship Id="rId10" Type="http://schemas.openxmlformats.org/officeDocument/2006/relationships/hyperlink" Target="http://www.unsco.org/Gaza%20Reconstruction%20Mechanism%20Fact%20Sheet%209%20October%202014.pdf" TargetMode="External"/><Relationship Id="rId19" Type="http://schemas.openxmlformats.org/officeDocument/2006/relationships/hyperlink" Target="http://uk.reuters.com/article/uk-israel-palestinians-gaza-idUKKBN0MX0SJ20150406" TargetMode="External"/><Relationship Id="rId31" Type="http://schemas.openxmlformats.org/officeDocument/2006/relationships/hyperlink" Target="https://www.dailysabah.com/mideast/2017/07/05/materials-for-building-turkish-hospital-reached-ashdod-will-soon-arrive-in-gaza-haniyeh-says" TargetMode="External"/><Relationship Id="rId4" Type="http://schemas.openxmlformats.org/officeDocument/2006/relationships/hyperlink" Target="https://www.nytimes.com/2014/10/13/world/middleeast/us-pledges-212-million-in-new-aid-for-gaza.html" TargetMode="External"/><Relationship Id="rId9" Type="http://schemas.openxmlformats.org/officeDocument/2006/relationships/hyperlink" Target="http://www.unsco.org/Documents/Statements/MSCB/2008/Security%20Council%20Briefing%20-%2016%20September%202014.pdf" TargetMode="External"/><Relationship Id="rId14" Type="http://schemas.openxmlformats.org/officeDocument/2006/relationships/hyperlink" Target="https://www.ochaopt.org/content/gaza-internally-displaced-persons-april-2016" TargetMode="External"/><Relationship Id="rId22" Type="http://schemas.openxmlformats.org/officeDocument/2006/relationships/hyperlink" Target="http://www.unrwa.org/newsroom/emergency-reports/gaza-situation-report-149" TargetMode="External"/><Relationship Id="rId27" Type="http://schemas.openxmlformats.org/officeDocument/2006/relationships/hyperlink" Target="http://www.al-monitor.com/pulse/originals/2017/03/palestine-qatar-reconstruction-committee-gaza-consensus.html" TargetMode="External"/><Relationship Id="rId30" Type="http://schemas.openxmlformats.org/officeDocument/2006/relationships/hyperlink" Target="http://www.haaretz.com/israel-news/1.7273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92987-F5BB-495A-8214-2A5BE77B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4707</Words>
  <Characters>26831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Barakat</dc:creator>
  <cp:keywords/>
  <dc:description/>
  <cp:lastModifiedBy>Fatema Alhashemi</cp:lastModifiedBy>
  <cp:revision>2</cp:revision>
  <dcterms:created xsi:type="dcterms:W3CDTF">2017-07-16T14:56:00Z</dcterms:created>
  <dcterms:modified xsi:type="dcterms:W3CDTF">2017-07-16T14:56:00Z</dcterms:modified>
</cp:coreProperties>
</file>