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A2" w:rsidRPr="00532C5B" w:rsidRDefault="000713A2" w:rsidP="00312FD5">
      <w:pPr>
        <w:spacing w:after="0" w:line="276" w:lineRule="auto"/>
        <w:contextualSpacing/>
        <w:jc w:val="left"/>
        <w:rPr>
          <w:rFonts w:eastAsiaTheme="majorEastAsia" w:cstheme="minorHAnsi"/>
          <w:b/>
          <w:spacing w:val="-10"/>
          <w:kern w:val="28"/>
          <w:sz w:val="26"/>
          <w:szCs w:val="26"/>
        </w:rPr>
      </w:pPr>
      <w:r w:rsidRPr="00532C5B">
        <w:rPr>
          <w:rFonts w:eastAsiaTheme="majorEastAsia" w:cstheme="minorHAnsi"/>
          <w:b/>
          <w:spacing w:val="-10"/>
          <w:kern w:val="28"/>
          <w:sz w:val="26"/>
          <w:szCs w:val="26"/>
        </w:rPr>
        <w:t>Overcoming Energy Injustice? Bulgaria’s Renewable Energy Transition in Times of Crisis</w:t>
      </w:r>
    </w:p>
    <w:p w:rsidR="000713A2" w:rsidRPr="00532C5B" w:rsidRDefault="000713A2" w:rsidP="00312FD5">
      <w:pPr>
        <w:spacing w:after="0" w:line="276" w:lineRule="auto"/>
        <w:contextualSpacing/>
        <w:jc w:val="left"/>
        <w:rPr>
          <w:rFonts w:eastAsiaTheme="majorEastAsia" w:cstheme="minorHAnsi"/>
          <w:b/>
          <w:bCs/>
          <w:sz w:val="26"/>
          <w:szCs w:val="26"/>
        </w:rPr>
      </w:pPr>
    </w:p>
    <w:p w:rsidR="000713A2" w:rsidRPr="00532C5B" w:rsidRDefault="000713A2" w:rsidP="00312FD5">
      <w:pPr>
        <w:spacing w:after="0" w:line="240" w:lineRule="auto"/>
        <w:contextualSpacing/>
        <w:rPr>
          <w:rFonts w:cstheme="minorHAnsi"/>
        </w:rPr>
      </w:pPr>
    </w:p>
    <w:p w:rsidR="000713A2" w:rsidRPr="00532C5B" w:rsidRDefault="000713A2" w:rsidP="00312FD5">
      <w:pPr>
        <w:spacing w:after="0" w:line="240" w:lineRule="auto"/>
        <w:contextualSpacing/>
        <w:rPr>
          <w:rFonts w:cstheme="minorHAnsi"/>
        </w:rPr>
      </w:pPr>
      <w:r w:rsidRPr="00532C5B">
        <w:rPr>
          <w:rFonts w:cstheme="minorHAnsi"/>
          <w:b/>
        </w:rPr>
        <w:t xml:space="preserve">Keywords: </w:t>
      </w:r>
      <w:r w:rsidRPr="00532C5B">
        <w:rPr>
          <w:rFonts w:cstheme="minorHAnsi"/>
        </w:rPr>
        <w:t>Bulgaria; Corruption; Energy Justice; Europe 2020 Strategy; Renewable Energy</w:t>
      </w:r>
    </w:p>
    <w:p w:rsidR="000713A2" w:rsidRPr="00532C5B" w:rsidRDefault="000713A2" w:rsidP="00312FD5">
      <w:pPr>
        <w:spacing w:after="0"/>
        <w:contextualSpacing/>
        <w:rPr>
          <w:rFonts w:cstheme="minorHAnsi"/>
        </w:rPr>
      </w:pPr>
    </w:p>
    <w:p w:rsidR="00686EC1" w:rsidRDefault="00686EC1">
      <w:pPr>
        <w:spacing w:line="276" w:lineRule="auto"/>
        <w:jc w:val="left"/>
        <w:rPr>
          <w:rFonts w:eastAsiaTheme="majorEastAsia" w:cstheme="minorHAnsi"/>
          <w:b/>
          <w:bCs/>
          <w:sz w:val="26"/>
          <w:szCs w:val="26"/>
        </w:rPr>
      </w:pPr>
      <w:bookmarkStart w:id="0" w:name="_Toc496525270"/>
      <w:r>
        <w:rPr>
          <w:rFonts w:cstheme="minorHAnsi"/>
        </w:rPr>
        <w:br w:type="page"/>
      </w:r>
    </w:p>
    <w:p w:rsidR="000713A2" w:rsidRPr="00532C5B" w:rsidRDefault="000713A2" w:rsidP="003A4BA4">
      <w:pPr>
        <w:pStyle w:val="Heading2"/>
        <w:numPr>
          <w:ilvl w:val="0"/>
          <w:numId w:val="3"/>
        </w:numPr>
        <w:spacing w:before="0"/>
        <w:ind w:left="426" w:hanging="426"/>
        <w:contextualSpacing/>
        <w:rPr>
          <w:rFonts w:asciiTheme="minorHAnsi" w:hAnsiTheme="minorHAnsi" w:cstheme="minorHAnsi"/>
        </w:rPr>
      </w:pPr>
      <w:r w:rsidRPr="00532C5B">
        <w:rPr>
          <w:rFonts w:asciiTheme="minorHAnsi" w:hAnsiTheme="minorHAnsi" w:cstheme="minorHAnsi"/>
        </w:rPr>
        <w:lastRenderedPageBreak/>
        <w:t>Introduction</w:t>
      </w:r>
      <w:bookmarkEnd w:id="0"/>
    </w:p>
    <w:p w:rsidR="000713A2" w:rsidRPr="00532C5B" w:rsidRDefault="000713A2" w:rsidP="00312FD5">
      <w:pPr>
        <w:spacing w:after="0"/>
        <w:contextualSpacing/>
        <w:rPr>
          <w:rFonts w:cstheme="minorHAnsi"/>
        </w:rPr>
      </w:pPr>
      <w:r w:rsidRPr="00532C5B">
        <w:rPr>
          <w:rFonts w:cstheme="minorHAnsi"/>
        </w:rPr>
        <w:t xml:space="preserve">Renewable energy transitions are considered expensive due to their high initial capital costs and hence require regulatory support, for example through preferential pricing mechanisms </w:t>
      </w:r>
      <w:r w:rsidRPr="00532C5B">
        <w:rPr>
          <w:rFonts w:cstheme="minorHAnsi"/>
        </w:rPr>
        <w:fldChar w:fldCharType="begin" w:fldLock="1"/>
      </w:r>
      <w:r w:rsidR="00312FD5">
        <w:rPr>
          <w:rFonts w:cstheme="minorHAnsi"/>
        </w:rPr>
        <w:instrText>ADDIN CSL_CITATION { "citationItems" : [ { "id" : "ITEM-1", "itemData" : { "DOI" : "10.1016/j.enpol.2005.11.017", "ISBN" : "0301-4215", "ISSN" : "03014215", "abstract" : "This paper addresses the impact of environmentally based market failure constraints on the adoption of renewable energy technologies through the quantification in financial terms of the externalities of electric power generation, for a range of alternative commercial and almost-commercial technologies. It is shown that estimates of damage costs resulting from combustion of fossil fuels, if internalised into the price of the resulting output of electricity, could lead to a number of renewable technologies being financially competitive with generation from coal plants. However, combined cycle natural gas technology would have a significant financial advantage over both coal and renewables under current technology options and market conditions. On the basis of cost projections made under the assumption of mature technologies and the existence of economies of scale, renewable technologies would possess a significant social cost advantage if the externalities of power production were to be \"internalised\". Incorporating environmental externalities explicitly into the electricity tariff today would serve to hasten this transition process. ?? 2005 Elsevier Ltd. All rights reserved.", "author" : [ { "dropping-particle" : "", "family" : "Owen", "given" : "Anthony D.", "non-dropping-particle" : "", "parse-names" : false, "suffix" : "" } ], "container-title" : "Energy Policy", "id" : "ITEM-1", "issue" : "5", "issued" : { "date-parts" : [ [ "2006" ] ] }, "page" : "632-642", "title" : "Renewable energy: Externality costs as market barriers", "type" : "article-journal", "volume" : "34" }, "uris" : [ "http://www.mendeley.com/documents/?uuid=69736384-5b37-4453-8c49-c9a50dfaca6b" ] }, { "id" : "ITEM-2", "itemData" : { "author" : [ { "dropping-particle" : "", "family" : "Nelson", "given" : "David", "non-dropping-particle" : "", "parse-names" : false, "suffix" : "" }, { "dropping-particle" : "", "family" : "Barcklay", "given" : "Ruby", "non-dropping-particle" : "", "parse-names" : false, "suffix" : "" }, { "dropping-particle" : "", "family" : "Buchner", "given" : "Barbara", "non-dropping-particle" : "", "parse-names" : false, "suffix" : "" }, { "dropping-particle" : "", "family" : "Frisari", "given" : "Gianleo", "non-dropping-particle" : "", "parse-names" : false, "suffix" : "" }, { "dropping-particle" : "", "family" : "Heller", "given" : "Thomas C", "non-dropping-particle" : "", "parse-names" : false, "suffix" : "" }, { "dropping-particle" : "", "family" : "Herv\u00e9-mignucci", "given" : "Morgan", "non-dropping-particle" : "", "parse-names" : false, "suffix" : "" }, { "dropping-particle" : "", "family" : "Rom-povolo", "given" : "Elysha", "non-dropping-particle" : "", "parse-names" : false, "suffix" : "" } ], "container-title" : "Climate Policy Initiative", "id" : "ITEM-2", "issue" : "January", "issued" : { "date-parts" : [ [ "2014" ] ] }, "title" : "Finance Mechanisms for Lowering the Cost of Renewable Energy in Rapidly Developing Countries", "type" : "article-journal" }, "uris" : [ "http://www.mendeley.com/documents/?uuid=9d8f22da-2d59-4b9a-86be-56f7915ff515" ] } ], "mendeley" : { "formattedCitation" : "(Owen, 2006; Nelson et al., 2014)", "plainTextFormattedCitation" : "(Owen, 2006; Nelson et al., 2014)", "previouslyFormattedCitation" : "(Owen, 2006; Nelson et al., 2014)" }, "properties" : {  }, "schema" : "https://github.com/citation-style-language/schema/raw/master/csl-citation.json" }</w:instrText>
      </w:r>
      <w:r w:rsidRPr="00532C5B">
        <w:rPr>
          <w:rFonts w:cstheme="minorHAnsi"/>
        </w:rPr>
        <w:fldChar w:fldCharType="separate"/>
      </w:r>
      <w:r w:rsidRPr="00532C5B">
        <w:rPr>
          <w:rFonts w:cstheme="minorHAnsi"/>
          <w:noProof/>
        </w:rPr>
        <w:t xml:space="preserve">(Owen, 2006; Nelson </w:t>
      </w:r>
      <w:r w:rsidRPr="00532C5B">
        <w:rPr>
          <w:rFonts w:cstheme="minorHAnsi"/>
          <w:i/>
          <w:noProof/>
        </w:rPr>
        <w:t>et al.</w:t>
      </w:r>
      <w:r w:rsidRPr="00532C5B">
        <w:rPr>
          <w:rFonts w:cstheme="minorHAnsi"/>
          <w:noProof/>
        </w:rPr>
        <w:t>, 2014)</w:t>
      </w:r>
      <w:r w:rsidRPr="00532C5B">
        <w:rPr>
          <w:rFonts w:cstheme="minorHAnsi"/>
        </w:rPr>
        <w:fldChar w:fldCharType="end"/>
      </w:r>
      <w:r w:rsidRPr="00532C5B">
        <w:rPr>
          <w:rFonts w:cstheme="minorHAnsi"/>
        </w:rPr>
        <w:t xml:space="preserve">. However, subsequently increasing electricity prices, paired with a displacement of fossil fuel industries, have potentially negative effects on economic growth </w:t>
      </w:r>
      <w:r w:rsidRPr="00532C5B">
        <w:rPr>
          <w:rFonts w:cstheme="minorHAnsi"/>
        </w:rPr>
        <w:fldChar w:fldCharType="begin" w:fldLock="1"/>
      </w:r>
      <w:r w:rsidR="00312FD5">
        <w:rPr>
          <w:rFonts w:cstheme="minorHAnsi"/>
        </w:rPr>
        <w:instrText>ADDIN CSL_CITATION { "citationItems" : [ { "id" : "ITEM-1", "itemData" : { "DOI" : "10.1016/j.enpol.2010.03.029", "ISBN" : "0301-4215", "ISSN" : "03014215", "abstract" : "The allure of an environmentally benign, abundant, and cost-effective energy source has led an increasing number of industrialized countries to back public financing of renewable energies. Germany's experience with renewable energy promotion is often cited as a model to be replicated elsewhere, being based on a combination of far-reaching energy and environmental laws that stretch back nearly two decades. This paper critically reviews the centerpiece of this effort, the Renewable Energy Sources Act (EEG), focusing on its costs and the associated implications for job creation and climate protection. We argue that German renewable energy policy, and in particular the adopted feed-in tariff scheme, has failed to harness the market incentives needed to ensure a viable and cost-effective introduction of renewable energies into the country's energy portfolio. To the contrary, the government's support mechanisms have in many respects subverted these incentives, resulting in massive expenditures that show little long-term promise for stimulating the economy, protecting the environment, or increasing energy security. ?? 2010 Elsevier Ltd.", "author" : [ { "dropping-particle" : "", "family" : "Frondel", "given" : "Manuel", "non-dropping-particle" : "", "parse-names" : false, "suffix" : "" }, { "dropping-particle" : "", "family" : "Ritter", "given" : "Nolan", "non-dropping-particle" : "", "parse-names" : false, "suffix" : "" }, { "dropping-particle" : "", "family" : "Schmidt", "given" : "Christoph M.", "non-dropping-particle" : "", "parse-names" : false, "suffix" : "" }, { "dropping-particle" : "", "family" : "Vance", "given" : "Colin", "non-dropping-particle" : "", "parse-names" : false, "suffix" : "" } ], "container-title" : "Energy Policy", "id" : "ITEM-1", "issue" : "8", "issued" : { "date-parts" : [ [ "2010" ] ] }, "page" : "4048-4056", "publisher" : "Elsevier", "title" : "Economic impacts from the promotion of renewable energy technologies: The German experience", "type" : "article-journal", "volume" : "38" }, "uris" : [ "http://www.mendeley.com/documents/?uuid=8da4764a-42b4-4a1c-b707-98e045b29740" ] }, { "id" : "ITEM-2", "itemData" : { "DOI" : "10.1016/j.enpol.2012.04.006", "ISBN" : "0301-4215", "ISSN" : "03014215", "abstract" : "This paper applies panel data techniques to analyze the role of the various energy sources in economic growth, for a set of 24 European countries (1990-2007), controlling for energy consumption and energy dependency. The results suggest that the negative effect of the use of renewables supplants the positive effect of creating income by exploiting a natural resource locally, and thus growth does not appear to improve with the change towards renewables. The high costs of promoting renewables are probably being placed excessively upon the economy, namely by increasing the costs of electricity tariffs, thus inducing a deceleration in economic activity. Fossil fuels lead to dissimilar effects on growth while natural gas does not appear to be relevant in explaining growth. Coal hampers the capacity for growth, whereas the use of oil stimulates that growth. This is in line with productive structures that are deeply grounded in fossil fuels, particularly oil. ?? 2012 Elsevier Ltd.", "author" : [ { "dropping-particle" : "", "family" : "Marques", "given" : "Ant??nio Cardoso", "non-dropping-particle" : "", "parse-names" : false, "suffix" : "" }, { "dropping-particle" : "", "family" : "Fuinhas", "given" : "Jos?? Alberto", "non-dropping-particle" : "", "parse-names" : false, "suffix" : "" } ], "container-title" : "Energy Policy", "id" : "ITEM-2", "issued" : { "date-parts" : [ [ "2012" ] ] }, "page" : "434-442", "title" : "Is renewable energy effective in promoting growth?", "type" : "article-journal", "volume" : "46" }, "uris" : [ "http://www.mendeley.com/documents/?uuid=3a45d212-cd5d-44e2-9b22-64a6b3a6c709" ] } ], "mendeley" : { "formattedCitation" : "(Frondel et al., 2010; Marques and Fuinhas, 2012)", "plainTextFormattedCitation" : "(Frondel et al., 2010; Marques and Fuinhas, 2012)", "previouslyFormattedCitation" : "(Frondel et al., 2010; Marques and Fuinhas, 2012)" }, "properties" : {  }, "schema" : "https://github.com/citation-style-language/schema/raw/master/csl-citation.json" }</w:instrText>
      </w:r>
      <w:r w:rsidRPr="00532C5B">
        <w:rPr>
          <w:rFonts w:cstheme="minorHAnsi"/>
        </w:rPr>
        <w:fldChar w:fldCharType="separate"/>
      </w:r>
      <w:r w:rsidRPr="00532C5B">
        <w:rPr>
          <w:rFonts w:cstheme="minorHAnsi"/>
          <w:noProof/>
        </w:rPr>
        <w:t xml:space="preserve">(Frondel </w:t>
      </w:r>
      <w:r w:rsidRPr="00532C5B">
        <w:rPr>
          <w:rFonts w:cstheme="minorHAnsi"/>
          <w:i/>
          <w:noProof/>
        </w:rPr>
        <w:t>et al.</w:t>
      </w:r>
      <w:r w:rsidRPr="00532C5B">
        <w:rPr>
          <w:rFonts w:cstheme="minorHAnsi"/>
          <w:noProof/>
        </w:rPr>
        <w:t>, 2010; Marques and Fuinhas, 2012)</w:t>
      </w:r>
      <w:r w:rsidRPr="00532C5B">
        <w:rPr>
          <w:rFonts w:cstheme="minorHAnsi"/>
        </w:rPr>
        <w:fldChar w:fldCharType="end"/>
      </w:r>
      <w:r w:rsidRPr="00532C5B">
        <w:rPr>
          <w:rFonts w:cstheme="minorHAnsi"/>
        </w:rPr>
        <w:t xml:space="preserve">. As such, in the wake of the European economic and debt crisis, </w:t>
      </w:r>
      <w:proofErr w:type="spellStart"/>
      <w:r w:rsidRPr="00532C5B">
        <w:rPr>
          <w:rFonts w:cstheme="minorHAnsi"/>
        </w:rPr>
        <w:t>Slominski</w:t>
      </w:r>
      <w:proofErr w:type="spellEnd"/>
      <w:r w:rsidRPr="00532C5B">
        <w:rPr>
          <w:rFonts w:cstheme="minorHAnsi"/>
        </w:rPr>
        <w:t xml:space="preserve"> </w:t>
      </w:r>
      <w:r w:rsidRPr="00532C5B">
        <w:rPr>
          <w:rFonts w:cstheme="minorHAnsi"/>
        </w:rPr>
        <w:fldChar w:fldCharType="begin" w:fldLock="1"/>
      </w:r>
      <w:r w:rsidR="00312FD5">
        <w:rPr>
          <w:rFonts w:cstheme="minorHAnsi"/>
        </w:rPr>
        <w:instrText>ADDIN CSL_CITATION { "citationItems" : [ { "id" : "ITEM-1", "itemData" : { "DOI" : "10.1080/07036337.2016.1140759", "ISSN" : "0703-6337", "abstract" : "!! \u00a0352 Most decisions which were taken after the outbreak of the economic crisis have  followed a logic of path-dependency, merely adding \u2018new layers\u2019 of EU rules to the existing  acquis without challenging its policy core  352 While broad policy objectives of energy and climate policy have remained stable, we can observe that the crisis-induced change of the political discourse has decreased the level of ambition among EU policy-makers to step-up the EU\u2019s climate policy.", "author" : [ { "dropping-particle" : "", "family" : "Slominski", "given" : "Peter", "non-dropping-particle" : "", "parse-names" : false, "suffix" : "" } ], "container-title" : "Journal of European Integration", "id" : "ITEM-1", "issue" : "3", "issued" : { "date-parts" : [ [ "2016" ] ] }, "page" : "343-357", "publisher" : "Routledge", "title" : "Energy and climate policy: does the competitiveness narrative prevail in times of crisis?", "type" : "article-journal", "volume" : "38" }, "suppress-author" : 1, "uris" : [ "http://www.mendeley.com/documents/?uuid=4d5ab168-abf4-4210-b5e4-1a814ace652b" ] } ], "mendeley" : { "formattedCitation" : "(2016)", "plainTextFormattedCitation" : "(2016)", "previouslyFormattedCitation" : "(2016)" }, "properties" : {  }, "schema" : "https://github.com/citation-style-language/schema/raw/master/csl-citation.json" }</w:instrText>
      </w:r>
      <w:r w:rsidRPr="00532C5B">
        <w:rPr>
          <w:rFonts w:cstheme="minorHAnsi"/>
        </w:rPr>
        <w:fldChar w:fldCharType="separate"/>
      </w:r>
      <w:r w:rsidRPr="00532C5B">
        <w:rPr>
          <w:rFonts w:cstheme="minorHAnsi"/>
          <w:noProof/>
        </w:rPr>
        <w:t>(2016)</w:t>
      </w:r>
      <w:r w:rsidRPr="00532C5B">
        <w:rPr>
          <w:rFonts w:cstheme="minorHAnsi"/>
        </w:rPr>
        <w:fldChar w:fldCharType="end"/>
      </w:r>
      <w:r w:rsidRPr="00532C5B">
        <w:rPr>
          <w:rFonts w:cstheme="minorHAnsi"/>
        </w:rPr>
        <w:t xml:space="preserve"> suggests that economic issues have been prioritised over climate change, as concerns over the cost implications of climate measures heightened. Nevertheless, in 2013 Bulgaria became the first EU member-state to reach and exceed its renewable targets under the Europe 2020 Strategy after having essentially no renewable energy installed prior to its accession in 2007 (with the exception of large-scale hydropower). This article therefore seeks to determine how Bulgaria, as the poorest EU member-state, managed to meet its 2020 renewable targets in times of economic crisis and austerity, and the consequences for its economy and energy system.</w:t>
      </w:r>
    </w:p>
    <w:p w:rsidR="000713A2" w:rsidRPr="00532C5B" w:rsidRDefault="000713A2" w:rsidP="00312FD5">
      <w:pPr>
        <w:spacing w:after="0"/>
        <w:ind w:firstLine="720"/>
        <w:contextualSpacing/>
        <w:rPr>
          <w:rFonts w:cstheme="minorHAnsi"/>
        </w:rPr>
      </w:pPr>
      <w:r w:rsidRPr="00532C5B">
        <w:rPr>
          <w:rFonts w:cstheme="minorHAnsi"/>
        </w:rPr>
        <w:t xml:space="preserve">Generally, contemporary literature has identified several influential factors shaping renewable energy transitions, such as the need for a strong long-term political support </w:t>
      </w:r>
      <w:r w:rsidRPr="00532C5B">
        <w:rPr>
          <w:rFonts w:cstheme="minorHAnsi"/>
        </w:rPr>
        <w:fldChar w:fldCharType="begin" w:fldLock="1"/>
      </w:r>
      <w:r w:rsidR="00312FD5">
        <w:rPr>
          <w:rFonts w:cstheme="minorHAnsi"/>
        </w:rPr>
        <w:instrText>ADDIN CSL_CITATION { "citationItems" : [ { "id" : "ITEM-1", "itemData" : { "author" : [ { "dropping-particle" : "", "family" : "Fabra", "given" : "Natalia", "non-dropping-particle" : "", "parse-names" : false, "suffix" : "" }, { "dropping-particle" : "", "family" : "Matthes", "given" : "Feilx Christian", "non-dropping-particle" : "", "parse-names" : false, "suffix" : "" }, { "dropping-particle" : "", "family" : "Newbery", "given" : "David", "non-dropping-particle" : "", "parse-names" : false, "suffix" : "" }, { "dropping-particle" : "", "family" : "Colombier", "given" : "Michel", "non-dropping-particle" : "", "parse-names" : false, "suffix" : "" }, { "dropping-particle" : "", "family" : "Mathieu", "given" : "Mithilde", "non-dropping-particle" : "", "parse-names" : false, "suffix" : "" }, { "dropping-particle" : "", "family" : "Rudinger", "given" : "Andreas", "non-dropping-particle" : "", "parse-names" : false, "suffix" : "" } ], "container-title" : "Centre on Regulation in Europe", "id" : "ITEM-1", "issue" : "October", "issued" : { "date-parts" : [ [ "2015" ] ] }, "title" : "The energy transition in Europe : Initial lessons from Germany , the UK and France Towards a low carbon European power sector", "type" : "article-journal", "volume" : "32" }, "uris" : [ "http://www.mendeley.com/documents/?uuid=a8067008-29f9-4a52-8c9c-e77530055798" ] } ], "mendeley" : { "formattedCitation" : "(Fabra et al., 2015)", "plainTextFormattedCitation" : "(Fabra et al., 2015)", "previouslyFormattedCitation" : "(Fabra et al., 2015)" }, "properties" : {  }, "schema" : "https://github.com/citation-style-language/schema/raw/master/csl-citation.json" }</w:instrText>
      </w:r>
      <w:r w:rsidRPr="00532C5B">
        <w:rPr>
          <w:rFonts w:cstheme="minorHAnsi"/>
        </w:rPr>
        <w:fldChar w:fldCharType="separate"/>
      </w:r>
      <w:r w:rsidRPr="00532C5B">
        <w:rPr>
          <w:rFonts w:cstheme="minorHAnsi"/>
          <w:noProof/>
        </w:rPr>
        <w:t xml:space="preserve">(Fabra </w:t>
      </w:r>
      <w:r w:rsidRPr="00532C5B">
        <w:rPr>
          <w:rFonts w:cstheme="minorHAnsi"/>
          <w:i/>
          <w:noProof/>
        </w:rPr>
        <w:t>et al.</w:t>
      </w:r>
      <w:r w:rsidRPr="00532C5B">
        <w:rPr>
          <w:rFonts w:cstheme="minorHAnsi"/>
          <w:noProof/>
        </w:rPr>
        <w:t>, 2015)</w:t>
      </w:r>
      <w:r w:rsidRPr="00532C5B">
        <w:rPr>
          <w:rFonts w:cstheme="minorHAnsi"/>
        </w:rPr>
        <w:fldChar w:fldCharType="end"/>
      </w:r>
      <w:r w:rsidRPr="00532C5B">
        <w:rPr>
          <w:rFonts w:cstheme="minorHAnsi"/>
        </w:rPr>
        <w:t xml:space="preserve">, an effective and dynamic policy design </w:t>
      </w:r>
      <w:r w:rsidRPr="00532C5B">
        <w:rPr>
          <w:rFonts w:cstheme="minorHAnsi"/>
        </w:rPr>
        <w:fldChar w:fldCharType="begin" w:fldLock="1"/>
      </w:r>
      <w:r w:rsidR="00312FD5">
        <w:rPr>
          <w:rFonts w:cstheme="minorHAnsi"/>
        </w:rPr>
        <w:instrText>ADDIN CSL_CITATION { "citationItems" : [ { "id" : "ITEM-1", "itemData" : { "abstract" : "This paper investigates criteria and indicators used to evaluate renewable energy deployment policies. The fo- cus is on application in lower income countries, and the report seeks to extend IRENA\u2019s Policy Brief on the topic \u201cEvaluating policies in support of the deployment of renewable power\u201d. Key objectives are to explore the extent to which the literature on such criteria and indicators considers lower income country contexts and whether existing analysis makes viable \u2018short-hand\u2019 (simple, easy to apply) indicators for assessment. In order to deliver these objectives the project team undertook a hybrid form of systematic review developed by the UK Energy Research Centre (UKERC) to best suit energy policy evaluation and research purposes. The review combines systematic scientific database and grey literature Boolean searches with expert elicitation and citation trail analysis. The UKERC approach has been applied to a wide range of policy topics and achieved considerable impact on policy development. The paper follows the approach taken in IRENA\u2019s Policy Brief and divides its analysis between four core criteria1 . These are: 1. Effectiveness 2. Efficiency 3. Equity 4. Institutional feasibility", "author" : [ { "dropping-particle" : "", "family" : "Nicholls", "given" : "Jack", "non-dropping-particle" : "", "parse-names" : false, "suffix" : "" }, { "dropping-particle" : "", "family" : "Mawhood", "given" : "Rebecca", "non-dropping-particle" : "", "parse-names" : false, "suffix" : "" }, { "dropping-particle" : "", "family" : "Gross", "given" : "Robert", "non-dropping-particle" : "", "parse-names" : false, "suffix" : "" }, { "dropping-particle" : "", "family" : "Castillo-Castillo", "given" : "Arturo", "non-dropping-particle" : "", "parse-names" : false, "suffix" : "" } ], "container-title" : "International Renewable Energy Agency Policy Brief", "id" : "ITEM-1", "issue" : "January", "issued" : { "date-parts" : [ [ "2014" ] ] }, "number-of-pages" : "64", "title" : "Evaluating Renewable Energy Policy : A Review of Criteria and Indicators for Assessment", "type" : "report" }, "uris" : [ "http://www.mendeley.com/documents/?uuid=ff44b205-1467-4f79-8887-db8a9e98c00e" ] }, { "id" : "ITEM-2", "itemData" : { "DOI" : "10.1016/j.rser.2010.11.015", "ISBN" : "1364-0321", "ISSN" : "13640321", "PMID" : "46", "abstract" : "The core objective of this paper is to elaborate on historically implemented promotion strategies of renewable energy sources and the associated deployment within the European electricity market. Hence, at a first glance, the historic development of renewable energy sources in the electricity (RES-E) sector is addressed on Member State and on sectoral level as well as consequently discussed according to available RES-E potentials and costs. The specific focus of this paper, are promotion strategies for RES-E options as they are the key driver of an efficient and effective RES-E deployment. Therefore, the paper depicts the main types of different promotion schemes and their properties. Additionally, several cases studies of different European Member States show an in-depth analysis of the different RES-E promotion schemes. In this context, special emphasises are put on the question of effective and efficient promotion scheme designs of different RES-E technologies. Generally, conducted research led to the conclusion, that technology specific financial support measures of RES-E performed much more effective and efficient than others did. Hence, it is not all about the common question of feed-in tariffs vs. quota systems based on tradable green certificates, but more about the design criteria of implemented RES-E support schemes. ?? 2010 Elsevier Ltd. All rights reserved.", "author" : [ { "dropping-particle" : "", "family" : "Haas", "given" : "Reinhard", "non-dropping-particle" : "", "parse-names" : false, "suffix" : "" }, { "dropping-particle" : "", "family" : "Panzer", "given" : "Christian", "non-dropping-particle" : "", "parse-names" : false, "suffix" : "" }, { "dropping-particle" : "", "family" : "Resch", "given" : "Gustav", "non-dropping-particle" : "", "parse-names" : false, "suffix" : "" }, { "dropping-particle" : "", "family" : "Ragwitz", "given" : "Mario", "non-dropping-particle" : "", "parse-names" : false, "suffix" : "" }, { "dropping-particle" : "", "family" : "Reece", "given" : "Gemma", "non-dropping-particle" : "", "parse-names" : false, "suffix" : "" }, { "dropping-particle" : "", "family" : "Held", "given" : "Anne", "non-dropping-particle" : "", "parse-names" : false, "suffix" : "" } ], "container-title" : "Renewable and Sustainable Energy Reviews", "id" : "ITEM-2", "issue" : "2", "issued" : { "date-parts" : [ [ "2011" ] ] }, "page" : "1003-1034", "publisher" : "Elsevier Ltd", "title" : "A historical review of promotion strategies for electricity from renewable energy sources in EU countries", "type" : "article-journal", "volume" : "15" }, "uris" : [ "http://www.mendeley.com/documents/?uuid=66f8e1ac-720b-4fd9-8290-0ec78c05b5a1" ] }, { "id" : "ITEM-3", "itemData" : { "DOI" : "10.1016/j.energy.2010.06.028", "ISBN" : "0360-5442", "ISSN" : "03605442", "abstract" : "Currently, a wide range of strategies is implemented in different countries to increase the share of electricity from renewable energy sources (RES-E). A still controversial discussion is whether quantity-driven (like Tradable Green Certificates (TGCs) based on quotas) or price-driven (like feed-in-tariffs (FIT)) instruments lead to preferable solutions for society. The core objective of this paper is to compare the perspectives of quota-based certificate trading systems for an efficient and effective increase of RES-E with FIT. The major results of this analysis are: (i) The success stories of growth in RES-E in EU member states in recent years has been triggered by FIT implemented in a technology-specific manner at modest costs for European citizens; (ii) At present, TGC systems in most countries applied show a low effectiveness with respect to RES-E deployment of less mature technologies such as solar PV (with improving tendencies in e.g. the UK or Italy with respect to certain technologies); (iii) Compared to short term trading in TGC markets the intrinsic stability of FIT systems appears to be a key element for success; (iv) Hence, currently a well-designed (dynamic) FIT system provides a certain deployment of RES-E in the shortest time and at lowest costs for society. ?? 2010.", "author" : [ { "dropping-particle" : "", "family" : "Haas", "given" : "Reinhard", "non-dropping-particle" : "", "parse-names" : false, "suffix" : "" }, { "dropping-particle" : "", "family" : "Resch", "given" : "Gustav", "non-dropping-particle" : "", "parse-names" : false, "suffix" : "" }, { "dropping-particle" : "", "family" : "Panzer", "given" : "Christian", "non-dropping-particle" : "", "parse-names" : false, "suffix" : "" }, { "dropping-particle" : "", "family" : "Busch", "given" : "Sebastian", "non-dropping-particle" : "", "parse-names" : false, "suffix" : "" }, { "dropping-particle" : "", "family" : "Ragwitz", "given" : "Mario", "non-dropping-particle" : "", "parse-names" : false, "suffix" : "" }, { "dropping-particle" : "", "family" : "Held", "given" : "Anne", "non-dropping-particle" : "", "parse-names" : false, "suffix" : "" } ], "container-title" : "Energy", "id" : "ITEM-3", "issue" : "4", "issued" : { "date-parts" : [ [ "2011" ] ] }, "page" : "2186-2193", "publisher" : "Elsevier Ltd", "title" : "Efficiency and effectiveness of promotion systems for electricity generation from renewable energy sources - Lessons from EU countries", "type" : "article-journal", "volume" : "36" }, "uris" : [ "http://www.mendeley.com/documents/?uuid=061a04e2-9afd-4310-a659-c01d2c0914c3" ] } ], "mendeley" : { "formattedCitation" : "(Nicholls et al., 2014; Haas, Panzer, et al., 2011; Haas, Resch, et al., 2011)", "plainTextFormattedCitation" : "(Nicholls et al., 2014; Haas, Panzer, et al., 2011; Haas, Resch, et al., 2011)", "previouslyFormattedCitation" : "(Nicholls et al., 2014; Haas, Panzer, et al., 2011; Haas, Resch,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(Nicholls </w:t>
      </w:r>
      <w:r w:rsidRPr="00532C5B">
        <w:rPr>
          <w:rFonts w:cstheme="minorHAnsi"/>
          <w:i/>
          <w:noProof/>
        </w:rPr>
        <w:t>et al.</w:t>
      </w:r>
      <w:r w:rsidRPr="00532C5B">
        <w:rPr>
          <w:rFonts w:cstheme="minorHAnsi"/>
          <w:noProof/>
        </w:rPr>
        <w:t xml:space="preserve">, 2014; Haas, Panzer, </w:t>
      </w:r>
      <w:r w:rsidRPr="00532C5B">
        <w:rPr>
          <w:rFonts w:cstheme="minorHAnsi"/>
          <w:i/>
          <w:noProof/>
        </w:rPr>
        <w:t>et al.</w:t>
      </w:r>
      <w:r w:rsidRPr="00532C5B">
        <w:rPr>
          <w:rFonts w:cstheme="minorHAnsi"/>
          <w:noProof/>
        </w:rPr>
        <w:t xml:space="preserve">, 2011; Haas, Resch,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 xml:space="preserve">, as well as a supportive macroeconomic wealth context, such as high levels of income </w:t>
      </w:r>
      <w:r w:rsidRPr="00532C5B">
        <w:rPr>
          <w:rFonts w:cstheme="minorHAnsi"/>
        </w:rPr>
        <w:fldChar w:fldCharType="begin" w:fldLock="1"/>
      </w:r>
      <w:r w:rsidR="00312FD5">
        <w:rPr>
          <w:rFonts w:cstheme="minorHAnsi"/>
        </w:rPr>
        <w:instrText>ADDIN CSL_CITATION { "citationItems" : [ { "id" : "ITEM-1", "itemData" : { "DOI" : "10.5089/9781463927301.001", "ISSN" : "1018-5941", "abstract" : "This paper fills a gap in the macroeconomic literature on renewable sources of energy. It offers a definition of green investment and analyzes the trends and determinants of this investment over the last decade for 35 advanced and emerging countries. We use a new multi-country historical dataset and find that green investment has become a key driver of the energy sector and that its rapid growth is now mostly driven by China. Our econometric results suggest that green investment is boosted by economic growth, a sound financial system conducive to low interest rates, and high fuel prices. We also find that some policy interventions, such as the introduction of carbon pricing schemes, or \u201cfeed-in-tariffs,\u201d which require use of \u201cgreen\u201d energy, have a positive and significant impact on green investment. Other interventions, such as biofuel support, do not appear to be associated with higher green investment.", "author" : [ { "dropping-particle" : "", "family" : "Eyraud", "given" : "Luc", "non-dropping-particle" : "", "parse-names" : false, "suffix" : "" }, { "dropping-particle" : "", "family" : "Zhang", "given" : "Changchang", "non-dropping-particle" : "", "parse-names" : false, "suffix" : "" }, { "dropping-particle" : "", "family" : "Wane", "given" : "Abdoul", "non-dropping-particle" : "", "parse-names" : false, "suffix" : "" }, { "dropping-particle" : "", "family" : "Clements", "given" : "Benedict", "non-dropping-particle" : "", "parse-names" : false, "suffix" : "" } ], "container-title" : "IMF Working Papers", "id" : "ITEM-1", "issue" : "296", "issued" : { "date-parts" : [ [ "2011" ] ] }, "page" : "39", "title" : "Who's Going Green and Why? Trends and Determinants of Green Investment", "type" : "article-journal", "volume" : "11" }, "uris" : [ "http://www.mendeley.com/documents/?uuid=378f3103-9cb1-4055-b7ad-c83348b31b30" ] } ], "mendeley" : { "formattedCitation" : "(Eyraud et al., 2011)", "plainTextFormattedCitation" : "(Eyraud et al., 2011)", "previouslyFormattedCitation" : "(Eyraud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(Eyraud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 xml:space="preserve">. At the same time, expanding renewables is associated with wider environmental, economic and societal benefits. These include lower energy costs in the medium to long-run </w:t>
      </w:r>
      <w:r w:rsidRPr="00532C5B">
        <w:rPr>
          <w:rFonts w:cstheme="minorHAnsi"/>
        </w:rPr>
        <w:fldChar w:fldCharType="begin" w:fldLock="1"/>
      </w:r>
      <w:r w:rsidR="00312FD5">
        <w:rPr>
          <w:rFonts w:cstheme="minorHAnsi"/>
        </w:rPr>
        <w:instrText>ADDIN CSL_CITATION { "citationItems" : [ { "id" : "ITEM-1", "itemData" : { "author" : [ { "dropping-particle" : "", "family" : "Fabra", "given" : "Natalia", "non-dropping-particle" : "", "parse-names" : false, "suffix" : "" }, { "dropping-particle" : "", "family" : "Matthes", "given" : "Feilx Christian", "non-dropping-particle" : "", "parse-names" : false, "suffix" : "" }, { "dropping-particle" : "", "family" : "Newbery", "given" : "David", "non-dropping-particle" : "", "parse-names" : false, "suffix" : "" }, { "dropping-particle" : "", "family" : "Colombier", "given" : "Michel", "non-dropping-particle" : "", "parse-names" : false, "suffix" : "" }, { "dropping-particle" : "", "family" : "Mathieu", "given" : "Mithilde", "non-dropping-particle" : "", "parse-names" : false, "suffix" : "" }, { "dropping-particle" : "", "family" : "Rudinger", "given" : "Andreas", "non-dropping-particle" : "", "parse-names" : false, "suffix" : "" } ], "container-title" : "Centre on Regulation in Europe", "id" : "ITEM-1", "issue" : "October", "issued" : { "date-parts" : [ [ "2015" ] ] }, "title" : "The energy transition in Europe : Initial lessons from Germany , the UK and France Towards a low carbon European power sector", "type" : "article-journal", "volume" : "32" }, "uris" : [ "http://www.mendeley.com/documents/?uuid=a8067008-29f9-4a52-8c9c-e77530055798" ] } ], "mendeley" : { "formattedCitation" : "(Fabra et al., 2015)", "plainTextFormattedCitation" : "(Fabra et al., 2015)", "previouslyFormattedCitation" : "(Fabra et al., 2015)" }, "properties" : {  }, "schema" : "https://github.com/citation-style-language/schema/raw/master/csl-citation.json" }</w:instrText>
      </w:r>
      <w:r w:rsidRPr="00532C5B">
        <w:rPr>
          <w:rFonts w:cstheme="minorHAnsi"/>
        </w:rPr>
        <w:fldChar w:fldCharType="separate"/>
      </w:r>
      <w:r w:rsidRPr="00532C5B">
        <w:rPr>
          <w:rFonts w:cstheme="minorHAnsi"/>
          <w:noProof/>
        </w:rPr>
        <w:t xml:space="preserve">(Fabra </w:t>
      </w:r>
      <w:r w:rsidRPr="00532C5B">
        <w:rPr>
          <w:rFonts w:cstheme="minorHAnsi"/>
          <w:i/>
          <w:noProof/>
        </w:rPr>
        <w:t>et al.</w:t>
      </w:r>
      <w:r w:rsidRPr="00532C5B">
        <w:rPr>
          <w:rFonts w:cstheme="minorHAnsi"/>
          <w:noProof/>
        </w:rPr>
        <w:t>, 2015)</w:t>
      </w:r>
      <w:r w:rsidRPr="00532C5B">
        <w:rPr>
          <w:rFonts w:cstheme="minorHAnsi"/>
        </w:rPr>
        <w:fldChar w:fldCharType="end"/>
      </w:r>
      <w:r w:rsidRPr="00532C5B">
        <w:rPr>
          <w:rFonts w:cstheme="minorHAnsi"/>
        </w:rPr>
        <w:t xml:space="preserve">, as well as an improved availability and sustainability of the energy system in terms of reduced emissions, distributed power generators, and an infinite resource availability </w:t>
      </w:r>
      <w:r w:rsidRPr="00532C5B">
        <w:rPr>
          <w:rFonts w:cstheme="minorHAnsi"/>
        </w:rPr>
        <w:fldChar w:fldCharType="begin" w:fldLock="1"/>
      </w:r>
      <w:r w:rsidR="00312FD5">
        <w:rPr>
          <w:rFonts w:cstheme="minorHAnsi"/>
        </w:rPr>
        <w:instrText>ADDIN CSL_CITATION { "citationItems" : [ { "id" : "ITEM-1", "itemData" : { "abstract" : "Past editions of the IEA\u2019s World Energy Outlook (WEO) have highlighted the unsustainability of current energy trends\u2013 environmentally, economically and socially \u2013 and the urgent need for action to bring about a wholesale global shift to low\u2010carbon technologies. The issue is particularly pertinent this year, as countries around the world negotiate a new global deal on action to address climate change. Energy is at the heart of the problem \u2013 accounting for about 65% of the world\u2019s greenhouse\u2010gas emissions \u2013 and so must be at the heart of the solution. Page | 9 This year\u2019s edition of WEO will include an in\u2010depth analysis of climate policies. The core of the analysis is a climate scenario, one consistent with limiting the concentration of greenhouse gases in the atmosphere to 450 parts per million CO2\u2010equivalent. Key results of this analysis are being published early in this booklet to support the negotiation of a new climate change agreement under the UNFCCC. These results will be presented in early October during the negotiating session in Bangkok, before the final negotiating session in Copenhagen between December 7 and 18. The full report of the 2009 edition of WEO will be published on 10 November 2009. Two scenarios have been modelled in detail for the purpose of this year\u2019s WEO: a Reference Scenario and a 450 Scenario. The Reference Scenario is a picture of how global energy markets would evolve if governments make no changes to their existing policies. It is not a forecast. By contrast, the 450 Scenario analyses measures in the energy sector which might be taken in order to fulfil a co\u2010ordinated global commitment ultimately to stabilise the concentration of greenhouse\u2010gas emissions in the atmosphere at 450 ppm CO2\u2010equivalent. The projections have been derived from the IEA\u2019s World Energy Model (WEM), which models 24 geographical regions.1 This booklet provides the main statistical results of the climate scenario. For comparison purposes, some results from the Reference Scenario have been included. WEO\u20102009 will provide a comprehensive review of global energy supply and demand, energy investment needs and energy\u2010related2 CO2 emissions to 2030 and, besides the focus on climate, in\u2010 depth analyses of natural gas supply and energy supply and demand in the ASEAN region. It provides the first comprehensive analysis of the impact of the financial and economic crisis on energy and CO2 trends. In our Reference Scenario this year, global emissions in 2020 are 1\u2026", "author" : [ { "dropping-particle" : "", "family" : "International Energy Agency", "given" : "", "non-dropping-particle" : "", "parse-names" : false, "suffix" : "" } ], "id" : "ITEM-1", "issue" : "October", "issued" : { "date-parts" : [ [ "2009" ] ] }, "page" : "62", "title" : "How the Energy Sector can Deliver on a Climate Agreement in Copenhagen", "type" : "article-journal" }, "uris" : [ "http://www.mendeley.com/documents/?uuid=83502ff0-7d58-4e98-9117-4caa8737fab1" ] }, { "id" : "ITEM-2", "itemData" : { "abstract" : "The emission of greenhouse gases (GHGs) and their implications to climate change have sparked global interest in understanding the relative contribution of the electrical generation industry. According to the Intergovernmental Panel on Climate Change (IPCC), the world emits approximately 27 gigatonnes of CO2e from multiple sources, with electrical production emitting 10 gigatonnes, or approximately 37% of global emissions. In addition, electricity demand is expected to increase by 43% over the next 20 years. This substantial increase will require the construction of many new power generating facilities and offers the opportunity to construct these new facilities in a way to limit GHG emissions. There are many different electrical generation methods, each having advantages and disadvantages with respect to operational cost, environmental impact, and other factors. In relation to GHG emissions, each generation method produces GHGs in varying quantities through construction, operation (including fuel supply activities), and decommissioning. Some generation methods such as coal fired power plants release the majority of GHGs during operation. Others, such as wind power and nuclear power, release the majority of emissions during construction and decommissioning. Accounting for emissions from all phases of the project (construction, operation, and decommissioning) is called a lifecycle approach. Normalizing the lifecycle emissions with electrical generation allows for a fair comparison of the different generation methods on a per gigawatt-hour basis. The lower the value, the less GHG emissions are emitted. The objective of this report is to provide a comparison of the lifecycle GHG emissions of different electricity generation facilities.", "author" : [ { "dropping-particle" : "", "family" : "World Nuclear Association", "given" : "", "non-dropping-particle" : "", "parse-names" : false, "suffix" : "" } ], "id" : "ITEM-2", "issued" : { "date-parts" : [ [ "2011" ] ] }, "page" : "6", "title" : "Comparison of Lifecycle Greenhouse Gas Emissions of Various Electricity Generation Sources", "type" : "article-journal" }, "uris" : [ "http://www.mendeley.com/documents/?uuid=9526340b-d073-4ab3-8a7e-a5e80f252a3f" ] }, { "id" : "ITEM-3", "itemData" : { "DOI" : "10.1016/j.rser.2006.05.009", "ISBN" : "1364-0321", "ISSN" : "13640321", "abstract" : "Globally, buildings are responsible for approximately 40% of the total world annual energy consumption. Most of this energy is for the provision of lighting, heating, cooling, and air conditioning. Increasing awareness of the environmental impact of CO2 and NOx emissions and CFCs triggered a renewed interest in environmentally friendly cooling, and heating technologies. Under the 1997 Montreal Protocol, governments agreed to phase out chemicals used as refrigerants that have the potential to destroy stratospheric ozone. It was therefore considered desirable to reduce energy consumption and decrease the rate of depletion of world energy reserves and pollution of the environment. This article discusses a comprehensive review of energy sources, environment and sustainable development. This includes all the renewable energy technologies, energy efficiency systems, energy conservation scenarios, energy savings and other mitigation measures necessary to reduce climate change. \u00a9 2006 Elsevier Ltd. All rights reserved.", "author" : [ { "dropping-particle" : "", "family" : "Omer", "given" : "Abdeen Mustafa", "non-dropping-particle" : "", "parse-names" : false, "suffix" : "" } ], "container-title" : "Renewable and Sustainable Energy Reviews", "id" : "ITEM-3", "issue" : "7", "issued" : { "date-parts" : [ [ "2008" ] ] }, "page" : "1789-1821", "title" : "Green energies and the environment", "type" : "article-journal", "volume" : "12" }, "uris" : [ "http://www.mendeley.com/documents/?uuid=0ff3731e-6001-4093-acb6-35739ff62756" ] }, { "id" : "ITEM-4", "itemData" : { "DOI" : "10.2478/mgr-2014-0010", "ISSN" : "1210-8812", "abstract" : "Small-scale renewable energy systems in the context of the development of distributed generation, are discussed for the case of Poland. A distributed energy system is efficient, reliable and environmentally friendly, and is one of the most recent trends in the development of the energy sector in Poland. One of the important dimensions of this process is the creation of micro- and small-power producers based on renewable, locally-available energy sources. It is clear that the development of small-scale renewable energy producers takes place in two ways. One of these is through small hydropower plants, which are the aftermath of hydropower development in areas traditionally associated with water use for energy purposes (northern and western Poland). The second is through other renewable energy sources, mainly biogas and solar energy and located primarily in southern Poland, in highly urbanized areas (e.g. OEl\u00b9skie Voivodship). In conclusion, the development of small-scale renewable energy systems in Poland is regarded as a good option with respect to sustainable development.", "author" : [ { "dropping-particle" : "", "family" : "Chodkowska-Miszczuk", "given" : "Justyna", "non-dropping-particle" : "", "parse-names" : false, "suffix" : "" } ], "container-title" : "Moravian Geographical Reports", "id" : "ITEM-4", "issue" : "2", "issued" : { "date-parts" : [ [ "2014" ] ] }, "page" : "34-43", "title" : "Small-Scale Renewable Energy Systems in the Development of Distributed Generation in Poland", "type" : "article-journal", "volume" : "22" }, "uris" : [ "http://www.mendeley.com/documents/?uuid=3ba38ce1-4918-4eb6-adaa-a3fee9ca10c8" ] } ], "mendeley" : { "formattedCitation" : "(International Energy Agency, 2009; World Nuclear Association, 2011; Omer, 2008; Chodkowska-Miszczuk, 2014)", "plainTextFormattedCitation" : "(International Energy Agency, 2009; World Nuclear Association, 2011; Omer, 2008; Chodkowska-Miszczuk, 2014)", "previouslyFormattedCitation" : "(International Energy Agency, 2009; World Nuclear Association, 2011; Omer, 2008; Chodkowska-Miszczuk, 2014)" }, "properties" : {  }, "schema" : "https://github.com/citation-style-language/schema/raw/master/csl-citation.json" }</w:instrText>
      </w:r>
      <w:r w:rsidRPr="00532C5B">
        <w:rPr>
          <w:rFonts w:cstheme="minorHAnsi"/>
        </w:rPr>
        <w:fldChar w:fldCharType="separate"/>
      </w:r>
      <w:r w:rsidRPr="00532C5B">
        <w:rPr>
          <w:rFonts w:cstheme="minorHAnsi"/>
          <w:noProof/>
        </w:rPr>
        <w:t>(International Energy Agency, 2009; World Nuclear Association, 2011; Omer, 2008; Chodkowska-Miszczuk, 2014)</w:t>
      </w:r>
      <w:r w:rsidRPr="00532C5B">
        <w:rPr>
          <w:rFonts w:cstheme="minorHAnsi"/>
        </w:rPr>
        <w:fldChar w:fldCharType="end"/>
      </w:r>
      <w:r w:rsidRPr="00532C5B">
        <w:rPr>
          <w:rFonts w:cstheme="minorHAnsi"/>
        </w:rPr>
        <w:t xml:space="preserve">. However, the majority of literature on renewable energy transitions has focussed on wealthy countries, such as Denmark, Germany, and the UK </w:t>
      </w:r>
      <w:r w:rsidRPr="00532C5B">
        <w:rPr>
          <w:rFonts w:cstheme="minorHAnsi"/>
        </w:rPr>
        <w:fldChar w:fldCharType="begin" w:fldLock="1"/>
      </w:r>
      <w:r w:rsidR="00312FD5">
        <w:rPr>
          <w:rFonts w:cstheme="minorHAnsi"/>
        </w:rPr>
        <w:instrText>ADDIN CSL_CITATION { "citationItems" : [ { "id" : "ITEM-1", "itemData" : { "abstract" : "This paper describes initial work on transition pathways for a low carbon energy system in the UK, being pursued in a major new research project. The project is a collaboration between leading UK engineers, social scientists and policy analysts, supported by the UK Engineering and Physical Sciences Research Council (EPSRC) and the energy company E.ON UK. The project aims to (a) to learn from past transitions to help explore future transitions and what might enable or avoid them; (b) to design and evaluate transition pathways towards alternative socio-technical energy systems and infrastructures for a low carbon future; and (c) to understand and where appropriate model the changing roles, influences and opportunities of large and small 'actors' in the dynamics of transitions. The paper describes the development of outline transition pathways and the approach to assessing these through electricity network modelling and participatory interviews with stakeholders and end-users. Pathways being investigated include (1) those focussing on large-scale centralised low-carbon supply-side options, with greater roles for any or all of renewables, nuclear and fossil fuels with carbon capture and storage; and (2) those with greater take-up of demand- side options, involving both active demand side management through load shifting and reduction as well as electricity generation at point of use. The paper focuses on how these pathways are being used to assess the extent to which the large-scale and small-scale pathways are compatible, or whether choices need to be made by UK energy policymakers and stakeholders as to which pathway is preferable.", "author" : [ { "dropping-particle" : "", "family" : "Foxon", "given" : "Timothy J.", "non-dropping-particle" : "", "parse-names" : false, "suffix" : "" }, { "dropping-particle" : "", "family" : "Hammond", "given" : "Geoffrey P.", "non-dropping-particle" : "", "parse-names" : false, "suffix" : "" }, { "dropping-particle" : "", "family" : "Pearson", "given" : "Peter J.", "non-dropping-particle" : "", "parse-names" : false, "suffix" : "" } ], "container-title" : "7th BIEE Academic Conference, St Johns College, Oxford", "id" : "ITEM-1", "issue" : "2", "issued" : { "date-parts" : [ [ "2008" ] ] }, "page" : "1-16", "title" : "Transition pathways for a low carbon energy system in the UK: assessing the compatibility of large-scale and small-scale options", "type" : "article-journal" }, "uris" : [ "http://www.mendeley.com/documents/?uuid=ea846ef8-22e5-4c10-9ed1-3bf75c2f3b39" ] }, { "id" : "ITEM-2", "itemData" : { "DOI" : "10.1016/j.renene.2012.06.055", "ISBN" : "0960-1481", "ISSN" : "09601481", "abstract" : "This paper explores the photovoltaic (PV) industry in the United Kingdom (UK) as experienced by those who are working with it directly and with consideration of current standards, module efficiencies and future environmental trends. The government's consultation on the comprehensive review for solar PV tariffs, proposes a reduction of the generation tariff for PV installations in the UK of more than 50%. The introduction of the Feed-In Tariffs scheme (FITs) has rapidly increased deployment of PV technologies at small scale since its introduction in April 2010. The central principle of FIT policies is to offer guaranteed prices for fixed periods to enable greater number of investors. A financial analysis was performed on two real-life installations in Cornwall, UK to determine the impact of proposed cuts to the FIT will make to a typical domestic PV system under 4 kW. The results show that a healthy Return on Investment (ROI) can still be made but that future installations should focus on off-setting electricity required from the national grid as a long term push for true sustainability rather than subsidised schemes. The profitability of future installations will have to be featured within in-service and end-of-service considerations such as the feed-in tariff, module efficiencies and the implications of costs associated with end-of-life disposal. \u00a9 2012 Elsevier Ltd.", "author" : [ { "dropping-particle" : "", "family" : "Cherrington", "given" : "R.", "non-dropping-particle" : "", "parse-names" : false, "suffix" : "" }, { "dropping-particle" : "", "family" : "Goodship", "given" : "V.", "non-dropping-particle" : "", "parse-names" : false, "suffix" : "" }, { "dropping-particle" : "", "family" : "Longfield", "given" : "a.", "non-dropping-particle" : "", "parse-names" : false, "suffix" : "" }, { "dropping-particle" : "", "family" : "Kirwan", "given" : "K.", "non-dropping-particle" : "", "parse-names" : false, "suffix" : "" } ], "container-title" : "Renewable Energy", "id" : "ITEM-2", "issued" : { "date-parts" : [ [ "2013" ] ] }, "page" : "421-426", "title" : "The feed-in tariff in the UK: A case study focus on domestic photovoltaic systems", "type" : "article-journal", "volume" : "50" }, "uris" : [ "http://www.mendeley.com/documents/?uuid=7a5370e9-aa72-4928-ae51-bbe8f9dbf8ac" ] }, { "id" : "ITEM-3", "itemData" : { "DOI" : "10.1016/j.enpol.2010.08.043", "ISBN" : "0301-4215", "ISSN" : "03014215", "abstract" : "The British offshore windfarm programme presages the emergence of Britain as more of a leader than a laggard in renewables, the latter being the status it has hitherto endured in comparison to countries such as Denmark, Germany and Spain. Britain looks increasingly likely to exceed 20% of electricity being supplied from renewable energy by 2020, provided there continues to be adequate financial incentives for renewable energy. This turnaround is associated with increased British concerns about energy dependence on imported natural gas as well as pressure from EU legislation. However there are many planning pressures that countervail the drive for offshore wind power. British planning policy on offshore wind is distinctive (compared to other EU states) for its pragmatic, 'criteria based', approach that appears to favour offshore wind power development. The extent of the British offshore wind power programme is likely to depend heavily on consumer reactions to price increases caused by the offshore wind power programme. ?? 2010 Elsevier Ltd.", "author" : [ { "dropping-particle" : "", "family" : "Toke", "given" : "David", "non-dropping-particle" : "", "parse-names" : false, "suffix" : "" } ], "container-title" : "Energy Policy", "id" : "ITEM-3", "issue" : "2", "issued" : { "date-parts" : [ [ "2011" ] ] }, "page" : "526-534", "publisher" : "Elsevier", "title" : "The UK offshore wind power programme: A sea-change in UK energy policy?", "type" : "article-journal", "volume" : "39" }, "uris" : [ "http://www.mendeley.com/documents/?uuid=380ad43b-1075-462d-a3b1-fea64724861c" ] }, { "id" : "ITEM-4", "itemData" : { "DOI" : "10.1016/j.energy.2006.10.017", "ISBN" : "0360-5442", "ISSN" : "03605442", "abstract" : "This paper discusses the perspective of renewable energy (wind, solar, wave and biomass) in the making of strategies for a sustainable development. Such strategies typically involve three major technological changes: energy savings on the demand side, efficiency improvements in the energy production, and replacement of fossil fuels by various sources of renewable energy. Consequently, large-scale renewable energy implementation plans must include strategies for integrating renewable sources in coherent energy systems influenced by energy savings and efficiency measures. Based on the case of Denmark, this paper discusses the problems and perspectives of converting present energy systems into a 100% renewable energy system. The conclusion is that such development is possible. The necessary renewable energy sources are present, and if further technological improvements of the energy system are achieved the renewable energy system can be created. Especially technologies of converting the transportation sector and the introduction of flexible energy system technologies are crucial. ?? 2006 Elsevier Ltd. All rights reserved.", "author" : [ { "dropping-particle" : "", "family" : "Lund", "given" : "Henrik", "non-dropping-particle" : "", "parse-names" : false, "suffix" : "" } ], "container-title" : "Energy", "id" : "ITEM-4", "issue" : "6", "issued" : { "date-parts" : [ [ "2007" ] ] }, "page" : "912-919", "title" : "Renewable energy strategies for sustainable development", "type" : "article-journal", "volume" : "32" }, "uris" : [ "http://www.mendeley.com/documents/?uuid=c3c932bd-fcaa-4f1a-a22e-4cefe8d7abf0" ] }, { "id" : "ITEM-5", "itemData" : { "DOI" : "10.1016/j.enpol.2004.08.029", "ISBN" : "0301-4215", "ISSN" : "03014215", "PMID" : "387", "abstract" : "To arrest climate change, a transition to a low-carbon economy must take place quite rapidly, within a century at most. Thus, the rate of diffusion of new technologies such as those for the generation of electricity from renewable energy sources becomes a central issue. This article explores the reasons for the particularly rapid spread of two such technologies in Germany, wind turbines and solar cells. We trace this diffusion to the nature of the policy instruments employed and to the political process which led to the adoption of these instruments. The analysis demonstrates how the regulatory framework is formed in a 'battle over institutions' where the German parliament, informed and supported by an advocacy coalition of growing strength, backed support policies for renewables sourced electricity against often reluctant governments and the opposition from nuclear and coal interests. It also demonstrates that this major political and environmental achievement carries a modest price if we consider total costs to society, i.e. including both subsidies to coal and the negative external economies of coal. ?? 2004 Elsevier Ltd. All rights reserved.", "author" : [ { "dropping-particle" : "", "family" : "Jacobsson", "given" : "Staffan", "non-dropping-particle" : "", "parse-names" : false, "suffix" : "" }, { "dropping-particle" : "", "family" : "Lauber", "given" : "Volkmar", "non-dropping-particle" : "", "parse-names" : false, "suffix" : "" } ], "container-title" : "Energy Policy", "id" : "ITEM-5", "issue" : "3", "issued" : { "date-parts" : [ [ "2006" ] ] }, "page" : "256-276", "title" : "The politics and policy of energy system transformation - Explaining the German diffusion of renewable energy technology", "type" : "article-journal", "volume" : "34" }, "uris" : [ "http://www.mendeley.com/documents/?uuid=1ae4a909-422c-4159-9767-50e1148ce776" ] }, { "id" : "ITEM-6", "itemData" : { "DOI" : "10.1016/j.enpol.2012.04.076", "ISBN" : "0301-4215", "ISSN" : "03014215", "abstract" : "The labor market implications of large investment into renewable energy (RE) are analyzed in this text. Although a growing RE industry can be observed in Germany the overall effect of large increases of RE based electricity and heat generating technologies on the German economy require a careful model based analysis. The applied model PANTA RHEI has been used among others to evaluate the German energy concept in 2010. It takes positive and negative impacts of RE into account. The paper shows the overall effects under different assumptions for fossil fuel prices, domestic installations and international trade. The results are sensitive to assumptions on the development of RE world markets and German exports to these markets. Almost all of these scenarios exhibit positive net employment effects. Under medium assumptions net employment of RE expansion will reach around 150 thousand in 2030. Only with assumptions for German RE exports below today's level, net impacts are slightly negative. Gross employment will increase from 340 thousand in 2009 to between 500 and 600 thousand in 2030. ?? 2012 Elsevier Ltd.", "author" : [ { "dropping-particle" : "", "family" : "Lehr", "given" : "Ulrike", "non-dropping-particle" : "", "parse-names" : false, "suffix" : "" }, { "dropping-particle" : "", "family" : "Lutz", "given" : "Christian", "non-dropping-particle" : "", "parse-names" : false, "suffix" : "" }, { "dropping-particle" : "", "family" : "Edler", "given" : "Dietmar", "non-dropping-particle" : "", "parse-names" : false, "suffix" : "" } ], "container-title" : "Energy Policy", "id" : "ITEM-6", "issued" : { "date-parts" : [ [ "2012" ] ] }, "page" : "358-364", "publisher" : "Elsevier", "title" : "Green jobs? Economic impacts of renewable energy in Germany", "type" : "article-journal", "volume" : "47" }, "uris" : [ "http://www.mendeley.com/documents/?uuid=952dc1e1-16ca-4e00-9020-ca6ff2cd0301" ] }, { "id" : "ITEM-7", "itemData" : { "DOI" : "10.1080/09644001003793222", "ISSN" : "0964-4008", "abstract" : "For the past 20 years, Germany has witnessed a remarkable expansion in renewable energy production due to the introduction and further development of a feed-in-tariff model (FITM). This comprehensive and rapid policy change is surprising given the many veto points in Germany\u2019s political system and the fact that a powerful alliance objected to an expansion of renewable energy (RE). To explain this puzzle, this study relies on insights from historical institu- tionalism and policy analysis. I argue that historical contingency and critical juncture opened a window of opportunity for the pro-RE alliance in the late 1980s. Policy entrepreneurs subsequently used the opportunity to advance the FITM. Once introduced, this institution developed a self-reinforcing economic dynamic. Policy entrepreneurs in the parliament and the Ministry for the Environment translated economic gains into political leverage, which was crucial to defend the FITM from counterattacks in the following years. INTRODUCTION How do comprehensive policy changes occur in political systems that consi", "author" : [ { "dropping-particle" : "", "family" : "Stefes", "given" : "Christoph H", "non-dropping-particle" : "", "parse-names" : false, "suffix" : "" } ], "container-title" : "German Politics", "id" : "ITEM-7", "issue" : "2", "issued" : { "date-parts" : [ [ "2010" ] ] }, "page" : "148-163", "title" : "Bypassing Germany's Reformstau: The Remarkable Rise of Renewable Energy", "type" : "article-journal", "volume" : "19" }, "uris" : [ "http://www.mendeley.com/documents/?uuid=c0291655-3f22-4606-b1dd-9d0a45486e37" ] } ], "mendeley" : { "formattedCitation" : "(Foxon et al., 2008; Cherrington et al., 2013; Toke, 2011; Lund, 2007; Jacobsson and Lauber, 2006; Lehr et al., 2012; Stefes, 2010)", "plainTextFormattedCitation" : "(Foxon et al., 2008; Cherrington et al., 2013; Toke, 2011; Lund, 2007; Jacobsson and Lauber, 2006; Lehr et al., 2012; Stefes, 2010)", "previouslyFormattedCitation" : "(Foxon et al., 2008; Cherrington et al., 2013; Toke, 2011; Lund, 2007; Jacobsson and Lauber, 2006; Lehr et al., 2012; Stefes, 2010)" }, "properties" : {  }, "schema" : "https://github.com/citation-style-language/schema/raw/master/csl-citation.json" }</w:instrText>
      </w:r>
      <w:r w:rsidRPr="00532C5B">
        <w:rPr>
          <w:rFonts w:cstheme="minorHAnsi"/>
        </w:rPr>
        <w:fldChar w:fldCharType="separate"/>
      </w:r>
      <w:r w:rsidRPr="00532C5B">
        <w:rPr>
          <w:rFonts w:cstheme="minorHAnsi"/>
          <w:noProof/>
        </w:rPr>
        <w:t xml:space="preserve">(Foxon </w:t>
      </w:r>
      <w:r w:rsidRPr="00532C5B">
        <w:rPr>
          <w:rFonts w:cstheme="minorHAnsi"/>
          <w:i/>
          <w:noProof/>
        </w:rPr>
        <w:t>et al.</w:t>
      </w:r>
      <w:r w:rsidRPr="00532C5B">
        <w:rPr>
          <w:rFonts w:cstheme="minorHAnsi"/>
          <w:noProof/>
        </w:rPr>
        <w:t xml:space="preserve">, 2008; Cherrington </w:t>
      </w:r>
      <w:r w:rsidRPr="00532C5B">
        <w:rPr>
          <w:rFonts w:cstheme="minorHAnsi"/>
          <w:i/>
          <w:noProof/>
        </w:rPr>
        <w:t>et al.</w:t>
      </w:r>
      <w:r w:rsidRPr="00532C5B">
        <w:rPr>
          <w:rFonts w:cstheme="minorHAnsi"/>
          <w:noProof/>
        </w:rPr>
        <w:t xml:space="preserve">, 2013; Toke, 2011; Lund, 2007; Jacobsson and Lauber, 2006; Lehr </w:t>
      </w:r>
      <w:r w:rsidRPr="00532C5B">
        <w:rPr>
          <w:rFonts w:cstheme="minorHAnsi"/>
          <w:i/>
          <w:noProof/>
        </w:rPr>
        <w:t>et al.</w:t>
      </w:r>
      <w:r w:rsidRPr="00532C5B">
        <w:rPr>
          <w:rFonts w:cstheme="minorHAnsi"/>
          <w:noProof/>
        </w:rPr>
        <w:t xml:space="preserve">, 2012; </w:t>
      </w:r>
      <w:r w:rsidRPr="00532C5B">
        <w:rPr>
          <w:rFonts w:cstheme="minorHAnsi"/>
          <w:noProof/>
        </w:rPr>
        <w:lastRenderedPageBreak/>
        <w:t>Stefes, 2010)</w:t>
      </w:r>
      <w:r w:rsidRPr="00532C5B">
        <w:rPr>
          <w:rFonts w:cstheme="minorHAnsi"/>
        </w:rPr>
        <w:fldChar w:fldCharType="end"/>
      </w:r>
      <w:r w:rsidRPr="00532C5B">
        <w:rPr>
          <w:rFonts w:cstheme="minorHAnsi"/>
        </w:rPr>
        <w:t>. It is therefore important to address how well these assumptions and potential benefits stand up in a less-wealthy country.</w:t>
      </w:r>
    </w:p>
    <w:p w:rsidR="000713A2" w:rsidRPr="00532C5B" w:rsidRDefault="000713A2" w:rsidP="00312FD5">
      <w:pPr>
        <w:spacing w:after="0"/>
        <w:ind w:firstLine="720"/>
        <w:contextualSpacing/>
        <w:rPr>
          <w:rFonts w:cstheme="minorHAnsi"/>
        </w:rPr>
      </w:pPr>
      <w:r w:rsidRPr="00532C5B">
        <w:rPr>
          <w:rFonts w:cstheme="minorHAnsi"/>
        </w:rPr>
        <w:t>Furthermore, the benefits of renewable energy transitions resonate with several aspects of energy justice</w:t>
      </w:r>
      <w:r w:rsidR="00EF30E4">
        <w:rPr>
          <w:rFonts w:cstheme="minorHAnsi"/>
        </w:rPr>
        <w:t>. These</w:t>
      </w:r>
      <w:r w:rsidRPr="00532C5B">
        <w:rPr>
          <w:rFonts w:cstheme="minorHAnsi"/>
        </w:rPr>
        <w:t xml:space="preserve"> aim to ensure access to clean and affordable energy, and to overcome the unequal distribution of environmental ills associated with the production and use of energy through an inclusive and transparent process in the development and implementation of energy projects and policies </w:t>
      </w:r>
      <w:r w:rsidRPr="00532C5B">
        <w:rPr>
          <w:rFonts w:cstheme="minorHAnsi"/>
        </w:rPr>
        <w:fldChar w:fldCharType="begin" w:fldLock="1"/>
      </w:r>
      <w:r w:rsidR="00312FD5">
        <w:rPr>
          <w:rFonts w:cstheme="minorHAnsi"/>
        </w:rPr>
        <w:instrText>ADDIN CSL_CITATION { "citationItems" : [ { "id" : "ITEM-1", "itemData" : { "DOI" : "10.1016/j.enpol.2017.01.052", "ISSN" : "03014215", "author" : [ { "dropping-particle" : "", "family" : "Jenkins", "given" : "Kirsten", "non-dropping-particle" : "", "parse-names" : false, "suffix" : "" }, { "dropping-particle" : "", "family" : "McCauley", "given" : "Darren", "non-dropping-particle" : "", "parse-names" : false, "suffix" : "" }, { "dropping-particle" : "", "family" : "Forman", "given" : "Alister", "non-dropping-particle" : "", "parse-names" : false, "suffix" : "" } ], "container-title" : "Energy Policy", "id" : "ITEM-1", "issue" : "xxxx", "issued" : { "date-parts" : [ [ "2017" ] ] }, "page" : "631-634", "title" : "Energy justice: A policy approach", "type" : "article-journal", "volume" : "105" }, "uris" : [ "http://www.mendeley.com/documents/?uuid=c919a968-a4e1-4004-82ad-272229d28555" ] } ], "mendeley" : { "formattedCitation" : "(Jenkins et al., 2017)", "plainTextFormattedCitation" : "(Jenkins et al., 2017)", "previouslyFormattedCitation" : "(Jenkins et al., 2017)" }, "properties" : {  }, "schema" : "https://github.com/citation-style-language/schema/raw/master/csl-citation.json" }</w:instrText>
      </w:r>
      <w:r w:rsidRPr="00532C5B">
        <w:rPr>
          <w:rFonts w:cstheme="minorHAnsi"/>
        </w:rPr>
        <w:fldChar w:fldCharType="separate"/>
      </w:r>
      <w:r w:rsidRPr="00532C5B">
        <w:rPr>
          <w:rFonts w:cstheme="minorHAnsi"/>
          <w:noProof/>
        </w:rPr>
        <w:t xml:space="preserve">(Jenkins </w:t>
      </w:r>
      <w:r w:rsidRPr="00532C5B">
        <w:rPr>
          <w:rFonts w:cstheme="minorHAnsi"/>
          <w:i/>
          <w:noProof/>
        </w:rPr>
        <w:t>et al.</w:t>
      </w:r>
      <w:r w:rsidRPr="00532C5B">
        <w:rPr>
          <w:rFonts w:cstheme="minorHAnsi"/>
          <w:noProof/>
        </w:rPr>
        <w:t>, 2017)</w:t>
      </w:r>
      <w:r w:rsidRPr="00532C5B">
        <w:rPr>
          <w:rFonts w:cstheme="minorHAnsi"/>
        </w:rPr>
        <w:fldChar w:fldCharType="end"/>
      </w:r>
      <w:r w:rsidRPr="00532C5B">
        <w:rPr>
          <w:rFonts w:cstheme="minorHAnsi"/>
        </w:rPr>
        <w:t xml:space="preserve">. </w:t>
      </w:r>
      <w:r w:rsidR="007C2389">
        <w:rPr>
          <w:rFonts w:cstheme="minorHAnsi"/>
        </w:rPr>
        <w:t xml:space="preserve">Based on Jenkins </w:t>
      </w:r>
      <w:r w:rsidR="007C2389">
        <w:rPr>
          <w:rFonts w:cstheme="minorHAnsi"/>
          <w:i/>
        </w:rPr>
        <w:t xml:space="preserve">et al. </w:t>
      </w:r>
      <w:r w:rsidR="007C2389">
        <w:rPr>
          <w:rFonts w:cstheme="minorHAnsi"/>
          <w:i/>
        </w:rPr>
        <w:fldChar w:fldCharType="begin" w:fldLock="1"/>
      </w:r>
      <w:r w:rsidR="007C2389">
        <w:rPr>
          <w:rFonts w:cstheme="minorHAnsi"/>
          <w:i/>
        </w:rPr>
        <w:instrText>ADDIN CSL_CITATION { "citationItems" : [ { "id" : "ITEM-1", "itemData" : { "author" : [ { "dropping-particle" : "", "family" : "Jenkins", "given" : "Kirsten", "non-dropping-particle" : "", "parse-names" : false, "suffix" : "" }, { "dropping-particle" : "", "family" : "McCauley", "given" : "Darren", "non-dropping-particle" : "", "parse-names" : false, "suffix" : "" }, { "dropping-particle" : "", "family" : "Heffron", "given" : "Raphael", "non-dropping-particle" : "", "parse-names" : false, "suffix" : "" }, { "dropping-particle" : "", "family" : "Stephan", "given" : "Hannes", "non-dropping-particle" : "", "parse-names" : false, "suffix" : "" }, { "dropping-particle" : "", "family" : "Rehner", "given" : "Robert", "non-dropping-particle" : "", "parse-names" : false, "suffix" : "" } ], "container-title" : "Energy Research &amp; Social Science", "id" : "ITEM-1", "issued" : { "date-parts" : [ [ "2016" ] ] }, "page" : "174-182", "publisher" : "Elsevier Ltd", "title" : "Energy justice : A conceptual review", "type" : "article-journal", "volume" : "11" }, "suppress-author" : 1, "uris" : [ "http://www.mendeley.com/documents/?uuid=6f510ba1-a196-4e39-b5d8-b87047ec5477" ] } ], "mendeley" : { "formattedCitation" : "(2016)", "plainTextFormattedCitation" : "(2016)", "previouslyFormattedCitation" : "(2016)" }, "properties" : {  }, "schema" : "https://github.com/citation-style-language/schema/raw/master/csl-citation.json" }</w:instrText>
      </w:r>
      <w:r w:rsidR="007C2389">
        <w:rPr>
          <w:rFonts w:cstheme="minorHAnsi"/>
          <w:i/>
        </w:rPr>
        <w:fldChar w:fldCharType="separate"/>
      </w:r>
      <w:r w:rsidR="007C2389" w:rsidRPr="007C2389">
        <w:rPr>
          <w:rFonts w:cstheme="minorHAnsi"/>
          <w:noProof/>
        </w:rPr>
        <w:t>(2016)</w:t>
      </w:r>
      <w:r w:rsidR="007C2389">
        <w:rPr>
          <w:rFonts w:cstheme="minorHAnsi"/>
          <w:i/>
        </w:rPr>
        <w:fldChar w:fldCharType="end"/>
      </w:r>
      <w:r w:rsidR="007C2389">
        <w:rPr>
          <w:rFonts w:cstheme="minorHAnsi"/>
        </w:rPr>
        <w:t xml:space="preserve"> e</w:t>
      </w:r>
      <w:r w:rsidRPr="00532C5B">
        <w:rPr>
          <w:rFonts w:cstheme="minorHAnsi"/>
        </w:rPr>
        <w:t xml:space="preserve">nergy justice provides a comprehensive analytical framework for researching energy systems, and can be applied as a “conceptual tool for ethicists, an analytical tool for energy researchers, and a decision-making tool for policy-makers” </w:t>
      </w:r>
      <w:r w:rsidRPr="00532C5B">
        <w:rPr>
          <w:rFonts w:cstheme="minorHAnsi"/>
        </w:rPr>
        <w:fldChar w:fldCharType="begin" w:fldLock="1"/>
      </w:r>
      <w:r w:rsidR="00312FD5">
        <w:rPr>
          <w:rFonts w:cstheme="minorHAnsi"/>
        </w:rPr>
        <w:instrText>ADDIN CSL_CITATION { "citationItems" : [ { "id" : "ITEM-1", "itemData" : { "DOI" : "10.1016/j.apenergy.2015.01.002", "ISBN" : "0306-2619", "ISSN" : "03062619", "abstract" : "Though it is far from obvious, concepts from justice, philosophy, and ethics can significantly inform energy consumers and producers. This study details how energy justice can serve as a novel conceptual tool for philosophers and ethicists that better integrates usually distinct distributive and procedural justice concerns. Energy justice serves as an important analytical tool for energy researchers striving to understand how values get built into energy systems or to resolve common energy problems. Energy justice presents a useful decision-making tool that can assist energy planners and consumers in making more informed energy choices. Our energy justice framework has elements of Kantian ethics, which takes each person as an end. It has libertarian elements of freedom and choice, suggesting that good societies present people with a set of opportunities or substantial freedoms, so they can choose to exercise these or not. It is pluralist about value, holding that capabilities for people are different and also that their own interests vary. It is concerned with justice as recognition, noting that failures of procedural justice can result in discrimination and marginalization. It, also, has elements focused on utilitarianism and welfare, attempting to improve the quality of life for all people, as defined by their capabilities.", "author" : [ { "dropping-particle" : "", "family" : "Sovacool", "given" : "Benjamin K.", "non-dropping-particle" : "", "parse-names" : false, "suffix" : "" }, { "dropping-particle" : "", "family" : "Dworkin", "given" : "Michael H.", "non-dropping-particle" : "", "parse-names" : false, "suffix" : "" } ], "container-title" : "Applied Energy", "id" : "ITEM-1", "issued" : { "date-parts" : [ [ "2015" ] ] }, "page" : "435-444", "publisher" : "Elsevier Ltd", "title" : "Energy justice: Conceptual insights and practical applications", "type" : "article-journal", "volume" : "142" }, "uris" : [ "http://www.mendeley.com/documents/?uuid=d1bba0ae-3285-4dad-ab59-1440cc797b30" ] }, { "id" : "ITEM-2", "itemData" : { "DOI" : "10.1016/j.enpol.2017.03.004", "ISSN" : "03014215", "abstract" : "The energy justice framework serves as an important decision-making tool in order to understand how different principles of justice can inform energy systems and policies. The realization of the urgency of providing modern energy technology and services particularly to rural areas has prompted both the Nepalese government and development institutions to focus on community-run renewable energy facilities. It is argued that off-grid and micro-scale energy development offers an alternative path to fossil-fuel use and top-down resource management as they democratize the grid and increase marginalized communities' access to renewable energy, education and health care. However, Nepal's energy development is also heavily influenced by demands from the fast-growing economies of neighboring countries such as China and India. As a result, this article evaluates the Nepalese national energy policies by applying the key aspects of the energy justice framework and showing the feasibility constraints due to geopolitical and biophysical factors to the implementation of energy just policies in this developing country context. The empirical evidence is derived from interviews during a one-month fieldwork in the Lalitpur and Katmandu districts of Nepal, site-visits, discourse analysis of expert statements, government policies and newspaper articles as well literature review on peer-review articles.", "author" : [ { "dropping-particle" : "", "family" : "Islar", "given" : "Mine", "non-dropping-particle" : "", "parse-names" : false, "suffix" : "" }, { "dropping-particle" : "", "family" : "Brogaard", "given" : "Sara", "non-dropping-particle" : "", "parse-names" : false, "suffix" : "" }, { "dropping-particle" : "", "family" : "Lemberg-Pedersen", "given" : "Martin", "non-dropping-particle" : "", "parse-names" : false, "suffix" : "" } ], "container-title" : "Energy Policy", "id" : "ITEM-2", "issue" : "March", "issued" : { "date-parts" : [ [ "2017" ] ] }, "page" : "668-676", "title" : "Feasibility of energy justice: Exploring national and local efforts for energy development in Nepal", "type" : "article-journal", "volume" : "105" }, "locator" : "671", "uris" : [ "http://www.mendeley.com/documents/?uuid=1355079b-e933-45da-a912-cb1351f3c332" ] } ], "mendeley" : { "formattedCitation" : "(Sovacool and Dworkin, 2015; Islar et al., 2017, p.671)", "plainTextFormattedCitation" : "(Sovacool and Dworkin, 2015; Islar et al., 2017, p.671)", "previouslyFormattedCitation" : "(Sovacool and Dworkin, 2015; Islar et al., 2017, p.671)"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(Sovacool and Dworkin, 2015; Islar </w:t>
      </w:r>
      <w:r w:rsidRPr="00532C5B">
        <w:rPr>
          <w:rFonts w:cstheme="minorHAnsi"/>
          <w:i/>
          <w:noProof/>
        </w:rPr>
        <w:t>et al.</w:t>
      </w:r>
      <w:r w:rsidRPr="00532C5B">
        <w:rPr>
          <w:rFonts w:cstheme="minorHAnsi"/>
          <w:noProof/>
        </w:rPr>
        <w:t>, 2017, p.671)</w:t>
      </w:r>
      <w:r w:rsidRPr="00532C5B">
        <w:rPr>
          <w:rFonts w:cstheme="minorHAnsi"/>
        </w:rPr>
        <w:fldChar w:fldCharType="end"/>
      </w:r>
      <w:r w:rsidRPr="00532C5B">
        <w:rPr>
          <w:rFonts w:cstheme="minorHAnsi"/>
        </w:rPr>
        <w:t xml:space="preserve">. </w:t>
      </w:r>
      <w:r w:rsidR="00312FD5">
        <w:rPr>
          <w:rFonts w:cstheme="minorHAnsi"/>
        </w:rPr>
        <w:t>While selected works have addressed burdens and benefits of</w:t>
      </w:r>
      <w:r w:rsidR="00312FD5" w:rsidRPr="00312FD5">
        <w:rPr>
          <w:rFonts w:cstheme="minorHAnsi"/>
        </w:rPr>
        <w:t xml:space="preserve"> </w:t>
      </w:r>
      <w:r w:rsidR="00312FD5" w:rsidRPr="00532C5B">
        <w:rPr>
          <w:rFonts w:cstheme="minorHAnsi"/>
        </w:rPr>
        <w:t>renewable energy transitions</w:t>
      </w:r>
      <w:r w:rsidR="00312FD5">
        <w:rPr>
          <w:rFonts w:cstheme="minorHAnsi"/>
        </w:rPr>
        <w:t xml:space="preserve"> </w:t>
      </w:r>
      <w:r w:rsidR="00312FD5">
        <w:rPr>
          <w:rFonts w:cstheme="minorHAnsi"/>
        </w:rPr>
        <w:fldChar w:fldCharType="begin" w:fldLock="1"/>
      </w:r>
      <w:r w:rsidR="00312FD5">
        <w:rPr>
          <w:rFonts w:cstheme="minorHAnsi"/>
        </w:rPr>
        <w:instrText>ADDIN CSL_CITATION { "citationItems" : [ { "id" : "ITEM-1", "itemData" : { "ISBN" : "9781107665088", "author" : [ { "dropping-particle" : "", "family" : "Sovacool", "given" : "Benjamin K.", "non-dropping-particle" : "", "parse-names" : false, "suffix" : "" }, { "dropping-particle" : "", "family" : "Dworkin", "given" : "Michael H.", "non-dropping-particle" : "", "parse-names" : false, "suffix" : "" } ], "id" : "ITEM-1", "issued" : { "date-parts" : [ [ "2014" ] ] }, "publisher" : "Cambridge University Press", "publisher-place" : "Cambridge, UK", "title" : "Global Energy Justice Problems, Principles, and Practices", "type" : "book" }, "uris" : [ "http://www.mendeley.com/documents/?uuid=8226b36a-afa3-4e87-a2e2-944c839e76eb" ] }, { "id" : "ITEM-2", "itemData" : { "DOI" : "10.1016/j.enpol.2016.12.045", "ISSN" : "03014215", "abstract" : "The five Nordic countries have aggressive climate and energy policies in place and have already emerged to be leaders in renewable energy and energy efficiency. Denmark is renowned for its pioneering use of wind energy, Finland and Sweden bioenergy, Norway hydroelectricity and Iceland geothermal energy. All countries aim to be virtually \u201cfossil free\u201d by 2050. This study explores the Nordic energy transition through the lens of three interconnected research questions: How are they doing it? What challenges exist? And what broader lessons result for energy policy? The study firstly investigates the pathways necessary for these five countries to achieve their low-carbon goals. It argues that a concerted effort must be made to (1) promote decentralized and renewable forms of electricity supply; (2) shift to more sustainable forms of transport; (3) further improve the energy efficiency of residential and commercial buildings; and (4) adopt carbon capture and storage technologies for industry. However, the section that follows emphasizes some of the empirical barriers the Nordic transition must confront, namely political contestation, technological contingency, and social justice and recognition concerns. The study concludes with implications for what such historical progress, and future transition pathways, mean for both energy researchers and energy planners.", "author" : [ { "dropping-particle" : "", "family" : "Sovacool", "given" : "Benjamin K.", "non-dropping-particle" : "", "parse-names" : false, "suffix" : "" } ], "container-title" : "Energy Policy", "id" : "ITEM-2", "issued" : { "date-parts" : [ [ "2017" ] ] }, "page" : "569-582", "title" : "Contestation, contingency, and justice in the Nordic low-carbon energy transition", "type" : "article-journal", "volume" : "102" }, "uris" : [ "http://www.mendeley.com/documents/?uuid=5d69b625-b746-4bba-a0fd-cd2a31493d47" ] } ], "mendeley" : { "formattedCitation" : "(Sovacool and Dworkin, 2014; Sovacool, 2017)", "plainTextFormattedCitation" : "(Sovacool and Dworkin, 2014; Sovacool, 2017)", "previouslyFormattedCitation" : "(Sovacool and Dworkin, 2014; Sovacool, 2017)" }, "properties" : {  }, "schema" : "https://github.com/citation-style-language/schema/raw/master/csl-citation.json" }</w:instrText>
      </w:r>
      <w:r w:rsidR="00312FD5">
        <w:rPr>
          <w:rFonts w:cstheme="minorHAnsi"/>
        </w:rPr>
        <w:fldChar w:fldCharType="separate"/>
      </w:r>
      <w:r w:rsidR="00312FD5" w:rsidRPr="00312FD5">
        <w:rPr>
          <w:rFonts w:cstheme="minorHAnsi"/>
          <w:noProof/>
        </w:rPr>
        <w:t>(Sovacool and Dworkin, 2014; Sovacool, 2017)</w:t>
      </w:r>
      <w:r w:rsidR="00312FD5">
        <w:rPr>
          <w:rFonts w:cstheme="minorHAnsi"/>
        </w:rPr>
        <w:fldChar w:fldCharType="end"/>
      </w:r>
      <w:r w:rsidR="00312FD5">
        <w:rPr>
          <w:rFonts w:cstheme="minorHAnsi"/>
        </w:rPr>
        <w:t xml:space="preserve">, </w:t>
      </w:r>
      <w:r w:rsidRPr="00532C5B">
        <w:rPr>
          <w:rFonts w:cstheme="minorHAnsi"/>
        </w:rPr>
        <w:t>to the best of our knowledge, there has so far not been an inclusive analysis of the</w:t>
      </w:r>
      <w:r w:rsidR="00312FD5">
        <w:rPr>
          <w:rFonts w:cstheme="minorHAnsi"/>
        </w:rPr>
        <w:t>m</w:t>
      </w:r>
      <w:r w:rsidRPr="00532C5B">
        <w:rPr>
          <w:rFonts w:cstheme="minorHAnsi"/>
        </w:rPr>
        <w:t xml:space="preserve"> in terms of energy justice. This gap on comprehensively establishing potential synergies between the objectives of energy justice and the impacts of renewable energy transitions is evident in both the renewable energy and energy justice literatures, although renewables do take a prominent role in energy justice debates </w:t>
      </w:r>
      <w:r w:rsidRPr="00532C5B">
        <w:rPr>
          <w:rFonts w:cstheme="minorHAnsi"/>
        </w:rPr>
        <w:fldChar w:fldCharType="begin" w:fldLock="1"/>
      </w:r>
      <w:r w:rsidR="00312FD5">
        <w:rPr>
          <w:rFonts w:cstheme="minorHAnsi"/>
        </w:rPr>
        <w:instrText>ADDIN CSL_CITATION { "citationItems" : [ { "id" : "ITEM-1", "itemData" : { "DOI" : "10.1016/j.erss.2015.08.004", "ISBN" : "2214-6296", "ISSN" : "22146296", "abstract" : "Concepts of justice are now routinely mobilised in environmental and climate change activism, with movements for environmental and climate justice emerging around the world. More recently, the concept of energy justice has gained prominence, most frequently framed in terms of access to affordable energy and fuel poverty but also related to the politics of energy infrastructures. To date however, there has been little critical interrogation of energy justice in relation to actions undertaken by activist and advocacy movements. In this paper, we set out an analysis of the concept of 'energy justice' from the perspective of framing. Drawing on research with organisations in Philadelphia, Paris and Berlin, the paper explores the articulation and elaboration of an energy justice frame. In so doing, it explores how such actors strategically frame their interpretation of energy justice, considers the overall emergence of an energy justice frame, and draws out an agenda for future research.", "author" : [ { "dropping-particle" : "", "family" : "Fuller", "given" : "Sara", "non-dropping-particle" : "", "parse-names" : false, "suffix" : "" }, { "dropping-particle" : "", "family" : "McCauley", "given" : "Darren", "non-dropping-particle" : "", "parse-names" : false, "suffix" : "" } ], "container-title" : "Energy Research and Social Science", "id" : "ITEM-1", "issued" : { "date-parts" : [ [ "2016" ] ] }, "page" : "1-8", "publisher" : "Elsevier Ltd", "title" : "Framing energy justice: Perspectives from activism and advocacy", "type" : "article-journal", "volume" : "11" }, "uris" : [ "http://www.mendeley.com/documents/?uuid=2641a656-c383-46ff-9a0d-5cc540cd979b" ] }, { "id" : "ITEM-2", "itemData" : { "DOI" : "10.1016/j.enpol.2017.01.052", "ISSN" : "03014215", "author" : [ { "dropping-particle" : "", "family" : "Jenkins", "given" : "Kirsten", "non-dropping-particle" : "", "parse-names" : false, "suffix" : "" }, { "dropping-particle" : "", "family" : "McCauley", "given" : "Darren", "non-dropping-particle" : "", "parse-names" : false, "suffix" : "" }, { "dropping-particle" : "", "family" : "Forman", "given" : "Alister", "non-dropping-particle" : "", "parse-names" : false, "suffix" : "" } ], "container-title" : "Energy Policy", "id" : "ITEM-2", "issue" : "xxxx", "issued" : { "date-parts" : [ [ "2017" ] ] }, "page" : "631-634", "title" : "Energy justice: A policy approach", "type" : "article-journal", "volume" : "105" }, "uris" : [ "http://www.mendeley.com/documents/?uuid=c919a968-a4e1-4004-82ad-272229d28555" ] }, { "id" : "ITEM-3", "itemData" : { "author" : [ { "dropping-particle" : "", "family" : "Jenkins", "given" : "Kirsten", "non-dropping-particle" : "", "parse-names" : false, "suffix" : "" }, { "dropping-particle" : "", "family" : "McCauley", "given" : "Darren", "non-dropping-particle" : "", "parse-names" : false, "suffix" : "" }, { "dropping-particle" : "", "family" : "Heffron", "given" : "Raphael", "non-dropping-particle" : "", "parse-names" : false, "suffix" : "" }, { "dropping-particle" : "", "family" : "Stephan", "given" : "Hannes", "non-dropping-particle" : "", "parse-names" : false, "suffix" : "" }, { "dropping-particle" : "", "family" : "Rehner", "given" : "Robert", "non-dropping-particle" : "", "parse-names" : false, "suffix" : "" } ], "container-title" : "Energy Research &amp; Social Science", "id" : "ITEM-3", "issued" : { "date-parts" : [ [ "2016" ] ] }, "page" : "174-182", "publisher" : "Elsevier Ltd", "title" : "Energy justice : A conceptual review", "type" : "article-journal", "volume" : "11" }, "uris" : [ "http://www.mendeley.com/documents/?uuid=6f510ba1-a196-4e39-b5d8-b87047ec5477" ] }, { "id" : "ITEM-4", "itemData" : { "DOI" : "10.1016/j.apenergy.2015.01.002", "ISBN" : "0306-2619", "ISSN" : "03062619", "abstract" : "Though it is far from obvious, concepts from justice, philosophy, and ethics can significantly inform energy consumers and producers. This study details how energy justice can serve as a novel conceptual tool for philosophers and ethicists that better integrates usually distinct distributive and procedural justice concerns. Energy justice serves as an important analytical tool for energy researchers striving to understand how values get built into energy systems or to resolve common energy problems. Energy justice presents a useful decision-making tool that can assist energy planners and consumers in making more informed energy choices. Our energy justice framework has elements of Kantian ethics, which takes each person as an end. It has libertarian elements of freedom and choice, suggesting that good societies present people with a set of opportunities or substantial freedoms, so they can choose to exercise these or not. It is pluralist about value, holding that capabilities for people are different and also that their own interests vary. It is concerned with justice as recognition, noting that failures of procedural justice can result in discrimination and marginalization. It, also, has elements focused on utilitarianism and welfare, attempting to improve the quality of life for all people, as defined by their capabilities.", "author" : [ { "dropping-particle" : "", "family" : "Sovacool", "given" : "Benjamin K.", "non-dropping-particle" : "", "parse-names" : false, "suffix" : "" }, { "dropping-particle" : "", "family" : "Dworkin", "given" : "Michael H.", "non-dropping-particle" : "", "parse-names" : false, "suffix" : "" } ], "container-title" : "Applied Energy", "id" : "ITEM-4", "issued" : { "date-parts" : [ [ "2015" ] ] }, "page" : "435-444", "publisher" : "Elsevier Ltd", "title" : "Energy justice: Conceptual insights and practical applications", "type" : "article-journal", "volume" : "142" }, "uris" : [ "http://www.mendeley.com/documents/?uuid=d1bba0ae-3285-4dad-ab59-1440cc797b30" ] } ], "mendeley" : { "formattedCitation" : "(Fuller and McCauley, 2016; Jenkins et al., 2017, 2016; Sovacool and Dworkin, 2015)", "plainTextFormattedCitation" : "(Fuller and McCauley, 2016; Jenkins et al., 2017, 2016; Sovacool and Dworkin, 2015)", "previouslyFormattedCitation" : "(Fuller and McCauley, 2016; Jenkins et al., 2017, 2016; Sovacool and Dworkin, 2015)" }, "properties" : {  }, "schema" : "https://github.com/citation-style-language/schema/raw/master/csl-citation.json" }</w:instrText>
      </w:r>
      <w:r w:rsidRPr="00532C5B">
        <w:rPr>
          <w:rFonts w:cstheme="minorHAnsi"/>
        </w:rPr>
        <w:fldChar w:fldCharType="separate"/>
      </w:r>
      <w:r w:rsidRPr="00532C5B">
        <w:rPr>
          <w:rFonts w:cstheme="minorHAnsi"/>
          <w:noProof/>
        </w:rPr>
        <w:t xml:space="preserve">(Fuller and McCauley, 2016; Jenkins </w:t>
      </w:r>
      <w:r w:rsidRPr="00532C5B">
        <w:rPr>
          <w:rFonts w:cstheme="minorHAnsi"/>
          <w:i/>
          <w:noProof/>
        </w:rPr>
        <w:t>et al.</w:t>
      </w:r>
      <w:r w:rsidRPr="00532C5B">
        <w:rPr>
          <w:rFonts w:cstheme="minorHAnsi"/>
          <w:noProof/>
        </w:rPr>
        <w:t>, 2017, 2016; Sovacool and Dworkin, 2015)</w:t>
      </w:r>
      <w:r w:rsidRPr="00532C5B">
        <w:rPr>
          <w:rFonts w:cstheme="minorHAnsi"/>
        </w:rPr>
        <w:fldChar w:fldCharType="end"/>
      </w:r>
      <w:r w:rsidRPr="00532C5B">
        <w:rPr>
          <w:rFonts w:cstheme="minorHAnsi"/>
        </w:rPr>
        <w:t>. This paper therefore hopes to help close this gap by addressing the societal and economic impacts of Bulgaria’s renewable energy transition in terms of energy justice, and thereby provide a potential pathway for future analyses. It further contributes to our contemporary understanding of the drivers and factors shaping renewable energy transitions in a less</w:t>
      </w:r>
      <w:r w:rsidR="004508BA">
        <w:rPr>
          <w:rFonts w:cstheme="minorHAnsi"/>
        </w:rPr>
        <w:t>-</w:t>
      </w:r>
      <w:r w:rsidRPr="00532C5B">
        <w:rPr>
          <w:rFonts w:cstheme="minorHAnsi"/>
        </w:rPr>
        <w:t xml:space="preserve">wealthy country by analysing the largely under-researched case of Bulgaria. </w:t>
      </w:r>
    </w:p>
    <w:p w:rsidR="000713A2" w:rsidRPr="00532C5B" w:rsidRDefault="000713A2" w:rsidP="00312FD5">
      <w:pPr>
        <w:spacing w:after="0"/>
        <w:ind w:firstLine="720"/>
        <w:contextualSpacing/>
        <w:rPr>
          <w:rFonts w:cstheme="minorHAnsi"/>
        </w:rPr>
      </w:pPr>
      <w:r w:rsidRPr="00532C5B">
        <w:rPr>
          <w:rFonts w:cstheme="minorHAnsi"/>
        </w:rPr>
        <w:t xml:space="preserve">The paper begins with an outline of our </w:t>
      </w:r>
      <w:r w:rsidR="00E74B1F">
        <w:rPr>
          <w:rFonts w:cstheme="minorHAnsi"/>
        </w:rPr>
        <w:t xml:space="preserve">conceptual and </w:t>
      </w:r>
      <w:r w:rsidRPr="00532C5B">
        <w:rPr>
          <w:rFonts w:cstheme="minorHAnsi"/>
        </w:rPr>
        <w:t xml:space="preserve">methodological approach. The analysis first addresses how Bulgaria achieved its 2020 targets. In this section, we conduct a brief policy analysis of the regulatory framework that drove the transition, and draw from a set of semi-structured interviews to identify the key influential factors that established the favourable policy environment. </w:t>
      </w:r>
      <w:r w:rsidR="008646EC">
        <w:rPr>
          <w:rFonts w:cstheme="minorHAnsi"/>
        </w:rPr>
        <w:t>W</w:t>
      </w:r>
      <w:r w:rsidRPr="00532C5B">
        <w:rPr>
          <w:rFonts w:cstheme="minorHAnsi"/>
        </w:rPr>
        <w:t>e</w:t>
      </w:r>
      <w:r w:rsidR="008646EC">
        <w:rPr>
          <w:rFonts w:cstheme="minorHAnsi"/>
        </w:rPr>
        <w:t xml:space="preserve"> then</w:t>
      </w:r>
      <w:r w:rsidRPr="00532C5B">
        <w:rPr>
          <w:rFonts w:cstheme="minorHAnsi"/>
        </w:rPr>
        <w:t xml:space="preserve"> analyse the consequences of Bulgaria’s fast expansion of renewables. In the </w:t>
      </w:r>
      <w:r w:rsidRPr="00532C5B">
        <w:rPr>
          <w:rFonts w:cstheme="minorHAnsi"/>
        </w:rPr>
        <w:lastRenderedPageBreak/>
        <w:t xml:space="preserve">last </w:t>
      </w:r>
      <w:r w:rsidR="008646EC">
        <w:rPr>
          <w:rFonts w:cstheme="minorHAnsi"/>
        </w:rPr>
        <w:t>part</w:t>
      </w:r>
      <w:r w:rsidRPr="00532C5B">
        <w:rPr>
          <w:rFonts w:cstheme="minorHAnsi"/>
        </w:rPr>
        <w:t xml:space="preserve"> of the analysis, we assess the case of Bulgaria’s renewable energy transition through the lens of energy justice.</w:t>
      </w:r>
      <w:r w:rsidR="007C2389">
        <w:rPr>
          <w:rFonts w:cstheme="minorHAnsi"/>
        </w:rPr>
        <w:t xml:space="preserve"> To do so we expand on the existing energy justice framework.</w:t>
      </w:r>
      <w:r w:rsidRPr="00532C5B">
        <w:rPr>
          <w:rFonts w:cstheme="minorHAnsi"/>
        </w:rPr>
        <w:t xml:space="preserve"> We then discuss our findings and offer some conclusions.</w:t>
      </w:r>
    </w:p>
    <w:p w:rsidR="000713A2" w:rsidRPr="00532C5B" w:rsidRDefault="000713A2" w:rsidP="00312FD5">
      <w:pPr>
        <w:spacing w:after="0"/>
        <w:ind w:firstLine="720"/>
        <w:contextualSpacing/>
        <w:rPr>
          <w:rFonts w:cstheme="minorHAnsi"/>
        </w:rPr>
      </w:pPr>
      <w:r w:rsidRPr="00532C5B">
        <w:rPr>
          <w:rFonts w:cstheme="minorHAnsi"/>
        </w:rPr>
        <w:t xml:space="preserve">  </w:t>
      </w:r>
    </w:p>
    <w:p w:rsidR="000713A2" w:rsidRPr="00532C5B" w:rsidRDefault="00E74B1F" w:rsidP="003A4BA4">
      <w:pPr>
        <w:pStyle w:val="Heading2"/>
        <w:numPr>
          <w:ilvl w:val="0"/>
          <w:numId w:val="3"/>
        </w:numPr>
        <w:spacing w:before="0"/>
        <w:ind w:left="426" w:hanging="426"/>
        <w:contextualSpacing/>
        <w:rPr>
          <w:rFonts w:asciiTheme="minorHAnsi" w:hAnsiTheme="minorHAnsi" w:cstheme="minorHAnsi"/>
        </w:rPr>
      </w:pPr>
      <w:bookmarkStart w:id="1" w:name="_Toc496525271"/>
      <w:r>
        <w:rPr>
          <w:rFonts w:asciiTheme="minorHAnsi" w:hAnsiTheme="minorHAnsi" w:cstheme="minorHAnsi"/>
        </w:rPr>
        <w:t xml:space="preserve">Conceptual and </w:t>
      </w:r>
      <w:r w:rsidR="000713A2" w:rsidRPr="00532C5B">
        <w:rPr>
          <w:rFonts w:asciiTheme="minorHAnsi" w:hAnsiTheme="minorHAnsi" w:cstheme="minorHAnsi"/>
        </w:rPr>
        <w:t>Methodological Approach</w:t>
      </w:r>
      <w:bookmarkEnd w:id="1"/>
    </w:p>
    <w:p w:rsidR="000713A2" w:rsidRPr="00532C5B" w:rsidRDefault="000713A2" w:rsidP="00312FD5">
      <w:pPr>
        <w:spacing w:after="0"/>
        <w:contextualSpacing/>
        <w:rPr>
          <w:rFonts w:cstheme="minorHAnsi"/>
        </w:rPr>
      </w:pPr>
      <w:r w:rsidRPr="00532C5B">
        <w:rPr>
          <w:rFonts w:cstheme="minorHAnsi"/>
        </w:rPr>
        <w:t xml:space="preserve">Our analysis employs a mixed-method approach, including a set of semi-structured expert interviews, as well as analyses of major policies and reports, and is supported by secondary sources, such as peer-reviewed articles. Between February and April 2017, we conducted </w:t>
      </w:r>
      <w:r w:rsidR="003A4BA4">
        <w:rPr>
          <w:rFonts w:cstheme="minorHAnsi"/>
        </w:rPr>
        <w:t xml:space="preserve">eight </w:t>
      </w:r>
      <w:r w:rsidRPr="00532C5B">
        <w:rPr>
          <w:rFonts w:cstheme="minorHAnsi"/>
        </w:rPr>
        <w:t>interviews</w:t>
      </w:r>
      <w:r w:rsidR="003945DD">
        <w:rPr>
          <w:rFonts w:cstheme="minorHAnsi"/>
        </w:rPr>
        <w:t xml:space="preserve"> in Bulgaria</w:t>
      </w:r>
      <w:r w:rsidRPr="00532C5B">
        <w:rPr>
          <w:rFonts w:cstheme="minorHAnsi"/>
        </w:rPr>
        <w:t xml:space="preserve"> </w:t>
      </w:r>
      <w:r w:rsidR="003945DD">
        <w:rPr>
          <w:rFonts w:cstheme="minorHAnsi"/>
        </w:rPr>
        <w:t xml:space="preserve">via Skype </w:t>
      </w:r>
      <w:r w:rsidRPr="00532C5B">
        <w:rPr>
          <w:rFonts w:cstheme="minorHAnsi"/>
        </w:rPr>
        <w:t>with members of non-governmental organisations, academia, and the media, as well as politicians and civil servants to establish the factors influencing Bulgaria’s renewable energy transition and to gain insights into its consequences. Interview contributions are coded according to their affiliation.</w:t>
      </w:r>
      <w:r w:rsidRPr="00532C5B">
        <w:rPr>
          <w:rStyle w:val="FootnoteReference"/>
          <w:rFonts w:cstheme="minorHAnsi"/>
        </w:rPr>
        <w:footnoteReference w:id="1"/>
      </w:r>
      <w:r w:rsidRPr="00532C5B">
        <w:rPr>
          <w:rFonts w:cstheme="minorHAnsi"/>
        </w:rPr>
        <w:t xml:space="preserve"> The paper is guided by these semi-structured interviews and supported by the qualitative analysis. </w:t>
      </w:r>
    </w:p>
    <w:p w:rsidR="000713A2" w:rsidRPr="00532C5B" w:rsidRDefault="000713A2" w:rsidP="00312FD5">
      <w:pPr>
        <w:spacing w:after="0"/>
        <w:contextualSpacing/>
        <w:rPr>
          <w:rFonts w:cstheme="minorHAnsi"/>
        </w:rPr>
      </w:pPr>
      <w:r w:rsidRPr="00532C5B">
        <w:rPr>
          <w:rFonts w:cstheme="minorHAnsi"/>
        </w:rPr>
        <w:tab/>
        <w:t>Adding to the findings of the initial investigation we assess Bulgaria’s renewables expansion in light of energy justice. Rooted in environmental justice, this approach questions the justice, equity and fairness of contemporary energy systems</w:t>
      </w:r>
      <w:r w:rsidR="003945DD">
        <w:rPr>
          <w:rFonts w:cstheme="minorHAnsi"/>
        </w:rPr>
        <w:t>.</w:t>
      </w:r>
      <w:r w:rsidRPr="00532C5B">
        <w:rPr>
          <w:rFonts w:cstheme="minorHAnsi"/>
        </w:rPr>
        <w:t xml:space="preserve"> </w:t>
      </w:r>
      <w:r w:rsidR="003945DD">
        <w:rPr>
          <w:rFonts w:cstheme="minorHAnsi"/>
        </w:rPr>
        <w:t xml:space="preserve">As a framework it </w:t>
      </w:r>
      <w:r w:rsidRPr="00532C5B">
        <w:rPr>
          <w:rFonts w:cstheme="minorHAnsi"/>
        </w:rPr>
        <w:t xml:space="preserve">follows the three tenets of distributional justice (benefits and burdens of energy systems), procedural justice (fair, transparent, non-discriminatory and inclusive decision-making processes), and justice as recognition (uphold human dignity) </w:t>
      </w:r>
      <w:r w:rsidRPr="00532C5B">
        <w:rPr>
          <w:rFonts w:cstheme="minorHAnsi"/>
        </w:rPr>
        <w:fldChar w:fldCharType="begin" w:fldLock="1"/>
      </w:r>
      <w:r w:rsidR="003945DD">
        <w:rPr>
          <w:rFonts w:cstheme="minorHAnsi"/>
        </w:rPr>
        <w:instrText>ADDIN CSL_CITATION { "citationItems" : [ { "id" : "ITEM-1", "itemData" : { "author" : [ { "dropping-particle" : "", "family" : "McCauley", "given" : "Darren", "non-dropping-particle" : "", "parse-names" : false, "suffix" : "" }, { "dropping-particle" : "", "family" : "Heffron", "given" : "Raphael J.", "non-dropping-particle" : "", "parse-names" : false, "suffix" : "" }, { "dropping-particle" : "", "family" : "Stephan", "given" : "Hannes", "non-dropping-particle" : "", "parse-names" : false, "suffix" : "" }, { "dropping-particle" : "", "family" : "Jenkins", "given" : "Kirsten", "non-dropping-particle" : "", "parse-names" : false, "suffix" : "" } ], "container-title" : "International Energy Law Review", "id" : "ITEM-1", "issued" : { "date-parts" : [ [ "2013" ] ] }, "title" : "Advancing energy justice: the triumvirate of tenets", "type" : "article-journal" }, "uris" : [ "http://www.mendeley.com/documents/?uuid=92d080b8-ddb9-464a-a6e7-547185579b82" ] }, { "id" : "ITEM-2", "itemData" : { "DOI" : "10.1016/j.enpol.2017.03.004", "ISSN" : "03014215", "abstract" : "The energy justice framework serves as an important decision-making tool in order to understand how different principles of justice can inform energy systems and policies. The realization of the urgency of providing modern energy technology and services particularly to rural areas has prompted both the Nepalese government and development institutions to focus on community-run renewable energy facilities. It is argued that off-grid and micro-scale energy development offers an alternative path to fossil-fuel use and top-down resource management as they democratize the grid and increase marginalized communities' access to renewable energy, education and health care. However, Nepal's energy development is also heavily influenced by demands from the fast-growing economies of neighboring countries such as China and India. As a result, this article evaluates the Nepalese national energy policies by applying the key aspects of the energy justice framework and showing the feasibility constraints due to geopolitical and biophysical factors to the implementation of energy just policies in this developing country context. The empirical evidence is derived from interviews during a one-month fieldwork in the Lalitpur and Katmandu districts of Nepal, site-visits, discourse analysis of expert statements, government policies and newspaper articles as well literature review on peer-review articles.", "author" : [ { "dropping-particle" : "", "family" : "Islar", "given" : "Mine", "non-dropping-particle" : "", "parse-names" : false, "suffix" : "" }, { "dropping-particle" : "", "family" : "Brogaard", "given" : "Sara", "non-dropping-particle" : "", "parse-names" : false, "suffix" : "" }, { "dropping-particle" : "", "family" : "Lemberg-Pedersen", "given" : "Martin", "non-dropping-particle" : "", "parse-names" : false, "suffix" : "" } ], "container-title" : "Energy Policy", "id" : "ITEM-2", "issue" : "March", "issued" : { "date-parts" : [ [ "2017" ] ] }, "page" : "668-676", "title" : "Feasibility of energy justice: Exploring national and local efforts for energy development in Nepal", "type" : "article-journal", "volume" : "105" }, "uris" : [ "http://www.mendeley.com/documents/?uuid=1355079b-e933-45da-a912-cb1351f3c332" ] }, { "id" : "ITEM-3", "itemData" : { "author" : [ { "dropping-particle" : "", "family" : "Jenkins", "given" : "Kirsten", "non-dropping-particle" : "", "parse-names" : false, "suffix" : "" }, { "dropping-particle" : "", "family" : "McCauley", "given" : "Darren", "non-dropping-particle" : "", "parse-names" : false, "suffix" : "" }, { "dropping-particle" : "", "family" : "Heffron", "given" : "Raphael", "non-dropping-particle" : "", "parse-names" : false, "suffix" : "" }, { "dropping-particle" : "", "family" : "Stephan", "given" : "Hannes", "non-dropping-particle" : "", "parse-names" : false, "suffix" : "" }, { "dropping-particle" : "", "family" : "Rehner", "given" : "Robert", "non-dropping-particle" : "", "parse-names" : false, "suffix" : "" } ], "container-title" : "Energy Research &amp; Social Science", "id" : "ITEM-3", "issued" : { "date-parts" : [ [ "2016" ] ] }, "page" : "174-182", "publisher" : "Elsevier Ltd", "title" : "Energy justice : A conceptual review", "type" : "article-journal", "volume" : "11" }, "uris" : [ "http://www.mendeley.com/documents/?uuid=6f510ba1-a196-4e39-b5d8-b87047ec5477" ] } ], "mendeley" : { "formattedCitation" : "(McCauley et al., 2013; Islar et al., 2017; Jenkins et al., 2016)", "plainTextFormattedCitation" : "(McCauley et al., 2013; Islar et al., 2017; Jenkins et al., 2016)", "previouslyFormattedCitation" : "(McCauley et al., 2013; Islar et al., 2017; Jenkins et al., 2016)" }, "properties" : {  }, "schema" : "https://github.com/citation-style-language/schema/raw/master/csl-citation.json" }</w:instrText>
      </w:r>
      <w:r w:rsidRPr="00532C5B">
        <w:rPr>
          <w:rFonts w:cstheme="minorHAnsi"/>
        </w:rPr>
        <w:fldChar w:fldCharType="separate"/>
      </w:r>
      <w:r w:rsidR="003945DD" w:rsidRPr="003945DD">
        <w:rPr>
          <w:rFonts w:cstheme="minorHAnsi"/>
          <w:noProof/>
        </w:rPr>
        <w:t>(McCauley et al., 2013; Islar et al., 2017; Jenkins et al., 2016)</w:t>
      </w:r>
      <w:r w:rsidRPr="00532C5B">
        <w:rPr>
          <w:rFonts w:cstheme="minorHAnsi"/>
        </w:rPr>
        <w:fldChar w:fldCharType="end"/>
      </w:r>
      <w:r w:rsidRPr="00532C5B">
        <w:rPr>
          <w:rFonts w:cstheme="minorHAnsi"/>
        </w:rPr>
        <w:t xml:space="preserve">. Energy justice thereby incorporates issues of economics, scarcity and pollution by focusing on decision-making processes of energy, and its production, generation, and consumption, as well as consequent societal implications though a lens of intra- and intergenerational justice </w:t>
      </w:r>
      <w:r w:rsidRPr="00532C5B">
        <w:rPr>
          <w:rFonts w:cstheme="minorHAnsi"/>
        </w:rPr>
        <w:fldChar w:fldCharType="begin" w:fldLock="1"/>
      </w:r>
      <w:r w:rsidR="00312FD5">
        <w:rPr>
          <w:rFonts w:cstheme="minorHAnsi"/>
        </w:rPr>
        <w:instrText>ADDIN CSL_CITATION { "citationItems" : [ { "id" : "ITEM-1", "itemData" : { "DOI" : "10.1016/j.apenergy.2015.01.002", "ISBN" : "0306-2619", "ISSN" : "03062619", "abstract" : "Though it is far from obvious, concepts from justice, philosophy, and ethics can significantly inform energy consumers and producers. This study details how energy justice can serve as a novel conceptual tool for philosophers and ethicists that better integrates usually distinct distributive and procedural justice concerns. Energy justice serves as an important analytical tool for energy researchers striving to understand how values get built into energy systems or to resolve common energy problems. Energy justice presents a useful decision-making tool that can assist energy planners and consumers in making more informed energy choices. Our energy justice framework has elements of Kantian ethics, which takes each person as an end. It has libertarian elements of freedom and choice, suggesting that good societies present people with a set of opportunities or substantial freedoms, so they can choose to exercise these or not. It is pluralist about value, holding that capabilities for people are different and also that their own interests vary. It is concerned with justice as recognition, noting that failures of procedural justice can result in discrimination and marginalization. It, also, has elements focused on utilitarianism and welfare, attempting to improve the quality of life for all people, as defined by their capabilities.", "author" : [ { "dropping-particle" : "", "family" : "Sovacool", "given" : "Benjamin K.", "non-dropping-particle" : "", "parse-names" : false, "suffix" : "" }, { "dropping-particle" : "", "family" : "Dworkin", "given" : "Michael H.", "non-dropping-particle" : "", "parse-names" : false, "suffix" : "" } ], "container-title" : "Applied Energy", "id" : "ITEM-1", "issued" : { "date-parts" : [ [ "2015" ] ] }, "page" : "435-444", "publisher" : "Elsevier Ltd", "title" : "Energy justice: Conceptual insights and practical applications", "type" : "article-journal", "volume" : "142" }, "uris" : [ "http://www.mendeley.com/documents/?uuid=d1bba0ae-3285-4dad-ab59-1440cc797b30" ] }, { "id" : "ITEM-2", "itemData" : { "DOI" : "10.1016/j.enpol.2017.03.004", "ISSN" : "03014215", "abstract" : "The energy justice framework serves as an important decision-making tool in order to understand how different principles of justice can inform energy systems and policies. The realization of the urgency of providing modern energy technology and services particularly to rural areas has prompted both the Nepalese government and development institutions to focus on community-run renewable energy facilities. It is argued that off-grid and micro-scale energy development offers an alternative path to fossil-fuel use and top-down resource management as they democratize the grid and increase marginalized communities' access to renewable energy, education and health care. However, Nepal's energy development is also heavily influenced by demands from the fast-growing economies of neighboring countries such as China and India. As a result, this article evaluates the Nepalese national energy policies by applying the key aspects of the energy justice framework and showing the feasibility constraints due to geopolitical and biophysical factors to the implementation of energy just policies in this developing country context. The empirical evidence is derived from interviews during a one-month fieldwork in the Lalitpur and Katmandu districts of Nepal, site-visits, discourse analysis of expert statements, government policies and newspaper articles as well literature review on peer-review articles.", "author" : [ { "dropping-particle" : "", "family" : "Islar", "given" : "Mine", "non-dropping-particle" : "", "parse-names" : false, "suffix" : "" }, { "dropping-particle" : "", "family" : "Brogaard", "given" : "Sara", "non-dropping-particle" : "", "parse-names" : false, "suffix" : "" }, { "dropping-particle" : "", "family" : "Lemberg-Pedersen", "given" : "Martin", "non-dropping-particle" : "", "parse-names" : false, "suffix" : "" } ], "container-title" : "Energy Policy", "id" : "ITEM-2", "issue" : "March", "issued" : { "date-parts" : [ [ "2017" ] ] }, "page" : "668-676", "title" : "Feasibility of energy justice: Exploring national and local efforts for energy development in Nepal", "type" : "article-journal", "volume" : "105" }, "uris" : [ "http://www.mendeley.com/documents/?uuid=1355079b-e933-45da-a912-cb1351f3c332" ] } ], "mendeley" : { "formattedCitation" : "(Sovacool and Dworkin, 2015; Islar et al., 2017)", "plainTextFormattedCitation" : "(Sovacool and Dworkin, 2015; Islar et al., 2017)", "previouslyFormattedCitation" : "(Sovacool and Dworkin, 2015; Islar et al., 2017)" }, "properties" : {  }, "schema" : "https://github.com/citation-style-language/schema/raw/master/csl-citation.json" }</w:instrText>
      </w:r>
      <w:r w:rsidRPr="00532C5B">
        <w:rPr>
          <w:rFonts w:cstheme="minorHAnsi"/>
        </w:rPr>
        <w:fldChar w:fldCharType="separate"/>
      </w:r>
      <w:r w:rsidRPr="00532C5B">
        <w:rPr>
          <w:rFonts w:cstheme="minorHAnsi"/>
          <w:noProof/>
        </w:rPr>
        <w:t xml:space="preserve">(Sovacool and Dworkin, 2015; Islar </w:t>
      </w:r>
      <w:r w:rsidRPr="00532C5B">
        <w:rPr>
          <w:rFonts w:cstheme="minorHAnsi"/>
          <w:i/>
          <w:noProof/>
        </w:rPr>
        <w:t>et al.</w:t>
      </w:r>
      <w:r w:rsidRPr="00532C5B">
        <w:rPr>
          <w:rFonts w:cstheme="minorHAnsi"/>
          <w:noProof/>
        </w:rPr>
        <w:t>, 2017)</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B</w:t>
      </w:r>
      <w:r w:rsidR="003945DD">
        <w:rPr>
          <w:rFonts w:cstheme="minorHAnsi"/>
        </w:rPr>
        <w:t>ased on the three justice tenet framework</w:t>
      </w:r>
      <w:r w:rsidRPr="00532C5B">
        <w:rPr>
          <w:rFonts w:cstheme="minorHAnsi"/>
        </w:rPr>
        <w:t xml:space="preserve">, </w:t>
      </w:r>
      <w:proofErr w:type="spellStart"/>
      <w:r w:rsidRPr="00532C5B">
        <w:rPr>
          <w:rFonts w:cstheme="minorHAnsi"/>
        </w:rPr>
        <w:t>Sovacool</w:t>
      </w:r>
      <w:proofErr w:type="spellEnd"/>
      <w:r w:rsidRPr="00532C5B">
        <w:rPr>
          <w:rFonts w:cstheme="minorHAnsi"/>
        </w:rPr>
        <w:t xml:space="preserve"> and Dworkin </w:t>
      </w:r>
      <w:r w:rsidRPr="00532C5B">
        <w:rPr>
          <w:rFonts w:cstheme="minorHAnsi"/>
        </w:rPr>
        <w:fldChar w:fldCharType="begin" w:fldLock="1"/>
      </w:r>
      <w:r w:rsidR="00312FD5">
        <w:rPr>
          <w:rFonts w:cstheme="minorHAnsi"/>
        </w:rPr>
        <w:instrText>ADDIN CSL_CITATION { "citationItems" : [ { "id" : "ITEM-1", "itemData" : { "DOI" : "10.1016/j.apenergy.2015.01.002", "ISBN" : "0306-2619", "ISSN" : "03062619", "abstract" : "Though it is far from obvious, concepts from justice, philosophy, and ethics can significantly inform energy consumers and producers. This study details how energy justice can serve as a novel conceptual tool for philosophers and ethicists that better integrates usually distinct distributive and procedural justice concerns. Energy justice serves as an important analytical tool for energy researchers striving to understand how values get built into energy systems or to resolve common energy problems. Energy justice presents a useful decision-making tool that can assist energy planners and consumers in making more informed energy choices. Our energy justice framework has elements of Kantian ethics, which takes each person as an end. It has libertarian elements of freedom and choice, suggesting that good societies present people with a set of opportunities or substantial freedoms, so they can choose to exercise these or not. It is pluralist about value, holding that capabilities for people are different and also that their own interests vary. It is concerned with justice as recognition, noting that failures of procedural justice can result in discrimination and marginalization. It, also, has elements focused on utilitarianism and welfare, attempting to improve the quality of life for all people, as defined by their capabilities.", "author" : [ { "dropping-particle" : "", "family" : "Sovacool", "given" : "Benjamin K.", "non-dropping-particle" : "", "parse-names" : false, "suffix" : "" }, { "dropping-particle" : "", "family" : "Dworkin", "given" : "Michael H.", "non-dropping-particle" : "", "parse-names" : false, "suffix" : "" } ], "container-title" : "Applied Energy", "id" : "ITEM-1", "issued" : { "date-parts" : [ [ "2015" ] ] }, "page" : "435-444", "publisher" : "Elsevier Ltd", "title" : "Energy justice: Conceptual insights and practical applications", "type" : "article-journal", "volume" : "142" }, "suppress-author" : 1, "uris" : [ "http://www.mendeley.com/documents/?uuid=d1bba0ae-3285-4dad-ab59-1440cc797b30" ] } ], "mendeley" : { "formattedCitation" : "(2015)", "plainTextFormattedCitation" : "(2015)", "previouslyFormattedCitation" : "(2015)" }, "properties" : {  }, "schema" : "https://github.com/citation-style-language/schema/raw/master/csl-citation.json" }</w:instrText>
      </w:r>
      <w:r w:rsidRPr="00532C5B">
        <w:rPr>
          <w:rFonts w:cstheme="minorHAnsi"/>
        </w:rPr>
        <w:fldChar w:fldCharType="separate"/>
      </w:r>
      <w:r w:rsidRPr="00532C5B">
        <w:rPr>
          <w:rFonts w:cstheme="minorHAnsi"/>
          <w:noProof/>
        </w:rPr>
        <w:t>(2015)</w:t>
      </w:r>
      <w:r w:rsidRPr="00532C5B">
        <w:rPr>
          <w:rFonts w:cstheme="minorHAnsi"/>
        </w:rPr>
        <w:fldChar w:fldCharType="end"/>
      </w:r>
      <w:r w:rsidRPr="00532C5B">
        <w:rPr>
          <w:rFonts w:cstheme="minorHAnsi"/>
        </w:rPr>
        <w:t xml:space="preserve"> establish eight principles of energy justice: availability (access to energy), affordability (cost of energy), due process </w:t>
      </w:r>
      <w:r w:rsidRPr="00532C5B">
        <w:rPr>
          <w:rFonts w:cstheme="minorHAnsi"/>
        </w:rPr>
        <w:lastRenderedPageBreak/>
        <w:t xml:space="preserve">(stakeholder participation, rule of law), good governance (fair and transparent decision-making processes; effective, efficient and responsive legislation), sustainability (sustainable use of resources), </w:t>
      </w:r>
      <w:proofErr w:type="spellStart"/>
      <w:r w:rsidRPr="00532C5B">
        <w:rPr>
          <w:rFonts w:cstheme="minorHAnsi"/>
        </w:rPr>
        <w:t>intragenerational</w:t>
      </w:r>
      <w:proofErr w:type="spellEnd"/>
      <w:r w:rsidRPr="00532C5B">
        <w:rPr>
          <w:rFonts w:cstheme="minorHAnsi"/>
        </w:rPr>
        <w:t xml:space="preserve"> equity (equal access to basic energy services), intergenerational equity (right of future generations to live undisturbed of the damage inflicted by today’s energy systems), and responsibility (all nations are responsible to minimise energy-related environmental threats). While these principles allow for a more specialised analysis of energy justice factors, they are highly interrelated and mutually reinforcing. We therefore analyse them in a grouped format</w:t>
      </w:r>
      <w:r w:rsidR="00B97F55">
        <w:rPr>
          <w:rFonts w:cstheme="minorHAnsi"/>
        </w:rPr>
        <w:t xml:space="preserve"> with respect to (</w:t>
      </w:r>
      <w:proofErr w:type="spellStart"/>
      <w:r w:rsidR="00B97F55">
        <w:rPr>
          <w:rFonts w:cstheme="minorHAnsi"/>
        </w:rPr>
        <w:t>i</w:t>
      </w:r>
      <w:proofErr w:type="spellEnd"/>
      <w:r w:rsidR="00B97F55">
        <w:rPr>
          <w:rFonts w:cstheme="minorHAnsi"/>
        </w:rPr>
        <w:t>) due process and good governance, (ii) availability, s</w:t>
      </w:r>
      <w:r w:rsidR="00B97F55" w:rsidRPr="00B97F55">
        <w:rPr>
          <w:rFonts w:cstheme="minorHAnsi"/>
        </w:rPr>
        <w:t xml:space="preserve">ustainability and </w:t>
      </w:r>
      <w:r w:rsidR="00B97F55">
        <w:rPr>
          <w:rFonts w:cstheme="minorHAnsi"/>
        </w:rPr>
        <w:t>a</w:t>
      </w:r>
      <w:r w:rsidR="00B97F55" w:rsidRPr="00B97F55">
        <w:rPr>
          <w:rFonts w:cstheme="minorHAnsi"/>
        </w:rPr>
        <w:t>ffordability</w:t>
      </w:r>
      <w:r w:rsidR="00B97F55">
        <w:rPr>
          <w:rFonts w:cstheme="minorHAnsi"/>
        </w:rPr>
        <w:t>, (iii) and intra- and intergenerational justice, and responsibility</w:t>
      </w:r>
      <w:r w:rsidRPr="00532C5B">
        <w:rPr>
          <w:rFonts w:cstheme="minorHAnsi"/>
        </w:rPr>
        <w:t xml:space="preserve">. Furthermore, justice is an inherently contested concept and therefore, rather than considering justice as an absolute, we seek to identify </w:t>
      </w:r>
      <w:r w:rsidR="00EA7EB9" w:rsidRPr="00532C5B">
        <w:rPr>
          <w:rFonts w:cstheme="minorHAnsi"/>
        </w:rPr>
        <w:t xml:space="preserve">justice </w:t>
      </w:r>
      <w:r w:rsidRPr="00532C5B">
        <w:rPr>
          <w:rFonts w:cstheme="minorHAnsi"/>
        </w:rPr>
        <w:t>trends in Bulgaria’s energy system. In the following we outline the groups of analysis and how we measure achieving, or failing to achieve, greater energy justice in each principle.</w:t>
      </w:r>
    </w:p>
    <w:p w:rsidR="000713A2" w:rsidRPr="00532C5B" w:rsidRDefault="000713A2" w:rsidP="00312FD5">
      <w:pPr>
        <w:spacing w:after="0"/>
        <w:ind w:firstLine="720"/>
        <w:contextualSpacing/>
        <w:rPr>
          <w:rFonts w:cstheme="minorHAnsi"/>
        </w:rPr>
      </w:pPr>
      <w:r w:rsidRPr="00532C5B">
        <w:rPr>
          <w:rFonts w:cstheme="minorHAnsi"/>
        </w:rPr>
        <w:t>We firstly analyse the principles of ‘due process’ and ‘good governance’, addressing primarily the procedural justice and justice as recognition tenets. We identify ‘due process’ through (</w:t>
      </w:r>
      <w:proofErr w:type="spellStart"/>
      <w:r w:rsidRPr="00532C5B">
        <w:rPr>
          <w:rFonts w:cstheme="minorHAnsi"/>
        </w:rPr>
        <w:t>i</w:t>
      </w:r>
      <w:proofErr w:type="spellEnd"/>
      <w:r w:rsidRPr="00532C5B">
        <w:rPr>
          <w:rFonts w:cstheme="minorHAnsi"/>
        </w:rPr>
        <w:t>) the inclusion of relevant stakeholders in the decision-making processes and effective consultations with affected communities, and (ii) the provision of environmental and social impact assessments. ‘Good governance’ is identified according to a low level of corruption, transparent government actions, and the provision of effective, efficient and responsive legislation. We therefore assess (</w:t>
      </w:r>
      <w:proofErr w:type="spellStart"/>
      <w:r w:rsidRPr="00532C5B">
        <w:rPr>
          <w:rFonts w:cstheme="minorHAnsi"/>
        </w:rPr>
        <w:t>i</w:t>
      </w:r>
      <w:proofErr w:type="spellEnd"/>
      <w:r w:rsidRPr="00532C5B">
        <w:rPr>
          <w:rFonts w:cstheme="minorHAnsi"/>
        </w:rPr>
        <w:t>) if the Bulgarian government made information on policies and agreements publicly available, and (ii) if implemented policies achieved their intentions</w:t>
      </w:r>
      <w:r w:rsidR="0002439D">
        <w:rPr>
          <w:rFonts w:cstheme="minorHAnsi"/>
        </w:rPr>
        <w:t>,</w:t>
      </w:r>
      <w:r w:rsidRPr="00532C5B">
        <w:rPr>
          <w:rFonts w:cstheme="minorHAnsi"/>
        </w:rPr>
        <w:t xml:space="preserve"> </w:t>
      </w:r>
      <w:r w:rsidR="0002439D">
        <w:rPr>
          <w:rFonts w:cstheme="minorHAnsi"/>
        </w:rPr>
        <w:t>and were responsive to</w:t>
      </w:r>
      <w:r w:rsidRPr="00532C5B">
        <w:rPr>
          <w:rFonts w:cstheme="minorHAnsi"/>
        </w:rPr>
        <w:t xml:space="preserve"> unforeseen contextual changes. </w:t>
      </w:r>
    </w:p>
    <w:p w:rsidR="000713A2" w:rsidRPr="00532C5B" w:rsidRDefault="000713A2" w:rsidP="00312FD5">
      <w:pPr>
        <w:spacing w:after="0"/>
        <w:ind w:firstLine="720"/>
        <w:contextualSpacing/>
        <w:rPr>
          <w:rFonts w:cstheme="minorHAnsi"/>
        </w:rPr>
      </w:pPr>
      <w:r w:rsidRPr="00532C5B">
        <w:rPr>
          <w:rFonts w:cstheme="minorHAnsi"/>
        </w:rPr>
        <w:t xml:space="preserve">Secondly, we focus on the distributive justice tenet by determining the availability, affordability and sustainability principles. As ‘availability’ is improved if a country can guarantee the undisrupted provision of high-quality energy services to its population, we determine improvements </w:t>
      </w:r>
      <w:r w:rsidRPr="00532C5B">
        <w:rPr>
          <w:rFonts w:cstheme="minorHAnsi"/>
        </w:rPr>
        <w:lastRenderedPageBreak/>
        <w:t>in terms of overall energy dependence levels,</w:t>
      </w:r>
      <w:r w:rsidR="00B22278">
        <w:rPr>
          <w:rStyle w:val="FootnoteReference"/>
          <w:rFonts w:cstheme="minorHAnsi"/>
        </w:rPr>
        <w:footnoteReference w:id="2"/>
      </w:r>
      <w:r w:rsidRPr="00532C5B">
        <w:rPr>
          <w:rFonts w:cstheme="minorHAnsi"/>
        </w:rPr>
        <w:t xml:space="preserve"> stability of the grid (represented through distribution losses), and quality of energy supply. ‘Affordability’ is concerned with energy costs borne by consumers and improved – and thereby measured – according to price stability (minimal volatility) and actual costs that are not to exceed 10% of income, which is the</w:t>
      </w:r>
      <w:r w:rsidR="00637B9E">
        <w:rPr>
          <w:rFonts w:cstheme="minorHAnsi"/>
        </w:rPr>
        <w:t xml:space="preserve"> commonly used</w:t>
      </w:r>
      <w:r w:rsidRPr="00532C5B">
        <w:rPr>
          <w:rFonts w:cstheme="minorHAnsi"/>
        </w:rPr>
        <w:t xml:space="preserve"> threshold of energy poverty </w:t>
      </w:r>
      <w:r w:rsidRPr="00532C5B">
        <w:rPr>
          <w:rFonts w:cstheme="minorHAnsi"/>
        </w:rPr>
        <w:fldChar w:fldCharType="begin" w:fldLock="1"/>
      </w:r>
      <w:r w:rsidR="00312FD5">
        <w:rPr>
          <w:rFonts w:cstheme="minorHAnsi"/>
        </w:rPr>
        <w:instrText>ADDIN CSL_CITATION { "citationItems" : [ { "id" : "ITEM-1", "itemData" : { "DOI" : "10.1016/j.enpol.2017.03.004", "ISSN" : "03014215", "abstract" : "The energy justice framework serves as an important decision-making tool in order to understand how different principles of justice can inform energy systems and policies. The realization of the urgency of providing modern energy technology and services particularly to rural areas has prompted both the Nepalese government and development institutions to focus on community-run renewable energy facilities. It is argued that off-grid and micro-scale energy development offers an alternative path to fossil-fuel use and top-down resource management as they democratize the grid and increase marginalized communities' access to renewable energy, education and health care. However, Nepal's energy development is also heavily influenced by demands from the fast-growing economies of neighboring countries such as China and India. As a result, this article evaluates the Nepalese national energy policies by applying the key aspects of the energy justice framework and showing the feasibility constraints due to geopolitical and biophysical factors to the implementation of energy just policies in this developing country context. The empirical evidence is derived from interviews during a one-month fieldwork in the Lalitpur and Katmandu districts of Nepal, site-visits, discourse analysis of expert statements, government policies and newspaper articles as well literature review on peer-review articles.", "author" : [ { "dropping-particle" : "", "family" : "Islar", "given" : "Mine", "non-dropping-particle" : "", "parse-names" : false, "suffix" : "" }, { "dropping-particle" : "", "family" : "Brogaard", "given" : "Sara", "non-dropping-particle" : "", "parse-names" : false, "suffix" : "" }, { "dropping-particle" : "", "family" : "Lemberg-Pedersen", "given" : "Martin", "non-dropping-particle" : "", "parse-names" : false, "suffix" : "" } ], "container-title" : "Energy Policy", "id" : "ITEM-1", "issue" : "March", "issued" : { "date-parts" : [ [ "2017" ] ] }, "page" : "668-676", "title" : "Feasibility of energy justice: Exploring national and local efforts for energy development in Nepal", "type" : "article-journal", "volume" : "105" }, "uris" : [ "http://www.mendeley.com/documents/?uuid=1355079b-e933-45da-a912-cb1351f3c332" ] } ], "mendeley" : { "formattedCitation" : "(Islar et al., 2017)", "plainTextFormattedCitation" : "(Islar et al., 2017)", "previouslyFormattedCitation" : "(Islar et al., 2017)" }, "properties" : {  }, "schema" : "https://github.com/citation-style-language/schema/raw/master/csl-citation.json" }</w:instrText>
      </w:r>
      <w:r w:rsidRPr="00532C5B">
        <w:rPr>
          <w:rFonts w:cstheme="minorHAnsi"/>
        </w:rPr>
        <w:fldChar w:fldCharType="separate"/>
      </w:r>
      <w:r w:rsidRPr="00532C5B">
        <w:rPr>
          <w:rFonts w:cstheme="minorHAnsi"/>
          <w:noProof/>
        </w:rPr>
        <w:t xml:space="preserve">(Islar </w:t>
      </w:r>
      <w:r w:rsidRPr="00532C5B">
        <w:rPr>
          <w:rFonts w:cstheme="minorHAnsi"/>
          <w:i/>
          <w:noProof/>
        </w:rPr>
        <w:t>et al.</w:t>
      </w:r>
      <w:r w:rsidRPr="00532C5B">
        <w:rPr>
          <w:rFonts w:cstheme="minorHAnsi"/>
          <w:noProof/>
        </w:rPr>
        <w:t>, 2017)</w:t>
      </w:r>
      <w:r w:rsidRPr="00532C5B">
        <w:rPr>
          <w:rFonts w:cstheme="minorHAnsi"/>
        </w:rPr>
        <w:fldChar w:fldCharType="end"/>
      </w:r>
      <w:r w:rsidRPr="00532C5B">
        <w:rPr>
          <w:rFonts w:cstheme="minorHAnsi"/>
        </w:rPr>
        <w:t>. We measure improved ‘sustainability’ from a climate and energy perspective. We therefore assess whether emission levels have been reduced and renewable energy sources increased. Renewables are the most sustainable energy sources since they do not require the exploitation of finite resource stocks.</w:t>
      </w:r>
    </w:p>
    <w:p w:rsidR="000713A2" w:rsidRPr="00532C5B" w:rsidRDefault="000713A2" w:rsidP="00312FD5">
      <w:pPr>
        <w:spacing w:after="0"/>
        <w:ind w:firstLine="720"/>
        <w:contextualSpacing/>
        <w:rPr>
          <w:rFonts w:cstheme="minorHAnsi"/>
        </w:rPr>
      </w:pPr>
      <w:r w:rsidRPr="00532C5B">
        <w:rPr>
          <w:rFonts w:cstheme="minorHAnsi"/>
        </w:rPr>
        <w:t>Finally, we address intra and inter-generational equity and responsibility. As each principle is dependent on the achievements in already analysed justice principles, this group acts somewhat as an overall summary of energy justice in terms of contemporary justice, future justice, and the role of government. ‘</w:t>
      </w:r>
      <w:proofErr w:type="spellStart"/>
      <w:r w:rsidRPr="00532C5B">
        <w:rPr>
          <w:rFonts w:cstheme="minorHAnsi"/>
        </w:rPr>
        <w:t>Intragenerational</w:t>
      </w:r>
      <w:proofErr w:type="spellEnd"/>
      <w:r w:rsidRPr="00532C5B">
        <w:rPr>
          <w:rFonts w:cstheme="minorHAnsi"/>
        </w:rPr>
        <w:t xml:space="preserve"> equity’ represents a combination of above factors of access to energy to all (availability) without discrimination (due process/good governance), at a price that neither overburdens poorer sections of society (affordability), nor results in the pollution of environmental goods, such as air (sustainability). ‘Intergenerational equity’, in turn, is concerned with the effects of contemporary actions for future generations, and thereby depends on the current meeting of energy justice principles that affect the future, particularly the sustainability principle. Also relating particularly to current sustainability actions is the principle of ‘responsibility’ that considers nations to be responsible to protect the natural environment, limit social and environmental costs associated with the production and use of energy. It therefore considers the ability and willingness of the government to improve the sustainability of its energy system. </w:t>
      </w:r>
    </w:p>
    <w:p w:rsidR="000713A2" w:rsidRPr="00532C5B" w:rsidRDefault="000713A2" w:rsidP="00312FD5">
      <w:pPr>
        <w:pStyle w:val="ListParagraph"/>
        <w:spacing w:after="0"/>
        <w:ind w:left="1440"/>
        <w:rPr>
          <w:rFonts w:cstheme="minorHAnsi"/>
        </w:rPr>
      </w:pPr>
    </w:p>
    <w:p w:rsidR="000713A2" w:rsidRPr="00532C5B" w:rsidRDefault="003A4BA4" w:rsidP="003A4BA4">
      <w:pPr>
        <w:pStyle w:val="Heading2"/>
        <w:numPr>
          <w:ilvl w:val="0"/>
          <w:numId w:val="3"/>
        </w:numPr>
        <w:spacing w:before="0"/>
        <w:ind w:left="426" w:hanging="426"/>
        <w:contextualSpacing/>
        <w:rPr>
          <w:rFonts w:asciiTheme="minorHAnsi" w:hAnsiTheme="minorHAnsi" w:cstheme="minorHAnsi"/>
        </w:rPr>
      </w:pPr>
      <w:bookmarkStart w:id="2" w:name="_Toc496525272"/>
      <w:r>
        <w:rPr>
          <w:rFonts w:asciiTheme="minorHAnsi" w:hAnsiTheme="minorHAnsi" w:cstheme="minorHAnsi"/>
        </w:rPr>
        <w:lastRenderedPageBreak/>
        <w:t xml:space="preserve">Background: </w:t>
      </w:r>
      <w:r w:rsidR="000713A2" w:rsidRPr="00532C5B">
        <w:rPr>
          <w:rFonts w:asciiTheme="minorHAnsi" w:hAnsiTheme="minorHAnsi" w:cstheme="minorHAnsi"/>
        </w:rPr>
        <w:t>Enabling Bulgaria’s Renewable Energy Transitions in Times of Crisis</w:t>
      </w:r>
      <w:bookmarkEnd w:id="2"/>
    </w:p>
    <w:p w:rsidR="000713A2" w:rsidRPr="00532C5B" w:rsidRDefault="000713A2" w:rsidP="00312FD5">
      <w:pPr>
        <w:spacing w:after="0"/>
        <w:contextualSpacing/>
        <w:rPr>
          <w:rFonts w:cstheme="minorHAnsi"/>
        </w:rPr>
      </w:pPr>
      <w:r w:rsidRPr="00532C5B">
        <w:rPr>
          <w:rFonts w:cstheme="minorHAnsi"/>
        </w:rPr>
        <w:t xml:space="preserve">The global financial and economic crisis paired with the European Debt Crisis had extensive implications for the Bulgarian economy that suffered from a decreasing purchasing power of the population in light of rising unemployment levels, which led to falling government revenues </w:t>
      </w:r>
      <w:r w:rsidRPr="00532C5B">
        <w:rPr>
          <w:rFonts w:cstheme="minorHAnsi"/>
        </w:rPr>
        <w:fldChar w:fldCharType="begin" w:fldLock="1"/>
      </w:r>
      <w:r w:rsidR="00312FD5">
        <w:rPr>
          <w:rFonts w:cstheme="minorHAnsi"/>
        </w:rPr>
        <w:instrText>ADDIN CSL_CITATION { "citationItems" : [ { "id" : "ITEM-1", "itemData" : { "DOI" : "10.5709/ce.1897-9254.130", "ISSN" : "20840845", "abstract" : "The global economic crisis of 2008 has posed serious challenges to the Bulgarian economy and was reflected in worsened macroeconomic indicators. The subsequent sovereign debt crisis in Europe further aggravated the situation and blocked its path to recovery. In line with the overall sentiment in the European Union (the EU), Bulgaria made maintaining fiscal stability a priority that it set out to accomplish by following a policy of austerity. The country managed to achieve the desired effect relatively quickly. It became one of the best performers in terms of budget deficit and government debt as a share of GDP (which are among the lowest in the EU). These accomplishments underlie international institutions' greater confidence in Bulgaria, which has led to an increase in its credit rating. Nevertheless, the state has not managed to reap the maximum benefits that this type of policy offers. Fiscal sustainability was accomplished at the expense of economic growth, the slow pace of which was accompanied by impoverishment of the population, high unemployment, restricted consumption, and operational difficulties faced by real-sector companies. These problems fueled doubts about the adequacy of strict budget discipline, especially in times of crisis. They provoked the author to examine in greater depth the benefits and the drawbacks that such a policy ultimately offers to Bulgaria. The results show that the strict fiscal measures have put additional pressure on the already fragile economic growth and have a high social cost as well. All this justifies the need for the government to take on a new course to achieve economic recovery by means of more active state support that would stimulate a pickup in consumption and production activity.", "author" : [ { "dropping-particle" : "", "family" : "Petkov", "given" : "Vasil S.", "non-dropping-particle" : "", "parse-names" : false, "suffix" : "" } ], "container-title" : "Contemporary Economics", "id" : "ITEM-1", "issue" : "1", "issued" : { "date-parts" : [ [ "2014" ] ] }, "page" : "47-56", "title" : "Advantages and disadvantages of fiscal discipline in Bulgaria in times of crisis", "type" : "article-journal", "volume" : "8" }, "uris" : [ "http://www.mendeley.com/documents/?uuid=62a6052f-3f76-4c0b-925f-24d90cf51bb6" ] }, { "id" : "ITEM-2", "itemData" : { "author" : [ { "dropping-particle" : "", "family" : "Milio", "given" : "Simona", "non-dropping-particle" : "", "parse-names" : false, "suffix" : "" }, { "dropping-particle" : "", "family" : "Crescenzi", "given" : "Riccardo", "non-dropping-particle" : "", "parse-names" : false, "suffix" : "" }, { "dropping-particle" : "", "family" : "Schelkle", "given" : "Waltraud", "non-dropping-particle" : "", "parse-names" : false, "suffix" : "" }, { "dropping-particle" : "", "family" : "Durazzi", "given" : "Niccolo", "non-dropping-particle" : "", "parse-names" : false, "suffix" : "" }, { "dropping-particle" : "", "family" : "Garnizova", "given" : "Elitsa", "non-dropping-particle" : "", "parse-names" : false, "suffix" : "" }, { "dropping-particle" : "", "family" : "Janowski", "given" : "Pawel", "non-dropping-particle" : "", "parse-names" : false, "suffix" : "" }, { "dropping-particle" : "", "family" : "Olechnicka", "given" : "Agnieszka", "non-dropping-particle" : "", "parse-names" : false, "suffix" : "" }, { "dropping-particle" : "", "family" : "Wojtowicz", "given" : "Dominika", "non-dropping-particle" : "", "parse-names" : false, "suffix" : "" }, { "dropping-particle" : "", "family" : "Luca", "given" : "Davide", "non-dropping-particle" : "", "parse-names" : false, "suffix" : "" }, { "dropping-particle" : "", "family" : "Fossarello", "given" : "Maria", "non-dropping-particle" : "", "parse-names" : false, "suffix" : "" } ], "container-title" : "DG Internal Policies. Policy Department B: Structural and Cohesion Policies", "id" : "ITEM-2", "issued" : { "date-parts" : [ [ "2014" ] ] }, "title" : "Impact of the Economic Crisis on Social, Economic and Territorial Cohesion of the European Union", "type" : "article-journal" }, "uris" : [ "http://www.mendeley.com/documents/?uuid=db3ade3a-847d-43f7-8856-c3619228d71f" ] } ], "mendeley" : { "formattedCitation" : "(Petkov, 2014; Milio et al., 2014)", "plainTextFormattedCitation" : "(Petkov, 2014; Milio et al., 2014)", "previouslyFormattedCitation" : "(Petkov, 2014; Milio et al., 2014)" }, "properties" : {  }, "schema" : "https://github.com/citation-style-language/schema/raw/master/csl-citation.json" }</w:instrText>
      </w:r>
      <w:r w:rsidRPr="00532C5B">
        <w:rPr>
          <w:rFonts w:cstheme="minorHAnsi"/>
        </w:rPr>
        <w:fldChar w:fldCharType="separate"/>
      </w:r>
      <w:r w:rsidRPr="00532C5B">
        <w:rPr>
          <w:rFonts w:cstheme="minorHAnsi"/>
          <w:noProof/>
        </w:rPr>
        <w:t xml:space="preserve">(Petkov, 2014; Milio </w:t>
      </w:r>
      <w:r w:rsidRPr="00532C5B">
        <w:rPr>
          <w:rFonts w:cstheme="minorHAnsi"/>
          <w:i/>
          <w:noProof/>
        </w:rPr>
        <w:t>et al.</w:t>
      </w:r>
      <w:r w:rsidRPr="00532C5B">
        <w:rPr>
          <w:rFonts w:cstheme="minorHAnsi"/>
          <w:noProof/>
        </w:rPr>
        <w:t>, 2014)</w:t>
      </w:r>
      <w:r w:rsidRPr="00532C5B">
        <w:rPr>
          <w:rFonts w:cstheme="minorHAnsi"/>
        </w:rPr>
        <w:fldChar w:fldCharType="end"/>
      </w:r>
      <w:r w:rsidRPr="00532C5B">
        <w:rPr>
          <w:rFonts w:cstheme="minorHAnsi"/>
        </w:rPr>
        <w:t xml:space="preserve">. With a traditional focus on maintaining a balanced budget, Bulgaria quickly introduced austerity measures to counteract a growing government deficit primarily by slashing expenditures, for example, in public services and environmental protection </w:t>
      </w:r>
      <w:r w:rsidRPr="00532C5B">
        <w:rPr>
          <w:rFonts w:cstheme="minorHAnsi"/>
        </w:rPr>
        <w:fldChar w:fldCharType="begin" w:fldLock="1"/>
      </w:r>
      <w:r w:rsidR="00312FD5">
        <w:rPr>
          <w:rFonts w:cstheme="minorHAnsi"/>
        </w:rPr>
        <w:instrText>ADDIN CSL_CITATION { "citationItems" : [ { "id" : "ITEM-1", "itemData" : { "DOI" : "10.5709/ce.1897-9254.130", "ISSN" : "20840845", "abstract" : "The global economic crisis of 2008 has posed serious challenges to the Bulgarian economy and was reflected in worsened macroeconomic indicators. The subsequent sovereign debt crisis in Europe further aggravated the situation and blocked its path to recovery. In line with the overall sentiment in the European Union (the EU), Bulgaria made maintaining fiscal stability a priority that it set out to accomplish by following a policy of austerity. The country managed to achieve the desired effect relatively quickly. It became one of the best performers in terms of budget deficit and government debt as a share of GDP (which are among the lowest in the EU). These accomplishments underlie international institutions' greater confidence in Bulgaria, which has led to an increase in its credit rating. Nevertheless, the state has not managed to reap the maximum benefits that this type of policy offers. Fiscal sustainability was accomplished at the expense of economic growth, the slow pace of which was accompanied by impoverishment of the population, high unemployment, restricted consumption, and operational difficulties faced by real-sector companies. These problems fueled doubts about the adequacy of strict budget discipline, especially in times of crisis. They provoked the author to examine in greater depth the benefits and the drawbacks that such a policy ultimately offers to Bulgaria. The results show that the strict fiscal measures have put additional pressure on the already fragile economic growth and have a high social cost as well. All this justifies the need for the government to take on a new course to achieve economic recovery by means of more active state support that would stimulate a pickup in consumption and production activity.", "author" : [ { "dropping-particle" : "", "family" : "Petkov", "given" : "Vasil S.", "non-dropping-particle" : "", "parse-names" : false, "suffix" : "" } ], "container-title" : "Contemporary Economics", "id" : "ITEM-1", "issue" : "1", "issued" : { "date-parts" : [ [ "2014" ] ] }, "page" : "47-56", "title" : "Advantages and disadvantages of fiscal discipline in Bulgaria in times of crisis", "type" : "article-journal", "volume" : "8" }, "uris" : [ "http://www.mendeley.com/documents/?uuid=62a6052f-3f76-4c0b-925f-24d90cf51bb6" ] } ], "mendeley" : { "formattedCitation" : "(Petkov, 2014)", "plainTextFormattedCitation" : "(Petkov, 2014)", "previouslyFormattedCitation" : "(Petkov, 2014)" }, "properties" : {  }, "schema" : "https://github.com/citation-style-language/schema/raw/master/csl-citation.json" }</w:instrText>
      </w:r>
      <w:r w:rsidRPr="00532C5B">
        <w:rPr>
          <w:rFonts w:cstheme="minorHAnsi"/>
        </w:rPr>
        <w:fldChar w:fldCharType="separate"/>
      </w:r>
      <w:r w:rsidRPr="00532C5B">
        <w:rPr>
          <w:rFonts w:cstheme="minorHAnsi"/>
          <w:noProof/>
        </w:rPr>
        <w:t>(Petkov, 2014)</w:t>
      </w:r>
      <w:r w:rsidRPr="00532C5B">
        <w:rPr>
          <w:rFonts w:cstheme="minorHAnsi"/>
        </w:rPr>
        <w:fldChar w:fldCharType="end"/>
      </w:r>
      <w:r w:rsidRPr="00532C5B">
        <w:rPr>
          <w:rFonts w:cstheme="minorHAnsi"/>
        </w:rPr>
        <w:t>. By 2012, deficit levels had returned to a healthy 0.8% with austerity considered a success</w:t>
      </w:r>
      <w:r w:rsidR="0054334F">
        <w:rPr>
          <w:rFonts w:cstheme="minorHAnsi"/>
        </w:rPr>
        <w:t xml:space="preserve"> in terms of reaching the convergence criteria</w:t>
      </w:r>
      <w:r w:rsidR="0054334F">
        <w:rPr>
          <w:rStyle w:val="FootnoteReference"/>
          <w:rFonts w:cstheme="minorHAnsi"/>
        </w:rPr>
        <w:footnoteReference w:id="3"/>
      </w:r>
      <w:r w:rsidRPr="00532C5B">
        <w:rPr>
          <w:rFonts w:cstheme="minorHAnsi"/>
        </w:rPr>
        <w:t xml:space="preserve"> </w:t>
      </w:r>
      <w:r w:rsidRPr="00532C5B">
        <w:rPr>
          <w:rFonts w:cstheme="minorHAnsi"/>
        </w:rPr>
        <w:fldChar w:fldCharType="begin" w:fldLock="1"/>
      </w:r>
      <w:r w:rsidR="00312FD5">
        <w:rPr>
          <w:rFonts w:cstheme="minorHAnsi"/>
        </w:rPr>
        <w:instrText>ADDIN CSL_CITATION { "citationItems" : [ { "id" : "ITEM-1", "itemData" : { "URL" : "http://ec.europa.eu/eurostat/de", "accessed" : { "date-parts" : [ [ "2017", "9", "20" ] ] }, "author" : [ { "dropping-particle" : "", "family" : "Eurostat", "given" : "", "non-dropping-particle" : "", "parse-names" : false, "suffix" : "" } ], "id" : "ITEM-1", "issued" : { "date-parts" : [ [ "2017" ] ] }, "title" : "Eurostat", "type" : "webpage" }, "uris" : [ "http://www.mendeley.com/documents/?uuid=fc6970d0-5928-464b-98ae-d8a4d39a5909" ] } ], "mendeley" : { "formattedCitation" : "(Eurostat, 2017)", "plainTextFormattedCitation" : "(Eurostat, 2017)", "previouslyFormattedCitation" : "(Eurostat, 2017)" }, "properties" : {  }, "schema" : "https://github.com/citation-style-language/schema/raw/master/csl-citation.json" }</w:instrText>
      </w:r>
      <w:r w:rsidRPr="00532C5B">
        <w:rPr>
          <w:rFonts w:cstheme="minorHAnsi"/>
        </w:rPr>
        <w:fldChar w:fldCharType="separate"/>
      </w:r>
      <w:r w:rsidRPr="00532C5B">
        <w:rPr>
          <w:rFonts w:cstheme="minorHAnsi"/>
          <w:noProof/>
        </w:rPr>
        <w:t>(Eurostat, 2017)</w:t>
      </w:r>
      <w:r w:rsidRPr="00532C5B">
        <w:rPr>
          <w:rFonts w:cstheme="minorHAnsi"/>
        </w:rPr>
        <w:fldChar w:fldCharType="end"/>
      </w:r>
      <w:r w:rsidRPr="00532C5B">
        <w:rPr>
          <w:rFonts w:cstheme="minorHAnsi"/>
        </w:rPr>
        <w:t xml:space="preserve">. </w:t>
      </w:r>
    </w:p>
    <w:p w:rsidR="000713A2" w:rsidRPr="00532C5B" w:rsidRDefault="000713A2" w:rsidP="00312FD5">
      <w:pPr>
        <w:spacing w:after="0"/>
        <w:contextualSpacing/>
        <w:rPr>
          <w:rFonts w:cstheme="minorHAnsi"/>
        </w:rPr>
      </w:pPr>
      <w:r w:rsidRPr="00532C5B">
        <w:rPr>
          <w:rFonts w:cstheme="minorHAnsi"/>
        </w:rPr>
        <w:tab/>
        <w:t>For the renewable energy market, the economic crisis initially had a positive effect. Based on Bulgaria’s first renewables law of 2007</w:t>
      </w:r>
      <w:r w:rsidR="00003114">
        <w:rPr>
          <w:rStyle w:val="FootnoteReference"/>
          <w:rFonts w:cstheme="minorHAnsi"/>
        </w:rPr>
        <w:footnoteReference w:id="4"/>
      </w:r>
      <w:r w:rsidRPr="00532C5B">
        <w:rPr>
          <w:rFonts w:cstheme="minorHAnsi"/>
        </w:rPr>
        <w:t>,</w:t>
      </w:r>
      <w:r w:rsidR="007C6C0E">
        <w:rPr>
          <w:rFonts w:cstheme="minorHAnsi"/>
        </w:rPr>
        <w:t xml:space="preserve"> and its 2008 amendment</w:t>
      </w:r>
      <w:r w:rsidR="007C6C0E">
        <w:rPr>
          <w:rStyle w:val="FootnoteReference"/>
          <w:rFonts w:cstheme="minorHAnsi"/>
        </w:rPr>
        <w:footnoteReference w:id="5"/>
      </w:r>
      <w:r w:rsidR="007C6C0E">
        <w:rPr>
          <w:rFonts w:cstheme="minorHAnsi"/>
        </w:rPr>
        <w:t>,</w:t>
      </w:r>
      <w:r w:rsidRPr="00532C5B">
        <w:rPr>
          <w:rFonts w:cstheme="minorHAnsi"/>
        </w:rPr>
        <w:t xml:space="preserve"> the country had established generous feed-in tariffs (FITs) for renewables at almost 140EUR/MWh for wind under 15 year contracts, and between 718 and 782EUR/MWh for solar photovoltaics (PV) under 25 year contracts, depending on size </w:t>
      </w:r>
      <w:r w:rsidRPr="00532C5B">
        <w:rPr>
          <w:rFonts w:cstheme="minorHAnsi"/>
        </w:rPr>
        <w:fldChar w:fldCharType="begin" w:fldLock="1"/>
      </w:r>
      <w:r w:rsidR="00312FD5">
        <w:rPr>
          <w:rFonts w:cstheme="minorHAnsi"/>
        </w:rPr>
        <w:instrText>ADDIN CSL_CITATION { "citationItems" : [ { "id" : "ITEM-1", "itemData" : { "author" : [ { "dropping-particle" : "", "family" : "EREC", "given" : "", "non-dropping-particle" : "", "parse-names" : false, "suffix" : "" } ], "id" : "ITEM-1", "issued" : { "date-parts" : [ [ "2009" ] ] }, "page" : "1-6", "title" : "Renewable Energy Policy Review: Bulgaria", "type" : "article-journal" }, "uris" : [ "http://www.mendeley.com/documents/?uuid=05576e94-6e6b-4612-8033-79ea89967fc6" ] } ], "mendeley" : { "formattedCitation" : "(EREC, 2009)", "plainTextFormattedCitation" : "(EREC, 2009)", "previouslyFormattedCitation" : "(EREC, 2009)" }, "properties" : {  }, "schema" : "https://github.com/citation-style-language/schema/raw/master/csl-citation.json" }</w:instrText>
      </w:r>
      <w:r w:rsidRPr="00532C5B">
        <w:rPr>
          <w:rFonts w:cstheme="minorHAnsi"/>
        </w:rPr>
        <w:fldChar w:fldCharType="separate"/>
      </w:r>
      <w:r w:rsidRPr="00532C5B">
        <w:rPr>
          <w:rFonts w:cstheme="minorHAnsi"/>
          <w:noProof/>
        </w:rPr>
        <w:t>(EREC, 2009)</w:t>
      </w:r>
      <w:r w:rsidRPr="00532C5B">
        <w:rPr>
          <w:rFonts w:cstheme="minorHAnsi"/>
        </w:rPr>
        <w:fldChar w:fldCharType="end"/>
      </w:r>
      <w:r w:rsidRPr="00532C5B">
        <w:rPr>
          <w:rFonts w:cstheme="minorHAnsi"/>
        </w:rPr>
        <w:t xml:space="preserve">. As the economic crisis led to reduced investment opportunities and renewable support in some European markets, Bulgaria’s highly attractive renewable support drew a large number of developers, resulting in a fast growing interest in renewable investments in Bulgaria </w:t>
      </w:r>
      <w:r w:rsidRPr="00532C5B">
        <w:rPr>
          <w:rFonts w:cstheme="minorHAnsi"/>
        </w:rPr>
        <w:fldChar w:fldCharType="begin" w:fldLock="1"/>
      </w:r>
      <w:r w:rsidR="00312FD5">
        <w:rPr>
          <w:rFonts w:cstheme="minorHAnsi"/>
        </w:rPr>
        <w:instrText>ADDIN CSL_CITATION { "citationItems" : [ { "id" : "ITEM-1", "itemData" : { "author" : [ { "dropping-particle" : "", "family" : "Winkel", "given" : "Thomas", "non-dropping-particle" : "", "parse-names" : false, "suffix" : "" }, { "dropping-particle" : "", "family" : "Ragwitz", "given" : "Mario", "non-dropping-particle" : "", "parse-names" : false, "suffix" : "" }, { "dropping-particle" : "", "family" : "Resch", "given" : "Gustav", "non-dropping-particle" : "", "parse-names" : false, "suffix" : "" }, { "dropping-particle" : "", "family" : "Konstantinaviciute", "given" : "Inga", "non-dropping-particle" : "", "parse-names" : false, "suffix" : "" } ], "container-title" : "Ecofys", "id" : "ITEM-1", "issue" : "November", "issued" : { "date-parts" : [ [ "2011" ] ] }, "page" : "318", "title" : "Renewable Energy Policy Country Profiles", "type" : "article-journal" }, "uris" : [ "http://www.mendeley.com/documents/?uuid=364555ee-bc58-4e03-b1a0-a25fe901bc9c" ] } ], "mendeley" : { "formattedCitation" : "(Winkel et al., 2011)", "plainTextFormattedCitation" : "(Winkel et al., 2011)", "previouslyFormattedCitation" : "(Winkel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(Winkel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w:t>
      </w:r>
      <w:r w:rsidRPr="00532C5B">
        <w:rPr>
          <w:rStyle w:val="FootnoteReference"/>
          <w:rFonts w:cstheme="minorHAnsi"/>
        </w:rPr>
        <w:footnoteReference w:id="6"/>
      </w:r>
      <w:r w:rsidRPr="00532C5B">
        <w:rPr>
          <w:rFonts w:cstheme="minorHAnsi"/>
        </w:rPr>
        <w:t xml:space="preserve"> In 2008, the National Electric Company (NEC) received requests for almost 7.7GW of wind power alone </w:t>
      </w:r>
      <w:r w:rsidRPr="00532C5B">
        <w:rPr>
          <w:rFonts w:cstheme="minorHAnsi"/>
        </w:rPr>
        <w:fldChar w:fldCharType="begin" w:fldLock="1"/>
      </w:r>
      <w:r w:rsidR="00312FD5">
        <w:rPr>
          <w:rFonts w:cstheme="minorHAnsi"/>
        </w:rPr>
        <w:instrText>ADDIN CSL_CITATION { "citationItems" : [ { "id" : "ITEM-1", "itemData" : { "ISBN" : "2550433572", "author" : [ { "dropping-particle" : "", "family" : "Center for the Study of Democracy", "given" : "", "non-dropping-particle" : "", "parse-names" : false, "suffix" : "" } ], "id" : "ITEM-1", "issued" : { "date-parts" : [ [ "2010" ] ] }, "title" : "The Energy Sector in Bulgaria - Major Governance Issues", "type" : "article-journal" }, "uris" : [ "http://www.mendeley.com/documents/?uuid=a27d4ae6-df04-4e8b-bcc7-c6bc3d80884a" ] } ], "mendeley" : { "formattedCitation" : "(Center for the Study of Democracy, 2010)", "plainTextFormattedCitation" : "(Center for the Study of Democracy, 2010)", "previouslyFormattedCitation" : "(Center for the Study of Democracy, 2010)"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2010)</w:t>
      </w:r>
      <w:r w:rsidRPr="00532C5B">
        <w:rPr>
          <w:rFonts w:cstheme="minorHAnsi"/>
        </w:rPr>
        <w:fldChar w:fldCharType="end"/>
      </w:r>
      <w:r w:rsidRPr="00532C5B">
        <w:rPr>
          <w:rFonts w:cstheme="minorHAnsi"/>
        </w:rPr>
        <w:t xml:space="preserve">. The 2009 Renewable Energy Directive – the basis for the 2010 Europe 2020 Strategy and its renewable targets </w:t>
      </w:r>
      <w:r w:rsidRPr="00532C5B">
        <w:rPr>
          <w:rFonts w:cstheme="minorHAnsi"/>
        </w:rPr>
        <w:fldChar w:fldCharType="begin" w:fldLock="1"/>
      </w:r>
      <w:r w:rsidR="00312FD5">
        <w:rPr>
          <w:rFonts w:cstheme="minorHAnsi"/>
        </w:rPr>
        <w:instrText>ADDIN CSL_CITATION { "citationItems" : [ { "id" : "ITEM-1", "itemData" : { "DOI" : "10.1016/j.resconrec.2010.03.010", "ISBN" : "9789279239724", "ISSN" : "09213449", "abstract" : "European Commission - Europe 2020 - How the strategy will generate smart, sustainable and inclusive growth in the EU, with high levels of employment and living standards.", "author" : [ { "dropping-particle" : "", "family" : "European Commission", "given" : "", "non-dropping-particle" : "", "parse-names" : false, "suffix" : "" } ], "id" : "ITEM-1", "issued" : { "date-parts" : [ [ "2010" ] ] }, "title" : "Europe 2020 \u2013 Europe's growth strategy", "type" : "report" }, "uris" : [ "http://www.mendeley.com/documents/?uuid=0510cae2-dd0d-4437-ac42-c124822422e9" ] } ], "mendeley" : { "formattedCitation" : "(European Commission, 2010)", "plainTextFormattedCitation" : "(European Commission, 2010)", "previouslyFormattedCitation" : "(European Commission, 2010)" }, "properties" : {  }, "schema" : "https://github.com/citation-style-language/schema/raw/master/csl-citation.json" }</w:instrText>
      </w:r>
      <w:r w:rsidRPr="00532C5B">
        <w:rPr>
          <w:rFonts w:cstheme="minorHAnsi"/>
        </w:rPr>
        <w:fldChar w:fldCharType="separate"/>
      </w:r>
      <w:r w:rsidRPr="00532C5B">
        <w:rPr>
          <w:rFonts w:cstheme="minorHAnsi"/>
          <w:noProof/>
        </w:rPr>
        <w:t>(European Commission, 2010)</w:t>
      </w:r>
      <w:r w:rsidRPr="00532C5B">
        <w:rPr>
          <w:rFonts w:cstheme="minorHAnsi"/>
        </w:rPr>
        <w:fldChar w:fldCharType="end"/>
      </w:r>
      <w:r w:rsidRPr="00532C5B">
        <w:rPr>
          <w:rFonts w:cstheme="minorHAnsi"/>
        </w:rPr>
        <w:t xml:space="preserve"> – induced further beneficial policy adjustments that, for example, guaranteed connection to the grid and priority dispatch for renewables, and provided for shared costs in the construction and connection of renewables, with the largest share being taken over by the </w:t>
      </w:r>
      <w:r w:rsidRPr="00532C5B">
        <w:rPr>
          <w:rFonts w:cstheme="minorHAnsi"/>
        </w:rPr>
        <w:lastRenderedPageBreak/>
        <w:t xml:space="preserve">distribution company </w:t>
      </w:r>
      <w:r w:rsidRPr="00532C5B">
        <w:rPr>
          <w:rFonts w:cstheme="minorHAnsi"/>
        </w:rPr>
        <w:fldChar w:fldCharType="begin" w:fldLock="1"/>
      </w:r>
      <w:r w:rsidR="00312FD5">
        <w:rPr>
          <w:rFonts w:cstheme="minorHAnsi"/>
        </w:rPr>
        <w:instrText>ADDIN CSL_CITATION { "citationItems" : [ { "id" : "ITEM-1", "itemData" : { "author" : [ { "dropping-particle" : "", "family" : "Republic of Bulgaria", "given" : "", "non-dropping-particle" : "", "parse-names" : false, "suffix" : "" } ], "id" : "ITEM-1", "issued" : { "date-parts" : [ [ "2011" ] ] }, "number-of-pages" : "1-229", "title" : "National Renewable Energy Action Plan", "type" : "report" }, "uris" : [ "http://www.mendeley.com/documents/?uuid=88f2dee4-1ecf-4e29-8860-87fd41596cff" ] } ], "mendeley" : { "formattedCitation" : "(Republic of Bulgaria, 2011)", "plainTextFormattedCitation" : "(Republic of Bulgaria, 2011)", "previouslyFormattedCitation" : "(Republic of Bulgaria, 2011)" }, "properties" : {  }, "schema" : "https://github.com/citation-style-language/schema/raw/master/csl-citation.json" }</w:instrText>
      </w:r>
      <w:r w:rsidRPr="00532C5B">
        <w:rPr>
          <w:rFonts w:cstheme="minorHAnsi"/>
        </w:rPr>
        <w:fldChar w:fldCharType="separate"/>
      </w:r>
      <w:r w:rsidRPr="00532C5B">
        <w:rPr>
          <w:rFonts w:cstheme="minorHAnsi"/>
          <w:noProof/>
        </w:rPr>
        <w:t>(Republic of Bulgaria, 2011)</w:t>
      </w:r>
      <w:r w:rsidRPr="00532C5B">
        <w:rPr>
          <w:rFonts w:cstheme="minorHAnsi"/>
        </w:rPr>
        <w:fldChar w:fldCharType="end"/>
      </w:r>
      <w:r w:rsidRPr="00532C5B">
        <w:rPr>
          <w:rFonts w:cstheme="minorHAnsi"/>
        </w:rPr>
        <w:t xml:space="preserve">. The </w:t>
      </w:r>
      <w:proofErr w:type="spellStart"/>
      <w:r w:rsidRPr="00532C5B">
        <w:rPr>
          <w:rFonts w:cstheme="minorHAnsi"/>
        </w:rPr>
        <w:t>FiT</w:t>
      </w:r>
      <w:proofErr w:type="spellEnd"/>
      <w:r w:rsidRPr="00532C5B">
        <w:rPr>
          <w:rFonts w:cstheme="minorHAnsi"/>
        </w:rPr>
        <w:t xml:space="preserve"> price was recalculated to amount to 80% of the average selling price of electricity in the reference year, plus a surcharge equivalent to, or higher than, the surcharge of the previous year </w:t>
      </w:r>
      <w:r w:rsidRPr="00532C5B">
        <w:rPr>
          <w:rFonts w:cstheme="minorHAnsi"/>
        </w:rPr>
        <w:fldChar w:fldCharType="begin" w:fldLock="1"/>
      </w:r>
      <w:r w:rsidR="00312FD5">
        <w:rPr>
          <w:rFonts w:cstheme="minorHAnsi"/>
        </w:rPr>
        <w:instrText>ADDIN CSL_CITATION { "citationItems" : [ { "id" : "ITEM-1", "itemData" : { "author" : [ { "dropping-particle" : "", "family" : "Gramatikova", "given" : "Katerina", "non-dropping-particle" : "", "parse-names" : false, "suffix" : "" } ], "container-title" : "Wirtschaftsblatt", "id" : "ITEM-1", "issued" : { "date-parts" : [ [ "2012" ] ] }, "title" : "The New Bulgarian Renewable Energy Sources Act", "type" : "article-journal", "volume" : "01" }, "uris" : [ "http://www.mendeley.com/documents/?uuid=7af349a4-547d-4c3b-b514-1f254b4f6e6e" ] }, { "id" : "ITEM-2", "itemData" : { "URL" : "http://www.res-legal.eu/search-by-country/bulgaria/tools-list/c/bulgaria/s/res-e/t/promotion/sum/112/lpid/111/", "accessed" : { "date-parts" : [ [ "2017", "7", "20" ] ] }, "author" : [ { "dropping-particle" : "", "family" : "RES Legal", "given" : "", "non-dropping-particle" : "", "parse-names" : false, "suffix" : "" } ], "container-title" : "Legal Sources of Renewable Energy", "id" : "ITEM-2", "issued" : { "date-parts" : [ [ "2017" ] ] }, "title" : "Promotion in Bulgaria. Electricity", "type" : "webpage" }, "uris" : [ "http://www.mendeley.com/documents/?uuid=46185c52-521c-4f2f-8e29-128aab0dad3e" ] }, { "id" : "ITEM-3", "itemData" : { "author" : [ { "dropping-particle" : "", "family" : "Republic of Bulgaria", "given" : "", "non-dropping-particle" : "", "parse-names" : false, "suffix" : "" } ], "id" : "ITEM-3", "issued" : { "date-parts" : [ [ "2011" ] ] }, "number-of-pages" : "1-229", "title" : "National Renewable Energy Action Plan", "type" : "report" }, "uris" : [ "http://www.mendeley.com/documents/?uuid=88f2dee4-1ecf-4e29-8860-87fd41596cff" ] } ], "mendeley" : { "formattedCitation" : "(Gramatikova, 2012; RES Legal, 2017; Republic of Bulgaria, 2011)", "plainTextFormattedCitation" : "(Gramatikova, 2012; RES Legal, 2017; Republic of Bulgaria, 2011)", "previouslyFormattedCitation" : "(Gramatikova, 2012; RES Legal, 2017; Republic of Bulgaria, 2011)" }, "properties" : {  }, "schema" : "https://github.com/citation-style-language/schema/raw/master/csl-citation.json" }</w:instrText>
      </w:r>
      <w:r w:rsidRPr="00532C5B">
        <w:rPr>
          <w:rFonts w:cstheme="minorHAnsi"/>
        </w:rPr>
        <w:fldChar w:fldCharType="separate"/>
      </w:r>
      <w:r w:rsidRPr="00532C5B">
        <w:rPr>
          <w:rFonts w:cstheme="minorHAnsi"/>
          <w:noProof/>
        </w:rPr>
        <w:t>(Gramatikova, 2012; RES Legal, 2017; Republic of Bulgaria, 2011)</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 xml:space="preserve">By 2011, about 10GW worth of renewable projects applied for connection; exceeding the capacity of the energy system by approximately 100% </w:t>
      </w:r>
      <w:r w:rsidRPr="00532C5B">
        <w:rPr>
          <w:rFonts w:cstheme="minorHAnsi"/>
        </w:rPr>
        <w:fldChar w:fldCharType="begin" w:fldLock="1"/>
      </w:r>
      <w:r w:rsidR="00312FD5">
        <w:rPr>
          <w:rFonts w:cstheme="minorHAnsi"/>
        </w:rPr>
        <w:instrText>ADDIN CSL_CITATION { "citationItems" : [ { "id" : "ITEM-1", "itemData" : { "author" : [ { "dropping-particle" : "", "family" : "Gramatikova", "given" : "Katerina", "non-dropping-particle" : "", "parse-names" : false, "suffix" : "" } ], "container-title" : "Wirtschaftsblatt", "id" : "ITEM-1", "issued" : { "date-parts" : [ [ "2012" ] ] }, "title" : "The New Bulgarian Renewable Energy Sources Act", "type" : "article-journal", "volume" : "01" }, "uris" : [ "http://www.mendeley.com/documents/?uuid=7af349a4-547d-4c3b-b514-1f254b4f6e6e" ] } ], "mendeley" : { "formattedCitation" : "(Gramatikova, 2012)", "plainTextFormattedCitation" : "(Gramatikova, 2012)", "previouslyFormattedCitation" : "(Gramatikova, 2012)" }, "properties" : {  }, "schema" : "https://github.com/citation-style-language/schema/raw/master/csl-citation.json" }</w:instrText>
      </w:r>
      <w:r w:rsidRPr="00532C5B">
        <w:rPr>
          <w:rFonts w:cstheme="minorHAnsi"/>
        </w:rPr>
        <w:fldChar w:fldCharType="separate"/>
      </w:r>
      <w:r w:rsidRPr="00532C5B">
        <w:rPr>
          <w:rFonts w:cstheme="minorHAnsi"/>
          <w:noProof/>
        </w:rPr>
        <w:t>(Gramatikova, 2012)</w:t>
      </w:r>
      <w:r w:rsidRPr="00532C5B">
        <w:rPr>
          <w:rFonts w:cstheme="minorHAnsi"/>
        </w:rPr>
        <w:fldChar w:fldCharType="end"/>
      </w:r>
      <w:r w:rsidRPr="00532C5B">
        <w:rPr>
          <w:rFonts w:cstheme="minorHAnsi"/>
        </w:rPr>
        <w:t xml:space="preserve">. Additionally, falling price levels for PV solar and the inability of preferential price levels to be adequately adjusted led to a surge in projects in 2012 that saw solar capacity increase almost seven-fold compared to 2011. While the National Renewable Energy Action Plan envisaged solar PV capacity to reach 300-320MW by 2020 </w:t>
      </w:r>
      <w:r w:rsidRPr="00532C5B">
        <w:rPr>
          <w:rFonts w:cstheme="minorHAnsi"/>
        </w:rPr>
        <w:fldChar w:fldCharType="begin" w:fldLock="1"/>
      </w:r>
      <w:r w:rsidR="00312FD5">
        <w:rPr>
          <w:rFonts w:cstheme="minorHAnsi"/>
        </w:rPr>
        <w:instrText>ADDIN CSL_CITATION { "citationItems" : [ { "id" : "ITEM-1", "itemData" : { "author" : [ { "dropping-particle" : "", "family" : "Republic of Bulgaria", "given" : "", "non-dropping-particle" : "", "parse-names" : false, "suffix" : "" } ], "id" : "ITEM-1", "issued" : { "date-parts" : [ [ "2011" ] ] }, "number-of-pages" : "1-229", "title" : "National Renewable Energy Action Plan", "type" : "report" }, "locator" : "159", "uris" : [ "http://www.mendeley.com/documents/?uuid=88f2dee4-1ecf-4e29-8860-87fd41596cff" ] } ], "mendeley" : { "formattedCitation" : "(Republic of Bulgaria, 2011, p.159)", "plainTextFormattedCitation" : "(Republic of Bulgaria, 2011, p.159)", "previouslyFormattedCitation" : "(Republic of Bulgaria, 2011, p.159)" }, "properties" : {  }, "schema" : "https://github.com/citation-style-language/schema/raw/master/csl-citation.json" }</w:instrText>
      </w:r>
      <w:r w:rsidRPr="00532C5B">
        <w:rPr>
          <w:rFonts w:cstheme="minorHAnsi"/>
        </w:rPr>
        <w:fldChar w:fldCharType="separate"/>
      </w:r>
      <w:r w:rsidRPr="00532C5B">
        <w:rPr>
          <w:rFonts w:cstheme="minorHAnsi"/>
          <w:noProof/>
        </w:rPr>
        <w:t>(Republic of Bulgaria, 2011, p.159)</w:t>
      </w:r>
      <w:r w:rsidRPr="00532C5B">
        <w:rPr>
          <w:rFonts w:cstheme="minorHAnsi"/>
        </w:rPr>
        <w:fldChar w:fldCharType="end"/>
      </w:r>
      <w:r w:rsidRPr="00532C5B">
        <w:rPr>
          <w:rFonts w:cstheme="minorHAnsi"/>
        </w:rPr>
        <w:t xml:space="preserve">, actual solar capacity grew from 150MW in 2011 to over 1GW in 2012 </w:t>
      </w:r>
      <w:r w:rsidRPr="00532C5B">
        <w:rPr>
          <w:rFonts w:cstheme="minorHAnsi"/>
        </w:rPr>
        <w:fldChar w:fldCharType="begin" w:fldLock="1"/>
      </w:r>
      <w:r w:rsidR="00312FD5">
        <w:rPr>
          <w:rFonts w:cstheme="minorHAnsi"/>
        </w:rPr>
        <w:instrText>ADDIN CSL_CITATION { "citationItems" : [ { "id" : "ITEM-1", "itemData" : { "DOI" : "10.1016/j.renene.2017.05.007", "ISSN" : "09601481", "author" : [ { "dropping-particle" : "", "family" : "Nikolaev", "given" : "Angel", "non-dropping-particle" : "", "parse-names" : false, "suffix" : "" }, { "dropping-particle" : "", "family" : "Konidari", "given" : "Popi", "non-dropping-particle" : "", "parse-names" : false, "suffix" : "" } ], "container-title" : "Renewable Energy", "id" : "ITEM-1", "issued" : { "date-parts" : [ [ "2017", "10" ] ] }, "page" : "792-802", "title" : "Development and assessment of renewable energy policy scenarios by 2030 for Bulgaria", "type" : "article-journal", "volume" : "111" }, "uris" : [ "http://www.mendeley.com/documents/?uuid=80090ba8-0225-3bbf-a146-3cac73aeb5b4" ] } ], "mendeley" : { "formattedCitation" : "(Nikolaev and Konidari, 2017)", "plainTextFormattedCitation" : "(Nikolaev and Konidari, 2017)", "previouslyFormattedCitation" : "(Nikolaev and Konidari, 2017)" }, "properties" : {  }, "schema" : "https://github.com/citation-style-language/schema/raw/master/csl-citation.json" }</w:instrText>
      </w:r>
      <w:r w:rsidRPr="00532C5B">
        <w:rPr>
          <w:rFonts w:cstheme="minorHAnsi"/>
        </w:rPr>
        <w:fldChar w:fldCharType="separate"/>
      </w:r>
      <w:r w:rsidRPr="00532C5B">
        <w:rPr>
          <w:rFonts w:cstheme="minorHAnsi"/>
          <w:noProof/>
        </w:rPr>
        <w:t>(Nikolaev and Konidari, 2017)</w:t>
      </w:r>
      <w:r w:rsidRPr="00532C5B">
        <w:rPr>
          <w:rFonts w:cstheme="minorHAnsi"/>
        </w:rPr>
        <w:fldChar w:fldCharType="end"/>
      </w:r>
      <w:r w:rsidRPr="00532C5B">
        <w:rPr>
          <w:rFonts w:cstheme="minorHAnsi"/>
        </w:rPr>
        <w:t xml:space="preserve">. Unforeseen by the government, these growth levels meant that by late 2012, Bulgaria had already met and exceeded its 2020 target for final energy of 16%, reaching over 17% in 2013 </w:t>
      </w:r>
      <w:r w:rsidRPr="00532C5B">
        <w:rPr>
          <w:rFonts w:cstheme="minorHAnsi"/>
        </w:rPr>
        <w:fldChar w:fldCharType="begin" w:fldLock="1"/>
      </w:r>
      <w:r w:rsidR="00312FD5">
        <w:rPr>
          <w:rFonts w:cstheme="minorHAnsi"/>
        </w:rPr>
        <w:instrText>ADDIN CSL_CITATION { "citationItems" : [ { "id" : "ITEM-1", "itemData" : { "author" : [ { "dropping-particle" : "", "family" : "EurObserv'Er", "given" : "", "non-dropping-particle" : "", "parse-names" : false, "suffix" : "" } ], "id" : "ITEM-1", "issue" : "December", "issued" : { "date-parts" : [ [ "2015" ] ] }, "title" : "Country Policy Profile. Bulgaria", "type" : "report" }, "uris" : [ "http://www.mendeley.com/documents/?uuid=0b6d0ccf-abb8-4638-bdc5-e9be9cdf08fa" ] } ], "mendeley" : { "formattedCitation" : "(EurObserv\u2019Er, 2015)", "plainTextFormattedCitation" : "(EurObserv\u2019Er, 2015)", "previouslyFormattedCitation" : "(EurObserv\u2019Er, 2015)" }, "properties" : {  }, "schema" : "https://github.com/citation-style-language/schema/raw/master/csl-citation.json" }</w:instrText>
      </w:r>
      <w:r w:rsidRPr="00532C5B">
        <w:rPr>
          <w:rFonts w:cstheme="minorHAnsi"/>
        </w:rPr>
        <w:fldChar w:fldCharType="separate"/>
      </w:r>
      <w:r w:rsidRPr="00532C5B">
        <w:rPr>
          <w:rFonts w:cstheme="minorHAnsi"/>
          <w:noProof/>
        </w:rPr>
        <w:t>(EurObserv’Er, 2015)</w:t>
      </w:r>
      <w:r w:rsidRPr="00532C5B">
        <w:rPr>
          <w:rFonts w:cstheme="minorHAnsi"/>
        </w:rPr>
        <w:fldChar w:fldCharType="end"/>
      </w:r>
      <w:r w:rsidRPr="00532C5B">
        <w:rPr>
          <w:rFonts w:cstheme="minorHAnsi"/>
        </w:rPr>
        <w:t>.</w:t>
      </w:r>
    </w:p>
    <w:p w:rsidR="000713A2" w:rsidRPr="00532C5B" w:rsidRDefault="000713A2" w:rsidP="00312FD5">
      <w:pPr>
        <w:spacing w:after="0"/>
        <w:ind w:firstLine="720"/>
        <w:contextualSpacing/>
        <w:rPr>
          <w:rFonts w:cstheme="minorHAnsi"/>
        </w:rPr>
      </w:pPr>
      <w:r w:rsidRPr="00532C5B">
        <w:rPr>
          <w:rFonts w:cstheme="minorHAnsi"/>
        </w:rPr>
        <w:t xml:space="preserve">While the economic crisis effectively re-directed freed capital from other renewable energy markets to Bulgaria, it was the particular characteristics of the regulatory environment in Bulgaria that enabled the rapid expansion of renewables. In this sense, corruption and bad governance have been associated with the promotion of renewable energy in Bulgaria from its inception. Generally, the Global Competitiveness Index identified inefficient government bureaucracy and corruption as the country’s most problematic factors for years </w:t>
      </w:r>
      <w:r w:rsidRPr="00532C5B">
        <w:rPr>
          <w:rFonts w:cstheme="minorHAnsi"/>
        </w:rPr>
        <w:fldChar w:fldCharType="begin" w:fldLock="1"/>
      </w:r>
      <w:r w:rsidR="00312FD5">
        <w:rPr>
          <w:rFonts w:cstheme="minorHAnsi"/>
        </w:rPr>
        <w:instrText>ADDIN CSL_CITATION { "citationItems" : [ { "id" : "ITEM-1", "itemData" : { "ISBN" : "978\u20131\u20134039\u20139636\u20137", "author" : [ { "dropping-particle" : "", "family" : "World Economic Forum", "given" : "", "non-dropping-particle" : "", "parse-names" : false, "suffix" : "" } ], "id" : "ITEM-1", "issued" : { "date-parts" : [ [ "2007" ] ] }, "page" : "598", "title" : "The Global Competitiveness Report 2006-2007", "type" : "article-journal" }, "uris" : [ "http://www.mendeley.com/documents/?uuid=10f49359-38a6-4ba9-a581-66a688e9a056" ] }, { "id" : "ITEM-2", "itemData" : { "DOI" : "92-95044-35-5", "ISBN" : "13: 978-1-944835-04-0", "ISSN" : "08958696", "PMID" : "18210231", "abstract" : "The Global Competitiveness Report 2016-2017 assesses the competitiveness landscape of 138 economies, providing insight into the drivers of their productivity and prosperity. This year\u2019s edition highlights that declining openness is threatening growth and prosperity. It also highlights that monetary stimulus measures such as quantitative easing are not enough to sustain growth and must be accompanied by competitiveness reforms. Final key finding points to the fact that updated business practices and investment in innovation are now as important as infrastructure, skills and efficient markets. Switzerland, Singapore and the United States remain the three world\u2019s most competitive economies. \u201cDeclining openness in the global economy is harming competitiveness and making it harder for leaders to drive sustainable, inclusive growth,\u201d said Klaus Schwab, Founder and Executive Chairman, World Economic Forum. The Report series remains the most comprehensive assessment of national competitiveness worldwide", "author" : [ { "dropping-particle" : "", "family" : "World Economic Forum", "given" : "", "non-dropping-particle" : "", "parse-names" : false, "suffix" : "" } ], "container-title" : "World Economic Forum Reports 2016", "id" : "ITEM-2", "issued" : { "date-parts" : [ [ "2016" ] ] }, "number-of-pages" : "1-383", "title" : "The Global Competitiveness Report 2016\u20132017", "type" : "book" }, "uris" : [ "http://www.mendeley.com/documents/?uuid=5a86b9a9-b934-4dce-abdf-4c4524f6337c" ] } ], "mendeley" : { "formattedCitation" : "(World Economic Forum, 2007, 2016)", "plainTextFormattedCitation" : "(World Economic Forum, 2007, 2016)", "previouslyFormattedCitation" : "(World Economic Forum, 2007, 2016)" }, "properties" : {  }, "schema" : "https://github.com/citation-style-language/schema/raw/master/csl-citation.json" }</w:instrText>
      </w:r>
      <w:r w:rsidRPr="00532C5B">
        <w:rPr>
          <w:rFonts w:cstheme="minorHAnsi"/>
        </w:rPr>
        <w:fldChar w:fldCharType="separate"/>
      </w:r>
      <w:r w:rsidRPr="00532C5B">
        <w:rPr>
          <w:rFonts w:cstheme="minorHAnsi"/>
          <w:noProof/>
        </w:rPr>
        <w:t>(World Economic Forum, 2007, 2016)</w:t>
      </w:r>
      <w:r w:rsidRPr="00532C5B">
        <w:rPr>
          <w:rFonts w:cstheme="minorHAnsi"/>
        </w:rPr>
        <w:fldChar w:fldCharType="end"/>
      </w:r>
      <w:r w:rsidRPr="00532C5B">
        <w:rPr>
          <w:rFonts w:cstheme="minorHAnsi"/>
        </w:rPr>
        <w:t xml:space="preserve">. As such, state capture, cronyism, dysfunctional state institutions and corrupt judiciaries remain a fundamental concern in Bulgaria </w:t>
      </w:r>
      <w:r w:rsidRPr="00532C5B">
        <w:rPr>
          <w:rFonts w:cstheme="minorHAnsi"/>
        </w:rPr>
        <w:fldChar w:fldCharType="begin" w:fldLock="1"/>
      </w:r>
      <w:r w:rsidR="00312FD5">
        <w:rPr>
          <w:rFonts w:cstheme="minorHAnsi"/>
        </w:rPr>
        <w:instrText>ADDIN CSL_CITATION { "citationItems" : [ { "id" : "ITEM-1", "itemData" : { "ISBN" : "978-92-64-20187-3", "author" : [ { "dropping-particle" : "", "family" : "OECD", "given" : "", "non-dropping-particle" : "", "parse-names" : false, "suffix" : "" } ], "id" : "ITEM-1", "issued" : { "date-parts" : [ [ "2013" ] ] }, "page" : "2013-2015", "title" : "Fighting Corruption in Eastern Europe and Central Asia. Anti-corruption Reforms in Eastern Europe and Central Asi. Progress and Challenges, 2009-2013", "type" : "article-journal" }, "uris" : [ "http://www.mendeley.com/documents/?uuid=66e16511-889b-4641-860c-e968251fcfe0" ] } ], "mendeley" : { "formattedCitation" : "(OECD, 2013)", "plainTextFormattedCitation" : "(OECD, 2013)", "previouslyFormattedCitation" : "(OECD, 2013)" }, "properties" : {  }, "schema" : "https://github.com/citation-style-language/schema/raw/master/csl-citation.json" }</w:instrText>
      </w:r>
      <w:r w:rsidRPr="00532C5B">
        <w:rPr>
          <w:rFonts w:cstheme="minorHAnsi"/>
        </w:rPr>
        <w:fldChar w:fldCharType="separate"/>
      </w:r>
      <w:r w:rsidRPr="00532C5B">
        <w:rPr>
          <w:rFonts w:cstheme="minorHAnsi"/>
          <w:noProof/>
        </w:rPr>
        <w:t>(OECD, 2013)</w:t>
      </w:r>
      <w:r w:rsidRPr="00532C5B">
        <w:rPr>
          <w:rFonts w:cstheme="minorHAnsi"/>
        </w:rPr>
        <w:fldChar w:fldCharType="end"/>
      </w:r>
      <w:r w:rsidRPr="00532C5B">
        <w:rPr>
          <w:rFonts w:cstheme="minorHAnsi"/>
        </w:rPr>
        <w:t xml:space="preserve">. Indeed, at the time of accession, rather than fulfilling the requirements of the </w:t>
      </w:r>
      <w:r w:rsidRPr="00532C5B">
        <w:rPr>
          <w:rFonts w:cstheme="minorHAnsi"/>
          <w:i/>
        </w:rPr>
        <w:t xml:space="preserve">acquis </w:t>
      </w:r>
      <w:proofErr w:type="spellStart"/>
      <w:r w:rsidRPr="00532C5B">
        <w:rPr>
          <w:rFonts w:cstheme="minorHAnsi"/>
          <w:i/>
        </w:rPr>
        <w:t>communautaire</w:t>
      </w:r>
      <w:proofErr w:type="spellEnd"/>
      <w:r w:rsidRPr="00532C5B">
        <w:rPr>
          <w:rFonts w:cstheme="minorHAnsi"/>
        </w:rPr>
        <w:t xml:space="preserve">, corruption was seen to increase </w:t>
      </w:r>
      <w:r w:rsidRPr="00532C5B">
        <w:rPr>
          <w:rFonts w:cstheme="minorHAnsi"/>
        </w:rPr>
        <w:fldChar w:fldCharType="begin" w:fldLock="1"/>
      </w:r>
      <w:r w:rsidR="00312FD5">
        <w:rPr>
          <w:rFonts w:cstheme="minorHAnsi"/>
        </w:rPr>
        <w:instrText>ADDIN CSL_CITATION { "citationItems" : [ { "id" : "ITEM-1", "itemData" : { "abstract" : "Bulgaria and Romania have recently been subject to close scrutiny due to the substantial and unyielding problem of corruption in both countries, which is coupled with serious shortcomings in the competence and independence of their judicial authorities. These problems have prompted the EU to implement a novel monitoring instrument, called the Cooperation and Verification Mechanism (CVM), in an attempt to trigger reform by extending EU leverage into the post-accession period. But the potential sanctions that may be employed in the event of failure to make progress in the CVM process are relatively inconsequential, leaving the CVM with only limited leverage. This changed in 2011, however, as several key EU member states blocked the entry of Bulgaria and Romania into the Schengen free travel zone pending progress as reported in the European Commission\u2019s CVM reports. While the CVM has certainly not solved the problems related to corruption and the judiciary, we argue that it has had a positive impact by giving domestic elites in these countries stronger incentives to pursue reform. This has been especially true when progress on CVM benchmarks has been linked to EU funding and, since 2011, entry into the Schengen zone, which is something that voters in Bulgaria and Romania value highly.", "author" : [ { "dropping-particle" : "", "family" : "Vachudova", "given" : "Milada Anna", "non-dropping-particle" : "", "parse-names" : false, "suffix" : "" }, { "dropping-particle" : "", "family" : "Spendzharova", "given" : "Aneta", "non-dropping-particle" : "", "parse-names" : false, "suffix" : "" } ], "container-title" : "European Policy Analysis", "id" : "ITEM-1", "issue" : "MARCH . ISSUE 2012:1epa", "issued" : { "date-parts" : [ [ "2012" ] ] }, "page" : "1-20", "title" : "The EU\u2019s Cooperation and Verification Mechanism: Fighting Corruption in Bulgaria and Romania after EU Accession", "type" : "article-journal" }, "uris" : [ "http://www.mendeley.com/documents/?uuid=0b259e89-3e95-48a2-9cad-cf552bbe2f31" ] } ], "mendeley" : { "formattedCitation" : "(Vachudova and Spendzharova, 2012)", "plainTextFormattedCitation" : "(Vachudova and Spendzharova, 2012)", "previouslyFormattedCitation" : "(Vachudova and Spendzharova, 2012)" }, "properties" : {  }, "schema" : "https://github.com/citation-style-language/schema/raw/master/csl-citation.json" }</w:instrText>
      </w:r>
      <w:r w:rsidRPr="00532C5B">
        <w:rPr>
          <w:rFonts w:cstheme="minorHAnsi"/>
        </w:rPr>
        <w:fldChar w:fldCharType="separate"/>
      </w:r>
      <w:r w:rsidRPr="00532C5B">
        <w:rPr>
          <w:rFonts w:cstheme="minorHAnsi"/>
          <w:noProof/>
        </w:rPr>
        <w:t>(Vachudova and Spendzharova, 2012)</w:t>
      </w:r>
      <w:r w:rsidRPr="00532C5B">
        <w:rPr>
          <w:rFonts w:cstheme="minorHAnsi"/>
        </w:rPr>
        <w:fldChar w:fldCharType="end"/>
      </w:r>
      <w:r w:rsidRPr="00532C5B">
        <w:rPr>
          <w:rFonts w:cstheme="minorHAnsi"/>
        </w:rPr>
        <w:t xml:space="preserve">, resulting in the initiation of the Cooperation and Verification Mechanism (CVM) by the European Commission </w:t>
      </w:r>
      <w:r w:rsidRPr="00532C5B">
        <w:rPr>
          <w:rFonts w:cstheme="minorHAnsi"/>
        </w:rPr>
        <w:fldChar w:fldCharType="begin" w:fldLock="1"/>
      </w:r>
      <w:r w:rsidR="00312FD5">
        <w:rPr>
          <w:rFonts w:cstheme="minorHAnsi"/>
        </w:rPr>
        <w:instrText>ADDIN CSL_CITATION { "citationItems" : [ { "id" : "ITEM-1", "itemData" : { "author" : [ { "dropping-particle" : "", "family" : "European Commission", "given" : "", "non-dropping-particle" : "", "parse-names" : false, "suffix" : "" } ], "id" : "ITEM-1", "issued" : { "date-parts" : [ [ "2017" ] ] }, "number-of-pages" : "1-14", "title" : "On Progress in Bulgaria under the Co-operation and Verification Mechanism", "type" : "report" }, "uris" : [ "http://www.mendeley.com/documents/?uuid=5d43ceee-6055-4d5e-8708-bf7d90511f5b" ] } ], "mendeley" : { "formattedCitation" : "(European Commission, 2017)", "plainTextFormattedCitation" : "(European Commission, 2017)", "previouslyFormattedCitation" : "(European Commission, 2017)" }, "properties" : {  }, "schema" : "https://github.com/citation-style-language/schema/raw/master/csl-citation.json" }</w:instrText>
      </w:r>
      <w:r w:rsidRPr="00532C5B">
        <w:rPr>
          <w:rFonts w:cstheme="minorHAnsi"/>
        </w:rPr>
        <w:fldChar w:fldCharType="separate"/>
      </w:r>
      <w:r w:rsidRPr="00532C5B">
        <w:rPr>
          <w:rFonts w:cstheme="minorHAnsi"/>
          <w:noProof/>
        </w:rPr>
        <w:t>(European Commission, 2017)</w:t>
      </w:r>
      <w:r w:rsidRPr="00532C5B">
        <w:rPr>
          <w:rFonts w:cstheme="minorHAnsi"/>
        </w:rPr>
        <w:fldChar w:fldCharType="end"/>
      </w:r>
      <w:r w:rsidRPr="00532C5B">
        <w:rPr>
          <w:rFonts w:cstheme="minorHAnsi"/>
        </w:rPr>
        <w:t>.</w:t>
      </w:r>
      <w:r w:rsidRPr="00532C5B">
        <w:rPr>
          <w:rStyle w:val="FootnoteReference"/>
          <w:rFonts w:cstheme="minorHAnsi"/>
        </w:rPr>
        <w:footnoteReference w:id="7"/>
      </w:r>
      <w:r w:rsidRPr="00532C5B">
        <w:rPr>
          <w:rFonts w:cstheme="minorHAnsi"/>
        </w:rPr>
        <w:t xml:space="preserve"> In 2008 the EU froze a </w:t>
      </w:r>
      <w:r w:rsidRPr="00532C5B">
        <w:rPr>
          <w:rFonts w:cstheme="minorHAnsi"/>
        </w:rPr>
        <w:lastRenderedPageBreak/>
        <w:t>significant amount of funds</w:t>
      </w:r>
      <w:r w:rsidRPr="00532C5B">
        <w:rPr>
          <w:rStyle w:val="FootnoteReference"/>
          <w:rFonts w:cstheme="minorHAnsi"/>
        </w:rPr>
        <w:footnoteReference w:id="8"/>
      </w:r>
      <w:r w:rsidRPr="00532C5B">
        <w:rPr>
          <w:rStyle w:val="FootnoteReference"/>
          <w:rFonts w:cstheme="minorHAnsi"/>
        </w:rPr>
        <w:t xml:space="preserve"> </w:t>
      </w:r>
      <w:r w:rsidRPr="00532C5B">
        <w:rPr>
          <w:rFonts w:cstheme="minorHAnsi"/>
        </w:rPr>
        <w:t xml:space="preserve">for Bulgaria after corruption in the disbursement of regional development moneys by Bulgaria’s state administration came to light </w:t>
      </w:r>
      <w:r w:rsidRPr="00532C5B">
        <w:rPr>
          <w:rFonts w:cstheme="minorHAnsi"/>
        </w:rPr>
        <w:fldChar w:fldCharType="begin" w:fldLock="1"/>
      </w:r>
      <w:r w:rsidR="00312FD5">
        <w:rPr>
          <w:rFonts w:cstheme="minorHAnsi"/>
        </w:rPr>
        <w:instrText>ADDIN CSL_CITATION { "citationItems" : [ { "id" : "ITEM-1", "itemData" : { "DOI" : "10.1111/j.1468-5965.2009.02013.x", "ISBN" : "1468-5965", "ISSN" : "00219886", "abstract" : "-", "author" : [ { "dropping-particle" : "", "family" : "Vachudova", "given" : "Milada Anna", "non-dropping-particle" : "", "parse-names" : false, "suffix" : "" } ], "container-title" : "Journal of Common Market Studies", "id" : "ITEM-1", "issue" : "SUPPL. 1", "issued" : { "date-parts" : [ [ "2009" ] ] }, "page" : "43-62", "title" : "Corruption and compliance in the EU's post-communist members and candidates", "type" : "article-journal", "volume" : "47" }, "uris" : [ "http://www.mendeley.com/documents/?uuid=ca376db2-c918-4c84-a516-e4ee7817ee87" ] } ], "mendeley" : { "formattedCitation" : "(Vachudova, 2009)", "plainTextFormattedCitation" : "(Vachudova, 2009)", "previouslyFormattedCitation" : "(Vachudova, 2009)" }, "properties" : {  }, "schema" : "https://github.com/citation-style-language/schema/raw/master/csl-citation.json" }</w:instrText>
      </w:r>
      <w:r w:rsidRPr="00532C5B">
        <w:rPr>
          <w:rFonts w:cstheme="minorHAnsi"/>
        </w:rPr>
        <w:fldChar w:fldCharType="separate"/>
      </w:r>
      <w:r w:rsidRPr="00532C5B">
        <w:rPr>
          <w:rFonts w:cstheme="minorHAnsi"/>
          <w:noProof/>
        </w:rPr>
        <w:t>(Vachudova, 2009)</w:t>
      </w:r>
      <w:r w:rsidRPr="00532C5B">
        <w:rPr>
          <w:rFonts w:cstheme="minorHAnsi"/>
        </w:rPr>
        <w:fldChar w:fldCharType="end"/>
      </w:r>
      <w:r w:rsidRPr="00532C5B">
        <w:rPr>
          <w:rFonts w:cstheme="minorHAnsi"/>
        </w:rPr>
        <w:t>. As such, the renewable policy in 2008 is said to have had little to do with sustainable energy policy or climate change, but with ways to find new finance opportunities from the EU.</w:t>
      </w:r>
      <w:r w:rsidRPr="00532C5B">
        <w:rPr>
          <w:rStyle w:val="FootnoteReference"/>
          <w:rFonts w:cstheme="minorHAnsi"/>
        </w:rPr>
        <w:footnoteReference w:id="9"/>
      </w:r>
      <w:r w:rsidRPr="00532C5B">
        <w:rPr>
          <w:rFonts w:cstheme="minorHAnsi"/>
        </w:rPr>
        <w:t xml:space="preserve"> Indeed, as a new member to the EU, Bulgaria saw significant funding opportunities through the promotion of renewable energy </w:t>
      </w:r>
      <w:r w:rsidRPr="00532C5B">
        <w:rPr>
          <w:rFonts w:cstheme="minorHAnsi"/>
        </w:rPr>
        <w:fldChar w:fldCharType="begin" w:fldLock="1"/>
      </w:r>
      <w:r w:rsidR="00312FD5">
        <w:rPr>
          <w:rFonts w:cstheme="minorHAnsi"/>
        </w:rPr>
        <w:instrText>ADDIN CSL_CITATION { "citationItems" : [ { "id" : "ITEM-1", "itemData" : { "author" : [ { "dropping-particle" : "", "family" : "Hiteva", "given" : "Ralitsa", "non-dropping-particle" : "", "parse-names" : false, "suffix" : "" }, { "dropping-particle" : "", "family" : "Maltby", "given" : "Tomas", "non-dropping-particle" : "", "parse-names" : false, "suffix" : "" } ], "container-title" : "A Guide to EU Renewable Energy Policy", "editor" : [ { "dropping-particle" : "", "family" : "Solorio", "given" : "Israel", "non-dropping-particle" : "", "parse-names" : false, "suffix" : "" }, { "dropping-particle" : "", "family" : "J\u00f6rgens", "given" : "Helge", "non-dropping-particle" : "", "parse-names" : false, "suffix" : "" } ], "id" : "ITEM-1", "issued" : { "date-parts" : [ [ "2017" ] ] }, "page" : "224-246", "publisher" : "Edward Elgar Publishing", "publisher-place" : "Cheltenham, UK", "title" : "Hitting the target but missing the point: failing and succeeding in the Bulgarian renewable energy sector", "type" : "chapter" }, "uris" : [ "http://www.mendeley.com/documents/?uuid=646a4630-bdb0-4498-a8c0-0cd5c29d74fd" ] } ], "mendeley" : { "formattedCitation" : "(Hiteva and Maltby, 2017)", "plainTextFormattedCitation" : "(Hiteva and Maltby, 2017)", "previouslyFormattedCitation" : "(Hiteva and Maltby, 2017)" }, "properties" : {  }, "schema" : "https://github.com/citation-style-language/schema/raw/master/csl-citation.json" }</w:instrText>
      </w:r>
      <w:r w:rsidRPr="00532C5B">
        <w:rPr>
          <w:rFonts w:cstheme="minorHAnsi"/>
        </w:rPr>
        <w:fldChar w:fldCharType="separate"/>
      </w:r>
      <w:r w:rsidRPr="00532C5B">
        <w:rPr>
          <w:rFonts w:cstheme="minorHAnsi"/>
          <w:noProof/>
        </w:rPr>
        <w:t>(Hiteva and Maltby, 2017)</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Being pushed for by developers and investors, the resulting lucrative opportunities were presented by the government as the result of merely following their obligations under the EU framework.</w:t>
      </w:r>
      <w:r w:rsidRPr="00532C5B">
        <w:rPr>
          <w:rStyle w:val="FootnoteReference"/>
          <w:rFonts w:cstheme="minorHAnsi"/>
        </w:rPr>
        <w:footnoteReference w:id="10"/>
      </w:r>
      <w:r w:rsidRPr="00532C5B">
        <w:rPr>
          <w:rFonts w:cstheme="minorHAnsi"/>
        </w:rPr>
        <w:t xml:space="preserve"> In fact, the promotion of renewable energy in Bulgaria followed a top-down Europeanisation process also prior to the 2020 Strategy </w:t>
      </w:r>
      <w:r w:rsidRPr="00532C5B">
        <w:rPr>
          <w:rFonts w:cstheme="minorHAnsi"/>
        </w:rPr>
        <w:fldChar w:fldCharType="begin" w:fldLock="1"/>
      </w:r>
      <w:r w:rsidR="00312FD5">
        <w:rPr>
          <w:rFonts w:cstheme="minorHAnsi"/>
        </w:rPr>
        <w:instrText>ADDIN CSL_CITATION { "citationItems" : [ { "id" : "ITEM-1", "itemData" : { "author" : [ { "dropping-particle" : "", "family" : "Hiteva", "given" : "Ralitsa", "non-dropping-particle" : "", "parse-names" : false, "suffix" : "" }, { "dropping-particle" : "", "family" : "Maltby", "given" : "Tomas", "non-dropping-particle" : "", "parse-names" : false, "suffix" : "" } ], "container-title" : "A Guide to EU Renewable Energy Policy", "editor" : [ { "dropping-particle" : "", "family" : "Solorio", "given" : "Israel", "non-dropping-particle" : "", "parse-names" : false, "suffix" : "" }, { "dropping-particle" : "", "family" : "J\u00f6rgens", "given" : "Helge", "non-dropping-particle" : "", "parse-names" : false, "suffix" : "" } ], "id" : "ITEM-1", "issued" : { "date-parts" : [ [ "2017" ] ] }, "page" : "224-246", "publisher" : "Edward Elgar Publishing", "publisher-place" : "Cheltenham, UK", "title" : "Hitting the target but missing the point: failing and succeeding in the Bulgarian renewable energy sector", "type" : "chapter" }, "uris" : [ "http://www.mendeley.com/documents/?uuid=646a4630-bdb0-4498-a8c0-0cd5c29d74fd" ] } ], "mendeley" : { "formattedCitation" : "(Hiteva and Maltby, 2017)", "plainTextFormattedCitation" : "(Hiteva and Maltby, 2017)", "previouslyFormattedCitation" : "(Hiteva and Maltby, 2017)" }, "properties" : {  }, "schema" : "https://github.com/citation-style-language/schema/raw/master/csl-citation.json" }</w:instrText>
      </w:r>
      <w:r w:rsidRPr="00532C5B">
        <w:rPr>
          <w:rFonts w:cstheme="minorHAnsi"/>
        </w:rPr>
        <w:fldChar w:fldCharType="separate"/>
      </w:r>
      <w:r w:rsidRPr="00532C5B">
        <w:rPr>
          <w:rFonts w:cstheme="minorHAnsi"/>
          <w:noProof/>
        </w:rPr>
        <w:t>(Hiteva and Maltby, 2017)</w:t>
      </w:r>
      <w:r w:rsidRPr="00532C5B">
        <w:rPr>
          <w:rFonts w:cstheme="minorHAnsi"/>
        </w:rPr>
        <w:fldChar w:fldCharType="end"/>
      </w:r>
      <w:r w:rsidRPr="00532C5B">
        <w:rPr>
          <w:rFonts w:cstheme="minorHAnsi"/>
        </w:rPr>
        <w:t>. However, the public saw renewable policy to be primarily driven “by private interest and made in such a way as to generate maximum profit at the expense of the state-owned companies”.</w:t>
      </w:r>
      <w:r w:rsidRPr="00532C5B">
        <w:rPr>
          <w:rStyle w:val="FootnoteReference"/>
          <w:rFonts w:cstheme="minorHAnsi"/>
        </w:rPr>
        <w:footnoteReference w:id="11"/>
      </w:r>
      <w:r w:rsidRPr="00532C5B">
        <w:rPr>
          <w:rFonts w:cstheme="minorHAnsi"/>
        </w:rPr>
        <w:t xml:space="preserve"> For example, while the 2011 Energy from Renewable Sources Act (ERSA) lowered Feed-in </w:t>
      </w:r>
      <w:proofErr w:type="spellStart"/>
      <w:r w:rsidRPr="00532C5B">
        <w:rPr>
          <w:rFonts w:cstheme="minorHAnsi"/>
        </w:rPr>
        <w:t>Tarrif</w:t>
      </w:r>
      <w:proofErr w:type="spellEnd"/>
      <w:r w:rsidRPr="00532C5B">
        <w:rPr>
          <w:rFonts w:cstheme="minorHAnsi"/>
        </w:rPr>
        <w:t xml:space="preserve"> (</w:t>
      </w:r>
      <w:proofErr w:type="spellStart"/>
      <w:r w:rsidRPr="00532C5B">
        <w:rPr>
          <w:rFonts w:cstheme="minorHAnsi"/>
        </w:rPr>
        <w:t>FiT</w:t>
      </w:r>
      <w:proofErr w:type="spellEnd"/>
      <w:r w:rsidRPr="00532C5B">
        <w:rPr>
          <w:rFonts w:cstheme="minorHAnsi"/>
        </w:rPr>
        <w:t xml:space="preserve">) rates and the length of purchase contracts for renewable projects, any project connected to the market prior to 2008 was explicitly exempt from these changes </w:t>
      </w:r>
      <w:r w:rsidRPr="00532C5B">
        <w:rPr>
          <w:rFonts w:cstheme="minorHAnsi"/>
        </w:rPr>
        <w:fldChar w:fldCharType="begin" w:fldLock="1"/>
      </w:r>
      <w:r w:rsidR="00312FD5">
        <w:rPr>
          <w:rFonts w:cstheme="minorHAnsi"/>
        </w:rPr>
        <w:instrText>ADDIN CSL_CITATION { "citationItems" : [ { "id" : "ITEM-1", "itemData" : { "author" : [ { "dropping-particle" : "", "family" : "Government of Bulgaria", "given" : "", "non-dropping-particle" : "", "parse-names" : false, "suffix" : "" } ], "id" : "ITEM-1", "issued" : { "date-parts" : [ [ "2011" ] ] }, "publisher-place" : "Bulgaria", "title" : "Energy From Renewable Sources Act", "type" : "bill" }, "uris" : [ "http://www.mendeley.com/documents/?uuid=b6119d95-86a5-49a1-a2ba-de4cd912c570" ] } ], "mendeley" : { "formattedCitation" : "(Government of Bulgaria, 2011a)", "plainTextFormattedCitation" : "(Government of Bulgaria, 2011a)", "previouslyFormattedCitation" : "(Government of Bulgaria, 2011a)" }, "properties" : {  }, "schema" : "https://github.com/citation-style-language/schema/raw/master/csl-citation.json" }</w:instrText>
      </w:r>
      <w:r w:rsidRPr="00532C5B">
        <w:rPr>
          <w:rFonts w:cstheme="minorHAnsi"/>
        </w:rPr>
        <w:fldChar w:fldCharType="separate"/>
      </w:r>
      <w:r w:rsidRPr="00532C5B">
        <w:rPr>
          <w:rFonts w:cstheme="minorHAnsi"/>
          <w:noProof/>
        </w:rPr>
        <w:t>(Government of Bulgaria, 2011a)</w:t>
      </w:r>
      <w:r w:rsidRPr="00532C5B">
        <w:rPr>
          <w:rFonts w:cstheme="minorHAnsi"/>
        </w:rPr>
        <w:fldChar w:fldCharType="end"/>
      </w:r>
      <w:r w:rsidRPr="00532C5B">
        <w:rPr>
          <w:rFonts w:cstheme="minorHAnsi"/>
        </w:rPr>
        <w:t>. These few projects were implemented by “offshore companies that are in one way or another related to the Bulgarian Mafia [and that] are still getting the higher price of tariffs [read, the unreduced price</w:t>
      </w:r>
      <w:r w:rsidR="00AA5009">
        <w:rPr>
          <w:rFonts w:cstheme="minorHAnsi"/>
        </w:rPr>
        <w:t>]</w:t>
      </w:r>
      <w:r w:rsidRPr="00532C5B">
        <w:rPr>
          <w:rFonts w:cstheme="minorHAnsi"/>
        </w:rPr>
        <w:t>”.</w:t>
      </w:r>
      <w:r w:rsidRPr="00532C5B">
        <w:rPr>
          <w:rStyle w:val="FootnoteReference"/>
          <w:rFonts w:cstheme="minorHAnsi"/>
        </w:rPr>
        <w:footnoteReference w:id="12"/>
      </w:r>
      <w:r w:rsidRPr="00532C5B">
        <w:rPr>
          <w:rFonts w:cstheme="minorHAnsi"/>
        </w:rPr>
        <w:t xml:space="preserve"> </w:t>
      </w:r>
    </w:p>
    <w:p w:rsidR="000713A2" w:rsidRPr="00532C5B" w:rsidRDefault="000713A2" w:rsidP="00312FD5">
      <w:pPr>
        <w:spacing w:after="0"/>
        <w:ind w:firstLine="720"/>
        <w:contextualSpacing/>
        <w:rPr>
          <w:rFonts w:cstheme="minorHAnsi"/>
          <w:sz w:val="24"/>
          <w:szCs w:val="24"/>
          <w:lang w:eastAsia="en-GB"/>
        </w:rPr>
      </w:pPr>
      <w:r w:rsidRPr="00532C5B">
        <w:rPr>
          <w:rFonts w:cstheme="minorHAnsi"/>
        </w:rPr>
        <w:t>The initially generous renewable incentives are therefore commonly associated with a mutually beneficial relationship between developers, investors and politicians with several MPs also being accused of making legislation in favour of their own business interests, having invested themselves in renewable projects.</w:t>
      </w:r>
      <w:r w:rsidRPr="00532C5B">
        <w:rPr>
          <w:rStyle w:val="FootnoteReference"/>
          <w:rFonts w:cstheme="minorHAnsi"/>
        </w:rPr>
        <w:footnoteReference w:id="13"/>
      </w:r>
      <w:r w:rsidRPr="00532C5B">
        <w:rPr>
          <w:rFonts w:cstheme="minorHAnsi"/>
        </w:rPr>
        <w:t xml:space="preserve"> As such, the strong influence of certain interest groups directly </w:t>
      </w:r>
      <w:r w:rsidRPr="00532C5B">
        <w:rPr>
          <w:rFonts w:cstheme="minorHAnsi"/>
        </w:rPr>
        <w:lastRenderedPageBreak/>
        <w:t>led to the rapid expansion in renewable capacity, as “renewable energy producers and their investors were pressing for good conditions”.</w:t>
      </w:r>
      <w:r w:rsidRPr="00532C5B">
        <w:rPr>
          <w:rStyle w:val="FootnoteReference"/>
          <w:rFonts w:cstheme="minorHAnsi"/>
        </w:rPr>
        <w:footnoteReference w:id="14"/>
      </w:r>
      <w:r w:rsidRPr="00532C5B">
        <w:rPr>
          <w:rFonts w:cstheme="minorHAnsi"/>
          <w:sz w:val="24"/>
          <w:szCs w:val="24"/>
          <w:lang w:eastAsia="en-GB"/>
        </w:rPr>
        <w:t xml:space="preserve"> </w:t>
      </w:r>
    </w:p>
    <w:p w:rsidR="000713A2" w:rsidRPr="00532C5B" w:rsidRDefault="000713A2" w:rsidP="00312FD5">
      <w:pPr>
        <w:spacing w:after="0"/>
        <w:contextualSpacing/>
        <w:rPr>
          <w:rFonts w:cstheme="minorHAnsi"/>
          <w:sz w:val="24"/>
          <w:szCs w:val="24"/>
          <w:lang w:eastAsia="en-GB"/>
        </w:rPr>
      </w:pPr>
    </w:p>
    <w:p w:rsidR="000713A2" w:rsidRPr="00532C5B" w:rsidRDefault="000713A2" w:rsidP="003A4BA4">
      <w:pPr>
        <w:pStyle w:val="Heading2"/>
        <w:numPr>
          <w:ilvl w:val="1"/>
          <w:numId w:val="6"/>
        </w:numPr>
        <w:spacing w:before="0"/>
        <w:ind w:left="426" w:hanging="426"/>
        <w:contextualSpacing/>
        <w:rPr>
          <w:rFonts w:asciiTheme="minorHAnsi" w:hAnsiTheme="minorHAnsi" w:cstheme="minorHAnsi"/>
          <w:lang w:eastAsia="en-GB"/>
        </w:rPr>
      </w:pPr>
      <w:bookmarkStart w:id="3" w:name="_Toc496525273"/>
      <w:r w:rsidRPr="00532C5B">
        <w:rPr>
          <w:rFonts w:asciiTheme="minorHAnsi" w:hAnsiTheme="minorHAnsi" w:cstheme="minorHAnsi"/>
          <w:lang w:eastAsia="en-GB"/>
        </w:rPr>
        <w:t>The Implications of Bulgaria’s Renewable Expansion</w:t>
      </w:r>
      <w:bookmarkEnd w:id="3"/>
    </w:p>
    <w:p w:rsidR="000713A2" w:rsidRPr="00532C5B" w:rsidRDefault="000713A2" w:rsidP="00312FD5">
      <w:pPr>
        <w:spacing w:after="0"/>
        <w:contextualSpacing/>
        <w:rPr>
          <w:rFonts w:cstheme="minorHAnsi"/>
        </w:rPr>
      </w:pPr>
      <w:r w:rsidRPr="00532C5B">
        <w:rPr>
          <w:rFonts w:cstheme="minorHAnsi"/>
        </w:rPr>
        <w:t xml:space="preserve">Fuelled by the generous </w:t>
      </w:r>
      <w:proofErr w:type="spellStart"/>
      <w:r w:rsidRPr="00532C5B">
        <w:rPr>
          <w:rFonts w:cstheme="minorHAnsi"/>
        </w:rPr>
        <w:t>FiT</w:t>
      </w:r>
      <w:proofErr w:type="spellEnd"/>
      <w:r w:rsidRPr="00532C5B">
        <w:rPr>
          <w:rFonts w:cstheme="minorHAnsi"/>
        </w:rPr>
        <w:t xml:space="preserve"> scheme, renewable capacity grew at a rate that challenged both the grid operator and electric companies. The transmission system operator (TSO) struggled severely in the early years of the rapid capacity growth to accommodate the connection of all new renewable projects. As the TSO was legally obligated to provide grid connection and priority access to renewables, Bulgaria was criticised by the EU over its failure to provide appropriate mechanisms regulating the connection of renewables to the grid </w:t>
      </w:r>
      <w:r w:rsidRPr="00532C5B">
        <w:rPr>
          <w:rFonts w:cstheme="minorHAnsi"/>
        </w:rPr>
        <w:fldChar w:fldCharType="begin" w:fldLock="1"/>
      </w:r>
      <w:r w:rsidR="00312FD5">
        <w:rPr>
          <w:rFonts w:cstheme="minorHAnsi"/>
        </w:rPr>
        <w:instrText>ADDIN CSL_CITATION { "citationItems" : [ { "id" : "ITEM-1", "itemData" : { "ISBN" : "9781439817315", "author" : [ { "dropping-particle" : "", "family" : "Kirov", "given" : "Vassil", "non-dropping-particle" : "", "parse-names" : false, "suffix" : "" } ], "container-title" : "Institute for the Study of Societies and Knowledge", "id" : "ITEM-1", "issue" : "December", "issued" : { "date-parts" : [ [ "2012" ] ] }, "page" : "1-30", "title" : "Public Funding for Green Energy in a Context of Crisis. Country Report (Bulgaria)", "type" : "article-journal" }, "uris" : [ "http://www.mendeley.com/documents/?uuid=5c70aac3-ce5b-4acb-9bb8-db08b60f114b" ] } ], "mendeley" : { "formattedCitation" : "(Kirov, 2012)", "plainTextFormattedCitation" : "(Kirov, 2012)", "previouslyFormattedCitation" : "(Kirov, 2012)" }, "properties" : {  }, "schema" : "https://github.com/citation-style-language/schema/raw/master/csl-citation.json" }</w:instrText>
      </w:r>
      <w:r w:rsidRPr="00532C5B">
        <w:rPr>
          <w:rFonts w:cstheme="minorHAnsi"/>
        </w:rPr>
        <w:fldChar w:fldCharType="separate"/>
      </w:r>
      <w:r w:rsidRPr="00532C5B">
        <w:rPr>
          <w:rFonts w:cstheme="minorHAnsi"/>
          <w:noProof/>
        </w:rPr>
        <w:t>(Kirov, 2012)</w:t>
      </w:r>
      <w:r w:rsidRPr="00532C5B">
        <w:rPr>
          <w:rFonts w:cstheme="minorHAnsi"/>
        </w:rPr>
        <w:fldChar w:fldCharType="end"/>
      </w:r>
      <w:r w:rsidRPr="00532C5B">
        <w:rPr>
          <w:rFonts w:cstheme="minorHAnsi"/>
        </w:rPr>
        <w:t xml:space="preserve">. Indeed, the regulatory framework did not provide incentives for the development of the grid, which resulted in a shortage of transmission capacity. Furthermore, about 50% of wind power is located in the north-east region of the country, far from major population/consumption centres of Sofia and Plovdiv in the west and south-west </w:t>
      </w:r>
      <w:r w:rsidRPr="00532C5B">
        <w:rPr>
          <w:rFonts w:cstheme="minorHAnsi"/>
        </w:rPr>
        <w:fldChar w:fldCharType="begin" w:fldLock="1"/>
      </w:r>
      <w:r w:rsidR="00312FD5">
        <w:rPr>
          <w:rFonts w:cstheme="minorHAnsi"/>
        </w:rPr>
        <w:instrText>ADDIN CSL_CITATION { "citationItems" : [ { "id" : "ITEM-1", "itemData" : { "abstract" : "This report aims to assess the integration of renewable energy sources (RES-E) in the European grids and markets. Therefore, an extensive research of policies and legislation was conducted in order to analyse the current state of RES-E integration in each one of the 27 Member States. To ensure a balanced and accurate understanding of the situation in each country, 329 stakeholders from different sectors (government, industry, associations, system operators and so on) were contacted. Over 200 of them agreed to be interviewed and participated afterwards in consultation rounds. A detailed description of the methodology applied in this study can be found in Annex I on page 171. Regarding network integration, several issues to the integration of RES-E into the grid (\u201cbarriers\u201d) were identified as being the ones with the highest frequency of occurrence in the Member States. Namely, 40 were identified in the connection phase, 7 in the operation phase and 16 in the development phase. It is clear that each Member State has its specific national conditions that can lead to unique specific situations. Thus, to carry out an overall assessment of the main barriers to RES-E integration in Europe, a harmonisation and generalisation process of such situations has been necessary, and similar situations have been grouped in broader categories. The 27 national reports that served as a basis for the present conclusions provide a more detailed description of the national situation in each one of the Member States. The generalisation enabled the authors to address the barriers at the European level and thus to provide recommendations accordingly. Furthermore, it is of utmost importance to underline that the perspective considered in this report is mainly the European one. This means that the issues taken into largest consideration are mostly relevant at EU level because common to a significant number of Member States. Such issues may not automatically be also the most pressing ones in the Member States. For clarity, the most relevant issues at Member State level are listed in the grid connection, operation and development parts (pages 25, 49, and 59) and in the chapter dedicated to these issues on page 97. For a detailed assessment on them, reference should be made to the 27 national reports. Considering that it was not possible to include in this report all the details mentioned by stakeholders, a detailed assessment of the specific barriers in each one of the 27 Member Sta\u2026", "author" : [ { "dropping-particle" : "", "family" : "Jirous", "given" : "Filip", "non-dropping-particle" : "", "parse-names" : false, "suffix" : "" }, { "dropping-particle" : "", "family" : "Herling", "given" : "Jana", "non-dropping-particle" : "", "parse-names" : false, "suffix" : "" }, { "dropping-particle" : "", "family" : "Bauknecht", "given" : "Dierk", "non-dropping-particle" : "", "parse-names" : false, "suffix" : "" } ], "container-title" : "RES-INTEGRATION - Country report", "id" : "ITEM-1", "issue" : "December", "issued" : { "date-parts" : [ [ "2011" ] ] }, "number-of-pages" : "48", "title" : "Integration of electricity from renewables to the electricity grid and to the electricity market: Bulgaria", "type" : "report" }, "uris" : [ "http://www.mendeley.com/documents/?uuid=cb760d9b-243a-402b-a694-ceff4be32fb6" ] } ], "mendeley" : { "formattedCitation" : "(Jirous et al., 2011)", "plainTextFormattedCitation" : "(Jirous et al., 2011)", "previouslyFormattedCitation" : "(Jirous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(Jirous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 xml:space="preserve">. In order not to be subjected to fines by infringing on its connection obligation, officially, the TSO argued that the effective curtailing of wind energy plants in this region to 50% of capacity was to the benefit of the grid system as only few renewable sources could serve as balancing capacities </w:t>
      </w:r>
      <w:r w:rsidRPr="00532C5B">
        <w:rPr>
          <w:rFonts w:cstheme="minorHAnsi"/>
        </w:rPr>
        <w:fldChar w:fldCharType="begin" w:fldLock="1"/>
      </w:r>
      <w:r w:rsidR="00312FD5">
        <w:rPr>
          <w:rFonts w:cstheme="minorHAnsi"/>
        </w:rPr>
        <w:instrText>ADDIN CSL_CITATION { "citationItems" : [ { "id" : "ITEM-1", "itemData" : { "abstract" : "This report aims to assess the integration of renewable energy sources (RES-E) in the European grids and markets. Therefore, an extensive research of policies and legislation was conducted in order to analyse the current state of RES-E integration in each one of the 27 Member States. To ensure a balanced and accurate understanding of the situation in each country, 329 stakeholders from different sectors (government, industry, associations, system operators and so on) were contacted. Over 200 of them agreed to be interviewed and participated afterwards in consultation rounds. A detailed description of the methodology applied in this study can be found in Annex I on page 171. Regarding network integration, several issues to the integration of RES-E into the grid (\u201cbarriers\u201d) were identified as being the ones with the highest frequency of occurrence in the Member States. Namely, 40 were identified in the connection phase, 7 in the operation phase and 16 in the development phase. It is clear that each Member State has its specific national conditions that can lead to unique specific situations. Thus, to carry out an overall assessment of the main barriers to RES-E integration in Europe, a harmonisation and generalisation process of such situations has been necessary, and similar situations have been grouped in broader categories. The 27 national reports that served as a basis for the present conclusions provide a more detailed description of the national situation in each one of the Member States. The generalisation enabled the authors to address the barriers at the European level and thus to provide recommendations accordingly. Furthermore, it is of utmost importance to underline that the perspective considered in this report is mainly the European one. This means that the issues taken into largest consideration are mostly relevant at EU level because common to a significant number of Member States. Such issues may not automatically be also the most pressing ones in the Member States. For clarity, the most relevant issues at Member State level are listed in the grid connection, operation and development parts (pages 25, 49, and 59) and in the chapter dedicated to these issues on page 97. For a detailed assessment on them, reference should be made to the 27 national reports. Considering that it was not possible to include in this report all the details mentioned by stakeholders, a detailed assessment of the specific barriers in each one of the 27 Member Sta\u2026", "author" : [ { "dropping-particle" : "", "family" : "Jirous", "given" : "Filip", "non-dropping-particle" : "", "parse-names" : false, "suffix" : "" }, { "dropping-particle" : "", "family" : "Herling", "given" : "Jana", "non-dropping-particle" : "", "parse-names" : false, "suffix" : "" }, { "dropping-particle" : "", "family" : "Bauknecht", "given" : "Dierk", "non-dropping-particle" : "", "parse-names" : false, "suffix" : "" } ], "container-title" : "RES-INTEGRATION - Country report", "id" : "ITEM-1", "issue" : "December", "issued" : { "date-parts" : [ [ "2011" ] ] }, "number-of-pages" : "48", "title" : "Integration of electricity from renewables to the electricity grid and to the electricity market: Bulgaria", "type" : "report" }, "uris" : [ "http://www.mendeley.com/documents/?uuid=cb760d9b-243a-402b-a694-ceff4be32fb6" ] } ], "mendeley" : { "formattedCitation" : "(Jirous et al., 2011)", "plainTextFormattedCitation" : "(Jirous et al., 2011)", "previouslyFormattedCitation" : "(Jirous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(Jirous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sz w:val="24"/>
          <w:szCs w:val="24"/>
          <w:lang w:eastAsia="en-GB"/>
        </w:rPr>
      </w:pPr>
      <w:r w:rsidRPr="00532C5B">
        <w:rPr>
          <w:rFonts w:cstheme="minorHAnsi"/>
        </w:rPr>
        <w:t xml:space="preserve">In light of the vast amount of renewables projects that sought development, distribution companies began rejecting connection applications in 2010, and awaited the announced policy amendments by the Bulgarian government for 2011 </w:t>
      </w:r>
      <w:r w:rsidRPr="00532C5B">
        <w:rPr>
          <w:rFonts w:cstheme="minorHAnsi"/>
        </w:rPr>
        <w:fldChar w:fldCharType="begin" w:fldLock="1"/>
      </w:r>
      <w:r w:rsidR="00312FD5">
        <w:rPr>
          <w:rFonts w:cstheme="minorHAnsi"/>
        </w:rPr>
        <w:instrText>ADDIN CSL_CITATION { "citationItems" : [ { "id" : "ITEM-1", "itemData" : { "author" : [ { "dropping-particle" : "", "family" : "Winkel", "given" : "Thomas", "non-dropping-particle" : "", "parse-names" : false, "suffix" : "" }, { "dropping-particle" : "", "family" : "Ragwitz", "given" : "Mario", "non-dropping-particle" : "", "parse-names" : false, "suffix" : "" }, { "dropping-particle" : "", "family" : "Resch", "given" : "Gustav", "non-dropping-particle" : "", "parse-names" : false, "suffix" : "" }, { "dropping-particle" : "", "family" : "Konstantinaviciute", "given" : "Inga", "non-dropping-particle" : "", "parse-names" : false, "suffix" : "" } ], "container-title" : "Ecofys", "id" : "ITEM-1", "issue" : "November", "issued" : { "date-parts" : [ [ "2011" ] ] }, "page" : "318", "title" : "Renewable Energy Policy Country Profiles", "type" : "article-journal" }, "uris" : [ "http://www.mendeley.com/documents/?uuid=364555ee-bc58-4e03-b1a0-a25fe901bc9c" ] }, { "id" : "ITEM-2", "itemData" : { "author" : [ { "dropping-particle" : "", "family" : "Gramatikova", "given" : "Katerina", "non-dropping-particle" : "", "parse-names" : false, "suffix" : "" } ], "container-title" : "Wirtschaftsblatt", "id" : "ITEM-2", "issued" : { "date-parts" : [ [ "2012" ] ] }, "title" : "The New Bulgarian Renewable Energy Sources Act", "type" : "article-journal", "volume" : "01" }, "uris" : [ "http://www.mendeley.com/documents/?uuid=7af349a4-547d-4c3b-b514-1f254b4f6e6e" ] } ], "mendeley" : { "formattedCitation" : "(Winkel et al., 2011; Gramatikova, 2012)", "plainTextFormattedCitation" : "(Winkel et al., 2011; Gramatikova, 2012)", "previouslyFormattedCitation" : "(Winkel et al., 2011; Gramatikova, 2012)" }, "properties" : {  }, "schema" : "https://github.com/citation-style-language/schema/raw/master/csl-citation.json" }</w:instrText>
      </w:r>
      <w:r w:rsidRPr="00532C5B">
        <w:rPr>
          <w:rFonts w:cstheme="minorHAnsi"/>
        </w:rPr>
        <w:fldChar w:fldCharType="separate"/>
      </w:r>
      <w:r w:rsidRPr="00532C5B">
        <w:rPr>
          <w:rFonts w:cstheme="minorHAnsi"/>
          <w:noProof/>
        </w:rPr>
        <w:t xml:space="preserve">(Winkel </w:t>
      </w:r>
      <w:r w:rsidRPr="00532C5B">
        <w:rPr>
          <w:rFonts w:cstheme="minorHAnsi"/>
          <w:i/>
          <w:noProof/>
        </w:rPr>
        <w:t>et al.</w:t>
      </w:r>
      <w:r w:rsidRPr="00532C5B">
        <w:rPr>
          <w:rFonts w:cstheme="minorHAnsi"/>
          <w:noProof/>
        </w:rPr>
        <w:t>, 2011; Gramatikova, 2012)</w:t>
      </w:r>
      <w:r w:rsidRPr="00532C5B">
        <w:rPr>
          <w:rFonts w:cstheme="minorHAnsi"/>
        </w:rPr>
        <w:fldChar w:fldCharType="end"/>
      </w:r>
      <w:r w:rsidRPr="00532C5B">
        <w:rPr>
          <w:rFonts w:cstheme="minorHAnsi"/>
        </w:rPr>
        <w:t xml:space="preserve">. </w:t>
      </w:r>
      <w:r w:rsidR="00875F99">
        <w:rPr>
          <w:rFonts w:cstheme="minorHAnsi"/>
        </w:rPr>
        <w:t>F</w:t>
      </w:r>
      <w:r w:rsidR="00875F99" w:rsidRPr="00532C5B">
        <w:rPr>
          <w:rFonts w:cstheme="minorHAnsi"/>
        </w:rPr>
        <w:t>rom May 2011</w:t>
      </w:r>
      <w:r w:rsidR="00875F99">
        <w:rPr>
          <w:rFonts w:cstheme="minorHAnsi"/>
        </w:rPr>
        <w:t>,</w:t>
      </w:r>
      <w:r w:rsidR="00875F99" w:rsidRPr="00532C5B">
        <w:rPr>
          <w:rFonts w:cstheme="minorHAnsi"/>
        </w:rPr>
        <w:t xml:space="preserve"> </w:t>
      </w:r>
      <w:r w:rsidRPr="00532C5B">
        <w:rPr>
          <w:rFonts w:cstheme="minorHAnsi"/>
        </w:rPr>
        <w:t xml:space="preserve">Bulgaria’s </w:t>
      </w:r>
      <w:r w:rsidRPr="00532C5B">
        <w:rPr>
          <w:rFonts w:cstheme="minorHAnsi"/>
          <w:i/>
        </w:rPr>
        <w:t>Energy From Renewable Energy Sources</w:t>
      </w:r>
      <w:r w:rsidRPr="00532C5B">
        <w:rPr>
          <w:rFonts w:cstheme="minorHAnsi"/>
        </w:rPr>
        <w:t xml:space="preserve"> </w:t>
      </w:r>
      <w:r w:rsidRPr="00532C5B">
        <w:rPr>
          <w:rFonts w:cstheme="minorHAnsi"/>
          <w:i/>
        </w:rPr>
        <w:t xml:space="preserve">Act </w:t>
      </w:r>
      <w:r w:rsidRPr="00532C5B">
        <w:rPr>
          <w:rFonts w:cstheme="minorHAnsi"/>
        </w:rPr>
        <w:t xml:space="preserve">(ERSA) abolished priority access for renewables to ease the pressure on the grid and introduced obligatory advance payments of renewable developers to counteract speculative projects </w:t>
      </w:r>
      <w:r w:rsidRPr="00532C5B">
        <w:rPr>
          <w:rFonts w:cstheme="minorHAnsi"/>
        </w:rPr>
        <w:fldChar w:fldCharType="begin" w:fldLock="1"/>
      </w:r>
      <w:r w:rsidR="00312FD5">
        <w:rPr>
          <w:rFonts w:cstheme="minorHAnsi"/>
        </w:rPr>
        <w:instrText>ADDIN CSL_CITATION { "citationItems" : [ { "id" : "ITEM-1", "itemData" : { "author" : [ { "dropping-particle" : "", "family" : "Government of Bulgaria", "given" : "", "non-dropping-particle" : "", "parse-names" : false, "suffix" : "" } ], "id" : "ITEM-1", "issued" : { "date-parts" : [ [ "2011" ] ] }, "publisher-place" : "Bulgaria", "title" : "Energy From Renewable Sources Act", "type" : "bill" }, "uris" : [ "http://www.mendeley.com/documents/?uuid=b6119d95-86a5-49a1-a2ba-de4cd912c570" ] } ], "mendeley" : { "formattedCitation" : "(Government of Bulgaria, 2011a)", "plainTextFormattedCitation" : "(Government of Bulgaria, 2011a)", "previouslyFormattedCitation" : "(Government of Bulgaria, 2011a)" }, "properties" : {  }, "schema" : "https://github.com/citation-style-language/schema/raw/master/csl-citation.json" }</w:instrText>
      </w:r>
      <w:r w:rsidRPr="00532C5B">
        <w:rPr>
          <w:rFonts w:cstheme="minorHAnsi"/>
        </w:rPr>
        <w:fldChar w:fldCharType="separate"/>
      </w:r>
      <w:r w:rsidRPr="00532C5B">
        <w:rPr>
          <w:rFonts w:cstheme="minorHAnsi"/>
          <w:noProof/>
        </w:rPr>
        <w:t>(Government of Bulgaria, 2011a)</w:t>
      </w:r>
      <w:r w:rsidRPr="00532C5B">
        <w:rPr>
          <w:rFonts w:cstheme="minorHAnsi"/>
        </w:rPr>
        <w:fldChar w:fldCharType="end"/>
      </w:r>
      <w:r w:rsidRPr="00532C5B">
        <w:rPr>
          <w:rFonts w:cstheme="minorHAnsi"/>
        </w:rPr>
        <w:t>.</w:t>
      </w:r>
      <w:r w:rsidRPr="00532C5B">
        <w:rPr>
          <w:rFonts w:cstheme="minorHAnsi"/>
          <w:sz w:val="24"/>
          <w:szCs w:val="24"/>
          <w:lang w:eastAsia="en-GB"/>
        </w:rPr>
        <w:t xml:space="preserve"> </w:t>
      </w:r>
      <w:r w:rsidRPr="00532C5B">
        <w:rPr>
          <w:rFonts w:cstheme="minorHAnsi"/>
        </w:rPr>
        <w:t xml:space="preserve">The Act further adjusted the renewable growth trajectory to 1% per year, which in effect would render Bulgaria unable to reach the  2020 targets of 16%, and reduced the duration of purchase contracts </w:t>
      </w:r>
      <w:r w:rsidRPr="00532C5B">
        <w:rPr>
          <w:rFonts w:cstheme="minorHAnsi"/>
        </w:rPr>
        <w:lastRenderedPageBreak/>
        <w:t xml:space="preserve">retroactively, while restricting medium and large scale investment projects </w:t>
      </w:r>
      <w:r w:rsidRPr="00532C5B">
        <w:rPr>
          <w:rFonts w:cstheme="minorHAnsi"/>
        </w:rPr>
        <w:fldChar w:fldCharType="begin" w:fldLock="1"/>
      </w:r>
      <w:r w:rsidR="00312FD5">
        <w:rPr>
          <w:rFonts w:cstheme="minorHAnsi"/>
        </w:rPr>
        <w:instrText>ADDIN CSL_CITATION { "citationItems" : [ { "id" : "ITEM-1", "itemData" : { "author" : [ { "dropping-particle" : "", "family" : "Government of Bulgaria", "given" : "", "non-dropping-particle" : "", "parse-names" : false, "suffix" : "" } ], "id" : "ITEM-1", "issued" : { "date-parts" : [ [ "2011" ] ] }, "publisher-place" : "Bulgaria", "title" : "Energy From Renewable Sources Act", "type" : "bill" }, "uris" : [ "http://www.mendeley.com/documents/?uuid=b6119d95-86a5-49a1-a2ba-de4cd912c570" ] } ], "mendeley" : { "formattedCitation" : "(Government of Bulgaria, 2011a)", "plainTextFormattedCitation" : "(Government of Bulgaria, 2011a)", "previouslyFormattedCitation" : "(Government of Bulgaria, 2011a)" }, "properties" : {  }, "schema" : "https://github.com/citation-style-language/schema/raw/master/csl-citation.json" }</w:instrText>
      </w:r>
      <w:r w:rsidRPr="00532C5B">
        <w:rPr>
          <w:rFonts w:cstheme="minorHAnsi"/>
        </w:rPr>
        <w:fldChar w:fldCharType="separate"/>
      </w:r>
      <w:r w:rsidRPr="00532C5B">
        <w:rPr>
          <w:rFonts w:cstheme="minorHAnsi"/>
          <w:noProof/>
        </w:rPr>
        <w:t>(Government of Bulgaria, 2011a)</w:t>
      </w:r>
      <w:r w:rsidRPr="00532C5B">
        <w:rPr>
          <w:rFonts w:cstheme="minorHAnsi"/>
        </w:rPr>
        <w:fldChar w:fldCharType="end"/>
      </w:r>
      <w:r w:rsidRPr="00532C5B">
        <w:rPr>
          <w:rFonts w:cstheme="minorHAnsi"/>
        </w:rPr>
        <w:t xml:space="preserve">. The Act reorganised the administrative unit promoting renewable energy production by converting the Energy Efficiency Agency into the Agency for Sustainable Energy Development. Although the rules of regulation for the agency were finally agreed upon by October 2011, the Agency only effectively began work in 2012 </w:t>
      </w:r>
      <w:r w:rsidRPr="00532C5B">
        <w:rPr>
          <w:rFonts w:cstheme="minorHAnsi"/>
        </w:rPr>
        <w:fldChar w:fldCharType="begin" w:fldLock="1"/>
      </w:r>
      <w:r w:rsidR="00312FD5">
        <w:rPr>
          <w:rFonts w:cstheme="minorHAnsi"/>
        </w:rPr>
        <w:instrText>ADDIN CSL_CITATION { "citationItems" : [ { "id" : "ITEM-1", "itemData" : { "author" : [ { "dropping-particle" : "", "family" : "Winkel", "given" : "Thomas", "non-dropping-particle" : "", "parse-names" : false, "suffix" : "" }, { "dropping-particle" : "", "family" : "Ragwitz", "given" : "Mario", "non-dropping-particle" : "", "parse-names" : false, "suffix" : "" }, { "dropping-particle" : "", "family" : "Resch", "given" : "Gustav", "non-dropping-particle" : "", "parse-names" : false, "suffix" : "" }, { "dropping-particle" : "", "family" : "Konstantinaviciute", "given" : "Inga", "non-dropping-particle" : "", "parse-names" : false, "suffix" : "" } ], "container-title" : "Ecofys", "id" : "ITEM-1", "issue" : "November", "issued" : { "date-parts" : [ [ "2011" ] ] }, "page" : "318", "title" : "Renewable Energy Policy Country Profiles", "type" : "article-journal" }, "uris" : [ "http://www.mendeley.com/documents/?uuid=364555ee-bc58-4e03-b1a0-a25fe901bc9c" ] } ], "mendeley" : { "formattedCitation" : "(Winkel et al., 2011)", "plainTextFormattedCitation" : "(Winkel et al., 2011)", "previouslyFormattedCitation" : "(Winkel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(Winkel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Additional policy changes affected the price determination of FITs for wind projects as well as amendments to the Energy Act concerning the liberalisation of the energy sector. However, tariffs continued to be calculated and set for the whole period starting on the first of April each year to the thirty-first of March the next year in advance with little to no flexibility to respond to developments on the energy market and falling technology costs</w:t>
      </w:r>
      <w:r w:rsidRPr="00532C5B">
        <w:rPr>
          <w:rStyle w:val="FootnoteReference"/>
          <w:rFonts w:cstheme="minorHAnsi"/>
        </w:rPr>
        <w:footnoteReference w:id="15"/>
      </w:r>
      <w:r w:rsidRPr="00532C5B">
        <w:rPr>
          <w:rFonts w:cstheme="minorHAnsi"/>
        </w:rPr>
        <w:t xml:space="preserve"> </w:t>
      </w:r>
      <w:r w:rsidRPr="00532C5B">
        <w:rPr>
          <w:rFonts w:cstheme="minorHAnsi"/>
        </w:rPr>
        <w:fldChar w:fldCharType="begin" w:fldLock="1"/>
      </w:r>
      <w:r w:rsidR="00312FD5">
        <w:rPr>
          <w:rFonts w:cstheme="minorHAnsi"/>
        </w:rPr>
        <w:instrText>ADDIN CSL_CITATION { "citationItems" : [ { "id" : "ITEM-1", "itemData" : { "author" : [ { "dropping-particle" : "", "family" : "Gramatikova", "given" : "Katerina", "non-dropping-particle" : "", "parse-names" : false, "suffix" : "" } ], "container-title" : "Wirtschaftsblatt", "id" : "ITEM-1", "issued" : { "date-parts" : [ [ "2012" ] ] }, "title" : "The New Bulgarian Renewable Energy Sources Act", "type" : "article-journal", "volume" : "01" }, "uris" : [ "http://www.mendeley.com/documents/?uuid=7af349a4-547d-4c3b-b514-1f254b4f6e6e" ] }, { "id" : "ITEM-2", "itemData" : { "author" : [ { "dropping-particle" : "", "family" : "Bulgaria State Gazette", "given" : "", "non-dropping-particle" : "", "parse-names" : false, "suffix" : "" } ], "container-title" : "35", "id" : "ITEM-2", "issue" : "59", "issued" : { "date-parts" : [ [ "2013" ] ] }, "title" : "Energy from renewable sources Act", "type" : "article-journal" }, "uris" : [ "http://www.mendeley.com/documents/?uuid=114bfc00-58d3-41e3-a3a2-95c82e016938" ] } ], "mendeley" : { "formattedCitation" : "(Gramatikova, 2012; Bulgaria State Gazette, 2013)", "plainTextFormattedCitation" : "(Gramatikova, 2012; Bulgaria State Gazette, 2013)", "previouslyFormattedCitation" : "(Gramatikova, 2012; Bulgaria State Gazette, 2013)" }, "properties" : {  }, "schema" : "https://github.com/citation-style-language/schema/raw/master/csl-citation.json" }</w:instrText>
      </w:r>
      <w:r w:rsidRPr="00532C5B">
        <w:rPr>
          <w:rFonts w:cstheme="minorHAnsi"/>
        </w:rPr>
        <w:fldChar w:fldCharType="separate"/>
      </w:r>
      <w:r w:rsidRPr="00532C5B">
        <w:rPr>
          <w:rFonts w:cstheme="minorHAnsi"/>
          <w:noProof/>
        </w:rPr>
        <w:t>(Gramatikova, 2012; Bulgaria State Gazette, 2013)</w:t>
      </w:r>
      <w:r w:rsidRPr="00532C5B">
        <w:rPr>
          <w:rFonts w:cstheme="minorHAnsi"/>
        </w:rPr>
        <w:fldChar w:fldCharType="end"/>
      </w:r>
      <w:r w:rsidRPr="00532C5B">
        <w:rPr>
          <w:rFonts w:cstheme="minorHAnsi"/>
        </w:rPr>
        <w:t xml:space="preserve">. As such, in 2011 </w:t>
      </w:r>
      <w:proofErr w:type="spellStart"/>
      <w:r w:rsidRPr="00532C5B">
        <w:rPr>
          <w:rFonts w:cstheme="minorHAnsi"/>
        </w:rPr>
        <w:t>FiT</w:t>
      </w:r>
      <w:proofErr w:type="spellEnd"/>
      <w:r w:rsidRPr="00532C5B">
        <w:rPr>
          <w:rFonts w:cstheme="minorHAnsi"/>
        </w:rPr>
        <w:t xml:space="preserve"> rates for solar PV projects were set just weeks before a significant drop in technology costs, with no changes to the rates possible afterwards.</w:t>
      </w:r>
      <w:r w:rsidRPr="00532C5B">
        <w:rPr>
          <w:rStyle w:val="FootnoteReference"/>
          <w:rFonts w:cstheme="minorHAnsi"/>
        </w:rPr>
        <w:footnoteReference w:id="16"/>
      </w:r>
      <w:r w:rsidRPr="00532C5B">
        <w:rPr>
          <w:rFonts w:cstheme="minorHAnsi"/>
        </w:rPr>
        <w:t xml:space="preserve"> The consequent boom in solar capacity development, and hence the reaching of its 2020 targets by the end of 2012, resulted in a moratorium on </w:t>
      </w:r>
      <w:proofErr w:type="spellStart"/>
      <w:r w:rsidRPr="00532C5B">
        <w:rPr>
          <w:rFonts w:cstheme="minorHAnsi"/>
        </w:rPr>
        <w:t>FiTs</w:t>
      </w:r>
      <w:proofErr w:type="spellEnd"/>
      <w:r w:rsidRPr="00532C5B">
        <w:rPr>
          <w:rFonts w:cstheme="minorHAnsi"/>
        </w:rPr>
        <w:t xml:space="preserve"> for new projects in 2013. In February 2015, the feed-in tariff scheme was officially ended for new renewable energy installations </w:t>
      </w:r>
      <w:r w:rsidRPr="00532C5B">
        <w:rPr>
          <w:rFonts w:cstheme="minorHAnsi"/>
        </w:rPr>
        <w:fldChar w:fldCharType="begin" w:fldLock="1"/>
      </w:r>
      <w:r w:rsidR="00312FD5">
        <w:rPr>
          <w:rFonts w:cstheme="minorHAnsi"/>
        </w:rPr>
        <w:instrText>ADDIN CSL_CITATION { "citationItems" : [ { "id" : "ITEM-1", "itemData" : { "author" : [ { "dropping-particle" : "", "family" : "EurObserv'Er", "given" : "", "non-dropping-particle" : "", "parse-names" : false, "suffix" : "" } ], "id" : "ITEM-1", "issue" : "December", "issued" : { "date-parts" : [ [ "2015" ] ] }, "title" : "Country Policy Profile. Bulgaria", "type" : "report" }, "uris" : [ "http://www.mendeley.com/documents/?uuid=0b6d0ccf-abb8-4638-bdc5-e9be9cdf08fa" ] } ], "mendeley" : { "formattedCitation" : "(EurObserv\u2019Er, 2015)", "plainTextFormattedCitation" : "(EurObserv\u2019Er, 2015)", "previouslyFormattedCitation" : "(EurObserv\u2019Er, 2015)" }, "properties" : {  }, "schema" : "https://github.com/citation-style-language/schema/raw/master/csl-citation.json" }</w:instrText>
      </w:r>
      <w:r w:rsidRPr="00532C5B">
        <w:rPr>
          <w:rFonts w:cstheme="minorHAnsi"/>
        </w:rPr>
        <w:fldChar w:fldCharType="separate"/>
      </w:r>
      <w:r w:rsidRPr="00532C5B">
        <w:rPr>
          <w:rFonts w:cstheme="minorHAnsi"/>
          <w:noProof/>
        </w:rPr>
        <w:t>(EurObserv’Er, 2015)</w:t>
      </w:r>
      <w:r w:rsidRPr="00532C5B">
        <w:rPr>
          <w:rFonts w:cstheme="minorHAnsi"/>
        </w:rPr>
        <w:fldChar w:fldCharType="end"/>
      </w:r>
      <w:r w:rsidRPr="00532C5B">
        <w:rPr>
          <w:rFonts w:cstheme="minorHAnsi"/>
        </w:rPr>
        <w:t xml:space="preserve">. Hence, renewable capacity growth has decreased substantially, coming to an almost complete halt in 2015 </w:t>
      </w:r>
      <w:r w:rsidRPr="00532C5B">
        <w:rPr>
          <w:rFonts w:cstheme="minorHAnsi"/>
        </w:rPr>
        <w:fldChar w:fldCharType="begin" w:fldLock="1"/>
      </w:r>
      <w:r w:rsidR="00312FD5">
        <w:rPr>
          <w:rFonts w:cstheme="minorHAnsi"/>
        </w:rPr>
        <w:instrText>ADDIN CSL_CITATION { "citationItems" : [ { "id" : "ITEM-1", "itemData" : { "author" : [ { "dropping-particle" : "", "family" : "EurObserv'Er", "given" : "", "non-dropping-particle" : "", "parse-names" : false, "suffix" : "" } ], "id" : "ITEM-1", "issue" : "December", "issued" : { "date-parts" : [ [ "2015" ] ] }, "title" : "Country Policy Profile. Bulgaria", "type" : "report" }, "uris" : [ "http://www.mendeley.com/documents/?uuid=0b6d0ccf-abb8-4638-bdc5-e9be9cdf08fa" ] } ], "mendeley" : { "formattedCitation" : "(EurObserv\u2019Er, 2015)", "plainTextFormattedCitation" : "(EurObserv\u2019Er, 2015)", "previouslyFormattedCitation" : "(EurObserv\u2019Er, 2015)" }, "properties" : {  }, "schema" : "https://github.com/citation-style-language/schema/raw/master/csl-citation.json" }</w:instrText>
      </w:r>
      <w:r w:rsidRPr="00532C5B">
        <w:rPr>
          <w:rFonts w:cstheme="minorHAnsi"/>
        </w:rPr>
        <w:fldChar w:fldCharType="separate"/>
      </w:r>
      <w:r w:rsidRPr="00532C5B">
        <w:rPr>
          <w:rFonts w:cstheme="minorHAnsi"/>
          <w:noProof/>
        </w:rPr>
        <w:t>(EurObserv’Er, 2015)</w:t>
      </w:r>
      <w:r w:rsidRPr="00532C5B">
        <w:rPr>
          <w:rFonts w:cstheme="minorHAnsi"/>
        </w:rPr>
        <w:fldChar w:fldCharType="end"/>
      </w:r>
      <w:r w:rsidRPr="00532C5B">
        <w:rPr>
          <w:rFonts w:cstheme="minorHAnsi"/>
        </w:rPr>
        <w:t>.</w:t>
      </w:r>
      <w:r w:rsidRPr="00532C5B">
        <w:rPr>
          <w:rStyle w:val="FootnoteReference"/>
          <w:rFonts w:cstheme="minorHAnsi"/>
        </w:rPr>
        <w:footnoteReference w:id="17"/>
      </w:r>
    </w:p>
    <w:p w:rsidR="000713A2" w:rsidRPr="00532C5B" w:rsidRDefault="000713A2" w:rsidP="00312FD5">
      <w:pPr>
        <w:spacing w:after="0"/>
        <w:ind w:firstLine="720"/>
        <w:contextualSpacing/>
        <w:rPr>
          <w:rFonts w:cstheme="minorHAnsi"/>
        </w:rPr>
      </w:pPr>
      <w:r w:rsidRPr="00532C5B">
        <w:rPr>
          <w:rFonts w:cstheme="minorHAnsi"/>
        </w:rPr>
        <w:t xml:space="preserve">Critically, the ‘success’ of the renewable energy transition thus far had come at an immense cost, considering electricity prices for lignite stood at about EUR13.5 per MWh in 2013, and preferential prices for solar and wind stood at EUR 118.3/MWh and EUR 66.35/MWh respectively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"locator" : "69", "uris" : [ "http://www.mendeley.com/documents/?uuid=c42efdb6-f94d-437f-b939-9412d7a9a470" ] } ], "mendeley" : { "formattedCitation" : "(Center for the Study of Democracy, 2014, p.69)", "plainTextFormattedCitation" : "(Center for the Study of Democracy, 2014, p.69)", "previouslyFormattedCitation" : "(Center for the Study of Democracy, 2014, p.69)"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 p.69)</w:t>
      </w:r>
      <w:r w:rsidRPr="00532C5B">
        <w:rPr>
          <w:rFonts w:cstheme="minorHAnsi"/>
        </w:rPr>
        <w:fldChar w:fldCharType="end"/>
      </w:r>
      <w:r w:rsidRPr="00532C5B">
        <w:rPr>
          <w:rFonts w:cstheme="minorHAnsi"/>
        </w:rPr>
        <w:t xml:space="preserve">. A threefold increase in CHP cogeneration electricity at prices between EUR 65/MWH and EUR 70/MWh further led to rising costs of the energy system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w:t>
      </w:r>
      <w:r w:rsidRPr="00532C5B">
        <w:rPr>
          <w:rFonts w:cstheme="minorHAnsi"/>
        </w:rPr>
        <w:fldChar w:fldCharType="end"/>
      </w:r>
      <w:r w:rsidRPr="00532C5B">
        <w:rPr>
          <w:rFonts w:cstheme="minorHAnsi"/>
        </w:rPr>
        <w:t xml:space="preserve">. While Bulgaria has the lowest electricity and gas prices in </w:t>
      </w:r>
      <w:r w:rsidRPr="00532C5B">
        <w:rPr>
          <w:rFonts w:cstheme="minorHAnsi"/>
        </w:rPr>
        <w:lastRenderedPageBreak/>
        <w:t xml:space="preserve">the EU, in terms of purchasing power standard Bulgaria’s prices are substantially higher than the EU average </w:t>
      </w:r>
      <w:r w:rsidRPr="00532C5B">
        <w:rPr>
          <w:rFonts w:cstheme="minorHAnsi"/>
        </w:rPr>
        <w:fldChar w:fldCharType="begin" w:fldLock="1"/>
      </w:r>
      <w:r w:rsidR="00312FD5">
        <w:rPr>
          <w:rFonts w:cstheme="minorHAnsi"/>
        </w:rPr>
        <w:instrText>ADDIN CSL_CITATION { "citationItems" : [ { "id" : "ITEM-1", "itemData" : { "DOI" : "10.2765/41957", "ISBN" : "9789279285592", "ISSN" : "1725-3209", "author" : [ { "dropping-particle" : "", "family" : "European Commission", "given" : "", "non-dropping-particle" : "", "parse-names" : false, "suffix" : "" } ], "container-title" : "General for Economic and Financial Affairs-Occasional Papers 145", "id" : "ITEM-1", "issue" : "April", "issued" : { "date-parts" : [ [ "2013" ] ] }, "number-of-pages" : "ISSN 1725-3209", "title" : "Member States\u2019 Energy Dependence: An Indicator-Based Assessment", "type" : "book" }, "uris" : [ "http://www.mendeley.com/documents/?uuid=a5b57539-853f-4a91-9905-1fad746b4951" ] } ], "mendeley" : { "formattedCitation" : "(European Commission, 2013)", "plainTextFormattedCitation" : "(European Commission, 2013)", "previouslyFormattedCitation" : "(European Commission, 2013)" }, "properties" : {  }, "schema" : "https://github.com/citation-style-language/schema/raw/master/csl-citation.json" }</w:instrText>
      </w:r>
      <w:r w:rsidRPr="00532C5B">
        <w:rPr>
          <w:rFonts w:cstheme="minorHAnsi"/>
        </w:rPr>
        <w:fldChar w:fldCharType="separate"/>
      </w:r>
      <w:r w:rsidRPr="00532C5B">
        <w:rPr>
          <w:rFonts w:cstheme="minorHAnsi"/>
          <w:noProof/>
        </w:rPr>
        <w:t>(European Commission, 2013)</w:t>
      </w:r>
      <w:r w:rsidRPr="00532C5B">
        <w:rPr>
          <w:rFonts w:cstheme="minorHAnsi"/>
        </w:rPr>
        <w:fldChar w:fldCharType="end"/>
      </w:r>
      <w:r w:rsidRPr="00532C5B">
        <w:rPr>
          <w:rFonts w:cstheme="minorHAnsi"/>
        </w:rPr>
        <w:t xml:space="preserve">. With energy poverty considered a major threat in Bulgaria’s 2011 energy strategy </w:t>
      </w:r>
      <w:r w:rsidRPr="00532C5B">
        <w:rPr>
          <w:rFonts w:cstheme="minorHAnsi"/>
        </w:rPr>
        <w:fldChar w:fldCharType="begin" w:fldLock="1"/>
      </w:r>
      <w:r w:rsidR="00312FD5">
        <w:rPr>
          <w:rFonts w:cstheme="minorHAnsi"/>
        </w:rPr>
        <w:instrText>ADDIN CSL_CITATION { "citationItems" : [ { "id" : "ITEM-1", "itemData" : { "author" : [ { "dropping-particle" : "", "family" : "Government of Bulgaria", "given" : "", "non-dropping-particle" : "", "parse-names" : false, "suffix" : "" } ], "id" : "ITEM-1", "issue" : "June", "issued" : { "date-parts" : [ [ "2011" ] ] }, "title" : "Energy Strategy of the Republic of Bulgaria till 2020. For Reliable, Efficient and Cleaner Energy", "type" : "report" }, "uris" : [ "http://www.mendeley.com/documents/?uuid=6f2bd017-95a7-4cbd-9b4c-453ac6bebba9" ] } ], "mendeley" : { "formattedCitation" : "(Government of Bulgaria, 2011b)", "plainTextFormattedCitation" : "(Government of Bulgaria, 2011b)", "previouslyFormattedCitation" : "(Government of Bulgaria, 2011b)" }, "properties" : {  }, "schema" : "https://github.com/citation-style-language/schema/raw/master/csl-citation.json" }</w:instrText>
      </w:r>
      <w:r w:rsidRPr="00532C5B">
        <w:rPr>
          <w:rFonts w:cstheme="minorHAnsi"/>
        </w:rPr>
        <w:fldChar w:fldCharType="separate"/>
      </w:r>
      <w:r w:rsidRPr="00532C5B">
        <w:rPr>
          <w:rFonts w:cstheme="minorHAnsi"/>
          <w:noProof/>
        </w:rPr>
        <w:t>(Government of Bulgaria, 2011b)</w:t>
      </w:r>
      <w:r w:rsidRPr="00532C5B">
        <w:rPr>
          <w:rFonts w:cstheme="minorHAnsi"/>
        </w:rPr>
        <w:fldChar w:fldCharType="end"/>
      </w:r>
      <w:r w:rsidRPr="00532C5B">
        <w:rPr>
          <w:rFonts w:cstheme="minorHAnsi"/>
        </w:rPr>
        <w:t xml:space="preserve">, the government decided not to transfer the entire cost of renewables onto end-consumers. Nevertheless, rising electricity bills played a triggering role in the protests emerging in the winter of 2013 that forced Prime Minister </w:t>
      </w:r>
      <w:proofErr w:type="spellStart"/>
      <w:r w:rsidRPr="00532C5B">
        <w:rPr>
          <w:rFonts w:cstheme="minorHAnsi"/>
        </w:rPr>
        <w:t>Borisov</w:t>
      </w:r>
      <w:proofErr w:type="spellEnd"/>
      <w:r w:rsidRPr="00532C5B">
        <w:rPr>
          <w:rFonts w:cstheme="minorHAnsi"/>
        </w:rPr>
        <w:t xml:space="preserve"> to resign in February 2013 </w:t>
      </w:r>
      <w:r w:rsidRPr="00532C5B">
        <w:rPr>
          <w:rFonts w:cstheme="minorHAnsi"/>
        </w:rPr>
        <w:fldChar w:fldCharType="begin" w:fldLock="1"/>
      </w:r>
      <w:r w:rsidR="00312FD5">
        <w:rPr>
          <w:rFonts w:cstheme="minorHAnsi"/>
        </w:rPr>
        <w:instrText>ADDIN CSL_CITATION { "citationItems" : [ { "id" : "ITEM-1", "itemData" : { "author" : [ { "dropping-particle" : "", "family" : "Ivancheva", "given" : "Mariya", "non-dropping-particle" : "", "parse-names" : false, "suffix" : "" } ], "container-title" : "Council for European Studies", "id" : "ITEM-1", "issued" : { "date-parts" : [ [ "2013", "10" ] ] }, "title" : "The Bulgarian Wave of Protests, 2012-2013", "type" : "article-magazine" }, "uris" : [ "http://www.mendeley.com/documents/?uuid=85395a1c-caca-4369-a0d4-2fb9c577c288" ] }, { "id" : "ITEM-2", "itemData" : { "author" : [ { "dropping-particle" : "", "family" : "Velinova", "given" : "Nelly", "non-dropping-particle" : "", "parse-names" : false, "suffix" : "" }, { "dropping-particle" : "", "family" : "Tomov", "given" : "Marian", "non-dropping-particle" : "", "parse-names" : false, "suffix" : "" }, { "dropping-particle" : "", "family" : "Raycheva", "given" : "Prof Lilia", "non-dropping-particle" : "", "parse-names" : false, "suffix" : "" }, { "dropping-particle" : "", "family" : "Kliment", "given" : "St", "non-dropping-particle" : "", "parse-names" : false, "suffix" : "" }, { "dropping-particle" : "", "family" : "Sofia", "given" : "Ohridski", "non-dropping-particle" : "", "parse-names" : false, "suffix" : "" } ], "container-title" : "Investigating Culture", "id" : "ITEM-2", "issue" : "1", "issued" : { "date-parts" : [ [ "2015" ] ] }, "title" : "The 2013 Social Protests in Bulgaria : Slogans and", "type" : "article-journal" }, "uris" : [ "http://www.mendeley.com/documents/?uuid=f5630988-a13c-4cda-9c3b-5259d703d5f4" ] }, { "id" : "ITEM-3", "itemData" : { "author" : [ { "dropping-particle" : "", "family" : "Smilov", "given" : "Daniel", "non-dropping-particle" : "", "parse-names" : false, "suffix" : "" } ], "container-title" : "Centre for Liberal Strategies", "id" : "ITEM-3", "issued" : { "date-parts" : [ [ "2015" ] ] }, "page" : "42", "title" : "The Politics of Protest: Between the Venting of Frustration and Transformation of Democracy", "type" : "article-journal" }, "uris" : [ "http://www.mendeley.com/documents/?uuid=3de9c4ef-94d7-4903-ac12-90368b8feeb1" ] } ], "mendeley" : { "formattedCitation" : "(Ivancheva, 2013; Velinova et al., 2015; Smilov, 2015)", "plainTextFormattedCitation" : "(Ivancheva, 2013; Velinova et al., 2015; Smilov, 2015)", "previouslyFormattedCitation" : "(Ivancheva, 2013; Velinova et al., 2015; Smilov, 2015)" }, "properties" : {  }, "schema" : "https://github.com/citation-style-language/schema/raw/master/csl-citation.json" }</w:instrText>
      </w:r>
      <w:r w:rsidRPr="00532C5B">
        <w:rPr>
          <w:rFonts w:cstheme="minorHAnsi"/>
        </w:rPr>
        <w:fldChar w:fldCharType="separate"/>
      </w:r>
      <w:r w:rsidRPr="00532C5B">
        <w:rPr>
          <w:rFonts w:cstheme="minorHAnsi"/>
          <w:noProof/>
        </w:rPr>
        <w:t xml:space="preserve">(Ivancheva, 2013; Velinova </w:t>
      </w:r>
      <w:r w:rsidRPr="00532C5B">
        <w:rPr>
          <w:rFonts w:cstheme="minorHAnsi"/>
          <w:i/>
          <w:noProof/>
        </w:rPr>
        <w:t>et al.</w:t>
      </w:r>
      <w:r w:rsidRPr="00532C5B">
        <w:rPr>
          <w:rFonts w:cstheme="minorHAnsi"/>
          <w:noProof/>
        </w:rPr>
        <w:t>, 2015; Smilov, 2015)</w:t>
      </w:r>
      <w:r w:rsidRPr="00532C5B">
        <w:rPr>
          <w:rFonts w:cstheme="minorHAnsi"/>
        </w:rPr>
        <w:fldChar w:fldCharType="end"/>
      </w:r>
      <w:r w:rsidRPr="00532C5B">
        <w:rPr>
          <w:rFonts w:cstheme="minorHAnsi"/>
        </w:rPr>
        <w:t xml:space="preserve">. This development ultimately plunged the country into political crisis as repeated protest waves led to three interim governments and three elected governments between 2012 and 2017 with </w:t>
      </w:r>
      <w:proofErr w:type="spellStart"/>
      <w:r w:rsidRPr="00532C5B">
        <w:rPr>
          <w:rFonts w:cstheme="minorHAnsi"/>
        </w:rPr>
        <w:t>Borisov</w:t>
      </w:r>
      <w:proofErr w:type="spellEnd"/>
      <w:r w:rsidRPr="00532C5B">
        <w:rPr>
          <w:rFonts w:cstheme="minorHAnsi"/>
        </w:rPr>
        <w:t xml:space="preserve"> returning to office in 2014 and again in 2017 </w:t>
      </w:r>
      <w:r w:rsidRPr="00532C5B">
        <w:rPr>
          <w:rFonts w:cstheme="minorHAnsi"/>
        </w:rPr>
        <w:fldChar w:fldCharType="begin" w:fldLock="1"/>
      </w:r>
      <w:r w:rsidR="00312FD5">
        <w:rPr>
          <w:rFonts w:cstheme="minorHAnsi"/>
        </w:rPr>
        <w:instrText>ADDIN CSL_CITATION { "citationItems" : [ { "id" : "ITEM-1", "itemData" : { "author" : [ { "dropping-particle" : "", "family" : "Deloy", "given" : "Corinne", "non-dropping-particle" : "", "parse-names" : false, "suffix" : "" } ], "container-title" : "Foundation Robert Schuman", "id" : "ITEM-1", "issue" : "MARCH", "issued" : { "date-parts" : [ [ "2017" ] ] }, "title" : "The Bulgarian general elections on 26th March might not lead to a majority", "type" : "article-journal" }, "uris" : [ "http://www.mendeley.com/documents/?uuid=9a044c63-fbbb-4a7a-8caf-943cc5472894" ] }, { "id" : "ITEM-2", "itemData" : { "author" : [ { "dropping-particle" : "", "family" : "Deloy", "given" : "Corinne", "non-dropping-particle" : "", "parse-names" : false, "suffix" : "" } ], "id" : "ITEM-2", "issue" : "June 2013", "issued" : { "date-parts" : [ [ "2014" ] ] }, "title" : "General elections on 5th October might not bring the political crisis in Bulgaria to an end .", "type" : "article-journal" }, "uris" : [ "http://www.mendeley.com/documents/?uuid=09da13d1-0b54-41d5-a4d5-727990c5e50e" ] } ], "mendeley" : { "formattedCitation" : "(Deloy, 2017, 2014)", "plainTextFormattedCitation" : "(Deloy, 2017, 2014)", "previouslyFormattedCitation" : "(Deloy, 2017, 2014)" }, "properties" : {  }, "schema" : "https://github.com/citation-style-language/schema/raw/master/csl-citation.json" }</w:instrText>
      </w:r>
      <w:r w:rsidRPr="00532C5B">
        <w:rPr>
          <w:rFonts w:cstheme="minorHAnsi"/>
        </w:rPr>
        <w:fldChar w:fldCharType="separate"/>
      </w:r>
      <w:r w:rsidRPr="00532C5B">
        <w:rPr>
          <w:rFonts w:cstheme="minorHAnsi"/>
          <w:noProof/>
        </w:rPr>
        <w:t>(Deloy, 2017, 2014)</w:t>
      </w:r>
      <w:r w:rsidRPr="00532C5B">
        <w:rPr>
          <w:rFonts w:cstheme="minorHAnsi"/>
        </w:rPr>
        <w:fldChar w:fldCharType="end"/>
      </w:r>
      <w:r w:rsidRPr="00532C5B">
        <w:rPr>
          <w:rFonts w:cstheme="minorHAnsi"/>
        </w:rPr>
        <w:t>.</w:t>
      </w:r>
    </w:p>
    <w:p w:rsidR="000713A2" w:rsidRPr="00532C5B" w:rsidRDefault="000713A2" w:rsidP="00312FD5">
      <w:pPr>
        <w:spacing w:after="0"/>
        <w:ind w:firstLine="720"/>
        <w:contextualSpacing/>
        <w:rPr>
          <w:rFonts w:cstheme="minorHAnsi"/>
        </w:rPr>
      </w:pPr>
      <w:r w:rsidRPr="00532C5B">
        <w:rPr>
          <w:rFonts w:cstheme="minorHAnsi"/>
        </w:rPr>
        <w:t xml:space="preserve">The economic crisis played a further negative role with regard to the financing of Bulgaria’s energy system, as the country used to balance the low regulated electricity prices domestically through the revenues generated through the export of electricity. However, with a weakened demand from markets, such as Greece, Macedonia and Turkey during the crisis, and a strong increase in renewables in neighbouring countries such as Romania, export revenues were falling with the cost for energy increased </w:t>
      </w:r>
      <w:r w:rsidRPr="00532C5B">
        <w:rPr>
          <w:rFonts w:cstheme="minorHAnsi"/>
        </w:rPr>
        <w:fldChar w:fldCharType="begin" w:fldLock="1"/>
      </w:r>
      <w:r w:rsidR="00312FD5">
        <w:rPr>
          <w:rFonts w:cstheme="minorHAnsi"/>
        </w:rPr>
        <w:instrText>ADDIN CSL_CITATION { "citationItems" : [ { "id" : "ITEM-1", "itemData" : { "author" : [ { "dropping-particle" : "", "family" : "Hiteva", "given" : "Ralitsa", "non-dropping-particle" : "", "parse-names" : false, "suffix" : "" }, { "dropping-particle" : "", "family" : "Maltby", "given" : "Tomas", "non-dropping-particle" : "", "parse-names" : false, "suffix" : "" } ], "container-title" : "A Guide to EU Renewable Energy Policy", "editor" : [ { "dropping-particle" : "", "family" : "Solorio", "given" : "Israel", "non-dropping-particle" : "", "parse-names" : false, "suffix" : "" }, { "dropping-particle" : "", "family" : "J\u00f6rgens", "given" : "Helge", "non-dropping-particle" : "", "parse-names" : false, "suffix" : "" } ], "id" : "ITEM-1", "issued" : { "date-parts" : [ [ "2017" ] ] }, "page" : "224-246", "publisher" : "Edward Elgar Publishing", "publisher-place" : "Cheltenham, UK", "title" : "Hitting the target but missing the point: failing and succeeding in the Bulgarian renewable energy sector", "type" : "chapter" }, "uris" : [ "http://www.mendeley.com/documents/?uuid=646a4630-bdb0-4498-a8c0-0cd5c29d74fd" ] } ], "mendeley" : { "formattedCitation" : "(Hiteva and Maltby, 2017)", "plainTextFormattedCitation" : "(Hiteva and Maltby, 2017)", "previouslyFormattedCitation" : "(Hiteva and Maltby, 2017)" }, "properties" : {  }, "schema" : "https://github.com/citation-style-language/schema/raw/master/csl-citation.json" }</w:instrText>
      </w:r>
      <w:r w:rsidRPr="00532C5B">
        <w:rPr>
          <w:rFonts w:cstheme="minorHAnsi"/>
        </w:rPr>
        <w:fldChar w:fldCharType="separate"/>
      </w:r>
      <w:r w:rsidRPr="00532C5B">
        <w:rPr>
          <w:rFonts w:cstheme="minorHAnsi"/>
          <w:noProof/>
        </w:rPr>
        <w:t>(Hiteva and Maltby, 2017)</w:t>
      </w:r>
      <w:r w:rsidRPr="00532C5B">
        <w:rPr>
          <w:rFonts w:cstheme="minorHAnsi"/>
        </w:rPr>
        <w:fldChar w:fldCharType="end"/>
      </w:r>
      <w:r w:rsidRPr="00532C5B">
        <w:rPr>
          <w:rFonts w:cstheme="minorHAnsi"/>
        </w:rPr>
        <w:t>.</w:t>
      </w:r>
      <w:r w:rsidRPr="00532C5B">
        <w:rPr>
          <w:rStyle w:val="FootnoteReference"/>
          <w:rFonts w:cstheme="minorHAnsi"/>
        </w:rPr>
        <w:footnoteReference w:id="18"/>
      </w:r>
      <w:r w:rsidRPr="00532C5B">
        <w:rPr>
          <w:rFonts w:cstheme="minorHAnsi"/>
        </w:rPr>
        <w:t xml:space="preserve"> Although the generous </w:t>
      </w:r>
      <w:proofErr w:type="spellStart"/>
      <w:r w:rsidRPr="00532C5B">
        <w:rPr>
          <w:rFonts w:cstheme="minorHAnsi"/>
        </w:rPr>
        <w:t>FiT</w:t>
      </w:r>
      <w:proofErr w:type="spellEnd"/>
      <w:r w:rsidRPr="00532C5B">
        <w:rPr>
          <w:rFonts w:cstheme="minorHAnsi"/>
        </w:rPr>
        <w:t xml:space="preserve"> scheme and rising renewables shares played an important role in the overall increased costs of Bulgaria’s energy system, additional financial burdens stemmed from long-term power purchase agreements with coal and nuclear plant operators, and “black hole investment projects”, such as the recently failed </w:t>
      </w:r>
      <w:proofErr w:type="spellStart"/>
      <w:r w:rsidRPr="00532C5B">
        <w:rPr>
          <w:rFonts w:cstheme="minorHAnsi"/>
        </w:rPr>
        <w:t>Belene</w:t>
      </w:r>
      <w:proofErr w:type="spellEnd"/>
      <w:r w:rsidRPr="00532C5B">
        <w:rPr>
          <w:rFonts w:cstheme="minorHAnsi"/>
        </w:rPr>
        <w:t xml:space="preserve"> nuclear power plant project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"locator" : "71", "uris" : [ "http://www.mendeley.com/documents/?uuid=c42efdb6-f94d-437f-b939-9412d7a9a470" ] } ], "mendeley" : { "formattedCitation" : "(Center for the Study of Democracy, 2014, p.71)", "plainTextFormattedCitation" : "(Center for the Study of Democracy, 2014, p.71)", "previouslyFormattedCitation" : "(Center for the Study of Democracy, 2014, p.71)"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 p.71)</w:t>
      </w:r>
      <w:r w:rsidRPr="00532C5B">
        <w:rPr>
          <w:rFonts w:cstheme="minorHAnsi"/>
        </w:rPr>
        <w:fldChar w:fldCharType="end"/>
      </w:r>
      <w:r w:rsidRPr="00532C5B">
        <w:rPr>
          <w:rFonts w:cstheme="minorHAnsi"/>
        </w:rPr>
        <w:t xml:space="preserve">. As generation costs increased higher than utilities could lawfully charge their customers under the regulated pricing regime, Bulgaria ran a severe deficit that resulted in a debt of BGN 1.9 billion, or 2% of GDP, in 2015 </w:t>
      </w:r>
      <w:r w:rsidRPr="00532C5B">
        <w:rPr>
          <w:rFonts w:cstheme="minorHAnsi"/>
        </w:rPr>
        <w:fldChar w:fldCharType="begin" w:fldLock="1"/>
      </w:r>
      <w:r w:rsidR="00312FD5">
        <w:rPr>
          <w:rFonts w:cstheme="minorHAnsi"/>
        </w:rPr>
        <w:instrText>ADDIN CSL_CITATION { "citationItems" : [ { "id" : "ITEM-1", "itemData" : { "author" : [ { "dropping-particle" : "", "family" : "World Bank", "given" : "", "non-dropping-particle" : "", "parse-names" : false, "suffix" : "" } ], "id" : "ITEM-1", "issue" : "November 2016", "issued" : { "date-parts" : [ [ "2016" ] ] }, "title" : "Bulgaria Power Sector : Making the Transition to Financial Recovery and Market Liberalization Summary Report Reimbursable Technical Assistance", "type" : "report" }, "uris" : [ "http://www.mendeley.com/documents/?uuid=4871a830-63f9-446a-b072-c24c8ade63ab" ] } ], "mendeley" : { "formattedCitation" : "(World Bank, 2016)", "plainTextFormattedCitation" : "(World Bank, 2016)", "previouslyFormattedCitation" : "(World Bank, 2016)" }, "properties" : {  }, "schema" : "https://github.com/citation-style-language/schema/raw/master/csl-citation.json" }</w:instrText>
      </w:r>
      <w:r w:rsidRPr="00532C5B">
        <w:rPr>
          <w:rFonts w:cstheme="minorHAnsi"/>
        </w:rPr>
        <w:fldChar w:fldCharType="separate"/>
      </w:r>
      <w:r w:rsidRPr="00532C5B">
        <w:rPr>
          <w:rFonts w:cstheme="minorHAnsi"/>
          <w:noProof/>
        </w:rPr>
        <w:t>(World Bank, 2016)</w:t>
      </w:r>
      <w:r w:rsidRPr="00532C5B">
        <w:rPr>
          <w:rFonts w:cstheme="minorHAnsi"/>
        </w:rPr>
        <w:fldChar w:fldCharType="end"/>
      </w:r>
      <w:r w:rsidRPr="00532C5B">
        <w:rPr>
          <w:rFonts w:cstheme="minorHAnsi"/>
        </w:rPr>
        <w:t xml:space="preserve">. To combat the significant tariff debt, the World Bank </w:t>
      </w:r>
      <w:r w:rsidRPr="00532C5B">
        <w:rPr>
          <w:rFonts w:cstheme="minorHAnsi"/>
        </w:rPr>
        <w:fldChar w:fldCharType="begin" w:fldLock="1"/>
      </w:r>
      <w:r w:rsidR="00312FD5">
        <w:rPr>
          <w:rFonts w:cstheme="minorHAnsi"/>
        </w:rPr>
        <w:instrText>ADDIN CSL_CITATION { "citationItems" : [ { "id" : "ITEM-1", "itemData" : { "author" : [ { "dropping-particle" : "", "family" : "World Bank", "given" : "", "non-dropping-particle" : "", "parse-names" : false, "suffix" : "" } ], "id" : "ITEM-1", "issue" : "November 2016", "issued" : { "date-parts" : [ [ "2016" ] ] }, "title" : "Bulgaria Power Sector : Making the Transition to Financial Recovery and Market Liberalization Summary Report Reimbursable Technical Assistance", "type" : "report" }, "suppress-author" : 1, "uris" : [ "http://www.mendeley.com/documents/?uuid=4871a830-63f9-446a-b072-c24c8ade63ab" ] } ], "mendeley" : { "formattedCitation" : "(2016)", "plainTextFormattedCitation" : "(2016)", "previouslyFormattedCitation" : "(2016)" }, "properties" : {  }, "schema" : "https://github.com/citation-style-language/schema/raw/master/csl-citation.json" }</w:instrText>
      </w:r>
      <w:r w:rsidRPr="00532C5B">
        <w:rPr>
          <w:rFonts w:cstheme="minorHAnsi"/>
        </w:rPr>
        <w:fldChar w:fldCharType="separate"/>
      </w:r>
      <w:r w:rsidRPr="00532C5B">
        <w:rPr>
          <w:rFonts w:cstheme="minorHAnsi"/>
          <w:noProof/>
        </w:rPr>
        <w:t>(2016)</w:t>
      </w:r>
      <w:r w:rsidRPr="00532C5B">
        <w:rPr>
          <w:rFonts w:cstheme="minorHAnsi"/>
        </w:rPr>
        <w:fldChar w:fldCharType="end"/>
      </w:r>
      <w:r w:rsidRPr="00532C5B">
        <w:rPr>
          <w:rFonts w:cstheme="minorHAnsi"/>
        </w:rPr>
        <w:t xml:space="preserve"> urged Bulgaria to abandon its single-buyer model in favour of a competitive power market that would also be in accordance with the EU’s internal electricity market. The single-buyer, the NEC, is severely burdened by bearing the cost of the energy system and was at times unable to remunerate </w:t>
      </w:r>
      <w:r w:rsidRPr="00532C5B">
        <w:rPr>
          <w:rFonts w:cstheme="minorHAnsi"/>
        </w:rPr>
        <w:lastRenderedPageBreak/>
        <w:t>energy generators due to cash flow problems.</w:t>
      </w:r>
      <w:r w:rsidRPr="00532C5B">
        <w:rPr>
          <w:rStyle w:val="FootnoteReference"/>
          <w:rFonts w:cstheme="minorHAnsi"/>
        </w:rPr>
        <w:footnoteReference w:id="19"/>
      </w:r>
      <w:r w:rsidRPr="00532C5B">
        <w:rPr>
          <w:rFonts w:cstheme="minorHAnsi"/>
        </w:rPr>
        <w:t xml:space="preserve"> However, following the recommendation to continue the process of full market liberalisation and coupling with the EU electricity market is feared to result in sharply rising electricity prices, as Bulgaria’s low consumer electricity prices align with other European markets</w:t>
      </w:r>
      <w:r w:rsidR="00670101">
        <w:rPr>
          <w:rStyle w:val="FootnoteReference"/>
          <w:rFonts w:cstheme="minorHAnsi"/>
        </w:rPr>
        <w:footnoteReference w:id="20"/>
      </w:r>
      <w:r w:rsidRPr="00532C5B">
        <w:rPr>
          <w:rFonts w:cstheme="minorHAnsi"/>
        </w:rPr>
        <w:t xml:space="preserve"> </w:t>
      </w:r>
      <w:r w:rsidRPr="00532C5B">
        <w:rPr>
          <w:rFonts w:cstheme="minorHAnsi"/>
        </w:rPr>
        <w:fldChar w:fldCharType="begin" w:fldLock="1"/>
      </w:r>
      <w:r w:rsidR="00312FD5">
        <w:rPr>
          <w:rFonts w:cstheme="minorHAnsi"/>
        </w:rPr>
        <w:instrText>ADDIN CSL_CITATION { "citationItems" : [ { "id" : "ITEM-1", "itemData" : { "URL" : "http://ec.europa.eu/eurostat/de", "accessed" : { "date-parts" : [ [ "2017", "9", "20" ] ] }, "author" : [ { "dropping-particle" : "", "family" : "Eurostat", "given" : "", "non-dropping-particle" : "", "parse-names" : false, "suffix" : "" } ], "id" : "ITEM-1", "issued" : { "date-parts" : [ [ "2017" ] ] }, "title" : "Eurostat", "type" : "webpage" }, "uris" : [ "http://www.mendeley.com/documents/?uuid=fc6970d0-5928-464b-98ae-d8a4d39a5909" ] }, { "id" : "ITEM-2", "itemData" : { "ISBN" : "9789544772147", "author" : [ { "dropping-particle" : "", "family" : "Center for the Study of Democracy", "given" : "", "non-dropping-particle" : "", "parse-names" : false, "suffix" : "" } ], "id" : "ITEM-2", "issued" : { "date-parts" : [ [ "2014" ] ] }, "title" : "Energy Sector Governance and Energy (In)Security in Bulgaria", "type" : "report" }, "uris" : [ "http://www.mendeley.com/documents/?uuid=c42efdb6-f94d-437f-b939-9412d7a9a470" ] } ], "mendeley" : { "formattedCitation" : "(Eurostat, 2017; Center for the Study of Democracy, 2014)", "plainTextFormattedCitation" : "(Eurostat, 2017; Center for the Study of Democracy, 2014)", "previouslyFormattedCitation" : "(Eurostat, 2017;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(Eurostat, 2017; Center for the Study of Democracy, 2014)</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sz w:val="24"/>
          <w:szCs w:val="24"/>
          <w:lang w:eastAsia="en-GB"/>
        </w:rPr>
      </w:pPr>
      <w:r w:rsidRPr="00532C5B">
        <w:rPr>
          <w:rFonts w:cstheme="minorHAnsi"/>
        </w:rPr>
        <w:t xml:space="preserve">As a result of the dire financial situation, government policies sought to decrease costs and increase revenues from the energy system, for example through the 2012 grid access fees to renewable energy generators, which was, however, later repealed by the Constitutional Court on discriminatory grounds </w:t>
      </w:r>
      <w:r w:rsidRPr="00532C5B">
        <w:rPr>
          <w:rFonts w:cstheme="minorHAnsi"/>
        </w:rPr>
        <w:fldChar w:fldCharType="begin" w:fldLock="1"/>
      </w:r>
      <w:r w:rsidR="00312FD5">
        <w:rPr>
          <w:rFonts w:cstheme="minorHAnsi"/>
        </w:rPr>
        <w:instrText>ADDIN CSL_CITATION { "citationItems" : [ { "id" : "ITEM-1", "itemData" : { "author" : [ { "dropping-particle" : "", "family" : "Grozdanov", "given" : "Iliya", "non-dropping-particle" : "", "parse-names" : false, "suffix" : "" } ], "container-title" : "Practical Law Country Q&amp;A", "id" : "ITEM-1", "issue" : "523-7911", "issued" : { "date-parts" : [ [ "2016" ] ] }, "title" : "Electricity regulation in Bulgaria: Overview", "type" : "article-magazine", "volume" : "2" }, "uris" : [ "http://www.mendeley.com/documents/?uuid=c8e5f1a4-9095-4423-a5ab-62718a16b290" ] } ], "mendeley" : { "formattedCitation" : "(Grozdanov, 2016)", "plainTextFormattedCitation" : "(Grozdanov, 2016)", "previouslyFormattedCitation" : "(Grozdanov, 2016)" }, "properties" : {  }, "schema" : "https://github.com/citation-style-language/schema/raw/master/csl-citation.json" }</w:instrText>
      </w:r>
      <w:r w:rsidRPr="00532C5B">
        <w:rPr>
          <w:rFonts w:cstheme="minorHAnsi"/>
        </w:rPr>
        <w:fldChar w:fldCharType="separate"/>
      </w:r>
      <w:r w:rsidRPr="00532C5B">
        <w:rPr>
          <w:rFonts w:cstheme="minorHAnsi"/>
          <w:noProof/>
        </w:rPr>
        <w:t>(Grozdanov, 2016)</w:t>
      </w:r>
      <w:r w:rsidRPr="00532C5B">
        <w:rPr>
          <w:rFonts w:cstheme="minorHAnsi"/>
        </w:rPr>
        <w:fldChar w:fldCharType="end"/>
      </w:r>
      <w:r w:rsidRPr="00532C5B">
        <w:rPr>
          <w:rFonts w:cstheme="minorHAnsi"/>
        </w:rPr>
        <w:t>. In December 2013, an amendment to the ERSA introduced a 20% fee on solar and wind parks, adjusted FIT rates retroactively, and established a threshold for the amount of electricity purchased at an FIT rate by the State Regulatory Energy and Water Commission equivalent to about two-thirds of the generation capacity</w:t>
      </w:r>
      <w:r w:rsidRPr="00532C5B">
        <w:rPr>
          <w:rStyle w:val="FootnoteReference"/>
          <w:rFonts w:cstheme="minorHAnsi"/>
        </w:rPr>
        <w:footnoteReference w:id="21"/>
      </w:r>
      <w:r w:rsidRPr="00532C5B">
        <w:rPr>
          <w:rFonts w:cstheme="minorHAnsi"/>
        </w:rPr>
        <w:t xml:space="preserve"> </w:t>
      </w:r>
      <w:r w:rsidRPr="00532C5B">
        <w:rPr>
          <w:rFonts w:cstheme="minorHAnsi"/>
        </w:rPr>
        <w:fldChar w:fldCharType="begin" w:fldLock="1"/>
      </w:r>
      <w:r w:rsidR="00312FD5">
        <w:rPr>
          <w:rFonts w:cstheme="minorHAnsi"/>
        </w:rPr>
        <w:instrText>ADDIN CSL_CITATION { "citationItems" : [ { "id" : "ITEM-1", "itemData" : { "URL" : "https://www.iea.org/policiesandmeasures/pams/bulgaria/name-42357-en.php", "author" : [ { "dropping-particle" : "", "family" : "International Energy Agency", "given" : "", "non-dropping-particle" : "", "parse-names" : false, "suffix" : "" } ], "id" : "ITEM-1", "issued" : { "date-parts" : [ [ "2015" ] ] }, "title" : "Energy From Renewable Sources Act", "type" : "webpage" }, "uris" : [ "http://www.mendeley.com/documents/?uuid=e3d5a76a-0538-46ed-ba2e-9e420c3c089e" ] } ], "mendeley" : { "formattedCitation" : "(International Energy Agency, 2015b)", "plainTextFormattedCitation" : "(International Energy Agency, 2015b)", "previouslyFormattedCitation" : "(International Energy Agency, 2015b)" }, "properties" : {  }, "schema" : "https://github.com/citation-style-language/schema/raw/master/csl-citation.json" }</w:instrText>
      </w:r>
      <w:r w:rsidRPr="00532C5B">
        <w:rPr>
          <w:rFonts w:cstheme="minorHAnsi"/>
        </w:rPr>
        <w:fldChar w:fldCharType="separate"/>
      </w:r>
      <w:r w:rsidRPr="00532C5B">
        <w:rPr>
          <w:rFonts w:cstheme="minorHAnsi"/>
          <w:noProof/>
        </w:rPr>
        <w:t>(International Energy Agency, 2015b)</w:t>
      </w:r>
      <w:r w:rsidRPr="00532C5B">
        <w:rPr>
          <w:rFonts w:cstheme="minorHAnsi"/>
        </w:rPr>
        <w:fldChar w:fldCharType="end"/>
      </w:r>
      <w:r w:rsidRPr="00532C5B">
        <w:rPr>
          <w:rFonts w:cstheme="minorHAnsi"/>
        </w:rPr>
        <w:t xml:space="preserve">. This cap on renewables effectively excluded renewables from the free market for the last two months in 2015 </w:t>
      </w:r>
      <w:r w:rsidRPr="00532C5B">
        <w:rPr>
          <w:rFonts w:cstheme="minorHAnsi"/>
        </w:rPr>
        <w:fldChar w:fldCharType="begin" w:fldLock="1"/>
      </w:r>
      <w:r w:rsidR="00312FD5">
        <w:rPr>
          <w:rFonts w:cstheme="minorHAnsi"/>
        </w:rPr>
        <w:instrText>ADDIN CSL_CITATION { "citationItems" : [ { "id" : "ITEM-1", "itemData" : { "author" : [ { "dropping-particle" : "", "family" : "Grozdanov", "given" : "Iliya", "non-dropping-particle" : "", "parse-names" : false, "suffix" : "" } ], "container-title" : "Practical Law Country Q&amp;A", "id" : "ITEM-1", "issue" : "523-7911", "issued" : { "date-parts" : [ [ "2016" ] ] }, "title" : "Electricity regulation in Bulgaria: Overview", "type" : "article-magazine", "volume" : "2" }, "uris" : [ "http://www.mendeley.com/documents/?uuid=c8e5f1a4-9095-4423-a5ab-62718a16b290" ] } ], "mendeley" : { "formattedCitation" : "(Grozdanov, 2016)", "plainTextFormattedCitation" : "(Grozdanov, 2016)", "previouslyFormattedCitation" : "(Grozdanov, 2016)" }, "properties" : {  }, "schema" : "https://github.com/citation-style-language/schema/raw/master/csl-citation.json" }</w:instrText>
      </w:r>
      <w:r w:rsidRPr="00532C5B">
        <w:rPr>
          <w:rFonts w:cstheme="minorHAnsi"/>
        </w:rPr>
        <w:fldChar w:fldCharType="separate"/>
      </w:r>
      <w:r w:rsidRPr="00532C5B">
        <w:rPr>
          <w:rFonts w:cstheme="minorHAnsi"/>
          <w:noProof/>
        </w:rPr>
        <w:t>(Grozdanov, 2016)</w:t>
      </w:r>
      <w:r w:rsidRPr="00532C5B">
        <w:rPr>
          <w:rFonts w:cstheme="minorHAnsi"/>
        </w:rPr>
        <w:fldChar w:fldCharType="end"/>
      </w:r>
      <w:r w:rsidRPr="00532C5B">
        <w:rPr>
          <w:rFonts w:cstheme="minorHAnsi"/>
        </w:rPr>
        <w:t xml:space="preserve">. The 20% renewables fee was again repealed by the constitutional court and since 2015 replaced by a 5% production fee and balancing charges on the revenues of all electricity generators </w:t>
      </w:r>
      <w:r w:rsidRPr="00532C5B">
        <w:rPr>
          <w:rFonts w:cstheme="minorHAnsi"/>
        </w:rPr>
        <w:fldChar w:fldCharType="begin" w:fldLock="1"/>
      </w:r>
      <w:r w:rsidR="00312FD5">
        <w:rPr>
          <w:rFonts w:cstheme="minorHAnsi"/>
        </w:rPr>
        <w:instrText>ADDIN CSL_CITATION { "citationItems" : [ { "id" : "ITEM-1", "itemData" : { "author" : [ { "dropping-particle" : "", "family" : "International Energy Agency", "given" : "", "non-dropping-particle" : "", "parse-names" : false, "suffix" : "" } ], "id" : "ITEM-1", "issued" : { "date-parts" : [ [ "2015" ] ] }, "title" : "Bulgaria: Feed-in-tariffs (FITs) for electricity from renewable sources", "type" : "article-journal" }, "uris" : [ "http://www.mendeley.com/documents/?uuid=68ccc318-2cde-47be-8e18-f25c2f68b834" ] } ], "mendeley" : { "formattedCitation" : "(International Energy Agency, 2015a)", "plainTextFormattedCitation" : "(International Energy Agency, 2015a)", "previouslyFormattedCitation" : "(International Energy Agency, 2015a)" }, "properties" : {  }, "schema" : "https://github.com/citation-style-language/schema/raw/master/csl-citation.json" }</w:instrText>
      </w:r>
      <w:r w:rsidRPr="00532C5B">
        <w:rPr>
          <w:rFonts w:cstheme="minorHAnsi"/>
        </w:rPr>
        <w:fldChar w:fldCharType="separate"/>
      </w:r>
      <w:r w:rsidRPr="00532C5B">
        <w:rPr>
          <w:rFonts w:cstheme="minorHAnsi"/>
          <w:noProof/>
        </w:rPr>
        <w:t>(International Energy Agency, 2015a)</w:t>
      </w:r>
      <w:r w:rsidRPr="00532C5B">
        <w:rPr>
          <w:rFonts w:cstheme="minorHAnsi"/>
        </w:rPr>
        <w:fldChar w:fldCharType="end"/>
      </w:r>
      <w:r w:rsidRPr="00532C5B">
        <w:rPr>
          <w:rFonts w:cstheme="minorHAnsi"/>
        </w:rPr>
        <w:t xml:space="preserve">. </w:t>
      </w:r>
    </w:p>
    <w:p w:rsidR="000713A2" w:rsidRPr="00532C5B" w:rsidRDefault="000713A2" w:rsidP="00312FD5">
      <w:pPr>
        <w:spacing w:after="0"/>
        <w:contextualSpacing/>
        <w:rPr>
          <w:rFonts w:cstheme="minorHAnsi"/>
          <w:sz w:val="24"/>
          <w:szCs w:val="24"/>
          <w:lang w:eastAsia="en-GB"/>
        </w:rPr>
      </w:pPr>
    </w:p>
    <w:p w:rsidR="000713A2" w:rsidRPr="00532C5B" w:rsidRDefault="000713A2" w:rsidP="000A0952">
      <w:pPr>
        <w:pStyle w:val="Heading2"/>
        <w:numPr>
          <w:ilvl w:val="0"/>
          <w:numId w:val="3"/>
        </w:numPr>
        <w:spacing w:before="0"/>
        <w:ind w:left="426" w:hanging="426"/>
        <w:contextualSpacing/>
        <w:rPr>
          <w:rFonts w:asciiTheme="minorHAnsi" w:hAnsiTheme="minorHAnsi" w:cstheme="minorHAnsi"/>
          <w:lang w:eastAsia="en-GB"/>
        </w:rPr>
      </w:pPr>
      <w:bookmarkStart w:id="4" w:name="_Toc496525274"/>
      <w:r w:rsidRPr="00532C5B">
        <w:rPr>
          <w:rFonts w:asciiTheme="minorHAnsi" w:hAnsiTheme="minorHAnsi" w:cstheme="minorHAnsi"/>
          <w:lang w:eastAsia="en-GB"/>
        </w:rPr>
        <w:t>Bulgaria’s Renewable Energy Transition in Light of Energy Justice</w:t>
      </w:r>
      <w:bookmarkEnd w:id="4"/>
    </w:p>
    <w:p w:rsidR="000713A2" w:rsidRPr="00532C5B" w:rsidRDefault="000713A2" w:rsidP="00312FD5">
      <w:pPr>
        <w:spacing w:after="0"/>
        <w:contextualSpacing/>
        <w:rPr>
          <w:rFonts w:cstheme="minorHAnsi"/>
          <w:lang w:eastAsia="en-GB"/>
        </w:rPr>
      </w:pPr>
      <w:r w:rsidRPr="00532C5B">
        <w:rPr>
          <w:rFonts w:cstheme="minorHAnsi"/>
          <w:lang w:eastAsia="en-GB"/>
        </w:rPr>
        <w:t xml:space="preserve">In light of the outlined successes, challenges and implications of Bulgaria’s renewable energy expansion, this section assesses the country’s renewable energy transition through the lens of energy justice. This section analyses the eight aspects of energy justice in a grouped format. As the expansion of renewables plays an important role with regard to the aims of energy justice, we seek to determine the concrete effects of Bulgaria’s renewable energy transition on the justice, equity </w:t>
      </w:r>
      <w:r w:rsidRPr="00532C5B">
        <w:rPr>
          <w:rFonts w:cstheme="minorHAnsi"/>
          <w:lang w:eastAsia="en-GB"/>
        </w:rPr>
        <w:lastRenderedPageBreak/>
        <w:t>and fairness of the country’s energy system. Other important factors include the effectiveness and efficiency of the regulatory framework, as well as oversight and participatory concerns.</w:t>
      </w:r>
    </w:p>
    <w:p w:rsidR="000713A2" w:rsidRPr="00532C5B" w:rsidRDefault="000713A2" w:rsidP="00312FD5">
      <w:pPr>
        <w:spacing w:after="0"/>
        <w:contextualSpacing/>
        <w:rPr>
          <w:rFonts w:cstheme="minorHAnsi"/>
          <w:lang w:eastAsia="en-GB"/>
        </w:rPr>
      </w:pPr>
    </w:p>
    <w:p w:rsidR="000713A2" w:rsidRPr="00532C5B" w:rsidRDefault="000713A2" w:rsidP="000A0952">
      <w:pPr>
        <w:pStyle w:val="Heading3"/>
        <w:numPr>
          <w:ilvl w:val="2"/>
          <w:numId w:val="3"/>
        </w:numPr>
        <w:spacing w:before="0" w:after="0"/>
        <w:ind w:left="142" w:firstLine="0"/>
        <w:contextualSpacing/>
        <w:rPr>
          <w:rFonts w:asciiTheme="minorHAnsi" w:hAnsiTheme="minorHAnsi" w:cstheme="minorHAnsi"/>
          <w:lang w:eastAsia="en-GB"/>
        </w:rPr>
      </w:pPr>
      <w:bookmarkStart w:id="5" w:name="_Toc496525275"/>
      <w:r w:rsidRPr="00532C5B">
        <w:rPr>
          <w:rFonts w:asciiTheme="minorHAnsi" w:hAnsiTheme="minorHAnsi" w:cstheme="minorHAnsi"/>
          <w:lang w:eastAsia="en-GB"/>
        </w:rPr>
        <w:t>Due Process and Good Governance</w:t>
      </w:r>
      <w:bookmarkEnd w:id="5"/>
    </w:p>
    <w:p w:rsidR="000713A2" w:rsidRPr="00532C5B" w:rsidRDefault="000713A2" w:rsidP="00312FD5">
      <w:pPr>
        <w:spacing w:after="0"/>
        <w:contextualSpacing/>
        <w:rPr>
          <w:rFonts w:cstheme="minorHAnsi"/>
        </w:rPr>
      </w:pPr>
      <w:r w:rsidRPr="00532C5B">
        <w:rPr>
          <w:rFonts w:cstheme="minorHAnsi"/>
          <w:lang w:eastAsia="en-GB"/>
        </w:rPr>
        <w:t xml:space="preserve">Bulgaria’s </w:t>
      </w:r>
      <w:r w:rsidRPr="00532C5B">
        <w:rPr>
          <w:rFonts w:cstheme="minorHAnsi"/>
        </w:rPr>
        <w:t xml:space="preserve">renewable policy has been marred by a lack of a long-term strategy, corruption and administrative incompetence that resulted in frequent policy changes and therefore a significant lack of regulatory stability </w:t>
      </w:r>
      <w:r w:rsidRPr="00532C5B">
        <w:rPr>
          <w:rFonts w:cstheme="minorHAnsi"/>
        </w:rPr>
        <w:fldChar w:fldCharType="begin" w:fldLock="1"/>
      </w:r>
      <w:r w:rsidR="00312FD5">
        <w:rPr>
          <w:rFonts w:cstheme="minorHAnsi"/>
        </w:rPr>
        <w:instrText>ADDIN CSL_CITATION { "citationItems" : [ { "id" : "ITEM-1", "itemData" : { "author" : [ { "dropping-particle" : "", "family" : "Hiteva", "given" : "Ralitsa", "non-dropping-particle" : "", "parse-names" : false, "suffix" : "" }, { "dropping-particle" : "", "family" : "Maltby", "given" : "Tomas", "non-dropping-particle" : "", "parse-names" : false, "suffix" : "" } ], "container-title" : "A Guide to EU Renewable Energy Policy", "editor" : [ { "dropping-particle" : "", "family" : "Solorio", "given" : "Israel", "non-dropping-particle" : "", "parse-names" : false, "suffix" : "" }, { "dropping-particle" : "", "family" : "J\u00f6rgens", "given" : "Helge", "non-dropping-particle" : "", "parse-names" : false, "suffix" : "" } ], "id" : "ITEM-1", "issued" : { "date-parts" : [ [ "2017" ] ] }, "page" : "224-246", "publisher" : "Edward Elgar Publishing", "publisher-place" : "Cheltenham, UK", "title" : "Hitting the target but missing the point: failing and succeeding in the Bulgarian renewable energy sector", "type" : "chapter" }, "uris" : [ "http://www.mendeley.com/documents/?uuid=646a4630-bdb0-4498-a8c0-0cd5c29d74fd" ] } ], "mendeley" : { "formattedCitation" : "(Hiteva and Maltby, 2017)", "plainTextFormattedCitation" : "(Hiteva and Maltby, 2017)", "previouslyFormattedCitation" : "(Hiteva and Maltby, 2017)" }, "properties" : {  }, "schema" : "https://github.com/citation-style-language/schema/raw/master/csl-citation.json" }</w:instrText>
      </w:r>
      <w:r w:rsidRPr="00532C5B">
        <w:rPr>
          <w:rFonts w:cstheme="minorHAnsi"/>
        </w:rPr>
        <w:fldChar w:fldCharType="separate"/>
      </w:r>
      <w:r w:rsidRPr="00532C5B">
        <w:rPr>
          <w:rFonts w:cstheme="minorHAnsi"/>
          <w:noProof/>
        </w:rPr>
        <w:t>(Hiteva and Maltby, 2017)</w:t>
      </w:r>
      <w:r w:rsidRPr="00532C5B">
        <w:rPr>
          <w:rFonts w:cstheme="minorHAnsi"/>
        </w:rPr>
        <w:fldChar w:fldCharType="end"/>
      </w:r>
      <w:r w:rsidRPr="00532C5B">
        <w:rPr>
          <w:rFonts w:cstheme="minorHAnsi"/>
        </w:rPr>
        <w:t>. In this sub-section we address (</w:t>
      </w:r>
      <w:proofErr w:type="spellStart"/>
      <w:r w:rsidRPr="00532C5B">
        <w:rPr>
          <w:rFonts w:cstheme="minorHAnsi"/>
        </w:rPr>
        <w:t>i</w:t>
      </w:r>
      <w:proofErr w:type="spellEnd"/>
      <w:r w:rsidRPr="00532C5B">
        <w:rPr>
          <w:rFonts w:cstheme="minorHAnsi"/>
        </w:rPr>
        <w:t>) the public availability of information on projects and government contracts, (ii) the inclusion of stakeholders in the decision-making process through effective consultations with the public, (iii) the provision of environmental and social impact assessments,</w:t>
      </w:r>
      <w:r w:rsidR="0002439D">
        <w:rPr>
          <w:rFonts w:cstheme="minorHAnsi"/>
        </w:rPr>
        <w:t xml:space="preserve"> </w:t>
      </w:r>
      <w:proofErr w:type="gramStart"/>
      <w:r w:rsidRPr="00532C5B">
        <w:rPr>
          <w:rFonts w:cstheme="minorHAnsi"/>
        </w:rPr>
        <w:t>(iv)</w:t>
      </w:r>
      <w:r w:rsidR="0002439D">
        <w:rPr>
          <w:rFonts w:cstheme="minorHAnsi"/>
        </w:rPr>
        <w:t xml:space="preserve"> </w:t>
      </w:r>
      <w:r w:rsidR="0002439D" w:rsidRPr="00532C5B">
        <w:rPr>
          <w:rFonts w:cstheme="minorHAnsi"/>
        </w:rPr>
        <w:t>and</w:t>
      </w:r>
      <w:proofErr w:type="gramEnd"/>
      <w:r w:rsidR="0002439D" w:rsidRPr="00532C5B">
        <w:rPr>
          <w:rFonts w:cstheme="minorHAnsi"/>
        </w:rPr>
        <w:t xml:space="preserve"> </w:t>
      </w:r>
      <w:r w:rsidRPr="00532C5B">
        <w:rPr>
          <w:rFonts w:cstheme="minorHAnsi"/>
        </w:rPr>
        <w:t>the effectiveness, efficiency and responsiveness of policies.</w:t>
      </w:r>
    </w:p>
    <w:p w:rsidR="000713A2" w:rsidRPr="00532C5B" w:rsidRDefault="000713A2" w:rsidP="00312FD5">
      <w:pPr>
        <w:spacing w:after="0"/>
        <w:ind w:firstLine="720"/>
        <w:contextualSpacing/>
        <w:rPr>
          <w:rFonts w:cstheme="minorHAnsi"/>
        </w:rPr>
      </w:pPr>
      <w:r w:rsidRPr="00532C5B">
        <w:rPr>
          <w:rFonts w:cstheme="minorHAnsi"/>
        </w:rPr>
        <w:t>(</w:t>
      </w:r>
      <w:proofErr w:type="spellStart"/>
      <w:r w:rsidRPr="00532C5B">
        <w:rPr>
          <w:rFonts w:cstheme="minorHAnsi"/>
        </w:rPr>
        <w:t>i</w:t>
      </w:r>
      <w:proofErr w:type="spellEnd"/>
      <w:r w:rsidRPr="00532C5B">
        <w:rPr>
          <w:rFonts w:cstheme="minorHAnsi"/>
        </w:rPr>
        <w:t xml:space="preserve">) Although Bulgaria has taken measures to combat corruption, reports on the implementation of Decree 114 on the monitoring and control over the financial conditions of state-owned enterprises showed significant deficiencies for example in providing the required additional performance analysis, lacking consistency in their reports, showing discrepancies between annual reports of the government and companies, and including factual mistakes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w:t>
      </w:r>
      <w:r w:rsidRPr="00532C5B">
        <w:rPr>
          <w:rFonts w:cstheme="minorHAnsi"/>
        </w:rPr>
        <w:fldChar w:fldCharType="end"/>
      </w:r>
      <w:r w:rsidRPr="00532C5B">
        <w:rPr>
          <w:rFonts w:cstheme="minorHAnsi"/>
        </w:rPr>
        <w:t>. Under its legal requirements driven by EU regulation, the government provides several platforms of information for public access. The Sustainable Energy Development Agency maintains a database of renewable and heating projects.</w:t>
      </w:r>
      <w:r w:rsidRPr="00532C5B">
        <w:rPr>
          <w:rStyle w:val="FootnoteReference"/>
          <w:rFonts w:cstheme="minorHAnsi"/>
        </w:rPr>
        <w:footnoteReference w:id="22"/>
      </w:r>
      <w:r w:rsidRPr="00532C5B">
        <w:rPr>
          <w:rFonts w:cstheme="minorHAnsi"/>
        </w:rPr>
        <w:t xml:space="preserve"> The Agency also provides a contact point to report corruption. Furthermore, Bulgaria’s Electric System Operator provides hourly data on the generation of electricity based on source, including data on electricity imported as part of the liberalisation process of Bulgaria’s Electricity Market.</w:t>
      </w:r>
      <w:r w:rsidRPr="00532C5B">
        <w:rPr>
          <w:rStyle w:val="FootnoteReference"/>
          <w:rFonts w:cstheme="minorHAnsi"/>
        </w:rPr>
        <w:footnoteReference w:id="23"/>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 xml:space="preserve">Crucially, through the financial support of the EU’s PHARE Programme and the Operational Programme Administrative Capacity that is co-funded through the European Social Fund, Bulgaria’s </w:t>
      </w:r>
      <w:r w:rsidRPr="00532C5B">
        <w:rPr>
          <w:rFonts w:cstheme="minorHAnsi"/>
        </w:rPr>
        <w:lastRenderedPageBreak/>
        <w:t>Public Procurement Agency (PPA) – itself established as part of the EU accession process in 2004</w:t>
      </w:r>
      <w:r w:rsidRPr="00532C5B">
        <w:rPr>
          <w:rStyle w:val="FootnoteReference"/>
          <w:rFonts w:cstheme="minorHAnsi"/>
        </w:rPr>
        <w:footnoteReference w:id="24"/>
      </w:r>
      <w:r w:rsidRPr="00532C5B">
        <w:rPr>
          <w:rFonts w:cstheme="minorHAnsi"/>
        </w:rPr>
        <w:t xml:space="preserve"> – created a registry of public procurement contracts on its online portal in 2009.</w:t>
      </w:r>
      <w:r w:rsidRPr="00532C5B">
        <w:rPr>
          <w:rStyle w:val="FootnoteReference"/>
          <w:rFonts w:cstheme="minorHAnsi"/>
        </w:rPr>
        <w:footnoteReference w:id="25"/>
      </w:r>
      <w:r w:rsidRPr="00532C5B">
        <w:rPr>
          <w:rFonts w:cstheme="minorHAnsi"/>
        </w:rPr>
        <w:t xml:space="preserve"> Energy enterprises took up a significant share of government contracts in 2010-2012 public procurement processes of about 20%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w:t>
      </w:r>
      <w:r w:rsidRPr="00532C5B">
        <w:rPr>
          <w:rFonts w:cstheme="minorHAnsi"/>
        </w:rPr>
        <w:fldChar w:fldCharType="end"/>
      </w:r>
      <w:r w:rsidRPr="00532C5B">
        <w:rPr>
          <w:rFonts w:cstheme="minorHAnsi"/>
        </w:rPr>
        <w:t xml:space="preserve">. While information on general renewable support is transparent due to EU reporting requirements and publicly regulated </w:t>
      </w:r>
      <w:proofErr w:type="spellStart"/>
      <w:r w:rsidRPr="00532C5B">
        <w:rPr>
          <w:rFonts w:cstheme="minorHAnsi"/>
        </w:rPr>
        <w:t>FiT</w:t>
      </w:r>
      <w:proofErr w:type="spellEnd"/>
      <w:r w:rsidRPr="00532C5B">
        <w:rPr>
          <w:rFonts w:cstheme="minorHAnsi"/>
        </w:rPr>
        <w:t xml:space="preserve"> levels, data on government contracts with conventional power generators remain difficult to access. The registry of the PPA is counterintuitive to operate, registration necessary to access the advanced search engine, and pieces of information spread out across different access points. As such, there remains no easy access to details, and “the current opaque system of governance of state-owned enterprises is prone to abuses of public funds and serious neglect of the companies’ interest”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"locator" : "94", "uris" : [ "http://www.mendeley.com/documents/?uuid=c42efdb6-f94d-437f-b939-9412d7a9a470" ] } ], "mendeley" : { "formattedCitation" : "(Center for the Study of Democracy, 2014, p.94)", "plainTextFormattedCitation" : "(Center for the Study of Democracy, 2014, p.94)", "previouslyFormattedCitation" : "(Center for the Study of Democracy, 2014, p.94)"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 p.94)</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 xml:space="preserve">(ii) Based on the opaque information system, there is also a lack of data on government consultations with stakeholders and the public. According to the </w:t>
      </w:r>
      <w:proofErr w:type="spellStart"/>
      <w:r w:rsidRPr="00532C5B">
        <w:rPr>
          <w:rFonts w:cstheme="minorHAnsi"/>
        </w:rPr>
        <w:t>Center</w:t>
      </w:r>
      <w:proofErr w:type="spellEnd"/>
      <w:r w:rsidRPr="00532C5B">
        <w:rPr>
          <w:rFonts w:cstheme="minorHAnsi"/>
        </w:rPr>
        <w:t xml:space="preserve"> for the Study of Democracy </w:t>
      </w:r>
      <w:r w:rsidRPr="00532C5B">
        <w:rPr>
          <w:rFonts w:cstheme="minorHAnsi"/>
        </w:rPr>
        <w:fldChar w:fldCharType="begin" w:fldLock="1"/>
      </w:r>
      <w:r w:rsidR="00312FD5">
        <w:rPr>
          <w:rFonts w:cstheme="minorHAnsi"/>
        </w:rPr>
        <w:instrText>ADDIN CSL_CITATION { "citationItems" : [ { "id" : "ITEM-1", "itemData" : { "ISBN" : "2550433572", "author" : [ { "dropping-particle" : "", "family" : "Center for the Study of Democracy", "given" : "", "non-dropping-particle" : "", "parse-names" : false, "suffix" : "" } ], "id" : "ITEM-1", "issued" : { "date-parts" : [ [ "2010" ] ] }, "title" : "The Energy Sector in Bulgaria - Major Governance Issues", "type" : "article-journal" }, "suppress-author" : 1, "uris" : [ "http://www.mendeley.com/documents/?uuid=a27d4ae6-df04-4e8b-bcc7-c6bc3d80884a" ] }, { "id" : "ITEM-2", "itemData" : { "ISBN" : "9789544773106", "author" : [ { "dropping-particle" : "", "family" : "Center for the Study of Democracy", "given" : "", "non-dropping-particle" : "", "parse-names" : false, "suffix" : "" } ], "id" : "ITEM-2", "issued" : { "date-parts" : [ [ "2017" ] ] }, "title" : "Evaluating governance and corruption risks in Bulgaria", "type" : "report" }, "suppress-author" : 1, "uris" : [ "http://www.mendeley.com/documents/?uuid=44e9184e-f6c5-4f6b-97ee-56bfde6c15e6" ] }, { "id" : "ITEM-3", "itemData" : { "ISBN" : "9789544772147", "author" : [ { "dropping-particle" : "", "family" : "Center for the Study of Democracy", "given" : "", "non-dropping-particle" : "", "parse-names" : false, "suffix" : "" } ], "id" : "ITEM-3", "issued" : { "date-parts" : [ [ "2014" ] ] }, "title" : "Energy Sector Governance and Energy (In)Security in Bulgaria", "type" : "report" }, "suppress-author" : 1, "uris" : [ "http://www.mendeley.com/documents/?uuid=c42efdb6-f94d-437f-b939-9412d7a9a470" ] } ], "mendeley" : { "formattedCitation" : "(2010, 2017, 2014)", "plainTextFormattedCitation" : "(2010, 2017, 2014)", "previouslyFormattedCitation" : "(2010, 2017, 2014)" }, "properties" : {  }, "schema" : "https://github.com/citation-style-language/schema/raw/master/csl-citation.json" }</w:instrText>
      </w:r>
      <w:r w:rsidRPr="00532C5B">
        <w:rPr>
          <w:rFonts w:cstheme="minorHAnsi"/>
        </w:rPr>
        <w:fldChar w:fldCharType="separate"/>
      </w:r>
      <w:r w:rsidRPr="00532C5B">
        <w:rPr>
          <w:rFonts w:cstheme="minorHAnsi"/>
          <w:noProof/>
        </w:rPr>
        <w:t>(2010, 2017, 2014)</w:t>
      </w:r>
      <w:r w:rsidRPr="00532C5B">
        <w:rPr>
          <w:rFonts w:cstheme="minorHAnsi"/>
        </w:rPr>
        <w:fldChar w:fldCharType="end"/>
      </w:r>
      <w:r w:rsidRPr="00532C5B">
        <w:rPr>
          <w:rFonts w:cstheme="minorHAnsi"/>
        </w:rPr>
        <w:t xml:space="preserve">, the government does not provide meaningful consultations on energy projects, despite the importance of an inclusive approach to ensure “that social needs are also taken into consideration in the decision-making process”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"locator" : "76", "uris" : [ "http://www.mendeley.com/documents/?uuid=c42efdb6-f94d-437f-b939-9412d7a9a470" ] } ], "mendeley" : { "formattedCitation" : "(Center for the Study of Democracy, 2014, p.76)", "plainTextFormattedCitation" : "(Center for the Study of Democracy, 2014, p.76)", "previouslyFormattedCitation" : "(Center for the Study of Democracy, 2014, p.76)"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 p.76)</w:t>
      </w:r>
      <w:r w:rsidRPr="00532C5B">
        <w:rPr>
          <w:rFonts w:cstheme="minorHAnsi"/>
        </w:rPr>
        <w:fldChar w:fldCharType="end"/>
      </w:r>
      <w:r w:rsidRPr="00532C5B">
        <w:rPr>
          <w:rFonts w:cstheme="minorHAnsi"/>
        </w:rPr>
        <w:t>. Based on our interviews</w:t>
      </w:r>
      <w:r w:rsidRPr="00532C5B">
        <w:rPr>
          <w:rStyle w:val="FootnoteReference"/>
          <w:rFonts w:cstheme="minorHAnsi"/>
        </w:rPr>
        <w:footnoteReference w:id="26"/>
      </w:r>
      <w:r w:rsidRPr="00532C5B">
        <w:rPr>
          <w:rFonts w:cstheme="minorHAnsi"/>
        </w:rPr>
        <w:t xml:space="preserve">, government miscommunication was indeed a crucial issue in the winter 2013 protest that eventually led to the downfall of the </w:t>
      </w:r>
      <w:proofErr w:type="spellStart"/>
      <w:r w:rsidRPr="00532C5B">
        <w:rPr>
          <w:rFonts w:cstheme="minorHAnsi"/>
        </w:rPr>
        <w:t>Borisov</w:t>
      </w:r>
      <w:proofErr w:type="spellEnd"/>
      <w:r w:rsidRPr="00532C5B">
        <w:rPr>
          <w:rFonts w:cstheme="minorHAnsi"/>
        </w:rPr>
        <w:t xml:space="preserve"> government following an increase in regulated electricity prices to cover a greater share of the costs of rising renewable generation levels </w:t>
      </w:r>
      <w:r w:rsidRPr="00532C5B">
        <w:rPr>
          <w:rFonts w:cstheme="minorHAnsi"/>
        </w:rPr>
        <w:fldChar w:fldCharType="begin" w:fldLock="1"/>
      </w:r>
      <w:r w:rsidR="00312FD5">
        <w:rPr>
          <w:rFonts w:cstheme="minorHAnsi"/>
        </w:rPr>
        <w:instrText>ADDIN CSL_CITATION { "citationItems" : [ { "id" : "ITEM-1", "itemData" : { "author" : [ { "dropping-particle" : "", "family" : "Velinova", "given" : "Nelly", "non-dropping-particle" : "", "parse-names" : false, "suffix" : "" }, { "dropping-particle" : "", "family" : "Tomov", "given" : "Marian", "non-dropping-particle" : "", "parse-names" : false, "suffix" : "" }, { "dropping-particle" : "", "family" : "Raycheva", "given" : "Prof Lilia", "non-dropping-particle" : "", "parse-names" : false, "suffix" : "" }, { "dropping-particle" : "", "family" : "Kliment", "given" : "St", "non-dropping-particle" : "", "parse-names" : false, "suffix" : "" }, { "dropping-particle" : "", "family" : "Sofia", "given" : "Ohridski", "non-dropping-particle" : "", "parse-names" : false, "suffix" : "" } ], "container-title" : "Investigating Culture", "id" : "ITEM-1", "issue" : "1", "issued" : { "date-parts" : [ [ "2015" ] ] }, "title" : "The 2013 Social Protests in Bulgaria : Slogans and", "type" : "article-journal" }, "uris" : [ "http://www.mendeley.com/documents/?uuid=f5630988-a13c-4cda-9c3b-5259d703d5f4" ] } ], "mendeley" : { "formattedCitation" : "(Velinova et al., 2015)", "plainTextFormattedCitation" : "(Velinova et al., 2015)", "previouslyFormattedCitation" : "(Velinova et al., 2015)" }, "properties" : {  }, "schema" : "https://github.com/citation-style-language/schema/raw/master/csl-citation.json" }</w:instrText>
      </w:r>
      <w:r w:rsidRPr="00532C5B">
        <w:rPr>
          <w:rFonts w:cstheme="minorHAnsi"/>
        </w:rPr>
        <w:fldChar w:fldCharType="separate"/>
      </w:r>
      <w:r w:rsidRPr="00532C5B">
        <w:rPr>
          <w:rFonts w:cstheme="minorHAnsi"/>
          <w:noProof/>
        </w:rPr>
        <w:t xml:space="preserve">(Velinova </w:t>
      </w:r>
      <w:r w:rsidRPr="00532C5B">
        <w:rPr>
          <w:rFonts w:cstheme="minorHAnsi"/>
          <w:i/>
          <w:noProof/>
        </w:rPr>
        <w:t>et al.</w:t>
      </w:r>
      <w:r w:rsidRPr="00532C5B">
        <w:rPr>
          <w:rFonts w:cstheme="minorHAnsi"/>
          <w:noProof/>
        </w:rPr>
        <w:t>, 2015)</w:t>
      </w:r>
      <w:r w:rsidRPr="00532C5B">
        <w:rPr>
          <w:rFonts w:cstheme="minorHAnsi"/>
        </w:rPr>
        <w:fldChar w:fldCharType="end"/>
      </w:r>
      <w:r w:rsidRPr="00532C5B">
        <w:rPr>
          <w:rFonts w:cstheme="minorHAnsi"/>
        </w:rPr>
        <w:t>. As the former minister of energy in the 2013 interim government, Julian Popov, told us:</w:t>
      </w:r>
    </w:p>
    <w:p w:rsidR="000713A2" w:rsidRPr="00532C5B" w:rsidRDefault="000713A2" w:rsidP="00312FD5">
      <w:pPr>
        <w:spacing w:after="0" w:line="240" w:lineRule="auto"/>
        <w:ind w:left="720"/>
        <w:contextualSpacing/>
        <w:rPr>
          <w:rFonts w:cstheme="minorHAnsi"/>
        </w:rPr>
      </w:pPr>
      <w:r w:rsidRPr="00532C5B">
        <w:rPr>
          <w:rFonts w:cstheme="minorHAnsi"/>
        </w:rPr>
        <w:t xml:space="preserve">“People were very surprised by the electricity prices because they received bills for forty-five days rather than thirty days, which coincided with the increase of electricity prices by 13%, which was not a lot, considering in the period of two or three years, prices were not </w:t>
      </w:r>
      <w:r w:rsidRPr="00532C5B">
        <w:rPr>
          <w:rFonts w:cstheme="minorHAnsi"/>
        </w:rPr>
        <w:lastRenderedPageBreak/>
        <w:t>increased at all. So the increase was modest but very badly communicated because psychologically when people saw the bill, they saw that it doubled.”</w:t>
      </w:r>
      <w:r w:rsidRPr="00532C5B">
        <w:rPr>
          <w:rStyle w:val="FootnoteReference"/>
          <w:rFonts w:cstheme="minorHAnsi"/>
        </w:rPr>
        <w:footnoteReference w:id="27"/>
      </w:r>
      <w:r w:rsidRPr="00532C5B">
        <w:rPr>
          <w:rFonts w:cstheme="minorHAnsi"/>
        </w:rPr>
        <w:t xml:space="preserve"> </w:t>
      </w:r>
    </w:p>
    <w:p w:rsidR="000713A2" w:rsidRPr="00532C5B" w:rsidRDefault="000713A2" w:rsidP="00312FD5">
      <w:pPr>
        <w:spacing w:after="0"/>
        <w:ind w:firstLine="720"/>
        <w:contextualSpacing/>
        <w:rPr>
          <w:rFonts w:cstheme="minorHAnsi"/>
        </w:rPr>
      </w:pPr>
    </w:p>
    <w:p w:rsidR="000713A2" w:rsidRPr="00532C5B" w:rsidRDefault="000713A2" w:rsidP="00312FD5">
      <w:pPr>
        <w:spacing w:after="0"/>
        <w:contextualSpacing/>
        <w:rPr>
          <w:rFonts w:cstheme="minorHAnsi"/>
        </w:rPr>
      </w:pPr>
      <w:r w:rsidRPr="00532C5B">
        <w:rPr>
          <w:rFonts w:cstheme="minorHAnsi"/>
        </w:rPr>
        <w:t>The lack of effective communication between government and stakeholders can also be seen in the early-2012 protests against Chevron’s plan to begin shale-gas exploration in Bulgaria that highlighted “that corporations and government did not consult the people and did not make the slightest attempt to create shared value”</w:t>
      </w:r>
      <w:r w:rsidRPr="00532C5B">
        <w:rPr>
          <w:rFonts w:cstheme="minorHAnsi"/>
        </w:rPr>
        <w:fldChar w:fldCharType="begin" w:fldLock="1"/>
      </w:r>
      <w:r w:rsidR="00312FD5">
        <w:rPr>
          <w:rFonts w:cstheme="minorHAnsi"/>
        </w:rPr>
        <w:instrText>ADDIN CSL_CITATION { "citationItems" : [ { "id" : "ITEM-1", "itemData" : { "author" : [ { "dropping-particle" : "", "family" : "Popov", "given" : "Julian", "non-dropping-particle" : "", "parse-names" : false, "suffix" : "" } ], "container-title" : "Aljazeera", "id" : "ITEM-1", "issued" : { "date-parts" : [ [ "2013", "7", "14" ] ] }, "title" : "A new face of European dissent", "type" : "article-newspaper" }, "uris" : [ "http://www.mendeley.com/documents/?uuid=e5b76146-bdcb-429d-bfcf-e84072264e59" ] } ], "mendeley" : { "formattedCitation" : "(Popov, 2013)", "plainTextFormattedCitation" : "(Popov, 2013)", "previouslyFormattedCitation" : "(Popov, 2013)" }, "properties" : {  }, "schema" : "https://github.com/citation-style-language/schema/raw/master/csl-citation.json" }</w:instrText>
      </w:r>
      <w:r w:rsidRPr="00532C5B">
        <w:rPr>
          <w:rFonts w:cstheme="minorHAnsi"/>
        </w:rPr>
        <w:fldChar w:fldCharType="separate"/>
      </w:r>
      <w:r w:rsidRPr="00532C5B">
        <w:rPr>
          <w:rFonts w:cstheme="minorHAnsi"/>
          <w:noProof/>
        </w:rPr>
        <w:t>(Popov, 2013)</w:t>
      </w:r>
      <w:r w:rsidRPr="00532C5B">
        <w:rPr>
          <w:rFonts w:cstheme="minorHAnsi"/>
        </w:rPr>
        <w:fldChar w:fldCharType="end"/>
      </w:r>
      <w:r w:rsidRPr="00532C5B">
        <w:rPr>
          <w:rFonts w:cstheme="minorHAnsi"/>
        </w:rPr>
        <w:t xml:space="preserve">. The subsequent ban of fracking “was […] a punishment for inappropriate public behaviour by the people in power. And this is exactly what the political parties and powerful corporations failed to see” </w:t>
      </w:r>
      <w:r w:rsidRPr="00532C5B">
        <w:rPr>
          <w:rFonts w:cstheme="minorHAnsi"/>
        </w:rPr>
        <w:fldChar w:fldCharType="begin" w:fldLock="1"/>
      </w:r>
      <w:r w:rsidR="00312FD5">
        <w:rPr>
          <w:rFonts w:cstheme="minorHAnsi"/>
        </w:rPr>
        <w:instrText>ADDIN CSL_CITATION { "citationItems" : [ { "id" : "ITEM-1", "itemData" : { "author" : [ { "dropping-particle" : "", "family" : "Popov", "given" : "Julian", "non-dropping-particle" : "", "parse-names" : false, "suffix" : "" } ], "container-title" : "Aljazeera", "id" : "ITEM-1", "issued" : { "date-parts" : [ [ "2013", "7", "14" ] ] }, "title" : "A new face of European dissent", "type" : "article-newspaper" }, "uris" : [ "http://www.mendeley.com/documents/?uuid=e5b76146-bdcb-429d-bfcf-e84072264e59" ] } ], "mendeley" : { "formattedCitation" : "(Popov, 2013)", "plainTextFormattedCitation" : "(Popov, 2013)", "previouslyFormattedCitation" : "(Popov, 2013)" }, "properties" : {  }, "schema" : "https://github.com/citation-style-language/schema/raw/master/csl-citation.json" }</w:instrText>
      </w:r>
      <w:r w:rsidRPr="00532C5B">
        <w:rPr>
          <w:rFonts w:cstheme="minorHAnsi"/>
        </w:rPr>
        <w:fldChar w:fldCharType="separate"/>
      </w:r>
      <w:r w:rsidRPr="00532C5B">
        <w:rPr>
          <w:rFonts w:cstheme="minorHAnsi"/>
          <w:noProof/>
        </w:rPr>
        <w:t>(Popov, 2013)</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 xml:space="preserve">(iii) The government is obligated under EU Directives 2003/35/EC </w:t>
      </w:r>
      <w:r w:rsidRPr="00532C5B">
        <w:rPr>
          <w:rFonts w:cstheme="minorHAnsi"/>
        </w:rPr>
        <w:fldChar w:fldCharType="begin" w:fldLock="1"/>
      </w:r>
      <w:r w:rsidR="00312FD5">
        <w:rPr>
          <w:rFonts w:cstheme="minorHAnsi"/>
        </w:rPr>
        <w:instrText>ADDIN CSL_CITATION { "citationItems" : [ { "id" : "ITEM-1", "itemData" : { "ISSN" : "15375323", "abstract" : "providing for public participation in respect of the drawing up of certain plans and programmes relating to the environment and amending with regard to public participation and access to justice Council Directives 85/337/EEC and 96/61/EC", "author" : [ { "dropping-particle" : "", "family" : "European Commission", "given" : "", "non-dropping-particle" : "", "parse-names" : false, "suffix" : "" } ], "container-title" : "Official Journal of the European Union", "id" : "ITEM-1", "issued" : { "date-parts" : [ [ "2003" ] ] }, "page" : "17-24", "title" : "Directive 2003/35/EC of the European Parliament and of the Council of 26 May 2003 providing for public participation in respect of the drawing up of certain plans and programmes relating to the environment and amending with regard to public participation", "type" : "article-journal", "volume" : "L156" }, "uris" : [ "http://www.mendeley.com/documents/?uuid=96595334-8f64-4738-be1e-bc87be43bf25" ] } ], "mendeley" : { "formattedCitation" : "(European Commission, 2003)", "plainTextFormattedCitation" : "(European Commission, 2003)", "previouslyFormattedCitation" : "(European Commission, 2003)" }, "properties" : {  }, "schema" : "https://github.com/citation-style-language/schema/raw/master/csl-citation.json" }</w:instrText>
      </w:r>
      <w:r w:rsidRPr="00532C5B">
        <w:rPr>
          <w:rFonts w:cstheme="minorHAnsi"/>
        </w:rPr>
        <w:fldChar w:fldCharType="separate"/>
      </w:r>
      <w:r w:rsidRPr="00532C5B">
        <w:rPr>
          <w:rFonts w:cstheme="minorHAnsi"/>
          <w:noProof/>
        </w:rPr>
        <w:t>(European Commission, 2003)</w:t>
      </w:r>
      <w:r w:rsidRPr="00532C5B">
        <w:rPr>
          <w:rFonts w:cstheme="minorHAnsi"/>
        </w:rPr>
        <w:fldChar w:fldCharType="end"/>
      </w:r>
      <w:r w:rsidRPr="00532C5B">
        <w:rPr>
          <w:rFonts w:cstheme="minorHAnsi"/>
        </w:rPr>
        <w:t xml:space="preserve"> and 2009/31/EC </w:t>
      </w:r>
      <w:r w:rsidRPr="00532C5B">
        <w:rPr>
          <w:rFonts w:cstheme="minorHAnsi"/>
        </w:rPr>
        <w:fldChar w:fldCharType="begin" w:fldLock="1"/>
      </w:r>
      <w:r w:rsidR="00312FD5">
        <w:rPr>
          <w:rFonts w:cstheme="minorHAnsi"/>
        </w:rPr>
        <w:instrText>ADDIN CSL_CITATION { "citationItems" : [ { "id" : "ITEM-1", "itemData" : { "ISSN" : "1725-2555", "abstract" : "Carbon dioxide capture and geological storage (CCS) is a bridging technology that will contribute to mitigating climate change. It consists of the capture of carbon dioxide (CO2) from industrial installations, its transport to a storage site and its injection into a suitable underground geological formation for the purposes of permanent storage. This technology should not serve as an incentive to increase the share of fossil fuel power plants. Its development should not lead to a reduction of efforts to support energy saving policies, renewable energies and other safe and sustainable low carbon technologies, both in research and financial terms.", "author" : [ { "dropping-particle" : "", "family" : "European Commission", "given" : "", "non-dropping-particle" : "", "parse-names" : false, "suffix" : "" } ], "container-title" : "Offical Journal of the European Union", "id" : "ITEM-1", "issue" : "June 2006", "issued" : { "date-parts" : [ [ "2009" ] ] }, "page" : "114-135", "title" : "Directive 2009/31/EC of the European Parliament and of the Council of 23 April 2009 on the geological storage of carbon dioxide and amending Council Directive 85/337/EEC, European Parliament and Council Directives 2000/60/EC, 2001/80/EC, 2004/35/EC, 2006/", "type" : "article-journal", "volume" : "L140/114" }, "uris" : [ "http://www.mendeley.com/documents/?uuid=3b62b78c-5e74-4ed5-b3c1-253f53eac99a" ] } ], "mendeley" : { "formattedCitation" : "(European Commission, 2009)", "plainTextFormattedCitation" : "(European Commission, 2009)", "previouslyFormattedCitation" : "(European Commission, 2009)" }, "properties" : {  }, "schema" : "https://github.com/citation-style-language/schema/raw/master/csl-citation.json" }</w:instrText>
      </w:r>
      <w:r w:rsidRPr="00532C5B">
        <w:rPr>
          <w:rFonts w:cstheme="minorHAnsi"/>
        </w:rPr>
        <w:fldChar w:fldCharType="separate"/>
      </w:r>
      <w:r w:rsidRPr="00532C5B">
        <w:rPr>
          <w:rFonts w:cstheme="minorHAnsi"/>
          <w:noProof/>
        </w:rPr>
        <w:t>(European Commission, 2009)</w:t>
      </w:r>
      <w:r w:rsidRPr="00532C5B">
        <w:rPr>
          <w:rFonts w:cstheme="minorHAnsi"/>
        </w:rPr>
        <w:fldChar w:fldCharType="end"/>
      </w:r>
      <w:r w:rsidRPr="00532C5B">
        <w:rPr>
          <w:rFonts w:cstheme="minorHAnsi"/>
        </w:rPr>
        <w:t xml:space="preserve">, as well as by Bulgaria’s Environmental Protection Act to provide environmental impact assessments (EIAs) on defined projects and developments, as seen for example in the case of the South Stream Gas pipeline </w:t>
      </w:r>
      <w:r w:rsidRPr="00532C5B">
        <w:rPr>
          <w:rFonts w:cstheme="minorHAnsi"/>
        </w:rPr>
        <w:fldChar w:fldCharType="begin" w:fldLock="1"/>
      </w:r>
      <w:r w:rsidR="00312FD5">
        <w:rPr>
          <w:rFonts w:cstheme="minorHAnsi"/>
        </w:rPr>
        <w:instrText>ADDIN CSL_CITATION { "citationItems" : [ { "id" : "ITEM-1", "itemData" : { "URL" : "http://www.iene.eu/bulgarian-environmental-impact-assessment-eia-approved-for-the-south-stream-offshore-pipeline-p380.html", "author" : [ { "dropping-particle" : "", "family" : "Institute of Energy for South-East Europe", "given" : "", "non-dropping-particle" : "", "parse-names" : false, "suffix" : "" } ], "id" : "ITEM-1", "issued" : { "date-parts" : [ [ "2014" ] ] }, "title" : "Bulgarian Environmental Impact Assessment (EIA) Approved for the South Stream Offshore Pipeline", "type" : "webpage" }, "uris" : [ "http://www.mendeley.com/documents/?uuid=45c0a19f-92e7-4c23-8985-d534aa33d7d6" ] } ], "mendeley" : { "formattedCitation" : "(Institute of Energy for South-East Europe, 2014)", "plainTextFormattedCitation" : "(Institute of Energy for South-East Europe, 2014)", "previouslyFormattedCitation" : "(Institute of Energy for South-East Europe, 2014)" }, "properties" : {  }, "schema" : "https://github.com/citation-style-language/schema/raw/master/csl-citation.json" }</w:instrText>
      </w:r>
      <w:r w:rsidRPr="00532C5B">
        <w:rPr>
          <w:rFonts w:cstheme="minorHAnsi"/>
        </w:rPr>
        <w:fldChar w:fldCharType="separate"/>
      </w:r>
      <w:r w:rsidRPr="00532C5B">
        <w:rPr>
          <w:rFonts w:cstheme="minorHAnsi"/>
          <w:noProof/>
        </w:rPr>
        <w:t>(Institute of Energy for South-East Europe, 2014)</w:t>
      </w:r>
      <w:r w:rsidRPr="00532C5B">
        <w:rPr>
          <w:rFonts w:cstheme="minorHAnsi"/>
        </w:rPr>
        <w:fldChar w:fldCharType="end"/>
      </w:r>
      <w:r w:rsidRPr="00532C5B">
        <w:rPr>
          <w:rFonts w:cstheme="minorHAnsi"/>
        </w:rPr>
        <w:t xml:space="preserve">. Based on Annex 1 of the Environmental Protection Act </w:t>
      </w:r>
      <w:r w:rsidRPr="00532C5B">
        <w:rPr>
          <w:rFonts w:cstheme="minorHAnsi"/>
        </w:rPr>
        <w:fldChar w:fldCharType="begin" w:fldLock="1"/>
      </w:r>
      <w:r w:rsidR="00312FD5">
        <w:rPr>
          <w:rFonts w:cstheme="minorHAnsi"/>
        </w:rPr>
        <w:instrText>ADDIN CSL_CITATION { "citationItems" : [ { "id" : "ITEM-1", "itemData" : { "author" : [ { "dropping-particle" : "", "family" : "Government of Bulgaria", "given" : "", "non-dropping-particle" : "", "parse-names" : false, "suffix" : "" } ], "id" : "ITEM-1", "issue" : "91", "issued" : { "date-parts" : [ [ "2014" ] ] }, "publisher-place" : "Bulgaria", "title" : "Environmental Protection Act", "type" : "legislation" }, "uris" : [ "http://www.mendeley.com/documents/?uuid=33b39e45-6caf-4e06-8242-4a64aaec1b50" ] } ], "mendeley" : { "formattedCitation" : "(Government of Bulgaria, 2014)", "plainTextFormattedCitation" : "(Government of Bulgaria, 2014)", "previouslyFormattedCitation" : "(Government of Bulgaria, 2014)" }, "properties" : {  }, "schema" : "https://github.com/citation-style-language/schema/raw/master/csl-citation.json" }</w:instrText>
      </w:r>
      <w:r w:rsidRPr="00532C5B">
        <w:rPr>
          <w:rFonts w:cstheme="minorHAnsi"/>
        </w:rPr>
        <w:fldChar w:fldCharType="separate"/>
      </w:r>
      <w:r w:rsidRPr="00532C5B">
        <w:rPr>
          <w:rFonts w:cstheme="minorHAnsi"/>
          <w:noProof/>
        </w:rPr>
        <w:t>(Government of Bulgaria, 2014)</w:t>
      </w:r>
      <w:r w:rsidRPr="00532C5B">
        <w:rPr>
          <w:rFonts w:cstheme="minorHAnsi"/>
        </w:rPr>
        <w:fldChar w:fldCharType="end"/>
      </w:r>
      <w:r w:rsidRPr="00532C5B">
        <w:rPr>
          <w:rFonts w:cstheme="minorHAnsi"/>
        </w:rPr>
        <w:t xml:space="preserve"> that outlines projects in need of EIAs, renewable projects, such as large-scale wind farms or hydropower plants are not mentioned, while crude oil refineries, thermal power stations, and nuclear power stations are. However, for example, large-scale wind installations can have significant adverse environmental effects </w:t>
      </w:r>
      <w:r w:rsidRPr="00532C5B">
        <w:rPr>
          <w:rFonts w:cstheme="minorHAnsi"/>
        </w:rPr>
        <w:fldChar w:fldCharType="begin" w:fldLock="1"/>
      </w:r>
      <w:r w:rsidR="00312FD5">
        <w:rPr>
          <w:rFonts w:cstheme="minorHAnsi"/>
        </w:rPr>
        <w:instrText>ADDIN CSL_CITATION { "citationItems" : [ { "id" : "ITEM-1", "itemData" : { "ISBN" : "1173-2946", "ISSN" : "11732946", "abstract" : "The impacts of wind farms on New Zealand bird species and populations are unknown. This document reviews available literature on the impacts of onshore wind farms on birds, based on studies in other countries. A key finding is that wind farms tend to have variable effects on bird populations, which can be species-, season- and/or site-specific. The impacts include collision fatalities, habitat loss and disturbance resulting in displacement. The main factors that contribute to collision fatalities are proximity to areas of high bird density or frequency of movements (migration routes, staging areas, wintering areas), bird species (some are more prone to collision or displacement than others), landscape features that concentrate bird movement, and poor weather conditions. In many instances, the numbers of carcasses reported are likely to be underestimates, as they are often based only on found carcasses, without accounting for scavenging and searcher efficiency. Habitat loss as a result of wind farm construction seems to have a minor impact on birds, as typically only 2\u20135% of the total wind farm area is taken up by turbines, buildings and roads. However, the cumulative loss of sensitive or rare habitats may be significant, especially if multiple large developments are sited at locations of high bird use. Disturbance of birds as a result of wind farm development may arise from increased activity of people at the site, and/or the presence, motion and noise of turbines. The level of disturbance to birds has been shown to vary, depending on the availability of alternative feeding or breeding habitat. Although some of the findings from this review may be relevant to the New Zealand situation, it is important to realise that each wind farm tends to be different as a result of topography, weather, habitats, land use, bird species and turbine characteristics.", "author" : [ { "dropping-particle" : "", "family" : "Powlesland", "given" : "Ralph G.", "non-dropping-particle" : "", "parse-names" : false, "suffix" : "" } ], "container-title" : "Science for Conservation", "id" : "ITEM-1", "issue" : "289", "issued" : { "date-parts" : [ [ "2009" ] ] }, "page" : "1-51", "title" : "Impacts of wind farms on birds: A review", "type" : "article-journal" }, "uris" : [ "http://www.mendeley.com/documents/?uuid=b15149e3-9842-4973-a7f2-5f5238ce732e" ] }, { "id" : "ITEM-2", "itemData" : { "DOI" : "10.5751/ace-00609-080210", "ISBN" : "1712-6568", "ISSN" : "1712-6568", "abstract" : "We estimated impacts on birds from the development and operation of wind turbines in Canada considering both mortality due to collisions and loss of nesting habitat. We estimated collision mortality using data from carcass searches for 43 wind farms, incorporating correction factors for scavenger removal, searcher efficiency, and carcasses that fell beyond the area searched. On average, 8.2 \u00b1 1.4 birds (95% C.I.) were killed per turbine per year at these sites, although the numbers at individual wind farms varied from 0 - 26.9 birds per turbine per year. Based on 2955 installed turbines (the number installed in Canada by December 2011), an estimated 23,300 birds (95% C.I. 20,000 - 28,300) would be killed from collisions with turbines each year. We estimated direct habitat loss based on data from 32 wind farms in Canada. On average, total habitat loss per turbine was 1.23 ha, which corresponds to an estimated total habitat loss due to wind farms nationwide of 3635 ha. Based on published estimates of nest density, this could represent habitat for ~5700 nests of all species. Assuming nearby habitats are saturated, and 2 adults displaced per nest site, effects of direct habitat loss are less than that of direct mortality. Installed wind capacity is growing rapidly, and is predicted to increase more than 10-fold over the next 10-15 years, which could lead to direct mortality of approximately 233,000 birds / year, and displacement of 57,000 pairs. Despite concerns about the impacts of biased correction factors on the accuracy of mortality estimates, these values are likely much lower than those from collisions with some other anthropogenic sources such as windows, vehicles, or towers, or habitat loss due to many other forms of development. Species composition data suggest that &lt; 0.2% of the population of any species is currently affected by mortality or displacement from wind turbine development. Therefore, population level impacts are unlikely, provided that highly sensitive or rare habitats, as well as concentration areas for species at risk, are avoided.", "author" : [ { "dropping-particle" : "", "family" : "Zimmerling", "given" : "J Ryan", "non-dropping-particle" : "", "parse-names" : false, "suffix" : "" }, { "dropping-particle" : "", "family" : "Pomeroy", "given" : "Andrea C", "non-dropping-particle" : "", "parse-names" : false, "suffix" : "" }, { "dropping-particle" : "V", "family" : "D'Entremont", "given" : "Marc", "non-dropping-particle" : "", "parse-names" : false, "suffix" : "" }, { "dropping-particle" : "", "family" : "Francis", "given" : "Charles M", "non-dropping-particle" : "", "parse-names" : false, "suffix" : "" } ], "container-title" : "Avian Conservation and Ecology", "id" : "ITEM-2", "issue" : "2", "issued" : { "date-parts" : [ [ "2013" ] ] }, "page" : "10", "title" : "Canadian estimate of bird mortality due to collisions and direct habitat loss associated with wind turbine developments", "type" : "article-journal", "volume" : "8" }, "uris" : [ "http://www.mendeley.com/documents/?uuid=468e7235-e8b3-4746-94ae-2d4f9c22e44a" ] } ], "mendeley" : { "formattedCitation" : "(Powlesland, 2009; Zimmerling et al., 2013)", "plainTextFormattedCitation" : "(Powlesland, 2009; Zimmerling et al., 2013)", "previouslyFormattedCitation" : "(Powlesland, 2009; Zimmerling et al., 2013)" }, "properties" : {  }, "schema" : "https://github.com/citation-style-language/schema/raw/master/csl-citation.json" }</w:instrText>
      </w:r>
      <w:r w:rsidRPr="00532C5B">
        <w:rPr>
          <w:rFonts w:cstheme="minorHAnsi"/>
        </w:rPr>
        <w:fldChar w:fldCharType="separate"/>
      </w:r>
      <w:r w:rsidRPr="00532C5B">
        <w:rPr>
          <w:rFonts w:cstheme="minorHAnsi"/>
          <w:noProof/>
        </w:rPr>
        <w:t xml:space="preserve">(Powlesland, 2009; Zimmerling </w:t>
      </w:r>
      <w:r w:rsidRPr="00532C5B">
        <w:rPr>
          <w:rFonts w:cstheme="minorHAnsi"/>
          <w:i/>
          <w:noProof/>
        </w:rPr>
        <w:t>et al.</w:t>
      </w:r>
      <w:r w:rsidRPr="00532C5B">
        <w:rPr>
          <w:rFonts w:cstheme="minorHAnsi"/>
          <w:noProof/>
        </w:rPr>
        <w:t>, 2013)</w:t>
      </w:r>
      <w:r w:rsidRPr="00532C5B">
        <w:rPr>
          <w:rFonts w:cstheme="minorHAnsi"/>
        </w:rPr>
        <w:fldChar w:fldCharType="end"/>
      </w:r>
      <w:r w:rsidRPr="00532C5B">
        <w:rPr>
          <w:rFonts w:cstheme="minorHAnsi"/>
        </w:rPr>
        <w:t xml:space="preserve">. Indeed, the Court of Justice of the European Union, ruled in 2016 that the Republic of Bulgaria failed to fulfil </w:t>
      </w:r>
      <w:r w:rsidRPr="00532C5B">
        <w:rPr>
          <w:rFonts w:cstheme="minorHAnsi"/>
          <w:i/>
        </w:rPr>
        <w:t>inter alia</w:t>
      </w:r>
      <w:r w:rsidRPr="00532C5B">
        <w:rPr>
          <w:rFonts w:cstheme="minorHAnsi"/>
        </w:rPr>
        <w:t xml:space="preserve"> its obligations under Article 4(4) of the Birds Directive allowing the implementation of several wind farm projects in the </w:t>
      </w:r>
      <w:proofErr w:type="spellStart"/>
      <w:r w:rsidRPr="00532C5B">
        <w:rPr>
          <w:rFonts w:cstheme="minorHAnsi"/>
        </w:rPr>
        <w:t>Kaliakra</w:t>
      </w:r>
      <w:proofErr w:type="spellEnd"/>
      <w:r w:rsidRPr="00532C5B">
        <w:rPr>
          <w:rFonts w:cstheme="minorHAnsi"/>
        </w:rPr>
        <w:t xml:space="preserve"> region despite its importance for migratory species </w:t>
      </w:r>
      <w:r w:rsidRPr="00532C5B">
        <w:rPr>
          <w:rFonts w:cstheme="minorHAnsi"/>
        </w:rPr>
        <w:fldChar w:fldCharType="begin" w:fldLock="1"/>
      </w:r>
      <w:r w:rsidR="00312FD5">
        <w:rPr>
          <w:rFonts w:cstheme="minorHAnsi"/>
        </w:rPr>
        <w:instrText>ADDIN CSL_CITATION { "citationItems" : [ { "id" : "ITEM-1", "itemData" : { "author" : [ { "dropping-particle" : "", "family" : "Court of Justice of the European Union", "given" : "", "non-dropping-particle" : "", "parse-names" : false, "suffix" : "" } ], "id" : "ITEM-1", "issued" : { "date-parts" : [ [ "2016" ] ] }, "title" : "Case C-141/14", "type" : "legal_case" }, "uris" : [ "http://www.mendeley.com/documents/?uuid=9545d792-02f7-4fe5-8fab-836f195d98a2" ] } ], "mendeley" : { "formattedCitation" : "(Court of Justice of the European Union, 2016)", "plainTextFormattedCitation" : "(Court of Justice of the European Union, 2016)", "previouslyFormattedCitation" : "(Court of Justice of the European Union, 2016)" }, "properties" : {  }, "schema" : "https://github.com/citation-style-language/schema/raw/master/csl-citation.json" }</w:instrText>
      </w:r>
      <w:r w:rsidRPr="00532C5B">
        <w:rPr>
          <w:rFonts w:cstheme="minorHAnsi"/>
        </w:rPr>
        <w:fldChar w:fldCharType="separate"/>
      </w:r>
      <w:r w:rsidRPr="00532C5B">
        <w:rPr>
          <w:rFonts w:cstheme="minorHAnsi"/>
          <w:noProof/>
        </w:rPr>
        <w:t>(Court of Justice of the European Union, 2016)</w:t>
      </w:r>
      <w:r w:rsidRPr="00532C5B">
        <w:rPr>
          <w:rFonts w:cstheme="minorHAnsi"/>
        </w:rPr>
        <w:fldChar w:fldCharType="end"/>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(iv) Although the initial design of the country’s support scheme was generally effective in generating a fast expansion of renewables capacity, due to its extremely generous tariff scheme far above market prices</w:t>
      </w:r>
      <w:r w:rsidRPr="00532C5B">
        <w:rPr>
          <w:rStyle w:val="FootnoteReference"/>
          <w:rFonts w:cstheme="minorHAnsi"/>
        </w:rPr>
        <w:footnoteReference w:id="28"/>
      </w:r>
      <w:r w:rsidRPr="00532C5B">
        <w:rPr>
          <w:rFonts w:cstheme="minorHAnsi"/>
        </w:rPr>
        <w:t xml:space="preserve"> the system was neither efficient nor responsive as it “did not provide adequate FIT buffers and did not account for market, social and economic risks”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"locator" : "71", "uris" : [ "http://www.mendeley.com/documents/?uuid=c42efdb6-f94d-437f-b939-9412d7a9a470" ] } ], "mendeley" : { "formattedCitation" : "(Center for the Study of Democracy, 2014, p.71)", "plainTextFormattedCitation" : "(Center for the Study of Democracy, 2014, p.71)", "previouslyFormattedCitation" : "(Center for the Study of Democracy, 2014, p.71)"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(Center for the </w:t>
      </w:r>
      <w:r w:rsidRPr="00532C5B">
        <w:rPr>
          <w:rFonts w:cstheme="minorHAnsi"/>
          <w:noProof/>
        </w:rPr>
        <w:lastRenderedPageBreak/>
        <w:t>Study of Democracy, 2014, p.71)</w:t>
      </w:r>
      <w:r w:rsidRPr="00532C5B">
        <w:rPr>
          <w:rFonts w:cstheme="minorHAnsi"/>
        </w:rPr>
        <w:fldChar w:fldCharType="end"/>
      </w:r>
      <w:r w:rsidRPr="00532C5B">
        <w:rPr>
          <w:rFonts w:cstheme="minorHAnsi"/>
        </w:rPr>
        <w:t xml:space="preserve">. Crucially, the lack of a clear long-term strategy provides opportunities for interest groups to lobby decision-makers and exert corruptive pressure </w:t>
      </w:r>
      <w:r w:rsidRPr="00532C5B">
        <w:rPr>
          <w:rFonts w:cstheme="minorHAnsi"/>
        </w:rPr>
        <w:fldChar w:fldCharType="begin" w:fldLock="1"/>
      </w:r>
      <w:r w:rsidR="00312FD5">
        <w:rPr>
          <w:rFonts w:cstheme="minorHAnsi"/>
        </w:rPr>
        <w:instrText>ADDIN CSL_CITATION { "citationItems" : [ { "id" : "ITEM-1", "itemData" : { "author" : [ { "dropping-particle" : "", "family" : "Mantcheva", "given" : "Denitza", "non-dropping-particle" : "", "parse-names" : false, "suffix" : "" }, { "dropping-particle" : "", "family" : "Karaboev", "given" : "Stefan", "non-dropping-particle" : "", "parse-names" : false, "suffix" : "" }, { "dropping-particle" : "", "family" : "Stefanov", "given" : "Ruslan", "non-dropping-particle" : "", "parse-names" : false, "suffix" : "" } ], "container-title" : "Friedrich Ebert Stiftung", "id" : "ITEM-1", "issue" : "November", "issued" : { "date-parts" : [ [ "2012" ] ] }, "page" : "1-24", "title" : "Resource Efficiency Gains and Green Growth Perspectives in Bulgaria", "type" : "article-journal" }, "locator" : "7", "uris" : [ "http://www.mendeley.com/documents/?uuid=815ee41f-3d81-4c6e-96c4-7bd27172164d" ] } ], "mendeley" : { "formattedCitation" : "(Mantcheva et al., 2012, p.7)", "plainTextFormattedCitation" : "(Mantcheva et al., 2012, p.7)", "previouslyFormattedCitation" : "(Mantcheva et al., 2012, p.7)" }, "properties" : {  }, "schema" : "https://github.com/citation-style-language/schema/raw/master/csl-citation.json" }</w:instrText>
      </w:r>
      <w:r w:rsidRPr="00532C5B">
        <w:rPr>
          <w:rFonts w:cstheme="minorHAnsi"/>
        </w:rPr>
        <w:fldChar w:fldCharType="separate"/>
      </w:r>
      <w:r w:rsidRPr="00532C5B">
        <w:rPr>
          <w:rFonts w:cstheme="minorHAnsi"/>
          <w:noProof/>
        </w:rPr>
        <w:t xml:space="preserve">(Mantcheva </w:t>
      </w:r>
      <w:r w:rsidRPr="00532C5B">
        <w:rPr>
          <w:rFonts w:cstheme="minorHAnsi"/>
          <w:i/>
          <w:noProof/>
        </w:rPr>
        <w:t>et al.</w:t>
      </w:r>
      <w:r w:rsidRPr="00532C5B">
        <w:rPr>
          <w:rFonts w:cstheme="minorHAnsi"/>
          <w:noProof/>
        </w:rPr>
        <w:t>, 2012, p.7)</w:t>
      </w:r>
      <w:r w:rsidRPr="00532C5B">
        <w:rPr>
          <w:rFonts w:cstheme="minorHAnsi"/>
        </w:rPr>
        <w:fldChar w:fldCharType="end"/>
      </w:r>
      <w:r w:rsidRPr="00532C5B">
        <w:rPr>
          <w:rFonts w:cstheme="minorHAnsi"/>
        </w:rPr>
        <w:t>. In fact, the 2020 targets were set to be achieved steadily over a period of time to incentivise technological and therefore cost advancements in renewable energy sources. A more gradual growth trajectory of renewables would have allowed for costs to be distributed over a longer time, including grid expansion costs. Instead, in the case of Bulgaria, the costs were carried by the state-owned companies in the first place and now will be transferred to the taxpayers to pay the companies’ debt.</w:t>
      </w:r>
      <w:r w:rsidRPr="00532C5B">
        <w:rPr>
          <w:rStyle w:val="FootnoteReference"/>
          <w:rFonts w:cstheme="minorHAnsi"/>
        </w:rPr>
        <w:footnoteReference w:id="29"/>
      </w:r>
      <w:r w:rsidRPr="00532C5B">
        <w:rPr>
          <w:rFonts w:cstheme="minorHAnsi"/>
        </w:rPr>
        <w:t xml:space="preserve"> </w:t>
      </w:r>
      <w:r w:rsidR="00637B9E" w:rsidRPr="00532C5B">
        <w:rPr>
          <w:rFonts w:cstheme="minorHAnsi"/>
        </w:rPr>
        <w:t>As such, due to the corrupted and mismanaged policy framework for renewables, households currently pay a significantly higher than necessary share of the costs of the renewables transition.</w:t>
      </w:r>
      <w:r w:rsidR="00637B9E">
        <w:rPr>
          <w:rFonts w:cstheme="minorHAnsi"/>
        </w:rPr>
        <w:t xml:space="preserve"> </w:t>
      </w:r>
      <w:r w:rsidRPr="00532C5B">
        <w:rPr>
          <w:rFonts w:cstheme="minorHAnsi"/>
        </w:rPr>
        <w:t>These additional costs burden economically weaker households significantly more as energy poverty is already a major issue in the country.</w:t>
      </w:r>
      <w:r w:rsidR="00637B9E" w:rsidRPr="00637B9E">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 xml:space="preserve">Furthermore, the system regulating the preferential prices repeatedly proved inadequate to foresee and respond to market dynamics. The problematic regulatory framework was complemented with a general incapacity and incompetence of administrative bodies. For example, the 2011 ERSA delegated the development of procedures to implement renewables projects to local governments, rather than providing a national framework to simplify processes </w:t>
      </w:r>
      <w:r w:rsidRPr="00532C5B">
        <w:rPr>
          <w:rFonts w:cstheme="minorHAnsi"/>
        </w:rPr>
        <w:fldChar w:fldCharType="begin" w:fldLock="1"/>
      </w:r>
      <w:r w:rsidR="00312FD5">
        <w:rPr>
          <w:rFonts w:cstheme="minorHAnsi"/>
        </w:rPr>
        <w:instrText>ADDIN CSL_CITATION { "citationItems" : [ { "id" : "ITEM-1", "itemData" : { "author" : [ { "dropping-particle" : "", "family" : "Winkel", "given" : "Thomas", "non-dropping-particle" : "", "parse-names" : false, "suffix" : "" }, { "dropping-particle" : "", "family" : "Ragwitz", "given" : "Mario", "non-dropping-particle" : "", "parse-names" : false, "suffix" : "" }, { "dropping-particle" : "", "family" : "Resch", "given" : "Gustav", "non-dropping-particle" : "", "parse-names" : false, "suffix" : "" }, { "dropping-particle" : "", "family" : "Konstantinaviciute", "given" : "Inga", "non-dropping-particle" : "", "parse-names" : false, "suffix" : "" } ], "container-title" : "Ecofys", "id" : "ITEM-1", "issue" : "November", "issued" : { "date-parts" : [ [ "2011" ] ] }, "page" : "318", "title" : "Renewable Energy Policy Country Profiles", "type" : "article-journal" }, "uris" : [ "http://www.mendeley.com/documents/?uuid=364555ee-bc58-4e03-b1a0-a25fe901bc9c" ] } ], "mendeley" : { "formattedCitation" : "(Winkel et al., 2011)", "plainTextFormattedCitation" : "(Winkel et al., 2011)", "previouslyFormattedCitation" : "(Winkel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(Winkel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 xml:space="preserve">.  Municipal administrations, however, lacked the expertise and staff to address these tasks adequately </w:t>
      </w:r>
      <w:r w:rsidRPr="00532C5B">
        <w:rPr>
          <w:rFonts w:cstheme="minorHAnsi"/>
        </w:rPr>
        <w:fldChar w:fldCharType="begin" w:fldLock="1"/>
      </w:r>
      <w:r w:rsidR="00312FD5">
        <w:rPr>
          <w:rFonts w:cstheme="minorHAnsi"/>
        </w:rPr>
        <w:instrText>ADDIN CSL_CITATION { "citationItems" : [ { "id" : "ITEM-1", "itemData" : { "author" : [ { "dropping-particle" : "", "family" : "Mantcheva", "given" : "Denitza", "non-dropping-particle" : "", "parse-names" : false, "suffix" : "" }, { "dropping-particle" : "", "family" : "Karaboev", "given" : "Stefan", "non-dropping-particle" : "", "parse-names" : false, "suffix" : "" }, { "dropping-particle" : "", "family" : "Stefanov", "given" : "Ruslan", "non-dropping-particle" : "", "parse-names" : false, "suffix" : "" } ], "container-title" : "Friedrich Ebert Stiftung", "id" : "ITEM-1", "issue" : "November", "issued" : { "date-parts" : [ [ "2012" ] ] }, "page" : "1-24", "title" : "Resource Efficiency Gains and Green Growth Perspectives in Bulgaria", "type" : "article-journal" }, "uris" : [ "http://www.mendeley.com/documents/?uuid=815ee41f-3d81-4c6e-96c4-7bd27172164d" ] } ], "mendeley" : { "formattedCitation" : "(Mantcheva et al., 2012)", "plainTextFormattedCitation" : "(Mantcheva et al., 2012)", "previouslyFormattedCitation" : "(Mantcheva et al., 2012)" }, "properties" : {  }, "schema" : "https://github.com/citation-style-language/schema/raw/master/csl-citation.json" }</w:instrText>
      </w:r>
      <w:r w:rsidRPr="00532C5B">
        <w:rPr>
          <w:rFonts w:cstheme="minorHAnsi"/>
        </w:rPr>
        <w:fldChar w:fldCharType="separate"/>
      </w:r>
      <w:r w:rsidRPr="00532C5B">
        <w:rPr>
          <w:rFonts w:cstheme="minorHAnsi"/>
          <w:noProof/>
        </w:rPr>
        <w:t xml:space="preserve">(Mantcheva </w:t>
      </w:r>
      <w:r w:rsidRPr="00532C5B">
        <w:rPr>
          <w:rFonts w:cstheme="minorHAnsi"/>
          <w:i/>
          <w:noProof/>
        </w:rPr>
        <w:t>et al.</w:t>
      </w:r>
      <w:r w:rsidRPr="00532C5B">
        <w:rPr>
          <w:rFonts w:cstheme="minorHAnsi"/>
          <w:noProof/>
        </w:rPr>
        <w:t>, 2012)</w:t>
      </w:r>
      <w:r w:rsidRPr="00532C5B">
        <w:rPr>
          <w:rFonts w:cstheme="minorHAnsi"/>
        </w:rPr>
        <w:fldChar w:fldCharType="end"/>
      </w:r>
      <w:r w:rsidRPr="00532C5B">
        <w:rPr>
          <w:rFonts w:cstheme="minorHAnsi"/>
        </w:rPr>
        <w:t>. As a result, the application of a private person for a rooftop solar installation requires a very similar amount of paperwork as for a developer to apply for the construction a nuclear power station as they are governed by the same legislation.</w:t>
      </w:r>
      <w:r w:rsidRPr="00532C5B">
        <w:rPr>
          <w:rStyle w:val="FootnoteReference"/>
          <w:rFonts w:cstheme="minorHAnsi"/>
        </w:rPr>
        <w:footnoteReference w:id="30"/>
      </w:r>
    </w:p>
    <w:p w:rsidR="000713A2" w:rsidRPr="00532C5B" w:rsidRDefault="000713A2" w:rsidP="00312FD5">
      <w:pPr>
        <w:spacing w:after="0"/>
        <w:ind w:firstLine="720"/>
        <w:contextualSpacing/>
        <w:rPr>
          <w:rFonts w:cstheme="minorHAnsi"/>
          <w:lang w:eastAsia="en-GB"/>
        </w:rPr>
      </w:pPr>
    </w:p>
    <w:p w:rsidR="000713A2" w:rsidRPr="00532C5B" w:rsidRDefault="000713A2" w:rsidP="000A0952">
      <w:pPr>
        <w:pStyle w:val="Heading3"/>
        <w:numPr>
          <w:ilvl w:val="2"/>
          <w:numId w:val="3"/>
        </w:numPr>
        <w:spacing w:before="0" w:after="0"/>
        <w:ind w:left="0" w:firstLine="142"/>
        <w:contextualSpacing/>
        <w:rPr>
          <w:rFonts w:asciiTheme="minorHAnsi" w:hAnsiTheme="minorHAnsi" w:cstheme="minorHAnsi"/>
          <w:lang w:eastAsia="en-GB"/>
        </w:rPr>
      </w:pPr>
      <w:bookmarkStart w:id="6" w:name="_Toc496525276"/>
      <w:r w:rsidRPr="00532C5B">
        <w:rPr>
          <w:rFonts w:asciiTheme="minorHAnsi" w:hAnsiTheme="minorHAnsi" w:cstheme="minorHAnsi"/>
          <w:lang w:eastAsia="en-GB"/>
        </w:rPr>
        <w:t>Availability, Sustainability and Affordability</w:t>
      </w:r>
      <w:bookmarkEnd w:id="6"/>
    </w:p>
    <w:p w:rsidR="000713A2" w:rsidRPr="00532C5B" w:rsidRDefault="000713A2" w:rsidP="00312FD5">
      <w:pPr>
        <w:spacing w:after="0"/>
        <w:contextualSpacing/>
        <w:rPr>
          <w:rFonts w:cstheme="minorHAnsi"/>
          <w:lang w:eastAsia="en-GB"/>
        </w:rPr>
      </w:pPr>
      <w:r w:rsidRPr="00532C5B">
        <w:rPr>
          <w:rFonts w:cstheme="minorHAnsi"/>
        </w:rPr>
        <w:t>Bulgaria’s renewable energy transition provides a mixed picture in terms of distributive justice. In this sub-section, we determine the energy justice principles in light of (</w:t>
      </w:r>
      <w:proofErr w:type="spellStart"/>
      <w:r w:rsidRPr="00532C5B">
        <w:rPr>
          <w:rFonts w:cstheme="minorHAnsi"/>
        </w:rPr>
        <w:t>i</w:t>
      </w:r>
      <w:proofErr w:type="spellEnd"/>
      <w:r w:rsidRPr="00532C5B">
        <w:rPr>
          <w:rFonts w:cstheme="minorHAnsi"/>
        </w:rPr>
        <w:t xml:space="preserve">) overall energy dependence </w:t>
      </w:r>
      <w:r w:rsidRPr="00532C5B">
        <w:rPr>
          <w:rFonts w:cstheme="minorHAnsi"/>
        </w:rPr>
        <w:lastRenderedPageBreak/>
        <w:t xml:space="preserve">levels, (ii) stability of electricity supply, (iii) sustainability improvements in terms of emissions and energy intensity, and </w:t>
      </w:r>
      <w:proofErr w:type="gramStart"/>
      <w:r w:rsidRPr="00532C5B">
        <w:rPr>
          <w:rFonts w:cstheme="minorHAnsi"/>
        </w:rPr>
        <w:t>(iv) actual</w:t>
      </w:r>
      <w:proofErr w:type="gramEnd"/>
      <w:r w:rsidRPr="00532C5B">
        <w:rPr>
          <w:rFonts w:cstheme="minorHAnsi"/>
        </w:rPr>
        <w:t xml:space="preserve"> electricity costs and price stability. </w:t>
      </w:r>
    </w:p>
    <w:p w:rsidR="000713A2" w:rsidRPr="00532C5B" w:rsidRDefault="000713A2" w:rsidP="00312FD5">
      <w:pPr>
        <w:spacing w:after="0"/>
        <w:ind w:firstLine="720"/>
        <w:contextualSpacing/>
        <w:rPr>
          <w:rFonts w:cstheme="minorHAnsi"/>
        </w:rPr>
      </w:pPr>
      <w:r w:rsidRPr="00532C5B">
        <w:rPr>
          <w:rFonts w:cstheme="minorHAnsi"/>
          <w:lang w:eastAsia="en-GB"/>
        </w:rPr>
        <w:t>(</w:t>
      </w:r>
      <w:proofErr w:type="spellStart"/>
      <w:r w:rsidRPr="00532C5B">
        <w:rPr>
          <w:rFonts w:cstheme="minorHAnsi"/>
          <w:lang w:eastAsia="en-GB"/>
        </w:rPr>
        <w:t>i</w:t>
      </w:r>
      <w:proofErr w:type="spellEnd"/>
      <w:r w:rsidRPr="00532C5B">
        <w:rPr>
          <w:rFonts w:cstheme="minorHAnsi"/>
          <w:lang w:eastAsia="en-GB"/>
        </w:rPr>
        <w:t xml:space="preserve">) </w:t>
      </w:r>
      <w:r w:rsidRPr="00532C5B">
        <w:rPr>
          <w:rFonts w:cstheme="minorHAnsi"/>
        </w:rPr>
        <w:t xml:space="preserve">Through the expansion of renewable energy capacities, Bulgaria’s energy market benefitted from an increasing diversification of its electricity mix. While the country’s largest renewable energy source, hydropower, increased marginally from a capacity of over 2.8GW in 2006 to 3.2GW in 2014, solar, wind and to a minor degree biomass capacity grew significantly. Wind power capacity rose from 27MW in 2006 to 690MW in 2014, while solar photovoltaics power only emerged in 2009 with a mere 2MW installed capacity, yet increased to over 1.03GW by 2014 </w:t>
      </w:r>
      <w:r w:rsidRPr="00532C5B">
        <w:rPr>
          <w:rFonts w:cstheme="minorHAnsi"/>
        </w:rPr>
        <w:fldChar w:fldCharType="begin" w:fldLock="1"/>
      </w:r>
      <w:r w:rsidR="00312FD5">
        <w:rPr>
          <w:rFonts w:cstheme="minorHAnsi"/>
        </w:rPr>
        <w:instrText>ADDIN CSL_CITATION { "citationItems" : [ { "id" : "ITEM-1", "itemData" : { "DOI" : "10.1016/j.renene.2014.09.059", "ISBN" : "9781467350747", "author" : [ { "dropping-particle" : "", "family" : "D'Ortigue", "given" : "Lavagne", "non-dropping-particle" : "", "parse-names" : false, "suffix" : "" }, { "dropping-particle" : "", "family" : "Whiteman", "given" : "Adrian", "non-dropping-particle" : "", "parse-names" : false, "suffix" : "" }, { "dropping-particle" : "", "family" : "Elsayed", "given" : "Sarnah", "non-dropping-particle" : "", "parse-names" : false, "suffix" : "" } ], "container-title" : "IRENA", "id" : "ITEM-1", "issue" : "0", "issued" : { "date-parts" : [ [ "2015" ] ] }, "title" : "Renewable Energy Capacity Statistics 2015", "type" : "article-journal" }, "uris" : [ "http://www.mendeley.com/documents/?uuid=2a547d46-6d68-4b16-b810-141aa5870991" ] } ], "mendeley" : { "formattedCitation" : "(D\u2019Ortigue et al., 2015)", "plainTextFormattedCitation" : "(D\u2019Ortigue et al., 2015)", "previouslyFormattedCitation" : "(D\u2019Ortigue et al., 2015)" }, "properties" : {  }, "schema" : "https://github.com/citation-style-language/schema/raw/master/csl-citation.json" }</w:instrText>
      </w:r>
      <w:r w:rsidRPr="00532C5B">
        <w:rPr>
          <w:rFonts w:cstheme="minorHAnsi"/>
        </w:rPr>
        <w:fldChar w:fldCharType="separate"/>
      </w:r>
      <w:r w:rsidRPr="00532C5B">
        <w:rPr>
          <w:rFonts w:cstheme="minorHAnsi"/>
          <w:noProof/>
        </w:rPr>
        <w:t xml:space="preserve">(D’Ortigue </w:t>
      </w:r>
      <w:r w:rsidRPr="00532C5B">
        <w:rPr>
          <w:rFonts w:cstheme="minorHAnsi"/>
          <w:i/>
          <w:noProof/>
        </w:rPr>
        <w:t>et al.</w:t>
      </w:r>
      <w:r w:rsidRPr="00532C5B">
        <w:rPr>
          <w:rFonts w:cstheme="minorHAnsi"/>
          <w:noProof/>
        </w:rPr>
        <w:t>, 2015)</w:t>
      </w:r>
      <w:r w:rsidRPr="00532C5B">
        <w:rPr>
          <w:rFonts w:cstheme="minorHAnsi"/>
        </w:rPr>
        <w:fldChar w:fldCharType="end"/>
      </w:r>
      <w:r w:rsidRPr="00532C5B">
        <w:rPr>
          <w:rFonts w:cstheme="minorHAnsi"/>
        </w:rPr>
        <w:t xml:space="preserve">. Biomass plays only a minor role in the overall mix, increasing from 6MW in 2006 to 52MW in 2014 </w:t>
      </w:r>
      <w:r w:rsidRPr="00532C5B">
        <w:rPr>
          <w:rFonts w:cstheme="minorHAnsi"/>
        </w:rPr>
        <w:fldChar w:fldCharType="begin" w:fldLock="1"/>
      </w:r>
      <w:r w:rsidR="00312FD5">
        <w:rPr>
          <w:rFonts w:cstheme="minorHAnsi"/>
        </w:rPr>
        <w:instrText>ADDIN CSL_CITATION { "citationItems" : [ { "id" : "ITEM-1", "itemData" : { "DOI" : "10.1016/j.renene.2014.09.059", "ISBN" : "9781467350747", "author" : [ { "dropping-particle" : "", "family" : "D'Ortigue", "given" : "Lavagne", "non-dropping-particle" : "", "parse-names" : false, "suffix" : "" }, { "dropping-particle" : "", "family" : "Whiteman", "given" : "Adrian", "non-dropping-particle" : "", "parse-names" : false, "suffix" : "" }, { "dropping-particle" : "", "family" : "Elsayed", "given" : "Sarnah", "non-dropping-particle" : "", "parse-names" : false, "suffix" : "" } ], "container-title" : "IRENA", "id" : "ITEM-1", "issue" : "0", "issued" : { "date-parts" : [ [ "2015" ] ] }, "title" : "Renewable Energy Capacity Statistics 2015", "type" : "article-journal" }, "uris" : [ "http://www.mendeley.com/documents/?uuid=2a547d46-6d68-4b16-b810-141aa5870991" ] } ], "mendeley" : { "formattedCitation" : "(D\u2019Ortigue et al., 2015)", "plainTextFormattedCitation" : "(D\u2019Ortigue et al., 2015)", "previouslyFormattedCitation" : "(D\u2019Ortigue et al., 2015)" }, "properties" : {  }, "schema" : "https://github.com/citation-style-language/schema/raw/master/csl-citation.json" }</w:instrText>
      </w:r>
      <w:r w:rsidRPr="00532C5B">
        <w:rPr>
          <w:rFonts w:cstheme="minorHAnsi"/>
        </w:rPr>
        <w:fldChar w:fldCharType="separate"/>
      </w:r>
      <w:r w:rsidRPr="00532C5B">
        <w:rPr>
          <w:rFonts w:cstheme="minorHAnsi"/>
          <w:noProof/>
        </w:rPr>
        <w:t xml:space="preserve">(D’Ortigue </w:t>
      </w:r>
      <w:r w:rsidRPr="00532C5B">
        <w:rPr>
          <w:rFonts w:cstheme="minorHAnsi"/>
          <w:i/>
          <w:noProof/>
        </w:rPr>
        <w:t>et al.</w:t>
      </w:r>
      <w:r w:rsidRPr="00532C5B">
        <w:rPr>
          <w:rFonts w:cstheme="minorHAnsi"/>
          <w:noProof/>
        </w:rPr>
        <w:t>, 2015)</w:t>
      </w:r>
      <w:r w:rsidRPr="00532C5B">
        <w:rPr>
          <w:rFonts w:cstheme="minorHAnsi"/>
        </w:rPr>
        <w:fldChar w:fldCharType="end"/>
      </w:r>
      <w:r w:rsidRPr="00532C5B">
        <w:rPr>
          <w:rFonts w:cstheme="minorHAnsi"/>
        </w:rPr>
        <w:t xml:space="preserve">. As such, wind and solar power have pushed the overall renewables share in total electricity generation from  9.37% of in 2006 to over 19.1% in 2015 </w:t>
      </w:r>
      <w:r w:rsidRPr="00532C5B">
        <w:rPr>
          <w:rFonts w:cstheme="minorHAnsi"/>
        </w:rPr>
        <w:fldChar w:fldCharType="begin" w:fldLock="1"/>
      </w:r>
      <w:r w:rsidR="00312FD5">
        <w:rPr>
          <w:rFonts w:cstheme="minorHAnsi"/>
        </w:rPr>
        <w:instrText>ADDIN CSL_CITATION { "citationItems" : [ { "id" : "ITEM-1", "itemData" : { "URL" : "http://ec.europa.eu/eurostat/de", "accessed" : { "date-parts" : [ [ "2017", "9", "20" ] ] }, "author" : [ { "dropping-particle" : "", "family" : "Eurostat", "given" : "", "non-dropping-particle" : "", "parse-names" : false, "suffix" : "" } ], "id" : "ITEM-1", "issued" : { "date-parts" : [ [ "2017" ] ] }, "title" : "Eurostat", "type" : "webpage" }, "uris" : [ "http://www.mendeley.com/documents/?uuid=fc6970d0-5928-464b-98ae-d8a4d39a5909" ] } ], "mendeley" : { "formattedCitation" : "(Eurostat, 2017)", "plainTextFormattedCitation" : "(Eurostat, 2017)", "previouslyFormattedCitation" : "(Eurostat, 2017)" }, "properties" : {  }, "schema" : "https://github.com/citation-style-language/schema/raw/master/csl-citation.json" }</w:instrText>
      </w:r>
      <w:r w:rsidRPr="00532C5B">
        <w:rPr>
          <w:rFonts w:cstheme="minorHAnsi"/>
        </w:rPr>
        <w:fldChar w:fldCharType="separate"/>
      </w:r>
      <w:r w:rsidRPr="00532C5B">
        <w:rPr>
          <w:rFonts w:cstheme="minorHAnsi"/>
          <w:noProof/>
        </w:rPr>
        <w:t>(Eurostat, 2017)</w:t>
      </w:r>
      <w:r w:rsidRPr="00532C5B">
        <w:rPr>
          <w:rFonts w:cstheme="minorHAnsi"/>
        </w:rPr>
        <w:fldChar w:fldCharType="end"/>
      </w:r>
      <w:r w:rsidRPr="00532C5B">
        <w:rPr>
          <w:rFonts w:cstheme="minorHAnsi"/>
        </w:rPr>
        <w:t>.</w:t>
      </w:r>
    </w:p>
    <w:p w:rsidR="000713A2" w:rsidRPr="00532C5B" w:rsidRDefault="000713A2" w:rsidP="00312FD5">
      <w:pPr>
        <w:spacing w:after="0"/>
        <w:contextualSpacing/>
        <w:rPr>
          <w:rFonts w:cstheme="minorHAnsi"/>
        </w:rPr>
      </w:pPr>
      <w:r w:rsidRPr="00532C5B">
        <w:rPr>
          <w:rFonts w:cstheme="minorHAnsi"/>
        </w:rPr>
        <w:tab/>
        <w:t xml:space="preserve">Since renewables are a domestic source of energy, their expansion has positive effects on Bulgaria’s import dependence. While in 2008, about 52% of energy was imported, this rate dropped to just above 35% in 2015, the fifth lowest score across the EU-28 </w:t>
      </w:r>
      <w:r w:rsidRPr="00532C5B">
        <w:rPr>
          <w:rFonts w:cstheme="minorHAnsi"/>
        </w:rPr>
        <w:fldChar w:fldCharType="begin" w:fldLock="1"/>
      </w:r>
      <w:r w:rsidR="00312FD5">
        <w:rPr>
          <w:rFonts w:cstheme="minorHAnsi"/>
        </w:rPr>
        <w:instrText>ADDIN CSL_CITATION { "citationItems" : [ { "id" : "ITEM-1", "itemData" : { "URL" : "http://ec.europa.eu/eurostat/de", "accessed" : { "date-parts" : [ [ "2017", "9", "20" ] ] }, "author" : [ { "dropping-particle" : "", "family" : "Eurostat", "given" : "", "non-dropping-particle" : "", "parse-names" : false, "suffix" : "" } ], "id" : "ITEM-1", "issued" : { "date-parts" : [ [ "2017" ] ] }, "title" : "Eurostat", "type" : "webpage" }, "uris" : [ "http://www.mendeley.com/documents/?uuid=fc6970d0-5928-464b-98ae-d8a4d39a5909" ] } ], "mendeley" : { "formattedCitation" : "(Eurostat, 2017)", "plainTextFormattedCitation" : "(Eurostat, 2017)", "previouslyFormattedCitation" : "(Eurostat, 2017)" }, "properties" : {  }, "schema" : "https://github.com/citation-style-language/schema/raw/master/csl-citation.json" }</w:instrText>
      </w:r>
      <w:r w:rsidRPr="00532C5B">
        <w:rPr>
          <w:rFonts w:cstheme="minorHAnsi"/>
        </w:rPr>
        <w:fldChar w:fldCharType="separate"/>
      </w:r>
      <w:r w:rsidRPr="00532C5B">
        <w:rPr>
          <w:rFonts w:cstheme="minorHAnsi"/>
          <w:noProof/>
        </w:rPr>
        <w:t>(Eurostat, 2017)</w:t>
      </w:r>
      <w:r w:rsidRPr="00532C5B">
        <w:rPr>
          <w:rFonts w:cstheme="minorHAnsi"/>
        </w:rPr>
        <w:fldChar w:fldCharType="end"/>
      </w:r>
      <w:r w:rsidRPr="00532C5B">
        <w:rPr>
          <w:rFonts w:cstheme="minorHAnsi"/>
        </w:rPr>
        <w:t xml:space="preserve">. It is important to note that the EU’s energy dependence level considers nuclear energy production as indigenous, ignoring the import of nuclear fuels </w:t>
      </w:r>
      <w:r w:rsidRPr="00532C5B">
        <w:rPr>
          <w:rFonts w:cstheme="minorHAnsi"/>
        </w:rPr>
        <w:fldChar w:fldCharType="begin" w:fldLock="1"/>
      </w:r>
      <w:r w:rsidR="00312FD5">
        <w:rPr>
          <w:rFonts w:cstheme="minorHAnsi"/>
        </w:rPr>
        <w:instrText>ADDIN CSL_CITATION { "citationItems" : [ { "id" : "ITEM-1", "itemData" : { "author" : [ { "dropping-particle" : "", "family" : "Government of Bulgaria", "given" : "", "non-dropping-particle" : "", "parse-names" : false, "suffix" : "" } ], "id" : "ITEM-1", "issue" : "November", "issued" : { "date-parts" : [ [ "2008" ] ] }, "title" : "Bulgarian Energy Strategy by 2020. Draft Version", "type" : "report" }, "uris" : [ "http://www.mendeley.com/documents/?uuid=0ca01268-47eb-4b5c-bf59-3d5f816bb7c6" ] } ], "mendeley" : { "formattedCitation" : "(Government of Bulgaria, 2008)", "plainTextFormattedCitation" : "(Government of Bulgaria, 2008)", "previouslyFormattedCitation" : "(Government of Bulgaria, 2008)" }, "properties" : {  }, "schema" : "https://github.com/citation-style-language/schema/raw/master/csl-citation.json" }</w:instrText>
      </w:r>
      <w:r w:rsidRPr="00532C5B">
        <w:rPr>
          <w:rFonts w:cstheme="minorHAnsi"/>
        </w:rPr>
        <w:fldChar w:fldCharType="separate"/>
      </w:r>
      <w:r w:rsidRPr="00532C5B">
        <w:rPr>
          <w:rFonts w:cstheme="minorHAnsi"/>
          <w:noProof/>
        </w:rPr>
        <w:t>(Government of Bulgaria, 2008)</w:t>
      </w:r>
      <w:r w:rsidRPr="00532C5B">
        <w:rPr>
          <w:rFonts w:cstheme="minorHAnsi"/>
        </w:rPr>
        <w:fldChar w:fldCharType="end"/>
      </w:r>
      <w:r w:rsidRPr="00532C5B">
        <w:rPr>
          <w:rFonts w:cstheme="minorHAnsi"/>
        </w:rPr>
        <w:t xml:space="preserve">. As the import dependence of feedstock for nuclear power generation – the second largest source for total electricity generation – is 100%, in the past the Government of Bulgaria considered the actual import dependence about 25% higher than the rate provided by Eurostat </w:t>
      </w:r>
      <w:r w:rsidRPr="00532C5B">
        <w:rPr>
          <w:rFonts w:cstheme="minorHAnsi"/>
        </w:rPr>
        <w:fldChar w:fldCharType="begin" w:fldLock="1"/>
      </w:r>
      <w:r w:rsidR="00312FD5">
        <w:rPr>
          <w:rFonts w:cstheme="minorHAnsi"/>
        </w:rPr>
        <w:instrText>ADDIN CSL_CITATION { "citationItems" : [ { "id" : "ITEM-1", "itemData" : { "author" : [ { "dropping-particle" : "", "family" : "Government of Bulgaria", "given" : "", "non-dropping-particle" : "", "parse-names" : false, "suffix" : "" } ], "id" : "ITEM-1", "issue" : "June", "issued" : { "date-parts" : [ [ "2011" ] ] }, "title" : "Energy Strategy of the Republic of Bulgaria till 2020. For Reliable, Efficient and Cleaner Energy", "type" : "report" }, "uris" : [ "http://www.mendeley.com/documents/?uuid=6f2bd017-95a7-4cbd-9b4c-453ac6bebba9" ] } ], "mendeley" : { "formattedCitation" : "(Government of Bulgaria, 2011b)", "plainTextFormattedCitation" : "(Government of Bulgaria, 2011b)", "previouslyFormattedCitation" : "(Government of Bulgaria, 2011b)" }, "properties" : {  }, "schema" : "https://github.com/citation-style-language/schema/raw/master/csl-citation.json" }</w:instrText>
      </w:r>
      <w:r w:rsidRPr="00532C5B">
        <w:rPr>
          <w:rFonts w:cstheme="minorHAnsi"/>
        </w:rPr>
        <w:fldChar w:fldCharType="separate"/>
      </w:r>
      <w:r w:rsidRPr="00532C5B">
        <w:rPr>
          <w:rFonts w:cstheme="minorHAnsi"/>
          <w:noProof/>
        </w:rPr>
        <w:t>(Government of Bulgaria, 2011b)</w:t>
      </w:r>
      <w:r w:rsidRPr="00532C5B">
        <w:rPr>
          <w:rFonts w:cstheme="minorHAnsi"/>
        </w:rPr>
        <w:fldChar w:fldCharType="end"/>
      </w:r>
      <w:r w:rsidRPr="00532C5B">
        <w:rPr>
          <w:rFonts w:cstheme="minorHAnsi"/>
        </w:rPr>
        <w:t xml:space="preserve">. As all nuclear (and natural gas) imports originate from Russia, the EU Commission stressed that the lack of more diversified import sources remain a concern </w:t>
      </w:r>
      <w:r w:rsidRPr="00532C5B">
        <w:rPr>
          <w:rFonts w:cstheme="minorHAnsi"/>
        </w:rPr>
        <w:fldChar w:fldCharType="begin" w:fldLock="1"/>
      </w:r>
      <w:r w:rsidR="00312FD5">
        <w:rPr>
          <w:rFonts w:cstheme="minorHAnsi"/>
        </w:rPr>
        <w:instrText>ADDIN CSL_CITATION { "citationItems" : [ { "id" : "ITEM-1", "itemData" : { "DOI" : "10.2765/41957", "ISBN" : "9789279285592", "ISSN" : "1725-3209", "author" : [ { "dropping-particle" : "", "family" : "European Commission", "given" : "", "non-dropping-particle" : "", "parse-names" : false, "suffix" : "" } ], "container-title" : "General for Economic and Financial Affairs-Occasional Papers 145", "id" : "ITEM-1", "issue" : "April", "issued" : { "date-parts" : [ [ "2013" ] ] }, "number-of-pages" : "ISSN 1725-3209", "title" : "Member States\u2019 Energy Dependence: An Indicator-Based Assessment", "type" : "book" }, "uris" : [ "http://www.mendeley.com/documents/?uuid=a5b57539-853f-4a91-9905-1fad746b4951" ] } ], "mendeley" : { "formattedCitation" : "(European Commission, 2013)", "plainTextFormattedCitation" : "(European Commission, 2013)", "previouslyFormattedCitation" : "(European Commission, 2013)" }, "properties" : {  }, "schema" : "https://github.com/citation-style-language/schema/raw/master/csl-citation.json" }</w:instrText>
      </w:r>
      <w:r w:rsidRPr="00532C5B">
        <w:rPr>
          <w:rFonts w:cstheme="minorHAnsi"/>
        </w:rPr>
        <w:fldChar w:fldCharType="separate"/>
      </w:r>
      <w:r w:rsidRPr="00532C5B">
        <w:rPr>
          <w:rFonts w:cstheme="minorHAnsi"/>
          <w:noProof/>
        </w:rPr>
        <w:t>(European Commission, 2013)</w:t>
      </w:r>
      <w:r w:rsidRPr="00532C5B">
        <w:rPr>
          <w:rFonts w:cstheme="minorHAnsi"/>
        </w:rPr>
        <w:fldChar w:fldCharType="end"/>
      </w:r>
      <w:r w:rsidRPr="00532C5B">
        <w:rPr>
          <w:rFonts w:cstheme="minorHAnsi"/>
        </w:rPr>
        <w:t>.</w:t>
      </w:r>
    </w:p>
    <w:p w:rsidR="000713A2" w:rsidRPr="00532C5B" w:rsidRDefault="000713A2" w:rsidP="00312FD5">
      <w:pPr>
        <w:spacing w:after="0"/>
        <w:ind w:firstLine="720"/>
        <w:contextualSpacing/>
        <w:rPr>
          <w:rFonts w:cstheme="minorHAnsi"/>
        </w:rPr>
      </w:pPr>
      <w:r w:rsidRPr="00532C5B">
        <w:rPr>
          <w:rFonts w:cstheme="minorHAnsi"/>
        </w:rPr>
        <w:t xml:space="preserve">Furthermore, Bulgaria has so far missed the opportunity to address issues related to the large portion of particularly rural households that continue to heat with wood and uses oil generators as backup electricity sources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w:t>
      </w:r>
      <w:r w:rsidRPr="00532C5B">
        <w:rPr>
          <w:rFonts w:cstheme="minorHAnsi"/>
        </w:rPr>
        <w:fldChar w:fldCharType="end"/>
      </w:r>
      <w:r w:rsidRPr="00532C5B">
        <w:rPr>
          <w:rFonts w:cstheme="minorHAnsi"/>
        </w:rPr>
        <w:t xml:space="preserve">. Although solar PV installations could help overcome associated price and pollution (and therefore health) issues, </w:t>
      </w:r>
      <w:r w:rsidRPr="00532C5B">
        <w:rPr>
          <w:rFonts w:cstheme="minorHAnsi"/>
        </w:rPr>
        <w:lastRenderedPageBreak/>
        <w:t xml:space="preserve">growth in residential installations is sluggish – despite continuing government programmes – primarily due to the bureaucratic procedures necessary to develop solar PV installations. An analyst from the Bulgarian </w:t>
      </w:r>
      <w:proofErr w:type="spellStart"/>
      <w:r w:rsidRPr="00532C5B">
        <w:rPr>
          <w:rFonts w:cstheme="minorHAnsi"/>
        </w:rPr>
        <w:t>Center</w:t>
      </w:r>
      <w:proofErr w:type="spellEnd"/>
      <w:r w:rsidRPr="00532C5B">
        <w:rPr>
          <w:rFonts w:cstheme="minorHAnsi"/>
        </w:rPr>
        <w:t xml:space="preserve"> for the Study of Democracy also noted that a general scepticism in the population towards government programmes in light of the sense of corruption is preventing a greater interest in residential solar.</w:t>
      </w:r>
      <w:r w:rsidRPr="00532C5B">
        <w:rPr>
          <w:rStyle w:val="FootnoteReference"/>
          <w:rFonts w:cstheme="minorHAnsi"/>
        </w:rPr>
        <w:footnoteReference w:id="31"/>
      </w:r>
      <w:r w:rsidRPr="00532C5B">
        <w:rPr>
          <w:rFonts w:cstheme="minorHAnsi"/>
        </w:rPr>
        <w:t xml:space="preserve"> </w:t>
      </w:r>
    </w:p>
    <w:p w:rsidR="000713A2" w:rsidRPr="00532C5B" w:rsidRDefault="000713A2" w:rsidP="00312FD5">
      <w:pPr>
        <w:spacing w:after="0"/>
        <w:ind w:firstLine="720"/>
        <w:contextualSpacing/>
        <w:rPr>
          <w:rFonts w:cstheme="minorHAnsi"/>
        </w:rPr>
      </w:pPr>
      <w:r w:rsidRPr="00532C5B">
        <w:rPr>
          <w:rFonts w:cstheme="minorHAnsi"/>
        </w:rPr>
        <w:t xml:space="preserve">(ii) Bulgaria’s renewable energy transition further provided upgrades to the electricity grid as important expansions to the transmission network and additional substations were realised in 2012 </w:t>
      </w:r>
      <w:r w:rsidRPr="00532C5B">
        <w:rPr>
          <w:rFonts w:cstheme="minorHAnsi"/>
        </w:rPr>
        <w:fldChar w:fldCharType="begin" w:fldLock="1"/>
      </w:r>
      <w:r w:rsidR="00312FD5">
        <w:rPr>
          <w:rFonts w:cstheme="minorHAnsi"/>
        </w:rPr>
        <w:instrText>ADDIN CSL_CITATION { "citationItems" : [ { "id" : "ITEM-1", "itemData" : { "abstract" : "This report aims to assess the integration of renewable energy sources (RES-E) in the European grids and markets. Therefore, an extensive research of policies and legislation was conducted in order to analyse the current state of RES-E integration in each one of the 27 Member States. To ensure a balanced and accurate understanding of the situation in each country, 329 stakeholders from different sectors (government, industry, associations, system operators and so on) were contacted. Over 200 of them agreed to be interviewed and participated afterwards in consultation rounds. A detailed description of the methodology applied in this study can be found in Annex I on page 171. Regarding network integration, several issues to the integration of RES-E into the grid (\u201cbarriers\u201d) were identified as being the ones with the highest frequency of occurrence in the Member States. Namely, 40 were identified in the connection phase, 7 in the operation phase and 16 in the development phase. It is clear that each Member State has its specific national conditions that can lead to unique specific situations. Thus, to carry out an overall assessment of the main barriers to RES-E integration in Europe, a harmonisation and generalisation process of such situations has been necessary, and similar situations have been grouped in broader categories. The 27 national reports that served as a basis for the present conclusions provide a more detailed description of the national situation in each one of the Member States. The generalisation enabled the authors to address the barriers at the European level and thus to provide recommendations accordingly. Furthermore, it is of utmost importance to underline that the perspective considered in this report is mainly the European one. This means that the issues taken into largest consideration are mostly relevant at EU level because common to a significant number of Member States. Such issues may not automatically be also the most pressing ones in the Member States. For clarity, the most relevant issues at Member State level are listed in the grid connection, operation and development parts (pages 25, 49, and 59) and in the chapter dedicated to these issues on page 97. For a detailed assessment on them, reference should be made to the 27 national reports. Considering that it was not possible to include in this report all the details mentioned by stakeholders, a detailed assessment of the specific barriers in each one of the 27 Member Sta\u2026", "author" : [ { "dropping-particle" : "", "family" : "Jirous", "given" : "Filip", "non-dropping-particle" : "", "parse-names" : false, "suffix" : "" }, { "dropping-particle" : "", "family" : "Herling", "given" : "Jana", "non-dropping-particle" : "", "parse-names" : false, "suffix" : "" }, { "dropping-particle" : "", "family" : "Bauknecht", "given" : "Dierk", "non-dropping-particle" : "", "parse-names" : false, "suffix" : "" } ], "container-title" : "RES-INTEGRATION - Country report", "id" : "ITEM-1", "issue" : "December", "issued" : { "date-parts" : [ [ "2011" ] ] }, "number-of-pages" : "48", "title" : "Integration of electricity from renewables to the electricity grid and to the electricity market: Bulgaria", "type" : "report" }, "uris" : [ "http://www.mendeley.com/documents/?uuid=cb760d9b-243a-402b-a694-ceff4be32fb6" ] } ], "mendeley" : { "formattedCitation" : "(Jirous et al., 2011)", "plainTextFormattedCitation" : "(Jirous et al., 2011)", "previouslyFormattedCitation" : "(Jirous et al., 2011)" }, "properties" : {  }, "schema" : "https://github.com/citation-style-language/schema/raw/master/csl-citation.json" }</w:instrText>
      </w:r>
      <w:r w:rsidRPr="00532C5B">
        <w:rPr>
          <w:rFonts w:cstheme="minorHAnsi"/>
        </w:rPr>
        <w:fldChar w:fldCharType="separate"/>
      </w:r>
      <w:r w:rsidRPr="00532C5B">
        <w:rPr>
          <w:rFonts w:cstheme="minorHAnsi"/>
          <w:noProof/>
        </w:rPr>
        <w:t xml:space="preserve">(Jirous </w:t>
      </w:r>
      <w:r w:rsidRPr="00532C5B">
        <w:rPr>
          <w:rFonts w:cstheme="minorHAnsi"/>
          <w:i/>
          <w:noProof/>
        </w:rPr>
        <w:t>et al.</w:t>
      </w:r>
      <w:r w:rsidRPr="00532C5B">
        <w:rPr>
          <w:rFonts w:cstheme="minorHAnsi"/>
          <w:noProof/>
        </w:rPr>
        <w:t>, 2011)</w:t>
      </w:r>
      <w:r w:rsidRPr="00532C5B">
        <w:rPr>
          <w:rFonts w:cstheme="minorHAnsi"/>
        </w:rPr>
        <w:fldChar w:fldCharType="end"/>
      </w:r>
      <w:r w:rsidRPr="00532C5B">
        <w:rPr>
          <w:rFonts w:cstheme="minorHAnsi"/>
        </w:rPr>
        <w:t xml:space="preserve">.The split of the public electricity provider, the National Electric Company (NEC), from the system operator as part of the unbundling process was also completed in early 2014 </w:t>
      </w:r>
      <w:r w:rsidRPr="00532C5B">
        <w:rPr>
          <w:rFonts w:cstheme="minorHAnsi"/>
        </w:rPr>
        <w:fldChar w:fldCharType="begin" w:fldLock="1"/>
      </w:r>
      <w:r w:rsidR="00312FD5">
        <w:rPr>
          <w:rFonts w:cstheme="minorHAnsi"/>
        </w:rPr>
        <w:instrText>ADDIN CSL_CITATION { "citationItems" : [ { "id" : "ITEM-1", "itemData" : { "author" : [ { "dropping-particle" : "", "family" : "Energy and Water Regulatory Commission Bulgaria", "given" : "", "non-dropping-particle" : "", "parse-names" : false, "suffix" : "" } ], "id" : "ITEM-1", "issue" : "July", "issued" : { "date-parts" : [ [ "2015" ] ] }, "number-of-pages" : "47", "title" : "Annual Report To the European Commission", "type" : "report" }, "uris" : [ "http://www.mendeley.com/documents/?uuid=d9b904d7-d8de-42bd-8c0a-de6813e61643" ] } ], "mendeley" : { "formattedCitation" : "(Energy and Water Regulatory Commission Bulgaria, 2015)", "plainTextFormattedCitation" : "(Energy and Water Regulatory Commission Bulgaria, 2015)", "previouslyFormattedCitation" : "(Energy and Water Regulatory Commission Bulgaria, 2015)" }, "properties" : {  }, "schema" : "https://github.com/citation-style-language/schema/raw/master/csl-citation.json" }</w:instrText>
      </w:r>
      <w:r w:rsidRPr="00532C5B">
        <w:rPr>
          <w:rFonts w:cstheme="minorHAnsi"/>
        </w:rPr>
        <w:fldChar w:fldCharType="separate"/>
      </w:r>
      <w:r w:rsidRPr="00532C5B">
        <w:rPr>
          <w:rFonts w:cstheme="minorHAnsi"/>
          <w:noProof/>
        </w:rPr>
        <w:t>(Energy and Water Regulatory Commission Bulgaria, 2015)</w:t>
      </w:r>
      <w:r w:rsidRPr="00532C5B">
        <w:rPr>
          <w:rFonts w:cstheme="minorHAnsi"/>
        </w:rPr>
        <w:fldChar w:fldCharType="end"/>
      </w:r>
      <w:r w:rsidRPr="00532C5B">
        <w:rPr>
          <w:rFonts w:cstheme="minorHAnsi"/>
        </w:rPr>
        <w:t xml:space="preserve">. Overall, owed to the EU’s financial support through the European Bank for Reconstruction and Development in developing the country’s infrastructure, power transmission and distribution losses in percent of output have been falling steadily since 2002 from almost 15% to about 8.5% in 2014 </w:t>
      </w:r>
      <w:r w:rsidRPr="00532C5B">
        <w:rPr>
          <w:rFonts w:cstheme="minorHAnsi"/>
        </w:rPr>
        <w:fldChar w:fldCharType="begin" w:fldLock="1"/>
      </w:r>
      <w:r w:rsidR="00312FD5">
        <w:rPr>
          <w:rFonts w:cstheme="minorHAnsi"/>
        </w:rPr>
        <w:instrText>ADDIN CSL_CITATION { "citationItems" : [ { "id" : "ITEM-1", "itemData" : { "URL" : "http://databank.worldbank.org/data/home.aspx", "accessed" : { "date-parts" : [ [ "2017", "6", "6" ] ] }, "author" : [ { "dropping-particle" : "", "family" : "World Bank", "given" : "", "non-dropping-particle" : "", "parse-names" : false, "suffix" : "" } ], "id" : "ITEM-1", "issued" : { "date-parts" : [ [ "2017" ] ] }, "title" : "World Data Bank", "type" : "webpage" }, "uris" : [ "http://www.mendeley.com/documents/?uuid=88cd557d-7a94-4162-af6d-28f32c4a0b80" ] } ], "mendeley" : { "formattedCitation" : "(World Bank, 2017a)", "plainTextFormattedCitation" : "(World Bank, 2017a)", "previouslyFormattedCitation" : "(World Bank, 2017a)" }, "properties" : {  }, "schema" : "https://github.com/citation-style-language/schema/raw/master/csl-citation.json" }</w:instrText>
      </w:r>
      <w:r w:rsidRPr="00532C5B">
        <w:rPr>
          <w:rFonts w:cstheme="minorHAnsi"/>
        </w:rPr>
        <w:fldChar w:fldCharType="separate"/>
      </w:r>
      <w:r w:rsidRPr="00532C5B">
        <w:rPr>
          <w:rFonts w:cstheme="minorHAnsi"/>
          <w:noProof/>
        </w:rPr>
        <w:t>(World Bank, 2017a)</w:t>
      </w:r>
      <w:r w:rsidRPr="00532C5B">
        <w:rPr>
          <w:rFonts w:cstheme="minorHAnsi"/>
        </w:rPr>
        <w:fldChar w:fldCharType="end"/>
      </w:r>
      <w:r w:rsidRPr="00532C5B">
        <w:rPr>
          <w:rFonts w:cstheme="minorHAnsi"/>
        </w:rPr>
        <w:t xml:space="preserve">. Nevertheless, the average distribution loss of almost 400 tonnes of oil equivalent, represents the second highest in Central and Eastern European Countries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w:t>
      </w:r>
      <w:r w:rsidRPr="00532C5B">
        <w:rPr>
          <w:rFonts w:cstheme="minorHAnsi"/>
        </w:rPr>
        <w:fldChar w:fldCharType="end"/>
      </w:r>
      <w:r w:rsidRPr="00532C5B">
        <w:rPr>
          <w:rFonts w:cstheme="minorHAnsi"/>
        </w:rPr>
        <w:t>.</w:t>
      </w:r>
    </w:p>
    <w:p w:rsidR="000713A2" w:rsidRPr="00532C5B" w:rsidRDefault="000713A2" w:rsidP="00312FD5">
      <w:pPr>
        <w:spacing w:after="0"/>
        <w:ind w:firstLine="720"/>
        <w:contextualSpacing/>
        <w:rPr>
          <w:rFonts w:cstheme="minorHAnsi"/>
          <w:lang w:eastAsia="en-GB"/>
        </w:rPr>
      </w:pPr>
      <w:r w:rsidRPr="00532C5B">
        <w:rPr>
          <w:rFonts w:cstheme="minorHAnsi"/>
        </w:rPr>
        <w:t xml:space="preserve">(iii) The growth in renewable electricity generation has lowered the environmental footprint of the country’s energy system in terms of emissions. </w:t>
      </w:r>
      <w:r w:rsidRPr="00532C5B">
        <w:rPr>
          <w:rFonts w:cstheme="minorHAnsi"/>
          <w:color w:val="222222"/>
          <w:shd w:val="clear" w:color="auto" w:fill="FFFFFF"/>
        </w:rPr>
        <w:t>CO</w:t>
      </w:r>
      <w:r w:rsidRPr="00532C5B">
        <w:rPr>
          <w:rFonts w:cstheme="minorHAnsi"/>
          <w:color w:val="222222"/>
          <w:shd w:val="clear" w:color="auto" w:fill="FFFFFF"/>
          <w:vertAlign w:val="subscript"/>
        </w:rPr>
        <w:t>2</w:t>
      </w:r>
      <w:r w:rsidRPr="00532C5B">
        <w:rPr>
          <w:rFonts w:cstheme="minorHAnsi"/>
        </w:rPr>
        <w:t xml:space="preserve"> emissions in kilo tonnes (</w:t>
      </w:r>
      <w:proofErr w:type="spellStart"/>
      <w:r w:rsidRPr="00532C5B">
        <w:rPr>
          <w:rFonts w:cstheme="minorHAnsi"/>
        </w:rPr>
        <w:t>kt</w:t>
      </w:r>
      <w:proofErr w:type="spellEnd"/>
      <w:r w:rsidRPr="00532C5B">
        <w:rPr>
          <w:rFonts w:cstheme="minorHAnsi"/>
        </w:rPr>
        <w:t xml:space="preserve">) have decreased from 52.3 thousand </w:t>
      </w:r>
      <w:proofErr w:type="spellStart"/>
      <w:r w:rsidRPr="00532C5B">
        <w:rPr>
          <w:rFonts w:cstheme="minorHAnsi"/>
        </w:rPr>
        <w:t>kt</w:t>
      </w:r>
      <w:proofErr w:type="spellEnd"/>
      <w:r w:rsidRPr="00532C5B">
        <w:rPr>
          <w:rFonts w:cstheme="minorHAnsi"/>
        </w:rPr>
        <w:t xml:space="preserve"> in 2007 to just above 39.5 thousand </w:t>
      </w:r>
      <w:proofErr w:type="spellStart"/>
      <w:r w:rsidRPr="00532C5B">
        <w:rPr>
          <w:rFonts w:cstheme="minorHAnsi"/>
        </w:rPr>
        <w:t>kt</w:t>
      </w:r>
      <w:proofErr w:type="spellEnd"/>
      <w:r w:rsidRPr="00532C5B">
        <w:rPr>
          <w:rFonts w:cstheme="minorHAnsi"/>
        </w:rPr>
        <w:t xml:space="preserve"> in 2013. </w:t>
      </w:r>
      <w:proofErr w:type="gramStart"/>
      <w:r w:rsidRPr="00532C5B">
        <w:rPr>
          <w:rFonts w:cstheme="minorHAnsi"/>
        </w:rPr>
        <w:t xml:space="preserve">While </w:t>
      </w:r>
      <w:r w:rsidRPr="00532C5B">
        <w:rPr>
          <w:rFonts w:cstheme="minorHAnsi"/>
          <w:color w:val="222222"/>
          <w:shd w:val="clear" w:color="auto" w:fill="FFFFFF"/>
        </w:rPr>
        <w:t>CO</w:t>
      </w:r>
      <w:r w:rsidRPr="00532C5B">
        <w:rPr>
          <w:rFonts w:cstheme="minorHAnsi"/>
          <w:color w:val="222222"/>
          <w:shd w:val="clear" w:color="auto" w:fill="FFFFFF"/>
          <w:vertAlign w:val="subscript"/>
        </w:rPr>
        <w:t xml:space="preserve">2 </w:t>
      </w:r>
      <w:r w:rsidRPr="00532C5B">
        <w:rPr>
          <w:rFonts w:cstheme="minorHAnsi"/>
        </w:rPr>
        <w:t xml:space="preserve">emissions from solid fuels, </w:t>
      </w:r>
      <w:proofErr w:type="spellStart"/>
      <w:r w:rsidRPr="00532C5B">
        <w:rPr>
          <w:rFonts w:cstheme="minorHAnsi"/>
        </w:rPr>
        <w:t>ie</w:t>
      </w:r>
      <w:proofErr w:type="spellEnd"/>
      <w:r w:rsidRPr="00532C5B">
        <w:rPr>
          <w:rFonts w:cstheme="minorHAnsi"/>
        </w:rPr>
        <w:t>.</w:t>
      </w:r>
      <w:proofErr w:type="gramEnd"/>
      <w:r w:rsidRPr="00532C5B">
        <w:rPr>
          <w:rFonts w:cstheme="minorHAnsi"/>
        </w:rPr>
        <w:t xml:space="preserve"> coal, as a share of total emissions have effectively remained unchanged at 58%, actual emissions from solid fuels in </w:t>
      </w:r>
      <w:proofErr w:type="spellStart"/>
      <w:r w:rsidRPr="00532C5B">
        <w:rPr>
          <w:rFonts w:cstheme="minorHAnsi"/>
        </w:rPr>
        <w:t>kt</w:t>
      </w:r>
      <w:proofErr w:type="spellEnd"/>
      <w:r w:rsidRPr="00532C5B">
        <w:rPr>
          <w:rFonts w:cstheme="minorHAnsi"/>
        </w:rPr>
        <w:t xml:space="preserve"> fell from 30.4 thousand </w:t>
      </w:r>
      <w:proofErr w:type="spellStart"/>
      <w:r w:rsidRPr="00532C5B">
        <w:rPr>
          <w:rFonts w:cstheme="minorHAnsi"/>
        </w:rPr>
        <w:t>kt</w:t>
      </w:r>
      <w:proofErr w:type="spellEnd"/>
      <w:r w:rsidRPr="00532C5B">
        <w:rPr>
          <w:rFonts w:cstheme="minorHAnsi"/>
        </w:rPr>
        <w:t xml:space="preserve"> in 2007 to 23.2 in 2013 </w:t>
      </w:r>
      <w:r w:rsidRPr="00532C5B">
        <w:rPr>
          <w:rFonts w:cstheme="minorHAnsi"/>
        </w:rPr>
        <w:fldChar w:fldCharType="begin" w:fldLock="1"/>
      </w:r>
      <w:r w:rsidR="00312FD5">
        <w:rPr>
          <w:rFonts w:cstheme="minorHAnsi"/>
        </w:rPr>
        <w:instrText>ADDIN CSL_CITATION { "citationItems" : [ { "id" : "ITEM-1", "itemData" : { "URL" : "http://databank.worldbank.org/data/reports.aspx?source=world-development-indicators#", "accessed" : { "date-parts" : [ [ "2017", "9", "1" ] ] }, "author" : [ { "dropping-particle" : "", "family" : "World Bank", "given" : "", "non-dropping-particle" : "", "parse-names" : false, "suffix" : "" } ], "id" : "ITEM-1", "issued" : { "date-parts" : [ [ "2017" ] ] }, "title" : "World Development Indicators", "type" : "webpage" }, "uris" : [ "http://www.mendeley.com/documents/?uuid=8008f24e-3f7f-4e11-9e7e-5ca19d49d96b" ] } ], "mendeley" : { "formattedCitation" : "(World Bank, 2017b)", "plainTextFormattedCitation" : "(World Bank, 2017b)", "previouslyFormattedCitation" : "(World Bank, 2017b)" }, "properties" : {  }, "schema" : "https://github.com/citation-style-language/schema/raw/master/csl-citation.json" }</w:instrText>
      </w:r>
      <w:r w:rsidRPr="00532C5B">
        <w:rPr>
          <w:rFonts w:cstheme="minorHAnsi"/>
        </w:rPr>
        <w:fldChar w:fldCharType="separate"/>
      </w:r>
      <w:r w:rsidRPr="00532C5B">
        <w:rPr>
          <w:rFonts w:cstheme="minorHAnsi"/>
          <w:noProof/>
        </w:rPr>
        <w:t>(World Bank, 2017b)</w:t>
      </w:r>
      <w:r w:rsidRPr="00532C5B">
        <w:rPr>
          <w:rFonts w:cstheme="minorHAnsi"/>
        </w:rPr>
        <w:fldChar w:fldCharType="end"/>
      </w:r>
      <w:r w:rsidRPr="00532C5B">
        <w:rPr>
          <w:rFonts w:cstheme="minorHAnsi"/>
        </w:rPr>
        <w:t xml:space="preserve">. As a result, total greenhouse gas (GHG) emissions decreased by over 37% in 2012 from 1990 levels </w:t>
      </w:r>
      <w:r w:rsidRPr="00532C5B">
        <w:rPr>
          <w:rFonts w:cstheme="minorHAnsi"/>
        </w:rPr>
        <w:fldChar w:fldCharType="begin" w:fldLock="1"/>
      </w:r>
      <w:r w:rsidR="00312FD5">
        <w:rPr>
          <w:rFonts w:cstheme="minorHAnsi"/>
        </w:rPr>
        <w:instrText>ADDIN CSL_CITATION { "citationItems" : [ { "id" : "ITEM-1", "itemData" : { "URL" : "http://databank.worldbank.org/data/reports.aspx?source=world-development-indicators#", "accessed" : { "date-parts" : [ [ "2017", "9", "1" ] ] }, "author" : [ { "dropping-particle" : "", "family" : "World Bank", "given" : "", "non-dropping-particle" : "", "parse-names" : false, "suffix" : "" } ], "id" : "ITEM-1", "issued" : { "date-parts" : [ [ "2017" ] ] }, "title" : "World Development Indicators", "type" : "webpage" }, "uris" : [ "http://www.mendeley.com/documents/?uuid=8008f24e-3f7f-4e11-9e7e-5ca19d49d96b" ] } ], "mendeley" : { "formattedCitation" : "(World Bank, 2017b)", "plainTextFormattedCitation" : "(World Bank, 2017b)", "previouslyFormattedCitation" : "(World Bank, 2017b)" }, "properties" : {  }, "schema" : "https://github.com/citation-style-language/schema/raw/master/csl-citation.json" }</w:instrText>
      </w:r>
      <w:r w:rsidRPr="00532C5B">
        <w:rPr>
          <w:rFonts w:cstheme="minorHAnsi"/>
        </w:rPr>
        <w:fldChar w:fldCharType="separate"/>
      </w:r>
      <w:r w:rsidRPr="00532C5B">
        <w:rPr>
          <w:rFonts w:cstheme="minorHAnsi"/>
          <w:noProof/>
        </w:rPr>
        <w:t>(World Bank, 2017b)</w:t>
      </w:r>
      <w:r w:rsidRPr="00532C5B">
        <w:rPr>
          <w:rFonts w:cstheme="minorHAnsi"/>
        </w:rPr>
        <w:fldChar w:fldCharType="end"/>
      </w:r>
      <w:r w:rsidRPr="00532C5B">
        <w:rPr>
          <w:rFonts w:cstheme="minorHAnsi"/>
        </w:rPr>
        <w:t xml:space="preserve">. These developments are reflected in Bulgaria’s environmental sustainability score of the World Energy Council that increased steadily over the past years </w:t>
      </w:r>
      <w:r w:rsidRPr="00532C5B">
        <w:rPr>
          <w:rFonts w:cstheme="minorHAnsi"/>
        </w:rPr>
        <w:fldChar w:fldCharType="begin" w:fldLock="1"/>
      </w:r>
      <w:r w:rsidR="00312FD5">
        <w:rPr>
          <w:rFonts w:cstheme="minorHAnsi"/>
        </w:rPr>
        <w:instrText>ADDIN CSL_CITATION { "citationItems" : [ { "id" : "ITEM-1", "itemData" : { "author" : [ { "dropping-particle" : "", "family" : "World Energy Council", "given" : "", "non-dropping-particle" : "", "parse-names" : false, "suffix" : "" } ], "id" : "ITEM-1", "issued" : { "date-parts" : [ [ "2015" ] ] }, "page" : "306", "title" : "2015 Energy Trilemma Index - Benchmarking the sustainability of national energy systems", "type" : "article-journal" }, "uris" : [ "http://www.mendeley.com/documents/?uuid=b890d546-0106-42aa-a906-c12172a0c0dc" ] } ], "mendeley" : { "formattedCitation" : "(World Energy Council, 2015)", "plainTextFormattedCitation" : "(World Energy Council, 2015)", "previouslyFormattedCitation" : "(World Energy Council, 2015)" }, "properties" : {  }, "schema" : "https://github.com/citation-style-language/schema/raw/master/csl-citation.json" }</w:instrText>
      </w:r>
      <w:r w:rsidRPr="00532C5B">
        <w:rPr>
          <w:rFonts w:cstheme="minorHAnsi"/>
        </w:rPr>
        <w:fldChar w:fldCharType="separate"/>
      </w:r>
      <w:r w:rsidRPr="00532C5B">
        <w:rPr>
          <w:rFonts w:cstheme="minorHAnsi"/>
          <w:noProof/>
        </w:rPr>
        <w:t>(World Energy Council, 2015)</w:t>
      </w:r>
      <w:r w:rsidRPr="00532C5B">
        <w:rPr>
          <w:rFonts w:cstheme="minorHAnsi"/>
        </w:rPr>
        <w:fldChar w:fldCharType="end"/>
      </w:r>
      <w:r w:rsidRPr="00532C5B">
        <w:rPr>
          <w:rFonts w:cstheme="minorHAnsi"/>
        </w:rPr>
        <w:t xml:space="preserve">. Although energy intensity levels decreased by 39% between </w:t>
      </w:r>
      <w:r w:rsidRPr="00532C5B">
        <w:rPr>
          <w:rFonts w:cstheme="minorHAnsi"/>
        </w:rPr>
        <w:lastRenderedPageBreak/>
        <w:t xml:space="preserve">2006 and 2010 </w:t>
      </w:r>
      <w:r w:rsidRPr="00532C5B">
        <w:rPr>
          <w:rFonts w:cstheme="minorHAnsi"/>
        </w:rPr>
        <w:fldChar w:fldCharType="begin" w:fldLock="1"/>
      </w:r>
      <w:r w:rsidR="00312FD5">
        <w:rPr>
          <w:rFonts w:cstheme="minorHAnsi"/>
        </w:rPr>
        <w:instrText>ADDIN CSL_CITATION { "citationItems" : [ { "id" : "ITEM-1", "itemData" : { "DOI" : "10.2765/41957", "ISBN" : "9789279285592", "ISSN" : "1725-3209", "author" : [ { "dropping-particle" : "", "family" : "European Commission", "given" : "", "non-dropping-particle" : "", "parse-names" : false, "suffix" : "" } ], "container-title" : "General for Economic and Financial Affairs-Occasional Papers 145", "id" : "ITEM-1", "issue" : "April", "issued" : { "date-parts" : [ [ "2013" ] ] }, "number-of-pages" : "ISSN 1725-3209", "title" : "Member States\u2019 Energy Dependence: An Indicator-Based Assessment", "type" : "book" }, "uris" : [ "http://www.mendeley.com/documents/?uuid=a5b57539-853f-4a91-9905-1fad746b4951" ] } ], "mendeley" : { "formattedCitation" : "(European Commission, 2013)", "plainTextFormattedCitation" : "(European Commission, 2013)", "previouslyFormattedCitation" : "(European Commission, 2013)" }, "properties" : {  }, "schema" : "https://github.com/citation-style-language/schema/raw/master/csl-citation.json" }</w:instrText>
      </w:r>
      <w:r w:rsidRPr="00532C5B">
        <w:rPr>
          <w:rFonts w:cstheme="minorHAnsi"/>
        </w:rPr>
        <w:fldChar w:fldCharType="separate"/>
      </w:r>
      <w:r w:rsidRPr="00532C5B">
        <w:rPr>
          <w:rFonts w:cstheme="minorHAnsi"/>
          <w:noProof/>
        </w:rPr>
        <w:t>(European Commission, 2013)</w:t>
      </w:r>
      <w:r w:rsidRPr="00532C5B">
        <w:rPr>
          <w:rFonts w:cstheme="minorHAnsi"/>
        </w:rPr>
        <w:fldChar w:fldCharType="end"/>
      </w:r>
      <w:r w:rsidRPr="00532C5B">
        <w:rPr>
          <w:rFonts w:cstheme="minorHAnsi"/>
        </w:rPr>
        <w:t xml:space="preserve">, Bulgaria continues to have one of the worst index scores across the EU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w:t>
      </w:r>
      <w:r w:rsidRPr="00532C5B">
        <w:rPr>
          <w:rFonts w:cstheme="minorHAnsi"/>
        </w:rPr>
        <w:fldChar w:fldCharType="end"/>
      </w:r>
      <w:r w:rsidRPr="00532C5B">
        <w:rPr>
          <w:rFonts w:cstheme="minorHAnsi"/>
        </w:rPr>
        <w:t xml:space="preserve">. Energy expenditure volatility and intensity stand at 3180% and 855% above average OECD risk levels, and </w:t>
      </w:r>
      <w:r w:rsidRPr="00532C5B">
        <w:rPr>
          <w:rFonts w:cstheme="minorHAnsi"/>
          <w:color w:val="222222"/>
          <w:shd w:val="clear" w:color="auto" w:fill="FFFFFF"/>
        </w:rPr>
        <w:t>CO</w:t>
      </w:r>
      <w:r w:rsidRPr="00532C5B">
        <w:rPr>
          <w:rFonts w:cstheme="minorHAnsi"/>
          <w:color w:val="222222"/>
          <w:shd w:val="clear" w:color="auto" w:fill="FFFFFF"/>
          <w:vertAlign w:val="subscript"/>
        </w:rPr>
        <w:t xml:space="preserve">2 </w:t>
      </w:r>
      <w:r w:rsidRPr="00532C5B">
        <w:rPr>
          <w:rFonts w:cstheme="minorHAnsi"/>
        </w:rPr>
        <w:t xml:space="preserve">per GDP and energy intensity 370% and 289% above average OECD risk levels respectively </w:t>
      </w:r>
      <w:r w:rsidRPr="00532C5B">
        <w:rPr>
          <w:rFonts w:cstheme="minorHAnsi"/>
        </w:rPr>
        <w:fldChar w:fldCharType="begin" w:fldLock="1"/>
      </w:r>
      <w:r w:rsidR="00312FD5">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Pr="00532C5B">
        <w:rPr>
          <w:rFonts w:cstheme="minorHAnsi"/>
        </w:rPr>
        <w:fldChar w:fldCharType="separate"/>
      </w:r>
      <w:r w:rsidRPr="00532C5B">
        <w:rPr>
          <w:rFonts w:cstheme="minorHAnsi"/>
          <w:noProof/>
        </w:rPr>
        <w:t>(Center for the Study of Democracy, 2014)</w:t>
      </w:r>
      <w:r w:rsidRPr="00532C5B">
        <w:rPr>
          <w:rFonts w:cstheme="minorHAnsi"/>
        </w:rPr>
        <w:fldChar w:fldCharType="end"/>
      </w:r>
      <w:r w:rsidRPr="00532C5B">
        <w:rPr>
          <w:rFonts w:cstheme="minorHAnsi"/>
        </w:rPr>
        <w:t>.</w:t>
      </w:r>
    </w:p>
    <w:p w:rsidR="000713A2" w:rsidRPr="00532C5B" w:rsidRDefault="000713A2" w:rsidP="008147B6">
      <w:pPr>
        <w:spacing w:after="0"/>
        <w:ind w:firstLine="720"/>
        <w:contextualSpacing/>
        <w:rPr>
          <w:rFonts w:cstheme="minorHAnsi"/>
        </w:rPr>
      </w:pPr>
      <w:r w:rsidRPr="00532C5B">
        <w:rPr>
          <w:rFonts w:cstheme="minorHAnsi"/>
        </w:rPr>
        <w:t xml:space="preserve">(iv) Although yearly household incomes have increased steadily since Bulgaria’s accession to the EU in 2007, parallel rising electricity prices resulted in an increase of </w:t>
      </w:r>
      <w:r w:rsidR="008147B6">
        <w:rPr>
          <w:rFonts w:cstheme="minorHAnsi"/>
        </w:rPr>
        <w:t>household</w:t>
      </w:r>
      <w:r w:rsidRPr="00532C5B">
        <w:rPr>
          <w:rFonts w:cstheme="minorHAnsi"/>
        </w:rPr>
        <w:t xml:space="preserve"> expenditure </w:t>
      </w:r>
      <w:r w:rsidR="008147B6" w:rsidRPr="00532C5B">
        <w:rPr>
          <w:rFonts w:cstheme="minorHAnsi"/>
        </w:rPr>
        <w:t xml:space="preserve">on housing, energy, water, and other fuels </w:t>
      </w:r>
      <w:r w:rsidRPr="00532C5B">
        <w:rPr>
          <w:rFonts w:cstheme="minorHAnsi"/>
        </w:rPr>
        <w:t>from 11.5% of total income in 2007 to 14.4% in 2012</w:t>
      </w:r>
      <w:r w:rsidR="008147B6">
        <w:rPr>
          <w:rFonts w:cstheme="minorHAnsi"/>
        </w:rPr>
        <w:t xml:space="preserve"> </w:t>
      </w:r>
      <w:r w:rsidR="008147B6" w:rsidRPr="00532C5B">
        <w:rPr>
          <w:rFonts w:cstheme="minorHAnsi"/>
        </w:rPr>
        <w:fldChar w:fldCharType="begin" w:fldLock="1"/>
      </w:r>
      <w:r w:rsidR="008147B6">
        <w:rPr>
          <w:rFonts w:cstheme="minorHAnsi"/>
        </w:rPr>
        <w:instrText>ADDIN CSL_CITATION { "citationItems" : [ { "id" : "ITEM-1", "itemData" : { "ISBN" : "9789544772147", "author" : [ { "dropping-particle" : "", "family" : "Center for the Study of Democracy", "given" : "", "non-dropping-particle" : "", "parse-names" : false, "suffix" : "" } ], "id" : "ITEM-1", "issued" : { "date-parts" : [ [ "2014" ] ] }, "title" : "Energy Sector Governance and Energy (In)Security in Bulgaria", "type" : "report" }, "uris" : [ "http://www.mendeley.com/documents/?uuid=c42efdb6-f94d-437f-b939-9412d7a9a470" ] } ], "mendeley" : { "formattedCitation" : "(Center for the Study of Democracy, 2014)", "plainTextFormattedCitation" : "(Center for the Study of Democracy, 2014)", "previouslyFormattedCitation" : "(Center for the Study of Democracy, 2014)" }, "properties" : {  }, "schema" : "https://github.com/citation-style-language/schema/raw/master/csl-citation.json" }</w:instrText>
      </w:r>
      <w:r w:rsidR="008147B6" w:rsidRPr="00532C5B">
        <w:rPr>
          <w:rFonts w:cstheme="minorHAnsi"/>
        </w:rPr>
        <w:fldChar w:fldCharType="separate"/>
      </w:r>
      <w:r w:rsidR="008147B6" w:rsidRPr="00532C5B">
        <w:rPr>
          <w:rFonts w:cstheme="minorHAnsi"/>
          <w:noProof/>
        </w:rPr>
        <w:t>(Center for the Study of Democracy, 2014)</w:t>
      </w:r>
      <w:r w:rsidR="008147B6" w:rsidRPr="00532C5B">
        <w:rPr>
          <w:rFonts w:cstheme="minorHAnsi"/>
        </w:rPr>
        <w:fldChar w:fldCharType="end"/>
      </w:r>
      <w:r w:rsidR="008147B6">
        <w:rPr>
          <w:rFonts w:cstheme="minorHAnsi"/>
        </w:rPr>
        <w:t xml:space="preserve">, and 14.3% in 2016 </w:t>
      </w:r>
      <w:r w:rsidR="008147B6" w:rsidRPr="00532C5B">
        <w:rPr>
          <w:rFonts w:cstheme="minorHAnsi"/>
        </w:rPr>
        <w:fldChar w:fldCharType="begin" w:fldLock="1"/>
      </w:r>
      <w:r w:rsidR="008147B6">
        <w:rPr>
          <w:rFonts w:cstheme="minorHAnsi"/>
        </w:rPr>
        <w:instrText>ADDIN CSL_CITATION { "citationItems" : [ { "id" : "ITEM-1", "itemData" : { "URL" : "http://www.nsi.bg/en/content/5640/households-income-expenditure-and-consumption", "author" : [ { "dropping-particle" : "", "family" : "National Statistical Institute", "given" : "", "non-dropping-particle" : "", "parse-names" : false, "suffix" : "" } ], "id" : "ITEM-1", "issued" : { "date-parts" : [ [ "2017" ] ] }, "title" : "Households Income, Expenditure and Consumptions", "type" : "webpage" }, "uris" : [ "http://www.mendeley.com/documents/?uuid=4df75c42-3d06-4341-8556-a055b2cd7740" ] } ], "mendeley" : { "formattedCitation" : "(National Statistical Institute, 2017)", "plainTextFormattedCitation" : "(National Statistical Institute, 2017)", "previouslyFormattedCitation" : "(National Statistical Institute, 2017)" }, "properties" : {  }, "schema" : "https://github.com/citation-style-language/schema/raw/master/csl-citation.json" }</w:instrText>
      </w:r>
      <w:r w:rsidR="008147B6" w:rsidRPr="00532C5B">
        <w:rPr>
          <w:rFonts w:cstheme="minorHAnsi"/>
        </w:rPr>
        <w:fldChar w:fldCharType="separate"/>
      </w:r>
      <w:r w:rsidR="008147B6" w:rsidRPr="00532C5B">
        <w:rPr>
          <w:rFonts w:cstheme="minorHAnsi"/>
          <w:noProof/>
        </w:rPr>
        <w:t>(National Statistical Institute, 2017)</w:t>
      </w:r>
      <w:r w:rsidR="008147B6" w:rsidRPr="00532C5B">
        <w:rPr>
          <w:rFonts w:cstheme="minorHAnsi"/>
        </w:rPr>
        <w:fldChar w:fldCharType="end"/>
      </w:r>
      <w:r w:rsidR="008147B6">
        <w:rPr>
          <w:rFonts w:cstheme="minorHAnsi"/>
        </w:rPr>
        <w:t>.</w:t>
      </w:r>
      <w:r w:rsidR="008147B6">
        <w:rPr>
          <w:rStyle w:val="FootnoteReference"/>
          <w:rFonts w:cstheme="minorHAnsi"/>
        </w:rPr>
        <w:footnoteReference w:id="32"/>
      </w:r>
      <w:r w:rsidR="008147B6">
        <w:rPr>
          <w:rFonts w:cstheme="minorHAnsi"/>
        </w:rPr>
        <w:t xml:space="preserve"> Official data estimates</w:t>
      </w:r>
      <w:r w:rsidRPr="00532C5B">
        <w:rPr>
          <w:rFonts w:cstheme="minorHAnsi"/>
        </w:rPr>
        <w:t xml:space="preserve"> </w:t>
      </w:r>
      <w:r w:rsidR="00011CFE">
        <w:rPr>
          <w:rFonts w:cstheme="minorHAnsi"/>
        </w:rPr>
        <w:t xml:space="preserve">that </w:t>
      </w:r>
      <w:r w:rsidRPr="00532C5B">
        <w:rPr>
          <w:rFonts w:cstheme="minorHAnsi"/>
        </w:rPr>
        <w:t xml:space="preserve">only one-third of the Bulgarian population </w:t>
      </w:r>
      <w:r w:rsidR="008147B6">
        <w:rPr>
          <w:rFonts w:cstheme="minorHAnsi"/>
        </w:rPr>
        <w:t>is</w:t>
      </w:r>
      <w:r w:rsidRPr="00532C5B">
        <w:rPr>
          <w:rFonts w:cstheme="minorHAnsi"/>
        </w:rPr>
        <w:t xml:space="preserve"> able to afford adequate heating in their homes</w:t>
      </w:r>
      <w:r w:rsidR="008147B6">
        <w:rPr>
          <w:rFonts w:cstheme="minorHAnsi"/>
        </w:rPr>
        <w:t>.</w:t>
      </w:r>
      <w:r w:rsidRPr="00532C5B">
        <w:rPr>
          <w:rFonts w:cstheme="minorHAnsi"/>
        </w:rPr>
        <w:t xml:space="preserve"> Since electricity prices remain state-regulated, there is little volatility in the price developments. However, although in principle all consumers are free to choose their supplier, no actual switching is observed, as through the regulated prices for household consumers, there is no benefit in switching and the retail electricity market remains highly concentrated with eight out of total 24 power retailers taking 92% of the market in 2012 </w:t>
      </w:r>
      <w:r w:rsidRPr="00532C5B">
        <w:rPr>
          <w:rFonts w:cstheme="minorHAnsi"/>
        </w:rPr>
        <w:fldChar w:fldCharType="begin" w:fldLock="1"/>
      </w:r>
      <w:r w:rsidR="00B22278">
        <w:rPr>
          <w:rFonts w:cstheme="minorHAnsi"/>
        </w:rPr>
        <w:instrText>ADDIN CSL_CITATION { "citationItems" : [ { "id" : "ITEM-1", "itemData" : { "author" : [ { "dropping-particle" : "", "family" : "European Commission", "given" : "", "non-dropping-particle" : "", "parse-names" : false, "suffix" : "" } ], "id" : "ITEM-1", "issued" : { "date-parts" : [ [ "2014" ] ] }, "page" : "21-29", "title" : "Single market progress report 2014 - Bulgaria", "type" : "article-journal" }, "uris" : [ "http://www.mendeley.com/documents/?uuid=008f95c4-0150-46e9-b889-030f21cc12b1" ] } ], "mendeley" : { "formattedCitation" : "(European Commission, 2014b)", "plainTextFormattedCitation" : "(European Commission, 2014b)", "previouslyFormattedCitation" : "(European Commission, 2014b)" }, "properties" : {  }, "schema" : "https://github.com/citation-style-language/schema/raw/master/csl-citation.json" }</w:instrText>
      </w:r>
      <w:r w:rsidRPr="00532C5B">
        <w:rPr>
          <w:rFonts w:cstheme="minorHAnsi"/>
        </w:rPr>
        <w:fldChar w:fldCharType="separate"/>
      </w:r>
      <w:r w:rsidR="00B22278" w:rsidRPr="00B22278">
        <w:rPr>
          <w:rFonts w:cstheme="minorHAnsi"/>
          <w:noProof/>
        </w:rPr>
        <w:t>(European Commission, 2014b)</w:t>
      </w:r>
      <w:r w:rsidRPr="00532C5B">
        <w:rPr>
          <w:rFonts w:cstheme="minorHAnsi"/>
        </w:rPr>
        <w:fldChar w:fldCharType="end"/>
      </w:r>
      <w:r w:rsidRPr="00532C5B">
        <w:rPr>
          <w:rFonts w:cstheme="minorHAnsi"/>
        </w:rPr>
        <w:t>.</w:t>
      </w:r>
    </w:p>
    <w:p w:rsidR="000713A2" w:rsidRPr="00532C5B" w:rsidRDefault="000713A2" w:rsidP="00312FD5">
      <w:pPr>
        <w:spacing w:after="0"/>
        <w:ind w:firstLine="720"/>
        <w:contextualSpacing/>
        <w:rPr>
          <w:rFonts w:cstheme="minorHAnsi"/>
        </w:rPr>
      </w:pPr>
    </w:p>
    <w:p w:rsidR="000713A2" w:rsidRPr="00532C5B" w:rsidRDefault="000713A2" w:rsidP="000A0952">
      <w:pPr>
        <w:pStyle w:val="Heading3"/>
        <w:numPr>
          <w:ilvl w:val="2"/>
          <w:numId w:val="3"/>
        </w:numPr>
        <w:spacing w:before="0" w:after="0"/>
        <w:ind w:left="0" w:firstLine="142"/>
        <w:contextualSpacing/>
        <w:rPr>
          <w:rFonts w:asciiTheme="minorHAnsi" w:hAnsiTheme="minorHAnsi" w:cstheme="minorHAnsi"/>
        </w:rPr>
      </w:pPr>
      <w:bookmarkStart w:id="7" w:name="_Toc496525277"/>
      <w:r w:rsidRPr="00532C5B">
        <w:rPr>
          <w:rFonts w:asciiTheme="minorHAnsi" w:hAnsiTheme="minorHAnsi" w:cstheme="minorHAnsi"/>
        </w:rPr>
        <w:t>Intra- and Intergenerational Justice and Responsibility</w:t>
      </w:r>
      <w:bookmarkEnd w:id="7"/>
    </w:p>
    <w:p w:rsidR="000713A2" w:rsidRPr="00532C5B" w:rsidRDefault="00461506" w:rsidP="00312FD5">
      <w:pPr>
        <w:spacing w:after="0"/>
        <w:contextualSpacing/>
        <w:rPr>
          <w:rFonts w:cstheme="minorHAnsi"/>
        </w:rPr>
      </w:pPr>
      <w:r>
        <w:rPr>
          <w:rFonts w:cstheme="minorHAnsi"/>
        </w:rPr>
        <w:t>As outlined in the section on availability</w:t>
      </w:r>
      <w:r w:rsidR="000713A2" w:rsidRPr="00532C5B">
        <w:rPr>
          <w:rFonts w:cstheme="minorHAnsi"/>
        </w:rPr>
        <w:t xml:space="preserve">, the expansion of renewables </w:t>
      </w:r>
      <w:r>
        <w:rPr>
          <w:rFonts w:cstheme="minorHAnsi"/>
        </w:rPr>
        <w:t xml:space="preserve">is associated with an improved grid infrastructure, as well as </w:t>
      </w:r>
      <w:proofErr w:type="gramStart"/>
      <w:r>
        <w:rPr>
          <w:rFonts w:cstheme="minorHAnsi"/>
        </w:rPr>
        <w:t>an the</w:t>
      </w:r>
      <w:proofErr w:type="gramEnd"/>
      <w:r>
        <w:rPr>
          <w:rFonts w:cstheme="minorHAnsi"/>
        </w:rPr>
        <w:t xml:space="preserve"> improved access to a decentralised energy source (solar). </w:t>
      </w:r>
      <w:r w:rsidRPr="00532C5B">
        <w:rPr>
          <w:rFonts w:cstheme="minorHAnsi"/>
        </w:rPr>
        <w:t xml:space="preserve">In terms of </w:t>
      </w:r>
      <w:proofErr w:type="spellStart"/>
      <w:r w:rsidRPr="00532C5B">
        <w:rPr>
          <w:rFonts w:cstheme="minorHAnsi"/>
        </w:rPr>
        <w:t>intragenerational</w:t>
      </w:r>
      <w:proofErr w:type="spellEnd"/>
      <w:r w:rsidRPr="00532C5B">
        <w:rPr>
          <w:rFonts w:cstheme="minorHAnsi"/>
        </w:rPr>
        <w:t xml:space="preserve"> equity</w:t>
      </w:r>
      <w:r>
        <w:rPr>
          <w:rFonts w:cstheme="minorHAnsi"/>
        </w:rPr>
        <w:t xml:space="preserve">, these effects </w:t>
      </w:r>
      <w:r w:rsidR="000713A2" w:rsidRPr="00532C5B">
        <w:rPr>
          <w:rFonts w:cstheme="minorHAnsi"/>
        </w:rPr>
        <w:t xml:space="preserve">enhanced the access of Bulgaria’s population to “minimal energy services which enable them to enjoy a basic minimum of wellbeing” </w:t>
      </w:r>
      <w:r w:rsidR="000713A2" w:rsidRPr="00532C5B">
        <w:rPr>
          <w:rFonts w:cstheme="minorHAnsi"/>
        </w:rPr>
        <w:fldChar w:fldCharType="begin" w:fldLock="1"/>
      </w:r>
      <w:r w:rsidR="00312FD5">
        <w:rPr>
          <w:rFonts w:cstheme="minorHAnsi"/>
        </w:rPr>
        <w:instrText>ADDIN CSL_CITATION { "citationItems" : [ { "id" : "ITEM-1", "itemData" : { "DOI" : "10.1016/j.apenergy.2015.01.002", "ISBN" : "0306-2619", "ISSN" : "03062619", "abstract" : "Though it is far from obvious, concepts from justice, philosophy, and ethics can significantly inform energy consumers and producers. This study details how energy justice can serve as a novel conceptual tool for philosophers and ethicists that better integrates usually distinct distributive and procedural justice concerns. Energy justice serves as an important analytical tool for energy researchers striving to understand how values get built into energy systems or to resolve common energy problems. Energy justice presents a useful decision-making tool that can assist energy planners and consumers in making more informed energy choices. Our energy justice framework has elements of Kantian ethics, which takes each person as an end. It has libertarian elements of freedom and choice, suggesting that good societies present people with a set of opportunities or substantial freedoms, so they can choose to exercise these or not. It is pluralist about value, holding that capabilities for people are different and also that their own interests vary. It is concerned with justice as recognition, noting that failures of procedural justice can result in discrimination and marginalization. It, also, has elements focused on utilitarianism and welfare, attempting to improve the quality of life for all people, as defined by their capabilities.", "author" : [ { "dropping-particle" : "", "family" : "Sovacool", "given" : "Benjamin K.", "non-dropping-particle" : "", "parse-names" : false, "suffix" : "" }, { "dropping-particle" : "", "family" : "Dworkin", "given" : "Michael H.", "non-dropping-particle" : "", "parse-names" : false, "suffix" : "" } ], "container-title" : "Applied Energy", "id" : "ITEM-1", "issued" : { "date-parts" : [ [ "2015" ] ] }, "page" : "435-444", "publisher" : "Elsevier Ltd", "title" : "Energy justice: Conceptual insights and practical applications", "type" : "article-journal", "volume" : "142" }, "locator" : "440", "uris" : [ "http://www.mendeley.com/documents/?uuid=d1bba0ae-3285-4dad-ab59-1440cc797b30" ] } ], "mendeley" : { "formattedCitation" : "(Sovacool and Dworkin, 2015, p.440)", "plainTextFormattedCitation" : "(Sovacool and Dworkin, 2015, p.440)", "previouslyFormattedCitation" : "(Sovacool and Dworkin, 2015, p.440)" }, "properties" : {  }, "schema" : "https://github.com/citation-style-language/schema/raw/master/csl-citation.json" }</w:instrText>
      </w:r>
      <w:r w:rsidR="000713A2" w:rsidRPr="00532C5B">
        <w:rPr>
          <w:rFonts w:cstheme="minorHAnsi"/>
        </w:rPr>
        <w:fldChar w:fldCharType="separate"/>
      </w:r>
      <w:r w:rsidR="000713A2" w:rsidRPr="00532C5B">
        <w:rPr>
          <w:rFonts w:cstheme="minorHAnsi"/>
          <w:noProof/>
        </w:rPr>
        <w:t>(Sovacool and Dworkin, 2015, p.440)</w:t>
      </w:r>
      <w:r w:rsidR="000713A2" w:rsidRPr="00532C5B">
        <w:rPr>
          <w:rFonts w:cstheme="minorHAnsi"/>
        </w:rPr>
        <w:fldChar w:fldCharType="end"/>
      </w:r>
      <w:r w:rsidR="000713A2" w:rsidRPr="00532C5B">
        <w:rPr>
          <w:rFonts w:cstheme="minorHAnsi"/>
        </w:rPr>
        <w:t>. However, the increased costs of electricity affect poorer consumers disproportionately more, and the government failed to adequately drive the installation of small-scale renewable installations to replace polluting wood and oil generators.</w:t>
      </w:r>
      <w:r w:rsidR="00611D76">
        <w:rPr>
          <w:rFonts w:cstheme="minorHAnsi"/>
        </w:rPr>
        <w:t xml:space="preserve"> </w:t>
      </w:r>
      <w:r w:rsidR="000713A2" w:rsidRPr="00532C5B">
        <w:rPr>
          <w:rFonts w:cstheme="minorHAnsi"/>
        </w:rPr>
        <w:t xml:space="preserve"> Crucially, it </w:t>
      </w:r>
      <w:r w:rsidR="000713A2" w:rsidRPr="00532C5B">
        <w:rPr>
          <w:rFonts w:cstheme="minorHAnsi"/>
        </w:rPr>
        <w:lastRenderedPageBreak/>
        <w:t xml:space="preserve">thereby failed to improve the equity of the current energy system as grey markets for poor-quality wood used in heating continue to drive prices down, and undermine regulations to preserve Bulgaria’s forest stock and increase the country’s environmental footprint </w:t>
      </w:r>
      <w:r w:rsidR="000713A2" w:rsidRPr="00532C5B">
        <w:rPr>
          <w:rFonts w:cstheme="minorHAnsi"/>
        </w:rPr>
        <w:fldChar w:fldCharType="begin" w:fldLock="1"/>
      </w:r>
      <w:r w:rsidR="00312FD5">
        <w:rPr>
          <w:rFonts w:cstheme="minorHAnsi"/>
        </w:rPr>
        <w:instrText>ADDIN CSL_CITATION { "citationItems" : [ { "id" : "ITEM-1", "itemData" : { "author" : [ { "dropping-particle" : "", "family" : "Mantcheva", "given" : "Denitza", "non-dropping-particle" : "", "parse-names" : false, "suffix" : "" }, { "dropping-particle" : "", "family" : "Karaboev", "given" : "Stefan", "non-dropping-particle" : "", "parse-names" : false, "suffix" : "" }, { "dropping-particle" : "", "family" : "Stefanov", "given" : "Ruslan", "non-dropping-particle" : "", "parse-names" : false, "suffix" : "" } ], "container-title" : "Friedrich Ebert Stiftung", "id" : "ITEM-1", "issue" : "November", "issued" : { "date-parts" : [ [ "2012" ] ] }, "page" : "1-24", "title" : "Resource Efficiency Gains and Green Growth Perspectives in Bulgaria", "type" : "article-journal" }, "uris" : [ "http://www.mendeley.com/documents/?uuid=815ee41f-3d81-4c6e-96c4-7bd27172164d" ] } ], "mendeley" : { "formattedCitation" : "(Mantcheva et al., 2012)", "plainTextFormattedCitation" : "(Mantcheva et al., 2012)", "previouslyFormattedCitation" : "(Mantcheva et al., 2012)" }, "properties" : {  }, "schema" : "https://github.com/citation-style-language/schema/raw/master/csl-citation.json" }</w:instrText>
      </w:r>
      <w:r w:rsidR="000713A2" w:rsidRPr="00532C5B">
        <w:rPr>
          <w:rFonts w:cstheme="minorHAnsi"/>
        </w:rPr>
        <w:fldChar w:fldCharType="separate"/>
      </w:r>
      <w:r w:rsidR="000713A2" w:rsidRPr="00532C5B">
        <w:rPr>
          <w:rFonts w:cstheme="minorHAnsi"/>
          <w:noProof/>
        </w:rPr>
        <w:t xml:space="preserve">(Mantcheva </w:t>
      </w:r>
      <w:r w:rsidR="000713A2" w:rsidRPr="00532C5B">
        <w:rPr>
          <w:rFonts w:cstheme="minorHAnsi"/>
          <w:i/>
          <w:noProof/>
        </w:rPr>
        <w:t>et al.</w:t>
      </w:r>
      <w:r w:rsidR="000713A2" w:rsidRPr="00532C5B">
        <w:rPr>
          <w:rFonts w:cstheme="minorHAnsi"/>
          <w:noProof/>
        </w:rPr>
        <w:t>, 2012)</w:t>
      </w:r>
      <w:r w:rsidR="000713A2" w:rsidRPr="00532C5B">
        <w:rPr>
          <w:rFonts w:cstheme="minorHAnsi"/>
        </w:rPr>
        <w:fldChar w:fldCharType="end"/>
      </w:r>
      <w:r w:rsidR="000713A2" w:rsidRPr="00532C5B">
        <w:rPr>
          <w:rFonts w:cstheme="minorHAnsi"/>
        </w:rPr>
        <w:t xml:space="preserve">. </w:t>
      </w:r>
    </w:p>
    <w:p w:rsidR="000713A2" w:rsidRPr="00532C5B" w:rsidRDefault="000713A2" w:rsidP="00312FD5">
      <w:pPr>
        <w:spacing w:after="0"/>
        <w:ind w:firstLine="709"/>
        <w:contextualSpacing/>
        <w:rPr>
          <w:rFonts w:cstheme="minorHAnsi"/>
        </w:rPr>
      </w:pPr>
      <w:r w:rsidRPr="00532C5B">
        <w:rPr>
          <w:rFonts w:cstheme="minorHAnsi"/>
        </w:rPr>
        <w:tab/>
        <w:t xml:space="preserve">Most importantly, the failure to meet fundamental energy justice principles in due process and good governance directly led to the dismantling of Bulgaria’s renewable energy transition. While the absence of a supportive regulatory framework for renewables, such as the lack of preferential prices, is not an insurmountable obstacle, the associated financial burden and sense of corruption has undermined public support. Although important progress in terms of </w:t>
      </w:r>
      <w:r w:rsidR="00516252">
        <w:rPr>
          <w:rFonts w:cstheme="minorHAnsi"/>
        </w:rPr>
        <w:t xml:space="preserve">environmental </w:t>
      </w:r>
      <w:r w:rsidRPr="00532C5B">
        <w:rPr>
          <w:rFonts w:cstheme="minorHAnsi"/>
        </w:rPr>
        <w:t xml:space="preserve">sustainability was made through the advance of renewables between 2007 and 2013, financial pressures, and the lack of public backing and external incentives – since the renewable targets are already met – undermine the </w:t>
      </w:r>
      <w:r w:rsidR="00516252">
        <w:rPr>
          <w:rFonts w:cstheme="minorHAnsi"/>
        </w:rPr>
        <w:t xml:space="preserve">further </w:t>
      </w:r>
      <w:r w:rsidRPr="00532C5B">
        <w:rPr>
          <w:rFonts w:cstheme="minorHAnsi"/>
        </w:rPr>
        <w:t>advance of sustainability improvements and thereby intergenerational equity. As such, the government is failing to adequately fulfil its responsibility to protect the environment, mitigate climate change and safeguard the rights of access to environmental and energy services. As the government failed to provide a stable investment environment that acknowledged environmental, financial and social factors of the promotion of renewables, hopes rest with the growing competitiveness of renewable technologies. As the former minister of energy in the 2013 interim government, Julian Popov, said: “From now on, the only thing that we need in Bulgaria is a level playing field, through the removal of subsidies for conventional energy”.</w:t>
      </w:r>
      <w:r w:rsidRPr="00532C5B">
        <w:rPr>
          <w:rStyle w:val="FootnoteReference"/>
          <w:rFonts w:cstheme="minorHAnsi"/>
        </w:rPr>
        <w:footnoteReference w:id="33"/>
      </w:r>
    </w:p>
    <w:p w:rsidR="000713A2" w:rsidRPr="00532C5B" w:rsidRDefault="000713A2" w:rsidP="00312FD5">
      <w:pPr>
        <w:spacing w:after="0"/>
        <w:contextualSpacing/>
        <w:rPr>
          <w:rFonts w:cstheme="minorHAnsi"/>
          <w:lang w:eastAsia="en-GB"/>
        </w:rPr>
      </w:pPr>
    </w:p>
    <w:p w:rsidR="000713A2" w:rsidRPr="00532C5B" w:rsidRDefault="000713A2" w:rsidP="000A0952">
      <w:pPr>
        <w:pStyle w:val="Heading2"/>
        <w:numPr>
          <w:ilvl w:val="0"/>
          <w:numId w:val="3"/>
        </w:numPr>
        <w:spacing w:before="0"/>
        <w:ind w:left="426" w:hanging="426"/>
        <w:contextualSpacing/>
        <w:rPr>
          <w:rFonts w:asciiTheme="minorHAnsi" w:hAnsiTheme="minorHAnsi" w:cstheme="minorHAnsi"/>
          <w:lang w:eastAsia="en-GB"/>
        </w:rPr>
      </w:pPr>
      <w:bookmarkStart w:id="8" w:name="_Toc496525278"/>
      <w:r w:rsidRPr="00532C5B">
        <w:rPr>
          <w:rFonts w:asciiTheme="minorHAnsi" w:hAnsiTheme="minorHAnsi" w:cstheme="minorHAnsi"/>
          <w:lang w:eastAsia="en-GB"/>
        </w:rPr>
        <w:t>Discussion and Conclusions</w:t>
      </w:r>
      <w:bookmarkEnd w:id="8"/>
    </w:p>
    <w:p w:rsidR="000713A2" w:rsidRPr="00532C5B" w:rsidRDefault="000713A2" w:rsidP="00312FD5">
      <w:pPr>
        <w:spacing w:after="0"/>
        <w:contextualSpacing/>
        <w:rPr>
          <w:rFonts w:cstheme="minorHAnsi"/>
        </w:rPr>
      </w:pPr>
      <w:r w:rsidRPr="00532C5B">
        <w:rPr>
          <w:rFonts w:cstheme="minorHAnsi"/>
        </w:rPr>
        <w:t xml:space="preserve">Through the application of the energy justice framework, we were able to determine how Bulgaria’s expansion of renewables in light of its 2020 targets led to an improved energy dependence and grid infrastructure that ensured a more stable, safe and clean distribution of electricity. At the same time, the analysis highlighted the fundamental shortcomings in due process and good governance </w:t>
      </w:r>
      <w:r w:rsidRPr="00532C5B">
        <w:rPr>
          <w:rFonts w:cstheme="minorHAnsi"/>
        </w:rPr>
        <w:lastRenderedPageBreak/>
        <w:t xml:space="preserve">that enabled a corrupted and mismanaged regulatory framework. These issues resulted in a disproportionate burdening of current consumers and undermined the sustainability of Bulgaria’s renewable energy transition, and thereby intergenerational equity. </w:t>
      </w:r>
      <w:r w:rsidR="00611D76">
        <w:rPr>
          <w:rFonts w:cstheme="minorHAnsi"/>
        </w:rPr>
        <w:t xml:space="preserve">Indeed, the findings of </w:t>
      </w:r>
      <w:proofErr w:type="gramStart"/>
      <w:r w:rsidR="00611D76">
        <w:rPr>
          <w:rFonts w:cstheme="minorHAnsi"/>
        </w:rPr>
        <w:t xml:space="preserve">the  </w:t>
      </w:r>
      <w:proofErr w:type="spellStart"/>
      <w:r w:rsidR="00611D76">
        <w:rPr>
          <w:rFonts w:cstheme="minorHAnsi"/>
        </w:rPr>
        <w:t>intragenerational</w:t>
      </w:r>
      <w:proofErr w:type="spellEnd"/>
      <w:proofErr w:type="gramEnd"/>
      <w:r w:rsidR="00611D76">
        <w:rPr>
          <w:rFonts w:cstheme="minorHAnsi"/>
        </w:rPr>
        <w:t xml:space="preserve"> justice aspects of Bulgaria’s renewable energy transition beg for a more in-depth assessment of the effects of further vulnerable social groups as identified by </w:t>
      </w:r>
      <w:proofErr w:type="spellStart"/>
      <w:r w:rsidR="00611D76">
        <w:rPr>
          <w:rFonts w:cstheme="minorHAnsi"/>
        </w:rPr>
        <w:t>Bouzarovski</w:t>
      </w:r>
      <w:proofErr w:type="spellEnd"/>
      <w:r w:rsidR="00611D76">
        <w:rPr>
          <w:rFonts w:cstheme="minorHAnsi"/>
        </w:rPr>
        <w:t xml:space="preserve"> </w:t>
      </w:r>
      <w:r w:rsidR="00611D76" w:rsidRPr="00611D76">
        <w:rPr>
          <w:rFonts w:cstheme="minorHAnsi"/>
          <w:i/>
        </w:rPr>
        <w:t xml:space="preserve">et. </w:t>
      </w:r>
      <w:proofErr w:type="gramStart"/>
      <w:r w:rsidR="00611D76" w:rsidRPr="00611D76">
        <w:rPr>
          <w:rFonts w:cstheme="minorHAnsi"/>
          <w:i/>
        </w:rPr>
        <w:t>al</w:t>
      </w:r>
      <w:proofErr w:type="gramEnd"/>
      <w:r w:rsidR="00611D76" w:rsidRPr="00611D76">
        <w:rPr>
          <w:rFonts w:cstheme="minorHAnsi"/>
          <w:i/>
        </w:rPr>
        <w:t>.</w:t>
      </w:r>
      <w:r w:rsidR="00611D76">
        <w:rPr>
          <w:rFonts w:cstheme="minorHAnsi"/>
        </w:rPr>
        <w:t xml:space="preserve">  </w:t>
      </w:r>
      <w:r w:rsidR="00611D76">
        <w:rPr>
          <w:rFonts w:cstheme="minorHAnsi"/>
        </w:rPr>
        <w:fldChar w:fldCharType="begin" w:fldLock="1"/>
      </w:r>
      <w:r w:rsidR="00611D76">
        <w:rPr>
          <w:rFonts w:cstheme="minorHAnsi"/>
        </w:rPr>
        <w:instrText>ADDIN CSL_CITATION { "citationItems" : [ { "id" : "ITEM-1", "itemData" : { "DOI" : "10.1080/04353684.2016.1276733", "ISSN" : "0435-3684", "author" : [ { "dropping-particle" : "", "family" : "Bouzarovski", "given" : "Stefan", "non-dropping-particle" : "", "parse-names" : false, "suffix" : "" }, { "dropping-particle" : "", "family" : "Tirado Herrero", "given" : "Sergio", "non-dropping-particle" : "", "parse-names" : false, "suffix" : "" }, { "dropping-particle" : "", "family" : "Petrova", "given" : "Saska", "non-dropping-particle" : "", "parse-names" : false, "suffix" : "" }, { "dropping-particle" : "", "family" : "Frankowski", "given" : "Jan", "non-dropping-particle" : "", "parse-names" : false, "suffix" : "" }, { "dropping-particle" : "", "family" : "Matou\u0161ek", "given" : "Roman", "non-dropping-particle" : "", "parse-names" : false, "suffix" : "" }, { "dropping-particle" : "", "family" : "Maltby", "given" : "Tomas", "non-dropping-particle" : "", "parse-names" : false, "suffix" : "" } ], "container-title" : "Geografiska Annaler: Series B, Human Geography", "id" : "ITEM-1", "issue" : "1", "issued" : { "date-parts" : [ [ "2017" ] ] }, "page" : "20-41", "publisher" : "Taylor &amp; Francis", "title" : "Multiple transformations: theorizing energy vulnerability as a socio-spatial phenomenon", "type" : "article-journal", "volume" : "99" }, "suppress-author" : 1, "uris" : [ "http://www.mendeley.com/documents/?uuid=8ced3679-c4ac-4505-bc56-ff9139e1ae3e" ] } ], "mendeley" : { "formattedCitation" : "(2017)", "plainTextFormattedCitation" : "(2017)", "previouslyFormattedCitation" : "(2017)" }, "properties" : {  }, "schema" : "https://github.com/citation-style-language/schema/raw/master/csl-citation.json" }</w:instrText>
      </w:r>
      <w:r w:rsidR="00611D76">
        <w:rPr>
          <w:rFonts w:cstheme="minorHAnsi"/>
        </w:rPr>
        <w:fldChar w:fldCharType="separate"/>
      </w:r>
      <w:r w:rsidR="00611D76" w:rsidRPr="00611D76">
        <w:rPr>
          <w:rFonts w:cstheme="minorHAnsi"/>
          <w:noProof/>
        </w:rPr>
        <w:t>(2017)</w:t>
      </w:r>
      <w:r w:rsidR="00611D76">
        <w:rPr>
          <w:rFonts w:cstheme="minorHAnsi"/>
        </w:rPr>
        <w:fldChar w:fldCharType="end"/>
      </w:r>
      <w:r w:rsidR="00611D76">
        <w:rPr>
          <w:rFonts w:cstheme="minorHAnsi"/>
        </w:rPr>
        <w:t>.</w:t>
      </w:r>
    </w:p>
    <w:p w:rsidR="000713A2" w:rsidRPr="00532C5B" w:rsidRDefault="0047462D" w:rsidP="00312FD5">
      <w:pPr>
        <w:spacing w:after="0"/>
        <w:ind w:firstLine="720"/>
        <w:contextualSpacing/>
        <w:rPr>
          <w:rFonts w:cstheme="minorHAnsi"/>
        </w:rPr>
      </w:pPr>
      <w:r>
        <w:rPr>
          <w:rFonts w:cstheme="minorHAnsi"/>
        </w:rPr>
        <w:t>Beyond</w:t>
      </w:r>
      <w:r w:rsidR="000713A2" w:rsidRPr="00532C5B">
        <w:rPr>
          <w:rFonts w:cstheme="minorHAnsi"/>
        </w:rPr>
        <w:t xml:space="preserve"> the adverse political and regulatory context</w:t>
      </w:r>
      <w:r w:rsidR="00AC3CA8">
        <w:rPr>
          <w:rFonts w:cstheme="minorHAnsi"/>
        </w:rPr>
        <w:t xml:space="preserve"> </w:t>
      </w:r>
      <w:r>
        <w:rPr>
          <w:rFonts w:cstheme="minorHAnsi"/>
        </w:rPr>
        <w:t xml:space="preserve">visible </w:t>
      </w:r>
      <w:r w:rsidR="00AC3CA8">
        <w:rPr>
          <w:rFonts w:cstheme="minorHAnsi"/>
        </w:rPr>
        <w:t>in the Bulgarian case</w:t>
      </w:r>
      <w:r w:rsidR="000713A2" w:rsidRPr="00532C5B">
        <w:rPr>
          <w:rFonts w:cstheme="minorHAnsi"/>
        </w:rPr>
        <w:t xml:space="preserve">, renewable energy transitions </w:t>
      </w:r>
      <w:r w:rsidR="000C01DA">
        <w:rPr>
          <w:rFonts w:cstheme="minorHAnsi"/>
        </w:rPr>
        <w:t>are seen</w:t>
      </w:r>
      <w:r w:rsidR="000713A2" w:rsidRPr="00532C5B">
        <w:rPr>
          <w:rFonts w:cstheme="minorHAnsi"/>
        </w:rPr>
        <w:t xml:space="preserve"> to serve as important facilitators of improving energy justice in terms of availability and sustainability of energy systems. They represent a central tool for governments seeking to address contemporary environmental and climate issues, and provide greater intergenerational equity. However, while renewable energy transitions can</w:t>
      </w:r>
      <w:r w:rsidR="000C01DA">
        <w:rPr>
          <w:rFonts w:cstheme="minorHAnsi"/>
        </w:rPr>
        <w:t xml:space="preserve"> generally </w:t>
      </w:r>
      <w:r w:rsidR="000713A2" w:rsidRPr="00532C5B">
        <w:rPr>
          <w:rFonts w:cstheme="minorHAnsi"/>
        </w:rPr>
        <w:t>improve distributive justice in terms of pollution and access to clean energy, they can potentially aggravate the financial burden of energy to consumers. For renewable energy transitions to therefore advance energy justice as a whole requires a long-term government strategy to enable a responsive policy framework that effectively and efficiently drives the expansion of renewable capacity and thereby protects society from both environmental and financial burdens.</w:t>
      </w:r>
    </w:p>
    <w:p w:rsidR="000713A2" w:rsidRPr="00532C5B" w:rsidRDefault="000713A2" w:rsidP="00312FD5">
      <w:pPr>
        <w:spacing w:after="0"/>
        <w:ind w:firstLine="720"/>
        <w:contextualSpacing/>
        <w:rPr>
          <w:rFonts w:cstheme="minorHAnsi"/>
        </w:rPr>
      </w:pPr>
      <w:r w:rsidRPr="00532C5B">
        <w:rPr>
          <w:rFonts w:cstheme="minorHAnsi"/>
          <w:lang w:eastAsia="en-GB"/>
        </w:rPr>
        <w:t xml:space="preserve">As such, by omission Bulgaria’s renewable energy transition affirmed the general assumptions of influential factors shaping renewable energy transitions. The case of Bulgaria’s renewables expansion showed how the lack of an effective and dynamic policy design undermines the sustainability of renewable energy transitions. This has been particularly expressed in Bulgaria’s weak macroeconomic context, in which large portions of the population struggle with energy poverty, and in times of economic crisis and austerity experience a falling purchasing power. The absence of a bottom-up commitment to sustainability transitions by the government resulted in a regulatory environment driven by external targets without a long-term strategy, and was prone to abuse. Bulgaria’s mismanaged policy design had significant financial implications for companies and consumers that further undermined public support in a growing perception of government </w:t>
      </w:r>
      <w:r w:rsidRPr="00532C5B">
        <w:rPr>
          <w:rFonts w:cstheme="minorHAnsi"/>
          <w:lang w:eastAsia="en-GB"/>
        </w:rPr>
        <w:lastRenderedPageBreak/>
        <w:t>corruption. T</w:t>
      </w:r>
      <w:r w:rsidRPr="00532C5B">
        <w:rPr>
          <w:rFonts w:cstheme="minorHAnsi"/>
        </w:rPr>
        <w:t>he opacity in energy contracts with conventional power plants eased the political decision to focus the blame for rising electricity prices almost exclusively on renewables that followed an EU-induced greater public transparency.</w:t>
      </w:r>
      <w:r w:rsidRPr="00532C5B">
        <w:rPr>
          <w:rStyle w:val="FootnoteReference"/>
          <w:rFonts w:cstheme="minorHAnsi"/>
        </w:rPr>
        <w:footnoteReference w:id="34"/>
      </w:r>
    </w:p>
    <w:p w:rsidR="000713A2" w:rsidRPr="00532C5B" w:rsidRDefault="000713A2" w:rsidP="00312FD5">
      <w:pPr>
        <w:spacing w:after="0"/>
        <w:ind w:firstLine="720"/>
        <w:contextualSpacing/>
        <w:rPr>
          <w:rFonts w:cstheme="minorHAnsi"/>
          <w:lang w:eastAsia="en-GB"/>
        </w:rPr>
      </w:pPr>
      <w:r w:rsidRPr="00532C5B">
        <w:rPr>
          <w:rFonts w:cstheme="minorHAnsi"/>
        </w:rPr>
        <w:t>As the result of an abused top-down policy approach, officially achieving the 2020 renewable targets in 2013 resulted in the lack of a political incentive to expand renewables further and led to a cessation of support for commercial renewable projects.</w:t>
      </w:r>
      <w:r w:rsidRPr="00532C5B">
        <w:rPr>
          <w:rFonts w:cstheme="minorHAnsi"/>
          <w:lang w:eastAsia="en-GB"/>
        </w:rPr>
        <w:t xml:space="preserve"> The subsequent ending of a supportive renewables policy after the reaching of the 2020 targets has halted the process of improving the sustainability of Bulgaria’s energy system and led to the conclusion that the “so-called energy </w:t>
      </w:r>
      <w:r w:rsidRPr="00532C5B">
        <w:rPr>
          <w:rFonts w:cstheme="minorHAnsi"/>
          <w:i/>
          <w:lang w:eastAsia="en-GB"/>
        </w:rPr>
        <w:t>transition</w:t>
      </w:r>
      <w:r w:rsidRPr="00532C5B">
        <w:rPr>
          <w:rFonts w:cstheme="minorHAnsi"/>
          <w:lang w:eastAsia="en-GB"/>
        </w:rPr>
        <w:t xml:space="preserve"> in Bulgaria never happened”.</w:t>
      </w:r>
      <w:r w:rsidRPr="00532C5B">
        <w:rPr>
          <w:rStyle w:val="FootnoteReference"/>
          <w:rFonts w:cstheme="minorHAnsi"/>
          <w:lang w:eastAsia="en-GB"/>
        </w:rPr>
        <w:footnoteReference w:id="35"/>
      </w:r>
      <w:r w:rsidRPr="00532C5B">
        <w:rPr>
          <w:rFonts w:cstheme="minorHAnsi"/>
          <w:lang w:eastAsia="en-GB"/>
        </w:rPr>
        <w:t xml:space="preserve"> </w:t>
      </w:r>
      <w:r w:rsidRPr="00532C5B">
        <w:rPr>
          <w:rFonts w:cstheme="minorHAnsi"/>
        </w:rPr>
        <w:t>In effect, due to the regulatory overshoot, the “renewable energy market over-burnt in the early years of its development […, and] the greediness of some to make fast profit without seeing the whole picture stopped the renewable energy transition after 2012”.</w:t>
      </w:r>
      <w:r w:rsidRPr="00532C5B">
        <w:rPr>
          <w:rStyle w:val="FootnoteReference"/>
          <w:rFonts w:cstheme="minorHAnsi"/>
        </w:rPr>
        <w:footnoteReference w:id="36"/>
      </w:r>
    </w:p>
    <w:p w:rsidR="000713A2" w:rsidRPr="00532C5B" w:rsidRDefault="000713A2" w:rsidP="00312FD5">
      <w:pPr>
        <w:spacing w:after="0"/>
        <w:contextualSpacing/>
        <w:rPr>
          <w:rFonts w:cstheme="minorHAnsi"/>
          <w:lang w:eastAsia="en-GB"/>
        </w:rPr>
      </w:pPr>
    </w:p>
    <w:p w:rsidR="000713A2" w:rsidRPr="00532C5B" w:rsidRDefault="000713A2" w:rsidP="00312FD5">
      <w:pPr>
        <w:spacing w:after="0"/>
        <w:contextualSpacing/>
        <w:rPr>
          <w:rFonts w:cstheme="minorHAnsi"/>
        </w:rPr>
      </w:pPr>
      <w:r w:rsidRPr="00532C5B">
        <w:rPr>
          <w:rFonts w:cstheme="minorHAnsi"/>
          <w:lang w:eastAsia="en-GB"/>
        </w:rPr>
        <w:t xml:space="preserve">In conclusion, </w:t>
      </w:r>
      <w:r w:rsidRPr="00532C5B">
        <w:rPr>
          <w:rFonts w:cstheme="minorHAnsi"/>
        </w:rPr>
        <w:t>Bulgaria’s renewable energy transition followed a boom and bust cycle that was marked by a rapid expansion of renewable energy capacity until 2012, and subsequent policy adjustments that halted the development of new projects. Driven by a generous preferential pricing scheme that served the financial interests of some, the fast uptake of renewable capacity was aided by general government incompetence in the design of the regulatory framework. The rapidly accumulating cost of the expansion of renewable electricity and associated grid updates added to a growing financial burden in light of falling energy export levels during the economic crisis.</w:t>
      </w:r>
      <w:r w:rsidR="00611D76">
        <w:rPr>
          <w:rFonts w:cstheme="minorHAnsi"/>
        </w:rPr>
        <w:t xml:space="preserve"> </w:t>
      </w:r>
      <w:r w:rsidRPr="00532C5B">
        <w:rPr>
          <w:rFonts w:cstheme="minorHAnsi"/>
        </w:rPr>
        <w:t xml:space="preserve"> Lacking a domestic commitment for sustainability transitions, the expansion of renewables ended as the external incentive in form of the 2020 targets was reached, and financial pressures mounted. </w:t>
      </w:r>
    </w:p>
    <w:p w:rsidR="000C01DA" w:rsidRDefault="000713A2" w:rsidP="008B21C2">
      <w:pPr>
        <w:spacing w:after="0"/>
        <w:contextualSpacing/>
        <w:rPr>
          <w:rFonts w:cstheme="minorHAnsi"/>
        </w:rPr>
      </w:pPr>
      <w:r w:rsidRPr="00532C5B">
        <w:rPr>
          <w:rFonts w:cstheme="minorHAnsi"/>
        </w:rPr>
        <w:tab/>
      </w:r>
      <w:r w:rsidR="008B21C2">
        <w:rPr>
          <w:rFonts w:cstheme="minorHAnsi"/>
        </w:rPr>
        <w:t xml:space="preserve">Conceptually, we expanded the energy justice framework to a case of a less-wealthy </w:t>
      </w:r>
      <w:r w:rsidR="00684074">
        <w:rPr>
          <w:rFonts w:cstheme="minorHAnsi"/>
        </w:rPr>
        <w:t xml:space="preserve">European </w:t>
      </w:r>
      <w:r w:rsidR="008B21C2">
        <w:rPr>
          <w:rFonts w:cstheme="minorHAnsi"/>
        </w:rPr>
        <w:t>state</w:t>
      </w:r>
      <w:r w:rsidR="0074649A">
        <w:rPr>
          <w:rFonts w:cstheme="minorHAnsi"/>
        </w:rPr>
        <w:t>, and showcased how it can benefit analyses of similar context</w:t>
      </w:r>
      <w:r w:rsidR="00C632B8">
        <w:rPr>
          <w:rFonts w:cstheme="minorHAnsi"/>
        </w:rPr>
        <w:t>s</w:t>
      </w:r>
      <w:r w:rsidR="008B21C2">
        <w:rPr>
          <w:rFonts w:cstheme="minorHAnsi"/>
        </w:rPr>
        <w:t xml:space="preserve">. </w:t>
      </w:r>
      <w:r w:rsidR="00236322">
        <w:rPr>
          <w:rFonts w:cstheme="minorHAnsi"/>
        </w:rPr>
        <w:t xml:space="preserve">While its application </w:t>
      </w:r>
      <w:r w:rsidR="00236322">
        <w:rPr>
          <w:rFonts w:cstheme="minorHAnsi"/>
        </w:rPr>
        <w:lastRenderedPageBreak/>
        <w:t xml:space="preserve">was in part </w:t>
      </w:r>
      <w:r w:rsidR="0074649A">
        <w:rPr>
          <w:rFonts w:cstheme="minorHAnsi"/>
        </w:rPr>
        <w:t>aggravated</w:t>
      </w:r>
      <w:r w:rsidR="00236322">
        <w:rPr>
          <w:rFonts w:cstheme="minorHAnsi"/>
        </w:rPr>
        <w:t xml:space="preserve"> by the opacity of information, the analytical experience thereby mirrored the challenges of Bulgaria’s renewable energy transition. At the same time, the energy justice framework also depicted the </w:t>
      </w:r>
      <w:r w:rsidR="00684074">
        <w:rPr>
          <w:rFonts w:cstheme="minorHAnsi"/>
        </w:rPr>
        <w:t xml:space="preserve">potentials in terms of reframing the current policy approach. </w:t>
      </w:r>
      <w:r w:rsidR="00236322">
        <w:rPr>
          <w:rFonts w:cstheme="minorHAnsi"/>
        </w:rPr>
        <w:t>As seen in this article, energy justice has the ability to highlight societal and economic injustices</w:t>
      </w:r>
      <w:r w:rsidR="0074649A">
        <w:rPr>
          <w:rFonts w:cstheme="minorHAnsi"/>
        </w:rPr>
        <w:t>,</w:t>
      </w:r>
      <w:r w:rsidR="00236322">
        <w:rPr>
          <w:rFonts w:cstheme="minorHAnsi"/>
        </w:rPr>
        <w:t xml:space="preserve"> </w:t>
      </w:r>
      <w:r w:rsidR="0074649A">
        <w:rPr>
          <w:rFonts w:cstheme="minorHAnsi"/>
        </w:rPr>
        <w:t xml:space="preserve">as well as </w:t>
      </w:r>
      <w:r w:rsidR="00236322">
        <w:rPr>
          <w:rFonts w:cstheme="minorHAnsi"/>
        </w:rPr>
        <w:t>identify their origin</w:t>
      </w:r>
      <w:r w:rsidR="0074649A">
        <w:rPr>
          <w:rFonts w:cstheme="minorHAnsi"/>
        </w:rPr>
        <w:t xml:space="preserve"> or potential causes</w:t>
      </w:r>
      <w:r w:rsidR="00236322">
        <w:rPr>
          <w:rFonts w:cstheme="minorHAnsi"/>
        </w:rPr>
        <w:t xml:space="preserve"> in </w:t>
      </w:r>
      <w:r w:rsidR="0074649A">
        <w:rPr>
          <w:rFonts w:cstheme="minorHAnsi"/>
        </w:rPr>
        <w:t>existing regulatory</w:t>
      </w:r>
      <w:r w:rsidR="00236322">
        <w:rPr>
          <w:rFonts w:cstheme="minorHAnsi"/>
        </w:rPr>
        <w:t xml:space="preserve"> frameworks and policy-making</w:t>
      </w:r>
      <w:r w:rsidR="0074649A">
        <w:rPr>
          <w:rFonts w:cstheme="minorHAnsi"/>
        </w:rPr>
        <w:t xml:space="preserve"> processes</w:t>
      </w:r>
      <w:r w:rsidR="00236322">
        <w:rPr>
          <w:rFonts w:cstheme="minorHAnsi"/>
        </w:rPr>
        <w:t xml:space="preserve">. </w:t>
      </w:r>
      <w:r w:rsidR="0074649A">
        <w:rPr>
          <w:rFonts w:cstheme="minorHAnsi"/>
        </w:rPr>
        <w:t xml:space="preserve">We therefore </w:t>
      </w:r>
      <w:r w:rsidR="000C01DA">
        <w:rPr>
          <w:rFonts w:cstheme="minorHAnsi"/>
        </w:rPr>
        <w:t>exemplified the</w:t>
      </w:r>
      <w:r w:rsidR="0074649A">
        <w:rPr>
          <w:rFonts w:cstheme="minorHAnsi"/>
        </w:rPr>
        <w:t xml:space="preserve"> distinct</w:t>
      </w:r>
      <w:r w:rsidR="000C01DA">
        <w:rPr>
          <w:rFonts w:cstheme="minorHAnsi"/>
        </w:rPr>
        <w:t xml:space="preserve"> value of energy justice as an analytical tool </w:t>
      </w:r>
      <w:r w:rsidR="0074649A">
        <w:rPr>
          <w:rFonts w:cstheme="minorHAnsi"/>
        </w:rPr>
        <w:t>and stress its value in informing also future policy decisions</w:t>
      </w:r>
      <w:r w:rsidR="00881781">
        <w:rPr>
          <w:rFonts w:cstheme="minorHAnsi"/>
        </w:rPr>
        <w:t>, both at a national and EU level</w:t>
      </w:r>
      <w:r w:rsidR="0074649A">
        <w:rPr>
          <w:rFonts w:cstheme="minorHAnsi"/>
        </w:rPr>
        <w:t>.</w:t>
      </w:r>
      <w:r w:rsidR="00881781">
        <w:rPr>
          <w:rFonts w:cstheme="minorHAnsi"/>
        </w:rPr>
        <w:t xml:space="preserve"> In fact, future target frameworks</w:t>
      </w:r>
      <w:r w:rsidR="00B85BD0">
        <w:rPr>
          <w:rFonts w:cstheme="minorHAnsi"/>
        </w:rPr>
        <w:t xml:space="preserve"> that include energy justice</w:t>
      </w:r>
      <w:r w:rsidR="00881781">
        <w:rPr>
          <w:rFonts w:cstheme="minorHAnsi"/>
        </w:rPr>
        <w:t xml:space="preserve"> can </w:t>
      </w:r>
      <w:r w:rsidR="00B85BD0">
        <w:rPr>
          <w:rFonts w:cstheme="minorHAnsi"/>
        </w:rPr>
        <w:t xml:space="preserve">potentially </w:t>
      </w:r>
      <w:r w:rsidR="00881781">
        <w:rPr>
          <w:rFonts w:cstheme="minorHAnsi"/>
        </w:rPr>
        <w:t xml:space="preserve">prevent </w:t>
      </w:r>
      <w:r w:rsidR="00B85BD0">
        <w:rPr>
          <w:rFonts w:cstheme="minorHAnsi"/>
        </w:rPr>
        <w:t xml:space="preserve">similar </w:t>
      </w:r>
      <w:r w:rsidR="00881781">
        <w:rPr>
          <w:rFonts w:cstheme="minorHAnsi"/>
        </w:rPr>
        <w:t xml:space="preserve">adverse societal and economic impacts </w:t>
      </w:r>
      <w:r w:rsidR="00B85BD0">
        <w:rPr>
          <w:rFonts w:cstheme="minorHAnsi"/>
        </w:rPr>
        <w:t>of climate action, as seen in Bulgaria, providing a more sustainable, long-term policy pathway.</w:t>
      </w:r>
    </w:p>
    <w:p w:rsidR="00881781" w:rsidRDefault="00A83096" w:rsidP="0074649A">
      <w:pPr>
        <w:spacing w:after="0"/>
        <w:ind w:firstLine="720"/>
        <w:contextualSpacing/>
        <w:rPr>
          <w:rFonts w:cstheme="minorHAnsi"/>
        </w:rPr>
      </w:pPr>
      <w:r>
        <w:rPr>
          <w:rFonts w:cstheme="minorHAnsi"/>
        </w:rPr>
        <w:t xml:space="preserve">Although the analysis was solely focused on the case of Bulgaria, valuable lessons for similar political, economic and societal contexts can be drawn. </w:t>
      </w:r>
      <w:r w:rsidR="008B21C2">
        <w:rPr>
          <w:rFonts w:cstheme="minorHAnsi"/>
        </w:rPr>
        <w:t xml:space="preserve">Through </w:t>
      </w:r>
      <w:r w:rsidR="004B6FF8">
        <w:rPr>
          <w:rFonts w:cstheme="minorHAnsi"/>
        </w:rPr>
        <w:t>the analysis</w:t>
      </w:r>
      <w:r w:rsidR="000713A2" w:rsidRPr="00532C5B">
        <w:rPr>
          <w:rFonts w:cstheme="minorHAnsi"/>
        </w:rPr>
        <w:t>, we identified the general potential of renewables to improve distributive justice in light of the justice principles of availability and sustainability. At the same time, the analysis highlighted the fundamental need for good governance and due process to provide an effective, efficient and responsive policy framework that serves the interest of society.  Otherwise, a mismanag</w:t>
      </w:r>
      <w:r w:rsidR="00881781">
        <w:rPr>
          <w:rFonts w:cstheme="minorHAnsi"/>
        </w:rPr>
        <w:t>ed renewable energy transition</w:t>
      </w:r>
      <w:r w:rsidR="000713A2" w:rsidRPr="00532C5B">
        <w:rPr>
          <w:rFonts w:cstheme="minorHAnsi"/>
        </w:rPr>
        <w:t xml:space="preserve"> can lead to a worsening of the affordability principle by overburdening consumers and resulting in growing energy poverty. As seen in the analysis, such financial pressures undermine the overall sustainability of the transition and thereby endanger intergenerational equity.</w:t>
      </w:r>
    </w:p>
    <w:p w:rsidR="000713A2" w:rsidRPr="00532C5B" w:rsidRDefault="000713A2" w:rsidP="0074649A">
      <w:pPr>
        <w:spacing w:after="0"/>
        <w:ind w:firstLine="720"/>
        <w:contextualSpacing/>
        <w:rPr>
          <w:rFonts w:cstheme="minorHAnsi"/>
        </w:rPr>
      </w:pPr>
      <w:r w:rsidRPr="00532C5B">
        <w:rPr>
          <w:rFonts w:cstheme="minorHAnsi"/>
        </w:rPr>
        <w:t>Our analysis affirmed the general assumptions on influential factors for renewable energy transitions. It depicted the societal, economic and political implications of a renewable energy transition that lacked a long-term strategy and support, and an effective and dynamic policy design in a macro-economic context of rising energy poverty and decreasing purchasing power during the economic crisis and austerity.</w:t>
      </w:r>
      <w:r w:rsidR="00611D76">
        <w:rPr>
          <w:rFonts w:cstheme="minorHAnsi"/>
        </w:rPr>
        <w:t xml:space="preserve"> </w:t>
      </w:r>
      <w:r w:rsidRPr="00532C5B">
        <w:rPr>
          <w:rFonts w:cstheme="minorHAnsi"/>
        </w:rPr>
        <w:t>Rather than create a system of good governance and due process, Bulgaria’s pre-existing dynamics of state capture drove the country’s rapid renewable energy growth, and ultimately ended it.</w:t>
      </w:r>
    </w:p>
    <w:p w:rsidR="000713A2" w:rsidRPr="00532C5B" w:rsidRDefault="000713A2" w:rsidP="00312FD5">
      <w:pPr>
        <w:spacing w:after="0"/>
        <w:contextualSpacing/>
        <w:rPr>
          <w:rFonts w:cstheme="minorHAnsi"/>
        </w:rPr>
      </w:pPr>
    </w:p>
    <w:p w:rsidR="000713A2" w:rsidRPr="00532C5B" w:rsidRDefault="000713A2" w:rsidP="00611D76">
      <w:pPr>
        <w:pStyle w:val="Heading2"/>
        <w:spacing w:before="0"/>
        <w:contextualSpacing/>
        <w:rPr>
          <w:rFonts w:asciiTheme="minorHAnsi" w:hAnsiTheme="minorHAnsi" w:cstheme="minorHAnsi"/>
        </w:rPr>
      </w:pPr>
      <w:bookmarkStart w:id="9" w:name="_Toc496525279"/>
      <w:r w:rsidRPr="00532C5B">
        <w:rPr>
          <w:rFonts w:asciiTheme="minorHAnsi" w:hAnsiTheme="minorHAnsi" w:cstheme="minorHAnsi"/>
        </w:rPr>
        <w:t>References</w:t>
      </w:r>
      <w:bookmarkEnd w:id="9"/>
    </w:p>
    <w:p w:rsidR="00611D76" w:rsidRPr="00611D76" w:rsidRDefault="000713A2" w:rsidP="00611D76">
      <w:pPr>
        <w:widowControl w:val="0"/>
        <w:autoSpaceDE w:val="0"/>
        <w:autoSpaceDN w:val="0"/>
        <w:adjustRightInd w:val="0"/>
        <w:spacing w:after="0" w:line="240" w:lineRule="auto"/>
        <w:ind w:left="480" w:hanging="480"/>
        <w:rPr>
          <w:rFonts w:ascii="Calibri" w:hAnsi="Calibri" w:cs="Calibri"/>
          <w:noProof/>
          <w:szCs w:val="24"/>
        </w:rPr>
      </w:pPr>
      <w:r w:rsidRPr="00532C5B">
        <w:rPr>
          <w:rFonts w:cstheme="minorHAnsi"/>
        </w:rPr>
        <w:fldChar w:fldCharType="begin" w:fldLock="1"/>
      </w:r>
      <w:r w:rsidRPr="00532C5B">
        <w:rPr>
          <w:rFonts w:cstheme="minorHAnsi"/>
        </w:rPr>
        <w:instrText xml:space="preserve">ADDIN Mendeley Bibliography CSL_BIBLIOGRAPHY </w:instrText>
      </w:r>
      <w:r w:rsidRPr="00532C5B">
        <w:rPr>
          <w:rFonts w:cstheme="minorHAnsi"/>
        </w:rPr>
        <w:fldChar w:fldCharType="separate"/>
      </w:r>
      <w:r w:rsidR="00611D76" w:rsidRPr="00611D76">
        <w:rPr>
          <w:rFonts w:ascii="Calibri" w:hAnsi="Calibri" w:cs="Calibri"/>
          <w:noProof/>
          <w:szCs w:val="24"/>
        </w:rPr>
        <w:t xml:space="preserve">Bouzarovski, S. et al. (2017) Multiple transformations: theorizing energy vulnerability as a socio-spatial phenomenon. </w:t>
      </w:r>
      <w:r w:rsidR="00611D76" w:rsidRPr="00611D76">
        <w:rPr>
          <w:rFonts w:ascii="Calibri" w:hAnsi="Calibri" w:cs="Calibri"/>
          <w:i/>
          <w:iCs/>
          <w:noProof/>
          <w:szCs w:val="24"/>
        </w:rPr>
        <w:t>Geografiska Annaler: Series B, Human Geography</w:t>
      </w:r>
      <w:r w:rsidR="00611D76" w:rsidRPr="00611D76">
        <w:rPr>
          <w:rFonts w:ascii="Calibri" w:hAnsi="Calibri" w:cs="Calibri"/>
          <w:noProof/>
          <w:szCs w:val="24"/>
        </w:rPr>
        <w:t>. [Online] 99 (1), 20–41. [online]. Available from: https://www.tandfonline.com/doi/full/10.1080/04353684.2016.1276733.</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Bulgaria State Gazette (2013) Energy from renewable sources Act. </w:t>
      </w:r>
      <w:r w:rsidRPr="00611D76">
        <w:rPr>
          <w:rFonts w:ascii="Calibri" w:hAnsi="Calibri" w:cs="Calibri"/>
          <w:i/>
          <w:iCs/>
          <w:noProof/>
          <w:szCs w:val="24"/>
        </w:rPr>
        <w:t>35</w:t>
      </w:r>
      <w:r w:rsidRPr="00611D76">
        <w:rPr>
          <w:rFonts w:ascii="Calibri" w:hAnsi="Calibri" w:cs="Calibri"/>
          <w:noProof/>
          <w:szCs w:val="24"/>
        </w:rPr>
        <w:t>. (59), . [online]. Available from: http://ec.europa.eu/eurostat/statistics-explained/index.php/Energy_from_renewable_sources.</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Center for the Study of Democracy (2014) </w:t>
      </w:r>
      <w:r w:rsidRPr="00611D76">
        <w:rPr>
          <w:rFonts w:ascii="Calibri" w:hAnsi="Calibri" w:cs="Calibri"/>
          <w:i/>
          <w:iCs/>
          <w:noProof/>
          <w:szCs w:val="24"/>
        </w:rPr>
        <w:t>Energy Sector Governance and Energy (In)Security in Bulgaria</w:t>
      </w:r>
      <w:r w:rsidRPr="00611D76">
        <w:rPr>
          <w:rFonts w:ascii="Calibri" w:hAnsi="Calibri" w:cs="Calibri"/>
          <w:noProof/>
          <w:szCs w:val="24"/>
        </w:rPr>
        <w:t xml:space="preserve">.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Center for the Study of Democracy (2017) </w:t>
      </w:r>
      <w:r w:rsidRPr="00611D76">
        <w:rPr>
          <w:rFonts w:ascii="Calibri" w:hAnsi="Calibri" w:cs="Calibri"/>
          <w:i/>
          <w:iCs/>
          <w:noProof/>
          <w:szCs w:val="24"/>
        </w:rPr>
        <w:t>Evaluating governance and corruption risks in Bulgaria</w:t>
      </w:r>
      <w:r w:rsidRPr="00611D76">
        <w:rPr>
          <w:rFonts w:ascii="Calibri" w:hAnsi="Calibri" w:cs="Calibri"/>
          <w:noProof/>
          <w:szCs w:val="24"/>
        </w:rPr>
        <w:t xml:space="preserve">.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Center for the Study of Democracy (2010) </w:t>
      </w:r>
      <w:r w:rsidRPr="00611D76">
        <w:rPr>
          <w:rFonts w:ascii="Calibri" w:hAnsi="Calibri" w:cs="Calibri"/>
          <w:i/>
          <w:iCs/>
          <w:noProof/>
          <w:szCs w:val="24"/>
        </w:rPr>
        <w:t>The Energy Sector in Bulgaria - Major Governance Issues</w:t>
      </w:r>
      <w:r w:rsidRPr="00611D76">
        <w:rPr>
          <w:rFonts w:ascii="Calibri" w:hAnsi="Calibri" w:cs="Calibri"/>
          <w:noProof/>
          <w:szCs w:val="24"/>
        </w:rPr>
        <w:t>. [online]. Available from: http://www.csd.bg/artShow.php?id=15199.</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Cherrington, R. et al. (2013) The feed-in tariff in the UK: A case study focus on domestic photovoltaic systems. </w:t>
      </w:r>
      <w:r w:rsidRPr="00611D76">
        <w:rPr>
          <w:rFonts w:ascii="Calibri" w:hAnsi="Calibri" w:cs="Calibri"/>
          <w:i/>
          <w:iCs/>
          <w:noProof/>
          <w:szCs w:val="24"/>
        </w:rPr>
        <w:t>Renewable Energy</w:t>
      </w:r>
      <w:r w:rsidRPr="00611D76">
        <w:rPr>
          <w:rFonts w:ascii="Calibri" w:hAnsi="Calibri" w:cs="Calibri"/>
          <w:noProof/>
          <w:szCs w:val="24"/>
        </w:rPr>
        <w:t>. [Online] 50421–426.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Chodkowska-Miszczuk, J. (2014) Small-Scale Renewable Energy Systems in the Development of Distributed Generation in Poland. </w:t>
      </w:r>
      <w:r w:rsidRPr="00611D76">
        <w:rPr>
          <w:rFonts w:ascii="Calibri" w:hAnsi="Calibri" w:cs="Calibri"/>
          <w:i/>
          <w:iCs/>
          <w:noProof/>
          <w:szCs w:val="24"/>
        </w:rPr>
        <w:t>Moravian Geographical Reports</w:t>
      </w:r>
      <w:r w:rsidRPr="00611D76">
        <w:rPr>
          <w:rFonts w:ascii="Calibri" w:hAnsi="Calibri" w:cs="Calibri"/>
          <w:noProof/>
          <w:szCs w:val="24"/>
        </w:rPr>
        <w:t>. [Online] 22 (2), 34–43. [online]. Available from: http://www.degruyter.com/view/j/mgr.2014.22.issue-2/mgr-2014-0010/mgr-2014-0010.xml.</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Court of Justice of the European Union (2016) </w:t>
      </w:r>
      <w:r w:rsidRPr="00611D76">
        <w:rPr>
          <w:rFonts w:ascii="Calibri" w:hAnsi="Calibri" w:cs="Calibri"/>
          <w:i/>
          <w:iCs/>
          <w:noProof/>
          <w:szCs w:val="24"/>
        </w:rPr>
        <w:t>Case C-141/14</w:t>
      </w:r>
      <w:r w:rsidRPr="00611D76">
        <w:rPr>
          <w:rFonts w:ascii="Calibri" w:hAnsi="Calibri" w:cs="Calibri"/>
          <w:noProof/>
          <w:szCs w:val="24"/>
        </w:rPr>
        <w:t xml:space="preserve">.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D’Ortigue, L. et al. (2015) Renewable Energy Capacity Statistics 2015. </w:t>
      </w:r>
      <w:r w:rsidRPr="00611D76">
        <w:rPr>
          <w:rFonts w:ascii="Calibri" w:hAnsi="Calibri" w:cs="Calibri"/>
          <w:i/>
          <w:iCs/>
          <w:noProof/>
          <w:szCs w:val="24"/>
        </w:rPr>
        <w:t>IRENA</w:t>
      </w:r>
      <w:r w:rsidRPr="00611D76">
        <w:rPr>
          <w:rFonts w:ascii="Calibri" w:hAnsi="Calibri" w:cs="Calibri"/>
          <w:noProof/>
          <w:szCs w:val="24"/>
        </w:rPr>
        <w:t>. [Online] (0),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Deloy, C. (2014) </w:t>
      </w:r>
      <w:r w:rsidRPr="00611D76">
        <w:rPr>
          <w:rFonts w:ascii="Calibri" w:hAnsi="Calibri" w:cs="Calibri"/>
          <w:i/>
          <w:iCs/>
          <w:noProof/>
          <w:szCs w:val="24"/>
        </w:rPr>
        <w:t>General elections on 5th October might not bring the political crisis in Bulgaria to an end .</w:t>
      </w:r>
      <w:r w:rsidRPr="00611D76">
        <w:rPr>
          <w:rFonts w:ascii="Calibri" w:hAnsi="Calibri" w:cs="Calibri"/>
          <w:noProof/>
          <w:szCs w:val="24"/>
        </w:rPr>
        <w:t xml:space="preserve"> (June 2013),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Deloy, C. (2017) The Bulgarian general elections on 26th March might not lead to a majority. </w:t>
      </w:r>
      <w:r w:rsidRPr="00611D76">
        <w:rPr>
          <w:rFonts w:ascii="Calibri" w:hAnsi="Calibri" w:cs="Calibri"/>
          <w:i/>
          <w:iCs/>
          <w:noProof/>
          <w:szCs w:val="24"/>
        </w:rPr>
        <w:t>Foundation Robert Schuman</w:t>
      </w:r>
      <w:r w:rsidRPr="00611D76">
        <w:rPr>
          <w:rFonts w:ascii="Calibri" w:hAnsi="Calibri" w:cs="Calibri"/>
          <w:noProof/>
          <w:szCs w:val="24"/>
        </w:rPr>
        <w:t>. (MARCH),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Energy and Water Regulatory Commission Bulgaria (2015) </w:t>
      </w:r>
      <w:r w:rsidRPr="00611D76">
        <w:rPr>
          <w:rFonts w:ascii="Calibri" w:hAnsi="Calibri" w:cs="Calibri"/>
          <w:i/>
          <w:iCs/>
          <w:noProof/>
          <w:szCs w:val="24"/>
        </w:rPr>
        <w:t>Annual Report To the European Commission</w:t>
      </w:r>
      <w:r w:rsidRPr="00611D76">
        <w:rPr>
          <w:rFonts w:ascii="Calibri" w:hAnsi="Calibri" w:cs="Calibri"/>
          <w:noProof/>
          <w:szCs w:val="24"/>
        </w:rPr>
        <w:t>. (July).</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EREC (2009) </w:t>
      </w:r>
      <w:r w:rsidRPr="00611D76">
        <w:rPr>
          <w:rFonts w:ascii="Calibri" w:hAnsi="Calibri" w:cs="Calibri"/>
          <w:i/>
          <w:iCs/>
          <w:noProof/>
          <w:szCs w:val="24"/>
        </w:rPr>
        <w:t>Renewable Energy Policy Review: Bulgaria</w:t>
      </w:r>
      <w:r w:rsidRPr="00611D76">
        <w:rPr>
          <w:rFonts w:ascii="Calibri" w:hAnsi="Calibri" w:cs="Calibri"/>
          <w:noProof/>
          <w:szCs w:val="24"/>
        </w:rPr>
        <w:t>. 1–6.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EurObserv’Er (2015) </w:t>
      </w:r>
      <w:r w:rsidRPr="00611D76">
        <w:rPr>
          <w:rFonts w:ascii="Calibri" w:hAnsi="Calibri" w:cs="Calibri"/>
          <w:i/>
          <w:iCs/>
          <w:noProof/>
          <w:szCs w:val="24"/>
        </w:rPr>
        <w:t>Country Policy Profile. Bulgaria</w:t>
      </w:r>
      <w:r w:rsidRPr="00611D76">
        <w:rPr>
          <w:rFonts w:ascii="Calibri" w:hAnsi="Calibri" w:cs="Calibri"/>
          <w:noProof/>
          <w:szCs w:val="24"/>
        </w:rPr>
        <w:t>. [online]. Available from: https://www.eurobserv-er.org/pdf/res-policy/EurObservER-RES-Policy-Report-Country-Profile-2015-12-Bulgaria.pdf. (December). [online]. Available from: https://www.eurobserv-er.org/pdf/res-policy/EurObservER-RES-Policy-Report-Country-Profile-2015-12-Bulgaria.pdf.</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(2003) Directive 2003/35/EC of the European Parliament and of the Council of 26 May 2003 providing for public participation in respect of the drawing up of certain plans and programmes relating to the environment and amending with regard to public participation. </w:t>
      </w:r>
      <w:r w:rsidRPr="00611D76">
        <w:rPr>
          <w:rFonts w:ascii="Calibri" w:hAnsi="Calibri" w:cs="Calibri"/>
          <w:i/>
          <w:iCs/>
          <w:noProof/>
          <w:szCs w:val="24"/>
        </w:rPr>
        <w:t>Official Journal of the European Union</w:t>
      </w:r>
      <w:r w:rsidRPr="00611D76">
        <w:rPr>
          <w:rFonts w:ascii="Calibri" w:hAnsi="Calibri" w:cs="Calibri"/>
          <w:noProof/>
          <w:szCs w:val="24"/>
        </w:rPr>
        <w:t>. L15617–24.</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(2009) Directive 2009/31/EC of the European Parliament and of the Council of 23 April 2009 on the geological storage of carbon dioxide and amending Council Directive 85/337/EEC, European Parliament and Council Directives 2000/60/EC, 2001/80/EC, 2004/35/EC, 2006/. </w:t>
      </w:r>
      <w:r w:rsidRPr="00611D76">
        <w:rPr>
          <w:rFonts w:ascii="Calibri" w:hAnsi="Calibri" w:cs="Calibri"/>
          <w:i/>
          <w:iCs/>
          <w:noProof/>
          <w:szCs w:val="24"/>
        </w:rPr>
        <w:t>Offical Journal of the European Union</w:t>
      </w:r>
      <w:r w:rsidRPr="00611D76">
        <w:rPr>
          <w:rFonts w:ascii="Calibri" w:hAnsi="Calibri" w:cs="Calibri"/>
          <w:noProof/>
          <w:szCs w:val="24"/>
        </w:rPr>
        <w:t>. L140/114 (June 2006), 114–135.</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(2010) </w:t>
      </w:r>
      <w:r w:rsidRPr="00611D76">
        <w:rPr>
          <w:rFonts w:ascii="Calibri" w:hAnsi="Calibri" w:cs="Calibri"/>
          <w:i/>
          <w:iCs/>
          <w:noProof/>
          <w:szCs w:val="24"/>
        </w:rPr>
        <w:t>Europe 2020 – Europe’s growth strategy</w:t>
      </w:r>
      <w:r w:rsidRPr="00611D76">
        <w:rPr>
          <w:rFonts w:ascii="Calibri" w:hAnsi="Calibri" w:cs="Calibri"/>
          <w:noProof/>
          <w:szCs w:val="24"/>
        </w:rPr>
        <w:t xml:space="preserve">.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(2014a) European Energy Security Strategy. </w:t>
      </w:r>
      <w:r w:rsidRPr="00611D76">
        <w:rPr>
          <w:rFonts w:ascii="Calibri" w:hAnsi="Calibri" w:cs="Calibri"/>
          <w:i/>
          <w:iCs/>
          <w:noProof/>
          <w:szCs w:val="24"/>
        </w:rPr>
        <w:t>European Commission Website</w:t>
      </w:r>
      <w:r w:rsidRPr="00611D76">
        <w:rPr>
          <w:rFonts w:ascii="Calibri" w:hAnsi="Calibri" w:cs="Calibri"/>
          <w:noProof/>
          <w:szCs w:val="24"/>
        </w:rPr>
        <w:t>. [Online] 24.</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(2018) </w:t>
      </w:r>
      <w:r w:rsidRPr="00611D76">
        <w:rPr>
          <w:rFonts w:ascii="Calibri" w:hAnsi="Calibri" w:cs="Calibri"/>
          <w:i/>
          <w:iCs/>
          <w:noProof/>
          <w:szCs w:val="24"/>
        </w:rPr>
        <w:t>Housing Statistics</w:t>
      </w:r>
      <w:r w:rsidRPr="00611D76">
        <w:rPr>
          <w:rFonts w:ascii="Calibri" w:hAnsi="Calibri" w:cs="Calibri"/>
          <w:noProof/>
          <w:szCs w:val="24"/>
        </w:rPr>
        <w:t xml:space="preserve"> [online]. Available from: http://ec.europa.eu/eurostat/statistics-explained/index.php/Housing_statistics.</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(2013) </w:t>
      </w:r>
      <w:r w:rsidRPr="00611D76">
        <w:rPr>
          <w:rFonts w:ascii="Calibri" w:hAnsi="Calibri" w:cs="Calibri"/>
          <w:i/>
          <w:iCs/>
          <w:noProof/>
          <w:szCs w:val="24"/>
        </w:rPr>
        <w:t>Member States’ Energy Dependence: An Indicator-Based Assessment</w:t>
      </w:r>
      <w:r w:rsidRPr="00611D76">
        <w:rPr>
          <w:rFonts w:ascii="Calibri" w:hAnsi="Calibri" w:cs="Calibri"/>
          <w:noProof/>
          <w:szCs w:val="24"/>
        </w:rPr>
        <w:t>. [Online]. [online]. Available from: http://ec.europa.eu/economy_finance/publications/occasional_paper/2013/pdf/ocp145_en.p</w:t>
      </w:r>
      <w:r w:rsidRPr="00611D76">
        <w:rPr>
          <w:rFonts w:ascii="Calibri" w:hAnsi="Calibri" w:cs="Calibri"/>
          <w:noProof/>
          <w:szCs w:val="24"/>
        </w:rPr>
        <w:lastRenderedPageBreak/>
        <w:t>df.</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(2017) </w:t>
      </w:r>
      <w:r w:rsidRPr="00611D76">
        <w:rPr>
          <w:rFonts w:ascii="Calibri" w:hAnsi="Calibri" w:cs="Calibri"/>
          <w:i/>
          <w:iCs/>
          <w:noProof/>
          <w:szCs w:val="24"/>
        </w:rPr>
        <w:t>On Progress in Bulgaria under the Co-operation and Verification Mechanism</w:t>
      </w:r>
      <w:r w:rsidRPr="00611D76">
        <w:rPr>
          <w:rFonts w:ascii="Calibri" w:hAnsi="Calibri" w:cs="Calibri"/>
          <w:noProof/>
          <w:szCs w:val="24"/>
        </w:rPr>
        <w:t xml:space="preserve">.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European Commission (2014b) </w:t>
      </w:r>
      <w:r w:rsidRPr="00611D76">
        <w:rPr>
          <w:rFonts w:ascii="Calibri" w:hAnsi="Calibri" w:cs="Calibri"/>
          <w:i/>
          <w:iCs/>
          <w:noProof/>
          <w:szCs w:val="24"/>
        </w:rPr>
        <w:t>Single market progress report 2014 - Bulgaria</w:t>
      </w:r>
      <w:r w:rsidRPr="00611D76">
        <w:rPr>
          <w:rFonts w:ascii="Calibri" w:hAnsi="Calibri" w:cs="Calibri"/>
          <w:noProof/>
          <w:szCs w:val="24"/>
        </w:rPr>
        <w:t>. 21–29. [online]. Available from: https://ec.europa.eu/energy/en/topics/markets-and-consumers/single-market-progress-report.</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Eurostat (2017) </w:t>
      </w:r>
      <w:r w:rsidRPr="00611D76">
        <w:rPr>
          <w:rFonts w:ascii="Calibri" w:hAnsi="Calibri" w:cs="Calibri"/>
          <w:i/>
          <w:iCs/>
          <w:noProof/>
          <w:szCs w:val="24"/>
        </w:rPr>
        <w:t>Eurostat</w:t>
      </w:r>
      <w:r w:rsidRPr="00611D76">
        <w:rPr>
          <w:rFonts w:ascii="Calibri" w:hAnsi="Calibri" w:cs="Calibri"/>
          <w:noProof/>
          <w:szCs w:val="24"/>
        </w:rPr>
        <w:t xml:space="preserve"> [online]. Available from: http://ec.europa.eu/eurostat/de (Accessed 20 September 2017).</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Eurostat Press Office (2014) Euro area and EU28 government deficit at 2.9% and 3.2% of GDP respectively. </w:t>
      </w:r>
      <w:r w:rsidRPr="00611D76">
        <w:rPr>
          <w:rFonts w:ascii="Calibri" w:hAnsi="Calibri" w:cs="Calibri"/>
          <w:i/>
          <w:iCs/>
          <w:noProof/>
          <w:szCs w:val="24"/>
        </w:rPr>
        <w:t>Eurostat Press Office</w:t>
      </w:r>
      <w:r w:rsidRPr="00611D76">
        <w:rPr>
          <w:rFonts w:ascii="Calibri" w:hAnsi="Calibri" w:cs="Calibri"/>
          <w:noProof/>
          <w:szCs w:val="24"/>
        </w:rPr>
        <w:t>. (April), . [online]. Available from: http://ec.europa.eu/eurostat/documents/2995521/5182258/2-21102014-AP-EN.PDF/497e3b55-dca0-482f-93e0-d82f81bc92d7.</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Ewing, J. &amp; Kantchev, G. (2014) In Bulgaria, Corruption and Mistrust Turn Promise Into Pain. </w:t>
      </w:r>
      <w:r w:rsidRPr="00611D76">
        <w:rPr>
          <w:rFonts w:ascii="Calibri" w:hAnsi="Calibri" w:cs="Calibri"/>
          <w:i/>
          <w:iCs/>
          <w:noProof/>
          <w:szCs w:val="24"/>
        </w:rPr>
        <w:t>New York Times</w:t>
      </w:r>
      <w:r w:rsidRPr="00611D76">
        <w:rPr>
          <w:rFonts w:ascii="Calibri" w:hAnsi="Calibri" w:cs="Calibri"/>
          <w:noProof/>
          <w:szCs w:val="24"/>
        </w:rPr>
        <w:t>. 7 July. [online]. Available from: https://www.nytimes.com/2014/07/08/business/international/bank-runs-in-bulgaria-expose-fragility-and-flaws.html?_r=0.</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Eyraud, L. et al. (2011) Who’s Going Green and Why? Trends and Determinants of Green Investment. </w:t>
      </w:r>
      <w:r w:rsidRPr="00611D76">
        <w:rPr>
          <w:rFonts w:ascii="Calibri" w:hAnsi="Calibri" w:cs="Calibri"/>
          <w:i/>
          <w:iCs/>
          <w:noProof/>
          <w:szCs w:val="24"/>
        </w:rPr>
        <w:t>IMF Working Papers</w:t>
      </w:r>
      <w:r w:rsidRPr="00611D76">
        <w:rPr>
          <w:rFonts w:ascii="Calibri" w:hAnsi="Calibri" w:cs="Calibri"/>
          <w:noProof/>
          <w:szCs w:val="24"/>
        </w:rPr>
        <w:t>. [Online] 11 (296), 39. [online]. Available from: http://elibrary.imf.org/view/IMF001/12370-9781463927301/12370-9781463927301/12370-9781463927301.xml.</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Fabra, N. et al. (2015) The energy transition in Europe : Initial lessons from Germany , the UK and France Towards a low carbon European power sector. </w:t>
      </w:r>
      <w:r w:rsidRPr="00611D76">
        <w:rPr>
          <w:rFonts w:ascii="Calibri" w:hAnsi="Calibri" w:cs="Calibri"/>
          <w:i/>
          <w:iCs/>
          <w:noProof/>
          <w:szCs w:val="24"/>
        </w:rPr>
        <w:t>Centre on Regulation in Europe</w:t>
      </w:r>
      <w:r w:rsidRPr="00611D76">
        <w:rPr>
          <w:rFonts w:ascii="Calibri" w:hAnsi="Calibri" w:cs="Calibri"/>
          <w:noProof/>
          <w:szCs w:val="24"/>
        </w:rPr>
        <w:t>. 32 (October),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Foxon, T. J. et al. (2008) Transition pathways for a low carbon energy system in the UK: assessing the compatibility of large-scale and small-scale options. </w:t>
      </w:r>
      <w:r w:rsidRPr="00611D76">
        <w:rPr>
          <w:rFonts w:ascii="Calibri" w:hAnsi="Calibri" w:cs="Calibri"/>
          <w:i/>
          <w:iCs/>
          <w:noProof/>
          <w:szCs w:val="24"/>
        </w:rPr>
        <w:t>7th BIEE Academic Conference, St Johns College, Oxford</w:t>
      </w:r>
      <w:r w:rsidRPr="00611D76">
        <w:rPr>
          <w:rFonts w:ascii="Calibri" w:hAnsi="Calibri" w:cs="Calibri"/>
          <w:noProof/>
          <w:szCs w:val="24"/>
        </w:rPr>
        <w:t>. (2), 1–16.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Frondel, M. et al. (2010) Economic impacts from the promotion of renewable energy technologies: The German experience. </w:t>
      </w:r>
      <w:r w:rsidRPr="00611D76">
        <w:rPr>
          <w:rFonts w:ascii="Calibri" w:hAnsi="Calibri" w:cs="Calibri"/>
          <w:i/>
          <w:iCs/>
          <w:noProof/>
          <w:szCs w:val="24"/>
        </w:rPr>
        <w:t>Energy Policy</w:t>
      </w:r>
      <w:r w:rsidRPr="00611D76">
        <w:rPr>
          <w:rFonts w:ascii="Calibri" w:hAnsi="Calibri" w:cs="Calibri"/>
          <w:noProof/>
          <w:szCs w:val="24"/>
        </w:rPr>
        <w:t>. [Online] 38 (8), 4048–4056. [online]. Available from: http://dx.doi.org/10.1016/j.enpol.2010.03.029.</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Fuller, S. &amp; McCauley, D. (2016) Framing energy justice: Perspectives from activism and advocacy. </w:t>
      </w:r>
      <w:r w:rsidRPr="00611D76">
        <w:rPr>
          <w:rFonts w:ascii="Calibri" w:hAnsi="Calibri" w:cs="Calibri"/>
          <w:i/>
          <w:iCs/>
          <w:noProof/>
          <w:szCs w:val="24"/>
        </w:rPr>
        <w:t>Energy Research and Social Science</w:t>
      </w:r>
      <w:r w:rsidRPr="00611D76">
        <w:rPr>
          <w:rFonts w:ascii="Calibri" w:hAnsi="Calibri" w:cs="Calibri"/>
          <w:noProof/>
          <w:szCs w:val="24"/>
        </w:rPr>
        <w:t>. [Online] 111–8.</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Government of Bulgaria (2008) </w:t>
      </w:r>
      <w:r w:rsidRPr="00611D76">
        <w:rPr>
          <w:rFonts w:ascii="Calibri" w:hAnsi="Calibri" w:cs="Calibri"/>
          <w:i/>
          <w:iCs/>
          <w:noProof/>
          <w:szCs w:val="24"/>
        </w:rPr>
        <w:t>Bulgarian Energy Strategy by 2020. Draft Version</w:t>
      </w:r>
      <w:r w:rsidRPr="00611D76">
        <w:rPr>
          <w:rFonts w:ascii="Calibri" w:hAnsi="Calibri" w:cs="Calibri"/>
          <w:noProof/>
          <w:szCs w:val="24"/>
        </w:rPr>
        <w:t>. (November).</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Government of Bulgaria (2011a) </w:t>
      </w:r>
      <w:r w:rsidRPr="00611D76">
        <w:rPr>
          <w:rFonts w:ascii="Calibri" w:hAnsi="Calibri" w:cs="Calibri"/>
          <w:i/>
          <w:iCs/>
          <w:noProof/>
          <w:szCs w:val="24"/>
        </w:rPr>
        <w:t>Energy From Renewable Sources Act</w:t>
      </w:r>
      <w:r w:rsidRPr="00611D76">
        <w:rPr>
          <w:rFonts w:ascii="Calibri" w:hAnsi="Calibri" w:cs="Calibri"/>
          <w:noProof/>
          <w:szCs w:val="24"/>
        </w:rPr>
        <w:t xml:space="preserve">.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Government of Bulgaria (2011b) </w:t>
      </w:r>
      <w:r w:rsidRPr="00611D76">
        <w:rPr>
          <w:rFonts w:ascii="Calibri" w:hAnsi="Calibri" w:cs="Calibri"/>
          <w:i/>
          <w:iCs/>
          <w:noProof/>
          <w:szCs w:val="24"/>
        </w:rPr>
        <w:t>Energy Strategy of the Republic of Bulgaria till 2020. For Reliable, Efficient and Cleaner Energy</w:t>
      </w:r>
      <w:r w:rsidRPr="00611D76">
        <w:rPr>
          <w:rFonts w:ascii="Calibri" w:hAnsi="Calibri" w:cs="Calibri"/>
          <w:noProof/>
          <w:szCs w:val="24"/>
        </w:rPr>
        <w:t>. (June).</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Government of Bulgaria (2014) </w:t>
      </w:r>
      <w:r w:rsidRPr="00611D76">
        <w:rPr>
          <w:rFonts w:ascii="Calibri" w:hAnsi="Calibri" w:cs="Calibri"/>
          <w:i/>
          <w:iCs/>
          <w:noProof/>
          <w:szCs w:val="24"/>
        </w:rPr>
        <w:t>Environmental Protection Act</w:t>
      </w:r>
      <w:r w:rsidRPr="00611D76">
        <w:rPr>
          <w:rFonts w:ascii="Calibri" w:hAnsi="Calibri" w:cs="Calibri"/>
          <w:noProof/>
          <w:szCs w:val="24"/>
        </w:rPr>
        <w:t>. (91).</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Gramatikova, K. (2012) The New Bulgarian Renewable Energy Sources Act. </w:t>
      </w:r>
      <w:r w:rsidRPr="00611D76">
        <w:rPr>
          <w:rFonts w:ascii="Calibri" w:hAnsi="Calibri" w:cs="Calibri"/>
          <w:i/>
          <w:iCs/>
          <w:noProof/>
          <w:szCs w:val="24"/>
        </w:rPr>
        <w:t>Wirtschaftsblatt</w:t>
      </w:r>
      <w:r w:rsidRPr="00611D76">
        <w:rPr>
          <w:rFonts w:ascii="Calibri" w:hAnsi="Calibri" w:cs="Calibri"/>
          <w:noProof/>
          <w:szCs w:val="24"/>
        </w:rPr>
        <w:t>. 1.</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Grozdanov, I. (2016) Electricity regulation in Bulgaria: Overview. Practical Law Country Q&amp;A [online]. Available from: http://uk.practicallaw.com/8-545-7207. 2 (523–7911). [online]. Available from: http://uk.practicallaw.com/8-545-7207.</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8646EC">
        <w:rPr>
          <w:rFonts w:ascii="Calibri" w:hAnsi="Calibri" w:cs="Calibri"/>
          <w:noProof/>
          <w:szCs w:val="24"/>
          <w:lang w:val="de-DE"/>
        </w:rPr>
        <w:t xml:space="preserve">Haas, R., Panzer, C., et al. </w:t>
      </w:r>
      <w:r w:rsidRPr="00611D76">
        <w:rPr>
          <w:rFonts w:ascii="Calibri" w:hAnsi="Calibri" w:cs="Calibri"/>
          <w:noProof/>
          <w:szCs w:val="24"/>
        </w:rPr>
        <w:t xml:space="preserve">(2011) A historical review of promotion strategies for electricity from renewable energy sources in EU countries. </w:t>
      </w:r>
      <w:r w:rsidRPr="00611D76">
        <w:rPr>
          <w:rFonts w:ascii="Calibri" w:hAnsi="Calibri" w:cs="Calibri"/>
          <w:i/>
          <w:iCs/>
          <w:noProof/>
          <w:szCs w:val="24"/>
        </w:rPr>
        <w:t>Renewable and Sustainable Energy Reviews</w:t>
      </w:r>
      <w:r w:rsidRPr="00611D76">
        <w:rPr>
          <w:rFonts w:ascii="Calibri" w:hAnsi="Calibri" w:cs="Calibri"/>
          <w:noProof/>
          <w:szCs w:val="24"/>
        </w:rPr>
        <w:t>. [Online] 15 (2), 1003–1034. [online]. Available from: http://dx.doi.org/10.1016/j.rser.2010.11.015.</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8646EC">
        <w:rPr>
          <w:rFonts w:ascii="Calibri" w:hAnsi="Calibri" w:cs="Calibri"/>
          <w:noProof/>
          <w:szCs w:val="24"/>
          <w:lang w:val="de-DE"/>
        </w:rPr>
        <w:t xml:space="preserve">Haas, R., Resch, G., et al. </w:t>
      </w:r>
      <w:r w:rsidRPr="00611D76">
        <w:rPr>
          <w:rFonts w:ascii="Calibri" w:hAnsi="Calibri" w:cs="Calibri"/>
          <w:noProof/>
          <w:szCs w:val="24"/>
        </w:rPr>
        <w:t xml:space="preserve">(2011) Efficiency and effectiveness of promotion systems for electricity generation from renewable energy sources - Lessons from EU countries. </w:t>
      </w:r>
      <w:r w:rsidRPr="00611D76">
        <w:rPr>
          <w:rFonts w:ascii="Calibri" w:hAnsi="Calibri" w:cs="Calibri"/>
          <w:i/>
          <w:iCs/>
          <w:noProof/>
          <w:szCs w:val="24"/>
        </w:rPr>
        <w:t>Energy</w:t>
      </w:r>
      <w:r w:rsidRPr="00611D76">
        <w:rPr>
          <w:rFonts w:ascii="Calibri" w:hAnsi="Calibri" w:cs="Calibri"/>
          <w:noProof/>
          <w:szCs w:val="24"/>
        </w:rPr>
        <w:t>. [Online] 36 (4), 2186–2193. [online]. Available from: http://dx.doi.org/10.1016/j.energy.2010.06.028.</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Hiteva, R. &amp; Maltby, T. (2017) ‘Hitting the target but missing the point: failing and succeeding in the Bulgarian renewable energy sector’, in Israel Solorio &amp; Helge Jörgens (eds.) </w:t>
      </w:r>
      <w:r w:rsidRPr="00611D76">
        <w:rPr>
          <w:rFonts w:ascii="Calibri" w:hAnsi="Calibri" w:cs="Calibri"/>
          <w:i/>
          <w:iCs/>
          <w:noProof/>
          <w:szCs w:val="24"/>
        </w:rPr>
        <w:t>A Guide to EU Renewable Energy Policy</w:t>
      </w:r>
      <w:r w:rsidRPr="00611D76">
        <w:rPr>
          <w:rFonts w:ascii="Calibri" w:hAnsi="Calibri" w:cs="Calibri"/>
          <w:noProof/>
          <w:szCs w:val="24"/>
        </w:rPr>
        <w:t>. Cheltenham, UK: Edward Elgar Publishing. pp. 224–246.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Institute of Energy for South-East Europe (2014) </w:t>
      </w:r>
      <w:r w:rsidRPr="00611D76">
        <w:rPr>
          <w:rFonts w:ascii="Calibri" w:hAnsi="Calibri" w:cs="Calibri"/>
          <w:i/>
          <w:iCs/>
          <w:noProof/>
          <w:szCs w:val="24"/>
        </w:rPr>
        <w:t xml:space="preserve">Bulgarian Environmental Impact Assessment (EIA) </w:t>
      </w:r>
      <w:r w:rsidRPr="00611D76">
        <w:rPr>
          <w:rFonts w:ascii="Calibri" w:hAnsi="Calibri" w:cs="Calibri"/>
          <w:i/>
          <w:iCs/>
          <w:noProof/>
          <w:szCs w:val="24"/>
        </w:rPr>
        <w:lastRenderedPageBreak/>
        <w:t>Approved for the South Stream Offshore Pipeline</w:t>
      </w:r>
      <w:r w:rsidRPr="00611D76">
        <w:rPr>
          <w:rFonts w:ascii="Calibri" w:hAnsi="Calibri" w:cs="Calibri"/>
          <w:noProof/>
          <w:szCs w:val="24"/>
        </w:rPr>
        <w:t xml:space="preserve"> [online]. Available from: http://www.iene.eu/bulgarian-environmental-impact-assessment-eia-approved-for-the-south-stream-offshore-pipeline-p380.html.</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International Energy Agency (2015a) </w:t>
      </w:r>
      <w:r w:rsidRPr="00611D76">
        <w:rPr>
          <w:rFonts w:ascii="Calibri" w:hAnsi="Calibri" w:cs="Calibri"/>
          <w:i/>
          <w:iCs/>
          <w:noProof/>
          <w:szCs w:val="24"/>
        </w:rPr>
        <w:t>Bulgaria: Feed-in-tariffs (FITs) for electricity from renewable sources</w:t>
      </w:r>
      <w:r w:rsidRPr="00611D76">
        <w:rPr>
          <w:rFonts w:ascii="Calibri" w:hAnsi="Calibri" w:cs="Calibri"/>
          <w:noProof/>
          <w:szCs w:val="24"/>
        </w:rPr>
        <w:t>. [online]. Available from: https://www.iea.org/policiesandmeasures/pams/bulgaria/name-25061-en.php.</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International Energy Agency (2015b) </w:t>
      </w:r>
      <w:r w:rsidRPr="00611D76">
        <w:rPr>
          <w:rFonts w:ascii="Calibri" w:hAnsi="Calibri" w:cs="Calibri"/>
          <w:i/>
          <w:iCs/>
          <w:noProof/>
          <w:szCs w:val="24"/>
        </w:rPr>
        <w:t>Energy From Renewable Sources Act</w:t>
      </w:r>
      <w:r w:rsidRPr="00611D76">
        <w:rPr>
          <w:rFonts w:ascii="Calibri" w:hAnsi="Calibri" w:cs="Calibri"/>
          <w:noProof/>
          <w:szCs w:val="24"/>
        </w:rPr>
        <w:t xml:space="preserve"> [online]. Available from: https://www.iea.org/policiesandmeasures/pams/bulgaria/name-42357-en.php.</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International Energy Agency (2009) </w:t>
      </w:r>
      <w:r w:rsidRPr="00611D76">
        <w:rPr>
          <w:rFonts w:ascii="Calibri" w:hAnsi="Calibri" w:cs="Calibri"/>
          <w:i/>
          <w:iCs/>
          <w:noProof/>
          <w:szCs w:val="24"/>
        </w:rPr>
        <w:t>How the Energy Sector can Deliver on a Climate Agreement in Copenhagen</w:t>
      </w:r>
      <w:r w:rsidRPr="00611D76">
        <w:rPr>
          <w:rFonts w:ascii="Calibri" w:hAnsi="Calibri" w:cs="Calibri"/>
          <w:noProof/>
          <w:szCs w:val="24"/>
        </w:rPr>
        <w:t>. (October), 62. [online]. Available from: http://www.aiest.unam.mx/biblio/IEA_climate_change_excerpt.pdf.</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Islar, M. et al. (2017) Feasibility of energy justice: Exploring national and local efforts for energy development in Nepal. </w:t>
      </w:r>
      <w:r w:rsidRPr="00611D76">
        <w:rPr>
          <w:rFonts w:ascii="Calibri" w:hAnsi="Calibri" w:cs="Calibri"/>
          <w:i/>
          <w:iCs/>
          <w:noProof/>
          <w:szCs w:val="24"/>
        </w:rPr>
        <w:t>Energy Policy</w:t>
      </w:r>
      <w:r w:rsidRPr="00611D76">
        <w:rPr>
          <w:rFonts w:ascii="Calibri" w:hAnsi="Calibri" w:cs="Calibri"/>
          <w:noProof/>
          <w:szCs w:val="24"/>
        </w:rPr>
        <w:t>. [Online] 105 (March), 668–676.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Ivancheva, M. (2013) The Bulgarian Wave of Protests, 2012-2013. Council for European Studies [online]. Available from: http://councilforeuropeanstudies.org/critcom/the-bulgarian-wave-of-protests-2012-2013/. [online]. Available from: http://councilforeuropeanstudies.org/critcom/the-bulgarian-wave-of-protests-2012-2013/.</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Jacobsson, S. &amp; Lauber, V. (2006) The politics and policy of energy system transformation - Explaining the German diffusion of renewable energy technology. </w:t>
      </w:r>
      <w:r w:rsidRPr="00611D76">
        <w:rPr>
          <w:rFonts w:ascii="Calibri" w:hAnsi="Calibri" w:cs="Calibri"/>
          <w:i/>
          <w:iCs/>
          <w:noProof/>
          <w:szCs w:val="24"/>
        </w:rPr>
        <w:t>Energy Policy</w:t>
      </w:r>
      <w:r w:rsidRPr="00611D76">
        <w:rPr>
          <w:rFonts w:ascii="Calibri" w:hAnsi="Calibri" w:cs="Calibri"/>
          <w:noProof/>
          <w:szCs w:val="24"/>
        </w:rPr>
        <w:t>. [Online] 34 (3), 256–276.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Jenkins, K. et al. (2016) Energy justice : A conceptual review. </w:t>
      </w:r>
      <w:r w:rsidRPr="00611D76">
        <w:rPr>
          <w:rFonts w:ascii="Calibri" w:hAnsi="Calibri" w:cs="Calibri"/>
          <w:i/>
          <w:iCs/>
          <w:noProof/>
          <w:szCs w:val="24"/>
        </w:rPr>
        <w:t>Energy Research &amp; Social Science</w:t>
      </w:r>
      <w:r w:rsidRPr="00611D76">
        <w:rPr>
          <w:rFonts w:ascii="Calibri" w:hAnsi="Calibri" w:cs="Calibri"/>
          <w:noProof/>
          <w:szCs w:val="24"/>
        </w:rPr>
        <w:t>. 11174–182.</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Jenkins, K. et al. (2017) Energy justice: A policy approach. </w:t>
      </w:r>
      <w:r w:rsidRPr="00611D76">
        <w:rPr>
          <w:rFonts w:ascii="Calibri" w:hAnsi="Calibri" w:cs="Calibri"/>
          <w:i/>
          <w:iCs/>
          <w:noProof/>
          <w:szCs w:val="24"/>
        </w:rPr>
        <w:t>Energy Policy</w:t>
      </w:r>
      <w:r w:rsidRPr="00611D76">
        <w:rPr>
          <w:rFonts w:ascii="Calibri" w:hAnsi="Calibri" w:cs="Calibri"/>
          <w:noProof/>
          <w:szCs w:val="24"/>
        </w:rPr>
        <w:t>. [Online] 105 (xxxx), 631–634.</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Jirous, F. et al. (2011) Integration of electricity from renewables to the electricity grid and to the electricity market: Bulgaria. RES-INTEGRATION - Country report (December).</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Kirov, V. (2012) Public Funding for Green Energy in a Context of Crisis. Country Report (Bulgaria). </w:t>
      </w:r>
      <w:r w:rsidRPr="00611D76">
        <w:rPr>
          <w:rFonts w:ascii="Calibri" w:hAnsi="Calibri" w:cs="Calibri"/>
          <w:i/>
          <w:iCs/>
          <w:noProof/>
          <w:szCs w:val="24"/>
        </w:rPr>
        <w:t>Institute for the Study of Societies and Knowledge</w:t>
      </w:r>
      <w:r w:rsidRPr="00611D76">
        <w:rPr>
          <w:rFonts w:ascii="Calibri" w:hAnsi="Calibri" w:cs="Calibri"/>
          <w:noProof/>
          <w:szCs w:val="24"/>
        </w:rPr>
        <w:t>. (December), 1–30.</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Lehr, U. et al. (2012) Green jobs? Economic impacts of renewable energy in Germany. </w:t>
      </w:r>
      <w:r w:rsidRPr="00611D76">
        <w:rPr>
          <w:rFonts w:ascii="Calibri" w:hAnsi="Calibri" w:cs="Calibri"/>
          <w:i/>
          <w:iCs/>
          <w:noProof/>
          <w:szCs w:val="24"/>
        </w:rPr>
        <w:t>Energy Policy</w:t>
      </w:r>
      <w:r w:rsidRPr="00611D76">
        <w:rPr>
          <w:rFonts w:ascii="Calibri" w:hAnsi="Calibri" w:cs="Calibri"/>
          <w:noProof/>
          <w:szCs w:val="24"/>
        </w:rPr>
        <w:t>. [Online] 47358–364. [online]. Available from: http://dx.doi.org/10.1016/j.enpol.2012.04.076.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Lund, H. (2007) Renewable energy strategies for sustainable development. </w:t>
      </w:r>
      <w:r w:rsidRPr="00611D76">
        <w:rPr>
          <w:rFonts w:ascii="Calibri" w:hAnsi="Calibri" w:cs="Calibri"/>
          <w:i/>
          <w:iCs/>
          <w:noProof/>
          <w:szCs w:val="24"/>
        </w:rPr>
        <w:t>Energy</w:t>
      </w:r>
      <w:r w:rsidRPr="00611D76">
        <w:rPr>
          <w:rFonts w:ascii="Calibri" w:hAnsi="Calibri" w:cs="Calibri"/>
          <w:noProof/>
          <w:szCs w:val="24"/>
        </w:rPr>
        <w:t>. [Online] 32 (6), 912–919.</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Mantcheva, D. et al. (2012) Resource Efficiency Gains and Green Growth Perspectives in Bulgaria. </w:t>
      </w:r>
      <w:r w:rsidRPr="00611D76">
        <w:rPr>
          <w:rFonts w:ascii="Calibri" w:hAnsi="Calibri" w:cs="Calibri"/>
          <w:i/>
          <w:iCs/>
          <w:noProof/>
          <w:szCs w:val="24"/>
        </w:rPr>
        <w:t>Friedrich Ebert Stiftung</w:t>
      </w:r>
      <w:r w:rsidRPr="00611D76">
        <w:rPr>
          <w:rFonts w:ascii="Calibri" w:hAnsi="Calibri" w:cs="Calibri"/>
          <w:noProof/>
          <w:szCs w:val="24"/>
        </w:rPr>
        <w:t>. (November), 1–24. [online]. Available from: http://library.fes.de/pdf-files/id-moe/09416.pdf.</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Marques, A. C. &amp; Fuinhas, J. A. (2012) Is renewable energy effective in promoting growth? </w:t>
      </w:r>
      <w:r w:rsidRPr="00611D76">
        <w:rPr>
          <w:rFonts w:ascii="Calibri" w:hAnsi="Calibri" w:cs="Calibri"/>
          <w:i/>
          <w:iCs/>
          <w:noProof/>
          <w:szCs w:val="24"/>
        </w:rPr>
        <w:t>Energy Policy</w:t>
      </w:r>
      <w:r w:rsidRPr="00611D76">
        <w:rPr>
          <w:rFonts w:ascii="Calibri" w:hAnsi="Calibri" w:cs="Calibri"/>
          <w:noProof/>
          <w:szCs w:val="24"/>
        </w:rPr>
        <w:t>. [Online] 46434–442.</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McCauley, D. et al. (2013) Advancing energy justice: the triumvirate of tenets. </w:t>
      </w:r>
      <w:r w:rsidRPr="00611D76">
        <w:rPr>
          <w:rFonts w:ascii="Calibri" w:hAnsi="Calibri" w:cs="Calibri"/>
          <w:i/>
          <w:iCs/>
          <w:noProof/>
          <w:szCs w:val="24"/>
        </w:rPr>
        <w:t>International Energy Law Review</w:t>
      </w:r>
      <w:r w:rsidRPr="00611D76">
        <w:rPr>
          <w:rFonts w:ascii="Calibri" w:hAnsi="Calibri" w:cs="Calibri"/>
          <w:noProof/>
          <w:szCs w:val="24"/>
        </w:rPr>
        <w:t>.</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Milio, S. et al. (2014) Impact of the Economic Crisis on Social, Economic and Territorial Cohesion of the European Union. </w:t>
      </w:r>
      <w:r w:rsidRPr="00611D76">
        <w:rPr>
          <w:rFonts w:ascii="Calibri" w:hAnsi="Calibri" w:cs="Calibri"/>
          <w:i/>
          <w:iCs/>
          <w:noProof/>
          <w:szCs w:val="24"/>
        </w:rPr>
        <w:t>DG Internal Policies. Policy Department B: Structural and Cohesion Policies</w:t>
      </w:r>
      <w:r w:rsidRPr="00611D76">
        <w:rPr>
          <w:rFonts w:ascii="Calibri" w:hAnsi="Calibri" w:cs="Calibri"/>
          <w:noProof/>
          <w:szCs w:val="24"/>
        </w:rPr>
        <w:t>.</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National Statistical Institute (2017) </w:t>
      </w:r>
      <w:r w:rsidRPr="00611D76">
        <w:rPr>
          <w:rFonts w:ascii="Calibri" w:hAnsi="Calibri" w:cs="Calibri"/>
          <w:i/>
          <w:iCs/>
          <w:noProof/>
          <w:szCs w:val="24"/>
        </w:rPr>
        <w:t>Households Income, Expenditure and Consumptions</w:t>
      </w:r>
      <w:r w:rsidRPr="00611D76">
        <w:rPr>
          <w:rFonts w:ascii="Calibri" w:hAnsi="Calibri" w:cs="Calibri"/>
          <w:noProof/>
          <w:szCs w:val="24"/>
        </w:rPr>
        <w:t xml:space="preserve"> [online]. Available from: http://www.nsi.bg/en/content/5640/households-income-expenditure-and-consumption.</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Nelson, D. et al. (2014) Finance Mechanisms for Lowering the Cost of Renewable Energy in Rapidly Developing Countries. </w:t>
      </w:r>
      <w:r w:rsidRPr="00611D76">
        <w:rPr>
          <w:rFonts w:ascii="Calibri" w:hAnsi="Calibri" w:cs="Calibri"/>
          <w:i/>
          <w:iCs/>
          <w:noProof/>
          <w:szCs w:val="24"/>
        </w:rPr>
        <w:t>Climate Policy Initiative</w:t>
      </w:r>
      <w:r w:rsidRPr="00611D76">
        <w:rPr>
          <w:rFonts w:ascii="Calibri" w:hAnsi="Calibri" w:cs="Calibri"/>
          <w:noProof/>
          <w:szCs w:val="24"/>
        </w:rPr>
        <w:t>. (January),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Nicholls, J. et al. (2014) Evaluating Renewable Energy Policy : A Review of Criteria and Indicators for Assessment. International Renewable Energy Agency Policy Brief [online]. Available from: http://www.irena.org/documentdownloads/publications/evaluating_re_policy.pdf. (January). [online]. Available from: </w:t>
      </w:r>
      <w:r w:rsidRPr="00611D76">
        <w:rPr>
          <w:rFonts w:ascii="Calibri" w:hAnsi="Calibri" w:cs="Calibri"/>
          <w:noProof/>
          <w:szCs w:val="24"/>
        </w:rPr>
        <w:lastRenderedPageBreak/>
        <w:t>http://www.irena.org/documentdownloads/publications/evaluating_re_policy.pdf.</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Nikolaev, A. &amp; Konidari, P. (2017) Development and assessment of renewable energy policy scenarios by 2030 for Bulgaria. </w:t>
      </w:r>
      <w:r w:rsidRPr="00611D76">
        <w:rPr>
          <w:rFonts w:ascii="Calibri" w:hAnsi="Calibri" w:cs="Calibri"/>
          <w:i/>
          <w:iCs/>
          <w:noProof/>
          <w:szCs w:val="24"/>
        </w:rPr>
        <w:t>Renewable Energy</w:t>
      </w:r>
      <w:r w:rsidRPr="00611D76">
        <w:rPr>
          <w:rFonts w:ascii="Calibri" w:hAnsi="Calibri" w:cs="Calibri"/>
          <w:noProof/>
          <w:szCs w:val="24"/>
        </w:rPr>
        <w:t>. [Online] 111792–802. [online]. Available from: http://linkinghub.elsevier.com/retrieve/pii/S0960148117303920 (Accessed 17 July 2017).</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OECD (2013) </w:t>
      </w:r>
      <w:r w:rsidRPr="00611D76">
        <w:rPr>
          <w:rFonts w:ascii="Calibri" w:hAnsi="Calibri" w:cs="Calibri"/>
          <w:i/>
          <w:iCs/>
          <w:noProof/>
          <w:szCs w:val="24"/>
        </w:rPr>
        <w:t>Fighting Corruption in Eastern Europe and Central Asia. Anti-corruption Reforms in Eastern Europe and Central Asi. Progress and Challenges, 2009-2013</w:t>
      </w:r>
      <w:r w:rsidRPr="00611D76">
        <w:rPr>
          <w:rFonts w:ascii="Calibri" w:hAnsi="Calibri" w:cs="Calibri"/>
          <w:noProof/>
          <w:szCs w:val="24"/>
        </w:rPr>
        <w:t>. 2013–2015.</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Omer, A. M. (2008) Green energies and the environment. </w:t>
      </w:r>
      <w:r w:rsidRPr="00611D76">
        <w:rPr>
          <w:rFonts w:ascii="Calibri" w:hAnsi="Calibri" w:cs="Calibri"/>
          <w:i/>
          <w:iCs/>
          <w:noProof/>
          <w:szCs w:val="24"/>
        </w:rPr>
        <w:t>Renewable and Sustainable Energy Reviews</w:t>
      </w:r>
      <w:r w:rsidRPr="00611D76">
        <w:rPr>
          <w:rFonts w:ascii="Calibri" w:hAnsi="Calibri" w:cs="Calibri"/>
          <w:noProof/>
          <w:szCs w:val="24"/>
        </w:rPr>
        <w:t>. [Online] 12 (7), 1789–1821.</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Owen, A. D. (2006) Renewable energy: Externality costs as market barriers. </w:t>
      </w:r>
      <w:r w:rsidRPr="00611D76">
        <w:rPr>
          <w:rFonts w:ascii="Calibri" w:hAnsi="Calibri" w:cs="Calibri"/>
          <w:i/>
          <w:iCs/>
          <w:noProof/>
          <w:szCs w:val="24"/>
        </w:rPr>
        <w:t>Energy Policy</w:t>
      </w:r>
      <w:r w:rsidRPr="00611D76">
        <w:rPr>
          <w:rFonts w:ascii="Calibri" w:hAnsi="Calibri" w:cs="Calibri"/>
          <w:noProof/>
          <w:szCs w:val="24"/>
        </w:rPr>
        <w:t>. [Online] 34 (5), 632–642.</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Petkov, V. S. (2014) Advantages and disadvantages of fiscal discipline in Bulgaria in times of crisis. </w:t>
      </w:r>
      <w:r w:rsidRPr="00611D76">
        <w:rPr>
          <w:rFonts w:ascii="Calibri" w:hAnsi="Calibri" w:cs="Calibri"/>
          <w:i/>
          <w:iCs/>
          <w:noProof/>
          <w:szCs w:val="24"/>
        </w:rPr>
        <w:t>Contemporary Economics</w:t>
      </w:r>
      <w:r w:rsidRPr="00611D76">
        <w:rPr>
          <w:rFonts w:ascii="Calibri" w:hAnsi="Calibri" w:cs="Calibri"/>
          <w:noProof/>
          <w:szCs w:val="24"/>
        </w:rPr>
        <w:t>. [Online] 8 (1), 47–56.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Popov, J. (2013) A new face of European dissent. </w:t>
      </w:r>
      <w:r w:rsidRPr="00611D76">
        <w:rPr>
          <w:rFonts w:ascii="Calibri" w:hAnsi="Calibri" w:cs="Calibri"/>
          <w:i/>
          <w:iCs/>
          <w:noProof/>
          <w:szCs w:val="24"/>
        </w:rPr>
        <w:t>Aljazeera</w:t>
      </w:r>
      <w:r w:rsidRPr="00611D76">
        <w:rPr>
          <w:rFonts w:ascii="Calibri" w:hAnsi="Calibri" w:cs="Calibri"/>
          <w:noProof/>
          <w:szCs w:val="24"/>
        </w:rPr>
        <w:t>. 14 July. [online]. Available from: http://www.aljazeera.com/indepth/opinion/2013/07/201371013448951678.html.</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Powlesland, R. G. (2009) Impacts of wind farms on birds: A review. </w:t>
      </w:r>
      <w:r w:rsidRPr="00611D76">
        <w:rPr>
          <w:rFonts w:ascii="Calibri" w:hAnsi="Calibri" w:cs="Calibri"/>
          <w:i/>
          <w:iCs/>
          <w:noProof/>
          <w:szCs w:val="24"/>
        </w:rPr>
        <w:t>Science for Conservation</w:t>
      </w:r>
      <w:r w:rsidRPr="00611D76">
        <w:rPr>
          <w:rFonts w:ascii="Calibri" w:hAnsi="Calibri" w:cs="Calibri"/>
          <w:noProof/>
          <w:szCs w:val="24"/>
        </w:rPr>
        <w:t>. (289), 1–51.</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Republic of Bulgaria (2011) </w:t>
      </w:r>
      <w:r w:rsidRPr="00611D76">
        <w:rPr>
          <w:rFonts w:ascii="Calibri" w:hAnsi="Calibri" w:cs="Calibri"/>
          <w:i/>
          <w:iCs/>
          <w:noProof/>
          <w:szCs w:val="24"/>
        </w:rPr>
        <w:t>National Renewable Energy Action Plan</w:t>
      </w:r>
      <w:r w:rsidRPr="00611D76">
        <w:rPr>
          <w:rFonts w:ascii="Calibri" w:hAnsi="Calibri" w:cs="Calibri"/>
          <w:noProof/>
          <w:szCs w:val="24"/>
        </w:rPr>
        <w:t xml:space="preserve">.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RES Legal (2017) </w:t>
      </w:r>
      <w:r w:rsidRPr="00611D76">
        <w:rPr>
          <w:rFonts w:ascii="Calibri" w:hAnsi="Calibri" w:cs="Calibri"/>
          <w:i/>
          <w:iCs/>
          <w:noProof/>
          <w:szCs w:val="24"/>
        </w:rPr>
        <w:t>Promotion in Bulgaria. Electricity</w:t>
      </w:r>
      <w:r w:rsidRPr="00611D76">
        <w:rPr>
          <w:rFonts w:ascii="Calibri" w:hAnsi="Calibri" w:cs="Calibri"/>
          <w:noProof/>
          <w:szCs w:val="24"/>
        </w:rPr>
        <w:t xml:space="preserve"> [online]. Available from: http://www.res-legal.eu/search-by-country/bulgaria/tools-list/c/bulgaria/s/res-e/t/promotion/sum/112/lpid/111/ (Accessed 20 July 2017).</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Slominski, P. (2016) Energy and climate policy: does the competitiveness narrative prevail in times of crisis? </w:t>
      </w:r>
      <w:r w:rsidRPr="00611D76">
        <w:rPr>
          <w:rFonts w:ascii="Calibri" w:hAnsi="Calibri" w:cs="Calibri"/>
          <w:i/>
          <w:iCs/>
          <w:noProof/>
          <w:szCs w:val="24"/>
        </w:rPr>
        <w:t>Journal of European Integration</w:t>
      </w:r>
      <w:r w:rsidRPr="00611D76">
        <w:rPr>
          <w:rFonts w:ascii="Calibri" w:hAnsi="Calibri" w:cs="Calibri"/>
          <w:noProof/>
          <w:szCs w:val="24"/>
        </w:rPr>
        <w:t>. [Online] 38 (3), 343–357. [online]. Available from: http://www.tandfonline.com/doi/full/10.1080/07036337.2016.1140759.</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Smilov, D. (2015) The Politics of Protest: Between the Venting of Frustration and Transformation of Democracy. </w:t>
      </w:r>
      <w:r w:rsidRPr="00611D76">
        <w:rPr>
          <w:rFonts w:ascii="Calibri" w:hAnsi="Calibri" w:cs="Calibri"/>
          <w:i/>
          <w:iCs/>
          <w:noProof/>
          <w:szCs w:val="24"/>
        </w:rPr>
        <w:t>Centre for Liberal Strategies</w:t>
      </w:r>
      <w:r w:rsidRPr="00611D76">
        <w:rPr>
          <w:rFonts w:ascii="Calibri" w:hAnsi="Calibri" w:cs="Calibri"/>
          <w:noProof/>
          <w:szCs w:val="24"/>
        </w:rPr>
        <w:t>. 42.</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Sovacool, B. K. (2017) Contestation, contingency, and justice in the Nordic low-carbon energy transition. </w:t>
      </w:r>
      <w:r w:rsidRPr="00611D76">
        <w:rPr>
          <w:rFonts w:ascii="Calibri" w:hAnsi="Calibri" w:cs="Calibri"/>
          <w:i/>
          <w:iCs/>
          <w:noProof/>
          <w:szCs w:val="24"/>
        </w:rPr>
        <w:t>Energy Policy</w:t>
      </w:r>
      <w:r w:rsidRPr="00611D76">
        <w:rPr>
          <w:rFonts w:ascii="Calibri" w:hAnsi="Calibri" w:cs="Calibri"/>
          <w:noProof/>
          <w:szCs w:val="24"/>
        </w:rPr>
        <w:t>. [Online] 102569–582.</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Sovacool, B. K. &amp; Dworkin, M. H. (2015) Energy justice: Conceptual insights and practical applications. </w:t>
      </w:r>
      <w:r w:rsidRPr="00611D76">
        <w:rPr>
          <w:rFonts w:ascii="Calibri" w:hAnsi="Calibri" w:cs="Calibri"/>
          <w:i/>
          <w:iCs/>
          <w:noProof/>
          <w:szCs w:val="24"/>
        </w:rPr>
        <w:t>Applied Energy</w:t>
      </w:r>
      <w:r w:rsidRPr="00611D76">
        <w:rPr>
          <w:rFonts w:ascii="Calibri" w:hAnsi="Calibri" w:cs="Calibri"/>
          <w:noProof/>
          <w:szCs w:val="24"/>
        </w:rPr>
        <w:t>. [Online] 142435–444. [online]. Available from: http://dx.doi.org/10.1016/j.apenergy.2015.01.002.</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Sovacool, B. K. &amp; Dworkin, M. H. (2014) </w:t>
      </w:r>
      <w:r w:rsidRPr="00611D76">
        <w:rPr>
          <w:rFonts w:ascii="Calibri" w:hAnsi="Calibri" w:cs="Calibri"/>
          <w:i/>
          <w:iCs/>
          <w:noProof/>
          <w:szCs w:val="24"/>
        </w:rPr>
        <w:t>Global Energy Justice Problems, Principles, and Practices</w:t>
      </w:r>
      <w:r w:rsidRPr="00611D76">
        <w:rPr>
          <w:rFonts w:ascii="Calibri" w:hAnsi="Calibri" w:cs="Calibri"/>
          <w:noProof/>
          <w:szCs w:val="24"/>
        </w:rPr>
        <w:t>. Cambridge, UK: Cambridge University Press.</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Stefes, C. H. (2010) Bypassing Germany’s Reformstau: The Remarkable Rise of Renewable Energy. </w:t>
      </w:r>
      <w:r w:rsidRPr="00611D76">
        <w:rPr>
          <w:rFonts w:ascii="Calibri" w:hAnsi="Calibri" w:cs="Calibri"/>
          <w:i/>
          <w:iCs/>
          <w:noProof/>
          <w:szCs w:val="24"/>
        </w:rPr>
        <w:t>German Politics</w:t>
      </w:r>
      <w:r w:rsidRPr="00611D76">
        <w:rPr>
          <w:rFonts w:ascii="Calibri" w:hAnsi="Calibri" w:cs="Calibri"/>
          <w:noProof/>
          <w:szCs w:val="24"/>
        </w:rPr>
        <w:t>. [Online] 19 (2), 148–163.</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Toke, D. (2011) The UK offshore wind power programme: A sea-change in UK energy policy? </w:t>
      </w:r>
      <w:r w:rsidRPr="00611D76">
        <w:rPr>
          <w:rFonts w:ascii="Calibri" w:hAnsi="Calibri" w:cs="Calibri"/>
          <w:i/>
          <w:iCs/>
          <w:noProof/>
          <w:szCs w:val="24"/>
        </w:rPr>
        <w:t>Energy Policy</w:t>
      </w:r>
      <w:r w:rsidRPr="00611D76">
        <w:rPr>
          <w:rFonts w:ascii="Calibri" w:hAnsi="Calibri" w:cs="Calibri"/>
          <w:noProof/>
          <w:szCs w:val="24"/>
        </w:rPr>
        <w:t>. [Online] 39 (2), 526–534. [online]. Available from: http://dx.doi.org/10.1016/j.enpol.2010.08.043.</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Vachudova, M. A. (2009) Corruption and compliance in the EU’s post-communist members and candidates. </w:t>
      </w:r>
      <w:r w:rsidRPr="00611D76">
        <w:rPr>
          <w:rFonts w:ascii="Calibri" w:hAnsi="Calibri" w:cs="Calibri"/>
          <w:i/>
          <w:iCs/>
          <w:noProof/>
          <w:szCs w:val="24"/>
        </w:rPr>
        <w:t>Journal of Common Market Studies</w:t>
      </w:r>
      <w:r w:rsidRPr="00611D76">
        <w:rPr>
          <w:rFonts w:ascii="Calibri" w:hAnsi="Calibri" w:cs="Calibri"/>
          <w:noProof/>
          <w:szCs w:val="24"/>
        </w:rPr>
        <w:t>. [Online] 47 (SUPPL. 1), 43–62.</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Vachudova, M. A. &amp; Spendzharova, A. (2012) The EU’s Cooperation and Verification Mechanism: Fighting Corruption in Bulgaria and Romania after EU Accession. </w:t>
      </w:r>
      <w:r w:rsidRPr="00611D76">
        <w:rPr>
          <w:rFonts w:ascii="Calibri" w:hAnsi="Calibri" w:cs="Calibri"/>
          <w:i/>
          <w:iCs/>
          <w:noProof/>
          <w:szCs w:val="24"/>
        </w:rPr>
        <w:t>European Policy Analysis</w:t>
      </w:r>
      <w:r w:rsidRPr="00611D76">
        <w:rPr>
          <w:rFonts w:ascii="Calibri" w:hAnsi="Calibri" w:cs="Calibri"/>
          <w:noProof/>
          <w:szCs w:val="24"/>
        </w:rPr>
        <w:t>. (MARCH . ISSUE 2012:1epa), 1–20.</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Velinova, N. et al. (2015) The 2013 Social Protests in Bulgaria : Slogans and. </w:t>
      </w:r>
      <w:r w:rsidRPr="00611D76">
        <w:rPr>
          <w:rFonts w:ascii="Calibri" w:hAnsi="Calibri" w:cs="Calibri"/>
          <w:i/>
          <w:iCs/>
          <w:noProof/>
          <w:szCs w:val="24"/>
        </w:rPr>
        <w:t>Investigating Culture</w:t>
      </w:r>
      <w:r w:rsidRPr="00611D76">
        <w:rPr>
          <w:rFonts w:ascii="Calibri" w:hAnsi="Calibri" w:cs="Calibri"/>
          <w:noProof/>
          <w:szCs w:val="24"/>
        </w:rPr>
        <w:t>. (1), .</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Winkel, T. et al. (2011) Renewable Energy Policy Country Profiles. </w:t>
      </w:r>
      <w:r w:rsidRPr="00611D76">
        <w:rPr>
          <w:rFonts w:ascii="Calibri" w:hAnsi="Calibri" w:cs="Calibri"/>
          <w:i/>
          <w:iCs/>
          <w:noProof/>
          <w:szCs w:val="24"/>
        </w:rPr>
        <w:t>Ecofys</w:t>
      </w:r>
      <w:r w:rsidRPr="00611D76">
        <w:rPr>
          <w:rFonts w:ascii="Calibri" w:hAnsi="Calibri" w:cs="Calibri"/>
          <w:noProof/>
          <w:szCs w:val="24"/>
        </w:rPr>
        <w:t>. (November), 318. [online]. Available from: http://www.reshaping-res-policy.eu/downloads/RE-Shaping_CP_final_18JAN2012.pdf.</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World Bank (2016) </w:t>
      </w:r>
      <w:r w:rsidRPr="00611D76">
        <w:rPr>
          <w:rFonts w:ascii="Calibri" w:hAnsi="Calibri" w:cs="Calibri"/>
          <w:i/>
          <w:iCs/>
          <w:noProof/>
          <w:szCs w:val="24"/>
        </w:rPr>
        <w:t>Bulgaria Power Sector : Making the Transition to Financial Recovery and Market Liberalization Summary Report Reimbursable Technical Assistance</w:t>
      </w:r>
      <w:r w:rsidRPr="00611D76">
        <w:rPr>
          <w:rFonts w:ascii="Calibri" w:hAnsi="Calibri" w:cs="Calibri"/>
          <w:noProof/>
          <w:szCs w:val="24"/>
        </w:rPr>
        <w:t>. (November 2016).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World Bank (2017a) </w:t>
      </w:r>
      <w:r w:rsidRPr="00611D76">
        <w:rPr>
          <w:rFonts w:ascii="Calibri" w:hAnsi="Calibri" w:cs="Calibri"/>
          <w:i/>
          <w:iCs/>
          <w:noProof/>
          <w:szCs w:val="24"/>
        </w:rPr>
        <w:t>World Data Bank</w:t>
      </w:r>
      <w:r w:rsidRPr="00611D76">
        <w:rPr>
          <w:rFonts w:ascii="Calibri" w:hAnsi="Calibri" w:cs="Calibri"/>
          <w:noProof/>
          <w:szCs w:val="24"/>
        </w:rPr>
        <w:t xml:space="preserve"> [online]. Available from: </w:t>
      </w:r>
      <w:r w:rsidRPr="00611D76">
        <w:rPr>
          <w:rFonts w:ascii="Calibri" w:hAnsi="Calibri" w:cs="Calibri"/>
          <w:noProof/>
          <w:szCs w:val="24"/>
        </w:rPr>
        <w:lastRenderedPageBreak/>
        <w:t>http://databank.worldbank.org/data/home.aspx (Accessed 6 June 2017).</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World Bank (2017b) </w:t>
      </w:r>
      <w:r w:rsidRPr="00611D76">
        <w:rPr>
          <w:rFonts w:ascii="Calibri" w:hAnsi="Calibri" w:cs="Calibri"/>
          <w:i/>
          <w:iCs/>
          <w:noProof/>
          <w:szCs w:val="24"/>
        </w:rPr>
        <w:t>World Development Indicators</w:t>
      </w:r>
      <w:r w:rsidRPr="00611D76">
        <w:rPr>
          <w:rFonts w:ascii="Calibri" w:hAnsi="Calibri" w:cs="Calibri"/>
          <w:noProof/>
          <w:szCs w:val="24"/>
        </w:rPr>
        <w:t xml:space="preserve"> [online]. Available from: http://databank.worldbank.org/data/reports.aspx?source=world-development-indicators# (Accessed 1 September 2017).</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World Economic Forum (2007) </w:t>
      </w:r>
      <w:r w:rsidRPr="00611D76">
        <w:rPr>
          <w:rFonts w:ascii="Calibri" w:hAnsi="Calibri" w:cs="Calibri"/>
          <w:i/>
          <w:iCs/>
          <w:noProof/>
          <w:szCs w:val="24"/>
        </w:rPr>
        <w:t>The Global Competitiveness Report 2006-2007</w:t>
      </w:r>
      <w:r w:rsidRPr="00611D76">
        <w:rPr>
          <w:rFonts w:ascii="Calibri" w:hAnsi="Calibri" w:cs="Calibri"/>
          <w:noProof/>
          <w:szCs w:val="24"/>
        </w:rPr>
        <w:t>. 598.</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World Economic Forum (2016) </w:t>
      </w:r>
      <w:r w:rsidRPr="00611D76">
        <w:rPr>
          <w:rFonts w:ascii="Calibri" w:hAnsi="Calibri" w:cs="Calibri"/>
          <w:i/>
          <w:iCs/>
          <w:noProof/>
          <w:szCs w:val="24"/>
        </w:rPr>
        <w:t>The Global Competitiveness Report 2016–2017</w:t>
      </w:r>
      <w:r w:rsidRPr="00611D76">
        <w:rPr>
          <w:rFonts w:ascii="Calibri" w:hAnsi="Calibri" w:cs="Calibri"/>
          <w:noProof/>
          <w:szCs w:val="24"/>
        </w:rPr>
        <w:t>. [Online]. [online]. Available from: https://www.weforum.org/reports/the-global-competitiveness-report-2016-2017-1.</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World Energy Council (2015) </w:t>
      </w:r>
      <w:r w:rsidRPr="00611D76">
        <w:rPr>
          <w:rFonts w:ascii="Calibri" w:hAnsi="Calibri" w:cs="Calibri"/>
          <w:i/>
          <w:iCs/>
          <w:noProof/>
          <w:szCs w:val="24"/>
        </w:rPr>
        <w:t>2015 Energy Trilemma Index - Benchmarking the sustainability of national energy systems</w:t>
      </w:r>
      <w:r w:rsidRPr="00611D76">
        <w:rPr>
          <w:rFonts w:ascii="Calibri" w:hAnsi="Calibri" w:cs="Calibri"/>
          <w:noProof/>
          <w:szCs w:val="24"/>
        </w:rPr>
        <w:t>. 306.</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szCs w:val="24"/>
        </w:rPr>
      </w:pPr>
      <w:r w:rsidRPr="00611D76">
        <w:rPr>
          <w:rFonts w:ascii="Calibri" w:hAnsi="Calibri" w:cs="Calibri"/>
          <w:noProof/>
          <w:szCs w:val="24"/>
        </w:rPr>
        <w:t xml:space="preserve">World Nuclear Association (2011) </w:t>
      </w:r>
      <w:r w:rsidRPr="00611D76">
        <w:rPr>
          <w:rFonts w:ascii="Calibri" w:hAnsi="Calibri" w:cs="Calibri"/>
          <w:i/>
          <w:iCs/>
          <w:noProof/>
          <w:szCs w:val="24"/>
        </w:rPr>
        <w:t>Comparison of Lifecycle Greenhouse Gas Emissions of Various Electricity Generation Sources</w:t>
      </w:r>
      <w:r w:rsidRPr="00611D76">
        <w:rPr>
          <w:rFonts w:ascii="Calibri" w:hAnsi="Calibri" w:cs="Calibri"/>
          <w:noProof/>
          <w:szCs w:val="24"/>
        </w:rPr>
        <w:t>. 6. [online]. Available from: http://www.world-nuclear.org/uploadedFiles/org/WNA/Publications/Working_Group_Reports/comparison_of_lifecycle.pdf.</w:t>
      </w:r>
    </w:p>
    <w:p w:rsidR="00611D76" w:rsidRPr="00611D76" w:rsidRDefault="00611D76" w:rsidP="00611D76">
      <w:pPr>
        <w:widowControl w:val="0"/>
        <w:autoSpaceDE w:val="0"/>
        <w:autoSpaceDN w:val="0"/>
        <w:adjustRightInd w:val="0"/>
        <w:spacing w:after="0" w:line="240" w:lineRule="auto"/>
        <w:ind w:left="480" w:hanging="480"/>
        <w:rPr>
          <w:rFonts w:ascii="Calibri" w:hAnsi="Calibri" w:cs="Calibri"/>
          <w:noProof/>
        </w:rPr>
      </w:pPr>
      <w:r w:rsidRPr="008646EC">
        <w:rPr>
          <w:rFonts w:ascii="Calibri" w:hAnsi="Calibri" w:cs="Calibri"/>
          <w:noProof/>
          <w:szCs w:val="24"/>
          <w:lang w:val="nb-NO"/>
        </w:rPr>
        <w:t xml:space="preserve">Zimmerling, J. R. et al. </w:t>
      </w:r>
      <w:r w:rsidRPr="00611D76">
        <w:rPr>
          <w:rFonts w:ascii="Calibri" w:hAnsi="Calibri" w:cs="Calibri"/>
          <w:noProof/>
          <w:szCs w:val="24"/>
        </w:rPr>
        <w:t xml:space="preserve">(2013) Canadian estimate of bird mortality due to collisions and direct habitat loss associated with wind turbine developments. </w:t>
      </w:r>
      <w:r w:rsidRPr="00611D76">
        <w:rPr>
          <w:rFonts w:ascii="Calibri" w:hAnsi="Calibri" w:cs="Calibri"/>
          <w:i/>
          <w:iCs/>
          <w:noProof/>
          <w:szCs w:val="24"/>
        </w:rPr>
        <w:t>Avian Conservation and Ecology</w:t>
      </w:r>
      <w:r w:rsidRPr="00611D76">
        <w:rPr>
          <w:rFonts w:ascii="Calibri" w:hAnsi="Calibri" w:cs="Calibri"/>
          <w:noProof/>
          <w:szCs w:val="24"/>
        </w:rPr>
        <w:t>. [Online] 8 (2), 10.</w:t>
      </w:r>
    </w:p>
    <w:p w:rsidR="00D20C12" w:rsidRPr="00C42EA7" w:rsidRDefault="000713A2" w:rsidP="008F5B4F">
      <w:pPr>
        <w:widowControl w:val="0"/>
        <w:autoSpaceDE w:val="0"/>
        <w:autoSpaceDN w:val="0"/>
        <w:adjustRightInd w:val="0"/>
        <w:spacing w:after="0" w:line="240" w:lineRule="auto"/>
        <w:ind w:left="480" w:hanging="480"/>
        <w:rPr>
          <w:rFonts w:cstheme="minorHAnsi"/>
        </w:rPr>
      </w:pPr>
      <w:r w:rsidRPr="00532C5B">
        <w:rPr>
          <w:rFonts w:cstheme="minorHAnsi"/>
        </w:rPr>
        <w:fldChar w:fldCharType="end"/>
      </w:r>
      <w:bookmarkStart w:id="10" w:name="_GoBack"/>
      <w:bookmarkEnd w:id="10"/>
    </w:p>
    <w:sectPr w:rsidR="00D20C12" w:rsidRPr="00C42EA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FE" w:rsidRDefault="00B10EFE" w:rsidP="00F94758">
      <w:pPr>
        <w:spacing w:after="0" w:line="240" w:lineRule="auto"/>
      </w:pPr>
      <w:r>
        <w:separator/>
      </w:r>
    </w:p>
  </w:endnote>
  <w:endnote w:type="continuationSeparator" w:id="0">
    <w:p w:rsidR="00B10EFE" w:rsidRDefault="00B10EFE" w:rsidP="00F9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243659"/>
      <w:docPartObj>
        <w:docPartGallery w:val="Page Numbers (Bottom of Page)"/>
        <w:docPartUnique/>
      </w:docPartObj>
    </w:sdtPr>
    <w:sdtEndPr/>
    <w:sdtContent>
      <w:p w:rsidR="00AA5009" w:rsidRDefault="00AA5009">
        <w:pPr>
          <w:pStyle w:val="Footer"/>
          <w:jc w:val="center"/>
        </w:pPr>
        <w:r>
          <w:fldChar w:fldCharType="begin"/>
        </w:r>
        <w:r>
          <w:instrText>PAGE   \* MERGEFORMAT</w:instrText>
        </w:r>
        <w:r>
          <w:fldChar w:fldCharType="separate"/>
        </w:r>
        <w:r w:rsidR="008646EC" w:rsidRPr="008646EC">
          <w:rPr>
            <w:noProof/>
            <w:lang w:val="de-DE"/>
          </w:rPr>
          <w:t>29</w:t>
        </w:r>
        <w:r>
          <w:fldChar w:fldCharType="end"/>
        </w:r>
      </w:p>
    </w:sdtContent>
  </w:sdt>
  <w:p w:rsidR="00AA5009" w:rsidRDefault="00AA5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FE" w:rsidRDefault="00B10EFE" w:rsidP="00F94758">
      <w:pPr>
        <w:spacing w:after="0" w:line="240" w:lineRule="auto"/>
      </w:pPr>
      <w:r>
        <w:separator/>
      </w:r>
    </w:p>
  </w:footnote>
  <w:footnote w:type="continuationSeparator" w:id="0">
    <w:p w:rsidR="00B10EFE" w:rsidRDefault="00B10EFE" w:rsidP="00F94758">
      <w:pPr>
        <w:spacing w:after="0" w:line="240" w:lineRule="auto"/>
      </w:pPr>
      <w:r>
        <w:continuationSeparator/>
      </w:r>
    </w:p>
  </w:footnote>
  <w:footnote w:id="1">
    <w:p w:rsidR="00AA5009" w:rsidRPr="00EE2272" w:rsidRDefault="00AA5009">
      <w:pPr>
        <w:pStyle w:val="FootnoteText"/>
        <w:rPr>
          <w:rFonts w:cstheme="minorHAnsi"/>
        </w:rPr>
      </w:pPr>
      <w:r w:rsidRPr="00EE2272">
        <w:rPr>
          <w:rStyle w:val="FootnoteReference"/>
          <w:rFonts w:cstheme="minorHAnsi"/>
        </w:rPr>
        <w:footnoteRef/>
      </w:r>
      <w:r w:rsidRPr="00EE2272">
        <w:rPr>
          <w:rFonts w:cstheme="minorHAnsi"/>
        </w:rPr>
        <w:t xml:space="preserve"> Academia (ACAD), Bulgarian Energy and Mining Forum (BEMF), </w:t>
      </w:r>
      <w:proofErr w:type="spellStart"/>
      <w:r w:rsidRPr="00EE2272">
        <w:rPr>
          <w:rFonts w:cstheme="minorHAnsi"/>
        </w:rPr>
        <w:t>Center</w:t>
      </w:r>
      <w:proofErr w:type="spellEnd"/>
      <w:r w:rsidRPr="00EE2272">
        <w:rPr>
          <w:rFonts w:cstheme="minorHAnsi"/>
        </w:rPr>
        <w:t xml:space="preserve"> for the Study of Democracy (CSD), Government (GOV), Green Party (GREEN), Media Outlet (NEW), and the WWF (WWF).</w:t>
      </w:r>
    </w:p>
  </w:footnote>
  <w:footnote w:id="2">
    <w:p w:rsidR="00B22278" w:rsidRDefault="00B22278">
      <w:pPr>
        <w:pStyle w:val="FootnoteText"/>
      </w:pPr>
      <w:r>
        <w:rPr>
          <w:rStyle w:val="FootnoteReference"/>
        </w:rPr>
        <w:footnoteRef/>
      </w:r>
      <w:r>
        <w:t xml:space="preserve"> In terms of energy security, and as stressed by the European Commission’s </w:t>
      </w:r>
      <w:r>
        <w:fldChar w:fldCharType="begin" w:fldLock="1"/>
      </w:r>
      <w:r>
        <w:instrText>ADDIN CSL_CITATION { "citationItems" : [ { "id" : "ITEM-1", "itemData" : { "DOI" : "10.1007/978-3-531-19201-7", "ISBN" : "978-3-531-19200-0", "ISSN" : "1098-6596", "PMID" : "25246403", "abstract" : "33 % av EUs gass kommer fra Norge. 39 % fra Russland. Tiltak for \u00e5 redusere avhengigheten fra Russland: The Union must reduce its external dependency on particular suppliers by diversifying its energy sources, suppliers and routes. Notably, a reinforced partnership with Norway, the acceleration of the Southern Gas Corridor and the promotion of a new gas hub in Southern Europe should all be pursued;. Tiltak 2.3. beskyttelse av kritisk infrastruktur. Spesielt IT-sikkerhet. Stress-teste spesielt \u00f8steuropeiske land for forsyningssikkerhet. S. 7: Energieffektivisering er viktig for \u00e5 redusere avhengigheten av importert olje og gass. S. 10: Gjensidig avhengighet USA-Russland-EU p\u00e5 olje og gass. F\u00f8rer til ingen umiddelbar fare for stopp i oljeeksport. Ja til atomenergi, men nei til \u00e5 importere brennstoff fra Russland. S. 18: EU-land m\u00e5 si ifra til EU f\u00f8r de beslutter internasjonale avtaler p\u00e5 energi. Euratom Supply Agency m\u00e5 v\u00e6re enig n\u00e5r avtalen gjelder atomenergi. S. 19: EEAS m\u00e5 gj\u00f8re mer p\u00e5 energi. S. 19 konklusjon: Tett kobling energisikkerhet-klima-industri. Se diagram s. 21!", "author" : [ { "dropping-particle" : "", "family" : "European Commission", "given" : "", "non-dropping-particle" : "", "parse-names" : false, "suffix" : "" } ], "container-title" : "European Commission Website", "id" : "ITEM-1", "issued" : { "date-parts" : [ [ "2014" ] ] }, "page" : "24", "title" : "European Energy Security Strategy", "type" : "article-journal" }, "suppress-author" : 1, "uris" : [ "http://www.mendeley.com/documents/?uuid=9adf9ddf-ba9a-4a5a-8236-735c59375a3f" ] } ], "mendeley" : { "formattedCitation" : "(2014a)", "plainTextFormattedCitation" : "(2014a)", "previouslyFormattedCitation" : "(2014a)" }, "properties" : {  }, "schema" : "https://github.com/citation-style-language/schema/raw/master/csl-citation.json" }</w:instrText>
      </w:r>
      <w:r>
        <w:fldChar w:fldCharType="separate"/>
      </w:r>
      <w:r w:rsidRPr="00B22278">
        <w:rPr>
          <w:noProof/>
        </w:rPr>
        <w:t>(2014a)</w:t>
      </w:r>
      <w:r>
        <w:fldChar w:fldCharType="end"/>
      </w:r>
      <w:r>
        <w:t xml:space="preserve"> European Energy Security Strategy, dependence of imports for energy is considered a risk.</w:t>
      </w:r>
    </w:p>
  </w:footnote>
  <w:footnote w:id="3">
    <w:p w:rsidR="00AA5009" w:rsidRDefault="00AA5009">
      <w:pPr>
        <w:pStyle w:val="FootnoteText"/>
      </w:pPr>
      <w:r>
        <w:rPr>
          <w:rStyle w:val="FootnoteReference"/>
        </w:rPr>
        <w:footnoteRef/>
      </w:r>
      <w:r>
        <w:rPr>
          <w:rStyle w:val="FootnoteReference"/>
        </w:rPr>
        <w:footnoteRef/>
      </w:r>
      <w:r>
        <w:t xml:space="preserve"> In 2016, government deficit in % of GDP stood at 0 </w:t>
      </w:r>
      <w:r>
        <w:fldChar w:fldCharType="begin" w:fldLock="1"/>
      </w:r>
      <w:r>
        <w:instrText>ADDIN CSL_CITATION { "citationItems" : [ { "id" : "ITEM-1", "itemData" : { "abstract" : "Government debt at 90.7% and 85.2% In 2015, the government deficit and debt of both the euro area (EA19) and the EU28 decreased in relative terms compared with 2014. In the euro area the government deficit to GDP ratio fell from 2.6% in 2014 to 2.1% in 2015, and in the EU28 from 3.0% to 2.4%. In the euro area the government debt to GDP ratio declined from 92.0% at the end of 2014 to 90.7% at the end of 2015, and in the EU28 from 86.8% to 85.2%. In this release, Eurostat, the statistical office of the European Union, is providing government deficit and debt data based on figures reported in the first 2016 notification by EU Member States for the years 2012-2015, for the application of the excessive deficit procedure (EDP). This notification is based on the ESA 2010 system of national accounts. This release also includes data on government expenditure and revenue.", "author" : [ { "dropping-particle" : "", "family" : "Eurostat Press Office", "given" : "", "non-dropping-particle" : "", "parse-names" : false, "suffix" : "" } ], "container-title" : "Eurostat Press Office", "id" : "ITEM-1", "issue" : "April", "issued" : { "date-parts" : [ [ "2014" ] ] }, "title" : "Euro area and EU28 government deficit at 2.9% and 3.2% of GDP respectively", "type" : "article-journal" }, "uris" : [ "http://www.mendeley.com/documents/?uuid=76737226-f465-4cba-a29d-dd965beb1421" ] } ], "mendeley" : { "formattedCitation" : "(Eurostat Press Office, 2014)", "plainTextFormattedCitation" : "(Eurostat Press Office, 2014)", "previouslyFormattedCitation" : "(Eurostat Press Office, 2014)" }, "properties" : {  }, "schema" : "https://github.com/citation-style-language/schema/raw/master/csl-citation.json" }</w:instrText>
      </w:r>
      <w:r>
        <w:fldChar w:fldCharType="separate"/>
      </w:r>
      <w:r w:rsidRPr="00AB7CC4">
        <w:rPr>
          <w:noProof/>
        </w:rPr>
        <w:t>(Eurostat Press Office, 2014)</w:t>
      </w:r>
      <w:r>
        <w:fldChar w:fldCharType="end"/>
      </w:r>
      <w:r>
        <w:t>.</w:t>
      </w:r>
    </w:p>
  </w:footnote>
  <w:footnote w:id="4">
    <w:p w:rsidR="00AA5009" w:rsidRDefault="00AA5009">
      <w:pPr>
        <w:pStyle w:val="FootnoteText"/>
      </w:pPr>
      <w:r>
        <w:rPr>
          <w:rStyle w:val="FootnoteReference"/>
        </w:rPr>
        <w:footnoteRef/>
      </w:r>
      <w:r>
        <w:t xml:space="preserve"> The State Gazette, No. 49 of 19 June 2007</w:t>
      </w:r>
    </w:p>
  </w:footnote>
  <w:footnote w:id="5">
    <w:p w:rsidR="00AA5009" w:rsidRDefault="00AA5009">
      <w:pPr>
        <w:pStyle w:val="FootnoteText"/>
      </w:pPr>
      <w:r>
        <w:rPr>
          <w:rStyle w:val="FootnoteReference"/>
        </w:rPr>
        <w:footnoteRef/>
      </w:r>
      <w:r>
        <w:t xml:space="preserve"> </w:t>
      </w:r>
      <w:r w:rsidRPr="007C6C0E">
        <w:t>The State Gazette, No. 98 of 14 November 2008</w:t>
      </w:r>
    </w:p>
  </w:footnote>
  <w:footnote w:id="6">
    <w:p w:rsidR="00AA5009" w:rsidRPr="00EE2272" w:rsidRDefault="00AA5009" w:rsidP="0039458E">
      <w:pPr>
        <w:pStyle w:val="FootnoteText"/>
        <w:rPr>
          <w:rFonts w:cstheme="minorHAnsi"/>
        </w:rPr>
      </w:pPr>
      <w:r w:rsidRPr="00EE2272">
        <w:rPr>
          <w:rStyle w:val="FootnoteReference"/>
          <w:rFonts w:cstheme="minorHAnsi"/>
        </w:rPr>
        <w:footnoteRef/>
      </w:r>
      <w:r w:rsidRPr="00EE2272">
        <w:rPr>
          <w:rFonts w:cstheme="minorHAnsi"/>
        </w:rPr>
        <w:t xml:space="preserve"> BG-WWF-001; BG-NEW-01</w:t>
      </w:r>
    </w:p>
  </w:footnote>
  <w:footnote w:id="7">
    <w:p w:rsidR="00AA5009" w:rsidRPr="00EE2272" w:rsidRDefault="00AA5009" w:rsidP="00AA2DA8">
      <w:pPr>
        <w:pStyle w:val="FootnoteText"/>
        <w:rPr>
          <w:rFonts w:cstheme="minorHAnsi"/>
        </w:rPr>
      </w:pPr>
      <w:r w:rsidRPr="00EE2272">
        <w:rPr>
          <w:rStyle w:val="FootnoteReference"/>
          <w:rFonts w:cstheme="minorHAnsi"/>
        </w:rPr>
        <w:footnoteRef/>
      </w:r>
      <w:r w:rsidRPr="00EE2272">
        <w:rPr>
          <w:rFonts w:cstheme="minorHAnsi"/>
        </w:rPr>
        <w:t xml:space="preserve"> The CVM  seeks “to address shortcomings in the judicial reform, and the fight against corruption and organised crime” </w:t>
      </w:r>
      <w:r w:rsidRPr="00EE2272">
        <w:rPr>
          <w:rFonts w:cstheme="minorHAnsi"/>
        </w:rPr>
        <w:fldChar w:fldCharType="begin" w:fldLock="1"/>
      </w:r>
      <w:r>
        <w:rPr>
          <w:rFonts w:cstheme="minorHAnsi"/>
        </w:rPr>
        <w:instrText>ADDIN CSL_CITATION { "citationItems" : [ { "id" : "ITEM-1", "itemData" : { "author" : [ { "dropping-particle" : "", "family" : "European Commission", "given" : "", "non-dropping-particle" : "", "parse-names" : false, "suffix" : "" } ], "id" : "ITEM-1", "issued" : { "date-parts" : [ [ "2017" ] ] }, "number-of-pages" : "1-14", "title" : "On Progress in Bulgaria under the Co-operation and Verification Mechanism", "type" : "report" }, "locator" : "2", "uris" : [ "http://www.mendeley.com/documents/?uuid=5d43ceee-6055-4d5e-8708-bf7d90511f5b" ] } ], "mendeley" : { "formattedCitation" : "(European Commission, 2017, p.2)", "plainTextFormattedCitation" : "(European Commission, 2017, p.2)", "previouslyFormattedCitation" : "(European Commission, 2017, p.2)" }, "properties" : {  }, "schema" : "https://github.com/citation-style-language/schema/raw/master/csl-citation.json" }</w:instrText>
      </w:r>
      <w:r w:rsidRPr="00EE2272">
        <w:rPr>
          <w:rFonts w:cstheme="minorHAnsi"/>
        </w:rPr>
        <w:fldChar w:fldCharType="separate"/>
      </w:r>
      <w:r w:rsidRPr="00EE2272">
        <w:rPr>
          <w:rFonts w:cstheme="minorHAnsi"/>
          <w:noProof/>
        </w:rPr>
        <w:t>(European Commission, 2017, p.2)</w:t>
      </w:r>
      <w:r w:rsidRPr="00EE2272">
        <w:rPr>
          <w:rFonts w:cstheme="minorHAnsi"/>
        </w:rPr>
        <w:fldChar w:fldCharType="end"/>
      </w:r>
      <w:r w:rsidRPr="00EE2272">
        <w:rPr>
          <w:rFonts w:cstheme="minorHAnsi"/>
        </w:rPr>
        <w:t>.</w:t>
      </w:r>
    </w:p>
  </w:footnote>
  <w:footnote w:id="8">
    <w:p w:rsidR="00AA5009" w:rsidRPr="00EE2272" w:rsidRDefault="00AA5009" w:rsidP="009B25CB">
      <w:pPr>
        <w:pStyle w:val="FootnoteText"/>
        <w:rPr>
          <w:rFonts w:cstheme="minorHAnsi"/>
        </w:rPr>
      </w:pPr>
      <w:r w:rsidRPr="00EE2272">
        <w:rPr>
          <w:rStyle w:val="FootnoteReference"/>
          <w:rFonts w:cstheme="minorHAnsi"/>
        </w:rPr>
        <w:footnoteRef/>
      </w:r>
      <w:r w:rsidRPr="00EE2272">
        <w:rPr>
          <w:rFonts w:cstheme="minorHAnsi"/>
        </w:rPr>
        <w:t xml:space="preserve"> The EC “cut off Bulgaria’s funding for road construction after the arrest for bribery of two Bulgarian road agency officials. Some €115 million in money destined for roads were frozen, followed by €121 million in money earmarked for agricultural and rural development.” </w:t>
      </w:r>
      <w:r w:rsidRPr="00EE2272">
        <w:rPr>
          <w:rFonts w:cstheme="minorHAnsi"/>
        </w:rPr>
        <w:fldChar w:fldCharType="begin" w:fldLock="1"/>
      </w:r>
      <w:r>
        <w:rPr>
          <w:rFonts w:cstheme="minorHAnsi"/>
        </w:rPr>
        <w:instrText>ADDIN CSL_CITATION { "citationItems" : [ { "id" : "ITEM-1", "itemData" : { "DOI" : "10.1111/j.1468-5965.2009.02013.x", "ISBN" : "1468-5965", "ISSN" : "00219886", "abstract" : "-", "author" : [ { "dropping-particle" : "", "family" : "Vachudova", "given" : "Milada Anna", "non-dropping-particle" : "", "parse-names" : false, "suffix" : "" } ], "container-title" : "Journal of Common Market Studies", "id" : "ITEM-1", "issue" : "SUPPL. 1", "issued" : { "date-parts" : [ [ "2009" ] ] }, "page" : "43-62", "title" : "Corruption and compliance in the EU's post-communist members and candidates", "type" : "article-journal", "volume" : "47" }, "locator" : "54", "uris" : [ "http://www.mendeley.com/documents/?uuid=ca376db2-c918-4c84-a516-e4ee7817ee87" ] } ], "mendeley" : { "formattedCitation" : "(Vachudova, 2009, p.54)", "plainTextFormattedCitation" : "(Vachudova, 2009, p.54)", "previouslyFormattedCitation" : "(Vachudova, 2009, p.54)" }, "properties" : {  }, "schema" : "https://github.com/citation-style-language/schema/raw/master/csl-citation.json" }</w:instrText>
      </w:r>
      <w:r w:rsidRPr="00EE2272">
        <w:rPr>
          <w:rFonts w:cstheme="minorHAnsi"/>
        </w:rPr>
        <w:fldChar w:fldCharType="separate"/>
      </w:r>
      <w:r w:rsidRPr="00EE2272">
        <w:rPr>
          <w:rFonts w:cstheme="minorHAnsi"/>
          <w:noProof/>
        </w:rPr>
        <w:t>(Vachudova, 2009, p.54)</w:t>
      </w:r>
      <w:r w:rsidRPr="00EE2272">
        <w:rPr>
          <w:rFonts w:cstheme="minorHAnsi"/>
        </w:rPr>
        <w:fldChar w:fldCharType="end"/>
      </w:r>
    </w:p>
  </w:footnote>
  <w:footnote w:id="9">
    <w:p w:rsidR="00AA5009" w:rsidRPr="00EE2272" w:rsidRDefault="00AA5009" w:rsidP="0005643A">
      <w:pPr>
        <w:pStyle w:val="FootnoteText"/>
        <w:rPr>
          <w:rFonts w:cstheme="minorHAnsi"/>
        </w:rPr>
      </w:pPr>
      <w:r w:rsidRPr="00EE2272">
        <w:rPr>
          <w:rStyle w:val="FootnoteReference"/>
          <w:rFonts w:cstheme="minorHAnsi"/>
        </w:rPr>
        <w:footnoteRef/>
      </w:r>
      <w:r w:rsidRPr="00EE2272">
        <w:rPr>
          <w:rFonts w:cstheme="minorHAnsi"/>
        </w:rPr>
        <w:t xml:space="preserve"> BG-CSD-01</w:t>
      </w:r>
    </w:p>
  </w:footnote>
  <w:footnote w:id="10">
    <w:p w:rsidR="00AA5009" w:rsidRPr="00EE2272" w:rsidRDefault="00AA5009" w:rsidP="0005643A">
      <w:pPr>
        <w:pStyle w:val="FootnoteText"/>
        <w:rPr>
          <w:rFonts w:cstheme="minorHAnsi"/>
        </w:rPr>
      </w:pPr>
      <w:r w:rsidRPr="00EE2272">
        <w:rPr>
          <w:rStyle w:val="FootnoteReference"/>
          <w:rFonts w:cstheme="minorHAnsi"/>
        </w:rPr>
        <w:footnoteRef/>
      </w:r>
      <w:r w:rsidRPr="00EE2272">
        <w:rPr>
          <w:rFonts w:cstheme="minorHAnsi"/>
        </w:rPr>
        <w:t xml:space="preserve"> BG-NEW-01; BG-GOV-01</w:t>
      </w:r>
    </w:p>
  </w:footnote>
  <w:footnote w:id="11">
    <w:p w:rsidR="00AA5009" w:rsidRPr="00EE2272" w:rsidRDefault="00AA5009">
      <w:pPr>
        <w:pStyle w:val="FootnoteText"/>
        <w:rPr>
          <w:rFonts w:cstheme="minorHAnsi"/>
        </w:rPr>
      </w:pPr>
      <w:r w:rsidRPr="00EE2272">
        <w:rPr>
          <w:rStyle w:val="FootnoteReference"/>
          <w:rFonts w:cstheme="minorHAnsi"/>
        </w:rPr>
        <w:footnoteRef/>
      </w:r>
      <w:r w:rsidRPr="00EE2272">
        <w:rPr>
          <w:rFonts w:cstheme="minorHAnsi"/>
        </w:rPr>
        <w:t xml:space="preserve"> BG-CSD-01</w:t>
      </w:r>
    </w:p>
  </w:footnote>
  <w:footnote w:id="12">
    <w:p w:rsidR="00AA5009" w:rsidRPr="00EE2272" w:rsidRDefault="00AA5009" w:rsidP="00FE7D91">
      <w:pPr>
        <w:pStyle w:val="FootnoteText"/>
        <w:rPr>
          <w:rFonts w:cstheme="minorHAnsi"/>
        </w:rPr>
      </w:pPr>
      <w:r w:rsidRPr="00EE2272">
        <w:rPr>
          <w:rStyle w:val="FootnoteReference"/>
          <w:rFonts w:cstheme="minorHAnsi"/>
        </w:rPr>
        <w:footnoteRef/>
      </w:r>
      <w:r w:rsidRPr="00EE2272">
        <w:rPr>
          <w:rFonts w:cstheme="minorHAnsi"/>
        </w:rPr>
        <w:t xml:space="preserve"> BG-WWF-01</w:t>
      </w:r>
    </w:p>
  </w:footnote>
  <w:footnote w:id="13">
    <w:p w:rsidR="00AA5009" w:rsidRPr="00EE2272" w:rsidRDefault="00AA5009" w:rsidP="00FE7D91">
      <w:pPr>
        <w:pStyle w:val="FootnoteText"/>
        <w:rPr>
          <w:rFonts w:cstheme="minorHAnsi"/>
        </w:rPr>
      </w:pPr>
      <w:r w:rsidRPr="00EE2272">
        <w:rPr>
          <w:rStyle w:val="FootnoteReference"/>
          <w:rFonts w:cstheme="minorHAnsi"/>
        </w:rPr>
        <w:footnoteRef/>
      </w:r>
      <w:r w:rsidRPr="00EE2272">
        <w:rPr>
          <w:rFonts w:cstheme="minorHAnsi"/>
        </w:rPr>
        <w:t xml:space="preserve"> BG-GREEN-01</w:t>
      </w:r>
    </w:p>
  </w:footnote>
  <w:footnote w:id="14">
    <w:p w:rsidR="00AA5009" w:rsidRPr="00EE2272" w:rsidRDefault="00AA5009" w:rsidP="00FE7D91">
      <w:pPr>
        <w:pStyle w:val="FootnoteText"/>
        <w:rPr>
          <w:rFonts w:cstheme="minorHAnsi"/>
        </w:rPr>
      </w:pPr>
      <w:r w:rsidRPr="00EE2272">
        <w:rPr>
          <w:rStyle w:val="FootnoteReference"/>
          <w:rFonts w:cstheme="minorHAnsi"/>
        </w:rPr>
        <w:footnoteRef/>
      </w:r>
      <w:r w:rsidRPr="00EE2272">
        <w:rPr>
          <w:rFonts w:cstheme="minorHAnsi"/>
        </w:rPr>
        <w:t xml:space="preserve"> BG-ACAD-01</w:t>
      </w:r>
    </w:p>
  </w:footnote>
  <w:footnote w:id="15">
    <w:p w:rsidR="00AA5009" w:rsidRPr="00EE2272" w:rsidRDefault="00AA5009" w:rsidP="00A1650E">
      <w:pPr>
        <w:pStyle w:val="FootnoteText"/>
        <w:rPr>
          <w:rFonts w:cstheme="minorHAnsi"/>
        </w:rPr>
      </w:pPr>
      <w:r w:rsidRPr="00EE2272">
        <w:rPr>
          <w:rStyle w:val="FootnoteReference"/>
          <w:rFonts w:cstheme="minorHAnsi"/>
        </w:rPr>
        <w:footnoteRef/>
      </w:r>
      <w:r w:rsidRPr="00EE2272">
        <w:rPr>
          <w:rFonts w:cstheme="minorHAnsi"/>
        </w:rPr>
        <w:t xml:space="preserve"> BG-ACAD-01</w:t>
      </w:r>
    </w:p>
  </w:footnote>
  <w:footnote w:id="16">
    <w:p w:rsidR="00AA5009" w:rsidRPr="00EE2272" w:rsidRDefault="00AA5009">
      <w:pPr>
        <w:pStyle w:val="FootnoteText"/>
        <w:rPr>
          <w:rFonts w:cstheme="minorHAnsi"/>
        </w:rPr>
      </w:pPr>
      <w:r w:rsidRPr="00EE2272">
        <w:rPr>
          <w:rStyle w:val="FootnoteReference"/>
          <w:rFonts w:cstheme="minorHAnsi"/>
        </w:rPr>
        <w:footnoteRef/>
      </w:r>
      <w:r w:rsidRPr="00EE2272">
        <w:rPr>
          <w:rFonts w:cstheme="minorHAnsi"/>
        </w:rPr>
        <w:t xml:space="preserve"> BG-NEW-01</w:t>
      </w:r>
    </w:p>
  </w:footnote>
  <w:footnote w:id="17">
    <w:p w:rsidR="00AA5009" w:rsidRPr="00EE2272" w:rsidRDefault="00AA5009" w:rsidP="008D3954">
      <w:pPr>
        <w:pStyle w:val="FootnoteText"/>
        <w:rPr>
          <w:rFonts w:cstheme="minorHAnsi"/>
        </w:rPr>
      </w:pPr>
      <w:r w:rsidRPr="00EE2272">
        <w:rPr>
          <w:rStyle w:val="FootnoteReference"/>
          <w:rFonts w:cstheme="minorHAnsi"/>
        </w:rPr>
        <w:footnoteRef/>
      </w:r>
      <w:r w:rsidRPr="00EE2272">
        <w:rPr>
          <w:rFonts w:cstheme="minorHAnsi"/>
        </w:rPr>
        <w:t xml:space="preserve"> While year-on-year renewable capacity growth, including hydropower, stood at 6.8% in 2011 and 28% in 2012, in 2013 this had fallen to just above 1%, to 0.91% in 2014, and less than 0.35% in 2015 </w:t>
      </w:r>
      <w:r w:rsidRPr="00EE2272">
        <w:rPr>
          <w:rFonts w:cstheme="minorHAnsi"/>
        </w:rPr>
        <w:fldChar w:fldCharType="begin" w:fldLock="1"/>
      </w:r>
      <w:r>
        <w:rPr>
          <w:rFonts w:cstheme="minorHAnsi"/>
        </w:rPr>
        <w:instrText>ADDIN CSL_CITATION { "citationItems" : [ { "id" : "ITEM-1", "itemData" : { "DOI" : "10.1016/j.renene.2017.05.007", "ISSN" : "09601481", "author" : [ { "dropping-particle" : "", "family" : "Nikolaev", "given" : "Angel", "non-dropping-particle" : "", "parse-names" : false, "suffix" : "" }, { "dropping-particle" : "", "family" : "Konidari", "given" : "Popi", "non-dropping-particle" : "", "parse-names" : false, "suffix" : "" } ], "container-title" : "Renewable Energy", "id" : "ITEM-1", "issued" : { "date-parts" : [ [ "2017", "10" ] ] }, "page" : "792-802", "title" : "Development and assessment of renewable energy policy scenarios by 2030 for Bulgaria", "type" : "article-journal", "volume" : "111" }, "uris" : [ "http://www.mendeley.com/documents/?uuid=80090ba8-0225-3bbf-a146-3cac73aeb5b4" ] } ], "mendeley" : { "formattedCitation" : "(Nikolaev and Konidari, 2017)", "plainTextFormattedCitation" : "(Nikolaev and Konidari, 2017)", "previouslyFormattedCitation" : "(Nikolaev and Konidari, 2017)" }, "properties" : {  }, "schema" : "https://github.com/citation-style-language/schema/raw/master/csl-citation.json" }</w:instrText>
      </w:r>
      <w:r w:rsidRPr="00EE2272">
        <w:rPr>
          <w:rFonts w:cstheme="minorHAnsi"/>
        </w:rPr>
        <w:fldChar w:fldCharType="separate"/>
      </w:r>
      <w:r w:rsidRPr="00EE2272">
        <w:rPr>
          <w:rFonts w:cstheme="minorHAnsi"/>
          <w:noProof/>
        </w:rPr>
        <w:t>(Nikolaev and Konidari, 2017)</w:t>
      </w:r>
      <w:r w:rsidRPr="00EE2272">
        <w:rPr>
          <w:rFonts w:cstheme="minorHAnsi"/>
        </w:rPr>
        <w:fldChar w:fldCharType="end"/>
      </w:r>
      <w:r w:rsidRPr="00EE2272">
        <w:rPr>
          <w:rFonts w:cstheme="minorHAnsi"/>
        </w:rPr>
        <w:t>.</w:t>
      </w:r>
    </w:p>
  </w:footnote>
  <w:footnote w:id="18">
    <w:p w:rsidR="00AA5009" w:rsidRPr="00EE2272" w:rsidRDefault="00AA5009">
      <w:pPr>
        <w:pStyle w:val="FootnoteText"/>
        <w:rPr>
          <w:rFonts w:cstheme="minorHAnsi"/>
        </w:rPr>
      </w:pPr>
      <w:r w:rsidRPr="00EE2272">
        <w:rPr>
          <w:rStyle w:val="FootnoteReference"/>
          <w:rFonts w:cstheme="minorHAnsi"/>
        </w:rPr>
        <w:footnoteRef/>
      </w:r>
      <w:r w:rsidRPr="00EE2272">
        <w:rPr>
          <w:rFonts w:cstheme="minorHAnsi"/>
        </w:rPr>
        <w:t xml:space="preserve"> BG-CSD-01</w:t>
      </w:r>
    </w:p>
  </w:footnote>
  <w:footnote w:id="19">
    <w:p w:rsidR="00AA5009" w:rsidRPr="00EE2272" w:rsidRDefault="00AA5009" w:rsidP="003C30B9">
      <w:pPr>
        <w:pStyle w:val="FootnoteText"/>
        <w:rPr>
          <w:rFonts w:cstheme="minorHAnsi"/>
        </w:rPr>
      </w:pPr>
      <w:r w:rsidRPr="00EE2272">
        <w:rPr>
          <w:rStyle w:val="FootnoteReference"/>
          <w:rFonts w:cstheme="minorHAnsi"/>
        </w:rPr>
        <w:footnoteRef/>
      </w:r>
      <w:r w:rsidRPr="00EE2272">
        <w:rPr>
          <w:rFonts w:cstheme="minorHAnsi"/>
        </w:rPr>
        <w:t xml:space="preserve"> In 2014, the NEC owed some USD500 million to generating companies </w:t>
      </w:r>
      <w:r w:rsidRPr="00EE2272">
        <w:rPr>
          <w:rFonts w:cstheme="minorHAnsi"/>
        </w:rPr>
        <w:fldChar w:fldCharType="begin" w:fldLock="1"/>
      </w:r>
      <w:r>
        <w:rPr>
          <w:rFonts w:cstheme="minorHAnsi"/>
        </w:rPr>
        <w:instrText>ADDIN CSL_CITATION { "citationItems" : [ { "id" : "ITEM-1", "itemData" : { "author" : [ { "dropping-particle" : "", "family" : "Ewing", "given" : "Jack", "non-dropping-particle" : "", "parse-names" : false, "suffix" : "" }, { "dropping-particle" : "", "family" : "Kantchev", "given" : "Georgi", "non-dropping-particle" : "", "parse-names" : false, "suffix" : "" } ], "container-title" : "New York Times", "id" : "ITEM-1", "issued" : { "date-parts" : [ [ "2014", "7", "7" ] ] }, "title" : "In Bulgaria, Corruption and Mistrust Turn Promise Into Pain", "type" : "article-newspaper" }, "uris" : [ "http://www.mendeley.com/documents/?uuid=59016b10-cc1c-4bb7-947b-cfdf15127b0a" ] } ], "mendeley" : { "formattedCitation" : "(Ewing and Kantchev, 2014)", "plainTextFormattedCitation" : "(Ewing and Kantchev, 2014)", "previouslyFormattedCitation" : "(Ewing and Kantchev, 2014)" }, "properties" : {  }, "schema" : "https://github.com/citation-style-language/schema/raw/master/csl-citation.json" }</w:instrText>
      </w:r>
      <w:r w:rsidRPr="00EE2272">
        <w:rPr>
          <w:rFonts w:cstheme="minorHAnsi"/>
        </w:rPr>
        <w:fldChar w:fldCharType="separate"/>
      </w:r>
      <w:r w:rsidRPr="00EE2272">
        <w:rPr>
          <w:rFonts w:cstheme="minorHAnsi"/>
          <w:noProof/>
        </w:rPr>
        <w:t>(Ewing and Kantchev, 2014)</w:t>
      </w:r>
      <w:r w:rsidRPr="00EE2272">
        <w:rPr>
          <w:rFonts w:cstheme="minorHAnsi"/>
        </w:rPr>
        <w:fldChar w:fldCharType="end"/>
      </w:r>
    </w:p>
  </w:footnote>
  <w:footnote w:id="20">
    <w:p w:rsidR="00AA5009" w:rsidRDefault="00AA5009">
      <w:pPr>
        <w:pStyle w:val="FootnoteText"/>
      </w:pPr>
      <w:r>
        <w:rPr>
          <w:rStyle w:val="FootnoteReference"/>
        </w:rPr>
        <w:footnoteRef/>
      </w:r>
      <w:r>
        <w:t xml:space="preserve"> As aforementioned, Bulgarian electricity prices are the lowest in the EU, and therefore are expected to increase if liberalised and integrated. </w:t>
      </w:r>
    </w:p>
  </w:footnote>
  <w:footnote w:id="21">
    <w:p w:rsidR="00AA5009" w:rsidRPr="00EE2272" w:rsidRDefault="00AA5009" w:rsidP="00462D58">
      <w:pPr>
        <w:pStyle w:val="FootnoteText"/>
        <w:rPr>
          <w:rFonts w:cstheme="minorHAnsi"/>
        </w:rPr>
      </w:pPr>
      <w:r w:rsidRPr="00EE2272">
        <w:rPr>
          <w:rStyle w:val="FootnoteReference"/>
          <w:rFonts w:cstheme="minorHAnsi"/>
        </w:rPr>
        <w:footnoteRef/>
      </w:r>
      <w:r w:rsidRPr="00EE2272">
        <w:rPr>
          <w:rFonts w:cstheme="minorHAnsi"/>
        </w:rPr>
        <w:t xml:space="preserve"> BG-CSD-01</w:t>
      </w:r>
    </w:p>
  </w:footnote>
  <w:footnote w:id="22">
    <w:p w:rsidR="00AA5009" w:rsidRPr="00EE2272" w:rsidRDefault="00AA5009" w:rsidP="00510F42">
      <w:pPr>
        <w:pStyle w:val="FootnoteText"/>
        <w:rPr>
          <w:rFonts w:cstheme="minorHAnsi"/>
        </w:rPr>
      </w:pPr>
      <w:r w:rsidRPr="00EE2272">
        <w:rPr>
          <w:rStyle w:val="FootnoteReference"/>
          <w:rFonts w:cstheme="minorHAnsi"/>
        </w:rPr>
        <w:footnoteRef/>
      </w:r>
      <w:r w:rsidRPr="00EE2272">
        <w:rPr>
          <w:rFonts w:cstheme="minorHAnsi"/>
        </w:rPr>
        <w:t xml:space="preserve"> Accessible only in Bulgarian at: http://www.seea.government.bg/bg/</w:t>
      </w:r>
    </w:p>
  </w:footnote>
  <w:footnote w:id="23">
    <w:p w:rsidR="00AA5009" w:rsidRPr="00EE2272" w:rsidRDefault="00AA5009" w:rsidP="00510F42">
      <w:pPr>
        <w:pStyle w:val="FootnoteText"/>
        <w:rPr>
          <w:rFonts w:cstheme="minorHAnsi"/>
        </w:rPr>
      </w:pPr>
      <w:r w:rsidRPr="00EE2272">
        <w:rPr>
          <w:rStyle w:val="FootnoteReference"/>
          <w:rFonts w:cstheme="minorHAnsi"/>
        </w:rPr>
        <w:footnoteRef/>
      </w:r>
      <w:r w:rsidRPr="00EE2272">
        <w:rPr>
          <w:rFonts w:cstheme="minorHAnsi"/>
        </w:rPr>
        <w:t xml:space="preserve"> Available at: http://www.eso.bg/?did=124#Начална </w:t>
      </w:r>
      <w:proofErr w:type="spellStart"/>
      <w:r w:rsidRPr="00EE2272">
        <w:rPr>
          <w:rFonts w:cstheme="minorHAnsi"/>
        </w:rPr>
        <w:t>страница</w:t>
      </w:r>
      <w:proofErr w:type="spellEnd"/>
    </w:p>
  </w:footnote>
  <w:footnote w:id="24">
    <w:p w:rsidR="00AA5009" w:rsidRPr="00EE2272" w:rsidRDefault="00AA5009" w:rsidP="00510F42">
      <w:pPr>
        <w:pStyle w:val="FootnoteText"/>
        <w:rPr>
          <w:rFonts w:cstheme="minorHAnsi"/>
        </w:rPr>
      </w:pPr>
      <w:r w:rsidRPr="00EE2272">
        <w:rPr>
          <w:rStyle w:val="FootnoteReference"/>
          <w:rFonts w:cstheme="minorHAnsi"/>
        </w:rPr>
        <w:footnoteRef/>
      </w:r>
      <w:r w:rsidRPr="00EE2272">
        <w:rPr>
          <w:rFonts w:cstheme="minorHAnsi"/>
        </w:rPr>
        <w:t xml:space="preserve"> The Public Procurement Agency is governed by Decree No 56 of the Council of Ministers (prom. </w:t>
      </w:r>
      <w:proofErr w:type="gramStart"/>
      <w:r w:rsidRPr="00EE2272">
        <w:rPr>
          <w:rFonts w:cstheme="minorHAnsi"/>
        </w:rPr>
        <w:t>SG No 24/23.03.2004).</w:t>
      </w:r>
      <w:proofErr w:type="gramEnd"/>
    </w:p>
  </w:footnote>
  <w:footnote w:id="25">
    <w:p w:rsidR="00AA5009" w:rsidRPr="00EE2272" w:rsidRDefault="00AA5009" w:rsidP="00510F42">
      <w:pPr>
        <w:pStyle w:val="FootnoteText"/>
        <w:rPr>
          <w:rFonts w:cstheme="minorHAnsi"/>
        </w:rPr>
      </w:pPr>
      <w:r w:rsidRPr="00EE2272">
        <w:rPr>
          <w:rStyle w:val="FootnoteReference"/>
          <w:rFonts w:cstheme="minorHAnsi"/>
        </w:rPr>
        <w:footnoteRef/>
      </w:r>
      <w:r w:rsidRPr="00EE2272">
        <w:rPr>
          <w:rFonts w:cstheme="minorHAnsi"/>
        </w:rPr>
        <w:t xml:space="preserve"> Available at: http://rop3-app1.aop.bg:7778/portal/page?_pageid=173,1&amp;_dad=portal&amp;_schema=PORTAL</w:t>
      </w:r>
    </w:p>
  </w:footnote>
  <w:footnote w:id="26">
    <w:p w:rsidR="00AA5009" w:rsidRPr="00EE2272" w:rsidRDefault="00AA5009">
      <w:pPr>
        <w:pStyle w:val="FootnoteText"/>
        <w:rPr>
          <w:rFonts w:cstheme="minorHAnsi"/>
        </w:rPr>
      </w:pPr>
      <w:r w:rsidRPr="00EE2272">
        <w:rPr>
          <w:rStyle w:val="FootnoteReference"/>
          <w:rFonts w:cstheme="minorHAnsi"/>
        </w:rPr>
        <w:footnoteRef/>
      </w:r>
      <w:r w:rsidRPr="00EE2272">
        <w:rPr>
          <w:rFonts w:cstheme="minorHAnsi"/>
        </w:rPr>
        <w:t xml:space="preserve"> BG-GOV-01; BG-CSD-01</w:t>
      </w:r>
    </w:p>
  </w:footnote>
  <w:footnote w:id="27">
    <w:p w:rsidR="00AA5009" w:rsidRPr="00EE2272" w:rsidRDefault="00AA5009" w:rsidP="00B90FFB">
      <w:pPr>
        <w:pStyle w:val="FootnoteText"/>
        <w:rPr>
          <w:rFonts w:cstheme="minorHAnsi"/>
        </w:rPr>
      </w:pPr>
      <w:r w:rsidRPr="00EE2272">
        <w:rPr>
          <w:rStyle w:val="FootnoteReference"/>
          <w:rFonts w:cstheme="minorHAnsi"/>
        </w:rPr>
        <w:footnoteRef/>
      </w:r>
      <w:r w:rsidRPr="00EE2272">
        <w:rPr>
          <w:rFonts w:cstheme="minorHAnsi"/>
        </w:rPr>
        <w:t xml:space="preserve"> BG-GOV-01</w:t>
      </w:r>
    </w:p>
  </w:footnote>
  <w:footnote w:id="28">
    <w:p w:rsidR="00AA5009" w:rsidRPr="00EE2272" w:rsidRDefault="00AA5009" w:rsidP="001F5F28">
      <w:pPr>
        <w:pStyle w:val="FootnoteText"/>
        <w:rPr>
          <w:rFonts w:cstheme="minorHAnsi"/>
        </w:rPr>
      </w:pPr>
      <w:r w:rsidRPr="00EE2272">
        <w:rPr>
          <w:rStyle w:val="FootnoteReference"/>
          <w:rFonts w:cstheme="minorHAnsi"/>
        </w:rPr>
        <w:footnoteRef/>
      </w:r>
      <w:r w:rsidRPr="00EE2272">
        <w:rPr>
          <w:rFonts w:cstheme="minorHAnsi"/>
        </w:rPr>
        <w:t xml:space="preserve"> BG-CSD-01</w:t>
      </w:r>
    </w:p>
  </w:footnote>
  <w:footnote w:id="29">
    <w:p w:rsidR="00AA5009" w:rsidRPr="00EE2272" w:rsidRDefault="00AA5009" w:rsidP="002709FC">
      <w:pPr>
        <w:pStyle w:val="FootnoteText"/>
        <w:rPr>
          <w:rFonts w:cstheme="minorHAnsi"/>
        </w:rPr>
      </w:pPr>
      <w:r w:rsidRPr="00EE2272">
        <w:rPr>
          <w:rStyle w:val="FootnoteReference"/>
          <w:rFonts w:cstheme="minorHAnsi"/>
        </w:rPr>
        <w:footnoteRef/>
      </w:r>
      <w:r w:rsidRPr="00EE2272">
        <w:rPr>
          <w:rFonts w:cstheme="minorHAnsi"/>
        </w:rPr>
        <w:t xml:space="preserve"> BG-CSD-01</w:t>
      </w:r>
    </w:p>
  </w:footnote>
  <w:footnote w:id="30">
    <w:p w:rsidR="00AA5009" w:rsidRPr="00EE2272" w:rsidRDefault="00AA5009" w:rsidP="001F5F28">
      <w:pPr>
        <w:pStyle w:val="FootnoteText"/>
        <w:rPr>
          <w:rFonts w:cstheme="minorHAnsi"/>
        </w:rPr>
      </w:pPr>
      <w:r w:rsidRPr="00EE2272">
        <w:rPr>
          <w:rStyle w:val="FootnoteReference"/>
          <w:rFonts w:cstheme="minorHAnsi"/>
        </w:rPr>
        <w:footnoteRef/>
      </w:r>
      <w:r w:rsidRPr="00EE2272">
        <w:rPr>
          <w:rFonts w:cstheme="minorHAnsi"/>
        </w:rPr>
        <w:t xml:space="preserve"> BG-WWF-01; BG-GREEN-01</w:t>
      </w:r>
    </w:p>
  </w:footnote>
  <w:footnote w:id="31">
    <w:p w:rsidR="00AA5009" w:rsidRPr="00EE2272" w:rsidRDefault="00AA5009" w:rsidP="00DC227A">
      <w:pPr>
        <w:pStyle w:val="FootnoteText"/>
        <w:rPr>
          <w:rFonts w:cstheme="minorHAnsi"/>
        </w:rPr>
      </w:pPr>
      <w:r w:rsidRPr="00EE2272">
        <w:rPr>
          <w:rStyle w:val="FootnoteReference"/>
          <w:rFonts w:cstheme="minorHAnsi"/>
        </w:rPr>
        <w:footnoteRef/>
      </w:r>
      <w:r w:rsidRPr="00EE2272">
        <w:rPr>
          <w:rFonts w:cstheme="minorHAnsi"/>
        </w:rPr>
        <w:t xml:space="preserve"> BG-CSD-01</w:t>
      </w:r>
    </w:p>
  </w:footnote>
  <w:footnote w:id="32">
    <w:p w:rsidR="00AA5009" w:rsidRDefault="00AA5009">
      <w:pPr>
        <w:pStyle w:val="FootnoteText"/>
      </w:pPr>
      <w:r>
        <w:rPr>
          <w:rStyle w:val="FootnoteReference"/>
        </w:rPr>
        <w:footnoteRef/>
      </w:r>
      <w:r>
        <w:t xml:space="preserve"> Bulgaria has one of the highest rate of home-owners in the EU with few outstanding mortgages, meaning for the majority of Bulgarians (over 80%), housing costs are zero, while another 15% of the population lives in reduced fee tenancy agreements </w:t>
      </w:r>
      <w:r>
        <w:fldChar w:fldCharType="begin" w:fldLock="1"/>
      </w:r>
      <w:r>
        <w:instrText>ADDIN CSL_CITATION { "citationItems" : [ { "id" : "ITEM-1", "itemData" : { "URL" : "http://ec.europa.eu/eurostat/statistics-explained/index.php/Housing_statistics", "author" : [ { "dropping-particle" : "", "family" : "European Commission", "given" : "", "non-dropping-particle" : "", "parse-names" : false, "suffix" : "" } ], "id" : "ITEM-1", "issued" : { "date-parts" : [ [ "2018" ] ] }, "title" : "Housing Statistics", "type" : "webpage" }, "uris" : [ "http://www.mendeley.com/documents/?uuid=b41623b4-94af-442d-8d67-9cf6da82f43f" ] } ], "mendeley" : { "formattedCitation" : "(European Commission, 2018)", "plainTextFormattedCitation" : "(European Commission, 2018)", "previouslyFormattedCitation" : "(European Commission, 2018)" }, "properties" : {  }, "schema" : "https://github.com/citation-style-language/schema/raw/master/csl-citation.json" }</w:instrText>
      </w:r>
      <w:r>
        <w:fldChar w:fldCharType="separate"/>
      </w:r>
      <w:r w:rsidRPr="00011CFE">
        <w:rPr>
          <w:noProof/>
        </w:rPr>
        <w:t>(European Commission, 2018)</w:t>
      </w:r>
      <w:r>
        <w:fldChar w:fldCharType="end"/>
      </w:r>
      <w:r>
        <w:t>. The over 14% expenditure share for housing, water and energy should be considered in this light.</w:t>
      </w:r>
    </w:p>
  </w:footnote>
  <w:footnote w:id="33">
    <w:p w:rsidR="00AA5009" w:rsidRPr="00EE2272" w:rsidRDefault="00AA5009" w:rsidP="00B13573">
      <w:pPr>
        <w:pStyle w:val="FootnoteText"/>
        <w:rPr>
          <w:rFonts w:cstheme="minorHAnsi"/>
        </w:rPr>
      </w:pPr>
      <w:r w:rsidRPr="00EE2272">
        <w:rPr>
          <w:rStyle w:val="FootnoteReference"/>
          <w:rFonts w:cstheme="minorHAnsi"/>
        </w:rPr>
        <w:footnoteRef/>
      </w:r>
      <w:r w:rsidRPr="00EE2272">
        <w:rPr>
          <w:rFonts w:cstheme="minorHAnsi"/>
        </w:rPr>
        <w:t xml:space="preserve"> BG-GOV-01</w:t>
      </w:r>
    </w:p>
  </w:footnote>
  <w:footnote w:id="34">
    <w:p w:rsidR="00AA5009" w:rsidRPr="00EE2272" w:rsidRDefault="00AA5009" w:rsidP="00186493">
      <w:pPr>
        <w:pStyle w:val="FootnoteText"/>
        <w:rPr>
          <w:rFonts w:cstheme="minorHAnsi"/>
        </w:rPr>
      </w:pPr>
      <w:r w:rsidRPr="00EE2272">
        <w:rPr>
          <w:rStyle w:val="FootnoteReference"/>
          <w:rFonts w:cstheme="minorHAnsi"/>
        </w:rPr>
        <w:footnoteRef/>
      </w:r>
      <w:r w:rsidRPr="00EE2272">
        <w:rPr>
          <w:rFonts w:cstheme="minorHAnsi"/>
        </w:rPr>
        <w:t xml:space="preserve"> BG-CSD-01; BG-WWF-01</w:t>
      </w:r>
    </w:p>
  </w:footnote>
  <w:footnote w:id="35">
    <w:p w:rsidR="00AA5009" w:rsidRPr="00EE2272" w:rsidRDefault="00AA5009" w:rsidP="00186493">
      <w:pPr>
        <w:pStyle w:val="FootnoteText"/>
        <w:rPr>
          <w:rFonts w:cstheme="minorHAnsi"/>
        </w:rPr>
      </w:pPr>
      <w:r w:rsidRPr="00EE2272">
        <w:rPr>
          <w:rStyle w:val="FootnoteReference"/>
          <w:rFonts w:cstheme="minorHAnsi"/>
        </w:rPr>
        <w:footnoteRef/>
      </w:r>
      <w:r w:rsidRPr="00EE2272">
        <w:rPr>
          <w:rFonts w:cstheme="minorHAnsi"/>
        </w:rPr>
        <w:t xml:space="preserve"> BG-NEW-01</w:t>
      </w:r>
    </w:p>
  </w:footnote>
  <w:footnote w:id="36">
    <w:p w:rsidR="00AA5009" w:rsidRPr="00EE2272" w:rsidRDefault="00AA5009" w:rsidP="00186493">
      <w:pPr>
        <w:pStyle w:val="FootnoteText"/>
        <w:rPr>
          <w:rFonts w:cstheme="minorHAnsi"/>
        </w:rPr>
      </w:pPr>
      <w:r w:rsidRPr="00EE2272">
        <w:rPr>
          <w:rStyle w:val="FootnoteReference"/>
          <w:rFonts w:cstheme="minorHAnsi"/>
        </w:rPr>
        <w:footnoteRef/>
      </w:r>
      <w:r w:rsidRPr="00EE2272">
        <w:rPr>
          <w:rFonts w:cstheme="minorHAnsi"/>
        </w:rPr>
        <w:t xml:space="preserve"> BG-ACAD-01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84921"/>
    <w:multiLevelType w:val="hybridMultilevel"/>
    <w:tmpl w:val="80B41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0809F8"/>
    <w:multiLevelType w:val="hybridMultilevel"/>
    <w:tmpl w:val="72E0812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074D71"/>
    <w:multiLevelType w:val="multilevel"/>
    <w:tmpl w:val="52B6755C"/>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4AC0A78"/>
    <w:multiLevelType w:val="hybridMultilevel"/>
    <w:tmpl w:val="68DC1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552966"/>
    <w:multiLevelType w:val="multilevel"/>
    <w:tmpl w:val="DC16C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70D2543"/>
    <w:multiLevelType w:val="multilevel"/>
    <w:tmpl w:val="4468C0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0"/>
  </w:num>
  <w:num w:numId="4">
    <w:abstractNumId w:val="1"/>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3D"/>
    <w:rsid w:val="00003114"/>
    <w:rsid w:val="00011CFE"/>
    <w:rsid w:val="00015571"/>
    <w:rsid w:val="00020A81"/>
    <w:rsid w:val="0002439D"/>
    <w:rsid w:val="00024BC7"/>
    <w:rsid w:val="00026027"/>
    <w:rsid w:val="0004468B"/>
    <w:rsid w:val="0005040E"/>
    <w:rsid w:val="00053EB4"/>
    <w:rsid w:val="000556BF"/>
    <w:rsid w:val="0005643A"/>
    <w:rsid w:val="000653DB"/>
    <w:rsid w:val="000713A2"/>
    <w:rsid w:val="000741E7"/>
    <w:rsid w:val="000766BE"/>
    <w:rsid w:val="00081A16"/>
    <w:rsid w:val="0008351D"/>
    <w:rsid w:val="000837F7"/>
    <w:rsid w:val="00094E57"/>
    <w:rsid w:val="000971CD"/>
    <w:rsid w:val="00097E2A"/>
    <w:rsid w:val="000A02F4"/>
    <w:rsid w:val="000A0952"/>
    <w:rsid w:val="000B0E7F"/>
    <w:rsid w:val="000C01DA"/>
    <w:rsid w:val="000C52D8"/>
    <w:rsid w:val="000D2B90"/>
    <w:rsid w:val="000E736A"/>
    <w:rsid w:val="0011036B"/>
    <w:rsid w:val="00121648"/>
    <w:rsid w:val="00124657"/>
    <w:rsid w:val="0014088D"/>
    <w:rsid w:val="00146140"/>
    <w:rsid w:val="00155DBE"/>
    <w:rsid w:val="00167DC3"/>
    <w:rsid w:val="00185D61"/>
    <w:rsid w:val="00186493"/>
    <w:rsid w:val="0019271D"/>
    <w:rsid w:val="001B4411"/>
    <w:rsid w:val="001B60E7"/>
    <w:rsid w:val="001C2114"/>
    <w:rsid w:val="001D643E"/>
    <w:rsid w:val="001D6475"/>
    <w:rsid w:val="001F0523"/>
    <w:rsid w:val="001F21DC"/>
    <w:rsid w:val="001F5F28"/>
    <w:rsid w:val="00210D5C"/>
    <w:rsid w:val="00224D40"/>
    <w:rsid w:val="00226364"/>
    <w:rsid w:val="002325A1"/>
    <w:rsid w:val="00232FF5"/>
    <w:rsid w:val="00235F6A"/>
    <w:rsid w:val="00236322"/>
    <w:rsid w:val="00236F17"/>
    <w:rsid w:val="002445DE"/>
    <w:rsid w:val="002473E2"/>
    <w:rsid w:val="0025162D"/>
    <w:rsid w:val="002621DB"/>
    <w:rsid w:val="00262C95"/>
    <w:rsid w:val="00263ECE"/>
    <w:rsid w:val="00267FCA"/>
    <w:rsid w:val="002709FC"/>
    <w:rsid w:val="00276A6D"/>
    <w:rsid w:val="0029639B"/>
    <w:rsid w:val="00297B38"/>
    <w:rsid w:val="002A18F8"/>
    <w:rsid w:val="002B2F5E"/>
    <w:rsid w:val="002B6234"/>
    <w:rsid w:val="002B70C4"/>
    <w:rsid w:val="002D61A3"/>
    <w:rsid w:val="002D76F2"/>
    <w:rsid w:val="002E1F5A"/>
    <w:rsid w:val="002E1F9C"/>
    <w:rsid w:val="002E2363"/>
    <w:rsid w:val="003047BB"/>
    <w:rsid w:val="00307473"/>
    <w:rsid w:val="00312954"/>
    <w:rsid w:val="00312FD5"/>
    <w:rsid w:val="00316313"/>
    <w:rsid w:val="00320C96"/>
    <w:rsid w:val="00322495"/>
    <w:rsid w:val="00357511"/>
    <w:rsid w:val="00362859"/>
    <w:rsid w:val="00373B78"/>
    <w:rsid w:val="00375A5E"/>
    <w:rsid w:val="00375F29"/>
    <w:rsid w:val="003908A3"/>
    <w:rsid w:val="00392DB0"/>
    <w:rsid w:val="00392DDE"/>
    <w:rsid w:val="0039458E"/>
    <w:rsid w:val="003945DD"/>
    <w:rsid w:val="00396431"/>
    <w:rsid w:val="003A46AB"/>
    <w:rsid w:val="003A4BA4"/>
    <w:rsid w:val="003B2183"/>
    <w:rsid w:val="003B45DF"/>
    <w:rsid w:val="003C30B9"/>
    <w:rsid w:val="003C3B9A"/>
    <w:rsid w:val="003C5B19"/>
    <w:rsid w:val="003D0C9B"/>
    <w:rsid w:val="003D3436"/>
    <w:rsid w:val="003E2311"/>
    <w:rsid w:val="003E26F3"/>
    <w:rsid w:val="003E3F7D"/>
    <w:rsid w:val="003E552F"/>
    <w:rsid w:val="003F189A"/>
    <w:rsid w:val="003F3C27"/>
    <w:rsid w:val="004017E9"/>
    <w:rsid w:val="004024F1"/>
    <w:rsid w:val="00405957"/>
    <w:rsid w:val="004148BB"/>
    <w:rsid w:val="004155D5"/>
    <w:rsid w:val="00423AA2"/>
    <w:rsid w:val="0042618E"/>
    <w:rsid w:val="00432123"/>
    <w:rsid w:val="00433BC4"/>
    <w:rsid w:val="0043746D"/>
    <w:rsid w:val="00440F47"/>
    <w:rsid w:val="00442F16"/>
    <w:rsid w:val="00447284"/>
    <w:rsid w:val="004508BA"/>
    <w:rsid w:val="00461506"/>
    <w:rsid w:val="00462D58"/>
    <w:rsid w:val="0047462D"/>
    <w:rsid w:val="004778B2"/>
    <w:rsid w:val="004961A9"/>
    <w:rsid w:val="004A1A41"/>
    <w:rsid w:val="004A4150"/>
    <w:rsid w:val="004A671E"/>
    <w:rsid w:val="004A72B7"/>
    <w:rsid w:val="004B06B7"/>
    <w:rsid w:val="004B527A"/>
    <w:rsid w:val="004B6705"/>
    <w:rsid w:val="004B6FF8"/>
    <w:rsid w:val="004B7386"/>
    <w:rsid w:val="004C1426"/>
    <w:rsid w:val="004C2A48"/>
    <w:rsid w:val="004C2BF7"/>
    <w:rsid w:val="004D0E6E"/>
    <w:rsid w:val="004D14E5"/>
    <w:rsid w:val="004E2069"/>
    <w:rsid w:val="004E49DC"/>
    <w:rsid w:val="004E7BC0"/>
    <w:rsid w:val="004F33D7"/>
    <w:rsid w:val="004F5741"/>
    <w:rsid w:val="004F6098"/>
    <w:rsid w:val="004F6394"/>
    <w:rsid w:val="00510F42"/>
    <w:rsid w:val="005129E2"/>
    <w:rsid w:val="00512D06"/>
    <w:rsid w:val="00516252"/>
    <w:rsid w:val="00526534"/>
    <w:rsid w:val="00535890"/>
    <w:rsid w:val="00540544"/>
    <w:rsid w:val="00542C91"/>
    <w:rsid w:val="0054334F"/>
    <w:rsid w:val="00546C7F"/>
    <w:rsid w:val="00555D86"/>
    <w:rsid w:val="005568AB"/>
    <w:rsid w:val="005569A2"/>
    <w:rsid w:val="00556EE9"/>
    <w:rsid w:val="00557064"/>
    <w:rsid w:val="0056559D"/>
    <w:rsid w:val="00567BAB"/>
    <w:rsid w:val="00575E0A"/>
    <w:rsid w:val="00576D9D"/>
    <w:rsid w:val="00580BCA"/>
    <w:rsid w:val="005942CC"/>
    <w:rsid w:val="00595947"/>
    <w:rsid w:val="00596B29"/>
    <w:rsid w:val="005A5FBE"/>
    <w:rsid w:val="005B5939"/>
    <w:rsid w:val="005C0805"/>
    <w:rsid w:val="005D2DEC"/>
    <w:rsid w:val="005D386B"/>
    <w:rsid w:val="005E103D"/>
    <w:rsid w:val="0061129C"/>
    <w:rsid w:val="00611D76"/>
    <w:rsid w:val="00616A3E"/>
    <w:rsid w:val="006174DD"/>
    <w:rsid w:val="0062234F"/>
    <w:rsid w:val="0062709C"/>
    <w:rsid w:val="0062769B"/>
    <w:rsid w:val="00627F92"/>
    <w:rsid w:val="00633F10"/>
    <w:rsid w:val="00635765"/>
    <w:rsid w:val="00637B9E"/>
    <w:rsid w:val="0064087C"/>
    <w:rsid w:val="0064555B"/>
    <w:rsid w:val="00654D0D"/>
    <w:rsid w:val="00655981"/>
    <w:rsid w:val="006567E6"/>
    <w:rsid w:val="006667CF"/>
    <w:rsid w:val="00670101"/>
    <w:rsid w:val="0068062A"/>
    <w:rsid w:val="006821BB"/>
    <w:rsid w:val="00684074"/>
    <w:rsid w:val="006841F2"/>
    <w:rsid w:val="00686EC1"/>
    <w:rsid w:val="006A27D8"/>
    <w:rsid w:val="006A4F93"/>
    <w:rsid w:val="006B0FC1"/>
    <w:rsid w:val="006B26A0"/>
    <w:rsid w:val="006C268B"/>
    <w:rsid w:val="006D316A"/>
    <w:rsid w:val="006D63E1"/>
    <w:rsid w:val="006E0A20"/>
    <w:rsid w:val="006E1BD8"/>
    <w:rsid w:val="006E5928"/>
    <w:rsid w:val="006F5CA2"/>
    <w:rsid w:val="00702CB5"/>
    <w:rsid w:val="007032D5"/>
    <w:rsid w:val="007112A3"/>
    <w:rsid w:val="00722A1E"/>
    <w:rsid w:val="00723E16"/>
    <w:rsid w:val="00725FE6"/>
    <w:rsid w:val="00743EC6"/>
    <w:rsid w:val="0074649A"/>
    <w:rsid w:val="00754CA2"/>
    <w:rsid w:val="00761DD9"/>
    <w:rsid w:val="00762CE5"/>
    <w:rsid w:val="00762EA5"/>
    <w:rsid w:val="00774314"/>
    <w:rsid w:val="00776C63"/>
    <w:rsid w:val="007818F8"/>
    <w:rsid w:val="00785AF7"/>
    <w:rsid w:val="007935EB"/>
    <w:rsid w:val="007935F1"/>
    <w:rsid w:val="00793D25"/>
    <w:rsid w:val="007A1926"/>
    <w:rsid w:val="007B235C"/>
    <w:rsid w:val="007B3294"/>
    <w:rsid w:val="007B5E54"/>
    <w:rsid w:val="007C080F"/>
    <w:rsid w:val="007C2389"/>
    <w:rsid w:val="007C6C0E"/>
    <w:rsid w:val="007D0FF4"/>
    <w:rsid w:val="007D56A1"/>
    <w:rsid w:val="007E02E1"/>
    <w:rsid w:val="007F76E7"/>
    <w:rsid w:val="0080543A"/>
    <w:rsid w:val="008064F1"/>
    <w:rsid w:val="00807A5D"/>
    <w:rsid w:val="0081189D"/>
    <w:rsid w:val="008147B6"/>
    <w:rsid w:val="0082703B"/>
    <w:rsid w:val="00836A05"/>
    <w:rsid w:val="00840DF4"/>
    <w:rsid w:val="00844904"/>
    <w:rsid w:val="00853CCD"/>
    <w:rsid w:val="00857001"/>
    <w:rsid w:val="008646EC"/>
    <w:rsid w:val="00875F99"/>
    <w:rsid w:val="00881781"/>
    <w:rsid w:val="00887EEE"/>
    <w:rsid w:val="008964C4"/>
    <w:rsid w:val="008A21F1"/>
    <w:rsid w:val="008A2ECD"/>
    <w:rsid w:val="008A67CF"/>
    <w:rsid w:val="008B0B0F"/>
    <w:rsid w:val="008B0CF6"/>
    <w:rsid w:val="008B21C2"/>
    <w:rsid w:val="008B2812"/>
    <w:rsid w:val="008C01E5"/>
    <w:rsid w:val="008C1433"/>
    <w:rsid w:val="008C6D40"/>
    <w:rsid w:val="008D3954"/>
    <w:rsid w:val="008E1779"/>
    <w:rsid w:val="008E5A35"/>
    <w:rsid w:val="008F5B4F"/>
    <w:rsid w:val="00902478"/>
    <w:rsid w:val="00906211"/>
    <w:rsid w:val="00914475"/>
    <w:rsid w:val="00916E13"/>
    <w:rsid w:val="0092593A"/>
    <w:rsid w:val="00925971"/>
    <w:rsid w:val="0093065F"/>
    <w:rsid w:val="009409DC"/>
    <w:rsid w:val="0095479A"/>
    <w:rsid w:val="0096362E"/>
    <w:rsid w:val="0096700C"/>
    <w:rsid w:val="0097025C"/>
    <w:rsid w:val="00971D75"/>
    <w:rsid w:val="009749D6"/>
    <w:rsid w:val="0097723C"/>
    <w:rsid w:val="00991A72"/>
    <w:rsid w:val="00991F70"/>
    <w:rsid w:val="009B25CB"/>
    <w:rsid w:val="009B6D40"/>
    <w:rsid w:val="009B74C0"/>
    <w:rsid w:val="009B7642"/>
    <w:rsid w:val="009B78FF"/>
    <w:rsid w:val="009C210E"/>
    <w:rsid w:val="009C4783"/>
    <w:rsid w:val="009D2F8B"/>
    <w:rsid w:val="009D3049"/>
    <w:rsid w:val="009D7F8F"/>
    <w:rsid w:val="009E1708"/>
    <w:rsid w:val="009E24E1"/>
    <w:rsid w:val="009E2F36"/>
    <w:rsid w:val="009E7422"/>
    <w:rsid w:val="00A1392A"/>
    <w:rsid w:val="00A1650E"/>
    <w:rsid w:val="00A20641"/>
    <w:rsid w:val="00A21EFC"/>
    <w:rsid w:val="00A2426F"/>
    <w:rsid w:val="00A348B8"/>
    <w:rsid w:val="00A3609A"/>
    <w:rsid w:val="00A42081"/>
    <w:rsid w:val="00A43DF5"/>
    <w:rsid w:val="00A65251"/>
    <w:rsid w:val="00A66024"/>
    <w:rsid w:val="00A67C15"/>
    <w:rsid w:val="00A75E69"/>
    <w:rsid w:val="00A77394"/>
    <w:rsid w:val="00A81029"/>
    <w:rsid w:val="00A83096"/>
    <w:rsid w:val="00A84A2C"/>
    <w:rsid w:val="00A94BB8"/>
    <w:rsid w:val="00AA069B"/>
    <w:rsid w:val="00AA2DA8"/>
    <w:rsid w:val="00AA2F12"/>
    <w:rsid w:val="00AA5009"/>
    <w:rsid w:val="00AB7CC4"/>
    <w:rsid w:val="00AC3CA8"/>
    <w:rsid w:val="00AC4E7C"/>
    <w:rsid w:val="00AC534A"/>
    <w:rsid w:val="00AD397C"/>
    <w:rsid w:val="00AE2033"/>
    <w:rsid w:val="00AE5BB4"/>
    <w:rsid w:val="00AF6420"/>
    <w:rsid w:val="00B06A69"/>
    <w:rsid w:val="00B101EC"/>
    <w:rsid w:val="00B10EFE"/>
    <w:rsid w:val="00B13573"/>
    <w:rsid w:val="00B14E01"/>
    <w:rsid w:val="00B22278"/>
    <w:rsid w:val="00B34E22"/>
    <w:rsid w:val="00B35AEA"/>
    <w:rsid w:val="00B3771A"/>
    <w:rsid w:val="00B43607"/>
    <w:rsid w:val="00B50C21"/>
    <w:rsid w:val="00B61410"/>
    <w:rsid w:val="00B651D5"/>
    <w:rsid w:val="00B716B2"/>
    <w:rsid w:val="00B72404"/>
    <w:rsid w:val="00B7360E"/>
    <w:rsid w:val="00B85BD0"/>
    <w:rsid w:val="00B90FFB"/>
    <w:rsid w:val="00B97F55"/>
    <w:rsid w:val="00BA0785"/>
    <w:rsid w:val="00BB1A22"/>
    <w:rsid w:val="00BB6D7A"/>
    <w:rsid w:val="00BC1201"/>
    <w:rsid w:val="00BC3999"/>
    <w:rsid w:val="00BC41F6"/>
    <w:rsid w:val="00BC52D6"/>
    <w:rsid w:val="00BC52F7"/>
    <w:rsid w:val="00BC6020"/>
    <w:rsid w:val="00BD5BB9"/>
    <w:rsid w:val="00BE4591"/>
    <w:rsid w:val="00C009BC"/>
    <w:rsid w:val="00C04745"/>
    <w:rsid w:val="00C11B9D"/>
    <w:rsid w:val="00C13A04"/>
    <w:rsid w:val="00C14498"/>
    <w:rsid w:val="00C23E16"/>
    <w:rsid w:val="00C42EA7"/>
    <w:rsid w:val="00C462A9"/>
    <w:rsid w:val="00C632B8"/>
    <w:rsid w:val="00C677E4"/>
    <w:rsid w:val="00C976BB"/>
    <w:rsid w:val="00CA2762"/>
    <w:rsid w:val="00CB03CB"/>
    <w:rsid w:val="00CB2064"/>
    <w:rsid w:val="00CB66E6"/>
    <w:rsid w:val="00CB6B9D"/>
    <w:rsid w:val="00CC32D3"/>
    <w:rsid w:val="00CC7E16"/>
    <w:rsid w:val="00CD0EA8"/>
    <w:rsid w:val="00CD41B5"/>
    <w:rsid w:val="00CD6586"/>
    <w:rsid w:val="00CE612F"/>
    <w:rsid w:val="00CF34EB"/>
    <w:rsid w:val="00D161BF"/>
    <w:rsid w:val="00D20C12"/>
    <w:rsid w:val="00D230BB"/>
    <w:rsid w:val="00D26C3B"/>
    <w:rsid w:val="00D33CF5"/>
    <w:rsid w:val="00D3614E"/>
    <w:rsid w:val="00D42BF7"/>
    <w:rsid w:val="00D468C8"/>
    <w:rsid w:val="00D553CF"/>
    <w:rsid w:val="00D56B8B"/>
    <w:rsid w:val="00D609AC"/>
    <w:rsid w:val="00D61CEC"/>
    <w:rsid w:val="00D71C67"/>
    <w:rsid w:val="00D80F05"/>
    <w:rsid w:val="00D83474"/>
    <w:rsid w:val="00D84B75"/>
    <w:rsid w:val="00D90383"/>
    <w:rsid w:val="00DA1E35"/>
    <w:rsid w:val="00DA4E78"/>
    <w:rsid w:val="00DB5C69"/>
    <w:rsid w:val="00DC0244"/>
    <w:rsid w:val="00DC227A"/>
    <w:rsid w:val="00DC598D"/>
    <w:rsid w:val="00DD3AAE"/>
    <w:rsid w:val="00DD4E7A"/>
    <w:rsid w:val="00DE4783"/>
    <w:rsid w:val="00DF4C65"/>
    <w:rsid w:val="00E05869"/>
    <w:rsid w:val="00E14EE4"/>
    <w:rsid w:val="00E24A05"/>
    <w:rsid w:val="00E373A3"/>
    <w:rsid w:val="00E402C6"/>
    <w:rsid w:val="00E4313D"/>
    <w:rsid w:val="00E45F95"/>
    <w:rsid w:val="00E54354"/>
    <w:rsid w:val="00E6296C"/>
    <w:rsid w:val="00E74B1F"/>
    <w:rsid w:val="00E803BC"/>
    <w:rsid w:val="00E91E06"/>
    <w:rsid w:val="00E92E8D"/>
    <w:rsid w:val="00E96BE9"/>
    <w:rsid w:val="00EA7EB9"/>
    <w:rsid w:val="00EB284E"/>
    <w:rsid w:val="00EB29A1"/>
    <w:rsid w:val="00EB3507"/>
    <w:rsid w:val="00EC1DA1"/>
    <w:rsid w:val="00EC2DAC"/>
    <w:rsid w:val="00ED03D3"/>
    <w:rsid w:val="00ED4AFE"/>
    <w:rsid w:val="00EE1D96"/>
    <w:rsid w:val="00EE2268"/>
    <w:rsid w:val="00EF30E4"/>
    <w:rsid w:val="00EF45E9"/>
    <w:rsid w:val="00F0139D"/>
    <w:rsid w:val="00F02D14"/>
    <w:rsid w:val="00F039F4"/>
    <w:rsid w:val="00F30507"/>
    <w:rsid w:val="00F32132"/>
    <w:rsid w:val="00F34CF4"/>
    <w:rsid w:val="00F360D7"/>
    <w:rsid w:val="00F37353"/>
    <w:rsid w:val="00F533A8"/>
    <w:rsid w:val="00F5650A"/>
    <w:rsid w:val="00F607E1"/>
    <w:rsid w:val="00F662A9"/>
    <w:rsid w:val="00F70DFD"/>
    <w:rsid w:val="00F76F7D"/>
    <w:rsid w:val="00F84E4B"/>
    <w:rsid w:val="00F91E01"/>
    <w:rsid w:val="00F94758"/>
    <w:rsid w:val="00F95CE5"/>
    <w:rsid w:val="00FA1AA1"/>
    <w:rsid w:val="00FA2CB2"/>
    <w:rsid w:val="00FA328F"/>
    <w:rsid w:val="00FB49BB"/>
    <w:rsid w:val="00FB551F"/>
    <w:rsid w:val="00FB5764"/>
    <w:rsid w:val="00FC0864"/>
    <w:rsid w:val="00FC2CCC"/>
    <w:rsid w:val="00FC5650"/>
    <w:rsid w:val="00FD38BB"/>
    <w:rsid w:val="00FE15E4"/>
    <w:rsid w:val="00FE7233"/>
    <w:rsid w:val="00FE7D91"/>
    <w:rsid w:val="00FF4F8A"/>
    <w:rsid w:val="00FF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0A"/>
    <w:pPr>
      <w:spacing w:line="480" w:lineRule="auto"/>
      <w:jc w:val="both"/>
    </w:pPr>
  </w:style>
  <w:style w:type="paragraph" w:styleId="Heading1">
    <w:name w:val="heading 1"/>
    <w:basedOn w:val="Normal"/>
    <w:next w:val="Normal"/>
    <w:link w:val="Heading1Char"/>
    <w:uiPriority w:val="9"/>
    <w:qFormat/>
    <w:rsid w:val="001C211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F76E7"/>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E26F3"/>
    <w:pPr>
      <w:keepNext/>
      <w:keepLines/>
      <w:spacing w:before="200" w:after="12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11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F76E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E26F3"/>
    <w:rPr>
      <w:rFonts w:asciiTheme="majorHAnsi" w:eastAsiaTheme="majorEastAsia" w:hAnsiTheme="majorHAnsi" w:cstheme="majorBidi"/>
      <w:bCs/>
    </w:rPr>
  </w:style>
  <w:style w:type="character" w:styleId="CommentReference">
    <w:name w:val="annotation reference"/>
    <w:basedOn w:val="DefaultParagraphFont"/>
    <w:uiPriority w:val="99"/>
    <w:semiHidden/>
    <w:unhideWhenUsed/>
    <w:rsid w:val="008C1433"/>
    <w:rPr>
      <w:sz w:val="18"/>
      <w:szCs w:val="18"/>
    </w:rPr>
  </w:style>
  <w:style w:type="paragraph" w:styleId="CommentText">
    <w:name w:val="annotation text"/>
    <w:basedOn w:val="Normal"/>
    <w:link w:val="CommentTextChar"/>
    <w:uiPriority w:val="99"/>
    <w:unhideWhenUsed/>
    <w:rsid w:val="00F94758"/>
    <w:pPr>
      <w:spacing w:line="240" w:lineRule="auto"/>
      <w:jc w:val="left"/>
    </w:pPr>
    <w:rPr>
      <w:sz w:val="24"/>
      <w:szCs w:val="24"/>
    </w:rPr>
  </w:style>
  <w:style w:type="character" w:customStyle="1" w:styleId="CommentTextChar">
    <w:name w:val="Comment Text Char"/>
    <w:basedOn w:val="DefaultParagraphFont"/>
    <w:link w:val="CommentText"/>
    <w:uiPriority w:val="99"/>
    <w:semiHidden/>
    <w:rsid w:val="00F94758"/>
    <w:rPr>
      <w:sz w:val="24"/>
      <w:szCs w:val="24"/>
    </w:rPr>
  </w:style>
  <w:style w:type="paragraph" w:styleId="BalloonText">
    <w:name w:val="Balloon Text"/>
    <w:basedOn w:val="Normal"/>
    <w:link w:val="BalloonTextChar"/>
    <w:uiPriority w:val="99"/>
    <w:semiHidden/>
    <w:unhideWhenUsed/>
    <w:rsid w:val="00F94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58"/>
    <w:rPr>
      <w:rFonts w:ascii="Tahoma" w:hAnsi="Tahoma" w:cs="Tahoma"/>
      <w:sz w:val="16"/>
      <w:szCs w:val="16"/>
    </w:rPr>
  </w:style>
  <w:style w:type="paragraph" w:styleId="FootnoteText">
    <w:name w:val="footnote text"/>
    <w:basedOn w:val="Normal"/>
    <w:link w:val="FootnoteTextChar"/>
    <w:uiPriority w:val="99"/>
    <w:semiHidden/>
    <w:unhideWhenUsed/>
    <w:rsid w:val="00F94758"/>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F94758"/>
    <w:rPr>
      <w:sz w:val="20"/>
      <w:szCs w:val="20"/>
    </w:rPr>
  </w:style>
  <w:style w:type="character" w:styleId="FootnoteReference">
    <w:name w:val="footnote reference"/>
    <w:basedOn w:val="DefaultParagraphFont"/>
    <w:uiPriority w:val="99"/>
    <w:semiHidden/>
    <w:unhideWhenUsed/>
    <w:rsid w:val="00F94758"/>
    <w:rPr>
      <w:vertAlign w:val="superscript"/>
    </w:rPr>
  </w:style>
  <w:style w:type="paragraph" w:styleId="ListParagraph">
    <w:name w:val="List Paragraph"/>
    <w:basedOn w:val="Normal"/>
    <w:uiPriority w:val="34"/>
    <w:qFormat/>
    <w:rsid w:val="00FA1AA1"/>
    <w:pPr>
      <w:ind w:left="720"/>
      <w:contextualSpacing/>
    </w:pPr>
  </w:style>
  <w:style w:type="character" w:styleId="Hyperlink">
    <w:name w:val="Hyperlink"/>
    <w:basedOn w:val="DefaultParagraphFont"/>
    <w:uiPriority w:val="99"/>
    <w:unhideWhenUsed/>
    <w:rsid w:val="005942CC"/>
    <w:rPr>
      <w:color w:val="0000FF" w:themeColor="hyperlink"/>
      <w:u w:val="single"/>
    </w:rPr>
  </w:style>
  <w:style w:type="paragraph" w:styleId="Header">
    <w:name w:val="header"/>
    <w:basedOn w:val="Normal"/>
    <w:link w:val="HeaderChar"/>
    <w:uiPriority w:val="99"/>
    <w:unhideWhenUsed/>
    <w:rsid w:val="00925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93A"/>
  </w:style>
  <w:style w:type="paragraph" w:styleId="Footer">
    <w:name w:val="footer"/>
    <w:basedOn w:val="Normal"/>
    <w:link w:val="FooterChar"/>
    <w:uiPriority w:val="99"/>
    <w:unhideWhenUsed/>
    <w:rsid w:val="00925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93A"/>
  </w:style>
  <w:style w:type="character" w:customStyle="1" w:styleId="berschrift2Zchn1">
    <w:name w:val="Überschrift 2 Zchn1"/>
    <w:basedOn w:val="DefaultParagraphFont"/>
    <w:uiPriority w:val="9"/>
    <w:rsid w:val="004F6098"/>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4F6098"/>
    <w:pPr>
      <w:spacing w:line="276" w:lineRule="auto"/>
      <w:jc w:val="left"/>
      <w:outlineLvl w:val="9"/>
    </w:pPr>
    <w:rPr>
      <w:color w:val="365F91" w:themeColor="accent1" w:themeShade="BF"/>
      <w:lang w:eastAsia="en-GB"/>
    </w:rPr>
  </w:style>
  <w:style w:type="paragraph" w:styleId="TOC1">
    <w:name w:val="toc 1"/>
    <w:basedOn w:val="Normal"/>
    <w:next w:val="Normal"/>
    <w:autoRedefine/>
    <w:uiPriority w:val="39"/>
    <w:unhideWhenUsed/>
    <w:qFormat/>
    <w:rsid w:val="004F6098"/>
    <w:pPr>
      <w:spacing w:after="100"/>
    </w:pPr>
  </w:style>
  <w:style w:type="character" w:customStyle="1" w:styleId="FuzeileZchn1">
    <w:name w:val="Fußzeile Zchn1"/>
    <w:basedOn w:val="DefaultParagraphFont"/>
    <w:uiPriority w:val="99"/>
    <w:rsid w:val="004F6098"/>
  </w:style>
  <w:style w:type="paragraph" w:styleId="TOC2">
    <w:name w:val="toc 2"/>
    <w:basedOn w:val="Normal"/>
    <w:next w:val="Normal"/>
    <w:autoRedefine/>
    <w:uiPriority w:val="39"/>
    <w:unhideWhenUsed/>
    <w:qFormat/>
    <w:rsid w:val="004F6098"/>
    <w:pPr>
      <w:spacing w:after="100"/>
      <w:ind w:left="220"/>
    </w:pPr>
  </w:style>
  <w:style w:type="character" w:customStyle="1" w:styleId="berschrift2Zchn2">
    <w:name w:val="Überschrift 2 Zchn2"/>
    <w:basedOn w:val="DefaultParagraphFont"/>
    <w:uiPriority w:val="9"/>
    <w:rsid w:val="004F6098"/>
    <w:rPr>
      <w:rFonts w:asciiTheme="majorHAnsi" w:eastAsiaTheme="majorEastAsia" w:hAnsiTheme="majorHAnsi" w:cstheme="majorBidi"/>
      <w:b/>
      <w:bCs/>
      <w:sz w:val="26"/>
      <w:szCs w:val="26"/>
    </w:rPr>
  </w:style>
  <w:style w:type="character" w:customStyle="1" w:styleId="FuzeileZchn2">
    <w:name w:val="Fußzeile Zchn2"/>
    <w:basedOn w:val="DefaultParagraphFont"/>
    <w:uiPriority w:val="99"/>
    <w:rsid w:val="004F6098"/>
  </w:style>
  <w:style w:type="character" w:customStyle="1" w:styleId="berschrift2Zchn3">
    <w:name w:val="Überschrift 2 Zchn3"/>
    <w:basedOn w:val="DefaultParagraphFont"/>
    <w:uiPriority w:val="9"/>
    <w:rsid w:val="004F6098"/>
    <w:rPr>
      <w:rFonts w:asciiTheme="majorHAnsi" w:eastAsiaTheme="majorEastAsia" w:hAnsiTheme="majorHAnsi" w:cstheme="majorBidi"/>
      <w:b/>
      <w:bCs/>
      <w:sz w:val="26"/>
      <w:szCs w:val="26"/>
    </w:rPr>
  </w:style>
  <w:style w:type="character" w:customStyle="1" w:styleId="SprechblasentextZchn1">
    <w:name w:val="Sprechblasentext Zchn1"/>
    <w:basedOn w:val="DefaultParagraphFont"/>
    <w:uiPriority w:val="99"/>
    <w:semiHidden/>
    <w:rsid w:val="004F6098"/>
    <w:rPr>
      <w:rFonts w:ascii="Tahoma" w:hAnsi="Tahoma" w:cs="Tahoma"/>
      <w:sz w:val="16"/>
      <w:szCs w:val="16"/>
    </w:rPr>
  </w:style>
  <w:style w:type="character" w:customStyle="1" w:styleId="FunotentextZchn1">
    <w:name w:val="Fußnotentext Zchn1"/>
    <w:basedOn w:val="DefaultParagraphFont"/>
    <w:uiPriority w:val="99"/>
    <w:semiHidden/>
    <w:rsid w:val="004F6098"/>
    <w:rPr>
      <w:sz w:val="20"/>
      <w:szCs w:val="20"/>
    </w:rPr>
  </w:style>
  <w:style w:type="character" w:customStyle="1" w:styleId="KopfzeileZchn1">
    <w:name w:val="Kopfzeile Zchn1"/>
    <w:basedOn w:val="DefaultParagraphFont"/>
    <w:uiPriority w:val="99"/>
    <w:rsid w:val="004F6098"/>
  </w:style>
  <w:style w:type="character" w:customStyle="1" w:styleId="FuzeileZchn3">
    <w:name w:val="Fußzeile Zchn3"/>
    <w:basedOn w:val="DefaultParagraphFont"/>
    <w:uiPriority w:val="99"/>
    <w:rsid w:val="004F6098"/>
  </w:style>
  <w:style w:type="paragraph" w:styleId="TOC3">
    <w:name w:val="toc 3"/>
    <w:basedOn w:val="Normal"/>
    <w:next w:val="Normal"/>
    <w:autoRedefine/>
    <w:uiPriority w:val="39"/>
    <w:unhideWhenUsed/>
    <w:qFormat/>
    <w:rsid w:val="004F6098"/>
    <w:pPr>
      <w:spacing w:after="100"/>
      <w:ind w:left="440"/>
    </w:pPr>
  </w:style>
  <w:style w:type="paragraph" w:styleId="Title">
    <w:name w:val="Title"/>
    <w:basedOn w:val="Normal"/>
    <w:next w:val="Normal"/>
    <w:link w:val="TitleChar"/>
    <w:uiPriority w:val="10"/>
    <w:qFormat/>
    <w:rsid w:val="004F6098"/>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098"/>
    <w:rPr>
      <w:rFonts w:asciiTheme="majorHAnsi" w:eastAsiaTheme="majorEastAsia" w:hAnsiTheme="majorHAnsi" w:cstheme="majorBidi"/>
      <w:spacing w:val="-10"/>
      <w:kern w:val="28"/>
      <w:sz w:val="56"/>
      <w:szCs w:val="56"/>
    </w:rPr>
  </w:style>
  <w:style w:type="character" w:customStyle="1" w:styleId="TitelZchn1">
    <w:name w:val="Titel Zchn1"/>
    <w:basedOn w:val="DefaultParagraphFont"/>
    <w:uiPriority w:val="10"/>
    <w:rsid w:val="004F6098"/>
    <w:rPr>
      <w:rFonts w:asciiTheme="majorHAnsi" w:eastAsiaTheme="majorEastAsia" w:hAnsiTheme="majorHAnsi" w:cstheme="majorBidi"/>
      <w:spacing w:val="-10"/>
      <w:kern w:val="28"/>
      <w:sz w:val="56"/>
      <w:szCs w:val="56"/>
    </w:rPr>
  </w:style>
  <w:style w:type="character" w:customStyle="1" w:styleId="KommentartextZchn1">
    <w:name w:val="Kommentartext Zchn1"/>
    <w:basedOn w:val="DefaultParagraphFont"/>
    <w:uiPriority w:val="99"/>
    <w:semiHidden/>
    <w:rsid w:val="004F6098"/>
    <w:rPr>
      <w:sz w:val="20"/>
      <w:szCs w:val="20"/>
    </w:rPr>
  </w:style>
  <w:style w:type="paragraph" w:styleId="CommentSubject">
    <w:name w:val="annotation subject"/>
    <w:basedOn w:val="CommentText"/>
    <w:next w:val="CommentText"/>
    <w:link w:val="CommentSubjectChar"/>
    <w:uiPriority w:val="99"/>
    <w:semiHidden/>
    <w:unhideWhenUsed/>
    <w:rsid w:val="004F6098"/>
    <w:pPr>
      <w:spacing w:after="160"/>
    </w:pPr>
    <w:rPr>
      <w:b/>
      <w:bCs/>
      <w:sz w:val="20"/>
      <w:szCs w:val="20"/>
    </w:rPr>
  </w:style>
  <w:style w:type="character" w:customStyle="1" w:styleId="CommentSubjectChar">
    <w:name w:val="Comment Subject Char"/>
    <w:basedOn w:val="CommentTextChar"/>
    <w:link w:val="CommentSubject"/>
    <w:uiPriority w:val="99"/>
    <w:semiHidden/>
    <w:rsid w:val="004F6098"/>
    <w:rPr>
      <w:b/>
      <w:bCs/>
      <w:sz w:val="20"/>
      <w:szCs w:val="20"/>
    </w:rPr>
  </w:style>
  <w:style w:type="character" w:customStyle="1" w:styleId="KommentarthemaZchn1">
    <w:name w:val="Kommentarthema Zchn1"/>
    <w:basedOn w:val="CommentTextChar"/>
    <w:uiPriority w:val="99"/>
    <w:semiHidden/>
    <w:rsid w:val="004F6098"/>
    <w:rPr>
      <w:b/>
      <w:bCs/>
      <w:sz w:val="20"/>
      <w:szCs w:val="20"/>
    </w:rPr>
  </w:style>
  <w:style w:type="character" w:customStyle="1" w:styleId="apple-converted-space">
    <w:name w:val="apple-converted-space"/>
    <w:basedOn w:val="DefaultParagraphFont"/>
    <w:rsid w:val="004F6098"/>
  </w:style>
  <w:style w:type="character" w:styleId="EndnoteReference">
    <w:name w:val="endnote reference"/>
    <w:basedOn w:val="DefaultParagraphFont"/>
    <w:uiPriority w:val="99"/>
    <w:semiHidden/>
    <w:unhideWhenUsed/>
    <w:rsid w:val="004F6098"/>
    <w:rPr>
      <w:vertAlign w:val="superscript"/>
    </w:rPr>
  </w:style>
  <w:style w:type="paragraph" w:styleId="Caption">
    <w:name w:val="caption"/>
    <w:basedOn w:val="Normal"/>
    <w:next w:val="Normal"/>
    <w:uiPriority w:val="35"/>
    <w:unhideWhenUsed/>
    <w:qFormat/>
    <w:rsid w:val="004F6098"/>
    <w:pPr>
      <w:spacing w:line="240" w:lineRule="auto"/>
    </w:pPr>
    <w:rPr>
      <w:b/>
      <w:bCs/>
      <w:color w:val="4F81BD" w:themeColor="accent1"/>
      <w:sz w:val="18"/>
      <w:szCs w:val="18"/>
    </w:rPr>
  </w:style>
  <w:style w:type="character" w:customStyle="1" w:styleId="berschrift2Zchn4">
    <w:name w:val="Überschrift 2 Zchn4"/>
    <w:basedOn w:val="DefaultParagraphFont"/>
    <w:uiPriority w:val="9"/>
    <w:rsid w:val="004F6098"/>
    <w:rPr>
      <w:rFonts w:asciiTheme="majorHAnsi" w:eastAsiaTheme="majorEastAsia" w:hAnsiTheme="majorHAnsi" w:cstheme="majorBidi"/>
      <w:b/>
      <w:bCs/>
      <w:sz w:val="26"/>
      <w:szCs w:val="26"/>
    </w:rPr>
  </w:style>
  <w:style w:type="character" w:customStyle="1" w:styleId="FuzeileZchn4">
    <w:name w:val="Fußzeile Zchn4"/>
    <w:basedOn w:val="DefaultParagraphFont"/>
    <w:uiPriority w:val="99"/>
    <w:rsid w:val="004F6098"/>
  </w:style>
  <w:style w:type="character" w:customStyle="1" w:styleId="berschrift3Zchn1">
    <w:name w:val="Überschrift 3 Zchn1"/>
    <w:basedOn w:val="DefaultParagraphFont"/>
    <w:uiPriority w:val="9"/>
    <w:rsid w:val="004F6098"/>
    <w:rPr>
      <w:rFonts w:eastAsiaTheme="majorEastAsia" w:cstheme="majorBidi"/>
      <w:bCs/>
    </w:rPr>
  </w:style>
  <w:style w:type="character" w:customStyle="1" w:styleId="TitelZchn2">
    <w:name w:val="Titel Zchn2"/>
    <w:basedOn w:val="DefaultParagraphFont"/>
    <w:uiPriority w:val="10"/>
    <w:rsid w:val="004F6098"/>
    <w:rPr>
      <w:rFonts w:asciiTheme="majorHAnsi" w:eastAsiaTheme="majorEastAsia" w:hAnsiTheme="majorHAnsi" w:cstheme="majorBidi"/>
      <w:spacing w:val="-10"/>
      <w:kern w:val="28"/>
      <w:sz w:val="56"/>
      <w:szCs w:val="56"/>
    </w:rPr>
  </w:style>
  <w:style w:type="character" w:customStyle="1" w:styleId="KommentartextZchn2">
    <w:name w:val="Kommentartext Zchn2"/>
    <w:basedOn w:val="DefaultParagraphFont"/>
    <w:uiPriority w:val="99"/>
    <w:rsid w:val="004F6098"/>
    <w:rPr>
      <w:sz w:val="20"/>
      <w:szCs w:val="20"/>
    </w:rPr>
  </w:style>
  <w:style w:type="character" w:customStyle="1" w:styleId="SprechblasentextZchn2">
    <w:name w:val="Sprechblasentext Zchn2"/>
    <w:basedOn w:val="DefaultParagraphFont"/>
    <w:uiPriority w:val="99"/>
    <w:semiHidden/>
    <w:rsid w:val="004F6098"/>
    <w:rPr>
      <w:rFonts w:ascii="Tahoma" w:hAnsi="Tahoma" w:cs="Tahoma"/>
      <w:sz w:val="16"/>
      <w:szCs w:val="16"/>
    </w:rPr>
  </w:style>
  <w:style w:type="character" w:customStyle="1" w:styleId="FunotentextZchn2">
    <w:name w:val="Fußnotentext Zchn2"/>
    <w:basedOn w:val="DefaultParagraphFont"/>
    <w:uiPriority w:val="99"/>
    <w:semiHidden/>
    <w:rsid w:val="004F6098"/>
    <w:rPr>
      <w:sz w:val="20"/>
      <w:szCs w:val="20"/>
    </w:rPr>
  </w:style>
  <w:style w:type="character" w:customStyle="1" w:styleId="KopfzeileZchn2">
    <w:name w:val="Kopfzeile Zchn2"/>
    <w:basedOn w:val="DefaultParagraphFont"/>
    <w:uiPriority w:val="99"/>
    <w:rsid w:val="004F6098"/>
  </w:style>
  <w:style w:type="character" w:customStyle="1" w:styleId="FuzeileZchn5">
    <w:name w:val="Fußzeile Zchn5"/>
    <w:basedOn w:val="DefaultParagraphFont"/>
    <w:uiPriority w:val="99"/>
    <w:rsid w:val="004F6098"/>
  </w:style>
  <w:style w:type="character" w:customStyle="1" w:styleId="berschrift2Zchn5">
    <w:name w:val="Überschrift 2 Zchn5"/>
    <w:basedOn w:val="DefaultParagraphFont"/>
    <w:uiPriority w:val="9"/>
    <w:rsid w:val="004F6098"/>
    <w:rPr>
      <w:rFonts w:asciiTheme="majorHAnsi" w:eastAsiaTheme="majorEastAsia" w:hAnsiTheme="majorHAnsi" w:cstheme="majorBidi"/>
      <w:b/>
      <w:bCs/>
      <w:sz w:val="26"/>
      <w:szCs w:val="26"/>
    </w:rPr>
  </w:style>
  <w:style w:type="character" w:customStyle="1" w:styleId="berschrift1Zchn1">
    <w:name w:val="Überschrift 1 Zchn1"/>
    <w:basedOn w:val="DefaultParagraphFont"/>
    <w:uiPriority w:val="9"/>
    <w:rsid w:val="004F6098"/>
    <w:rPr>
      <w:rFonts w:ascii="Times New Roman" w:eastAsiaTheme="majorEastAsia" w:hAnsi="Times New Roman" w:cstheme="majorBidi"/>
      <w:b/>
      <w:sz w:val="28"/>
      <w:szCs w:val="32"/>
    </w:rPr>
  </w:style>
  <w:style w:type="character" w:customStyle="1" w:styleId="FunotentextZchn3">
    <w:name w:val="Fußnotentext Zchn3"/>
    <w:basedOn w:val="DefaultParagraphFont"/>
    <w:uiPriority w:val="99"/>
    <w:semiHidden/>
    <w:rsid w:val="004F6098"/>
    <w:rPr>
      <w:sz w:val="20"/>
      <w:szCs w:val="20"/>
    </w:rPr>
  </w:style>
  <w:style w:type="character" w:customStyle="1" w:styleId="KommentartextZchn3">
    <w:name w:val="Kommentartext Zchn3"/>
    <w:basedOn w:val="DefaultParagraphFont"/>
    <w:uiPriority w:val="99"/>
    <w:semiHidden/>
    <w:rsid w:val="004F6098"/>
    <w:rPr>
      <w:sz w:val="24"/>
      <w:szCs w:val="24"/>
    </w:rPr>
  </w:style>
  <w:style w:type="character" w:customStyle="1" w:styleId="SprechblasentextZchn3">
    <w:name w:val="Sprechblasentext Zchn3"/>
    <w:basedOn w:val="DefaultParagraphFont"/>
    <w:uiPriority w:val="99"/>
    <w:semiHidden/>
    <w:rsid w:val="004F6098"/>
    <w:rPr>
      <w:rFonts w:ascii="Tahoma" w:hAnsi="Tahoma" w:cs="Tahoma"/>
      <w:sz w:val="16"/>
      <w:szCs w:val="16"/>
    </w:rPr>
  </w:style>
  <w:style w:type="character" w:customStyle="1" w:styleId="KopfzeileZchn3">
    <w:name w:val="Kopfzeile Zchn3"/>
    <w:basedOn w:val="DefaultParagraphFont"/>
    <w:uiPriority w:val="99"/>
    <w:rsid w:val="004F6098"/>
  </w:style>
  <w:style w:type="character" w:customStyle="1" w:styleId="FuzeileZchn6">
    <w:name w:val="Fußzeile Zchn6"/>
    <w:basedOn w:val="DefaultParagraphFont"/>
    <w:uiPriority w:val="99"/>
    <w:rsid w:val="004F6098"/>
  </w:style>
  <w:style w:type="character" w:customStyle="1" w:styleId="KommentarthemaZchn2">
    <w:name w:val="Kommentarthema Zchn2"/>
    <w:basedOn w:val="CommentTextChar"/>
    <w:uiPriority w:val="99"/>
    <w:semiHidden/>
    <w:rsid w:val="004F6098"/>
    <w:rPr>
      <w:b/>
      <w:bCs/>
      <w:sz w:val="20"/>
      <w:szCs w:val="20"/>
    </w:rPr>
  </w:style>
  <w:style w:type="character" w:customStyle="1" w:styleId="berschrift2Zchn6">
    <w:name w:val="Überschrift 2 Zchn6"/>
    <w:basedOn w:val="DefaultParagraphFont"/>
    <w:uiPriority w:val="9"/>
    <w:rsid w:val="004F6098"/>
    <w:rPr>
      <w:rFonts w:asciiTheme="majorHAnsi" w:eastAsiaTheme="majorEastAsia" w:hAnsiTheme="majorHAnsi" w:cstheme="majorBidi"/>
      <w:b/>
      <w:bCs/>
      <w:sz w:val="26"/>
      <w:szCs w:val="26"/>
    </w:rPr>
  </w:style>
  <w:style w:type="character" w:customStyle="1" w:styleId="berschrift2Zchn7">
    <w:name w:val="Überschrift 2 Zchn7"/>
    <w:basedOn w:val="DefaultParagraphFont"/>
    <w:uiPriority w:val="9"/>
    <w:rsid w:val="004F6098"/>
    <w:rPr>
      <w:rFonts w:asciiTheme="majorHAnsi" w:eastAsiaTheme="majorEastAsia" w:hAnsiTheme="majorHAnsi" w:cstheme="majorBidi"/>
      <w:b/>
      <w:bCs/>
      <w:sz w:val="26"/>
      <w:szCs w:val="26"/>
    </w:rPr>
  </w:style>
  <w:style w:type="character" w:customStyle="1" w:styleId="berschrift2Zchn8">
    <w:name w:val="Überschrift 2 Zchn8"/>
    <w:basedOn w:val="DefaultParagraphFont"/>
    <w:uiPriority w:val="9"/>
    <w:rsid w:val="004F6098"/>
    <w:rPr>
      <w:rFonts w:asciiTheme="majorHAnsi" w:eastAsiaTheme="majorEastAsia" w:hAnsiTheme="majorHAnsi" w:cstheme="majorBidi"/>
      <w:b/>
      <w:bCs/>
      <w:sz w:val="26"/>
      <w:szCs w:val="26"/>
    </w:rPr>
  </w:style>
  <w:style w:type="character" w:customStyle="1" w:styleId="KommentartextZchn4">
    <w:name w:val="Kommentartext Zchn4"/>
    <w:basedOn w:val="DefaultParagraphFont"/>
    <w:uiPriority w:val="99"/>
    <w:semiHidden/>
    <w:rsid w:val="004F6098"/>
    <w:rPr>
      <w:sz w:val="24"/>
      <w:szCs w:val="24"/>
    </w:rPr>
  </w:style>
  <w:style w:type="character" w:customStyle="1" w:styleId="SprechblasentextZchn4">
    <w:name w:val="Sprechblasentext Zchn4"/>
    <w:basedOn w:val="DefaultParagraphFont"/>
    <w:uiPriority w:val="99"/>
    <w:semiHidden/>
    <w:rsid w:val="004F6098"/>
    <w:rPr>
      <w:rFonts w:ascii="Tahoma" w:hAnsi="Tahoma" w:cs="Tahoma"/>
      <w:sz w:val="16"/>
      <w:szCs w:val="16"/>
    </w:rPr>
  </w:style>
  <w:style w:type="character" w:customStyle="1" w:styleId="FunotentextZchn4">
    <w:name w:val="Fußnotentext Zchn4"/>
    <w:basedOn w:val="DefaultParagraphFont"/>
    <w:uiPriority w:val="99"/>
    <w:semiHidden/>
    <w:rsid w:val="004F6098"/>
    <w:rPr>
      <w:sz w:val="20"/>
      <w:szCs w:val="20"/>
    </w:rPr>
  </w:style>
  <w:style w:type="character" w:customStyle="1" w:styleId="KopfzeileZchn4">
    <w:name w:val="Kopfzeile Zchn4"/>
    <w:basedOn w:val="DefaultParagraphFont"/>
    <w:uiPriority w:val="99"/>
    <w:rsid w:val="004F6098"/>
  </w:style>
  <w:style w:type="character" w:customStyle="1" w:styleId="FuzeileZchn7">
    <w:name w:val="Fußzeile Zchn7"/>
    <w:basedOn w:val="DefaultParagraphFont"/>
    <w:uiPriority w:val="99"/>
    <w:rsid w:val="004F6098"/>
  </w:style>
  <w:style w:type="character" w:customStyle="1" w:styleId="berschrift2Zchn9">
    <w:name w:val="Überschrift 2 Zchn9"/>
    <w:basedOn w:val="DefaultParagraphFont"/>
    <w:uiPriority w:val="9"/>
    <w:rsid w:val="004F6098"/>
    <w:rPr>
      <w:rFonts w:asciiTheme="majorHAnsi" w:eastAsiaTheme="majorEastAsia" w:hAnsiTheme="majorHAnsi" w:cstheme="majorBidi"/>
      <w:b/>
      <w:bCs/>
      <w:sz w:val="26"/>
      <w:szCs w:val="26"/>
    </w:rPr>
  </w:style>
  <w:style w:type="character" w:customStyle="1" w:styleId="FuzeileZchn8">
    <w:name w:val="Fußzeile Zchn8"/>
    <w:basedOn w:val="DefaultParagraphFont"/>
    <w:uiPriority w:val="99"/>
    <w:rsid w:val="004F6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0A"/>
    <w:pPr>
      <w:spacing w:line="480" w:lineRule="auto"/>
      <w:jc w:val="both"/>
    </w:pPr>
  </w:style>
  <w:style w:type="paragraph" w:styleId="Heading1">
    <w:name w:val="heading 1"/>
    <w:basedOn w:val="Normal"/>
    <w:next w:val="Normal"/>
    <w:link w:val="Heading1Char"/>
    <w:uiPriority w:val="9"/>
    <w:qFormat/>
    <w:rsid w:val="001C211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F76E7"/>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E26F3"/>
    <w:pPr>
      <w:keepNext/>
      <w:keepLines/>
      <w:spacing w:before="200" w:after="12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11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F76E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E26F3"/>
    <w:rPr>
      <w:rFonts w:asciiTheme="majorHAnsi" w:eastAsiaTheme="majorEastAsia" w:hAnsiTheme="majorHAnsi" w:cstheme="majorBidi"/>
      <w:bCs/>
    </w:rPr>
  </w:style>
  <w:style w:type="character" w:styleId="CommentReference">
    <w:name w:val="annotation reference"/>
    <w:basedOn w:val="DefaultParagraphFont"/>
    <w:uiPriority w:val="99"/>
    <w:semiHidden/>
    <w:unhideWhenUsed/>
    <w:rsid w:val="008C1433"/>
    <w:rPr>
      <w:sz w:val="18"/>
      <w:szCs w:val="18"/>
    </w:rPr>
  </w:style>
  <w:style w:type="paragraph" w:styleId="CommentText">
    <w:name w:val="annotation text"/>
    <w:basedOn w:val="Normal"/>
    <w:link w:val="CommentTextChar"/>
    <w:uiPriority w:val="99"/>
    <w:unhideWhenUsed/>
    <w:rsid w:val="00F94758"/>
    <w:pPr>
      <w:spacing w:line="240" w:lineRule="auto"/>
      <w:jc w:val="left"/>
    </w:pPr>
    <w:rPr>
      <w:sz w:val="24"/>
      <w:szCs w:val="24"/>
    </w:rPr>
  </w:style>
  <w:style w:type="character" w:customStyle="1" w:styleId="CommentTextChar">
    <w:name w:val="Comment Text Char"/>
    <w:basedOn w:val="DefaultParagraphFont"/>
    <w:link w:val="CommentText"/>
    <w:uiPriority w:val="99"/>
    <w:semiHidden/>
    <w:rsid w:val="00F94758"/>
    <w:rPr>
      <w:sz w:val="24"/>
      <w:szCs w:val="24"/>
    </w:rPr>
  </w:style>
  <w:style w:type="paragraph" w:styleId="BalloonText">
    <w:name w:val="Balloon Text"/>
    <w:basedOn w:val="Normal"/>
    <w:link w:val="BalloonTextChar"/>
    <w:uiPriority w:val="99"/>
    <w:semiHidden/>
    <w:unhideWhenUsed/>
    <w:rsid w:val="00F94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58"/>
    <w:rPr>
      <w:rFonts w:ascii="Tahoma" w:hAnsi="Tahoma" w:cs="Tahoma"/>
      <w:sz w:val="16"/>
      <w:szCs w:val="16"/>
    </w:rPr>
  </w:style>
  <w:style w:type="paragraph" w:styleId="FootnoteText">
    <w:name w:val="footnote text"/>
    <w:basedOn w:val="Normal"/>
    <w:link w:val="FootnoteTextChar"/>
    <w:uiPriority w:val="99"/>
    <w:semiHidden/>
    <w:unhideWhenUsed/>
    <w:rsid w:val="00F94758"/>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F94758"/>
    <w:rPr>
      <w:sz w:val="20"/>
      <w:szCs w:val="20"/>
    </w:rPr>
  </w:style>
  <w:style w:type="character" w:styleId="FootnoteReference">
    <w:name w:val="footnote reference"/>
    <w:basedOn w:val="DefaultParagraphFont"/>
    <w:uiPriority w:val="99"/>
    <w:semiHidden/>
    <w:unhideWhenUsed/>
    <w:rsid w:val="00F94758"/>
    <w:rPr>
      <w:vertAlign w:val="superscript"/>
    </w:rPr>
  </w:style>
  <w:style w:type="paragraph" w:styleId="ListParagraph">
    <w:name w:val="List Paragraph"/>
    <w:basedOn w:val="Normal"/>
    <w:uiPriority w:val="34"/>
    <w:qFormat/>
    <w:rsid w:val="00FA1AA1"/>
    <w:pPr>
      <w:ind w:left="720"/>
      <w:contextualSpacing/>
    </w:pPr>
  </w:style>
  <w:style w:type="character" w:styleId="Hyperlink">
    <w:name w:val="Hyperlink"/>
    <w:basedOn w:val="DefaultParagraphFont"/>
    <w:uiPriority w:val="99"/>
    <w:unhideWhenUsed/>
    <w:rsid w:val="005942CC"/>
    <w:rPr>
      <w:color w:val="0000FF" w:themeColor="hyperlink"/>
      <w:u w:val="single"/>
    </w:rPr>
  </w:style>
  <w:style w:type="paragraph" w:styleId="Header">
    <w:name w:val="header"/>
    <w:basedOn w:val="Normal"/>
    <w:link w:val="HeaderChar"/>
    <w:uiPriority w:val="99"/>
    <w:unhideWhenUsed/>
    <w:rsid w:val="00925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93A"/>
  </w:style>
  <w:style w:type="paragraph" w:styleId="Footer">
    <w:name w:val="footer"/>
    <w:basedOn w:val="Normal"/>
    <w:link w:val="FooterChar"/>
    <w:uiPriority w:val="99"/>
    <w:unhideWhenUsed/>
    <w:rsid w:val="00925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93A"/>
  </w:style>
  <w:style w:type="character" w:customStyle="1" w:styleId="berschrift2Zchn1">
    <w:name w:val="Überschrift 2 Zchn1"/>
    <w:basedOn w:val="DefaultParagraphFont"/>
    <w:uiPriority w:val="9"/>
    <w:rsid w:val="004F6098"/>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4F6098"/>
    <w:pPr>
      <w:spacing w:line="276" w:lineRule="auto"/>
      <w:jc w:val="left"/>
      <w:outlineLvl w:val="9"/>
    </w:pPr>
    <w:rPr>
      <w:color w:val="365F91" w:themeColor="accent1" w:themeShade="BF"/>
      <w:lang w:eastAsia="en-GB"/>
    </w:rPr>
  </w:style>
  <w:style w:type="paragraph" w:styleId="TOC1">
    <w:name w:val="toc 1"/>
    <w:basedOn w:val="Normal"/>
    <w:next w:val="Normal"/>
    <w:autoRedefine/>
    <w:uiPriority w:val="39"/>
    <w:unhideWhenUsed/>
    <w:qFormat/>
    <w:rsid w:val="004F6098"/>
    <w:pPr>
      <w:spacing w:after="100"/>
    </w:pPr>
  </w:style>
  <w:style w:type="character" w:customStyle="1" w:styleId="FuzeileZchn1">
    <w:name w:val="Fußzeile Zchn1"/>
    <w:basedOn w:val="DefaultParagraphFont"/>
    <w:uiPriority w:val="99"/>
    <w:rsid w:val="004F6098"/>
  </w:style>
  <w:style w:type="paragraph" w:styleId="TOC2">
    <w:name w:val="toc 2"/>
    <w:basedOn w:val="Normal"/>
    <w:next w:val="Normal"/>
    <w:autoRedefine/>
    <w:uiPriority w:val="39"/>
    <w:unhideWhenUsed/>
    <w:qFormat/>
    <w:rsid w:val="004F6098"/>
    <w:pPr>
      <w:spacing w:after="100"/>
      <w:ind w:left="220"/>
    </w:pPr>
  </w:style>
  <w:style w:type="character" w:customStyle="1" w:styleId="berschrift2Zchn2">
    <w:name w:val="Überschrift 2 Zchn2"/>
    <w:basedOn w:val="DefaultParagraphFont"/>
    <w:uiPriority w:val="9"/>
    <w:rsid w:val="004F6098"/>
    <w:rPr>
      <w:rFonts w:asciiTheme="majorHAnsi" w:eastAsiaTheme="majorEastAsia" w:hAnsiTheme="majorHAnsi" w:cstheme="majorBidi"/>
      <w:b/>
      <w:bCs/>
      <w:sz w:val="26"/>
      <w:szCs w:val="26"/>
    </w:rPr>
  </w:style>
  <w:style w:type="character" w:customStyle="1" w:styleId="FuzeileZchn2">
    <w:name w:val="Fußzeile Zchn2"/>
    <w:basedOn w:val="DefaultParagraphFont"/>
    <w:uiPriority w:val="99"/>
    <w:rsid w:val="004F6098"/>
  </w:style>
  <w:style w:type="character" w:customStyle="1" w:styleId="berschrift2Zchn3">
    <w:name w:val="Überschrift 2 Zchn3"/>
    <w:basedOn w:val="DefaultParagraphFont"/>
    <w:uiPriority w:val="9"/>
    <w:rsid w:val="004F6098"/>
    <w:rPr>
      <w:rFonts w:asciiTheme="majorHAnsi" w:eastAsiaTheme="majorEastAsia" w:hAnsiTheme="majorHAnsi" w:cstheme="majorBidi"/>
      <w:b/>
      <w:bCs/>
      <w:sz w:val="26"/>
      <w:szCs w:val="26"/>
    </w:rPr>
  </w:style>
  <w:style w:type="character" w:customStyle="1" w:styleId="SprechblasentextZchn1">
    <w:name w:val="Sprechblasentext Zchn1"/>
    <w:basedOn w:val="DefaultParagraphFont"/>
    <w:uiPriority w:val="99"/>
    <w:semiHidden/>
    <w:rsid w:val="004F6098"/>
    <w:rPr>
      <w:rFonts w:ascii="Tahoma" w:hAnsi="Tahoma" w:cs="Tahoma"/>
      <w:sz w:val="16"/>
      <w:szCs w:val="16"/>
    </w:rPr>
  </w:style>
  <w:style w:type="character" w:customStyle="1" w:styleId="FunotentextZchn1">
    <w:name w:val="Fußnotentext Zchn1"/>
    <w:basedOn w:val="DefaultParagraphFont"/>
    <w:uiPriority w:val="99"/>
    <w:semiHidden/>
    <w:rsid w:val="004F6098"/>
    <w:rPr>
      <w:sz w:val="20"/>
      <w:szCs w:val="20"/>
    </w:rPr>
  </w:style>
  <w:style w:type="character" w:customStyle="1" w:styleId="KopfzeileZchn1">
    <w:name w:val="Kopfzeile Zchn1"/>
    <w:basedOn w:val="DefaultParagraphFont"/>
    <w:uiPriority w:val="99"/>
    <w:rsid w:val="004F6098"/>
  </w:style>
  <w:style w:type="character" w:customStyle="1" w:styleId="FuzeileZchn3">
    <w:name w:val="Fußzeile Zchn3"/>
    <w:basedOn w:val="DefaultParagraphFont"/>
    <w:uiPriority w:val="99"/>
    <w:rsid w:val="004F6098"/>
  </w:style>
  <w:style w:type="paragraph" w:styleId="TOC3">
    <w:name w:val="toc 3"/>
    <w:basedOn w:val="Normal"/>
    <w:next w:val="Normal"/>
    <w:autoRedefine/>
    <w:uiPriority w:val="39"/>
    <w:unhideWhenUsed/>
    <w:qFormat/>
    <w:rsid w:val="004F6098"/>
    <w:pPr>
      <w:spacing w:after="100"/>
      <w:ind w:left="440"/>
    </w:pPr>
  </w:style>
  <w:style w:type="paragraph" w:styleId="Title">
    <w:name w:val="Title"/>
    <w:basedOn w:val="Normal"/>
    <w:next w:val="Normal"/>
    <w:link w:val="TitleChar"/>
    <w:uiPriority w:val="10"/>
    <w:qFormat/>
    <w:rsid w:val="004F6098"/>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098"/>
    <w:rPr>
      <w:rFonts w:asciiTheme="majorHAnsi" w:eastAsiaTheme="majorEastAsia" w:hAnsiTheme="majorHAnsi" w:cstheme="majorBidi"/>
      <w:spacing w:val="-10"/>
      <w:kern w:val="28"/>
      <w:sz w:val="56"/>
      <w:szCs w:val="56"/>
    </w:rPr>
  </w:style>
  <w:style w:type="character" w:customStyle="1" w:styleId="TitelZchn1">
    <w:name w:val="Titel Zchn1"/>
    <w:basedOn w:val="DefaultParagraphFont"/>
    <w:uiPriority w:val="10"/>
    <w:rsid w:val="004F6098"/>
    <w:rPr>
      <w:rFonts w:asciiTheme="majorHAnsi" w:eastAsiaTheme="majorEastAsia" w:hAnsiTheme="majorHAnsi" w:cstheme="majorBidi"/>
      <w:spacing w:val="-10"/>
      <w:kern w:val="28"/>
      <w:sz w:val="56"/>
      <w:szCs w:val="56"/>
    </w:rPr>
  </w:style>
  <w:style w:type="character" w:customStyle="1" w:styleId="KommentartextZchn1">
    <w:name w:val="Kommentartext Zchn1"/>
    <w:basedOn w:val="DefaultParagraphFont"/>
    <w:uiPriority w:val="99"/>
    <w:semiHidden/>
    <w:rsid w:val="004F6098"/>
    <w:rPr>
      <w:sz w:val="20"/>
      <w:szCs w:val="20"/>
    </w:rPr>
  </w:style>
  <w:style w:type="paragraph" w:styleId="CommentSubject">
    <w:name w:val="annotation subject"/>
    <w:basedOn w:val="CommentText"/>
    <w:next w:val="CommentText"/>
    <w:link w:val="CommentSubjectChar"/>
    <w:uiPriority w:val="99"/>
    <w:semiHidden/>
    <w:unhideWhenUsed/>
    <w:rsid w:val="004F6098"/>
    <w:pPr>
      <w:spacing w:after="160"/>
    </w:pPr>
    <w:rPr>
      <w:b/>
      <w:bCs/>
      <w:sz w:val="20"/>
      <w:szCs w:val="20"/>
    </w:rPr>
  </w:style>
  <w:style w:type="character" w:customStyle="1" w:styleId="CommentSubjectChar">
    <w:name w:val="Comment Subject Char"/>
    <w:basedOn w:val="CommentTextChar"/>
    <w:link w:val="CommentSubject"/>
    <w:uiPriority w:val="99"/>
    <w:semiHidden/>
    <w:rsid w:val="004F6098"/>
    <w:rPr>
      <w:b/>
      <w:bCs/>
      <w:sz w:val="20"/>
      <w:szCs w:val="20"/>
    </w:rPr>
  </w:style>
  <w:style w:type="character" w:customStyle="1" w:styleId="KommentarthemaZchn1">
    <w:name w:val="Kommentarthema Zchn1"/>
    <w:basedOn w:val="CommentTextChar"/>
    <w:uiPriority w:val="99"/>
    <w:semiHidden/>
    <w:rsid w:val="004F6098"/>
    <w:rPr>
      <w:b/>
      <w:bCs/>
      <w:sz w:val="20"/>
      <w:szCs w:val="20"/>
    </w:rPr>
  </w:style>
  <w:style w:type="character" w:customStyle="1" w:styleId="apple-converted-space">
    <w:name w:val="apple-converted-space"/>
    <w:basedOn w:val="DefaultParagraphFont"/>
    <w:rsid w:val="004F6098"/>
  </w:style>
  <w:style w:type="character" w:styleId="EndnoteReference">
    <w:name w:val="endnote reference"/>
    <w:basedOn w:val="DefaultParagraphFont"/>
    <w:uiPriority w:val="99"/>
    <w:semiHidden/>
    <w:unhideWhenUsed/>
    <w:rsid w:val="004F6098"/>
    <w:rPr>
      <w:vertAlign w:val="superscript"/>
    </w:rPr>
  </w:style>
  <w:style w:type="paragraph" w:styleId="Caption">
    <w:name w:val="caption"/>
    <w:basedOn w:val="Normal"/>
    <w:next w:val="Normal"/>
    <w:uiPriority w:val="35"/>
    <w:unhideWhenUsed/>
    <w:qFormat/>
    <w:rsid w:val="004F6098"/>
    <w:pPr>
      <w:spacing w:line="240" w:lineRule="auto"/>
    </w:pPr>
    <w:rPr>
      <w:b/>
      <w:bCs/>
      <w:color w:val="4F81BD" w:themeColor="accent1"/>
      <w:sz w:val="18"/>
      <w:szCs w:val="18"/>
    </w:rPr>
  </w:style>
  <w:style w:type="character" w:customStyle="1" w:styleId="berschrift2Zchn4">
    <w:name w:val="Überschrift 2 Zchn4"/>
    <w:basedOn w:val="DefaultParagraphFont"/>
    <w:uiPriority w:val="9"/>
    <w:rsid w:val="004F6098"/>
    <w:rPr>
      <w:rFonts w:asciiTheme="majorHAnsi" w:eastAsiaTheme="majorEastAsia" w:hAnsiTheme="majorHAnsi" w:cstheme="majorBidi"/>
      <w:b/>
      <w:bCs/>
      <w:sz w:val="26"/>
      <w:szCs w:val="26"/>
    </w:rPr>
  </w:style>
  <w:style w:type="character" w:customStyle="1" w:styleId="FuzeileZchn4">
    <w:name w:val="Fußzeile Zchn4"/>
    <w:basedOn w:val="DefaultParagraphFont"/>
    <w:uiPriority w:val="99"/>
    <w:rsid w:val="004F6098"/>
  </w:style>
  <w:style w:type="character" w:customStyle="1" w:styleId="berschrift3Zchn1">
    <w:name w:val="Überschrift 3 Zchn1"/>
    <w:basedOn w:val="DefaultParagraphFont"/>
    <w:uiPriority w:val="9"/>
    <w:rsid w:val="004F6098"/>
    <w:rPr>
      <w:rFonts w:eastAsiaTheme="majorEastAsia" w:cstheme="majorBidi"/>
      <w:bCs/>
    </w:rPr>
  </w:style>
  <w:style w:type="character" w:customStyle="1" w:styleId="TitelZchn2">
    <w:name w:val="Titel Zchn2"/>
    <w:basedOn w:val="DefaultParagraphFont"/>
    <w:uiPriority w:val="10"/>
    <w:rsid w:val="004F6098"/>
    <w:rPr>
      <w:rFonts w:asciiTheme="majorHAnsi" w:eastAsiaTheme="majorEastAsia" w:hAnsiTheme="majorHAnsi" w:cstheme="majorBidi"/>
      <w:spacing w:val="-10"/>
      <w:kern w:val="28"/>
      <w:sz w:val="56"/>
      <w:szCs w:val="56"/>
    </w:rPr>
  </w:style>
  <w:style w:type="character" w:customStyle="1" w:styleId="KommentartextZchn2">
    <w:name w:val="Kommentartext Zchn2"/>
    <w:basedOn w:val="DefaultParagraphFont"/>
    <w:uiPriority w:val="99"/>
    <w:rsid w:val="004F6098"/>
    <w:rPr>
      <w:sz w:val="20"/>
      <w:szCs w:val="20"/>
    </w:rPr>
  </w:style>
  <w:style w:type="character" w:customStyle="1" w:styleId="SprechblasentextZchn2">
    <w:name w:val="Sprechblasentext Zchn2"/>
    <w:basedOn w:val="DefaultParagraphFont"/>
    <w:uiPriority w:val="99"/>
    <w:semiHidden/>
    <w:rsid w:val="004F6098"/>
    <w:rPr>
      <w:rFonts w:ascii="Tahoma" w:hAnsi="Tahoma" w:cs="Tahoma"/>
      <w:sz w:val="16"/>
      <w:szCs w:val="16"/>
    </w:rPr>
  </w:style>
  <w:style w:type="character" w:customStyle="1" w:styleId="FunotentextZchn2">
    <w:name w:val="Fußnotentext Zchn2"/>
    <w:basedOn w:val="DefaultParagraphFont"/>
    <w:uiPriority w:val="99"/>
    <w:semiHidden/>
    <w:rsid w:val="004F6098"/>
    <w:rPr>
      <w:sz w:val="20"/>
      <w:szCs w:val="20"/>
    </w:rPr>
  </w:style>
  <w:style w:type="character" w:customStyle="1" w:styleId="KopfzeileZchn2">
    <w:name w:val="Kopfzeile Zchn2"/>
    <w:basedOn w:val="DefaultParagraphFont"/>
    <w:uiPriority w:val="99"/>
    <w:rsid w:val="004F6098"/>
  </w:style>
  <w:style w:type="character" w:customStyle="1" w:styleId="FuzeileZchn5">
    <w:name w:val="Fußzeile Zchn5"/>
    <w:basedOn w:val="DefaultParagraphFont"/>
    <w:uiPriority w:val="99"/>
    <w:rsid w:val="004F6098"/>
  </w:style>
  <w:style w:type="character" w:customStyle="1" w:styleId="berschrift2Zchn5">
    <w:name w:val="Überschrift 2 Zchn5"/>
    <w:basedOn w:val="DefaultParagraphFont"/>
    <w:uiPriority w:val="9"/>
    <w:rsid w:val="004F6098"/>
    <w:rPr>
      <w:rFonts w:asciiTheme="majorHAnsi" w:eastAsiaTheme="majorEastAsia" w:hAnsiTheme="majorHAnsi" w:cstheme="majorBidi"/>
      <w:b/>
      <w:bCs/>
      <w:sz w:val="26"/>
      <w:szCs w:val="26"/>
    </w:rPr>
  </w:style>
  <w:style w:type="character" w:customStyle="1" w:styleId="berschrift1Zchn1">
    <w:name w:val="Überschrift 1 Zchn1"/>
    <w:basedOn w:val="DefaultParagraphFont"/>
    <w:uiPriority w:val="9"/>
    <w:rsid w:val="004F6098"/>
    <w:rPr>
      <w:rFonts w:ascii="Times New Roman" w:eastAsiaTheme="majorEastAsia" w:hAnsi="Times New Roman" w:cstheme="majorBidi"/>
      <w:b/>
      <w:sz w:val="28"/>
      <w:szCs w:val="32"/>
    </w:rPr>
  </w:style>
  <w:style w:type="character" w:customStyle="1" w:styleId="FunotentextZchn3">
    <w:name w:val="Fußnotentext Zchn3"/>
    <w:basedOn w:val="DefaultParagraphFont"/>
    <w:uiPriority w:val="99"/>
    <w:semiHidden/>
    <w:rsid w:val="004F6098"/>
    <w:rPr>
      <w:sz w:val="20"/>
      <w:szCs w:val="20"/>
    </w:rPr>
  </w:style>
  <w:style w:type="character" w:customStyle="1" w:styleId="KommentartextZchn3">
    <w:name w:val="Kommentartext Zchn3"/>
    <w:basedOn w:val="DefaultParagraphFont"/>
    <w:uiPriority w:val="99"/>
    <w:semiHidden/>
    <w:rsid w:val="004F6098"/>
    <w:rPr>
      <w:sz w:val="24"/>
      <w:szCs w:val="24"/>
    </w:rPr>
  </w:style>
  <w:style w:type="character" w:customStyle="1" w:styleId="SprechblasentextZchn3">
    <w:name w:val="Sprechblasentext Zchn3"/>
    <w:basedOn w:val="DefaultParagraphFont"/>
    <w:uiPriority w:val="99"/>
    <w:semiHidden/>
    <w:rsid w:val="004F6098"/>
    <w:rPr>
      <w:rFonts w:ascii="Tahoma" w:hAnsi="Tahoma" w:cs="Tahoma"/>
      <w:sz w:val="16"/>
      <w:szCs w:val="16"/>
    </w:rPr>
  </w:style>
  <w:style w:type="character" w:customStyle="1" w:styleId="KopfzeileZchn3">
    <w:name w:val="Kopfzeile Zchn3"/>
    <w:basedOn w:val="DefaultParagraphFont"/>
    <w:uiPriority w:val="99"/>
    <w:rsid w:val="004F6098"/>
  </w:style>
  <w:style w:type="character" w:customStyle="1" w:styleId="FuzeileZchn6">
    <w:name w:val="Fußzeile Zchn6"/>
    <w:basedOn w:val="DefaultParagraphFont"/>
    <w:uiPriority w:val="99"/>
    <w:rsid w:val="004F6098"/>
  </w:style>
  <w:style w:type="character" w:customStyle="1" w:styleId="KommentarthemaZchn2">
    <w:name w:val="Kommentarthema Zchn2"/>
    <w:basedOn w:val="CommentTextChar"/>
    <w:uiPriority w:val="99"/>
    <w:semiHidden/>
    <w:rsid w:val="004F6098"/>
    <w:rPr>
      <w:b/>
      <w:bCs/>
      <w:sz w:val="20"/>
      <w:szCs w:val="20"/>
    </w:rPr>
  </w:style>
  <w:style w:type="character" w:customStyle="1" w:styleId="berschrift2Zchn6">
    <w:name w:val="Überschrift 2 Zchn6"/>
    <w:basedOn w:val="DefaultParagraphFont"/>
    <w:uiPriority w:val="9"/>
    <w:rsid w:val="004F6098"/>
    <w:rPr>
      <w:rFonts w:asciiTheme="majorHAnsi" w:eastAsiaTheme="majorEastAsia" w:hAnsiTheme="majorHAnsi" w:cstheme="majorBidi"/>
      <w:b/>
      <w:bCs/>
      <w:sz w:val="26"/>
      <w:szCs w:val="26"/>
    </w:rPr>
  </w:style>
  <w:style w:type="character" w:customStyle="1" w:styleId="berschrift2Zchn7">
    <w:name w:val="Überschrift 2 Zchn7"/>
    <w:basedOn w:val="DefaultParagraphFont"/>
    <w:uiPriority w:val="9"/>
    <w:rsid w:val="004F6098"/>
    <w:rPr>
      <w:rFonts w:asciiTheme="majorHAnsi" w:eastAsiaTheme="majorEastAsia" w:hAnsiTheme="majorHAnsi" w:cstheme="majorBidi"/>
      <w:b/>
      <w:bCs/>
      <w:sz w:val="26"/>
      <w:szCs w:val="26"/>
    </w:rPr>
  </w:style>
  <w:style w:type="character" w:customStyle="1" w:styleId="berschrift2Zchn8">
    <w:name w:val="Überschrift 2 Zchn8"/>
    <w:basedOn w:val="DefaultParagraphFont"/>
    <w:uiPriority w:val="9"/>
    <w:rsid w:val="004F6098"/>
    <w:rPr>
      <w:rFonts w:asciiTheme="majorHAnsi" w:eastAsiaTheme="majorEastAsia" w:hAnsiTheme="majorHAnsi" w:cstheme="majorBidi"/>
      <w:b/>
      <w:bCs/>
      <w:sz w:val="26"/>
      <w:szCs w:val="26"/>
    </w:rPr>
  </w:style>
  <w:style w:type="character" w:customStyle="1" w:styleId="KommentartextZchn4">
    <w:name w:val="Kommentartext Zchn4"/>
    <w:basedOn w:val="DefaultParagraphFont"/>
    <w:uiPriority w:val="99"/>
    <w:semiHidden/>
    <w:rsid w:val="004F6098"/>
    <w:rPr>
      <w:sz w:val="24"/>
      <w:szCs w:val="24"/>
    </w:rPr>
  </w:style>
  <w:style w:type="character" w:customStyle="1" w:styleId="SprechblasentextZchn4">
    <w:name w:val="Sprechblasentext Zchn4"/>
    <w:basedOn w:val="DefaultParagraphFont"/>
    <w:uiPriority w:val="99"/>
    <w:semiHidden/>
    <w:rsid w:val="004F6098"/>
    <w:rPr>
      <w:rFonts w:ascii="Tahoma" w:hAnsi="Tahoma" w:cs="Tahoma"/>
      <w:sz w:val="16"/>
      <w:szCs w:val="16"/>
    </w:rPr>
  </w:style>
  <w:style w:type="character" w:customStyle="1" w:styleId="FunotentextZchn4">
    <w:name w:val="Fußnotentext Zchn4"/>
    <w:basedOn w:val="DefaultParagraphFont"/>
    <w:uiPriority w:val="99"/>
    <w:semiHidden/>
    <w:rsid w:val="004F6098"/>
    <w:rPr>
      <w:sz w:val="20"/>
      <w:szCs w:val="20"/>
    </w:rPr>
  </w:style>
  <w:style w:type="character" w:customStyle="1" w:styleId="KopfzeileZchn4">
    <w:name w:val="Kopfzeile Zchn4"/>
    <w:basedOn w:val="DefaultParagraphFont"/>
    <w:uiPriority w:val="99"/>
    <w:rsid w:val="004F6098"/>
  </w:style>
  <w:style w:type="character" w:customStyle="1" w:styleId="FuzeileZchn7">
    <w:name w:val="Fußzeile Zchn7"/>
    <w:basedOn w:val="DefaultParagraphFont"/>
    <w:uiPriority w:val="99"/>
    <w:rsid w:val="004F6098"/>
  </w:style>
  <w:style w:type="character" w:customStyle="1" w:styleId="berschrift2Zchn9">
    <w:name w:val="Überschrift 2 Zchn9"/>
    <w:basedOn w:val="DefaultParagraphFont"/>
    <w:uiPriority w:val="9"/>
    <w:rsid w:val="004F6098"/>
    <w:rPr>
      <w:rFonts w:asciiTheme="majorHAnsi" w:eastAsiaTheme="majorEastAsia" w:hAnsiTheme="majorHAnsi" w:cstheme="majorBidi"/>
      <w:b/>
      <w:bCs/>
      <w:sz w:val="26"/>
      <w:szCs w:val="26"/>
    </w:rPr>
  </w:style>
  <w:style w:type="character" w:customStyle="1" w:styleId="FuzeileZchn8">
    <w:name w:val="Fußzeile Zchn8"/>
    <w:basedOn w:val="DefaultParagraphFont"/>
    <w:uiPriority w:val="99"/>
    <w:rsid w:val="004F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3413">
      <w:bodyDiv w:val="1"/>
      <w:marLeft w:val="0"/>
      <w:marRight w:val="0"/>
      <w:marTop w:val="0"/>
      <w:marBottom w:val="0"/>
      <w:divBdr>
        <w:top w:val="none" w:sz="0" w:space="0" w:color="auto"/>
        <w:left w:val="none" w:sz="0" w:space="0" w:color="auto"/>
        <w:bottom w:val="none" w:sz="0" w:space="0" w:color="auto"/>
        <w:right w:val="none" w:sz="0" w:space="0" w:color="auto"/>
      </w:divBdr>
    </w:div>
    <w:div w:id="115954148">
      <w:bodyDiv w:val="1"/>
      <w:marLeft w:val="0"/>
      <w:marRight w:val="0"/>
      <w:marTop w:val="0"/>
      <w:marBottom w:val="0"/>
      <w:divBdr>
        <w:top w:val="none" w:sz="0" w:space="0" w:color="auto"/>
        <w:left w:val="none" w:sz="0" w:space="0" w:color="auto"/>
        <w:bottom w:val="none" w:sz="0" w:space="0" w:color="auto"/>
        <w:right w:val="none" w:sz="0" w:space="0" w:color="auto"/>
      </w:divBdr>
    </w:div>
    <w:div w:id="166872004">
      <w:bodyDiv w:val="1"/>
      <w:marLeft w:val="0"/>
      <w:marRight w:val="0"/>
      <w:marTop w:val="0"/>
      <w:marBottom w:val="0"/>
      <w:divBdr>
        <w:top w:val="none" w:sz="0" w:space="0" w:color="auto"/>
        <w:left w:val="none" w:sz="0" w:space="0" w:color="auto"/>
        <w:bottom w:val="none" w:sz="0" w:space="0" w:color="auto"/>
        <w:right w:val="none" w:sz="0" w:space="0" w:color="auto"/>
      </w:divBdr>
    </w:div>
    <w:div w:id="342366451">
      <w:bodyDiv w:val="1"/>
      <w:marLeft w:val="0"/>
      <w:marRight w:val="0"/>
      <w:marTop w:val="0"/>
      <w:marBottom w:val="0"/>
      <w:divBdr>
        <w:top w:val="none" w:sz="0" w:space="0" w:color="auto"/>
        <w:left w:val="none" w:sz="0" w:space="0" w:color="auto"/>
        <w:bottom w:val="none" w:sz="0" w:space="0" w:color="auto"/>
        <w:right w:val="none" w:sz="0" w:space="0" w:color="auto"/>
      </w:divBdr>
    </w:div>
    <w:div w:id="503133153">
      <w:bodyDiv w:val="1"/>
      <w:marLeft w:val="0"/>
      <w:marRight w:val="0"/>
      <w:marTop w:val="0"/>
      <w:marBottom w:val="0"/>
      <w:divBdr>
        <w:top w:val="none" w:sz="0" w:space="0" w:color="auto"/>
        <w:left w:val="none" w:sz="0" w:space="0" w:color="auto"/>
        <w:bottom w:val="none" w:sz="0" w:space="0" w:color="auto"/>
        <w:right w:val="none" w:sz="0" w:space="0" w:color="auto"/>
      </w:divBdr>
    </w:div>
    <w:div w:id="558370912">
      <w:bodyDiv w:val="1"/>
      <w:marLeft w:val="0"/>
      <w:marRight w:val="0"/>
      <w:marTop w:val="0"/>
      <w:marBottom w:val="0"/>
      <w:divBdr>
        <w:top w:val="none" w:sz="0" w:space="0" w:color="auto"/>
        <w:left w:val="none" w:sz="0" w:space="0" w:color="auto"/>
        <w:bottom w:val="none" w:sz="0" w:space="0" w:color="auto"/>
        <w:right w:val="none" w:sz="0" w:space="0" w:color="auto"/>
      </w:divBdr>
    </w:div>
    <w:div w:id="605230933">
      <w:bodyDiv w:val="1"/>
      <w:marLeft w:val="0"/>
      <w:marRight w:val="0"/>
      <w:marTop w:val="0"/>
      <w:marBottom w:val="0"/>
      <w:divBdr>
        <w:top w:val="none" w:sz="0" w:space="0" w:color="auto"/>
        <w:left w:val="none" w:sz="0" w:space="0" w:color="auto"/>
        <w:bottom w:val="none" w:sz="0" w:space="0" w:color="auto"/>
        <w:right w:val="none" w:sz="0" w:space="0" w:color="auto"/>
      </w:divBdr>
    </w:div>
    <w:div w:id="1338460163">
      <w:bodyDiv w:val="1"/>
      <w:marLeft w:val="0"/>
      <w:marRight w:val="0"/>
      <w:marTop w:val="0"/>
      <w:marBottom w:val="0"/>
      <w:divBdr>
        <w:top w:val="none" w:sz="0" w:space="0" w:color="auto"/>
        <w:left w:val="none" w:sz="0" w:space="0" w:color="auto"/>
        <w:bottom w:val="none" w:sz="0" w:space="0" w:color="auto"/>
        <w:right w:val="none" w:sz="0" w:space="0" w:color="auto"/>
      </w:divBdr>
    </w:div>
    <w:div w:id="19901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788C83F-EAFA-4320-A5FF-5D700573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41710</Words>
  <Characters>221066</Characters>
  <Application>Microsoft Office Word</Application>
  <DocSecurity>0</DocSecurity>
  <Lines>1842</Lines>
  <Paragraphs>524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Justus Andreas</dc:creator>
  <cp:lastModifiedBy>BE1-E7240</cp:lastModifiedBy>
  <cp:revision>42</cp:revision>
  <dcterms:created xsi:type="dcterms:W3CDTF">2018-01-20T09:20:00Z</dcterms:created>
  <dcterms:modified xsi:type="dcterms:W3CDTF">2018-03-09T09:23:00Z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http://www.zotero.org/styles/ecological-economics</vt:lpwstr>
  </property>
  <property fmtid="{D5CDD505-2E9C-101B-9397-08002B2CF9AE}" pid="9" name="Mendeley Recent Style Name 3_1">
    <vt:lpwstr>Ecological Economics</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http://www.zotero.org/styles/harvard-kings-college-london</vt:lpwstr>
  </property>
  <property fmtid="{D5CDD505-2E9C-101B-9397-08002B2CF9AE}" pid="13" name="Mendeley Recent Style Name 5_1">
    <vt:lpwstr>Harvard - King's College London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http://www.zotero.org/styles/journal-of-european-public-policy</vt:lpwstr>
  </property>
  <property fmtid="{D5CDD505-2E9C-101B-9397-08002B2CF9AE}" pid="19" name="Mendeley Recent Style Name 8_1">
    <vt:lpwstr>Journal of European Public Policy</vt:lpwstr>
  </property>
  <property fmtid="{D5CDD505-2E9C-101B-9397-08002B2CF9AE}" pid="20" name="Mendeley Recent Style Id 9_1">
    <vt:lpwstr>http://www.zotero.org/styles/oxford-university-press-humsoc</vt:lpwstr>
  </property>
  <property fmtid="{D5CDD505-2E9C-101B-9397-08002B2CF9AE}" pid="21" name="Mendeley Recent Style Name 9_1">
    <vt:lpwstr>Oxford University Press HUMSOC</vt:lpwstr>
  </property>
  <property fmtid="{D5CDD505-2E9C-101B-9397-08002B2CF9AE}" pid="22" name="Mendeley Document_1">
    <vt:lpwstr>True</vt:lpwstr>
  </property>
  <property fmtid="{D5CDD505-2E9C-101B-9397-08002B2CF9AE}" pid="23" name="Mendeley Unique User Id_1">
    <vt:lpwstr>1ccb34ea-f1fc-3070-95e3-39b68a34e4d0</vt:lpwstr>
  </property>
  <property fmtid="{D5CDD505-2E9C-101B-9397-08002B2CF9AE}" pid="24" name="Mendeley Citation Style_1">
    <vt:lpwstr>http://www.zotero.org/styles/harvard-kings-college-london</vt:lpwstr>
  </property>
</Properties>
</file>