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A946E" w14:textId="77777777" w:rsidR="00317369" w:rsidRPr="00787B22" w:rsidRDefault="00317369" w:rsidP="00317369">
      <w:pPr>
        <w:jc w:val="both"/>
        <w:rPr>
          <w:rFonts w:asciiTheme="majorBidi" w:hAnsiTheme="majorBidi" w:cstheme="majorBidi"/>
          <w:color w:val="FF0000"/>
          <w:sz w:val="32"/>
          <w:szCs w:val="28"/>
          <w:lang w:val="en-GB"/>
        </w:rPr>
      </w:pPr>
      <w:r w:rsidRPr="000B5FE0">
        <w:rPr>
          <w:rFonts w:asciiTheme="majorBidi" w:hAnsiTheme="majorBidi" w:cstheme="majorBidi"/>
          <w:color w:val="000000" w:themeColor="text1"/>
          <w:sz w:val="32"/>
          <w:szCs w:val="28"/>
          <w:lang w:val="en-GB"/>
        </w:rPr>
        <w:t xml:space="preserve">Core Outcome Set in IAD Research (CONSIDER): international </w:t>
      </w:r>
      <w:r w:rsidRPr="00787B22">
        <w:rPr>
          <w:rFonts w:asciiTheme="majorBidi" w:hAnsiTheme="majorBidi" w:cstheme="majorBidi"/>
          <w:sz w:val="32"/>
          <w:szCs w:val="28"/>
          <w:lang w:val="en-GB"/>
        </w:rPr>
        <w:t>and multidisciplinary consensus on a core set of outcome domains in incontinence-associated dermatitis research</w:t>
      </w:r>
    </w:p>
    <w:p w14:paraId="018B8420" w14:textId="77777777" w:rsidR="00F13404" w:rsidRPr="00FB5FE5" w:rsidRDefault="00F13404">
      <w:pPr>
        <w:rPr>
          <w:rFonts w:asciiTheme="majorBidi" w:hAnsiTheme="majorBidi" w:cstheme="majorBidi"/>
          <w:b/>
          <w:bCs/>
          <w:sz w:val="20"/>
          <w:szCs w:val="20"/>
          <w:lang w:val="en-GB"/>
        </w:rPr>
      </w:pPr>
    </w:p>
    <w:p w14:paraId="60587187" w14:textId="2A511F8D" w:rsidR="00347E4F" w:rsidRPr="00553E1A" w:rsidRDefault="00347E4F" w:rsidP="003C0F9F">
      <w:pPr>
        <w:rPr>
          <w:rFonts w:asciiTheme="majorBidi" w:hAnsiTheme="majorBidi" w:cstheme="majorBidi"/>
          <w:sz w:val="20"/>
          <w:szCs w:val="20"/>
          <w:lang w:val="en-US"/>
        </w:rPr>
      </w:pPr>
      <w:r w:rsidRPr="00553E1A">
        <w:rPr>
          <w:rFonts w:asciiTheme="majorBidi" w:hAnsiTheme="majorBidi" w:cstheme="majorBidi"/>
          <w:sz w:val="20"/>
          <w:szCs w:val="20"/>
          <w:lang w:val="en-US"/>
        </w:rPr>
        <w:t xml:space="preserve">Table </w:t>
      </w:r>
      <w:r w:rsidR="008166E2" w:rsidRPr="00553E1A">
        <w:rPr>
          <w:rFonts w:asciiTheme="majorBidi" w:hAnsiTheme="majorBidi" w:cstheme="majorBidi"/>
          <w:sz w:val="20"/>
          <w:szCs w:val="20"/>
          <w:lang w:val="en-US"/>
        </w:rPr>
        <w:t>2</w:t>
      </w:r>
      <w:r w:rsidRPr="00553E1A">
        <w:rPr>
          <w:rFonts w:asciiTheme="majorBidi" w:hAnsiTheme="majorBidi" w:cstheme="majorBidi"/>
          <w:sz w:val="20"/>
          <w:szCs w:val="20"/>
          <w:lang w:val="en-US"/>
        </w:rPr>
        <w:t xml:space="preserve">. </w:t>
      </w:r>
      <w:r w:rsidR="006811D2" w:rsidRPr="00553E1A">
        <w:rPr>
          <w:rFonts w:asciiTheme="majorBidi" w:hAnsiTheme="majorBidi" w:cstheme="majorBidi"/>
          <w:sz w:val="20"/>
          <w:szCs w:val="20"/>
          <w:lang w:val="en-US"/>
        </w:rPr>
        <w:t>Ratings of 9 outcome</w:t>
      </w:r>
      <w:r w:rsidR="002C4695" w:rsidRPr="00553E1A">
        <w:rPr>
          <w:rFonts w:asciiTheme="majorBidi" w:hAnsiTheme="majorBidi" w:cstheme="majorBidi"/>
          <w:sz w:val="20"/>
          <w:szCs w:val="20"/>
          <w:lang w:val="en-US"/>
        </w:rPr>
        <w:t xml:space="preserve"> domain</w:t>
      </w:r>
      <w:r w:rsidR="006811D2" w:rsidRPr="00553E1A">
        <w:rPr>
          <w:rFonts w:asciiTheme="majorBidi" w:hAnsiTheme="majorBidi" w:cstheme="majorBidi"/>
          <w:sz w:val="20"/>
          <w:szCs w:val="20"/>
          <w:lang w:val="en-US"/>
        </w:rPr>
        <w:t xml:space="preserve">s </w:t>
      </w:r>
      <w:r w:rsidR="00B136CF" w:rsidRPr="00553E1A">
        <w:rPr>
          <w:rFonts w:asciiTheme="majorBidi" w:hAnsiTheme="majorBidi" w:cstheme="majorBidi"/>
          <w:sz w:val="20"/>
          <w:szCs w:val="20"/>
          <w:lang w:val="en-US"/>
        </w:rPr>
        <w:t>in the second Delphi roun</w:t>
      </w:r>
      <w:r w:rsidR="00A60912" w:rsidRPr="00553E1A">
        <w:rPr>
          <w:rFonts w:asciiTheme="majorBidi" w:hAnsiTheme="majorBidi" w:cstheme="majorBidi"/>
          <w:sz w:val="20"/>
          <w:szCs w:val="20"/>
          <w:lang w:val="en-US"/>
        </w:rPr>
        <w:t>d – 43 panel</w:t>
      </w:r>
      <w:r w:rsidR="00F774C0">
        <w:rPr>
          <w:rFonts w:asciiTheme="majorBidi" w:hAnsiTheme="majorBidi" w:cstheme="majorBidi"/>
          <w:sz w:val="20"/>
          <w:szCs w:val="20"/>
          <w:lang w:val="en-US"/>
        </w:rPr>
        <w:t>l</w:t>
      </w:r>
      <w:r w:rsidR="00A60912" w:rsidRPr="00553E1A">
        <w:rPr>
          <w:rFonts w:asciiTheme="majorBidi" w:hAnsiTheme="majorBidi" w:cstheme="majorBidi"/>
          <w:sz w:val="20"/>
          <w:szCs w:val="20"/>
          <w:lang w:val="en-US"/>
        </w:rPr>
        <w:t>ists</w:t>
      </w:r>
    </w:p>
    <w:tbl>
      <w:tblPr>
        <w:tblStyle w:val="Tabelraster"/>
        <w:tblW w:w="515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6"/>
        <w:gridCol w:w="711"/>
        <w:gridCol w:w="1130"/>
        <w:gridCol w:w="1136"/>
        <w:gridCol w:w="992"/>
        <w:gridCol w:w="992"/>
      </w:tblGrid>
      <w:tr w:rsidR="00480C97" w:rsidRPr="00DE61C5" w14:paraId="608B71D6" w14:textId="77777777" w:rsidTr="00480C97">
        <w:trPr>
          <w:trHeight w:val="431"/>
        </w:trPr>
        <w:tc>
          <w:tcPr>
            <w:tcW w:w="2349" w:type="pct"/>
            <w:tcBorders>
              <w:top w:val="single" w:sz="4" w:space="0" w:color="auto"/>
              <w:bottom w:val="single" w:sz="4" w:space="0" w:color="auto"/>
            </w:tcBorders>
            <w:vAlign w:val="center"/>
          </w:tcPr>
          <w:p w14:paraId="3C0820D6" w14:textId="77777777" w:rsidR="00480C97" w:rsidRPr="00DE61C5" w:rsidRDefault="00480C97" w:rsidP="00480C97">
            <w:pPr>
              <w:rPr>
                <w:rFonts w:asciiTheme="majorBidi" w:hAnsiTheme="majorBidi" w:cstheme="majorBidi"/>
                <w:b/>
                <w:bCs/>
                <w:sz w:val="18"/>
                <w:szCs w:val="18"/>
                <w:lang w:val="en-US"/>
              </w:rPr>
            </w:pPr>
            <w:r w:rsidRPr="00DE61C5">
              <w:rPr>
                <w:rFonts w:asciiTheme="majorBidi" w:hAnsiTheme="majorBidi" w:cstheme="majorBidi"/>
                <w:b/>
                <w:bCs/>
                <w:sz w:val="18"/>
                <w:szCs w:val="18"/>
                <w:lang w:val="en-US"/>
              </w:rPr>
              <w:t>Outcome domain and definition</w:t>
            </w:r>
          </w:p>
        </w:tc>
        <w:tc>
          <w:tcPr>
            <w:tcW w:w="380" w:type="pct"/>
            <w:tcBorders>
              <w:top w:val="single" w:sz="4" w:space="0" w:color="auto"/>
              <w:bottom w:val="single" w:sz="4" w:space="0" w:color="auto"/>
            </w:tcBorders>
            <w:vAlign w:val="center"/>
          </w:tcPr>
          <w:p w14:paraId="1EE07A0D" w14:textId="421181B3" w:rsidR="00480C97" w:rsidRPr="00480C97" w:rsidRDefault="008166E2" w:rsidP="00480C97">
            <w:pPr>
              <w:rPr>
                <w:rFonts w:asciiTheme="majorBidi" w:hAnsiTheme="majorBidi" w:cstheme="majorBidi"/>
                <w:i/>
                <w:iCs/>
                <w:sz w:val="18"/>
                <w:szCs w:val="18"/>
                <w:lang w:val="en-US"/>
              </w:rPr>
            </w:pPr>
            <w:r>
              <w:rPr>
                <w:rFonts w:asciiTheme="majorBidi" w:hAnsiTheme="majorBidi" w:cstheme="majorBidi"/>
                <w:i/>
                <w:iCs/>
                <w:sz w:val="18"/>
                <w:szCs w:val="18"/>
                <w:lang w:val="en-US"/>
              </w:rPr>
              <w:t xml:space="preserve">n </w:t>
            </w:r>
            <w:r w:rsidR="00480C97" w:rsidRPr="00480C97">
              <w:rPr>
                <w:rFonts w:asciiTheme="majorBidi" w:hAnsiTheme="majorBidi" w:cstheme="majorBidi"/>
                <w:i/>
                <w:iCs/>
                <w:sz w:val="18"/>
                <w:szCs w:val="18"/>
                <w:lang w:val="en-US"/>
              </w:rPr>
              <w:t>(%)</w:t>
            </w:r>
          </w:p>
        </w:tc>
        <w:tc>
          <w:tcPr>
            <w:tcW w:w="604" w:type="pct"/>
            <w:tcBorders>
              <w:top w:val="single" w:sz="4" w:space="0" w:color="auto"/>
              <w:bottom w:val="single" w:sz="4" w:space="0" w:color="auto"/>
            </w:tcBorders>
            <w:vAlign w:val="center"/>
          </w:tcPr>
          <w:p w14:paraId="24B70311" w14:textId="4CF0EDEE" w:rsidR="00480C97" w:rsidRPr="00DC7F1D" w:rsidRDefault="00480C97" w:rsidP="0038673B">
            <w:pPr>
              <w:jc w:val="center"/>
              <w:rPr>
                <w:rFonts w:asciiTheme="majorBidi" w:eastAsia="Times New Roman" w:hAnsiTheme="majorBidi" w:cstheme="majorBidi"/>
                <w:b/>
                <w:bCs/>
                <w:sz w:val="18"/>
                <w:szCs w:val="18"/>
                <w:lang w:val="en-US" w:eastAsia="nl-BE"/>
              </w:rPr>
            </w:pPr>
            <w:r w:rsidRPr="00DC7F1D">
              <w:rPr>
                <w:rFonts w:asciiTheme="majorBidi" w:eastAsia="Times New Roman" w:hAnsiTheme="majorBidi" w:cstheme="majorBidi"/>
                <w:b/>
                <w:bCs/>
                <w:sz w:val="18"/>
                <w:szCs w:val="18"/>
                <w:lang w:val="en-US" w:eastAsia="nl-BE"/>
              </w:rPr>
              <w:t>Not important</w:t>
            </w:r>
            <w:r w:rsidR="0038673B" w:rsidRPr="0038673B">
              <w:rPr>
                <w:rFonts w:asciiTheme="majorBidi" w:eastAsia="Times New Roman" w:hAnsiTheme="majorBidi" w:cstheme="majorBidi"/>
                <w:b/>
                <w:bCs/>
                <w:sz w:val="18"/>
                <w:szCs w:val="18"/>
                <w:vertAlign w:val="superscript"/>
                <w:lang w:val="en-US" w:eastAsia="nl-BE"/>
              </w:rPr>
              <w:t>†</w:t>
            </w:r>
          </w:p>
        </w:tc>
        <w:tc>
          <w:tcPr>
            <w:tcW w:w="607" w:type="pct"/>
            <w:tcBorders>
              <w:top w:val="single" w:sz="4" w:space="0" w:color="auto"/>
              <w:bottom w:val="single" w:sz="4" w:space="0" w:color="auto"/>
            </w:tcBorders>
            <w:vAlign w:val="center"/>
          </w:tcPr>
          <w:p w14:paraId="1BFD5B73" w14:textId="77777777" w:rsidR="00480C97" w:rsidRPr="00DE61C5" w:rsidRDefault="00480C97" w:rsidP="00407FEA">
            <w:pPr>
              <w:jc w:val="center"/>
              <w:rPr>
                <w:rFonts w:asciiTheme="majorBidi" w:eastAsia="Times New Roman" w:hAnsiTheme="majorBidi" w:cstheme="majorBidi"/>
                <w:b/>
                <w:bCs/>
                <w:sz w:val="18"/>
                <w:szCs w:val="18"/>
                <w:lang w:eastAsia="nl-BE"/>
              </w:rPr>
            </w:pPr>
            <w:r w:rsidRPr="00DC7F1D">
              <w:rPr>
                <w:rFonts w:asciiTheme="majorBidi" w:eastAsia="Times New Roman" w:hAnsiTheme="majorBidi" w:cstheme="majorBidi"/>
                <w:b/>
                <w:bCs/>
                <w:sz w:val="18"/>
                <w:szCs w:val="18"/>
                <w:lang w:val="en-US" w:eastAsia="nl-BE"/>
              </w:rPr>
              <w:t>Impor</w:t>
            </w:r>
            <w:r w:rsidRPr="00DE61C5">
              <w:rPr>
                <w:rFonts w:asciiTheme="majorBidi" w:eastAsia="Times New Roman" w:hAnsiTheme="majorBidi" w:cstheme="majorBidi"/>
                <w:b/>
                <w:bCs/>
                <w:sz w:val="18"/>
                <w:szCs w:val="18"/>
                <w:lang w:eastAsia="nl-BE"/>
              </w:rPr>
              <w:t>tant</w:t>
            </w:r>
          </w:p>
        </w:tc>
        <w:tc>
          <w:tcPr>
            <w:tcW w:w="530" w:type="pct"/>
            <w:tcBorders>
              <w:top w:val="single" w:sz="4" w:space="0" w:color="auto"/>
              <w:bottom w:val="single" w:sz="4" w:space="0" w:color="auto"/>
            </w:tcBorders>
            <w:vAlign w:val="center"/>
          </w:tcPr>
          <w:p w14:paraId="61AA0E10" w14:textId="77777777" w:rsidR="00480C97" w:rsidRPr="00DE61C5" w:rsidRDefault="00480C97" w:rsidP="00407FEA">
            <w:pPr>
              <w:jc w:val="center"/>
              <w:rPr>
                <w:rFonts w:asciiTheme="majorBidi" w:eastAsia="Times New Roman" w:hAnsiTheme="majorBidi" w:cstheme="majorBidi"/>
                <w:b/>
                <w:bCs/>
                <w:sz w:val="18"/>
                <w:szCs w:val="18"/>
                <w:lang w:eastAsia="nl-BE"/>
              </w:rPr>
            </w:pPr>
            <w:r w:rsidRPr="00DE61C5">
              <w:rPr>
                <w:rFonts w:asciiTheme="majorBidi" w:eastAsia="Times New Roman" w:hAnsiTheme="majorBidi" w:cstheme="majorBidi"/>
                <w:b/>
                <w:bCs/>
                <w:sz w:val="18"/>
                <w:szCs w:val="18"/>
                <w:lang w:eastAsia="nl-BE"/>
              </w:rPr>
              <w:t>Critical</w:t>
            </w:r>
          </w:p>
        </w:tc>
        <w:tc>
          <w:tcPr>
            <w:tcW w:w="530" w:type="pct"/>
            <w:tcBorders>
              <w:top w:val="single" w:sz="4" w:space="0" w:color="auto"/>
              <w:bottom w:val="single" w:sz="4" w:space="0" w:color="auto"/>
            </w:tcBorders>
            <w:vAlign w:val="center"/>
          </w:tcPr>
          <w:p w14:paraId="53EA59FF" w14:textId="4E9FF79B" w:rsidR="00480C97" w:rsidRPr="00383931" w:rsidRDefault="0038673B" w:rsidP="00407FEA">
            <w:pPr>
              <w:jc w:val="center"/>
              <w:rPr>
                <w:rFonts w:asciiTheme="majorBidi" w:hAnsiTheme="majorBidi" w:cstheme="majorBidi"/>
                <w:b/>
                <w:bCs/>
                <w:sz w:val="18"/>
                <w:szCs w:val="18"/>
                <w:lang w:val="en-US"/>
              </w:rPr>
            </w:pPr>
            <w:r>
              <w:rPr>
                <w:rFonts w:asciiTheme="majorBidi" w:hAnsiTheme="majorBidi" w:cstheme="majorBidi"/>
                <w:b/>
                <w:bCs/>
                <w:sz w:val="18"/>
                <w:szCs w:val="18"/>
                <w:lang w:val="en-US"/>
              </w:rPr>
              <w:t>Result</w:t>
            </w:r>
            <w:r w:rsidRPr="0038673B">
              <w:rPr>
                <w:rFonts w:asciiTheme="majorBidi" w:hAnsiTheme="majorBidi" w:cstheme="majorBidi"/>
                <w:b/>
                <w:bCs/>
                <w:sz w:val="18"/>
                <w:szCs w:val="18"/>
                <w:vertAlign w:val="superscript"/>
                <w:lang w:val="en-US"/>
              </w:rPr>
              <w:t>‡</w:t>
            </w:r>
          </w:p>
        </w:tc>
      </w:tr>
      <w:tr w:rsidR="00407FEA" w:rsidRPr="00DE61C5" w14:paraId="71CA9AB9" w14:textId="77777777" w:rsidTr="00480C97">
        <w:trPr>
          <w:trHeight w:val="317"/>
        </w:trPr>
        <w:tc>
          <w:tcPr>
            <w:tcW w:w="2729" w:type="pct"/>
            <w:gridSpan w:val="2"/>
            <w:tcBorders>
              <w:top w:val="single" w:sz="4" w:space="0" w:color="auto"/>
            </w:tcBorders>
          </w:tcPr>
          <w:p w14:paraId="609B15A7" w14:textId="77777777" w:rsidR="00407FEA" w:rsidRPr="00DE61C5" w:rsidRDefault="00407FEA" w:rsidP="003A34DD">
            <w:pPr>
              <w:pStyle w:val="Lijstalinea"/>
              <w:numPr>
                <w:ilvl w:val="0"/>
                <w:numId w:val="1"/>
              </w:numPr>
              <w:spacing w:line="360" w:lineRule="auto"/>
              <w:ind w:left="357" w:hanging="357"/>
              <w:jc w:val="both"/>
              <w:rPr>
                <w:rFonts w:asciiTheme="majorBidi" w:hAnsiTheme="majorBidi" w:cstheme="majorBidi"/>
                <w:sz w:val="18"/>
                <w:szCs w:val="18"/>
                <w:lang w:val="en-US"/>
              </w:rPr>
            </w:pPr>
            <w:r w:rsidRPr="00DE61C5">
              <w:rPr>
                <w:rFonts w:asciiTheme="majorBidi" w:hAnsiTheme="majorBidi" w:cstheme="majorBidi"/>
                <w:b/>
                <w:bCs/>
                <w:sz w:val="18"/>
                <w:szCs w:val="18"/>
                <w:lang w:val="en-US"/>
              </w:rPr>
              <w:t>Clinical signs of inflammation</w:t>
            </w:r>
          </w:p>
          <w:p w14:paraId="389A8BA0" w14:textId="77777777" w:rsidR="00407FEA" w:rsidRPr="003A34DD" w:rsidRDefault="00407FEA" w:rsidP="003A34DD">
            <w:pPr>
              <w:spacing w:after="60"/>
              <w:jc w:val="both"/>
              <w:rPr>
                <w:rFonts w:asciiTheme="majorBidi" w:hAnsiTheme="majorBidi" w:cstheme="majorBidi"/>
                <w:sz w:val="18"/>
                <w:szCs w:val="18"/>
                <w:lang w:val="en-US"/>
              </w:rPr>
            </w:pPr>
            <w:r w:rsidRPr="00DE61C5">
              <w:rPr>
                <w:rFonts w:asciiTheme="majorBidi" w:hAnsiTheme="majorBidi" w:cstheme="majorBidi"/>
                <w:b/>
                <w:bCs/>
                <w:sz w:val="18"/>
                <w:szCs w:val="18"/>
                <w:lang w:val="en-US"/>
              </w:rPr>
              <w:t>Clinical signs of inflammation</w:t>
            </w:r>
            <w:r w:rsidRPr="00DE61C5">
              <w:rPr>
                <w:rFonts w:asciiTheme="majorBidi" w:hAnsiTheme="majorBidi" w:cstheme="majorBidi"/>
                <w:sz w:val="18"/>
                <w:szCs w:val="18"/>
                <w:lang w:val="en-US"/>
              </w:rPr>
              <w:t xml:space="preserve"> is defined as the presence of dolor (pain), rubor (erythema), calor (warmth), tumor (edema/swelling), and function lesa (disturbed skin barrier)</w:t>
            </w:r>
            <w:r w:rsidR="003A34DD">
              <w:rPr>
                <w:rFonts w:asciiTheme="majorBidi" w:hAnsiTheme="majorBidi" w:cstheme="majorBidi"/>
                <w:sz w:val="18"/>
                <w:szCs w:val="18"/>
                <w:lang w:val="en-US"/>
              </w:rPr>
              <w:t xml:space="preserve"> (Schultz et al., 2003).</w:t>
            </w:r>
          </w:p>
        </w:tc>
        <w:tc>
          <w:tcPr>
            <w:tcW w:w="604" w:type="pct"/>
            <w:tcBorders>
              <w:top w:val="single" w:sz="4" w:space="0" w:color="auto"/>
            </w:tcBorders>
          </w:tcPr>
          <w:p w14:paraId="1BEB3871" w14:textId="77777777" w:rsidR="00407FEA" w:rsidRPr="00DE61C5" w:rsidRDefault="00020737" w:rsidP="00B3638C">
            <w:pPr>
              <w:jc w:val="center"/>
              <w:rPr>
                <w:rFonts w:asciiTheme="majorBidi" w:hAnsiTheme="majorBidi" w:cstheme="majorBidi"/>
                <w:sz w:val="18"/>
                <w:szCs w:val="18"/>
                <w:lang w:val="en-US"/>
              </w:rPr>
            </w:pPr>
            <w:r>
              <w:rPr>
                <w:rFonts w:asciiTheme="majorBidi" w:hAnsiTheme="majorBidi" w:cstheme="majorBidi"/>
                <w:sz w:val="18"/>
                <w:szCs w:val="18"/>
                <w:lang w:val="en-US"/>
              </w:rPr>
              <w:t>1 (2.3)</w:t>
            </w:r>
          </w:p>
        </w:tc>
        <w:tc>
          <w:tcPr>
            <w:tcW w:w="607" w:type="pct"/>
            <w:tcBorders>
              <w:top w:val="single" w:sz="4" w:space="0" w:color="auto"/>
            </w:tcBorders>
          </w:tcPr>
          <w:p w14:paraId="29E10D2F" w14:textId="77777777" w:rsidR="00407FEA" w:rsidRPr="00DE61C5" w:rsidRDefault="00020737" w:rsidP="00B3638C">
            <w:pPr>
              <w:jc w:val="center"/>
              <w:rPr>
                <w:rFonts w:asciiTheme="majorBidi" w:hAnsiTheme="majorBidi" w:cstheme="majorBidi"/>
                <w:sz w:val="18"/>
                <w:szCs w:val="18"/>
                <w:lang w:val="en-US"/>
              </w:rPr>
            </w:pPr>
            <w:r>
              <w:rPr>
                <w:rFonts w:asciiTheme="majorBidi" w:hAnsiTheme="majorBidi" w:cstheme="majorBidi"/>
                <w:sz w:val="18"/>
                <w:szCs w:val="18"/>
                <w:lang w:val="en-US"/>
              </w:rPr>
              <w:t>3 (7.0)</w:t>
            </w:r>
          </w:p>
        </w:tc>
        <w:tc>
          <w:tcPr>
            <w:tcW w:w="530" w:type="pct"/>
            <w:tcBorders>
              <w:top w:val="single" w:sz="4" w:space="0" w:color="auto"/>
            </w:tcBorders>
          </w:tcPr>
          <w:p w14:paraId="39C39E83" w14:textId="77777777" w:rsidR="00407FEA" w:rsidRPr="00DE61C5" w:rsidRDefault="00020737" w:rsidP="00B3638C">
            <w:pPr>
              <w:jc w:val="center"/>
              <w:rPr>
                <w:rFonts w:asciiTheme="majorBidi" w:hAnsiTheme="majorBidi" w:cstheme="majorBidi"/>
                <w:sz w:val="18"/>
                <w:szCs w:val="18"/>
                <w:lang w:val="en-US"/>
              </w:rPr>
            </w:pPr>
            <w:r>
              <w:rPr>
                <w:rFonts w:asciiTheme="majorBidi" w:hAnsiTheme="majorBidi" w:cstheme="majorBidi"/>
                <w:sz w:val="18"/>
                <w:szCs w:val="18"/>
                <w:lang w:val="en-US"/>
              </w:rPr>
              <w:t>39 (</w:t>
            </w:r>
            <w:r w:rsidR="00407FEA" w:rsidRPr="00DE61C5">
              <w:rPr>
                <w:rFonts w:asciiTheme="majorBidi" w:hAnsiTheme="majorBidi" w:cstheme="majorBidi"/>
                <w:sz w:val="18"/>
                <w:szCs w:val="18"/>
                <w:lang w:val="en-US"/>
              </w:rPr>
              <w:t>90.8</w:t>
            </w:r>
            <w:r>
              <w:rPr>
                <w:rFonts w:asciiTheme="majorBidi" w:hAnsiTheme="majorBidi" w:cstheme="majorBidi"/>
                <w:sz w:val="18"/>
                <w:szCs w:val="18"/>
                <w:lang w:val="en-US"/>
              </w:rPr>
              <w:t>)</w:t>
            </w:r>
          </w:p>
        </w:tc>
        <w:tc>
          <w:tcPr>
            <w:tcW w:w="530" w:type="pct"/>
            <w:tcBorders>
              <w:top w:val="single" w:sz="4" w:space="0" w:color="auto"/>
            </w:tcBorders>
          </w:tcPr>
          <w:p w14:paraId="20A4EAA6" w14:textId="77777777" w:rsidR="00407FEA" w:rsidRPr="00DE61C5" w:rsidRDefault="00407FEA" w:rsidP="00407FEA">
            <w:pPr>
              <w:jc w:val="center"/>
              <w:rPr>
                <w:rFonts w:asciiTheme="majorBidi" w:hAnsiTheme="majorBidi" w:cstheme="majorBidi"/>
                <w:sz w:val="18"/>
                <w:szCs w:val="18"/>
                <w:lang w:val="en-US"/>
              </w:rPr>
            </w:pPr>
            <w:r w:rsidRPr="00DE61C5">
              <w:rPr>
                <w:rFonts w:asciiTheme="majorBidi" w:hAnsiTheme="majorBidi" w:cstheme="majorBidi"/>
                <w:sz w:val="18"/>
                <w:szCs w:val="18"/>
                <w:lang w:val="en-US"/>
              </w:rPr>
              <w:t>In</w:t>
            </w:r>
          </w:p>
        </w:tc>
      </w:tr>
      <w:tr w:rsidR="00407FEA" w:rsidRPr="00DE61C5" w14:paraId="7D443C08" w14:textId="77777777" w:rsidTr="00480C97">
        <w:trPr>
          <w:trHeight w:val="317"/>
        </w:trPr>
        <w:tc>
          <w:tcPr>
            <w:tcW w:w="2729" w:type="pct"/>
            <w:gridSpan w:val="2"/>
          </w:tcPr>
          <w:p w14:paraId="049EA2CC" w14:textId="77777777" w:rsidR="00407FEA" w:rsidRPr="00DE61C5" w:rsidRDefault="00407FEA" w:rsidP="003A34DD">
            <w:pPr>
              <w:pStyle w:val="Lijstalinea"/>
              <w:numPr>
                <w:ilvl w:val="0"/>
                <w:numId w:val="1"/>
              </w:numPr>
              <w:spacing w:line="360" w:lineRule="auto"/>
              <w:ind w:left="357" w:hanging="357"/>
              <w:jc w:val="both"/>
              <w:rPr>
                <w:rFonts w:asciiTheme="majorBidi" w:hAnsiTheme="majorBidi" w:cstheme="majorBidi"/>
                <w:b/>
                <w:bCs/>
                <w:sz w:val="18"/>
                <w:szCs w:val="18"/>
                <w:lang w:val="en-US"/>
              </w:rPr>
            </w:pPr>
            <w:r w:rsidRPr="00DE61C5">
              <w:rPr>
                <w:rFonts w:asciiTheme="majorBidi" w:hAnsiTheme="majorBidi" w:cstheme="majorBidi"/>
                <w:b/>
                <w:bCs/>
                <w:sz w:val="18"/>
                <w:szCs w:val="18"/>
                <w:lang w:val="en-US"/>
              </w:rPr>
              <w:t>Clinical signs of infection</w:t>
            </w:r>
          </w:p>
          <w:p w14:paraId="54D81BB0" w14:textId="77777777" w:rsidR="00407FEA" w:rsidRPr="00DE61C5" w:rsidRDefault="00407FEA" w:rsidP="003A34DD">
            <w:pPr>
              <w:spacing w:after="60"/>
              <w:jc w:val="both"/>
              <w:rPr>
                <w:rFonts w:asciiTheme="majorBidi" w:hAnsiTheme="majorBidi" w:cstheme="majorBidi"/>
                <w:sz w:val="18"/>
                <w:szCs w:val="18"/>
                <w:lang w:val="en-US"/>
              </w:rPr>
            </w:pPr>
            <w:r w:rsidRPr="00DE61C5">
              <w:rPr>
                <w:rFonts w:asciiTheme="majorBidi" w:hAnsiTheme="majorBidi" w:cstheme="majorBidi"/>
                <w:b/>
                <w:bCs/>
                <w:sz w:val="18"/>
                <w:szCs w:val="18"/>
                <w:lang w:val="en-US"/>
              </w:rPr>
              <w:t>Clinical signs of infection</w:t>
            </w:r>
            <w:r w:rsidRPr="00DE61C5">
              <w:rPr>
                <w:rFonts w:asciiTheme="majorBidi" w:hAnsiTheme="majorBidi" w:cstheme="majorBidi"/>
                <w:sz w:val="18"/>
                <w:szCs w:val="18"/>
                <w:lang w:val="en-US"/>
              </w:rPr>
              <w:t xml:space="preserve"> is defined as the presence of nonhealing, pain, increased wound size, warmth, white scaling of the skin (suggesting a fungal infection), satellite lesions (pustules surrounding the lesion, suggesting a </w:t>
            </w:r>
            <w:r w:rsidRPr="00DE61C5">
              <w:rPr>
                <w:rFonts w:asciiTheme="majorBidi" w:hAnsiTheme="majorBidi" w:cstheme="majorBidi"/>
                <w:i/>
                <w:iCs/>
                <w:sz w:val="18"/>
                <w:szCs w:val="18"/>
                <w:lang w:val="en-US"/>
              </w:rPr>
              <w:t>Candida albicans</w:t>
            </w:r>
            <w:r w:rsidRPr="00DE61C5">
              <w:rPr>
                <w:rFonts w:asciiTheme="majorBidi" w:hAnsiTheme="majorBidi" w:cstheme="majorBidi"/>
                <w:sz w:val="18"/>
                <w:szCs w:val="18"/>
                <w:lang w:val="en-US"/>
              </w:rPr>
              <w:t xml:space="preserve"> fungal infection), slough visible in the wound bed (yellow/brown/greyish), a green appearance within the wound bed (suggesting a bacterial infection with </w:t>
            </w:r>
            <w:r w:rsidRPr="00DE61C5">
              <w:rPr>
                <w:rFonts w:asciiTheme="majorBidi" w:hAnsiTheme="majorBidi" w:cstheme="majorBidi"/>
                <w:i/>
                <w:iCs/>
                <w:sz w:val="18"/>
                <w:szCs w:val="18"/>
                <w:lang w:val="en-US"/>
              </w:rPr>
              <w:t>Pseudomonas aeruginosa</w:t>
            </w:r>
            <w:r w:rsidRPr="00DE61C5">
              <w:rPr>
                <w:rFonts w:asciiTheme="majorBidi" w:hAnsiTheme="majorBidi" w:cstheme="majorBidi"/>
                <w:sz w:val="18"/>
                <w:szCs w:val="18"/>
                <w:lang w:val="en-US"/>
              </w:rPr>
              <w:t>), increased exudate levels, purulent exudate (pus), or a shiny appearance of the wound bed due to the presence of replicating microorganisms within the wound and the presence of injury to the host (adap</w:t>
            </w:r>
            <w:r w:rsidR="00C6369E">
              <w:rPr>
                <w:rFonts w:asciiTheme="majorBidi" w:hAnsiTheme="majorBidi" w:cstheme="majorBidi"/>
                <w:sz w:val="18"/>
                <w:szCs w:val="18"/>
                <w:lang w:val="en-US"/>
              </w:rPr>
              <w:t>ted from Schultz et al., 2003).</w:t>
            </w:r>
          </w:p>
        </w:tc>
        <w:tc>
          <w:tcPr>
            <w:tcW w:w="604" w:type="pct"/>
          </w:tcPr>
          <w:p w14:paraId="01AB15E5" w14:textId="77777777" w:rsidR="00407FEA" w:rsidRPr="00DE61C5" w:rsidRDefault="00020737" w:rsidP="00B3638C">
            <w:pPr>
              <w:jc w:val="center"/>
              <w:rPr>
                <w:rFonts w:asciiTheme="majorBidi" w:hAnsiTheme="majorBidi" w:cstheme="majorBidi"/>
                <w:sz w:val="18"/>
                <w:szCs w:val="18"/>
                <w:lang w:val="en-US"/>
              </w:rPr>
            </w:pPr>
            <w:r>
              <w:rPr>
                <w:rFonts w:asciiTheme="majorBidi" w:hAnsiTheme="majorBidi" w:cstheme="majorBidi"/>
                <w:sz w:val="18"/>
                <w:szCs w:val="18"/>
                <w:lang w:val="en-US"/>
              </w:rPr>
              <w:t>3 (6.9)</w:t>
            </w:r>
          </w:p>
        </w:tc>
        <w:tc>
          <w:tcPr>
            <w:tcW w:w="607" w:type="pct"/>
          </w:tcPr>
          <w:p w14:paraId="1B739556" w14:textId="77777777" w:rsidR="00407FEA" w:rsidRPr="00DE61C5" w:rsidRDefault="00020737" w:rsidP="00B3638C">
            <w:pPr>
              <w:jc w:val="center"/>
              <w:rPr>
                <w:rFonts w:asciiTheme="majorBidi" w:hAnsiTheme="majorBidi" w:cstheme="majorBidi"/>
                <w:sz w:val="18"/>
                <w:szCs w:val="18"/>
                <w:lang w:val="en-US"/>
              </w:rPr>
            </w:pPr>
            <w:r>
              <w:rPr>
                <w:rFonts w:asciiTheme="majorBidi" w:hAnsiTheme="majorBidi" w:cstheme="majorBidi"/>
                <w:sz w:val="18"/>
                <w:szCs w:val="18"/>
                <w:lang w:val="en-US"/>
              </w:rPr>
              <w:t>3 (6.9)</w:t>
            </w:r>
          </w:p>
        </w:tc>
        <w:tc>
          <w:tcPr>
            <w:tcW w:w="530" w:type="pct"/>
          </w:tcPr>
          <w:p w14:paraId="3C34BEFD" w14:textId="77777777" w:rsidR="00407FEA" w:rsidRPr="00DE61C5" w:rsidRDefault="00020737" w:rsidP="00B3638C">
            <w:pPr>
              <w:jc w:val="center"/>
              <w:rPr>
                <w:rFonts w:asciiTheme="majorBidi" w:hAnsiTheme="majorBidi" w:cstheme="majorBidi"/>
                <w:sz w:val="18"/>
                <w:szCs w:val="18"/>
                <w:lang w:val="en-US"/>
              </w:rPr>
            </w:pPr>
            <w:r>
              <w:rPr>
                <w:rFonts w:asciiTheme="majorBidi" w:hAnsiTheme="majorBidi" w:cstheme="majorBidi"/>
                <w:sz w:val="18"/>
                <w:szCs w:val="18"/>
                <w:lang w:val="en-US"/>
              </w:rPr>
              <w:t>37 (</w:t>
            </w:r>
            <w:r w:rsidR="00407FEA" w:rsidRPr="00DE61C5">
              <w:rPr>
                <w:rFonts w:asciiTheme="majorBidi" w:hAnsiTheme="majorBidi" w:cstheme="majorBidi"/>
                <w:sz w:val="18"/>
                <w:szCs w:val="18"/>
                <w:lang w:val="en-US"/>
              </w:rPr>
              <w:t>86.1</w:t>
            </w:r>
            <w:r>
              <w:rPr>
                <w:rFonts w:asciiTheme="majorBidi" w:hAnsiTheme="majorBidi" w:cstheme="majorBidi"/>
                <w:sz w:val="18"/>
                <w:szCs w:val="18"/>
                <w:lang w:val="en-US"/>
              </w:rPr>
              <w:t>)</w:t>
            </w:r>
          </w:p>
        </w:tc>
        <w:tc>
          <w:tcPr>
            <w:tcW w:w="530" w:type="pct"/>
          </w:tcPr>
          <w:p w14:paraId="4E8FC9F9" w14:textId="77777777" w:rsidR="00407FEA" w:rsidRPr="00DE61C5" w:rsidRDefault="00407FEA" w:rsidP="00407FEA">
            <w:pPr>
              <w:jc w:val="center"/>
              <w:rPr>
                <w:rFonts w:asciiTheme="majorBidi" w:hAnsiTheme="majorBidi" w:cstheme="majorBidi"/>
                <w:sz w:val="18"/>
                <w:szCs w:val="18"/>
                <w:lang w:val="en-US"/>
              </w:rPr>
            </w:pPr>
            <w:r w:rsidRPr="00DE61C5">
              <w:rPr>
                <w:rFonts w:asciiTheme="majorBidi" w:hAnsiTheme="majorBidi" w:cstheme="majorBidi"/>
                <w:sz w:val="18"/>
                <w:szCs w:val="18"/>
                <w:lang w:val="en-US"/>
              </w:rPr>
              <w:t>In</w:t>
            </w:r>
          </w:p>
        </w:tc>
      </w:tr>
      <w:tr w:rsidR="00407FEA" w:rsidRPr="00DE61C5" w14:paraId="558957A4" w14:textId="77777777" w:rsidTr="00480C97">
        <w:trPr>
          <w:trHeight w:val="317"/>
        </w:trPr>
        <w:tc>
          <w:tcPr>
            <w:tcW w:w="2729" w:type="pct"/>
            <w:gridSpan w:val="2"/>
          </w:tcPr>
          <w:p w14:paraId="3DBFF24C" w14:textId="77777777" w:rsidR="00407FEA" w:rsidRPr="00DE61C5" w:rsidRDefault="00407FEA" w:rsidP="003A34DD">
            <w:pPr>
              <w:pStyle w:val="Lijstalinea"/>
              <w:numPr>
                <w:ilvl w:val="0"/>
                <w:numId w:val="1"/>
              </w:numPr>
              <w:spacing w:line="360" w:lineRule="auto"/>
              <w:ind w:left="357" w:hanging="357"/>
              <w:jc w:val="both"/>
              <w:rPr>
                <w:rFonts w:asciiTheme="majorBidi" w:hAnsiTheme="majorBidi" w:cstheme="majorBidi"/>
                <w:b/>
                <w:bCs/>
                <w:sz w:val="18"/>
                <w:szCs w:val="18"/>
                <w:lang w:val="en-US"/>
              </w:rPr>
            </w:pPr>
            <w:r w:rsidRPr="00DE61C5">
              <w:rPr>
                <w:rFonts w:asciiTheme="majorBidi" w:hAnsiTheme="majorBidi" w:cstheme="majorBidi"/>
                <w:b/>
                <w:bCs/>
                <w:sz w:val="18"/>
                <w:szCs w:val="18"/>
                <w:lang w:val="en-US"/>
              </w:rPr>
              <w:t xml:space="preserve">Cost-effectiveness </w:t>
            </w:r>
          </w:p>
          <w:p w14:paraId="07BF1CF6" w14:textId="77777777" w:rsidR="00407FEA" w:rsidRPr="003A34DD" w:rsidRDefault="00407FEA" w:rsidP="003A34DD">
            <w:pPr>
              <w:spacing w:after="60"/>
              <w:jc w:val="both"/>
              <w:rPr>
                <w:rFonts w:asciiTheme="majorBidi" w:hAnsiTheme="majorBidi" w:cstheme="majorBidi"/>
                <w:sz w:val="18"/>
                <w:szCs w:val="18"/>
                <w:lang w:val="en-US"/>
              </w:rPr>
            </w:pPr>
            <w:r w:rsidRPr="00DE61C5">
              <w:rPr>
                <w:rFonts w:asciiTheme="majorBidi" w:hAnsiTheme="majorBidi" w:cstheme="majorBidi"/>
                <w:b/>
                <w:bCs/>
                <w:sz w:val="18"/>
                <w:szCs w:val="18"/>
                <w:lang w:val="en-US"/>
              </w:rPr>
              <w:t>Cost-effectiveness</w:t>
            </w:r>
            <w:r w:rsidRPr="00DE61C5">
              <w:rPr>
                <w:rFonts w:asciiTheme="majorBidi" w:hAnsiTheme="majorBidi" w:cstheme="majorBidi"/>
                <w:sz w:val="18"/>
                <w:szCs w:val="18"/>
                <w:lang w:val="en-US"/>
              </w:rPr>
              <w:t xml:space="preserve"> is defined as the ratio of the cost of the intervention to the health effects of the intervention (Gold, 1996).</w:t>
            </w:r>
          </w:p>
        </w:tc>
        <w:tc>
          <w:tcPr>
            <w:tcW w:w="604" w:type="pct"/>
          </w:tcPr>
          <w:p w14:paraId="49C6CA8E" w14:textId="77777777" w:rsidR="00407FEA" w:rsidRPr="00DE61C5" w:rsidRDefault="00020737" w:rsidP="00B3638C">
            <w:pPr>
              <w:jc w:val="center"/>
              <w:rPr>
                <w:rFonts w:asciiTheme="majorBidi" w:hAnsiTheme="majorBidi" w:cstheme="majorBidi"/>
                <w:sz w:val="18"/>
                <w:szCs w:val="18"/>
                <w:lang w:val="en-US"/>
              </w:rPr>
            </w:pPr>
            <w:r>
              <w:rPr>
                <w:rFonts w:asciiTheme="majorBidi" w:hAnsiTheme="majorBidi" w:cstheme="majorBidi"/>
                <w:sz w:val="18"/>
                <w:szCs w:val="18"/>
                <w:lang w:val="en-US"/>
              </w:rPr>
              <w:t>2 (4.6)</w:t>
            </w:r>
          </w:p>
        </w:tc>
        <w:tc>
          <w:tcPr>
            <w:tcW w:w="607" w:type="pct"/>
          </w:tcPr>
          <w:p w14:paraId="6A558479" w14:textId="77777777" w:rsidR="00407FEA" w:rsidRPr="00DE61C5" w:rsidRDefault="00020737" w:rsidP="00B3638C">
            <w:pPr>
              <w:jc w:val="center"/>
              <w:rPr>
                <w:rFonts w:asciiTheme="majorBidi" w:hAnsiTheme="majorBidi" w:cstheme="majorBidi"/>
                <w:sz w:val="18"/>
                <w:szCs w:val="18"/>
                <w:lang w:val="en-US"/>
              </w:rPr>
            </w:pPr>
            <w:r>
              <w:rPr>
                <w:rFonts w:asciiTheme="majorBidi" w:hAnsiTheme="majorBidi" w:cstheme="majorBidi"/>
                <w:sz w:val="18"/>
                <w:szCs w:val="18"/>
                <w:lang w:val="en-US"/>
              </w:rPr>
              <w:t>14 (32.7)</w:t>
            </w:r>
          </w:p>
        </w:tc>
        <w:tc>
          <w:tcPr>
            <w:tcW w:w="530" w:type="pct"/>
          </w:tcPr>
          <w:p w14:paraId="6DC7FC75" w14:textId="77777777" w:rsidR="00407FEA" w:rsidRPr="00DE61C5" w:rsidRDefault="00020737" w:rsidP="00B3638C">
            <w:pPr>
              <w:jc w:val="center"/>
              <w:rPr>
                <w:rFonts w:asciiTheme="majorBidi" w:hAnsiTheme="majorBidi" w:cstheme="majorBidi"/>
                <w:sz w:val="18"/>
                <w:szCs w:val="18"/>
                <w:lang w:val="en-US"/>
              </w:rPr>
            </w:pPr>
            <w:r>
              <w:rPr>
                <w:rFonts w:asciiTheme="majorBidi" w:hAnsiTheme="majorBidi" w:cstheme="majorBidi"/>
                <w:sz w:val="18"/>
                <w:szCs w:val="18"/>
                <w:lang w:val="en-US"/>
              </w:rPr>
              <w:t>27 (</w:t>
            </w:r>
            <w:r w:rsidR="00407FEA" w:rsidRPr="00DE61C5">
              <w:rPr>
                <w:rFonts w:asciiTheme="majorBidi" w:hAnsiTheme="majorBidi" w:cstheme="majorBidi"/>
                <w:sz w:val="18"/>
                <w:szCs w:val="18"/>
                <w:lang w:val="en-US"/>
              </w:rPr>
              <w:t>62.8</w:t>
            </w:r>
            <w:r>
              <w:rPr>
                <w:rFonts w:asciiTheme="majorBidi" w:hAnsiTheme="majorBidi" w:cstheme="majorBidi"/>
                <w:sz w:val="18"/>
                <w:szCs w:val="18"/>
                <w:lang w:val="en-US"/>
              </w:rPr>
              <w:t>)</w:t>
            </w:r>
          </w:p>
        </w:tc>
        <w:tc>
          <w:tcPr>
            <w:tcW w:w="530" w:type="pct"/>
          </w:tcPr>
          <w:p w14:paraId="2C2D00ED" w14:textId="77777777" w:rsidR="00407FEA" w:rsidRPr="00DE61C5" w:rsidRDefault="00407FEA" w:rsidP="00407FEA">
            <w:pPr>
              <w:jc w:val="center"/>
              <w:rPr>
                <w:rFonts w:asciiTheme="majorBidi" w:hAnsiTheme="majorBidi" w:cstheme="majorBidi"/>
                <w:sz w:val="18"/>
                <w:szCs w:val="18"/>
                <w:lang w:val="en-US"/>
              </w:rPr>
            </w:pPr>
            <w:r w:rsidRPr="00DE61C5">
              <w:rPr>
                <w:rFonts w:asciiTheme="majorBidi" w:hAnsiTheme="majorBidi" w:cstheme="majorBidi"/>
                <w:sz w:val="18"/>
                <w:szCs w:val="18"/>
                <w:lang w:val="en-US"/>
              </w:rPr>
              <w:t>Out</w:t>
            </w:r>
          </w:p>
        </w:tc>
      </w:tr>
      <w:tr w:rsidR="00407FEA" w:rsidRPr="00DE61C5" w14:paraId="77539E97" w14:textId="77777777" w:rsidTr="00480C97">
        <w:trPr>
          <w:trHeight w:val="317"/>
        </w:trPr>
        <w:tc>
          <w:tcPr>
            <w:tcW w:w="2729" w:type="pct"/>
            <w:gridSpan w:val="2"/>
          </w:tcPr>
          <w:p w14:paraId="10F41CBA" w14:textId="77777777" w:rsidR="00407FEA" w:rsidRPr="00DE61C5" w:rsidRDefault="00407FEA" w:rsidP="003A34DD">
            <w:pPr>
              <w:pStyle w:val="Lijstalinea"/>
              <w:numPr>
                <w:ilvl w:val="0"/>
                <w:numId w:val="1"/>
              </w:numPr>
              <w:spacing w:line="360" w:lineRule="auto"/>
              <w:ind w:left="357" w:hanging="357"/>
              <w:jc w:val="both"/>
              <w:rPr>
                <w:rFonts w:asciiTheme="majorBidi" w:hAnsiTheme="majorBidi" w:cstheme="majorBidi"/>
                <w:b/>
                <w:bCs/>
                <w:sz w:val="18"/>
                <w:szCs w:val="18"/>
                <w:lang w:val="en-US"/>
              </w:rPr>
            </w:pPr>
            <w:r w:rsidRPr="00DE61C5">
              <w:rPr>
                <w:rFonts w:asciiTheme="majorBidi" w:hAnsiTheme="majorBidi" w:cstheme="majorBidi"/>
                <w:b/>
                <w:bCs/>
                <w:sz w:val="18"/>
                <w:szCs w:val="18"/>
                <w:lang w:val="en-US"/>
              </w:rPr>
              <w:t xml:space="preserve">Erosion </w:t>
            </w:r>
          </w:p>
          <w:p w14:paraId="7FFEBF7E" w14:textId="77777777" w:rsidR="00407FEA" w:rsidRPr="00DE61C5" w:rsidRDefault="00407FEA" w:rsidP="003A34DD">
            <w:pPr>
              <w:spacing w:after="60"/>
              <w:jc w:val="both"/>
              <w:rPr>
                <w:rFonts w:asciiTheme="majorBidi" w:hAnsiTheme="majorBidi" w:cstheme="majorBidi"/>
                <w:sz w:val="18"/>
                <w:szCs w:val="18"/>
                <w:lang w:val="en-US"/>
              </w:rPr>
            </w:pPr>
            <w:r w:rsidRPr="00DE61C5">
              <w:rPr>
                <w:rFonts w:asciiTheme="majorBidi" w:hAnsiTheme="majorBidi" w:cstheme="majorBidi"/>
                <w:b/>
                <w:bCs/>
                <w:sz w:val="18"/>
                <w:szCs w:val="18"/>
                <w:lang w:val="en-US"/>
              </w:rPr>
              <w:t>Erosion</w:t>
            </w:r>
            <w:r w:rsidRPr="00DE61C5">
              <w:rPr>
                <w:rFonts w:asciiTheme="majorBidi" w:hAnsiTheme="majorBidi" w:cstheme="majorBidi"/>
                <w:sz w:val="18"/>
                <w:szCs w:val="18"/>
                <w:lang w:val="en-US"/>
              </w:rPr>
              <w:t xml:space="preserve"> is defined as the loss of either a portion or the entire</w:t>
            </w:r>
            <w:r w:rsidR="003A34DD">
              <w:rPr>
                <w:rFonts w:asciiTheme="majorBidi" w:hAnsiTheme="majorBidi" w:cstheme="majorBidi"/>
                <w:sz w:val="18"/>
                <w:szCs w:val="18"/>
                <w:lang w:val="en-US"/>
              </w:rPr>
              <w:t xml:space="preserve"> epidermis (Nast et al., 2015).</w:t>
            </w:r>
          </w:p>
        </w:tc>
        <w:tc>
          <w:tcPr>
            <w:tcW w:w="604" w:type="pct"/>
          </w:tcPr>
          <w:p w14:paraId="6B054041" w14:textId="77777777" w:rsidR="00407FEA" w:rsidRPr="00DE61C5" w:rsidRDefault="00740676" w:rsidP="00B3638C">
            <w:pPr>
              <w:jc w:val="center"/>
              <w:rPr>
                <w:rFonts w:asciiTheme="majorBidi" w:hAnsiTheme="majorBidi" w:cstheme="majorBidi"/>
                <w:sz w:val="18"/>
                <w:szCs w:val="18"/>
                <w:lang w:val="en-US"/>
              </w:rPr>
            </w:pPr>
            <w:r>
              <w:rPr>
                <w:rFonts w:asciiTheme="majorBidi" w:hAnsiTheme="majorBidi" w:cstheme="majorBidi"/>
                <w:sz w:val="18"/>
                <w:szCs w:val="18"/>
                <w:lang w:val="en-US"/>
              </w:rPr>
              <w:t>1 (2.3)</w:t>
            </w:r>
          </w:p>
        </w:tc>
        <w:tc>
          <w:tcPr>
            <w:tcW w:w="607" w:type="pct"/>
          </w:tcPr>
          <w:p w14:paraId="437EE4A4" w14:textId="77777777" w:rsidR="00407FEA" w:rsidRPr="00DE61C5" w:rsidRDefault="00740676" w:rsidP="00B3638C">
            <w:pPr>
              <w:jc w:val="center"/>
              <w:rPr>
                <w:rFonts w:asciiTheme="majorBidi" w:hAnsiTheme="majorBidi" w:cstheme="majorBidi"/>
                <w:sz w:val="18"/>
                <w:szCs w:val="18"/>
                <w:lang w:val="en-US"/>
              </w:rPr>
            </w:pPr>
            <w:r>
              <w:rPr>
                <w:rFonts w:asciiTheme="majorBidi" w:hAnsiTheme="majorBidi" w:cstheme="majorBidi"/>
                <w:sz w:val="18"/>
                <w:szCs w:val="18"/>
                <w:lang w:val="en-US"/>
              </w:rPr>
              <w:t>3 (7.0)</w:t>
            </w:r>
          </w:p>
        </w:tc>
        <w:tc>
          <w:tcPr>
            <w:tcW w:w="530" w:type="pct"/>
          </w:tcPr>
          <w:p w14:paraId="76163820" w14:textId="77777777" w:rsidR="00407FEA" w:rsidRPr="00DE61C5" w:rsidRDefault="00740676" w:rsidP="00B3638C">
            <w:pPr>
              <w:jc w:val="center"/>
              <w:rPr>
                <w:rFonts w:asciiTheme="majorBidi" w:hAnsiTheme="majorBidi" w:cstheme="majorBidi"/>
                <w:sz w:val="18"/>
                <w:szCs w:val="18"/>
                <w:lang w:val="en-US"/>
              </w:rPr>
            </w:pPr>
            <w:r>
              <w:rPr>
                <w:rFonts w:asciiTheme="majorBidi" w:hAnsiTheme="majorBidi" w:cstheme="majorBidi"/>
                <w:sz w:val="18"/>
                <w:szCs w:val="18"/>
                <w:lang w:val="en-US"/>
              </w:rPr>
              <w:t>39 (</w:t>
            </w:r>
            <w:r w:rsidR="00407FEA" w:rsidRPr="00DE61C5">
              <w:rPr>
                <w:rFonts w:asciiTheme="majorBidi" w:hAnsiTheme="majorBidi" w:cstheme="majorBidi"/>
                <w:sz w:val="18"/>
                <w:szCs w:val="18"/>
                <w:lang w:val="en-US"/>
              </w:rPr>
              <w:t>90.7</w:t>
            </w:r>
            <w:r>
              <w:rPr>
                <w:rFonts w:asciiTheme="majorBidi" w:hAnsiTheme="majorBidi" w:cstheme="majorBidi"/>
                <w:sz w:val="18"/>
                <w:szCs w:val="18"/>
                <w:lang w:val="en-US"/>
              </w:rPr>
              <w:t>)</w:t>
            </w:r>
          </w:p>
        </w:tc>
        <w:tc>
          <w:tcPr>
            <w:tcW w:w="530" w:type="pct"/>
          </w:tcPr>
          <w:p w14:paraId="4D740794" w14:textId="77777777" w:rsidR="00407FEA" w:rsidRPr="00DE61C5" w:rsidRDefault="00407FEA" w:rsidP="00407FEA">
            <w:pPr>
              <w:jc w:val="center"/>
              <w:rPr>
                <w:rFonts w:asciiTheme="majorBidi" w:hAnsiTheme="majorBidi" w:cstheme="majorBidi"/>
                <w:sz w:val="18"/>
                <w:szCs w:val="18"/>
                <w:lang w:val="en-US"/>
              </w:rPr>
            </w:pPr>
            <w:r w:rsidRPr="00DE61C5">
              <w:rPr>
                <w:rFonts w:asciiTheme="majorBidi" w:hAnsiTheme="majorBidi" w:cstheme="majorBidi"/>
                <w:sz w:val="18"/>
                <w:szCs w:val="18"/>
                <w:lang w:val="en-US"/>
              </w:rPr>
              <w:t>In</w:t>
            </w:r>
          </w:p>
        </w:tc>
      </w:tr>
      <w:tr w:rsidR="00407FEA" w:rsidRPr="00DE61C5" w14:paraId="0921A2B5" w14:textId="77777777" w:rsidTr="00480C97">
        <w:trPr>
          <w:trHeight w:val="317"/>
        </w:trPr>
        <w:tc>
          <w:tcPr>
            <w:tcW w:w="2729" w:type="pct"/>
            <w:gridSpan w:val="2"/>
          </w:tcPr>
          <w:p w14:paraId="5DF80149" w14:textId="77777777" w:rsidR="00407FEA" w:rsidRPr="00DE61C5" w:rsidRDefault="00407FEA" w:rsidP="003A34DD">
            <w:pPr>
              <w:pStyle w:val="Lijstalinea"/>
              <w:numPr>
                <w:ilvl w:val="0"/>
                <w:numId w:val="1"/>
              </w:numPr>
              <w:spacing w:line="360" w:lineRule="auto"/>
              <w:ind w:left="357" w:hanging="357"/>
              <w:jc w:val="both"/>
              <w:rPr>
                <w:rFonts w:asciiTheme="majorBidi" w:hAnsiTheme="majorBidi" w:cstheme="majorBidi"/>
                <w:b/>
                <w:bCs/>
                <w:sz w:val="18"/>
                <w:szCs w:val="18"/>
                <w:lang w:val="en-US"/>
              </w:rPr>
            </w:pPr>
            <w:r w:rsidRPr="00DE61C5">
              <w:rPr>
                <w:rFonts w:asciiTheme="majorBidi" w:hAnsiTheme="majorBidi" w:cstheme="majorBidi"/>
                <w:b/>
                <w:bCs/>
                <w:sz w:val="18"/>
                <w:szCs w:val="18"/>
                <w:lang w:val="en-US"/>
              </w:rPr>
              <w:t>IAD-related Quality of Life</w:t>
            </w:r>
          </w:p>
          <w:p w14:paraId="0E56463B" w14:textId="77777777" w:rsidR="00407FEA" w:rsidRPr="003A34DD" w:rsidRDefault="00407FEA" w:rsidP="003A34DD">
            <w:pPr>
              <w:spacing w:after="60"/>
              <w:jc w:val="both"/>
              <w:rPr>
                <w:rFonts w:asciiTheme="majorBidi" w:hAnsiTheme="majorBidi" w:cstheme="majorBidi"/>
                <w:sz w:val="18"/>
                <w:szCs w:val="18"/>
                <w:lang w:val="en-US"/>
              </w:rPr>
            </w:pPr>
            <w:r w:rsidRPr="00DE61C5">
              <w:rPr>
                <w:rFonts w:asciiTheme="majorBidi" w:hAnsiTheme="majorBidi" w:cstheme="majorBidi"/>
                <w:b/>
                <w:bCs/>
                <w:sz w:val="18"/>
                <w:szCs w:val="18"/>
                <w:lang w:val="en-US"/>
              </w:rPr>
              <w:t>IAD-related Quality of Life</w:t>
            </w:r>
            <w:r w:rsidRPr="00DE61C5">
              <w:rPr>
                <w:rFonts w:asciiTheme="majorBidi" w:hAnsiTheme="majorBidi" w:cstheme="majorBidi"/>
                <w:sz w:val="18"/>
                <w:szCs w:val="18"/>
                <w:lang w:val="en-US"/>
              </w:rPr>
              <w:t xml:space="preserve"> is defined as physical, material, social, and emotional wellbeing and comfort compromised by the presence of IAD and its associated care by (in)formal caregivers (Felce and Perry, 1995).</w:t>
            </w:r>
            <w:r w:rsidRPr="00DE61C5">
              <w:rPr>
                <w:rFonts w:asciiTheme="majorBidi" w:hAnsiTheme="majorBidi" w:cstheme="majorBidi"/>
                <w:b/>
                <w:bCs/>
                <w:sz w:val="18"/>
                <w:szCs w:val="18"/>
                <w:lang w:val="en-US"/>
              </w:rPr>
              <w:t xml:space="preserve"> </w:t>
            </w:r>
          </w:p>
        </w:tc>
        <w:tc>
          <w:tcPr>
            <w:tcW w:w="604" w:type="pct"/>
          </w:tcPr>
          <w:p w14:paraId="1ED110D0" w14:textId="77777777" w:rsidR="00407FEA" w:rsidRPr="00DE61C5" w:rsidRDefault="00740676" w:rsidP="00B3638C">
            <w:pPr>
              <w:jc w:val="center"/>
              <w:rPr>
                <w:rFonts w:asciiTheme="majorBidi" w:hAnsiTheme="majorBidi" w:cstheme="majorBidi"/>
                <w:sz w:val="18"/>
                <w:szCs w:val="18"/>
                <w:lang w:val="en-US"/>
              </w:rPr>
            </w:pPr>
            <w:r>
              <w:rPr>
                <w:rFonts w:asciiTheme="majorBidi" w:hAnsiTheme="majorBidi" w:cstheme="majorBidi"/>
                <w:sz w:val="18"/>
                <w:szCs w:val="18"/>
                <w:lang w:val="en-US"/>
              </w:rPr>
              <w:t>1 (2.3)</w:t>
            </w:r>
          </w:p>
        </w:tc>
        <w:tc>
          <w:tcPr>
            <w:tcW w:w="607" w:type="pct"/>
          </w:tcPr>
          <w:p w14:paraId="557ECB0F" w14:textId="77777777" w:rsidR="00407FEA" w:rsidRPr="00DE61C5" w:rsidRDefault="00740676" w:rsidP="00B3638C">
            <w:pPr>
              <w:jc w:val="center"/>
              <w:rPr>
                <w:rFonts w:asciiTheme="majorBidi" w:hAnsiTheme="majorBidi" w:cstheme="majorBidi"/>
                <w:sz w:val="18"/>
                <w:szCs w:val="18"/>
                <w:lang w:val="en-US"/>
              </w:rPr>
            </w:pPr>
            <w:r>
              <w:rPr>
                <w:rFonts w:asciiTheme="majorBidi" w:hAnsiTheme="majorBidi" w:cstheme="majorBidi"/>
                <w:sz w:val="18"/>
                <w:szCs w:val="18"/>
                <w:lang w:val="en-US"/>
              </w:rPr>
              <w:t>13 (30.3)</w:t>
            </w:r>
          </w:p>
        </w:tc>
        <w:tc>
          <w:tcPr>
            <w:tcW w:w="530" w:type="pct"/>
          </w:tcPr>
          <w:p w14:paraId="7C40F3EF" w14:textId="77777777" w:rsidR="00407FEA" w:rsidRPr="00DE61C5" w:rsidRDefault="00740676" w:rsidP="00B3638C">
            <w:pPr>
              <w:jc w:val="center"/>
              <w:rPr>
                <w:rFonts w:asciiTheme="majorBidi" w:hAnsiTheme="majorBidi" w:cstheme="majorBidi"/>
                <w:sz w:val="18"/>
                <w:szCs w:val="18"/>
                <w:lang w:val="en-US"/>
              </w:rPr>
            </w:pPr>
            <w:r>
              <w:rPr>
                <w:rFonts w:asciiTheme="majorBidi" w:hAnsiTheme="majorBidi" w:cstheme="majorBidi"/>
                <w:sz w:val="18"/>
                <w:szCs w:val="18"/>
                <w:lang w:val="en-US"/>
              </w:rPr>
              <w:t>29 (</w:t>
            </w:r>
            <w:r w:rsidR="00407FEA" w:rsidRPr="00DE61C5">
              <w:rPr>
                <w:rFonts w:asciiTheme="majorBidi" w:hAnsiTheme="majorBidi" w:cstheme="majorBidi"/>
                <w:sz w:val="18"/>
                <w:szCs w:val="18"/>
                <w:lang w:val="en-US"/>
              </w:rPr>
              <w:t>67.5</w:t>
            </w:r>
            <w:r>
              <w:rPr>
                <w:rFonts w:asciiTheme="majorBidi" w:hAnsiTheme="majorBidi" w:cstheme="majorBidi"/>
                <w:sz w:val="18"/>
                <w:szCs w:val="18"/>
                <w:lang w:val="en-US"/>
              </w:rPr>
              <w:t>)</w:t>
            </w:r>
          </w:p>
        </w:tc>
        <w:tc>
          <w:tcPr>
            <w:tcW w:w="530" w:type="pct"/>
          </w:tcPr>
          <w:p w14:paraId="62DB10D5" w14:textId="77777777" w:rsidR="00407FEA" w:rsidRPr="00DE61C5" w:rsidRDefault="00407FEA" w:rsidP="00407FEA">
            <w:pPr>
              <w:jc w:val="center"/>
              <w:rPr>
                <w:rFonts w:asciiTheme="majorBidi" w:hAnsiTheme="majorBidi" w:cstheme="majorBidi"/>
                <w:sz w:val="18"/>
                <w:szCs w:val="18"/>
                <w:lang w:val="en-US"/>
              </w:rPr>
            </w:pPr>
            <w:r w:rsidRPr="00DE61C5">
              <w:rPr>
                <w:rFonts w:asciiTheme="majorBidi" w:hAnsiTheme="majorBidi" w:cstheme="majorBidi"/>
                <w:sz w:val="18"/>
                <w:szCs w:val="18"/>
                <w:lang w:val="en-US"/>
              </w:rPr>
              <w:t>Out</w:t>
            </w:r>
          </w:p>
        </w:tc>
      </w:tr>
      <w:tr w:rsidR="00407FEA" w:rsidRPr="00DE61C5" w14:paraId="51C34928" w14:textId="77777777" w:rsidTr="00480C97">
        <w:trPr>
          <w:trHeight w:val="317"/>
        </w:trPr>
        <w:tc>
          <w:tcPr>
            <w:tcW w:w="2729" w:type="pct"/>
            <w:gridSpan w:val="2"/>
          </w:tcPr>
          <w:p w14:paraId="6A6BBFBC" w14:textId="77777777" w:rsidR="00407FEA" w:rsidRPr="00DE61C5" w:rsidRDefault="00407FEA" w:rsidP="003A34DD">
            <w:pPr>
              <w:pStyle w:val="Lijstalinea"/>
              <w:numPr>
                <w:ilvl w:val="0"/>
                <w:numId w:val="1"/>
              </w:numPr>
              <w:spacing w:line="360" w:lineRule="auto"/>
              <w:ind w:left="357" w:hanging="357"/>
              <w:jc w:val="both"/>
              <w:rPr>
                <w:rFonts w:asciiTheme="majorBidi" w:hAnsiTheme="majorBidi" w:cstheme="majorBidi"/>
                <w:b/>
                <w:bCs/>
                <w:sz w:val="18"/>
                <w:szCs w:val="18"/>
                <w:lang w:val="en-US"/>
              </w:rPr>
            </w:pPr>
            <w:r w:rsidRPr="00DE61C5">
              <w:rPr>
                <w:rFonts w:asciiTheme="majorBidi" w:hAnsiTheme="majorBidi" w:cstheme="majorBidi"/>
                <w:b/>
                <w:bCs/>
                <w:sz w:val="18"/>
                <w:szCs w:val="18"/>
                <w:lang w:val="en-US"/>
              </w:rPr>
              <w:t>Itching</w:t>
            </w:r>
          </w:p>
          <w:p w14:paraId="42A78229" w14:textId="77777777" w:rsidR="00407FEA" w:rsidRPr="003A34DD" w:rsidRDefault="00407FEA" w:rsidP="003A34DD">
            <w:pPr>
              <w:spacing w:after="60"/>
              <w:jc w:val="both"/>
              <w:rPr>
                <w:rFonts w:asciiTheme="majorBidi" w:hAnsiTheme="majorBidi" w:cstheme="majorBidi"/>
                <w:sz w:val="18"/>
                <w:szCs w:val="18"/>
                <w:lang w:val="en-US"/>
              </w:rPr>
            </w:pPr>
            <w:r w:rsidRPr="00DE61C5">
              <w:rPr>
                <w:rFonts w:asciiTheme="majorBidi" w:hAnsiTheme="majorBidi" w:cstheme="majorBidi"/>
                <w:b/>
                <w:bCs/>
                <w:sz w:val="18"/>
                <w:szCs w:val="18"/>
                <w:lang w:val="en-US"/>
              </w:rPr>
              <w:t>Itching</w:t>
            </w:r>
            <w:r w:rsidRPr="00DE61C5">
              <w:rPr>
                <w:rFonts w:asciiTheme="majorBidi" w:hAnsiTheme="majorBidi" w:cstheme="majorBidi"/>
                <w:sz w:val="18"/>
                <w:szCs w:val="18"/>
                <w:lang w:val="en-US"/>
              </w:rPr>
              <w:t xml:space="preserve"> is defined as the unpleasant cutaneous sensation which provokes the desire to </w:t>
            </w:r>
            <w:r w:rsidR="003A34DD">
              <w:rPr>
                <w:rFonts w:asciiTheme="majorBidi" w:hAnsiTheme="majorBidi" w:cstheme="majorBidi"/>
                <w:sz w:val="18"/>
                <w:szCs w:val="18"/>
                <w:lang w:val="en-US"/>
              </w:rPr>
              <w:t>scratch (Ständer et al., 2007).</w:t>
            </w:r>
          </w:p>
        </w:tc>
        <w:tc>
          <w:tcPr>
            <w:tcW w:w="604" w:type="pct"/>
          </w:tcPr>
          <w:p w14:paraId="2F394A31" w14:textId="77777777" w:rsidR="00407FEA" w:rsidRPr="00DE61C5" w:rsidRDefault="00740676" w:rsidP="00B3638C">
            <w:pPr>
              <w:jc w:val="center"/>
              <w:rPr>
                <w:rFonts w:asciiTheme="majorBidi" w:hAnsiTheme="majorBidi" w:cstheme="majorBidi"/>
                <w:sz w:val="18"/>
                <w:szCs w:val="18"/>
                <w:lang w:val="en-US"/>
              </w:rPr>
            </w:pPr>
            <w:r>
              <w:rPr>
                <w:rFonts w:asciiTheme="majorBidi" w:hAnsiTheme="majorBidi" w:cstheme="majorBidi"/>
                <w:sz w:val="18"/>
                <w:szCs w:val="18"/>
                <w:lang w:val="en-US"/>
              </w:rPr>
              <w:t>5 (11.7)</w:t>
            </w:r>
          </w:p>
        </w:tc>
        <w:tc>
          <w:tcPr>
            <w:tcW w:w="607" w:type="pct"/>
          </w:tcPr>
          <w:p w14:paraId="43E017D6" w14:textId="77777777" w:rsidR="00407FEA" w:rsidRPr="00DE61C5" w:rsidRDefault="00740676" w:rsidP="00B3638C">
            <w:pPr>
              <w:jc w:val="center"/>
              <w:rPr>
                <w:rFonts w:asciiTheme="majorBidi" w:hAnsiTheme="majorBidi" w:cstheme="majorBidi"/>
                <w:sz w:val="18"/>
                <w:szCs w:val="18"/>
                <w:lang w:val="en-US"/>
              </w:rPr>
            </w:pPr>
            <w:r>
              <w:rPr>
                <w:rFonts w:asciiTheme="majorBidi" w:hAnsiTheme="majorBidi" w:cstheme="majorBidi"/>
                <w:sz w:val="18"/>
                <w:szCs w:val="18"/>
                <w:lang w:val="en-US"/>
              </w:rPr>
              <w:t>13 (30.3)</w:t>
            </w:r>
          </w:p>
        </w:tc>
        <w:tc>
          <w:tcPr>
            <w:tcW w:w="530" w:type="pct"/>
          </w:tcPr>
          <w:p w14:paraId="06FF4503" w14:textId="77777777" w:rsidR="00407FEA" w:rsidRPr="00DE61C5" w:rsidRDefault="00740676" w:rsidP="00B3638C">
            <w:pPr>
              <w:jc w:val="center"/>
              <w:rPr>
                <w:rFonts w:asciiTheme="majorBidi" w:hAnsiTheme="majorBidi" w:cstheme="majorBidi"/>
                <w:sz w:val="18"/>
                <w:szCs w:val="18"/>
                <w:lang w:val="en-US"/>
              </w:rPr>
            </w:pPr>
            <w:r>
              <w:rPr>
                <w:rFonts w:asciiTheme="majorBidi" w:hAnsiTheme="majorBidi" w:cstheme="majorBidi"/>
                <w:sz w:val="18"/>
                <w:szCs w:val="18"/>
                <w:lang w:val="en-US"/>
              </w:rPr>
              <w:t>25 (</w:t>
            </w:r>
            <w:r w:rsidR="00407FEA" w:rsidRPr="00DE61C5">
              <w:rPr>
                <w:rFonts w:asciiTheme="majorBidi" w:hAnsiTheme="majorBidi" w:cstheme="majorBidi"/>
                <w:sz w:val="18"/>
                <w:szCs w:val="18"/>
                <w:lang w:val="en-US"/>
              </w:rPr>
              <w:t>58.2</w:t>
            </w:r>
            <w:r>
              <w:rPr>
                <w:rFonts w:asciiTheme="majorBidi" w:hAnsiTheme="majorBidi" w:cstheme="majorBidi"/>
                <w:sz w:val="18"/>
                <w:szCs w:val="18"/>
                <w:lang w:val="en-US"/>
              </w:rPr>
              <w:t>)</w:t>
            </w:r>
          </w:p>
        </w:tc>
        <w:tc>
          <w:tcPr>
            <w:tcW w:w="530" w:type="pct"/>
          </w:tcPr>
          <w:p w14:paraId="0A073685" w14:textId="77777777" w:rsidR="00407FEA" w:rsidRPr="00DE61C5" w:rsidRDefault="00407FEA" w:rsidP="00407FEA">
            <w:pPr>
              <w:jc w:val="center"/>
              <w:rPr>
                <w:rFonts w:asciiTheme="majorBidi" w:hAnsiTheme="majorBidi" w:cstheme="majorBidi"/>
                <w:sz w:val="18"/>
                <w:szCs w:val="18"/>
                <w:lang w:val="en-US"/>
              </w:rPr>
            </w:pPr>
            <w:r w:rsidRPr="00DE61C5">
              <w:rPr>
                <w:rFonts w:asciiTheme="majorBidi" w:hAnsiTheme="majorBidi" w:cstheme="majorBidi"/>
                <w:sz w:val="18"/>
                <w:szCs w:val="18"/>
                <w:lang w:val="en-US"/>
              </w:rPr>
              <w:t>Out</w:t>
            </w:r>
          </w:p>
        </w:tc>
      </w:tr>
      <w:tr w:rsidR="00407FEA" w:rsidRPr="00DE61C5" w14:paraId="5ECB7D72" w14:textId="77777777" w:rsidTr="00480C97">
        <w:trPr>
          <w:trHeight w:val="317"/>
        </w:trPr>
        <w:tc>
          <w:tcPr>
            <w:tcW w:w="2729" w:type="pct"/>
            <w:gridSpan w:val="2"/>
          </w:tcPr>
          <w:p w14:paraId="4BDA7040" w14:textId="77777777" w:rsidR="00407FEA" w:rsidRPr="00DE61C5" w:rsidRDefault="00407FEA" w:rsidP="003A34DD">
            <w:pPr>
              <w:pStyle w:val="Lijstalinea"/>
              <w:numPr>
                <w:ilvl w:val="0"/>
                <w:numId w:val="1"/>
              </w:numPr>
              <w:spacing w:line="360" w:lineRule="auto"/>
              <w:ind w:left="357" w:hanging="357"/>
              <w:jc w:val="both"/>
              <w:rPr>
                <w:rFonts w:asciiTheme="majorBidi" w:hAnsiTheme="majorBidi" w:cstheme="majorBidi"/>
                <w:b/>
                <w:bCs/>
                <w:sz w:val="18"/>
                <w:szCs w:val="18"/>
                <w:lang w:val="en-US"/>
              </w:rPr>
            </w:pPr>
            <w:r w:rsidRPr="00DE61C5">
              <w:rPr>
                <w:rFonts w:asciiTheme="majorBidi" w:hAnsiTheme="majorBidi" w:cstheme="majorBidi"/>
                <w:b/>
                <w:bCs/>
                <w:sz w:val="18"/>
                <w:szCs w:val="18"/>
                <w:lang w:val="en-US"/>
              </w:rPr>
              <w:t>Maceration</w:t>
            </w:r>
          </w:p>
          <w:p w14:paraId="16113699" w14:textId="77777777" w:rsidR="00407FEA" w:rsidRPr="003A34DD" w:rsidRDefault="00407FEA" w:rsidP="003A34DD">
            <w:pPr>
              <w:spacing w:after="60"/>
              <w:jc w:val="both"/>
              <w:rPr>
                <w:rFonts w:asciiTheme="majorBidi" w:hAnsiTheme="majorBidi" w:cstheme="majorBidi"/>
                <w:sz w:val="18"/>
                <w:szCs w:val="18"/>
                <w:lang w:val="en-US"/>
              </w:rPr>
            </w:pPr>
            <w:r w:rsidRPr="00DE61C5">
              <w:rPr>
                <w:rFonts w:asciiTheme="majorBidi" w:hAnsiTheme="majorBidi" w:cstheme="majorBidi"/>
                <w:b/>
                <w:bCs/>
                <w:sz w:val="18"/>
                <w:szCs w:val="18"/>
                <w:lang w:val="en-US"/>
              </w:rPr>
              <w:t>Maceration</w:t>
            </w:r>
            <w:r w:rsidRPr="00DE61C5">
              <w:rPr>
                <w:rFonts w:asciiTheme="majorBidi" w:hAnsiTheme="majorBidi" w:cstheme="majorBidi"/>
                <w:sz w:val="18"/>
                <w:szCs w:val="18"/>
                <w:lang w:val="en-US"/>
              </w:rPr>
              <w:t xml:space="preserve"> is defined as the softening and subsequent breakdown of skin characterized by a whitened appearance and swelling caused by prolonged exposure to moisture (Ichikawa-Shigeta et </w:t>
            </w:r>
            <w:r w:rsidR="003A34DD">
              <w:rPr>
                <w:rFonts w:asciiTheme="majorBidi" w:hAnsiTheme="majorBidi" w:cstheme="majorBidi"/>
                <w:sz w:val="18"/>
                <w:szCs w:val="18"/>
                <w:lang w:val="en-US"/>
              </w:rPr>
              <w:t>al. 2014; Mugita et al., 2015).</w:t>
            </w:r>
          </w:p>
        </w:tc>
        <w:tc>
          <w:tcPr>
            <w:tcW w:w="604" w:type="pct"/>
          </w:tcPr>
          <w:p w14:paraId="2D683BEA" w14:textId="77777777" w:rsidR="00407FEA" w:rsidRPr="00DE61C5" w:rsidRDefault="00740676" w:rsidP="00B3638C">
            <w:pPr>
              <w:jc w:val="center"/>
              <w:rPr>
                <w:rFonts w:asciiTheme="majorBidi" w:hAnsiTheme="majorBidi" w:cstheme="majorBidi"/>
                <w:sz w:val="18"/>
                <w:szCs w:val="18"/>
                <w:lang w:val="en-US"/>
              </w:rPr>
            </w:pPr>
            <w:r>
              <w:rPr>
                <w:rFonts w:asciiTheme="majorBidi" w:hAnsiTheme="majorBidi" w:cstheme="majorBidi"/>
                <w:sz w:val="18"/>
                <w:szCs w:val="18"/>
                <w:lang w:val="en-US"/>
              </w:rPr>
              <w:t>3 (7.0)</w:t>
            </w:r>
          </w:p>
        </w:tc>
        <w:tc>
          <w:tcPr>
            <w:tcW w:w="607" w:type="pct"/>
          </w:tcPr>
          <w:p w14:paraId="12CF398E" w14:textId="77777777" w:rsidR="00407FEA" w:rsidRPr="00DE61C5" w:rsidRDefault="00740676" w:rsidP="00B3638C">
            <w:pPr>
              <w:jc w:val="center"/>
              <w:rPr>
                <w:rFonts w:asciiTheme="majorBidi" w:hAnsiTheme="majorBidi" w:cstheme="majorBidi"/>
                <w:sz w:val="18"/>
                <w:szCs w:val="18"/>
                <w:lang w:val="en-US"/>
              </w:rPr>
            </w:pPr>
            <w:r>
              <w:rPr>
                <w:rFonts w:asciiTheme="majorBidi" w:hAnsiTheme="majorBidi" w:cstheme="majorBidi"/>
                <w:sz w:val="18"/>
                <w:szCs w:val="18"/>
                <w:lang w:val="en-US"/>
              </w:rPr>
              <w:t>3 (6.9)</w:t>
            </w:r>
          </w:p>
        </w:tc>
        <w:tc>
          <w:tcPr>
            <w:tcW w:w="530" w:type="pct"/>
          </w:tcPr>
          <w:p w14:paraId="32DFC33F" w14:textId="77777777" w:rsidR="00407FEA" w:rsidRPr="00DE61C5" w:rsidRDefault="00740676" w:rsidP="00B3638C">
            <w:pPr>
              <w:jc w:val="center"/>
              <w:rPr>
                <w:rFonts w:asciiTheme="majorBidi" w:hAnsiTheme="majorBidi" w:cstheme="majorBidi"/>
                <w:sz w:val="18"/>
                <w:szCs w:val="18"/>
                <w:lang w:val="en-US"/>
              </w:rPr>
            </w:pPr>
            <w:r>
              <w:rPr>
                <w:rFonts w:asciiTheme="majorBidi" w:hAnsiTheme="majorBidi" w:cstheme="majorBidi"/>
                <w:sz w:val="18"/>
                <w:szCs w:val="18"/>
                <w:lang w:val="en-US"/>
              </w:rPr>
              <w:t>37 (</w:t>
            </w:r>
            <w:r w:rsidR="00407FEA" w:rsidRPr="00DE61C5">
              <w:rPr>
                <w:rFonts w:asciiTheme="majorBidi" w:hAnsiTheme="majorBidi" w:cstheme="majorBidi"/>
                <w:sz w:val="18"/>
                <w:szCs w:val="18"/>
                <w:lang w:val="en-US"/>
              </w:rPr>
              <w:t>86.1</w:t>
            </w:r>
            <w:r>
              <w:rPr>
                <w:rFonts w:asciiTheme="majorBidi" w:hAnsiTheme="majorBidi" w:cstheme="majorBidi"/>
                <w:sz w:val="18"/>
                <w:szCs w:val="18"/>
                <w:lang w:val="en-US"/>
              </w:rPr>
              <w:t>)</w:t>
            </w:r>
          </w:p>
        </w:tc>
        <w:tc>
          <w:tcPr>
            <w:tcW w:w="530" w:type="pct"/>
          </w:tcPr>
          <w:p w14:paraId="4D520660" w14:textId="77777777" w:rsidR="00407FEA" w:rsidRPr="00DE61C5" w:rsidRDefault="00407FEA" w:rsidP="00407FEA">
            <w:pPr>
              <w:jc w:val="center"/>
              <w:rPr>
                <w:rFonts w:asciiTheme="majorBidi" w:hAnsiTheme="majorBidi" w:cstheme="majorBidi"/>
                <w:sz w:val="18"/>
                <w:szCs w:val="18"/>
                <w:lang w:val="en-US"/>
              </w:rPr>
            </w:pPr>
            <w:r w:rsidRPr="00DE61C5">
              <w:rPr>
                <w:rFonts w:asciiTheme="majorBidi" w:hAnsiTheme="majorBidi" w:cstheme="majorBidi"/>
                <w:sz w:val="18"/>
                <w:szCs w:val="18"/>
                <w:lang w:val="en-US"/>
              </w:rPr>
              <w:t>In</w:t>
            </w:r>
          </w:p>
        </w:tc>
      </w:tr>
      <w:tr w:rsidR="00407FEA" w:rsidRPr="00DE61C5" w14:paraId="5E5D4631" w14:textId="77777777" w:rsidTr="00480C97">
        <w:trPr>
          <w:trHeight w:val="317"/>
        </w:trPr>
        <w:tc>
          <w:tcPr>
            <w:tcW w:w="2729" w:type="pct"/>
            <w:gridSpan w:val="2"/>
          </w:tcPr>
          <w:p w14:paraId="3F985FD2" w14:textId="77777777" w:rsidR="00407FEA" w:rsidRPr="00DE61C5" w:rsidRDefault="00407FEA" w:rsidP="003A34DD">
            <w:pPr>
              <w:pStyle w:val="Lijstalinea"/>
              <w:numPr>
                <w:ilvl w:val="0"/>
                <w:numId w:val="1"/>
              </w:numPr>
              <w:spacing w:line="360" w:lineRule="auto"/>
              <w:ind w:left="357" w:hanging="357"/>
              <w:jc w:val="both"/>
              <w:rPr>
                <w:rFonts w:asciiTheme="majorBidi" w:hAnsiTheme="majorBidi" w:cstheme="majorBidi"/>
                <w:b/>
                <w:bCs/>
                <w:sz w:val="18"/>
                <w:szCs w:val="18"/>
                <w:lang w:val="en-US"/>
              </w:rPr>
            </w:pPr>
            <w:r w:rsidRPr="00DE61C5">
              <w:rPr>
                <w:rFonts w:asciiTheme="majorBidi" w:hAnsiTheme="majorBidi" w:cstheme="majorBidi"/>
                <w:b/>
                <w:bCs/>
                <w:sz w:val="18"/>
                <w:szCs w:val="18"/>
                <w:lang w:val="en-US"/>
              </w:rPr>
              <w:t>Pain</w:t>
            </w:r>
          </w:p>
          <w:p w14:paraId="53A0DA39" w14:textId="77777777" w:rsidR="00407FEA" w:rsidRPr="003A34DD" w:rsidRDefault="00407FEA" w:rsidP="003A34DD">
            <w:pPr>
              <w:spacing w:after="60"/>
              <w:jc w:val="both"/>
              <w:rPr>
                <w:rFonts w:asciiTheme="majorBidi" w:hAnsiTheme="majorBidi" w:cstheme="majorBidi"/>
                <w:sz w:val="18"/>
                <w:szCs w:val="18"/>
                <w:lang w:val="en-US"/>
              </w:rPr>
            </w:pPr>
            <w:r w:rsidRPr="00DE61C5">
              <w:rPr>
                <w:rFonts w:asciiTheme="majorBidi" w:hAnsiTheme="majorBidi" w:cstheme="majorBidi"/>
                <w:b/>
                <w:bCs/>
                <w:sz w:val="18"/>
                <w:szCs w:val="18"/>
                <w:lang w:val="en-US"/>
              </w:rPr>
              <w:t>Pain</w:t>
            </w:r>
            <w:r w:rsidRPr="00DE61C5">
              <w:rPr>
                <w:rFonts w:asciiTheme="majorBidi" w:hAnsiTheme="majorBidi" w:cstheme="majorBidi"/>
                <w:sz w:val="18"/>
                <w:szCs w:val="18"/>
                <w:lang w:val="en-US"/>
              </w:rPr>
              <w:t xml:space="preserve"> is defined as the magnitude and frequency of how much a patient hurts at the affected area. Pain can be expressed by the patient as</w:t>
            </w:r>
            <w:r w:rsidR="003A34DD">
              <w:rPr>
                <w:rFonts w:asciiTheme="majorBidi" w:hAnsiTheme="majorBidi" w:cstheme="majorBidi"/>
                <w:sz w:val="18"/>
                <w:szCs w:val="18"/>
                <w:lang w:val="en-US"/>
              </w:rPr>
              <w:t xml:space="preserve"> stinging, tingling of burning.</w:t>
            </w:r>
          </w:p>
        </w:tc>
        <w:tc>
          <w:tcPr>
            <w:tcW w:w="604" w:type="pct"/>
          </w:tcPr>
          <w:p w14:paraId="5CE09BDD" w14:textId="77777777" w:rsidR="00407FEA" w:rsidRPr="00DE61C5" w:rsidRDefault="00740676" w:rsidP="00B3638C">
            <w:pPr>
              <w:jc w:val="center"/>
              <w:rPr>
                <w:rFonts w:asciiTheme="majorBidi" w:hAnsiTheme="majorBidi" w:cstheme="majorBidi"/>
                <w:sz w:val="18"/>
                <w:szCs w:val="18"/>
                <w:lang w:val="en-US"/>
              </w:rPr>
            </w:pPr>
            <w:r>
              <w:rPr>
                <w:rFonts w:asciiTheme="majorBidi" w:hAnsiTheme="majorBidi" w:cstheme="majorBidi"/>
                <w:sz w:val="18"/>
                <w:szCs w:val="18"/>
                <w:lang w:val="en-US"/>
              </w:rPr>
              <w:t>0 (0.0)</w:t>
            </w:r>
          </w:p>
        </w:tc>
        <w:tc>
          <w:tcPr>
            <w:tcW w:w="607" w:type="pct"/>
          </w:tcPr>
          <w:p w14:paraId="2FC8615A" w14:textId="77777777" w:rsidR="00407FEA" w:rsidRPr="00DE61C5" w:rsidRDefault="00740676" w:rsidP="00B3638C">
            <w:pPr>
              <w:jc w:val="center"/>
              <w:rPr>
                <w:rFonts w:asciiTheme="majorBidi" w:hAnsiTheme="majorBidi" w:cstheme="majorBidi"/>
                <w:sz w:val="18"/>
                <w:szCs w:val="18"/>
                <w:lang w:val="en-US"/>
              </w:rPr>
            </w:pPr>
            <w:r>
              <w:rPr>
                <w:rFonts w:asciiTheme="majorBidi" w:hAnsiTheme="majorBidi" w:cstheme="majorBidi"/>
                <w:sz w:val="18"/>
                <w:szCs w:val="18"/>
                <w:lang w:val="en-US"/>
              </w:rPr>
              <w:t>5 (11.7)</w:t>
            </w:r>
          </w:p>
        </w:tc>
        <w:tc>
          <w:tcPr>
            <w:tcW w:w="530" w:type="pct"/>
          </w:tcPr>
          <w:p w14:paraId="354B7B09" w14:textId="77777777" w:rsidR="00407FEA" w:rsidRPr="00DE61C5" w:rsidRDefault="00740676" w:rsidP="00B3638C">
            <w:pPr>
              <w:jc w:val="center"/>
              <w:rPr>
                <w:rFonts w:asciiTheme="majorBidi" w:hAnsiTheme="majorBidi" w:cstheme="majorBidi"/>
                <w:sz w:val="18"/>
                <w:szCs w:val="18"/>
                <w:lang w:val="en-US"/>
              </w:rPr>
            </w:pPr>
            <w:r>
              <w:rPr>
                <w:rFonts w:asciiTheme="majorBidi" w:hAnsiTheme="majorBidi" w:cstheme="majorBidi"/>
                <w:sz w:val="18"/>
                <w:szCs w:val="18"/>
                <w:lang w:val="en-US"/>
              </w:rPr>
              <w:t>38 (</w:t>
            </w:r>
            <w:r w:rsidR="00407FEA" w:rsidRPr="00DE61C5">
              <w:rPr>
                <w:rFonts w:asciiTheme="majorBidi" w:hAnsiTheme="majorBidi" w:cstheme="majorBidi"/>
                <w:sz w:val="18"/>
                <w:szCs w:val="18"/>
                <w:lang w:val="en-US"/>
              </w:rPr>
              <w:t>88.4</w:t>
            </w:r>
            <w:r>
              <w:rPr>
                <w:rFonts w:asciiTheme="majorBidi" w:hAnsiTheme="majorBidi" w:cstheme="majorBidi"/>
                <w:sz w:val="18"/>
                <w:szCs w:val="18"/>
                <w:lang w:val="en-US"/>
              </w:rPr>
              <w:t>)</w:t>
            </w:r>
          </w:p>
        </w:tc>
        <w:tc>
          <w:tcPr>
            <w:tcW w:w="530" w:type="pct"/>
          </w:tcPr>
          <w:p w14:paraId="2BBBCABC" w14:textId="77777777" w:rsidR="00407FEA" w:rsidRPr="00DE61C5" w:rsidRDefault="00407FEA" w:rsidP="00407FEA">
            <w:pPr>
              <w:jc w:val="center"/>
              <w:rPr>
                <w:rFonts w:asciiTheme="majorBidi" w:hAnsiTheme="majorBidi" w:cstheme="majorBidi"/>
                <w:sz w:val="18"/>
                <w:szCs w:val="18"/>
                <w:lang w:val="en-US"/>
              </w:rPr>
            </w:pPr>
            <w:r w:rsidRPr="00DE61C5">
              <w:rPr>
                <w:rFonts w:asciiTheme="majorBidi" w:hAnsiTheme="majorBidi" w:cstheme="majorBidi"/>
                <w:sz w:val="18"/>
                <w:szCs w:val="18"/>
                <w:lang w:val="en-US"/>
              </w:rPr>
              <w:t>In</w:t>
            </w:r>
          </w:p>
        </w:tc>
      </w:tr>
      <w:tr w:rsidR="00383931" w:rsidRPr="00DE61C5" w14:paraId="447F871C" w14:textId="77777777" w:rsidTr="00480C97">
        <w:trPr>
          <w:trHeight w:val="317"/>
        </w:trPr>
        <w:tc>
          <w:tcPr>
            <w:tcW w:w="2729" w:type="pct"/>
            <w:gridSpan w:val="2"/>
            <w:tcBorders>
              <w:bottom w:val="single" w:sz="4" w:space="0" w:color="auto"/>
            </w:tcBorders>
          </w:tcPr>
          <w:p w14:paraId="3B5AB2F9" w14:textId="77777777" w:rsidR="00407FEA" w:rsidRPr="00DE61C5" w:rsidRDefault="00407FEA" w:rsidP="003A34DD">
            <w:pPr>
              <w:pStyle w:val="Lijstalinea"/>
              <w:numPr>
                <w:ilvl w:val="0"/>
                <w:numId w:val="1"/>
              </w:numPr>
              <w:spacing w:line="360" w:lineRule="auto"/>
              <w:ind w:left="357" w:hanging="357"/>
              <w:jc w:val="both"/>
              <w:rPr>
                <w:rFonts w:asciiTheme="majorBidi" w:hAnsiTheme="majorBidi" w:cstheme="majorBidi"/>
                <w:b/>
                <w:bCs/>
                <w:sz w:val="18"/>
                <w:szCs w:val="18"/>
                <w:lang w:val="en-US"/>
              </w:rPr>
            </w:pPr>
            <w:r w:rsidRPr="00DE61C5">
              <w:rPr>
                <w:rFonts w:asciiTheme="majorBidi" w:hAnsiTheme="majorBidi" w:cstheme="majorBidi"/>
                <w:b/>
                <w:bCs/>
                <w:sz w:val="18"/>
                <w:szCs w:val="18"/>
                <w:lang w:val="en-US"/>
              </w:rPr>
              <w:t>Patient satisfaction</w:t>
            </w:r>
          </w:p>
          <w:p w14:paraId="2190C6E3" w14:textId="77777777" w:rsidR="00407FEA" w:rsidRPr="003A34DD" w:rsidRDefault="00407FEA" w:rsidP="003A34DD">
            <w:pPr>
              <w:spacing w:after="60"/>
              <w:jc w:val="both"/>
              <w:rPr>
                <w:rFonts w:asciiTheme="majorBidi" w:hAnsiTheme="majorBidi" w:cstheme="majorBidi"/>
                <w:sz w:val="18"/>
                <w:szCs w:val="18"/>
                <w:lang w:val="en-US"/>
              </w:rPr>
            </w:pPr>
            <w:r w:rsidRPr="00DE61C5">
              <w:rPr>
                <w:rFonts w:asciiTheme="majorBidi" w:hAnsiTheme="majorBidi" w:cstheme="majorBidi"/>
                <w:b/>
                <w:bCs/>
                <w:sz w:val="18"/>
                <w:szCs w:val="18"/>
                <w:lang w:val="en-US"/>
              </w:rPr>
              <w:t>Patient satisfaction</w:t>
            </w:r>
            <w:r w:rsidRPr="00DE61C5">
              <w:rPr>
                <w:rFonts w:asciiTheme="majorBidi" w:hAnsiTheme="majorBidi" w:cstheme="majorBidi"/>
                <w:sz w:val="18"/>
                <w:szCs w:val="18"/>
                <w:lang w:val="en-US"/>
              </w:rPr>
              <w:t xml:space="preserve"> is defined as the degree to which the individual regards the health care service or product (the intervention) or the manner in which it is delivered by the provider as useful, effective, or benefici</w:t>
            </w:r>
            <w:r w:rsidR="003A34DD">
              <w:rPr>
                <w:rFonts w:asciiTheme="majorBidi" w:hAnsiTheme="majorBidi" w:cstheme="majorBidi"/>
                <w:sz w:val="18"/>
                <w:szCs w:val="18"/>
                <w:lang w:val="en-US"/>
              </w:rPr>
              <w:t>al (NCBI MeSH term definition).</w:t>
            </w:r>
          </w:p>
        </w:tc>
        <w:tc>
          <w:tcPr>
            <w:tcW w:w="604" w:type="pct"/>
            <w:tcBorders>
              <w:bottom w:val="single" w:sz="4" w:space="0" w:color="auto"/>
            </w:tcBorders>
          </w:tcPr>
          <w:p w14:paraId="4A2AB06E" w14:textId="77777777" w:rsidR="00407FEA" w:rsidRPr="00DE61C5" w:rsidRDefault="002B53E1" w:rsidP="00B3638C">
            <w:pPr>
              <w:jc w:val="center"/>
              <w:rPr>
                <w:rFonts w:asciiTheme="majorBidi" w:hAnsiTheme="majorBidi" w:cstheme="majorBidi"/>
                <w:sz w:val="18"/>
                <w:szCs w:val="18"/>
                <w:lang w:val="en-US"/>
              </w:rPr>
            </w:pPr>
            <w:r>
              <w:rPr>
                <w:rFonts w:asciiTheme="majorBidi" w:hAnsiTheme="majorBidi" w:cstheme="majorBidi"/>
                <w:sz w:val="18"/>
                <w:szCs w:val="18"/>
                <w:lang w:val="en-US"/>
              </w:rPr>
              <w:t>3 (7.0)</w:t>
            </w:r>
          </w:p>
        </w:tc>
        <w:tc>
          <w:tcPr>
            <w:tcW w:w="607" w:type="pct"/>
            <w:tcBorders>
              <w:bottom w:val="single" w:sz="4" w:space="0" w:color="auto"/>
            </w:tcBorders>
          </w:tcPr>
          <w:p w14:paraId="62BF4E1D" w14:textId="77777777" w:rsidR="00407FEA" w:rsidRPr="00DE61C5" w:rsidRDefault="002B53E1" w:rsidP="00B3638C">
            <w:pPr>
              <w:jc w:val="center"/>
              <w:rPr>
                <w:rFonts w:asciiTheme="majorBidi" w:hAnsiTheme="majorBidi" w:cstheme="majorBidi"/>
                <w:sz w:val="18"/>
                <w:szCs w:val="18"/>
                <w:lang w:val="en-US"/>
              </w:rPr>
            </w:pPr>
            <w:r>
              <w:rPr>
                <w:rFonts w:asciiTheme="majorBidi" w:hAnsiTheme="majorBidi" w:cstheme="majorBidi"/>
                <w:sz w:val="18"/>
                <w:szCs w:val="18"/>
                <w:lang w:val="en-US"/>
              </w:rPr>
              <w:t>6 (13.9)</w:t>
            </w:r>
          </w:p>
        </w:tc>
        <w:tc>
          <w:tcPr>
            <w:tcW w:w="530" w:type="pct"/>
            <w:tcBorders>
              <w:bottom w:val="single" w:sz="4" w:space="0" w:color="auto"/>
            </w:tcBorders>
          </w:tcPr>
          <w:p w14:paraId="6024ACCA" w14:textId="77777777" w:rsidR="00407FEA" w:rsidRPr="00DE61C5" w:rsidRDefault="002B53E1" w:rsidP="00B3638C">
            <w:pPr>
              <w:jc w:val="center"/>
              <w:rPr>
                <w:rFonts w:asciiTheme="majorBidi" w:hAnsiTheme="majorBidi" w:cstheme="majorBidi"/>
                <w:sz w:val="18"/>
                <w:szCs w:val="18"/>
                <w:lang w:val="en-US"/>
              </w:rPr>
            </w:pPr>
            <w:r>
              <w:rPr>
                <w:rFonts w:asciiTheme="majorBidi" w:hAnsiTheme="majorBidi" w:cstheme="majorBidi"/>
                <w:sz w:val="18"/>
                <w:szCs w:val="18"/>
                <w:lang w:val="en-US"/>
              </w:rPr>
              <w:t>34 (</w:t>
            </w:r>
            <w:r w:rsidR="00407FEA" w:rsidRPr="00DE61C5">
              <w:rPr>
                <w:rFonts w:asciiTheme="majorBidi" w:hAnsiTheme="majorBidi" w:cstheme="majorBidi"/>
                <w:sz w:val="18"/>
                <w:szCs w:val="18"/>
                <w:lang w:val="en-US"/>
              </w:rPr>
              <w:t>79.1</w:t>
            </w:r>
            <w:r>
              <w:rPr>
                <w:rFonts w:asciiTheme="majorBidi" w:hAnsiTheme="majorBidi" w:cstheme="majorBidi"/>
                <w:sz w:val="18"/>
                <w:szCs w:val="18"/>
                <w:lang w:val="en-US"/>
              </w:rPr>
              <w:t>)</w:t>
            </w:r>
          </w:p>
        </w:tc>
        <w:tc>
          <w:tcPr>
            <w:tcW w:w="530" w:type="pct"/>
            <w:tcBorders>
              <w:bottom w:val="single" w:sz="4" w:space="0" w:color="auto"/>
            </w:tcBorders>
          </w:tcPr>
          <w:p w14:paraId="7A059DB1" w14:textId="77777777" w:rsidR="00407FEA" w:rsidRPr="00DE61C5" w:rsidRDefault="00407FEA" w:rsidP="00407FEA">
            <w:pPr>
              <w:jc w:val="center"/>
              <w:rPr>
                <w:rFonts w:asciiTheme="majorBidi" w:hAnsiTheme="majorBidi" w:cstheme="majorBidi"/>
                <w:sz w:val="18"/>
                <w:szCs w:val="18"/>
                <w:lang w:val="en-US"/>
              </w:rPr>
            </w:pPr>
            <w:r w:rsidRPr="00DE61C5">
              <w:rPr>
                <w:rFonts w:asciiTheme="majorBidi" w:hAnsiTheme="majorBidi" w:cstheme="majorBidi"/>
                <w:sz w:val="18"/>
                <w:szCs w:val="18"/>
                <w:lang w:val="en-US"/>
              </w:rPr>
              <w:t>In</w:t>
            </w:r>
          </w:p>
        </w:tc>
      </w:tr>
      <w:tr w:rsidR="00DC7F1D" w:rsidRPr="001418D7" w14:paraId="22620247" w14:textId="77777777" w:rsidTr="00383931">
        <w:trPr>
          <w:trHeight w:val="317"/>
        </w:trPr>
        <w:tc>
          <w:tcPr>
            <w:tcW w:w="5000" w:type="pct"/>
            <w:gridSpan w:val="6"/>
            <w:tcBorders>
              <w:top w:val="single" w:sz="4" w:space="0" w:color="auto"/>
            </w:tcBorders>
          </w:tcPr>
          <w:p w14:paraId="6B6F2818" w14:textId="172C1630" w:rsidR="00DC7F1D" w:rsidRPr="00DE61C5" w:rsidRDefault="001418D7" w:rsidP="00317369">
            <w:pPr>
              <w:jc w:val="both"/>
              <w:rPr>
                <w:rFonts w:asciiTheme="majorBidi" w:hAnsiTheme="majorBidi" w:cstheme="majorBidi"/>
                <w:sz w:val="18"/>
                <w:szCs w:val="18"/>
                <w:lang w:val="en-US"/>
              </w:rPr>
            </w:pPr>
            <w:r w:rsidRPr="00317369">
              <w:rPr>
                <w:rFonts w:asciiTheme="majorBidi" w:hAnsiTheme="majorBidi" w:cstheme="majorBidi"/>
                <w:color w:val="FF0000"/>
                <w:sz w:val="18"/>
                <w:szCs w:val="18"/>
                <w:lang w:val="en-US"/>
              </w:rPr>
              <w:t xml:space="preserve">IAD, incontinence-associated dermatitis. </w:t>
            </w:r>
            <w:r w:rsidR="0038673B" w:rsidRPr="00317369">
              <w:rPr>
                <w:rFonts w:asciiTheme="majorBidi" w:hAnsiTheme="majorBidi" w:cstheme="majorBidi"/>
                <w:sz w:val="18"/>
                <w:szCs w:val="18"/>
                <w:lang w:val="en-US"/>
              </w:rPr>
              <w:t>†</w:t>
            </w:r>
            <w:r w:rsidR="002C4695" w:rsidRPr="00317369">
              <w:rPr>
                <w:rFonts w:asciiTheme="majorBidi" w:hAnsiTheme="majorBidi" w:cstheme="majorBidi"/>
                <w:sz w:val="18"/>
                <w:szCs w:val="18"/>
                <w:lang w:val="en-US"/>
              </w:rPr>
              <w:t xml:space="preserve"> 9-point scale [from ‘not important for inclusion’ to ‘critical, should be included in a COS for IAD’]. ‡ 70% of panelists rate the outcome as ‘critical for inclusion’.</w:t>
            </w:r>
          </w:p>
        </w:tc>
      </w:tr>
    </w:tbl>
    <w:p w14:paraId="24FE2474" w14:textId="2E61B179" w:rsidR="00617EBB" w:rsidRPr="00DE61C5" w:rsidRDefault="00617EBB" w:rsidP="00617EBB">
      <w:pPr>
        <w:rPr>
          <w:lang w:val="en-US"/>
        </w:rPr>
      </w:pPr>
      <w:bookmarkStart w:id="0" w:name="_GoBack"/>
      <w:bookmarkEnd w:id="0"/>
    </w:p>
    <w:sectPr w:rsidR="00617EBB" w:rsidRPr="00DE61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EF57C" w14:textId="77777777" w:rsidR="00CB42DC" w:rsidRDefault="00CB42DC" w:rsidP="00E53BD0">
      <w:pPr>
        <w:spacing w:after="0" w:line="240" w:lineRule="auto"/>
      </w:pPr>
      <w:r>
        <w:separator/>
      </w:r>
    </w:p>
  </w:endnote>
  <w:endnote w:type="continuationSeparator" w:id="0">
    <w:p w14:paraId="33D25BF2" w14:textId="77777777" w:rsidR="00CB42DC" w:rsidRDefault="00CB42DC" w:rsidP="00E5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D3EF1" w14:textId="77777777" w:rsidR="00CB42DC" w:rsidRDefault="00CB42DC" w:rsidP="00E53BD0">
      <w:pPr>
        <w:spacing w:after="0" w:line="240" w:lineRule="auto"/>
      </w:pPr>
      <w:r>
        <w:separator/>
      </w:r>
    </w:p>
  </w:footnote>
  <w:footnote w:type="continuationSeparator" w:id="0">
    <w:p w14:paraId="7966C708" w14:textId="77777777" w:rsidR="00CB42DC" w:rsidRDefault="00CB42DC" w:rsidP="00E53B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718F5"/>
    <w:multiLevelType w:val="hybridMultilevel"/>
    <w:tmpl w:val="666CA418"/>
    <w:lvl w:ilvl="0" w:tplc="DC86A51E">
      <w:start w:val="1"/>
      <w:numFmt w:val="decimal"/>
      <w:lvlText w:val="%1."/>
      <w:lvlJc w:val="left"/>
      <w:pPr>
        <w:ind w:left="360" w:hanging="360"/>
      </w:pPr>
      <w:rPr>
        <w:rFonts w:hint="default"/>
        <w:b/>
        <w:bCs/>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B240C71"/>
    <w:multiLevelType w:val="hybridMultilevel"/>
    <w:tmpl w:val="666CA418"/>
    <w:lvl w:ilvl="0" w:tplc="DC86A51E">
      <w:start w:val="1"/>
      <w:numFmt w:val="decimal"/>
      <w:lvlText w:val="%1."/>
      <w:lvlJc w:val="left"/>
      <w:pPr>
        <w:ind w:left="360" w:hanging="360"/>
      </w:pPr>
      <w:rPr>
        <w:rFonts w:hint="default"/>
        <w:b/>
        <w:bCs/>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17403753"/>
    <w:multiLevelType w:val="hybridMultilevel"/>
    <w:tmpl w:val="D616BC74"/>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20662811"/>
    <w:multiLevelType w:val="hybridMultilevel"/>
    <w:tmpl w:val="BBE4A53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4090022"/>
    <w:multiLevelType w:val="hybridMultilevel"/>
    <w:tmpl w:val="C7940FCC"/>
    <w:lvl w:ilvl="0" w:tplc="7206D932">
      <w:start w:val="1"/>
      <w:numFmt w:val="decimal"/>
      <w:lvlText w:val="%1."/>
      <w:lvlJc w:val="left"/>
      <w:pPr>
        <w:ind w:left="360" w:hanging="360"/>
      </w:pPr>
      <w:rPr>
        <w:rFonts w:hint="default"/>
        <w:b/>
        <w:bCs/>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4A8B0460"/>
    <w:multiLevelType w:val="hybridMultilevel"/>
    <w:tmpl w:val="AC9EA428"/>
    <w:lvl w:ilvl="0" w:tplc="42FC3062">
      <w:start w:val="10"/>
      <w:numFmt w:val="bullet"/>
      <w:lvlText w:val=""/>
      <w:lvlJc w:val="left"/>
      <w:pPr>
        <w:ind w:left="720" w:hanging="360"/>
      </w:pPr>
      <w:rPr>
        <w:rFonts w:ascii="Symbol" w:eastAsiaTheme="minorHAnsi" w:hAnsi="Symbol" w:cstheme="maj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30D5141"/>
    <w:multiLevelType w:val="hybridMultilevel"/>
    <w:tmpl w:val="6644A72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544B798B"/>
    <w:multiLevelType w:val="hybridMultilevel"/>
    <w:tmpl w:val="1DB4ECD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5BA0400A"/>
    <w:multiLevelType w:val="hybridMultilevel"/>
    <w:tmpl w:val="C1B032E4"/>
    <w:lvl w:ilvl="0" w:tplc="4FA497AA">
      <w:start w:val="9"/>
      <w:numFmt w:val="bullet"/>
      <w:lvlText w:val=""/>
      <w:lvlJc w:val="left"/>
      <w:pPr>
        <w:ind w:left="720" w:hanging="360"/>
      </w:pPr>
      <w:rPr>
        <w:rFonts w:ascii="Symbol" w:eastAsiaTheme="minorHAnsi" w:hAnsi="Symbol" w:cstheme="maj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7"/>
  </w:num>
  <w:num w:numId="5">
    <w:abstractNumId w:val="4"/>
  </w:num>
  <w:num w:numId="6">
    <w:abstractNumId w:val="0"/>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BAB"/>
    <w:rsid w:val="00001DC0"/>
    <w:rsid w:val="00005289"/>
    <w:rsid w:val="00010EE1"/>
    <w:rsid w:val="00011755"/>
    <w:rsid w:val="00020737"/>
    <w:rsid w:val="000211DA"/>
    <w:rsid w:val="00047C49"/>
    <w:rsid w:val="00051976"/>
    <w:rsid w:val="00081489"/>
    <w:rsid w:val="00095ED6"/>
    <w:rsid w:val="00111C4C"/>
    <w:rsid w:val="00125489"/>
    <w:rsid w:val="00126703"/>
    <w:rsid w:val="0013258C"/>
    <w:rsid w:val="00133664"/>
    <w:rsid w:val="001418D7"/>
    <w:rsid w:val="00150B92"/>
    <w:rsid w:val="00172252"/>
    <w:rsid w:val="001B1BAB"/>
    <w:rsid w:val="001D1DF2"/>
    <w:rsid w:val="001D2A6D"/>
    <w:rsid w:val="001E0E61"/>
    <w:rsid w:val="001F14D6"/>
    <w:rsid w:val="002233FE"/>
    <w:rsid w:val="0022544A"/>
    <w:rsid w:val="00234EB7"/>
    <w:rsid w:val="0023545F"/>
    <w:rsid w:val="002763EF"/>
    <w:rsid w:val="002A5D4B"/>
    <w:rsid w:val="002B53E1"/>
    <w:rsid w:val="002C4695"/>
    <w:rsid w:val="002E039F"/>
    <w:rsid w:val="002E43F8"/>
    <w:rsid w:val="00306C7D"/>
    <w:rsid w:val="00313261"/>
    <w:rsid w:val="00317369"/>
    <w:rsid w:val="00347C04"/>
    <w:rsid w:val="00347E4F"/>
    <w:rsid w:val="00351B7D"/>
    <w:rsid w:val="00362253"/>
    <w:rsid w:val="00363FCD"/>
    <w:rsid w:val="00365C5A"/>
    <w:rsid w:val="00383931"/>
    <w:rsid w:val="0038673B"/>
    <w:rsid w:val="0038795F"/>
    <w:rsid w:val="0039219F"/>
    <w:rsid w:val="00392681"/>
    <w:rsid w:val="00394089"/>
    <w:rsid w:val="003A34DD"/>
    <w:rsid w:val="003C0F9F"/>
    <w:rsid w:val="003D1254"/>
    <w:rsid w:val="00401F14"/>
    <w:rsid w:val="004059FF"/>
    <w:rsid w:val="00405CE1"/>
    <w:rsid w:val="00407FEA"/>
    <w:rsid w:val="00421686"/>
    <w:rsid w:val="004377CC"/>
    <w:rsid w:val="004622EA"/>
    <w:rsid w:val="00480C97"/>
    <w:rsid w:val="00483704"/>
    <w:rsid w:val="004B7DDC"/>
    <w:rsid w:val="004D6060"/>
    <w:rsid w:val="004E26ED"/>
    <w:rsid w:val="0050520A"/>
    <w:rsid w:val="00511A8D"/>
    <w:rsid w:val="00534123"/>
    <w:rsid w:val="00544450"/>
    <w:rsid w:val="00544EE7"/>
    <w:rsid w:val="00553E1A"/>
    <w:rsid w:val="00562618"/>
    <w:rsid w:val="00567072"/>
    <w:rsid w:val="00582623"/>
    <w:rsid w:val="005A35B8"/>
    <w:rsid w:val="005A70BD"/>
    <w:rsid w:val="005E4C66"/>
    <w:rsid w:val="00617EBB"/>
    <w:rsid w:val="006313D9"/>
    <w:rsid w:val="00651AD1"/>
    <w:rsid w:val="0066743E"/>
    <w:rsid w:val="006811D2"/>
    <w:rsid w:val="006D4C96"/>
    <w:rsid w:val="007311BC"/>
    <w:rsid w:val="00733428"/>
    <w:rsid w:val="00740676"/>
    <w:rsid w:val="007F3D3B"/>
    <w:rsid w:val="008027C2"/>
    <w:rsid w:val="00807501"/>
    <w:rsid w:val="008166E2"/>
    <w:rsid w:val="0082706B"/>
    <w:rsid w:val="00827C78"/>
    <w:rsid w:val="00832EE0"/>
    <w:rsid w:val="00835E6F"/>
    <w:rsid w:val="008663AF"/>
    <w:rsid w:val="00875FC3"/>
    <w:rsid w:val="00883BA1"/>
    <w:rsid w:val="008B1897"/>
    <w:rsid w:val="008B55FA"/>
    <w:rsid w:val="008C6465"/>
    <w:rsid w:val="008E0CE8"/>
    <w:rsid w:val="008F6646"/>
    <w:rsid w:val="0090684B"/>
    <w:rsid w:val="00910E27"/>
    <w:rsid w:val="009174FF"/>
    <w:rsid w:val="009225D1"/>
    <w:rsid w:val="00930FF2"/>
    <w:rsid w:val="0093106C"/>
    <w:rsid w:val="00943613"/>
    <w:rsid w:val="00963D12"/>
    <w:rsid w:val="00982BFA"/>
    <w:rsid w:val="00984A33"/>
    <w:rsid w:val="00987563"/>
    <w:rsid w:val="009911FC"/>
    <w:rsid w:val="009A76AD"/>
    <w:rsid w:val="009D4586"/>
    <w:rsid w:val="00A017A5"/>
    <w:rsid w:val="00A17C34"/>
    <w:rsid w:val="00A247D1"/>
    <w:rsid w:val="00A315AC"/>
    <w:rsid w:val="00A57AB5"/>
    <w:rsid w:val="00A60912"/>
    <w:rsid w:val="00A807A7"/>
    <w:rsid w:val="00A81374"/>
    <w:rsid w:val="00AA14FD"/>
    <w:rsid w:val="00AB1EED"/>
    <w:rsid w:val="00AB30C1"/>
    <w:rsid w:val="00AD4EC6"/>
    <w:rsid w:val="00AE7348"/>
    <w:rsid w:val="00B04080"/>
    <w:rsid w:val="00B10AA1"/>
    <w:rsid w:val="00B136CF"/>
    <w:rsid w:val="00B16E60"/>
    <w:rsid w:val="00B177B0"/>
    <w:rsid w:val="00B25BC1"/>
    <w:rsid w:val="00B3638C"/>
    <w:rsid w:val="00B926B3"/>
    <w:rsid w:val="00BA54D6"/>
    <w:rsid w:val="00BA6BEF"/>
    <w:rsid w:val="00BF2461"/>
    <w:rsid w:val="00C067C1"/>
    <w:rsid w:val="00C10C20"/>
    <w:rsid w:val="00C14FFF"/>
    <w:rsid w:val="00C33A89"/>
    <w:rsid w:val="00C6369E"/>
    <w:rsid w:val="00C66FC1"/>
    <w:rsid w:val="00CB057A"/>
    <w:rsid w:val="00CB42DC"/>
    <w:rsid w:val="00CC4B7C"/>
    <w:rsid w:val="00CD6876"/>
    <w:rsid w:val="00CE6719"/>
    <w:rsid w:val="00D02383"/>
    <w:rsid w:val="00D16418"/>
    <w:rsid w:val="00D229C6"/>
    <w:rsid w:val="00D25EC3"/>
    <w:rsid w:val="00D44AD2"/>
    <w:rsid w:val="00D57E5E"/>
    <w:rsid w:val="00D957B2"/>
    <w:rsid w:val="00DA4FFA"/>
    <w:rsid w:val="00DB2BBC"/>
    <w:rsid w:val="00DC7F1D"/>
    <w:rsid w:val="00DE61C5"/>
    <w:rsid w:val="00DF73A9"/>
    <w:rsid w:val="00E41051"/>
    <w:rsid w:val="00E45D93"/>
    <w:rsid w:val="00E52DDC"/>
    <w:rsid w:val="00E53BD0"/>
    <w:rsid w:val="00E55C4C"/>
    <w:rsid w:val="00E619C5"/>
    <w:rsid w:val="00E72C47"/>
    <w:rsid w:val="00EB78D5"/>
    <w:rsid w:val="00ED4E87"/>
    <w:rsid w:val="00EE401C"/>
    <w:rsid w:val="00EE7E1A"/>
    <w:rsid w:val="00F13404"/>
    <w:rsid w:val="00F209AA"/>
    <w:rsid w:val="00F51E7E"/>
    <w:rsid w:val="00F73101"/>
    <w:rsid w:val="00F741BC"/>
    <w:rsid w:val="00F774C0"/>
    <w:rsid w:val="00F85CA1"/>
    <w:rsid w:val="00F87DF4"/>
    <w:rsid w:val="00F903E6"/>
    <w:rsid w:val="00FB5FE5"/>
    <w:rsid w:val="00FB7AF9"/>
    <w:rsid w:val="00FF76D2"/>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EF46B"/>
  <w15:chartTrackingRefBased/>
  <w15:docId w15:val="{0FA78BEE-2AC5-4174-850D-AB41AF32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B136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2E43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E43F8"/>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347E4F"/>
    <w:pPr>
      <w:ind w:left="720"/>
      <w:contextualSpacing/>
    </w:pPr>
  </w:style>
  <w:style w:type="table" w:styleId="Tabelraster">
    <w:name w:val="Table Grid"/>
    <w:basedOn w:val="Standaardtabel"/>
    <w:uiPriority w:val="39"/>
    <w:rsid w:val="00347E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link w:val="OndertitelChar"/>
    <w:uiPriority w:val="11"/>
    <w:qFormat/>
    <w:rsid w:val="00483704"/>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483704"/>
    <w:rPr>
      <w:rFonts w:eastAsiaTheme="minorEastAsia"/>
      <w:color w:val="5A5A5A" w:themeColor="text1" w:themeTint="A5"/>
      <w:spacing w:val="15"/>
    </w:rPr>
  </w:style>
  <w:style w:type="paragraph" w:styleId="Ballontekst">
    <w:name w:val="Balloon Text"/>
    <w:basedOn w:val="Standaard"/>
    <w:link w:val="BallontekstChar"/>
    <w:uiPriority w:val="99"/>
    <w:semiHidden/>
    <w:unhideWhenUsed/>
    <w:rsid w:val="00832EE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32EE0"/>
    <w:rPr>
      <w:rFonts w:ascii="Segoe UI" w:hAnsi="Segoe UI" w:cs="Segoe UI"/>
      <w:sz w:val="18"/>
      <w:szCs w:val="18"/>
    </w:rPr>
  </w:style>
  <w:style w:type="character" w:customStyle="1" w:styleId="Kop1Char">
    <w:name w:val="Kop 1 Char"/>
    <w:basedOn w:val="Standaardalinea-lettertype"/>
    <w:link w:val="Kop1"/>
    <w:uiPriority w:val="9"/>
    <w:rsid w:val="00B136CF"/>
    <w:rPr>
      <w:rFonts w:asciiTheme="majorHAnsi" w:eastAsiaTheme="majorEastAsia" w:hAnsiTheme="majorHAnsi" w:cstheme="majorBidi"/>
      <w:color w:val="2E74B5" w:themeColor="accent1" w:themeShade="BF"/>
      <w:sz w:val="32"/>
      <w:szCs w:val="32"/>
    </w:rPr>
  </w:style>
  <w:style w:type="character" w:styleId="Verwijzingopmerking">
    <w:name w:val="annotation reference"/>
    <w:basedOn w:val="Standaardalinea-lettertype"/>
    <w:uiPriority w:val="99"/>
    <w:semiHidden/>
    <w:unhideWhenUsed/>
    <w:rsid w:val="00047C49"/>
    <w:rPr>
      <w:sz w:val="16"/>
      <w:szCs w:val="16"/>
    </w:rPr>
  </w:style>
  <w:style w:type="paragraph" w:styleId="Tekstopmerking">
    <w:name w:val="annotation text"/>
    <w:basedOn w:val="Standaard"/>
    <w:link w:val="TekstopmerkingChar"/>
    <w:uiPriority w:val="99"/>
    <w:semiHidden/>
    <w:unhideWhenUsed/>
    <w:rsid w:val="00047C4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47C49"/>
    <w:rPr>
      <w:sz w:val="20"/>
      <w:szCs w:val="20"/>
    </w:rPr>
  </w:style>
  <w:style w:type="paragraph" w:styleId="Onderwerpvanopmerking">
    <w:name w:val="annotation subject"/>
    <w:basedOn w:val="Tekstopmerking"/>
    <w:next w:val="Tekstopmerking"/>
    <w:link w:val="OnderwerpvanopmerkingChar"/>
    <w:uiPriority w:val="99"/>
    <w:semiHidden/>
    <w:unhideWhenUsed/>
    <w:rsid w:val="00047C49"/>
    <w:rPr>
      <w:b/>
      <w:bCs/>
    </w:rPr>
  </w:style>
  <w:style w:type="character" w:customStyle="1" w:styleId="OnderwerpvanopmerkingChar">
    <w:name w:val="Onderwerp van opmerking Char"/>
    <w:basedOn w:val="TekstopmerkingChar"/>
    <w:link w:val="Onderwerpvanopmerking"/>
    <w:uiPriority w:val="99"/>
    <w:semiHidden/>
    <w:rsid w:val="00047C49"/>
    <w:rPr>
      <w:b/>
      <w:bCs/>
      <w:sz w:val="20"/>
      <w:szCs w:val="20"/>
    </w:rPr>
  </w:style>
  <w:style w:type="paragraph" w:styleId="Koptekst">
    <w:name w:val="header"/>
    <w:basedOn w:val="Standaard"/>
    <w:link w:val="KoptekstChar"/>
    <w:uiPriority w:val="99"/>
    <w:unhideWhenUsed/>
    <w:rsid w:val="00E53BD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53BD0"/>
  </w:style>
  <w:style w:type="paragraph" w:styleId="Voettekst">
    <w:name w:val="footer"/>
    <w:basedOn w:val="Standaard"/>
    <w:link w:val="VoettekstChar"/>
    <w:uiPriority w:val="99"/>
    <w:unhideWhenUsed/>
    <w:rsid w:val="00E53BD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3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96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8F7A0-354F-4100-84CD-A9F93BBD3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468</Words>
  <Characters>2577</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UGent</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Van den Bussche</dc:creator>
  <cp:keywords/>
  <dc:description/>
  <cp:lastModifiedBy>Karen Van den Bussche</cp:lastModifiedBy>
  <cp:revision>66</cp:revision>
  <cp:lastPrinted>2017-10-23T11:58:00Z</cp:lastPrinted>
  <dcterms:created xsi:type="dcterms:W3CDTF">2017-06-15T15:21:00Z</dcterms:created>
  <dcterms:modified xsi:type="dcterms:W3CDTF">2018-01-03T13:30:00Z</dcterms:modified>
</cp:coreProperties>
</file>