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8DFB9" w14:textId="77777777" w:rsidR="00F058B0" w:rsidRPr="00787B22" w:rsidRDefault="00F058B0" w:rsidP="00F058B0">
      <w:pPr>
        <w:jc w:val="both"/>
        <w:rPr>
          <w:rFonts w:asciiTheme="majorBidi" w:hAnsiTheme="majorBidi" w:cstheme="majorBidi"/>
          <w:color w:val="FF0000"/>
          <w:sz w:val="32"/>
          <w:szCs w:val="28"/>
          <w:lang w:val="en-GB"/>
        </w:rPr>
      </w:pPr>
      <w:r w:rsidRPr="000B5FE0">
        <w:rPr>
          <w:rFonts w:asciiTheme="majorBidi" w:hAnsiTheme="majorBidi" w:cstheme="majorBidi"/>
          <w:color w:val="000000" w:themeColor="text1"/>
          <w:sz w:val="32"/>
          <w:szCs w:val="28"/>
          <w:lang w:val="en-GB"/>
        </w:rPr>
        <w:t xml:space="preserve">Core Outcome Set in IAD Research (CONSIDER): international </w:t>
      </w:r>
      <w:r w:rsidRPr="00787B22">
        <w:rPr>
          <w:rFonts w:asciiTheme="majorBidi" w:hAnsiTheme="majorBidi" w:cstheme="majorBidi"/>
          <w:sz w:val="32"/>
          <w:szCs w:val="28"/>
          <w:lang w:val="en-GB"/>
        </w:rPr>
        <w:t>and multidisciplinary consensus on a core set of outcome domains in incontinence-associated dermatitis research</w:t>
      </w:r>
    </w:p>
    <w:p w14:paraId="0248F2DC" w14:textId="77777777" w:rsidR="00F058B0" w:rsidRDefault="00F058B0" w:rsidP="00F058B0">
      <w:pPr>
        <w:rPr>
          <w:rFonts w:asciiTheme="majorBidi" w:hAnsiTheme="majorBidi" w:cstheme="majorBidi"/>
          <w:sz w:val="20"/>
          <w:szCs w:val="20"/>
          <w:lang w:val="en-US"/>
        </w:rPr>
      </w:pPr>
    </w:p>
    <w:p w14:paraId="236C8BFF" w14:textId="31A78292" w:rsidR="00F058B0" w:rsidRPr="00602577" w:rsidRDefault="00B136CF" w:rsidP="00F058B0">
      <w:pPr>
        <w:rPr>
          <w:rFonts w:asciiTheme="majorBidi" w:hAnsiTheme="majorBidi" w:cstheme="majorBidi"/>
          <w:sz w:val="20"/>
          <w:szCs w:val="20"/>
          <w:lang w:val="en-US"/>
        </w:rPr>
      </w:pPr>
      <w:bookmarkStart w:id="0" w:name="_GoBack"/>
      <w:bookmarkEnd w:id="0"/>
      <w:r w:rsidRPr="00602577">
        <w:rPr>
          <w:rFonts w:asciiTheme="majorBidi" w:hAnsiTheme="majorBidi" w:cstheme="majorBidi"/>
          <w:sz w:val="20"/>
          <w:szCs w:val="20"/>
          <w:lang w:val="en-US"/>
        </w:rPr>
        <w:t xml:space="preserve">Table </w:t>
      </w:r>
      <w:r w:rsidR="008166E2" w:rsidRPr="00602577">
        <w:rPr>
          <w:rFonts w:asciiTheme="majorBidi" w:hAnsiTheme="majorBidi" w:cstheme="majorBidi"/>
          <w:sz w:val="20"/>
          <w:szCs w:val="20"/>
          <w:lang w:val="en-US"/>
        </w:rPr>
        <w:t>3</w:t>
      </w:r>
      <w:r w:rsidRPr="00602577">
        <w:rPr>
          <w:rFonts w:asciiTheme="majorBidi" w:hAnsiTheme="majorBidi" w:cstheme="majorBidi"/>
          <w:sz w:val="20"/>
          <w:szCs w:val="20"/>
          <w:lang w:val="en-US"/>
        </w:rPr>
        <w:t>. Ratings of 7 outcome domains in the third Delphi round</w:t>
      </w:r>
      <w:r w:rsidR="00A60912" w:rsidRPr="00602577">
        <w:rPr>
          <w:rFonts w:asciiTheme="majorBidi" w:hAnsiTheme="majorBidi" w:cstheme="majorBidi"/>
          <w:sz w:val="20"/>
          <w:szCs w:val="20"/>
          <w:lang w:val="en-US"/>
        </w:rPr>
        <w:t xml:space="preserve"> – 37 pane</w:t>
      </w:r>
      <w:r w:rsidR="00660464">
        <w:rPr>
          <w:rFonts w:asciiTheme="majorBidi" w:hAnsiTheme="majorBidi" w:cstheme="majorBidi"/>
          <w:sz w:val="20"/>
          <w:szCs w:val="20"/>
          <w:lang w:val="en-US"/>
        </w:rPr>
        <w:t>l</w:t>
      </w:r>
      <w:r w:rsidR="00A60912" w:rsidRPr="00602577">
        <w:rPr>
          <w:rFonts w:asciiTheme="majorBidi" w:hAnsiTheme="majorBidi" w:cstheme="majorBidi"/>
          <w:sz w:val="20"/>
          <w:szCs w:val="20"/>
          <w:lang w:val="en-US"/>
        </w:rPr>
        <w:t>lists</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77"/>
        <w:gridCol w:w="991"/>
        <w:gridCol w:w="1419"/>
        <w:gridCol w:w="1132"/>
        <w:gridCol w:w="706"/>
      </w:tblGrid>
      <w:tr w:rsidR="00480C97" w:rsidRPr="00DE61C5" w14:paraId="25D578D9" w14:textId="77777777" w:rsidTr="00052B7B">
        <w:tc>
          <w:tcPr>
            <w:tcW w:w="2341" w:type="pct"/>
            <w:tcBorders>
              <w:top w:val="single" w:sz="4" w:space="0" w:color="auto"/>
              <w:bottom w:val="single" w:sz="4" w:space="0" w:color="auto"/>
            </w:tcBorders>
            <w:vAlign w:val="center"/>
          </w:tcPr>
          <w:p w14:paraId="75F4F10E" w14:textId="77777777" w:rsidR="00480C97" w:rsidRPr="00DE61C5" w:rsidRDefault="00480C97" w:rsidP="009A76AD">
            <w:pPr>
              <w:rPr>
                <w:rFonts w:asciiTheme="majorBidi" w:hAnsiTheme="majorBidi" w:cstheme="majorBidi"/>
                <w:b/>
                <w:bCs/>
                <w:sz w:val="18"/>
                <w:szCs w:val="18"/>
              </w:rPr>
            </w:pPr>
            <w:r w:rsidRPr="00DE61C5">
              <w:rPr>
                <w:rFonts w:asciiTheme="majorBidi" w:hAnsiTheme="majorBidi" w:cstheme="majorBidi"/>
                <w:b/>
                <w:bCs/>
                <w:sz w:val="18"/>
                <w:szCs w:val="18"/>
                <w:lang w:val="en-US"/>
              </w:rPr>
              <w:t>Outcome domain and definition</w:t>
            </w:r>
          </w:p>
        </w:tc>
        <w:tc>
          <w:tcPr>
            <w:tcW w:w="318" w:type="pct"/>
            <w:tcBorders>
              <w:top w:val="single" w:sz="4" w:space="0" w:color="auto"/>
              <w:bottom w:val="single" w:sz="4" w:space="0" w:color="auto"/>
            </w:tcBorders>
            <w:vAlign w:val="center"/>
          </w:tcPr>
          <w:p w14:paraId="50D0ADDB" w14:textId="77777777" w:rsidR="00480C97" w:rsidRPr="00480C97" w:rsidRDefault="00480C97" w:rsidP="00480C97">
            <w:pPr>
              <w:jc w:val="right"/>
              <w:rPr>
                <w:rFonts w:asciiTheme="majorBidi" w:hAnsiTheme="majorBidi" w:cstheme="majorBidi"/>
                <w:i/>
                <w:iCs/>
                <w:sz w:val="18"/>
                <w:szCs w:val="18"/>
              </w:rPr>
            </w:pPr>
            <w:r w:rsidRPr="00480C97">
              <w:rPr>
                <w:rFonts w:asciiTheme="majorBidi" w:hAnsiTheme="majorBidi" w:cstheme="majorBidi"/>
                <w:i/>
                <w:iCs/>
                <w:sz w:val="18"/>
                <w:szCs w:val="18"/>
              </w:rPr>
              <w:t>n(%)</w:t>
            </w:r>
          </w:p>
        </w:tc>
        <w:tc>
          <w:tcPr>
            <w:tcW w:w="546" w:type="pct"/>
            <w:tcBorders>
              <w:top w:val="single" w:sz="4" w:space="0" w:color="auto"/>
              <w:bottom w:val="single" w:sz="4" w:space="0" w:color="auto"/>
            </w:tcBorders>
            <w:vAlign w:val="center"/>
          </w:tcPr>
          <w:p w14:paraId="70AA897D" w14:textId="77777777" w:rsidR="00480C97" w:rsidRPr="00DE61C5" w:rsidRDefault="00480C97" w:rsidP="003A34DD">
            <w:pPr>
              <w:jc w:val="center"/>
              <w:rPr>
                <w:rFonts w:asciiTheme="majorBidi" w:hAnsiTheme="majorBidi" w:cstheme="majorBidi"/>
                <w:b/>
                <w:bCs/>
                <w:sz w:val="18"/>
                <w:szCs w:val="18"/>
              </w:rPr>
            </w:pPr>
            <w:r w:rsidRPr="00DE61C5">
              <w:rPr>
                <w:rFonts w:asciiTheme="majorBidi" w:hAnsiTheme="majorBidi" w:cstheme="majorBidi"/>
                <w:b/>
                <w:bCs/>
                <w:sz w:val="18"/>
                <w:szCs w:val="18"/>
              </w:rPr>
              <w:t>Yes, I approve</w:t>
            </w:r>
          </w:p>
        </w:tc>
        <w:tc>
          <w:tcPr>
            <w:tcW w:w="782" w:type="pct"/>
            <w:tcBorders>
              <w:top w:val="single" w:sz="4" w:space="0" w:color="auto"/>
              <w:bottom w:val="single" w:sz="4" w:space="0" w:color="auto"/>
            </w:tcBorders>
            <w:vAlign w:val="center"/>
          </w:tcPr>
          <w:p w14:paraId="596985EE" w14:textId="77777777" w:rsidR="00480C97" w:rsidRPr="00DE61C5" w:rsidRDefault="00480C97" w:rsidP="003A34DD">
            <w:pPr>
              <w:jc w:val="center"/>
              <w:rPr>
                <w:rFonts w:asciiTheme="majorBidi" w:hAnsiTheme="majorBidi" w:cstheme="majorBidi"/>
                <w:b/>
                <w:bCs/>
                <w:sz w:val="18"/>
                <w:szCs w:val="18"/>
                <w:lang w:val="en-US"/>
              </w:rPr>
            </w:pPr>
            <w:r w:rsidRPr="00DE61C5">
              <w:rPr>
                <w:rFonts w:asciiTheme="majorBidi" w:hAnsiTheme="majorBidi" w:cstheme="majorBidi"/>
                <w:b/>
                <w:bCs/>
                <w:sz w:val="18"/>
                <w:szCs w:val="18"/>
                <w:lang w:val="en-US"/>
              </w:rPr>
              <w:t>Yes, I approve but with minor suggestions</w:t>
            </w:r>
          </w:p>
        </w:tc>
        <w:tc>
          <w:tcPr>
            <w:tcW w:w="624" w:type="pct"/>
            <w:tcBorders>
              <w:top w:val="single" w:sz="4" w:space="0" w:color="auto"/>
              <w:bottom w:val="single" w:sz="4" w:space="0" w:color="auto"/>
            </w:tcBorders>
            <w:shd w:val="clear" w:color="auto" w:fill="auto"/>
            <w:vAlign w:val="center"/>
          </w:tcPr>
          <w:p w14:paraId="4043EFAD" w14:textId="77777777" w:rsidR="00480C97" w:rsidRPr="00DE61C5" w:rsidRDefault="00480C97" w:rsidP="003A34DD">
            <w:pPr>
              <w:jc w:val="center"/>
              <w:rPr>
                <w:rFonts w:asciiTheme="majorBidi" w:hAnsiTheme="majorBidi" w:cstheme="majorBidi"/>
                <w:b/>
                <w:bCs/>
                <w:sz w:val="18"/>
                <w:szCs w:val="18"/>
                <w:lang w:val="en-US"/>
              </w:rPr>
            </w:pPr>
            <w:r w:rsidRPr="00DE61C5">
              <w:rPr>
                <w:rFonts w:asciiTheme="majorBidi" w:hAnsiTheme="majorBidi" w:cstheme="majorBidi"/>
                <w:b/>
                <w:bCs/>
                <w:sz w:val="18"/>
                <w:szCs w:val="18"/>
                <w:lang w:val="en-US"/>
              </w:rPr>
              <w:t>No, I have major concerns</w:t>
            </w:r>
          </w:p>
        </w:tc>
        <w:tc>
          <w:tcPr>
            <w:tcW w:w="390" w:type="pct"/>
            <w:tcBorders>
              <w:top w:val="single" w:sz="4" w:space="0" w:color="auto"/>
              <w:bottom w:val="single" w:sz="4" w:space="0" w:color="auto"/>
            </w:tcBorders>
            <w:vAlign w:val="center"/>
          </w:tcPr>
          <w:p w14:paraId="094E8F20" w14:textId="77777777" w:rsidR="00480C97" w:rsidRPr="00DE61C5" w:rsidRDefault="00480C97" w:rsidP="003A34DD">
            <w:pPr>
              <w:jc w:val="center"/>
              <w:rPr>
                <w:rFonts w:asciiTheme="majorBidi" w:hAnsiTheme="majorBidi" w:cstheme="majorBidi"/>
                <w:b/>
                <w:bCs/>
                <w:sz w:val="18"/>
                <w:szCs w:val="18"/>
                <w:lang w:val="en-US"/>
              </w:rPr>
            </w:pPr>
            <w:r>
              <w:rPr>
                <w:rFonts w:asciiTheme="majorBidi" w:hAnsiTheme="majorBidi" w:cstheme="majorBidi"/>
                <w:b/>
                <w:bCs/>
                <w:sz w:val="18"/>
                <w:szCs w:val="18"/>
                <w:lang w:val="en-US"/>
              </w:rPr>
              <w:t>Result</w:t>
            </w:r>
          </w:p>
        </w:tc>
      </w:tr>
      <w:tr w:rsidR="0023545F" w:rsidRPr="00DE61C5" w14:paraId="6D2B5A9E" w14:textId="77777777" w:rsidTr="00052B7B">
        <w:tc>
          <w:tcPr>
            <w:tcW w:w="2659" w:type="pct"/>
            <w:gridSpan w:val="2"/>
            <w:tcBorders>
              <w:top w:val="single" w:sz="4" w:space="0" w:color="auto"/>
            </w:tcBorders>
          </w:tcPr>
          <w:p w14:paraId="0989D57B" w14:textId="77777777" w:rsidR="0023545F" w:rsidRPr="00DE61C5" w:rsidRDefault="0023545F" w:rsidP="007311BC">
            <w:pPr>
              <w:pStyle w:val="Lijstalinea"/>
              <w:numPr>
                <w:ilvl w:val="0"/>
                <w:numId w:val="6"/>
              </w:numPr>
              <w:spacing w:line="360" w:lineRule="auto"/>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Erythema</w:t>
            </w:r>
          </w:p>
          <w:p w14:paraId="07CF8F74" w14:textId="77777777" w:rsidR="0023545F" w:rsidRPr="00DE61C5" w:rsidRDefault="0023545F" w:rsidP="00A239CB">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Erythema</w:t>
            </w:r>
            <w:r w:rsidRPr="00DE61C5">
              <w:rPr>
                <w:rFonts w:asciiTheme="majorBidi" w:hAnsiTheme="majorBidi" w:cstheme="majorBidi"/>
                <w:sz w:val="18"/>
                <w:szCs w:val="18"/>
                <w:lang w:val="en-US"/>
              </w:rPr>
              <w:t xml:space="preserve"> is defined as redness of the skin. A variety of tones of redness may be present. In patients with darker skin tones, the skin may be paler or darker than their</w:t>
            </w:r>
            <w:r w:rsidR="00383931">
              <w:rPr>
                <w:rFonts w:asciiTheme="majorBidi" w:hAnsiTheme="majorBidi" w:cstheme="majorBidi"/>
                <w:sz w:val="18"/>
                <w:szCs w:val="18"/>
                <w:lang w:val="en-US"/>
              </w:rPr>
              <w:t xml:space="preserve"> normal skin colour, or purple.</w:t>
            </w:r>
          </w:p>
        </w:tc>
        <w:tc>
          <w:tcPr>
            <w:tcW w:w="546" w:type="pct"/>
            <w:tcBorders>
              <w:top w:val="single" w:sz="4" w:space="0" w:color="auto"/>
            </w:tcBorders>
          </w:tcPr>
          <w:p w14:paraId="40BEF85B"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34 (91.9)</w:t>
            </w:r>
          </w:p>
        </w:tc>
        <w:tc>
          <w:tcPr>
            <w:tcW w:w="782" w:type="pct"/>
            <w:tcBorders>
              <w:top w:val="single" w:sz="4" w:space="0" w:color="auto"/>
            </w:tcBorders>
          </w:tcPr>
          <w:p w14:paraId="794AA321"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3 (8.1)</w:t>
            </w:r>
          </w:p>
        </w:tc>
        <w:tc>
          <w:tcPr>
            <w:tcW w:w="624" w:type="pct"/>
            <w:tcBorders>
              <w:top w:val="single" w:sz="4" w:space="0" w:color="auto"/>
            </w:tcBorders>
            <w:shd w:val="clear" w:color="auto" w:fill="auto"/>
          </w:tcPr>
          <w:p w14:paraId="3F6134A8"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0 (0.0)</w:t>
            </w:r>
          </w:p>
        </w:tc>
        <w:tc>
          <w:tcPr>
            <w:tcW w:w="390" w:type="pct"/>
            <w:tcBorders>
              <w:top w:val="single" w:sz="4" w:space="0" w:color="auto"/>
            </w:tcBorders>
          </w:tcPr>
          <w:p w14:paraId="0F2DDAB0" w14:textId="77777777" w:rsidR="0023545F" w:rsidRPr="00DE61C5" w:rsidRDefault="0023545F" w:rsidP="007311BC">
            <w:pPr>
              <w:jc w:val="center"/>
              <w:rPr>
                <w:rFonts w:asciiTheme="majorBidi" w:hAnsiTheme="majorBidi" w:cstheme="majorBidi"/>
                <w:sz w:val="18"/>
                <w:szCs w:val="18"/>
              </w:rPr>
            </w:pPr>
            <w:r>
              <w:rPr>
                <w:rFonts w:asciiTheme="majorBidi" w:hAnsiTheme="majorBidi" w:cstheme="majorBidi"/>
                <w:sz w:val="18"/>
                <w:szCs w:val="18"/>
              </w:rPr>
              <w:t>In</w:t>
            </w:r>
          </w:p>
        </w:tc>
      </w:tr>
      <w:tr w:rsidR="0023545F" w:rsidRPr="00DE61C5" w14:paraId="1AA30140" w14:textId="77777777" w:rsidTr="00052B7B">
        <w:tc>
          <w:tcPr>
            <w:tcW w:w="2659" w:type="pct"/>
            <w:gridSpan w:val="2"/>
          </w:tcPr>
          <w:p w14:paraId="33404095" w14:textId="77777777" w:rsidR="0023545F" w:rsidRPr="00DE61C5" w:rsidRDefault="0023545F" w:rsidP="007311BC">
            <w:pPr>
              <w:pStyle w:val="Lijstalinea"/>
              <w:numPr>
                <w:ilvl w:val="0"/>
                <w:numId w:val="6"/>
              </w:numPr>
              <w:spacing w:line="360" w:lineRule="auto"/>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 xml:space="preserve">Erosion </w:t>
            </w:r>
          </w:p>
          <w:p w14:paraId="42FA5E3C" w14:textId="77777777" w:rsidR="0023545F" w:rsidRPr="00DE61C5" w:rsidRDefault="0023545F" w:rsidP="00A239CB">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Erosion</w:t>
            </w:r>
            <w:r w:rsidRPr="00DE61C5">
              <w:rPr>
                <w:rFonts w:asciiTheme="majorBidi" w:hAnsiTheme="majorBidi" w:cstheme="majorBidi"/>
                <w:sz w:val="18"/>
                <w:szCs w:val="18"/>
                <w:lang w:val="en-US"/>
              </w:rPr>
              <w:t xml:space="preserve"> is defined as the loss of either a portion or either the entire</w:t>
            </w:r>
            <w:r w:rsidR="00383931">
              <w:rPr>
                <w:rFonts w:asciiTheme="majorBidi" w:hAnsiTheme="majorBidi" w:cstheme="majorBidi"/>
                <w:sz w:val="18"/>
                <w:szCs w:val="18"/>
                <w:lang w:val="en-US"/>
              </w:rPr>
              <w:t xml:space="preserve"> epidermis (Nast et al., 2015).</w:t>
            </w:r>
          </w:p>
        </w:tc>
        <w:tc>
          <w:tcPr>
            <w:tcW w:w="546" w:type="pct"/>
          </w:tcPr>
          <w:p w14:paraId="19FDEFED"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32 (86.5)</w:t>
            </w:r>
          </w:p>
        </w:tc>
        <w:tc>
          <w:tcPr>
            <w:tcW w:w="782" w:type="pct"/>
          </w:tcPr>
          <w:p w14:paraId="3DEA1F8E"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5 (13.5)</w:t>
            </w:r>
          </w:p>
        </w:tc>
        <w:tc>
          <w:tcPr>
            <w:tcW w:w="624" w:type="pct"/>
            <w:shd w:val="clear" w:color="auto" w:fill="auto"/>
          </w:tcPr>
          <w:p w14:paraId="59C956DD"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0 (0.0)</w:t>
            </w:r>
          </w:p>
        </w:tc>
        <w:tc>
          <w:tcPr>
            <w:tcW w:w="390" w:type="pct"/>
          </w:tcPr>
          <w:p w14:paraId="1C1632AE" w14:textId="77777777" w:rsidR="0023545F" w:rsidRPr="00DE61C5" w:rsidRDefault="0023545F" w:rsidP="007311BC">
            <w:pPr>
              <w:jc w:val="center"/>
              <w:rPr>
                <w:rFonts w:asciiTheme="majorBidi" w:hAnsiTheme="majorBidi" w:cstheme="majorBidi"/>
                <w:sz w:val="18"/>
                <w:szCs w:val="18"/>
              </w:rPr>
            </w:pPr>
            <w:r>
              <w:rPr>
                <w:rFonts w:asciiTheme="majorBidi" w:hAnsiTheme="majorBidi" w:cstheme="majorBidi"/>
                <w:sz w:val="18"/>
                <w:szCs w:val="18"/>
              </w:rPr>
              <w:t>In</w:t>
            </w:r>
          </w:p>
        </w:tc>
      </w:tr>
      <w:tr w:rsidR="0023545F" w:rsidRPr="00DE61C5" w14:paraId="335E3297" w14:textId="77777777" w:rsidTr="00052B7B">
        <w:tc>
          <w:tcPr>
            <w:tcW w:w="2659" w:type="pct"/>
            <w:gridSpan w:val="2"/>
          </w:tcPr>
          <w:p w14:paraId="7A73A506" w14:textId="77777777" w:rsidR="0023545F" w:rsidRPr="00DE61C5" w:rsidRDefault="0023545F" w:rsidP="007311BC">
            <w:pPr>
              <w:pStyle w:val="Lijstalinea"/>
              <w:numPr>
                <w:ilvl w:val="0"/>
                <w:numId w:val="6"/>
              </w:numPr>
              <w:spacing w:line="360" w:lineRule="auto"/>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 xml:space="preserve">Maceration </w:t>
            </w:r>
          </w:p>
          <w:p w14:paraId="418EE0E6" w14:textId="77777777" w:rsidR="0023545F" w:rsidRPr="00DE61C5" w:rsidRDefault="0023545F" w:rsidP="00A239CB">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Maceration</w:t>
            </w:r>
            <w:r w:rsidRPr="00DE61C5">
              <w:rPr>
                <w:rFonts w:asciiTheme="majorBidi" w:hAnsiTheme="majorBidi" w:cstheme="majorBidi"/>
                <w:sz w:val="18"/>
                <w:szCs w:val="18"/>
                <w:lang w:val="en-US"/>
              </w:rPr>
              <w:t xml:space="preserve"> of the skin is defined as the softening of the epidermis and dermis characterized by a whitened appearance and swelling caused by prolonged exposure to urine and feces (Ichikawa-Shigeta et </w:t>
            </w:r>
            <w:r w:rsidR="00383931">
              <w:rPr>
                <w:rFonts w:asciiTheme="majorBidi" w:hAnsiTheme="majorBidi" w:cstheme="majorBidi"/>
                <w:sz w:val="18"/>
                <w:szCs w:val="18"/>
                <w:lang w:val="en-US"/>
              </w:rPr>
              <w:t>al. 2014; Mugita et al., 2015).</w:t>
            </w:r>
          </w:p>
        </w:tc>
        <w:tc>
          <w:tcPr>
            <w:tcW w:w="546" w:type="pct"/>
          </w:tcPr>
          <w:p w14:paraId="2156AC00"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27 (73.0)</w:t>
            </w:r>
          </w:p>
        </w:tc>
        <w:tc>
          <w:tcPr>
            <w:tcW w:w="782" w:type="pct"/>
          </w:tcPr>
          <w:p w14:paraId="15114AAD"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9 (24.3)</w:t>
            </w:r>
          </w:p>
        </w:tc>
        <w:tc>
          <w:tcPr>
            <w:tcW w:w="624" w:type="pct"/>
            <w:shd w:val="clear" w:color="auto" w:fill="auto"/>
          </w:tcPr>
          <w:p w14:paraId="536A9E0C"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1 (2.7)</w:t>
            </w:r>
          </w:p>
        </w:tc>
        <w:tc>
          <w:tcPr>
            <w:tcW w:w="390" w:type="pct"/>
          </w:tcPr>
          <w:p w14:paraId="3C3E0BF9" w14:textId="77777777" w:rsidR="0023545F" w:rsidRPr="00DE61C5" w:rsidRDefault="0023545F" w:rsidP="007311BC">
            <w:pPr>
              <w:jc w:val="center"/>
              <w:rPr>
                <w:rFonts w:asciiTheme="majorBidi" w:hAnsiTheme="majorBidi" w:cstheme="majorBidi"/>
                <w:sz w:val="18"/>
                <w:szCs w:val="18"/>
              </w:rPr>
            </w:pPr>
            <w:r>
              <w:rPr>
                <w:rFonts w:asciiTheme="majorBidi" w:hAnsiTheme="majorBidi" w:cstheme="majorBidi"/>
                <w:sz w:val="18"/>
                <w:szCs w:val="18"/>
              </w:rPr>
              <w:t>In</w:t>
            </w:r>
          </w:p>
        </w:tc>
      </w:tr>
      <w:tr w:rsidR="0023545F" w:rsidRPr="00DE61C5" w14:paraId="4CFFC71B" w14:textId="77777777" w:rsidTr="00052B7B">
        <w:tc>
          <w:tcPr>
            <w:tcW w:w="2659" w:type="pct"/>
            <w:gridSpan w:val="2"/>
          </w:tcPr>
          <w:p w14:paraId="3FC78A3F" w14:textId="77777777" w:rsidR="0023545F" w:rsidRPr="00DE61C5" w:rsidRDefault="0023545F" w:rsidP="007311BC">
            <w:pPr>
              <w:pStyle w:val="Lijstalinea"/>
              <w:numPr>
                <w:ilvl w:val="0"/>
                <w:numId w:val="6"/>
              </w:numPr>
              <w:spacing w:line="360" w:lineRule="auto"/>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 xml:space="preserve">IAD related pain </w:t>
            </w:r>
          </w:p>
          <w:p w14:paraId="650F5FFC" w14:textId="77777777" w:rsidR="0023545F" w:rsidRPr="00383931" w:rsidRDefault="0023545F" w:rsidP="00A239CB">
            <w:pPr>
              <w:spacing w:after="60"/>
              <w:jc w:val="both"/>
              <w:rPr>
                <w:rFonts w:asciiTheme="majorBidi" w:hAnsiTheme="majorBidi" w:cstheme="majorBidi"/>
                <w:strike/>
                <w:sz w:val="18"/>
                <w:szCs w:val="18"/>
                <w:lang w:val="en-US"/>
              </w:rPr>
            </w:pPr>
            <w:r w:rsidRPr="00DE61C5">
              <w:rPr>
                <w:rFonts w:asciiTheme="majorBidi" w:hAnsiTheme="majorBidi" w:cstheme="majorBidi"/>
                <w:b/>
                <w:bCs/>
                <w:sz w:val="18"/>
                <w:szCs w:val="18"/>
                <w:lang w:val="en-US"/>
              </w:rPr>
              <w:t>IAD related pain</w:t>
            </w:r>
            <w:r w:rsidRPr="00DE61C5">
              <w:rPr>
                <w:rFonts w:asciiTheme="majorBidi" w:hAnsiTheme="majorBidi" w:cstheme="majorBidi"/>
                <w:sz w:val="18"/>
                <w:szCs w:val="18"/>
                <w:lang w:val="en-US"/>
              </w:rPr>
              <w:t xml:space="preserve"> is defined as a symptom that is subjectively expressed by the patient. It composes of both the magnitude and the frequency of how much at the affected area hurts. Pain can be expressed as non-verbal sounds (e.g. crying), vocal complaints of pain (e.g. that hurts), facial expressions (e.g. grimaces), protective body movements or postures (e.g. bracing).</w:t>
            </w:r>
          </w:p>
        </w:tc>
        <w:tc>
          <w:tcPr>
            <w:tcW w:w="546" w:type="pct"/>
          </w:tcPr>
          <w:p w14:paraId="19E2433B"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29 (78.4)</w:t>
            </w:r>
          </w:p>
        </w:tc>
        <w:tc>
          <w:tcPr>
            <w:tcW w:w="782" w:type="pct"/>
          </w:tcPr>
          <w:p w14:paraId="1839EB81"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8 (21.6)</w:t>
            </w:r>
          </w:p>
        </w:tc>
        <w:tc>
          <w:tcPr>
            <w:tcW w:w="624" w:type="pct"/>
            <w:shd w:val="clear" w:color="auto" w:fill="auto"/>
          </w:tcPr>
          <w:p w14:paraId="010C68C4"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0 (0.0)</w:t>
            </w:r>
          </w:p>
        </w:tc>
        <w:tc>
          <w:tcPr>
            <w:tcW w:w="390" w:type="pct"/>
          </w:tcPr>
          <w:p w14:paraId="541BE3D2" w14:textId="77777777" w:rsidR="0023545F" w:rsidRPr="00DE61C5" w:rsidRDefault="0023545F" w:rsidP="007311BC">
            <w:pPr>
              <w:jc w:val="center"/>
              <w:rPr>
                <w:rFonts w:asciiTheme="majorBidi" w:hAnsiTheme="majorBidi" w:cstheme="majorBidi"/>
                <w:sz w:val="18"/>
                <w:szCs w:val="18"/>
              </w:rPr>
            </w:pPr>
            <w:r>
              <w:rPr>
                <w:rFonts w:asciiTheme="majorBidi" w:hAnsiTheme="majorBidi" w:cstheme="majorBidi"/>
                <w:sz w:val="18"/>
                <w:szCs w:val="18"/>
              </w:rPr>
              <w:t>In</w:t>
            </w:r>
          </w:p>
        </w:tc>
      </w:tr>
      <w:tr w:rsidR="0023545F" w:rsidRPr="00DE61C5" w14:paraId="705B97D9" w14:textId="77777777" w:rsidTr="00052B7B">
        <w:tc>
          <w:tcPr>
            <w:tcW w:w="2659" w:type="pct"/>
            <w:gridSpan w:val="2"/>
          </w:tcPr>
          <w:p w14:paraId="0B86379F" w14:textId="77777777" w:rsidR="0023545F" w:rsidRPr="00DE61C5" w:rsidRDefault="0023545F" w:rsidP="007311BC">
            <w:pPr>
              <w:pStyle w:val="Lijstalinea"/>
              <w:numPr>
                <w:ilvl w:val="0"/>
                <w:numId w:val="6"/>
              </w:numPr>
              <w:spacing w:line="360" w:lineRule="auto"/>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Major colonization and infection of IAD</w:t>
            </w:r>
          </w:p>
          <w:p w14:paraId="371075F3" w14:textId="77777777" w:rsidR="0023545F" w:rsidRPr="00DE61C5" w:rsidRDefault="0023545F" w:rsidP="00392681">
            <w:pPr>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Major colonization and infection of IAD</w:t>
            </w:r>
            <w:r w:rsidRPr="00DE61C5">
              <w:rPr>
                <w:rFonts w:asciiTheme="majorBidi" w:hAnsiTheme="majorBidi" w:cstheme="majorBidi"/>
                <w:sz w:val="18"/>
                <w:szCs w:val="18"/>
                <w:lang w:val="en-US"/>
              </w:rPr>
              <w:t xml:space="preserve"> can manifest both loco-regional and/or systemically:</w:t>
            </w:r>
          </w:p>
          <w:p w14:paraId="0D89C50B" w14:textId="77777777" w:rsidR="0023545F" w:rsidRPr="00DE61C5" w:rsidRDefault="0023545F" w:rsidP="00392681">
            <w:pPr>
              <w:pStyle w:val="Lijstalinea"/>
              <w:numPr>
                <w:ilvl w:val="0"/>
                <w:numId w:val="4"/>
              </w:numPr>
              <w:jc w:val="both"/>
              <w:rPr>
                <w:rFonts w:asciiTheme="majorBidi" w:hAnsiTheme="majorBidi" w:cstheme="majorBidi"/>
                <w:sz w:val="18"/>
                <w:szCs w:val="18"/>
                <w:lang w:val="en-US"/>
              </w:rPr>
            </w:pPr>
            <w:r w:rsidRPr="00DE61C5">
              <w:rPr>
                <w:rFonts w:asciiTheme="majorBidi" w:hAnsiTheme="majorBidi" w:cstheme="majorBidi"/>
                <w:i/>
                <w:iCs/>
                <w:sz w:val="18"/>
                <w:szCs w:val="18"/>
                <w:lang w:val="en-US"/>
              </w:rPr>
              <w:t>Loco-regional signs of major colonization of IAD</w:t>
            </w:r>
            <w:r w:rsidRPr="00DE61C5">
              <w:rPr>
                <w:rFonts w:asciiTheme="majorBidi" w:hAnsiTheme="majorBidi" w:cstheme="majorBidi"/>
                <w:sz w:val="18"/>
                <w:szCs w:val="18"/>
                <w:lang w:val="en-US"/>
              </w:rPr>
              <w:t xml:space="preserve"> are (increased) malodor, increased wound size, increased exudate levels, purulent exudate (pus), slough visible in the wound bed (yellow/brown/greyish/green), and shiny appearance of the wound bed (friable granulation tissue).</w:t>
            </w:r>
          </w:p>
          <w:p w14:paraId="795901B2" w14:textId="77777777" w:rsidR="0023545F" w:rsidRPr="00DE61C5" w:rsidRDefault="0023545F" w:rsidP="00392681">
            <w:pPr>
              <w:pStyle w:val="Lijstalinea"/>
              <w:numPr>
                <w:ilvl w:val="0"/>
                <w:numId w:val="4"/>
              </w:numPr>
              <w:jc w:val="both"/>
              <w:rPr>
                <w:rFonts w:asciiTheme="majorBidi" w:hAnsiTheme="majorBidi" w:cstheme="majorBidi"/>
                <w:sz w:val="18"/>
                <w:szCs w:val="18"/>
                <w:lang w:val="en-US"/>
              </w:rPr>
            </w:pPr>
            <w:r w:rsidRPr="00DE61C5">
              <w:rPr>
                <w:rFonts w:asciiTheme="majorBidi" w:hAnsiTheme="majorBidi" w:cstheme="majorBidi"/>
                <w:i/>
                <w:iCs/>
                <w:sz w:val="18"/>
                <w:szCs w:val="18"/>
                <w:lang w:val="en-US"/>
              </w:rPr>
              <w:t>Loco-regional signs of microbiological infection of IAD</w:t>
            </w:r>
            <w:r w:rsidRPr="00DE61C5">
              <w:rPr>
                <w:rFonts w:asciiTheme="majorBidi" w:hAnsiTheme="majorBidi" w:cstheme="majorBidi"/>
                <w:sz w:val="18"/>
                <w:szCs w:val="18"/>
                <w:lang w:val="en-US"/>
              </w:rPr>
              <w:t xml:space="preserve"> are rubor (redness), calor (increased localized warmth), dolor (increased and excessive level pain), and tumor (increased edema/swelling).</w:t>
            </w:r>
          </w:p>
          <w:p w14:paraId="66A30D89" w14:textId="77777777" w:rsidR="0023545F" w:rsidRPr="00DE61C5" w:rsidRDefault="0023545F" w:rsidP="00392681">
            <w:pPr>
              <w:pStyle w:val="Lijstalinea"/>
              <w:numPr>
                <w:ilvl w:val="0"/>
                <w:numId w:val="4"/>
              </w:numPr>
              <w:jc w:val="both"/>
              <w:rPr>
                <w:rFonts w:asciiTheme="majorBidi" w:hAnsiTheme="majorBidi" w:cstheme="majorBidi"/>
                <w:sz w:val="18"/>
                <w:szCs w:val="18"/>
                <w:lang w:val="en-US"/>
              </w:rPr>
            </w:pPr>
            <w:r w:rsidRPr="00DE61C5">
              <w:rPr>
                <w:rFonts w:asciiTheme="majorBidi" w:hAnsiTheme="majorBidi" w:cstheme="majorBidi"/>
                <w:i/>
                <w:iCs/>
                <w:sz w:val="18"/>
                <w:szCs w:val="18"/>
                <w:lang w:val="en-US"/>
              </w:rPr>
              <w:t>Loco-regional signs of bacterial infection of IAD</w:t>
            </w:r>
            <w:r w:rsidRPr="00DE61C5">
              <w:rPr>
                <w:rFonts w:asciiTheme="majorBidi" w:hAnsiTheme="majorBidi" w:cstheme="majorBidi"/>
                <w:sz w:val="18"/>
                <w:szCs w:val="18"/>
                <w:lang w:val="en-US"/>
              </w:rPr>
              <w:t xml:space="preserve"> include (increased) malodor, increased wound size, increased exudate levels, purulent exudate (pus), slough visible in the wound bed (yellow/brown/greyish/green), and shiny appearance of the wound bed (friable granulation tissue).</w:t>
            </w:r>
          </w:p>
          <w:p w14:paraId="184B34FC" w14:textId="77777777" w:rsidR="0023545F" w:rsidRPr="00DE61C5" w:rsidRDefault="0023545F" w:rsidP="00392681">
            <w:pPr>
              <w:pStyle w:val="Lijstalinea"/>
              <w:numPr>
                <w:ilvl w:val="0"/>
                <w:numId w:val="4"/>
              </w:numPr>
              <w:jc w:val="both"/>
              <w:rPr>
                <w:rFonts w:asciiTheme="majorBidi" w:hAnsiTheme="majorBidi" w:cstheme="majorBidi"/>
                <w:sz w:val="18"/>
                <w:szCs w:val="18"/>
                <w:lang w:val="en-US"/>
              </w:rPr>
            </w:pPr>
            <w:r w:rsidRPr="00DE61C5">
              <w:rPr>
                <w:rFonts w:asciiTheme="majorBidi" w:hAnsiTheme="majorBidi" w:cstheme="majorBidi"/>
                <w:i/>
                <w:iCs/>
                <w:sz w:val="18"/>
                <w:szCs w:val="18"/>
                <w:lang w:val="en-US"/>
              </w:rPr>
              <w:t>Loco-regional signs of fungal infection of IAD</w:t>
            </w:r>
            <w:r w:rsidRPr="00DE61C5">
              <w:rPr>
                <w:rFonts w:asciiTheme="majorBidi" w:hAnsiTheme="majorBidi" w:cstheme="majorBidi"/>
                <w:sz w:val="18"/>
                <w:szCs w:val="18"/>
                <w:lang w:val="en-US"/>
              </w:rPr>
              <w:t xml:space="preserve"> are white scaling on the edge of the lesion, and satellite lesions (pustules surrounding the lesion).</w:t>
            </w:r>
          </w:p>
          <w:p w14:paraId="183C76D3" w14:textId="77777777" w:rsidR="0023545F" w:rsidRPr="00383931" w:rsidRDefault="0023545F" w:rsidP="00A239CB">
            <w:pPr>
              <w:pStyle w:val="Lijstalinea"/>
              <w:numPr>
                <w:ilvl w:val="0"/>
                <w:numId w:val="4"/>
              </w:numPr>
              <w:spacing w:after="60"/>
              <w:ind w:left="357" w:hanging="357"/>
              <w:jc w:val="both"/>
              <w:rPr>
                <w:rFonts w:asciiTheme="majorBidi" w:hAnsiTheme="majorBidi" w:cstheme="majorBidi"/>
                <w:sz w:val="18"/>
                <w:szCs w:val="18"/>
                <w:lang w:val="en-US"/>
              </w:rPr>
            </w:pPr>
            <w:r w:rsidRPr="00DE61C5">
              <w:rPr>
                <w:rFonts w:asciiTheme="majorBidi" w:hAnsiTheme="majorBidi" w:cstheme="majorBidi"/>
                <w:i/>
                <w:iCs/>
                <w:sz w:val="18"/>
                <w:szCs w:val="18"/>
                <w:lang w:val="en-US"/>
              </w:rPr>
              <w:t>Signs of systemic infection related to the presence of IAD</w:t>
            </w:r>
            <w:r w:rsidRPr="00DE61C5">
              <w:rPr>
                <w:rFonts w:asciiTheme="majorBidi" w:hAnsiTheme="majorBidi" w:cstheme="majorBidi"/>
                <w:sz w:val="18"/>
                <w:szCs w:val="18"/>
                <w:lang w:val="en-US"/>
              </w:rPr>
              <w:t xml:space="preserve"> may include fever, malaise, tachycardia, and hypotension.</w:t>
            </w:r>
          </w:p>
        </w:tc>
        <w:tc>
          <w:tcPr>
            <w:tcW w:w="546" w:type="pct"/>
            <w:shd w:val="clear" w:color="auto" w:fill="auto"/>
          </w:tcPr>
          <w:p w14:paraId="62A736DF"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20 (54.1)</w:t>
            </w:r>
          </w:p>
        </w:tc>
        <w:tc>
          <w:tcPr>
            <w:tcW w:w="782" w:type="pct"/>
            <w:shd w:val="clear" w:color="auto" w:fill="auto"/>
          </w:tcPr>
          <w:p w14:paraId="43F0E805"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11 (29.7)</w:t>
            </w:r>
          </w:p>
        </w:tc>
        <w:tc>
          <w:tcPr>
            <w:tcW w:w="624" w:type="pct"/>
            <w:shd w:val="clear" w:color="auto" w:fill="auto"/>
          </w:tcPr>
          <w:p w14:paraId="0C01EDF2"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6 (16.2)</w:t>
            </w:r>
          </w:p>
        </w:tc>
        <w:tc>
          <w:tcPr>
            <w:tcW w:w="390" w:type="pct"/>
          </w:tcPr>
          <w:p w14:paraId="4112267E" w14:textId="77777777" w:rsidR="0023545F" w:rsidRPr="00DE61C5" w:rsidRDefault="0023545F" w:rsidP="007311BC">
            <w:pPr>
              <w:jc w:val="center"/>
              <w:rPr>
                <w:rFonts w:asciiTheme="majorBidi" w:hAnsiTheme="majorBidi" w:cstheme="majorBidi"/>
                <w:sz w:val="18"/>
                <w:szCs w:val="18"/>
              </w:rPr>
            </w:pPr>
            <w:r>
              <w:rPr>
                <w:rFonts w:asciiTheme="majorBidi" w:hAnsiTheme="majorBidi" w:cstheme="majorBidi"/>
                <w:sz w:val="18"/>
                <w:szCs w:val="18"/>
              </w:rPr>
              <w:t>Out</w:t>
            </w:r>
          </w:p>
        </w:tc>
      </w:tr>
      <w:tr w:rsidR="0023545F" w:rsidRPr="00DE61C5" w14:paraId="7A0C41AC" w14:textId="77777777" w:rsidTr="00052B7B">
        <w:tc>
          <w:tcPr>
            <w:tcW w:w="2659" w:type="pct"/>
            <w:gridSpan w:val="2"/>
          </w:tcPr>
          <w:p w14:paraId="04DD4524" w14:textId="77777777" w:rsidR="0023545F" w:rsidRPr="00DE61C5" w:rsidRDefault="0023545F" w:rsidP="007311BC">
            <w:pPr>
              <w:pStyle w:val="Lijstalinea"/>
              <w:numPr>
                <w:ilvl w:val="0"/>
                <w:numId w:val="6"/>
              </w:numPr>
              <w:spacing w:line="360" w:lineRule="auto"/>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 xml:space="preserve">IAD related Quality of Life </w:t>
            </w:r>
          </w:p>
          <w:p w14:paraId="37B2195F" w14:textId="77777777" w:rsidR="0023545F" w:rsidRPr="00DE61C5" w:rsidRDefault="0023545F" w:rsidP="00A239CB">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IAD related Quality of Life</w:t>
            </w:r>
            <w:r w:rsidRPr="00DE61C5">
              <w:rPr>
                <w:rFonts w:asciiTheme="majorBidi" w:hAnsiTheme="majorBidi" w:cstheme="majorBidi"/>
                <w:sz w:val="18"/>
                <w:szCs w:val="18"/>
                <w:lang w:val="en-US"/>
              </w:rPr>
              <w:t xml:space="preserve"> is defined as the degree of physical, material, social, and emotional wellbeing and comfort compromised by the presence of IAD and its associated care by (in)formal caregivers (Felce and Perry, 1995).</w:t>
            </w:r>
            <w:r w:rsidRPr="00DE61C5">
              <w:rPr>
                <w:rFonts w:asciiTheme="majorBidi" w:hAnsiTheme="majorBidi" w:cstheme="majorBidi"/>
                <w:b/>
                <w:bCs/>
                <w:sz w:val="18"/>
                <w:szCs w:val="18"/>
                <w:lang w:val="en-US"/>
              </w:rPr>
              <w:t xml:space="preserve"> </w:t>
            </w:r>
          </w:p>
        </w:tc>
        <w:tc>
          <w:tcPr>
            <w:tcW w:w="546" w:type="pct"/>
          </w:tcPr>
          <w:p w14:paraId="46841A31"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30 (81.1)</w:t>
            </w:r>
          </w:p>
        </w:tc>
        <w:tc>
          <w:tcPr>
            <w:tcW w:w="782" w:type="pct"/>
          </w:tcPr>
          <w:p w14:paraId="54EDAAFB"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3 (8.1)</w:t>
            </w:r>
          </w:p>
        </w:tc>
        <w:tc>
          <w:tcPr>
            <w:tcW w:w="624" w:type="pct"/>
            <w:shd w:val="clear" w:color="auto" w:fill="auto"/>
          </w:tcPr>
          <w:p w14:paraId="3CC54F94"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4 (10.8)</w:t>
            </w:r>
          </w:p>
        </w:tc>
        <w:tc>
          <w:tcPr>
            <w:tcW w:w="390" w:type="pct"/>
          </w:tcPr>
          <w:p w14:paraId="788AA5EC" w14:textId="29BCF0A3" w:rsidR="0023545F" w:rsidRPr="00DE61C5" w:rsidRDefault="008B1897" w:rsidP="007311BC">
            <w:pPr>
              <w:jc w:val="center"/>
              <w:rPr>
                <w:rFonts w:asciiTheme="majorBidi" w:hAnsiTheme="majorBidi" w:cstheme="majorBidi"/>
                <w:sz w:val="18"/>
                <w:szCs w:val="18"/>
              </w:rPr>
            </w:pPr>
            <w:r>
              <w:rPr>
                <w:rFonts w:asciiTheme="majorBidi" w:hAnsiTheme="majorBidi" w:cstheme="majorBidi"/>
                <w:sz w:val="18"/>
                <w:szCs w:val="18"/>
              </w:rPr>
              <w:t>Out</w:t>
            </w:r>
          </w:p>
        </w:tc>
      </w:tr>
      <w:tr w:rsidR="0023545F" w:rsidRPr="00392681" w14:paraId="6A07EAFE" w14:textId="77777777" w:rsidTr="00052B7B">
        <w:tc>
          <w:tcPr>
            <w:tcW w:w="2659" w:type="pct"/>
            <w:gridSpan w:val="2"/>
            <w:tcBorders>
              <w:bottom w:val="single" w:sz="4" w:space="0" w:color="auto"/>
            </w:tcBorders>
          </w:tcPr>
          <w:p w14:paraId="434055E6" w14:textId="77777777" w:rsidR="0023545F" w:rsidRPr="00DE61C5" w:rsidRDefault="0023545F" w:rsidP="007311BC">
            <w:pPr>
              <w:pStyle w:val="Lijstalinea"/>
              <w:numPr>
                <w:ilvl w:val="0"/>
                <w:numId w:val="6"/>
              </w:numPr>
              <w:spacing w:line="360" w:lineRule="auto"/>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lastRenderedPageBreak/>
              <w:t xml:space="preserve">Patient satisfaction </w:t>
            </w:r>
          </w:p>
          <w:p w14:paraId="162C407C" w14:textId="77777777" w:rsidR="0023545F" w:rsidRPr="00DE61C5" w:rsidRDefault="0023545F" w:rsidP="00383931">
            <w:pPr>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Patient satisfaction</w:t>
            </w:r>
            <w:r w:rsidRPr="00DE61C5">
              <w:rPr>
                <w:rFonts w:asciiTheme="majorBidi" w:hAnsiTheme="majorBidi" w:cstheme="majorBidi"/>
                <w:sz w:val="18"/>
                <w:szCs w:val="18"/>
                <w:lang w:val="en-US"/>
              </w:rPr>
              <w:t xml:space="preserve"> is defined as the degree to which the individual regards the intervention (e.g. service, product, program) or the procedure in which it is delivered as useful, effective, or beneficial (based on NCBI MeSH term defini</w:t>
            </w:r>
            <w:r w:rsidR="00383931">
              <w:rPr>
                <w:rFonts w:asciiTheme="majorBidi" w:hAnsiTheme="majorBidi" w:cstheme="majorBidi"/>
                <w:sz w:val="18"/>
                <w:szCs w:val="18"/>
                <w:lang w:val="en-US"/>
              </w:rPr>
              <w:t>tion).</w:t>
            </w:r>
          </w:p>
        </w:tc>
        <w:tc>
          <w:tcPr>
            <w:tcW w:w="546" w:type="pct"/>
            <w:tcBorders>
              <w:bottom w:val="single" w:sz="4" w:space="0" w:color="auto"/>
            </w:tcBorders>
          </w:tcPr>
          <w:p w14:paraId="3AB2860D"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33 (89.2)</w:t>
            </w:r>
          </w:p>
        </w:tc>
        <w:tc>
          <w:tcPr>
            <w:tcW w:w="782" w:type="pct"/>
            <w:tcBorders>
              <w:bottom w:val="single" w:sz="4" w:space="0" w:color="auto"/>
            </w:tcBorders>
          </w:tcPr>
          <w:p w14:paraId="6DCD729E" w14:textId="77777777" w:rsidR="0023545F" w:rsidRPr="00DE61C5"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3 (8.1)</w:t>
            </w:r>
          </w:p>
        </w:tc>
        <w:tc>
          <w:tcPr>
            <w:tcW w:w="624" w:type="pct"/>
            <w:tcBorders>
              <w:bottom w:val="single" w:sz="4" w:space="0" w:color="auto"/>
            </w:tcBorders>
            <w:shd w:val="clear" w:color="auto" w:fill="auto"/>
          </w:tcPr>
          <w:p w14:paraId="7DB305B0" w14:textId="77777777" w:rsidR="0023545F" w:rsidRPr="00392681" w:rsidRDefault="0023545F" w:rsidP="007311BC">
            <w:pPr>
              <w:jc w:val="center"/>
              <w:rPr>
                <w:rFonts w:asciiTheme="majorBidi" w:hAnsiTheme="majorBidi" w:cstheme="majorBidi"/>
                <w:sz w:val="18"/>
                <w:szCs w:val="18"/>
              </w:rPr>
            </w:pPr>
            <w:r w:rsidRPr="00DE61C5">
              <w:rPr>
                <w:rFonts w:asciiTheme="majorBidi" w:hAnsiTheme="majorBidi" w:cstheme="majorBidi"/>
                <w:sz w:val="18"/>
                <w:szCs w:val="18"/>
              </w:rPr>
              <w:t>1 (2.7)</w:t>
            </w:r>
          </w:p>
        </w:tc>
        <w:tc>
          <w:tcPr>
            <w:tcW w:w="390" w:type="pct"/>
            <w:tcBorders>
              <w:bottom w:val="single" w:sz="4" w:space="0" w:color="auto"/>
            </w:tcBorders>
          </w:tcPr>
          <w:p w14:paraId="57EE3F86" w14:textId="77777777" w:rsidR="0023545F" w:rsidRPr="00DE61C5" w:rsidRDefault="0023545F" w:rsidP="007311BC">
            <w:pPr>
              <w:jc w:val="center"/>
              <w:rPr>
                <w:rFonts w:asciiTheme="majorBidi" w:hAnsiTheme="majorBidi" w:cstheme="majorBidi"/>
                <w:sz w:val="18"/>
                <w:szCs w:val="18"/>
              </w:rPr>
            </w:pPr>
            <w:r>
              <w:rPr>
                <w:rFonts w:asciiTheme="majorBidi" w:hAnsiTheme="majorBidi" w:cstheme="majorBidi"/>
                <w:sz w:val="18"/>
                <w:szCs w:val="18"/>
              </w:rPr>
              <w:t>In</w:t>
            </w:r>
          </w:p>
        </w:tc>
      </w:tr>
      <w:tr w:rsidR="00052B7B" w:rsidRPr="00392681" w14:paraId="793421B7" w14:textId="77777777" w:rsidTr="00052B7B">
        <w:tc>
          <w:tcPr>
            <w:tcW w:w="5000" w:type="pct"/>
            <w:gridSpan w:val="6"/>
            <w:tcBorders>
              <w:top w:val="single" w:sz="4" w:space="0" w:color="auto"/>
            </w:tcBorders>
          </w:tcPr>
          <w:p w14:paraId="7B5B50B5" w14:textId="0ADB75F5" w:rsidR="00052B7B" w:rsidRPr="00DF40A2" w:rsidRDefault="00052B7B" w:rsidP="00052B7B">
            <w:pPr>
              <w:rPr>
                <w:rFonts w:asciiTheme="majorBidi" w:hAnsiTheme="majorBidi" w:cstheme="majorBidi"/>
                <w:color w:val="FF0000"/>
                <w:sz w:val="18"/>
                <w:szCs w:val="18"/>
              </w:rPr>
            </w:pPr>
            <w:r w:rsidRPr="00F058B0">
              <w:rPr>
                <w:rFonts w:asciiTheme="majorBidi" w:hAnsiTheme="majorBidi" w:cstheme="majorBidi"/>
                <w:color w:val="FF0000"/>
                <w:sz w:val="18"/>
                <w:szCs w:val="18"/>
              </w:rPr>
              <w:t>IAD, incontinence-associated dermatitis.</w:t>
            </w:r>
          </w:p>
        </w:tc>
      </w:tr>
    </w:tbl>
    <w:p w14:paraId="4CCF0104" w14:textId="77777777" w:rsidR="003C0F9F" w:rsidRDefault="003C0F9F" w:rsidP="007311BC">
      <w:pPr>
        <w:tabs>
          <w:tab w:val="left" w:pos="2460"/>
        </w:tabs>
        <w:rPr>
          <w:rFonts w:asciiTheme="majorBidi" w:hAnsiTheme="majorBidi" w:cstheme="majorBidi"/>
          <w:b/>
          <w:bCs/>
          <w:sz w:val="20"/>
          <w:szCs w:val="20"/>
          <w:lang w:val="en-US"/>
        </w:rPr>
      </w:pPr>
    </w:p>
    <w:p w14:paraId="2E7AC2C0" w14:textId="3F5FBB7F" w:rsidR="003C0F9F" w:rsidRPr="00DE61C5" w:rsidRDefault="003C0F9F" w:rsidP="003C0F9F">
      <w:pPr>
        <w:rPr>
          <w:rFonts w:asciiTheme="majorBidi" w:hAnsiTheme="majorBidi" w:cstheme="majorBidi"/>
          <w:b/>
          <w:bCs/>
          <w:sz w:val="20"/>
          <w:szCs w:val="20"/>
          <w:lang w:val="en-US"/>
        </w:rPr>
      </w:pPr>
    </w:p>
    <w:sectPr w:rsidR="003C0F9F" w:rsidRPr="00DE61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E9D03" w14:textId="77777777" w:rsidR="00C931DB" w:rsidRDefault="00C931DB" w:rsidP="00E53BD0">
      <w:pPr>
        <w:spacing w:after="0" w:line="240" w:lineRule="auto"/>
      </w:pPr>
      <w:r>
        <w:separator/>
      </w:r>
    </w:p>
  </w:endnote>
  <w:endnote w:type="continuationSeparator" w:id="0">
    <w:p w14:paraId="18BCD8B0" w14:textId="77777777" w:rsidR="00C931DB" w:rsidRDefault="00C931DB" w:rsidP="00E5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D5586" w14:textId="77777777" w:rsidR="00C931DB" w:rsidRDefault="00C931DB" w:rsidP="00E53BD0">
      <w:pPr>
        <w:spacing w:after="0" w:line="240" w:lineRule="auto"/>
      </w:pPr>
      <w:r>
        <w:separator/>
      </w:r>
    </w:p>
  </w:footnote>
  <w:footnote w:type="continuationSeparator" w:id="0">
    <w:p w14:paraId="0E13ECD7" w14:textId="77777777" w:rsidR="00C931DB" w:rsidRDefault="00C931DB" w:rsidP="00E53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8F5"/>
    <w:multiLevelType w:val="hybridMultilevel"/>
    <w:tmpl w:val="666CA418"/>
    <w:lvl w:ilvl="0" w:tplc="DC86A51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B240C71"/>
    <w:multiLevelType w:val="hybridMultilevel"/>
    <w:tmpl w:val="666CA418"/>
    <w:lvl w:ilvl="0" w:tplc="DC86A51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7403753"/>
    <w:multiLevelType w:val="hybridMultilevel"/>
    <w:tmpl w:val="D616BC7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0662811"/>
    <w:multiLevelType w:val="hybridMultilevel"/>
    <w:tmpl w:val="BBE4A5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090022"/>
    <w:multiLevelType w:val="hybridMultilevel"/>
    <w:tmpl w:val="C7940FCC"/>
    <w:lvl w:ilvl="0" w:tplc="7206D932">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A8B0460"/>
    <w:multiLevelType w:val="hybridMultilevel"/>
    <w:tmpl w:val="AC9EA428"/>
    <w:lvl w:ilvl="0" w:tplc="42FC3062">
      <w:start w:val="10"/>
      <w:numFmt w:val="bullet"/>
      <w:lvlText w:val=""/>
      <w:lvlJc w:val="left"/>
      <w:pPr>
        <w:ind w:left="720" w:hanging="360"/>
      </w:pPr>
      <w:rPr>
        <w:rFonts w:ascii="Symbol" w:eastAsiaTheme="minorHAnsi"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30D5141"/>
    <w:multiLevelType w:val="hybridMultilevel"/>
    <w:tmpl w:val="6644A7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44B798B"/>
    <w:multiLevelType w:val="hybridMultilevel"/>
    <w:tmpl w:val="1DB4ECD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BA0400A"/>
    <w:multiLevelType w:val="hybridMultilevel"/>
    <w:tmpl w:val="C1B032E4"/>
    <w:lvl w:ilvl="0" w:tplc="4FA497AA">
      <w:start w:val="9"/>
      <w:numFmt w:val="bullet"/>
      <w:lvlText w:val=""/>
      <w:lvlJc w:val="left"/>
      <w:pPr>
        <w:ind w:left="720" w:hanging="360"/>
      </w:pPr>
      <w:rPr>
        <w:rFonts w:ascii="Symbol" w:eastAsiaTheme="minorHAnsi"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AB"/>
    <w:rsid w:val="00001DC0"/>
    <w:rsid w:val="00005289"/>
    <w:rsid w:val="00010EE1"/>
    <w:rsid w:val="00011755"/>
    <w:rsid w:val="00020737"/>
    <w:rsid w:val="000211DA"/>
    <w:rsid w:val="00047C49"/>
    <w:rsid w:val="00052B7B"/>
    <w:rsid w:val="00081489"/>
    <w:rsid w:val="00095ED6"/>
    <w:rsid w:val="00111C4C"/>
    <w:rsid w:val="00125489"/>
    <w:rsid w:val="00126703"/>
    <w:rsid w:val="0013258C"/>
    <w:rsid w:val="00133664"/>
    <w:rsid w:val="00150B92"/>
    <w:rsid w:val="00172252"/>
    <w:rsid w:val="001B1BAB"/>
    <w:rsid w:val="001D1DF2"/>
    <w:rsid w:val="001D2A6D"/>
    <w:rsid w:val="001E0E61"/>
    <w:rsid w:val="001F14D6"/>
    <w:rsid w:val="002233FE"/>
    <w:rsid w:val="0022544A"/>
    <w:rsid w:val="00234EB7"/>
    <w:rsid w:val="0023545F"/>
    <w:rsid w:val="002763EF"/>
    <w:rsid w:val="002A5D4B"/>
    <w:rsid w:val="002B53E1"/>
    <w:rsid w:val="002C4695"/>
    <w:rsid w:val="002E039F"/>
    <w:rsid w:val="002E43F8"/>
    <w:rsid w:val="00306C7D"/>
    <w:rsid w:val="00313261"/>
    <w:rsid w:val="00347C04"/>
    <w:rsid w:val="00347E4F"/>
    <w:rsid w:val="00351B7D"/>
    <w:rsid w:val="00362253"/>
    <w:rsid w:val="00365C5A"/>
    <w:rsid w:val="00383931"/>
    <w:rsid w:val="0038795F"/>
    <w:rsid w:val="0039219F"/>
    <w:rsid w:val="00392681"/>
    <w:rsid w:val="00394089"/>
    <w:rsid w:val="003A34DD"/>
    <w:rsid w:val="003C0F9F"/>
    <w:rsid w:val="003D1254"/>
    <w:rsid w:val="00401F14"/>
    <w:rsid w:val="004059FF"/>
    <w:rsid w:val="00405CE1"/>
    <w:rsid w:val="00407FEA"/>
    <w:rsid w:val="00421686"/>
    <w:rsid w:val="004377CC"/>
    <w:rsid w:val="004622EA"/>
    <w:rsid w:val="00480C97"/>
    <w:rsid w:val="00483704"/>
    <w:rsid w:val="004B7DDC"/>
    <w:rsid w:val="004D6060"/>
    <w:rsid w:val="004E26ED"/>
    <w:rsid w:val="0050520A"/>
    <w:rsid w:val="00511A8D"/>
    <w:rsid w:val="00534123"/>
    <w:rsid w:val="00544450"/>
    <w:rsid w:val="00544EE7"/>
    <w:rsid w:val="00567072"/>
    <w:rsid w:val="00582623"/>
    <w:rsid w:val="005A35B8"/>
    <w:rsid w:val="005A70BD"/>
    <w:rsid w:val="005E4C66"/>
    <w:rsid w:val="00602577"/>
    <w:rsid w:val="00617EBB"/>
    <w:rsid w:val="006313D9"/>
    <w:rsid w:val="00651AD1"/>
    <w:rsid w:val="00660464"/>
    <w:rsid w:val="006811D2"/>
    <w:rsid w:val="006D4C96"/>
    <w:rsid w:val="007311BC"/>
    <w:rsid w:val="00740676"/>
    <w:rsid w:val="007F3D3B"/>
    <w:rsid w:val="008027C2"/>
    <w:rsid w:val="00807501"/>
    <w:rsid w:val="008166E2"/>
    <w:rsid w:val="0082706B"/>
    <w:rsid w:val="00827C78"/>
    <w:rsid w:val="00832EE0"/>
    <w:rsid w:val="00835E6F"/>
    <w:rsid w:val="008663AF"/>
    <w:rsid w:val="00875FC3"/>
    <w:rsid w:val="00883BA1"/>
    <w:rsid w:val="008B1897"/>
    <w:rsid w:val="008B55FA"/>
    <w:rsid w:val="008C6465"/>
    <w:rsid w:val="008E0CE8"/>
    <w:rsid w:val="008F6646"/>
    <w:rsid w:val="0090684B"/>
    <w:rsid w:val="009174FF"/>
    <w:rsid w:val="009225D1"/>
    <w:rsid w:val="00930FF2"/>
    <w:rsid w:val="0093106C"/>
    <w:rsid w:val="00943613"/>
    <w:rsid w:val="00963D12"/>
    <w:rsid w:val="00982BFA"/>
    <w:rsid w:val="00984A33"/>
    <w:rsid w:val="00987563"/>
    <w:rsid w:val="009911FC"/>
    <w:rsid w:val="009A76AD"/>
    <w:rsid w:val="009D4586"/>
    <w:rsid w:val="00A17C34"/>
    <w:rsid w:val="00A239CB"/>
    <w:rsid w:val="00A247D1"/>
    <w:rsid w:val="00A315AC"/>
    <w:rsid w:val="00A57AB5"/>
    <w:rsid w:val="00A60912"/>
    <w:rsid w:val="00A807A7"/>
    <w:rsid w:val="00A81374"/>
    <w:rsid w:val="00AA14FD"/>
    <w:rsid w:val="00AB1EED"/>
    <w:rsid w:val="00AB30C1"/>
    <w:rsid w:val="00AD4EC6"/>
    <w:rsid w:val="00AE7348"/>
    <w:rsid w:val="00B04080"/>
    <w:rsid w:val="00B10AA1"/>
    <w:rsid w:val="00B136CF"/>
    <w:rsid w:val="00B16E60"/>
    <w:rsid w:val="00B177B0"/>
    <w:rsid w:val="00B25BC1"/>
    <w:rsid w:val="00B3638C"/>
    <w:rsid w:val="00B926B3"/>
    <w:rsid w:val="00BA54D6"/>
    <w:rsid w:val="00BA6BEF"/>
    <w:rsid w:val="00BF2461"/>
    <w:rsid w:val="00BF2DD0"/>
    <w:rsid w:val="00C067C1"/>
    <w:rsid w:val="00C10C20"/>
    <w:rsid w:val="00C14FFF"/>
    <w:rsid w:val="00C33A89"/>
    <w:rsid w:val="00C6369E"/>
    <w:rsid w:val="00C66FC1"/>
    <w:rsid w:val="00C931DB"/>
    <w:rsid w:val="00CA614D"/>
    <w:rsid w:val="00CB057A"/>
    <w:rsid w:val="00CC4B7C"/>
    <w:rsid w:val="00CD6876"/>
    <w:rsid w:val="00CE6719"/>
    <w:rsid w:val="00D02383"/>
    <w:rsid w:val="00D16418"/>
    <w:rsid w:val="00D229C6"/>
    <w:rsid w:val="00D25EC3"/>
    <w:rsid w:val="00D44AD2"/>
    <w:rsid w:val="00D57E5E"/>
    <w:rsid w:val="00D957B2"/>
    <w:rsid w:val="00DA4FFA"/>
    <w:rsid w:val="00DB2BBC"/>
    <w:rsid w:val="00DC7F1D"/>
    <w:rsid w:val="00DE61C5"/>
    <w:rsid w:val="00DF40A2"/>
    <w:rsid w:val="00DF73A9"/>
    <w:rsid w:val="00E41051"/>
    <w:rsid w:val="00E45D93"/>
    <w:rsid w:val="00E51612"/>
    <w:rsid w:val="00E52DDC"/>
    <w:rsid w:val="00E53BD0"/>
    <w:rsid w:val="00E55C4C"/>
    <w:rsid w:val="00E619C5"/>
    <w:rsid w:val="00E72C47"/>
    <w:rsid w:val="00EB78D5"/>
    <w:rsid w:val="00ED4E87"/>
    <w:rsid w:val="00EE401C"/>
    <w:rsid w:val="00EE7E1A"/>
    <w:rsid w:val="00F058B0"/>
    <w:rsid w:val="00F13404"/>
    <w:rsid w:val="00F209AA"/>
    <w:rsid w:val="00F73101"/>
    <w:rsid w:val="00F741BC"/>
    <w:rsid w:val="00F85CA1"/>
    <w:rsid w:val="00F87DF4"/>
    <w:rsid w:val="00F903E6"/>
    <w:rsid w:val="00FB5FE5"/>
    <w:rsid w:val="00FB7AF9"/>
    <w:rsid w:val="00FF76D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F46B"/>
  <w15:chartTrackingRefBased/>
  <w15:docId w15:val="{0FA78BEE-2AC5-4174-850D-AB41AF32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13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E43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43F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47E4F"/>
    <w:pPr>
      <w:ind w:left="720"/>
      <w:contextualSpacing/>
    </w:pPr>
  </w:style>
  <w:style w:type="table" w:styleId="Tabelraster">
    <w:name w:val="Table Grid"/>
    <w:basedOn w:val="Standaardtabel"/>
    <w:uiPriority w:val="39"/>
    <w:rsid w:val="00347E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48370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83704"/>
    <w:rPr>
      <w:rFonts w:eastAsiaTheme="minorEastAsia"/>
      <w:color w:val="5A5A5A" w:themeColor="text1" w:themeTint="A5"/>
      <w:spacing w:val="15"/>
    </w:rPr>
  </w:style>
  <w:style w:type="paragraph" w:styleId="Ballontekst">
    <w:name w:val="Balloon Text"/>
    <w:basedOn w:val="Standaard"/>
    <w:link w:val="BallontekstChar"/>
    <w:uiPriority w:val="99"/>
    <w:semiHidden/>
    <w:unhideWhenUsed/>
    <w:rsid w:val="00832E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EE0"/>
    <w:rPr>
      <w:rFonts w:ascii="Segoe UI" w:hAnsi="Segoe UI" w:cs="Segoe UI"/>
      <w:sz w:val="18"/>
      <w:szCs w:val="18"/>
    </w:rPr>
  </w:style>
  <w:style w:type="character" w:customStyle="1" w:styleId="Kop1Char">
    <w:name w:val="Kop 1 Char"/>
    <w:basedOn w:val="Standaardalinea-lettertype"/>
    <w:link w:val="Kop1"/>
    <w:uiPriority w:val="9"/>
    <w:rsid w:val="00B136CF"/>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047C49"/>
    <w:rPr>
      <w:sz w:val="16"/>
      <w:szCs w:val="16"/>
    </w:rPr>
  </w:style>
  <w:style w:type="paragraph" w:styleId="Tekstopmerking">
    <w:name w:val="annotation text"/>
    <w:basedOn w:val="Standaard"/>
    <w:link w:val="TekstopmerkingChar"/>
    <w:uiPriority w:val="99"/>
    <w:semiHidden/>
    <w:unhideWhenUsed/>
    <w:rsid w:val="00047C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7C49"/>
    <w:rPr>
      <w:sz w:val="20"/>
      <w:szCs w:val="20"/>
    </w:rPr>
  </w:style>
  <w:style w:type="paragraph" w:styleId="Onderwerpvanopmerking">
    <w:name w:val="annotation subject"/>
    <w:basedOn w:val="Tekstopmerking"/>
    <w:next w:val="Tekstopmerking"/>
    <w:link w:val="OnderwerpvanopmerkingChar"/>
    <w:uiPriority w:val="99"/>
    <w:semiHidden/>
    <w:unhideWhenUsed/>
    <w:rsid w:val="00047C49"/>
    <w:rPr>
      <w:b/>
      <w:bCs/>
    </w:rPr>
  </w:style>
  <w:style w:type="character" w:customStyle="1" w:styleId="OnderwerpvanopmerkingChar">
    <w:name w:val="Onderwerp van opmerking Char"/>
    <w:basedOn w:val="TekstopmerkingChar"/>
    <w:link w:val="Onderwerpvanopmerking"/>
    <w:uiPriority w:val="99"/>
    <w:semiHidden/>
    <w:rsid w:val="00047C49"/>
    <w:rPr>
      <w:b/>
      <w:bCs/>
      <w:sz w:val="20"/>
      <w:szCs w:val="20"/>
    </w:rPr>
  </w:style>
  <w:style w:type="paragraph" w:styleId="Koptekst">
    <w:name w:val="header"/>
    <w:basedOn w:val="Standaard"/>
    <w:link w:val="KoptekstChar"/>
    <w:uiPriority w:val="99"/>
    <w:unhideWhenUsed/>
    <w:rsid w:val="00E53B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BD0"/>
  </w:style>
  <w:style w:type="paragraph" w:styleId="Voettekst">
    <w:name w:val="footer"/>
    <w:basedOn w:val="Standaard"/>
    <w:link w:val="VoettekstChar"/>
    <w:uiPriority w:val="99"/>
    <w:unhideWhenUsed/>
    <w:rsid w:val="00E53B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3BA6-1474-4112-B304-9825BED0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503</Words>
  <Characters>2769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den Bussche</dc:creator>
  <cp:keywords/>
  <dc:description/>
  <cp:lastModifiedBy>Karen Van den Bussche</cp:lastModifiedBy>
  <cp:revision>64</cp:revision>
  <cp:lastPrinted>2017-10-23T11:58:00Z</cp:lastPrinted>
  <dcterms:created xsi:type="dcterms:W3CDTF">2017-06-15T15:21:00Z</dcterms:created>
  <dcterms:modified xsi:type="dcterms:W3CDTF">2018-01-03T13:31:00Z</dcterms:modified>
</cp:coreProperties>
</file>