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A8C23" w14:textId="77777777" w:rsidR="008F7CEA" w:rsidRPr="00F961FF" w:rsidRDefault="008F7CEA" w:rsidP="00DF257B">
      <w:pPr>
        <w:widowControl w:val="0"/>
        <w:autoSpaceDE w:val="0"/>
        <w:autoSpaceDN w:val="0"/>
        <w:adjustRightInd w:val="0"/>
        <w:spacing w:line="480" w:lineRule="auto"/>
        <w:rPr>
          <w:rFonts w:cs="Arial"/>
          <w:b/>
          <w:color w:val="000000" w:themeColor="text1"/>
        </w:rPr>
      </w:pPr>
      <w:r w:rsidRPr="00DF257B">
        <w:rPr>
          <w:rFonts w:cs="Arial"/>
          <w:b/>
          <w:color w:val="000000" w:themeColor="text1"/>
        </w:rPr>
        <w:t xml:space="preserve">The Anatomical Society Core Anatomy Syllabus for Pharmacists: </w:t>
      </w:r>
      <w:r w:rsidRPr="00F961FF">
        <w:rPr>
          <w:rFonts w:cs="Arial"/>
          <w:b/>
          <w:color w:val="000000" w:themeColor="text1"/>
        </w:rPr>
        <w:t>Outcomes to Create a Foundation for Practice</w:t>
      </w:r>
    </w:p>
    <w:p w14:paraId="05AEEE44" w14:textId="77777777" w:rsidR="007A6F4F" w:rsidRPr="00F961FF" w:rsidRDefault="007A6F4F" w:rsidP="00DF257B">
      <w:pPr>
        <w:widowControl w:val="0"/>
        <w:autoSpaceDE w:val="0"/>
        <w:autoSpaceDN w:val="0"/>
        <w:adjustRightInd w:val="0"/>
        <w:spacing w:line="480" w:lineRule="auto"/>
        <w:rPr>
          <w:rFonts w:cs="Arial"/>
          <w:b/>
          <w:color w:val="000000" w:themeColor="text1"/>
        </w:rPr>
      </w:pPr>
    </w:p>
    <w:p w14:paraId="22F74820" w14:textId="77777777" w:rsidR="007A6F4F" w:rsidRPr="00F961FF" w:rsidRDefault="007A6F4F" w:rsidP="00DF257B">
      <w:pPr>
        <w:spacing w:line="480" w:lineRule="auto"/>
        <w:rPr>
          <w:rFonts w:cs="Arial"/>
          <w:color w:val="000000" w:themeColor="text1"/>
        </w:rPr>
      </w:pPr>
      <w:r w:rsidRPr="00F961FF">
        <w:rPr>
          <w:rFonts w:cs="Arial"/>
          <w:color w:val="000000" w:themeColor="text1"/>
        </w:rPr>
        <w:t>Gabrielle M. Finn</w:t>
      </w:r>
      <w:r w:rsidRPr="00F961FF">
        <w:rPr>
          <w:rFonts w:cs="Arial"/>
          <w:color w:val="000000" w:themeColor="text1"/>
          <w:vertAlign w:val="superscript"/>
        </w:rPr>
        <w:t>1</w:t>
      </w:r>
      <w:r w:rsidRPr="00F961FF">
        <w:rPr>
          <w:rFonts w:cs="Arial"/>
          <w:color w:val="000000" w:themeColor="text1"/>
        </w:rPr>
        <w:t xml:space="preserve">, </w:t>
      </w:r>
      <w:proofErr w:type="spellStart"/>
      <w:r w:rsidRPr="00F961FF">
        <w:rPr>
          <w:rFonts w:cs="Arial"/>
          <w:color w:val="000000" w:themeColor="text1"/>
        </w:rPr>
        <w:t>Geeta</w:t>
      </w:r>
      <w:proofErr w:type="spellEnd"/>
      <w:r w:rsidRPr="00F961FF">
        <w:rPr>
          <w:rFonts w:cs="Arial"/>
          <w:color w:val="000000" w:themeColor="text1"/>
        </w:rPr>
        <w:t xml:space="preserve"> Hitch</w:t>
      </w:r>
      <w:r w:rsidRPr="00F961FF">
        <w:rPr>
          <w:rFonts w:cs="Arial"/>
          <w:color w:val="000000" w:themeColor="text1"/>
          <w:vertAlign w:val="superscript"/>
        </w:rPr>
        <w:t>2</w:t>
      </w:r>
      <w:r w:rsidRPr="00F961FF">
        <w:rPr>
          <w:rFonts w:cs="Arial"/>
          <w:color w:val="000000" w:themeColor="text1"/>
        </w:rPr>
        <w:t xml:space="preserve">, </w:t>
      </w:r>
      <w:proofErr w:type="spellStart"/>
      <w:r w:rsidRPr="00F961FF">
        <w:rPr>
          <w:rFonts w:cs="Arial"/>
          <w:color w:val="000000" w:themeColor="text1"/>
        </w:rPr>
        <w:t>Buge</w:t>
      </w:r>
      <w:proofErr w:type="spellEnd"/>
      <w:r w:rsidRPr="00F961FF">
        <w:rPr>
          <w:rFonts w:cs="Arial"/>
          <w:color w:val="000000" w:themeColor="text1"/>
        </w:rPr>
        <w:t xml:space="preserve"> Apampa</w:t>
      </w:r>
      <w:r w:rsidRPr="00F961FF">
        <w:rPr>
          <w:rFonts w:cs="Arial"/>
          <w:color w:val="000000" w:themeColor="text1"/>
          <w:vertAlign w:val="superscript"/>
        </w:rPr>
        <w:t>2</w:t>
      </w:r>
      <w:r w:rsidRPr="00F961FF">
        <w:rPr>
          <w:rFonts w:cs="Arial"/>
          <w:color w:val="000000" w:themeColor="text1"/>
        </w:rPr>
        <w:t>, Catherine M. Hennessy</w:t>
      </w:r>
      <w:r w:rsidRPr="00F961FF">
        <w:rPr>
          <w:rFonts w:cs="Arial"/>
          <w:color w:val="000000" w:themeColor="text1"/>
          <w:vertAlign w:val="superscript"/>
        </w:rPr>
        <w:t>3</w:t>
      </w:r>
      <w:r w:rsidRPr="00F961FF">
        <w:rPr>
          <w:rFonts w:cs="Arial"/>
          <w:color w:val="000000" w:themeColor="text1"/>
        </w:rPr>
        <w:t>, Claire F. Smith</w:t>
      </w:r>
      <w:r w:rsidRPr="00F961FF">
        <w:rPr>
          <w:rFonts w:cs="Arial"/>
          <w:color w:val="000000" w:themeColor="text1"/>
          <w:vertAlign w:val="superscript"/>
        </w:rPr>
        <w:t xml:space="preserve">3, </w:t>
      </w:r>
      <w:r w:rsidR="00C34F6F" w:rsidRPr="00F961FF">
        <w:rPr>
          <w:rFonts w:cs="Arial"/>
          <w:color w:val="000000" w:themeColor="text1"/>
        </w:rPr>
        <w:t>Jane Stewart</w:t>
      </w:r>
      <w:r w:rsidR="00C34F6F" w:rsidRPr="00F961FF">
        <w:rPr>
          <w:rFonts w:cs="Arial"/>
          <w:color w:val="000000" w:themeColor="text1"/>
          <w:vertAlign w:val="superscript"/>
        </w:rPr>
        <w:t xml:space="preserve"> 4, </w:t>
      </w:r>
      <w:r w:rsidRPr="00F961FF">
        <w:rPr>
          <w:rFonts w:cs="Arial"/>
          <w:color w:val="000000" w:themeColor="text1"/>
        </w:rPr>
        <w:t>Paul R Gard</w:t>
      </w:r>
      <w:r w:rsidR="00C34F6F" w:rsidRPr="00F961FF">
        <w:rPr>
          <w:rFonts w:cs="Arial"/>
          <w:color w:val="000000" w:themeColor="text1"/>
          <w:vertAlign w:val="superscript"/>
        </w:rPr>
        <w:t>5</w:t>
      </w:r>
      <w:r w:rsidRPr="00F961FF">
        <w:rPr>
          <w:rFonts w:cs="Arial"/>
          <w:color w:val="000000" w:themeColor="text1"/>
          <w:vertAlign w:val="superscript"/>
        </w:rPr>
        <w:t xml:space="preserve">. </w:t>
      </w:r>
    </w:p>
    <w:p w14:paraId="0396A78E" w14:textId="77777777" w:rsidR="007A6F4F" w:rsidRPr="00F961FF" w:rsidRDefault="007A6F4F" w:rsidP="00DF257B">
      <w:pPr>
        <w:spacing w:line="480" w:lineRule="auto"/>
        <w:rPr>
          <w:rFonts w:cs="Arial"/>
          <w:color w:val="000000" w:themeColor="text1"/>
        </w:rPr>
      </w:pPr>
    </w:p>
    <w:p w14:paraId="45A6A157" w14:textId="77777777" w:rsidR="007A6F4F" w:rsidRPr="00F961FF" w:rsidRDefault="007A6F4F" w:rsidP="00DF257B">
      <w:pPr>
        <w:spacing w:line="480" w:lineRule="auto"/>
        <w:jc w:val="both"/>
        <w:rPr>
          <w:rFonts w:cs="Arial"/>
          <w:b/>
          <w:color w:val="000000" w:themeColor="text1"/>
        </w:rPr>
      </w:pPr>
      <w:r w:rsidRPr="00F961FF">
        <w:rPr>
          <w:rFonts w:cs="Arial"/>
          <w:b/>
          <w:color w:val="000000" w:themeColor="text1"/>
          <w:vertAlign w:val="superscript"/>
        </w:rPr>
        <w:t xml:space="preserve">1 </w:t>
      </w:r>
      <w:r w:rsidRPr="00F961FF">
        <w:rPr>
          <w:rFonts w:cs="Arial"/>
          <w:b/>
          <w:color w:val="000000" w:themeColor="text1"/>
        </w:rPr>
        <w:t xml:space="preserve">Hull York Medical School, University of York, United Kingdom; </w:t>
      </w:r>
      <w:r w:rsidRPr="00F961FF">
        <w:rPr>
          <w:rFonts w:cs="Arial"/>
          <w:b/>
          <w:color w:val="000000" w:themeColor="text1"/>
          <w:vertAlign w:val="superscript"/>
        </w:rPr>
        <w:t>2</w:t>
      </w:r>
      <w:r w:rsidRPr="00F961FF">
        <w:rPr>
          <w:rFonts w:cs="Arial"/>
          <w:b/>
          <w:color w:val="000000" w:themeColor="text1"/>
        </w:rPr>
        <w:t xml:space="preserve"> Pharmacy, </w:t>
      </w:r>
      <w:proofErr w:type="spellStart"/>
      <w:r w:rsidRPr="00F961FF">
        <w:rPr>
          <w:rFonts w:cs="Arial"/>
          <w:b/>
          <w:color w:val="000000" w:themeColor="text1"/>
        </w:rPr>
        <w:t>Dept</w:t>
      </w:r>
      <w:proofErr w:type="spellEnd"/>
      <w:r w:rsidRPr="00F961FF">
        <w:rPr>
          <w:rFonts w:cs="Arial"/>
          <w:b/>
          <w:color w:val="000000" w:themeColor="text1"/>
        </w:rPr>
        <w:t xml:space="preserve"> of Life Sciences, University of Sussex, United Kingdom; </w:t>
      </w:r>
      <w:r w:rsidRPr="00F961FF">
        <w:rPr>
          <w:rFonts w:cs="Arial"/>
          <w:b/>
          <w:color w:val="000000" w:themeColor="text1"/>
          <w:vertAlign w:val="superscript"/>
        </w:rPr>
        <w:t>3</w:t>
      </w:r>
      <w:r w:rsidRPr="00F961FF">
        <w:rPr>
          <w:rFonts w:cs="Arial"/>
          <w:b/>
          <w:color w:val="000000" w:themeColor="text1"/>
        </w:rPr>
        <w:t xml:space="preserve"> Brighton and Sussex Medical School, University of Sussex, United Kingdom;</w:t>
      </w:r>
      <w:r w:rsidR="00C34F6F" w:rsidRPr="00F961FF">
        <w:rPr>
          <w:rFonts w:cs="Arial"/>
          <w:b/>
          <w:color w:val="000000" w:themeColor="text1"/>
        </w:rPr>
        <w:t xml:space="preserve"> </w:t>
      </w:r>
      <w:r w:rsidR="00C34F6F" w:rsidRPr="00F961FF">
        <w:rPr>
          <w:rFonts w:cs="Arial"/>
          <w:b/>
          <w:color w:val="000000" w:themeColor="text1"/>
          <w:vertAlign w:val="superscript"/>
        </w:rPr>
        <w:t>4</w:t>
      </w:r>
      <w:r w:rsidR="00C34F6F" w:rsidRPr="00F961FF">
        <w:rPr>
          <w:rFonts w:cs="Arial"/>
          <w:b/>
          <w:color w:val="000000" w:themeColor="text1"/>
        </w:rPr>
        <w:t xml:space="preserve"> University of Newcastle, United Kingdom,</w:t>
      </w:r>
      <w:r w:rsidRPr="00F961FF">
        <w:rPr>
          <w:rFonts w:cs="Arial"/>
          <w:b/>
          <w:color w:val="000000" w:themeColor="text1"/>
        </w:rPr>
        <w:t xml:space="preserve"> </w:t>
      </w:r>
      <w:r w:rsidR="00C34F6F" w:rsidRPr="00F961FF">
        <w:rPr>
          <w:rFonts w:cs="Arial"/>
          <w:b/>
          <w:color w:val="000000" w:themeColor="text1"/>
          <w:vertAlign w:val="superscript"/>
        </w:rPr>
        <w:t>5</w:t>
      </w:r>
      <w:r w:rsidRPr="00F961FF">
        <w:rPr>
          <w:rFonts w:cs="Arial"/>
          <w:b/>
          <w:color w:val="000000" w:themeColor="text1"/>
        </w:rPr>
        <w:t xml:space="preserve"> School of Pharmacy &amp; Biomolecular Science, University of Brighton.</w:t>
      </w:r>
    </w:p>
    <w:p w14:paraId="24886DA2" w14:textId="77777777" w:rsidR="008F7CEA" w:rsidRPr="00F961FF" w:rsidRDefault="008F7CEA" w:rsidP="00DF257B">
      <w:pPr>
        <w:widowControl w:val="0"/>
        <w:autoSpaceDE w:val="0"/>
        <w:autoSpaceDN w:val="0"/>
        <w:adjustRightInd w:val="0"/>
        <w:spacing w:line="480" w:lineRule="auto"/>
        <w:rPr>
          <w:rFonts w:cs="Arial"/>
          <w:b/>
          <w:color w:val="000000" w:themeColor="text1"/>
        </w:rPr>
      </w:pPr>
    </w:p>
    <w:p w14:paraId="20E2B054" w14:textId="77777777" w:rsidR="006F7FAF" w:rsidRPr="00F961FF" w:rsidRDefault="006F7FAF" w:rsidP="00DF257B">
      <w:pPr>
        <w:widowControl w:val="0"/>
        <w:autoSpaceDE w:val="0"/>
        <w:autoSpaceDN w:val="0"/>
        <w:adjustRightInd w:val="0"/>
        <w:spacing w:line="480" w:lineRule="auto"/>
        <w:outlineLvl w:val="0"/>
        <w:rPr>
          <w:rFonts w:cs="Arial"/>
          <w:b/>
          <w:color w:val="000000" w:themeColor="text1"/>
        </w:rPr>
      </w:pPr>
      <w:r w:rsidRPr="00F961FF">
        <w:rPr>
          <w:rFonts w:cs="Arial"/>
          <w:b/>
          <w:color w:val="000000" w:themeColor="text1"/>
        </w:rPr>
        <w:t>Abstract</w:t>
      </w:r>
    </w:p>
    <w:p w14:paraId="33933D24" w14:textId="77777777" w:rsidR="006F7FAF" w:rsidRPr="00F961FF" w:rsidRDefault="006F7FAF" w:rsidP="00DF257B">
      <w:pPr>
        <w:widowControl w:val="0"/>
        <w:autoSpaceDE w:val="0"/>
        <w:autoSpaceDN w:val="0"/>
        <w:adjustRightInd w:val="0"/>
        <w:spacing w:line="480" w:lineRule="auto"/>
        <w:jc w:val="both"/>
        <w:rPr>
          <w:rFonts w:cs="Arial"/>
          <w:color w:val="000000" w:themeColor="text1"/>
        </w:rPr>
      </w:pPr>
      <w:r w:rsidRPr="00F961FF">
        <w:rPr>
          <w:rFonts w:cs="Arial"/>
          <w:color w:val="000000" w:themeColor="text1"/>
        </w:rPr>
        <w:t xml:space="preserve">The Anatomical Society has developed a series of learning outcomes that </w:t>
      </w:r>
      <w:r w:rsidR="00AE01C2" w:rsidRPr="00F961FF">
        <w:rPr>
          <w:rFonts w:cs="Arial"/>
          <w:color w:val="000000" w:themeColor="text1"/>
        </w:rPr>
        <w:t xml:space="preserve">‘experts’ within the field would </w:t>
      </w:r>
      <w:r w:rsidRPr="00F961FF">
        <w:rPr>
          <w:rFonts w:cs="Arial"/>
          <w:color w:val="000000" w:themeColor="text1"/>
        </w:rPr>
        <w:t>recommend as core</w:t>
      </w:r>
      <w:r w:rsidR="00AE01C2" w:rsidRPr="00F961FF">
        <w:rPr>
          <w:rFonts w:cs="Arial"/>
          <w:color w:val="000000" w:themeColor="text1"/>
        </w:rPr>
        <w:t xml:space="preserve"> knowledge outputs</w:t>
      </w:r>
      <w:r w:rsidRPr="00F961FF">
        <w:rPr>
          <w:rFonts w:cs="Arial"/>
          <w:color w:val="000000" w:themeColor="text1"/>
        </w:rPr>
        <w:t xml:space="preserve"> for </w:t>
      </w:r>
      <w:r w:rsidR="0032522B" w:rsidRPr="00F961FF">
        <w:rPr>
          <w:rFonts w:cs="Arial"/>
          <w:color w:val="000000" w:themeColor="text1"/>
        </w:rPr>
        <w:t>Master</w:t>
      </w:r>
      <w:r w:rsidR="00AE01C2" w:rsidRPr="00F961FF">
        <w:rPr>
          <w:rFonts w:cs="Arial"/>
          <w:color w:val="000000" w:themeColor="text1"/>
        </w:rPr>
        <w:t>’</w:t>
      </w:r>
      <w:r w:rsidR="0032522B" w:rsidRPr="00F961FF">
        <w:rPr>
          <w:rFonts w:cs="Arial"/>
          <w:color w:val="000000" w:themeColor="text1"/>
        </w:rPr>
        <w:t xml:space="preserve">s Degree </w:t>
      </w:r>
      <w:proofErr w:type="spellStart"/>
      <w:r w:rsidR="0032522B" w:rsidRPr="00F961FF">
        <w:rPr>
          <w:rFonts w:cs="Arial"/>
          <w:color w:val="000000" w:themeColor="text1"/>
        </w:rPr>
        <w:t>Programme</w:t>
      </w:r>
      <w:proofErr w:type="spellEnd"/>
      <w:r w:rsidR="0032522B" w:rsidRPr="00F961FF">
        <w:rPr>
          <w:rFonts w:cs="Arial"/>
          <w:color w:val="000000" w:themeColor="text1"/>
        </w:rPr>
        <w:t xml:space="preserve"> in Pharmacy (</w:t>
      </w:r>
      <w:proofErr w:type="spellStart"/>
      <w:r w:rsidR="0032522B" w:rsidRPr="00F961FF">
        <w:rPr>
          <w:rFonts w:cs="Arial"/>
          <w:color w:val="000000" w:themeColor="text1"/>
        </w:rPr>
        <w:t>MPharm</w:t>
      </w:r>
      <w:proofErr w:type="spellEnd"/>
      <w:r w:rsidR="0032522B" w:rsidRPr="00F961FF">
        <w:rPr>
          <w:rFonts w:cs="Arial"/>
          <w:color w:val="000000" w:themeColor="text1"/>
        </w:rPr>
        <w:t>)</w:t>
      </w:r>
      <w:r w:rsidR="00AE01C2" w:rsidRPr="00F961FF">
        <w:rPr>
          <w:rFonts w:cs="Arial"/>
          <w:color w:val="000000" w:themeColor="text1"/>
        </w:rPr>
        <w:t xml:space="preserve"> within the UK</w:t>
      </w:r>
      <w:r w:rsidRPr="00F961FF">
        <w:rPr>
          <w:rFonts w:cs="Arial"/>
          <w:color w:val="000000" w:themeColor="text1"/>
        </w:rPr>
        <w:t xml:space="preserve">. </w:t>
      </w:r>
      <w:r w:rsidR="00B908FC" w:rsidRPr="00F961FF">
        <w:rPr>
          <w:rFonts w:cs="Arial"/>
          <w:color w:val="000000" w:themeColor="text1"/>
        </w:rPr>
        <w:t xml:space="preserve">Using the Anatomical Society’s core </w:t>
      </w:r>
      <w:r w:rsidR="00F4613F" w:rsidRPr="00F961FF">
        <w:rPr>
          <w:rFonts w:cs="Arial"/>
          <w:color w:val="000000" w:themeColor="text1"/>
        </w:rPr>
        <w:t xml:space="preserve">gross anatomy </w:t>
      </w:r>
      <w:r w:rsidR="00B908FC" w:rsidRPr="00F961FF">
        <w:rPr>
          <w:rFonts w:cs="Arial"/>
          <w:color w:val="000000" w:themeColor="text1"/>
        </w:rPr>
        <w:t xml:space="preserve">syllabus for </w:t>
      </w:r>
      <w:r w:rsidR="00AE01C2" w:rsidRPr="00F961FF">
        <w:rPr>
          <w:rFonts w:cs="Arial"/>
          <w:color w:val="000000" w:themeColor="text1"/>
        </w:rPr>
        <w:t>medical anatomy</w:t>
      </w:r>
      <w:r w:rsidR="00B908FC" w:rsidRPr="00F961FF">
        <w:rPr>
          <w:rFonts w:cs="Arial"/>
          <w:color w:val="000000" w:themeColor="text1"/>
        </w:rPr>
        <w:t xml:space="preserve"> as a foundation, a </w:t>
      </w:r>
      <w:r w:rsidRPr="00F961FF">
        <w:rPr>
          <w:rFonts w:cs="Arial"/>
          <w:color w:val="000000" w:themeColor="text1"/>
        </w:rPr>
        <w:t xml:space="preserve">modified Delphi technique was </w:t>
      </w:r>
      <w:r w:rsidR="00B908FC" w:rsidRPr="00F961FF">
        <w:rPr>
          <w:rFonts w:cs="Arial"/>
          <w:color w:val="000000" w:themeColor="text1"/>
        </w:rPr>
        <w:t>used</w:t>
      </w:r>
      <w:r w:rsidRPr="00F961FF">
        <w:rPr>
          <w:rFonts w:cs="Arial"/>
          <w:color w:val="000000" w:themeColor="text1"/>
        </w:rPr>
        <w:t xml:space="preserve"> to develop outcomes specific</w:t>
      </w:r>
      <w:r w:rsidR="00AE01C2" w:rsidRPr="00F961FF">
        <w:rPr>
          <w:rFonts w:cs="Arial"/>
          <w:color w:val="000000" w:themeColor="text1"/>
        </w:rPr>
        <w:t xml:space="preserve"> to</w:t>
      </w:r>
      <w:r w:rsidRPr="00F961FF">
        <w:rPr>
          <w:rFonts w:cs="Arial"/>
          <w:color w:val="000000" w:themeColor="text1"/>
        </w:rPr>
        <w:t xml:space="preserve"> pharmacy graduates. A Delphi panel </w:t>
      </w:r>
      <w:r w:rsidR="00B908FC" w:rsidRPr="00F961FF">
        <w:rPr>
          <w:rFonts w:cs="Arial"/>
          <w:color w:val="000000" w:themeColor="text1"/>
        </w:rPr>
        <w:t>co</w:t>
      </w:r>
      <w:r w:rsidR="00F4613F" w:rsidRPr="00F961FF">
        <w:rPr>
          <w:rFonts w:cs="Arial"/>
          <w:color w:val="000000" w:themeColor="text1"/>
        </w:rPr>
        <w:t>nsisting</w:t>
      </w:r>
      <w:r w:rsidR="00B908FC" w:rsidRPr="00F961FF">
        <w:rPr>
          <w:rFonts w:cs="Arial"/>
          <w:color w:val="000000" w:themeColor="text1"/>
        </w:rPr>
        <w:t xml:space="preserve"> of medical practitioners, pharmacists and </w:t>
      </w:r>
      <w:r w:rsidR="00EF0711" w:rsidRPr="00F961FF">
        <w:rPr>
          <w:rFonts w:cs="Arial"/>
          <w:color w:val="000000" w:themeColor="text1"/>
        </w:rPr>
        <w:t>anatomists</w:t>
      </w:r>
      <w:r w:rsidR="00B908FC" w:rsidRPr="00F961FF">
        <w:rPr>
          <w:rFonts w:cs="Arial"/>
          <w:color w:val="000000" w:themeColor="text1"/>
        </w:rPr>
        <w:t xml:space="preserve"> (n = 39) </w:t>
      </w:r>
      <w:r w:rsidRPr="00F961FF">
        <w:rPr>
          <w:rFonts w:cs="Arial"/>
          <w:color w:val="000000" w:themeColor="text1"/>
        </w:rPr>
        <w:t xml:space="preserve">was </w:t>
      </w:r>
      <w:r w:rsidR="00F16C00" w:rsidRPr="00F961FF">
        <w:rPr>
          <w:rFonts w:cs="Arial"/>
          <w:color w:val="000000" w:themeColor="text1"/>
        </w:rPr>
        <w:t>created</w:t>
      </w:r>
      <w:r w:rsidR="00B908FC" w:rsidRPr="00F961FF">
        <w:rPr>
          <w:rFonts w:cs="Arial"/>
          <w:color w:val="000000" w:themeColor="text1"/>
        </w:rPr>
        <w:t xml:space="preserve"> and</w:t>
      </w:r>
      <w:r w:rsidRPr="00F961FF">
        <w:rPr>
          <w:rFonts w:cs="Arial"/>
          <w:color w:val="000000" w:themeColor="text1"/>
        </w:rPr>
        <w:t xml:space="preserve"> involv</w:t>
      </w:r>
      <w:r w:rsidR="00B908FC" w:rsidRPr="00F961FF">
        <w:rPr>
          <w:rFonts w:cs="Arial"/>
          <w:color w:val="000000" w:themeColor="text1"/>
        </w:rPr>
        <w:t>ed</w:t>
      </w:r>
      <w:r w:rsidRPr="00F961FF">
        <w:rPr>
          <w:rFonts w:cs="Arial"/>
          <w:color w:val="000000" w:themeColor="text1"/>
        </w:rPr>
        <w:t xml:space="preserve"> ‘experts’</w:t>
      </w:r>
      <w:r w:rsidR="0032522B" w:rsidRPr="00F961FF">
        <w:rPr>
          <w:rFonts w:cs="Arial"/>
          <w:color w:val="000000" w:themeColor="text1"/>
        </w:rPr>
        <w:t xml:space="preserve"> </w:t>
      </w:r>
      <w:r w:rsidRPr="00F961FF">
        <w:rPr>
          <w:rFonts w:cs="Arial"/>
          <w:color w:val="000000" w:themeColor="text1"/>
        </w:rPr>
        <w:t xml:space="preserve">representing 20 UK Higher Education Institutions. The </w:t>
      </w:r>
      <w:r w:rsidR="00AE01C2" w:rsidRPr="00F961FF">
        <w:rPr>
          <w:rFonts w:cs="Arial"/>
          <w:color w:val="000000" w:themeColor="text1"/>
        </w:rPr>
        <w:t xml:space="preserve">output from this study was </w:t>
      </w:r>
      <w:r w:rsidR="007F02AA" w:rsidRPr="00F961FF">
        <w:rPr>
          <w:rFonts w:cs="Arial"/>
          <w:color w:val="000000" w:themeColor="text1"/>
        </w:rPr>
        <w:t>49</w:t>
      </w:r>
      <w:r w:rsidRPr="00F961FF">
        <w:rPr>
          <w:rFonts w:cs="Arial"/>
          <w:color w:val="000000" w:themeColor="text1"/>
        </w:rPr>
        <w:t xml:space="preserve"> </w:t>
      </w:r>
      <w:r w:rsidR="00AE01C2" w:rsidRPr="00F961FF">
        <w:rPr>
          <w:rFonts w:cs="Arial"/>
          <w:color w:val="000000" w:themeColor="text1"/>
        </w:rPr>
        <w:t xml:space="preserve">pharmacy specific </w:t>
      </w:r>
      <w:r w:rsidRPr="00F961FF">
        <w:rPr>
          <w:rFonts w:cs="Arial"/>
          <w:color w:val="000000" w:themeColor="text1"/>
        </w:rPr>
        <w:t xml:space="preserve">learning outcomes </w:t>
      </w:r>
      <w:r w:rsidR="00AE01C2" w:rsidRPr="00F961FF">
        <w:rPr>
          <w:rFonts w:cs="Arial"/>
          <w:color w:val="000000" w:themeColor="text1"/>
        </w:rPr>
        <w:t xml:space="preserve">that are applicable to all pharmacy </w:t>
      </w:r>
      <w:proofErr w:type="spellStart"/>
      <w:r w:rsidR="00AE01C2" w:rsidRPr="00F961FF">
        <w:rPr>
          <w:rFonts w:cs="Arial"/>
          <w:color w:val="000000" w:themeColor="text1"/>
        </w:rPr>
        <w:t>programmes</w:t>
      </w:r>
      <w:proofErr w:type="spellEnd"/>
      <w:r w:rsidR="00AE01C2" w:rsidRPr="00F961FF">
        <w:rPr>
          <w:rFonts w:cs="Arial"/>
          <w:color w:val="000000" w:themeColor="text1"/>
        </w:rPr>
        <w:t xml:space="preserve">. </w:t>
      </w:r>
      <w:r w:rsidR="00666DB5" w:rsidRPr="00F961FF">
        <w:rPr>
          <w:rFonts w:cs="Arial"/>
          <w:color w:val="000000" w:themeColor="text1"/>
        </w:rPr>
        <w:t xml:space="preserve">The new </w:t>
      </w:r>
      <w:proofErr w:type="spellStart"/>
      <w:r w:rsidR="00666DB5" w:rsidRPr="00F961FF">
        <w:rPr>
          <w:rFonts w:cs="Arial"/>
          <w:color w:val="000000" w:themeColor="text1"/>
        </w:rPr>
        <w:t>MPharm</w:t>
      </w:r>
      <w:proofErr w:type="spellEnd"/>
      <w:r w:rsidR="00666DB5" w:rsidRPr="00F961FF">
        <w:rPr>
          <w:rFonts w:cs="Arial"/>
          <w:color w:val="000000" w:themeColor="text1"/>
        </w:rPr>
        <w:t xml:space="preserve"> anatomy syllabus offers a basic anatomical framework upon which pharmacy educators can </w:t>
      </w:r>
      <w:r w:rsidR="00391BDD" w:rsidRPr="00F961FF">
        <w:rPr>
          <w:rFonts w:cs="Arial"/>
          <w:color w:val="000000" w:themeColor="text1"/>
        </w:rPr>
        <w:t xml:space="preserve">build the necessary </w:t>
      </w:r>
      <w:r w:rsidR="00666DB5" w:rsidRPr="00F961FF">
        <w:rPr>
          <w:rFonts w:cs="Arial"/>
          <w:color w:val="000000" w:themeColor="text1"/>
        </w:rPr>
        <w:t xml:space="preserve">clinical practice and knowledge. </w:t>
      </w:r>
      <w:r w:rsidR="00AE01C2" w:rsidRPr="00F961FF">
        <w:rPr>
          <w:rFonts w:cs="Arial"/>
          <w:color w:val="000000" w:themeColor="text1"/>
        </w:rPr>
        <w:t xml:space="preserve">These </w:t>
      </w:r>
      <w:r w:rsidR="00666DB5" w:rsidRPr="00F961FF">
        <w:rPr>
          <w:rFonts w:cs="Arial"/>
          <w:color w:val="000000" w:themeColor="text1"/>
        </w:rPr>
        <w:t xml:space="preserve">learning outcomes </w:t>
      </w:r>
      <w:r w:rsidR="00AE01C2" w:rsidRPr="00F961FF">
        <w:rPr>
          <w:rFonts w:cs="Arial"/>
          <w:color w:val="000000" w:themeColor="text1"/>
        </w:rPr>
        <w:t>could be used to develop anatomy teaching within an integrated curriculum as per requirements of the General Pharmaceutical Council (</w:t>
      </w:r>
      <w:proofErr w:type="spellStart"/>
      <w:r w:rsidR="00AE01C2" w:rsidRPr="00F961FF">
        <w:rPr>
          <w:rFonts w:cs="Arial"/>
          <w:color w:val="000000" w:themeColor="text1"/>
        </w:rPr>
        <w:t>GPhC</w:t>
      </w:r>
      <w:proofErr w:type="spellEnd"/>
      <w:r w:rsidR="00AE01C2" w:rsidRPr="00F961FF">
        <w:rPr>
          <w:rFonts w:cs="Arial"/>
          <w:color w:val="000000" w:themeColor="text1"/>
        </w:rPr>
        <w:t>).</w:t>
      </w:r>
      <w:r w:rsidRPr="00F961FF">
        <w:rPr>
          <w:rFonts w:cs="Arial"/>
          <w:color w:val="000000" w:themeColor="text1"/>
        </w:rPr>
        <w:t xml:space="preserve"> </w:t>
      </w:r>
    </w:p>
    <w:p w14:paraId="329D5184" w14:textId="77777777" w:rsidR="006F7FAF" w:rsidRPr="00F961FF" w:rsidRDefault="006F7FAF" w:rsidP="00DF257B">
      <w:pPr>
        <w:spacing w:line="480" w:lineRule="auto"/>
        <w:rPr>
          <w:rFonts w:cs="Arial"/>
          <w:color w:val="000000" w:themeColor="text1"/>
        </w:rPr>
      </w:pPr>
    </w:p>
    <w:p w14:paraId="584CFAB6" w14:textId="77777777" w:rsidR="00400E99" w:rsidRPr="00F961FF" w:rsidRDefault="006F7FAF" w:rsidP="00DF257B">
      <w:pPr>
        <w:spacing w:line="480" w:lineRule="auto"/>
        <w:rPr>
          <w:rFonts w:cs="Arial"/>
          <w:color w:val="000000" w:themeColor="text1"/>
        </w:rPr>
      </w:pPr>
      <w:r w:rsidRPr="00F961FF">
        <w:rPr>
          <w:rFonts w:cs="Arial"/>
          <w:b/>
          <w:color w:val="000000" w:themeColor="text1"/>
        </w:rPr>
        <w:t>Key words:</w:t>
      </w:r>
      <w:r w:rsidR="00900182" w:rsidRPr="00F961FF">
        <w:rPr>
          <w:rFonts w:cs="Arial"/>
          <w:color w:val="000000" w:themeColor="text1"/>
        </w:rPr>
        <w:t xml:space="preserve"> pharmacy; </w:t>
      </w:r>
      <w:proofErr w:type="spellStart"/>
      <w:r w:rsidR="00900182" w:rsidRPr="00F961FF">
        <w:rPr>
          <w:rFonts w:cs="Arial"/>
          <w:color w:val="000000" w:themeColor="text1"/>
        </w:rPr>
        <w:t>MPharm</w:t>
      </w:r>
      <w:proofErr w:type="spellEnd"/>
      <w:r w:rsidR="00900182" w:rsidRPr="00F961FF">
        <w:rPr>
          <w:rFonts w:cs="Arial"/>
          <w:color w:val="000000" w:themeColor="text1"/>
        </w:rPr>
        <w:t>;</w:t>
      </w:r>
      <w:r w:rsidR="0032522B" w:rsidRPr="00F961FF">
        <w:rPr>
          <w:rFonts w:cs="Arial"/>
          <w:color w:val="000000" w:themeColor="text1"/>
        </w:rPr>
        <w:t xml:space="preserve"> </w:t>
      </w:r>
      <w:r w:rsidR="00C36F39" w:rsidRPr="00F961FF">
        <w:rPr>
          <w:rFonts w:cs="Arial"/>
          <w:color w:val="000000" w:themeColor="text1"/>
        </w:rPr>
        <w:t xml:space="preserve">curriculum; </w:t>
      </w:r>
      <w:r w:rsidRPr="00F961FF">
        <w:rPr>
          <w:rFonts w:cs="Arial"/>
          <w:color w:val="000000" w:themeColor="text1"/>
        </w:rPr>
        <w:t>anatomy; undergraduate</w:t>
      </w:r>
      <w:r w:rsidR="00C36F39" w:rsidRPr="00F961FF">
        <w:rPr>
          <w:rFonts w:cs="Arial"/>
          <w:color w:val="000000" w:themeColor="text1"/>
        </w:rPr>
        <w:t>;</w:t>
      </w:r>
      <w:r w:rsidRPr="00F961FF">
        <w:rPr>
          <w:rFonts w:cs="Arial"/>
          <w:color w:val="000000" w:themeColor="text1"/>
        </w:rPr>
        <w:t xml:space="preserve"> education.</w:t>
      </w:r>
    </w:p>
    <w:p w14:paraId="1C3AF614" w14:textId="77777777" w:rsidR="00400E99" w:rsidRPr="00F961FF" w:rsidRDefault="00400E99" w:rsidP="00DF257B">
      <w:pPr>
        <w:spacing w:line="480" w:lineRule="auto"/>
        <w:rPr>
          <w:rFonts w:cs="Arial"/>
          <w:color w:val="000000" w:themeColor="text1"/>
        </w:rPr>
      </w:pPr>
    </w:p>
    <w:p w14:paraId="1CFF2E91" w14:textId="77777777" w:rsidR="00400E99" w:rsidRPr="00F961FF" w:rsidRDefault="00400E99" w:rsidP="00DF257B">
      <w:pPr>
        <w:spacing w:line="480" w:lineRule="auto"/>
        <w:outlineLvl w:val="0"/>
        <w:rPr>
          <w:rFonts w:cs="Arial"/>
          <w:b/>
          <w:color w:val="000000" w:themeColor="text1"/>
        </w:rPr>
      </w:pPr>
      <w:r w:rsidRPr="00F961FF">
        <w:rPr>
          <w:rFonts w:cs="Arial"/>
          <w:b/>
          <w:color w:val="000000" w:themeColor="text1"/>
        </w:rPr>
        <w:t xml:space="preserve">Introduction </w:t>
      </w:r>
    </w:p>
    <w:p w14:paraId="04AA273A" w14:textId="77777777" w:rsidR="00635D94" w:rsidRPr="00F961FF" w:rsidRDefault="00635D94" w:rsidP="00DF257B">
      <w:pPr>
        <w:spacing w:line="480" w:lineRule="auto"/>
        <w:rPr>
          <w:color w:val="000000" w:themeColor="text1"/>
        </w:rPr>
      </w:pPr>
    </w:p>
    <w:p w14:paraId="0EAF988A" w14:textId="77777777" w:rsidR="00635D94" w:rsidRPr="00F961FF" w:rsidRDefault="00635D94" w:rsidP="00DF257B">
      <w:pPr>
        <w:spacing w:line="480" w:lineRule="auto"/>
        <w:jc w:val="both"/>
        <w:rPr>
          <w:color w:val="000000" w:themeColor="text1"/>
        </w:rPr>
      </w:pPr>
      <w:r w:rsidRPr="00F961FF">
        <w:rPr>
          <w:color w:val="000000" w:themeColor="text1"/>
        </w:rPr>
        <w:t xml:space="preserve">The role of the pharmacist has changed from one that was traditionally based on dispensing to one that encompasses treatment, diagnosis and acting as the first port of call for patients (Ridge 2015). Given this seismic shift, it has never been more important for pharmacy graduates to have a strong foundation upon which to build their pharmacological knowledge- this includes anatomy. A prime example of the need for a pharmacy graduate to understand anatomy is demonstrated by the increasing use of community based pharmacies as a point of delivery for influenza vaccines. In such a scenario, the administering pharmacist needs an awareness of basic surface anatomy, musculature and </w:t>
      </w:r>
      <w:proofErr w:type="spellStart"/>
      <w:r w:rsidRPr="00F961FF">
        <w:rPr>
          <w:color w:val="000000" w:themeColor="text1"/>
        </w:rPr>
        <w:t>neurovasculature</w:t>
      </w:r>
      <w:proofErr w:type="spellEnd"/>
      <w:r w:rsidRPr="00F961FF">
        <w:rPr>
          <w:color w:val="000000" w:themeColor="text1"/>
        </w:rPr>
        <w:t xml:space="preserve"> of the upper limb. Similarly, drug metabolism cannot be fully understood without at least a basic understanding of the anatomy of the liver. </w:t>
      </w:r>
    </w:p>
    <w:p w14:paraId="017BB004" w14:textId="77777777" w:rsidR="00635D94" w:rsidRPr="00F961FF" w:rsidRDefault="00635D94" w:rsidP="00DF257B">
      <w:pPr>
        <w:spacing w:line="480" w:lineRule="auto"/>
        <w:jc w:val="both"/>
        <w:rPr>
          <w:color w:val="000000" w:themeColor="text1"/>
        </w:rPr>
      </w:pPr>
    </w:p>
    <w:p w14:paraId="011C40AE" w14:textId="77777777" w:rsidR="00635D94" w:rsidRPr="00F961FF" w:rsidRDefault="00635D94" w:rsidP="00DF257B">
      <w:pPr>
        <w:spacing w:line="480" w:lineRule="auto"/>
        <w:jc w:val="both"/>
        <w:rPr>
          <w:color w:val="000000" w:themeColor="text1"/>
        </w:rPr>
      </w:pPr>
      <w:r w:rsidRPr="00F961FF">
        <w:rPr>
          <w:color w:val="000000" w:themeColor="text1"/>
        </w:rPr>
        <w:t xml:space="preserve">To date, there has been no published </w:t>
      </w:r>
      <w:proofErr w:type="spellStart"/>
      <w:r w:rsidRPr="00F961FF">
        <w:rPr>
          <w:color w:val="000000" w:themeColor="text1"/>
        </w:rPr>
        <w:t>standardised</w:t>
      </w:r>
      <w:proofErr w:type="spellEnd"/>
      <w:r w:rsidRPr="00F961FF">
        <w:rPr>
          <w:color w:val="000000" w:themeColor="text1"/>
        </w:rPr>
        <w:t xml:space="preserve"> anatomy syllabus for students studying for a Masters in Pharmacy (</w:t>
      </w:r>
      <w:proofErr w:type="spellStart"/>
      <w:r w:rsidRPr="00F961FF">
        <w:rPr>
          <w:color w:val="000000" w:themeColor="text1"/>
        </w:rPr>
        <w:t>MPharm</w:t>
      </w:r>
      <w:proofErr w:type="spellEnd"/>
      <w:r w:rsidRPr="00F961FF">
        <w:rPr>
          <w:color w:val="000000" w:themeColor="text1"/>
        </w:rPr>
        <w:t xml:space="preserve">) in the United Kingdom (UK). The requirement for such a syllabus has never been more pertinent given the evolving clinical roles for pharmacists in the NHS as members of multidisciplinary teams and the General Pharmaceutical Council’s standards for the initial education and training of pharmacists (2011). All Health professionals, including pharmacists, must be able to relate form to function: a grounding in anatomy is an essential foundation on which to underpin other knowledge relevant to clinical practice, as well as other basic sciences studied as part of the Masters in Pharmacy </w:t>
      </w:r>
      <w:r w:rsidRPr="00F961FF">
        <w:rPr>
          <w:color w:val="000000" w:themeColor="text1"/>
        </w:rPr>
        <w:lastRenderedPageBreak/>
        <w:t>(</w:t>
      </w:r>
      <w:proofErr w:type="spellStart"/>
      <w:r w:rsidRPr="00F961FF">
        <w:rPr>
          <w:color w:val="000000" w:themeColor="text1"/>
        </w:rPr>
        <w:t>MPharm</w:t>
      </w:r>
      <w:proofErr w:type="spellEnd"/>
      <w:r w:rsidRPr="00F961FF">
        <w:rPr>
          <w:color w:val="000000" w:themeColor="text1"/>
        </w:rPr>
        <w:t xml:space="preserve">) Degree </w:t>
      </w:r>
      <w:proofErr w:type="spellStart"/>
      <w:r w:rsidRPr="00F961FF">
        <w:rPr>
          <w:color w:val="000000" w:themeColor="text1"/>
        </w:rPr>
        <w:t>programme</w:t>
      </w:r>
      <w:proofErr w:type="spellEnd"/>
      <w:r w:rsidRPr="00F961FF">
        <w:rPr>
          <w:color w:val="000000" w:themeColor="text1"/>
        </w:rPr>
        <w:t xml:space="preserve">. A </w:t>
      </w:r>
      <w:proofErr w:type="spellStart"/>
      <w:r w:rsidRPr="00F961FF">
        <w:rPr>
          <w:color w:val="000000" w:themeColor="text1"/>
        </w:rPr>
        <w:t>standardised</w:t>
      </w:r>
      <w:proofErr w:type="spellEnd"/>
      <w:r w:rsidRPr="00F961FF">
        <w:rPr>
          <w:color w:val="000000" w:themeColor="text1"/>
        </w:rPr>
        <w:t xml:space="preserve"> syllabus enables institutions to map their curricula to a standard which is comparable nationally. </w:t>
      </w:r>
    </w:p>
    <w:p w14:paraId="33EA01AB" w14:textId="77777777" w:rsidR="00635D94" w:rsidRPr="00F961FF" w:rsidRDefault="00635D94" w:rsidP="00DF257B">
      <w:pPr>
        <w:spacing w:line="480" w:lineRule="auto"/>
        <w:jc w:val="both"/>
        <w:rPr>
          <w:color w:val="000000" w:themeColor="text1"/>
        </w:rPr>
      </w:pPr>
    </w:p>
    <w:p w14:paraId="334ED3C6" w14:textId="2FF133E4" w:rsidR="00635D94" w:rsidRPr="00F961FF" w:rsidRDefault="00635D94" w:rsidP="00DF257B">
      <w:pPr>
        <w:spacing w:line="480" w:lineRule="auto"/>
        <w:rPr>
          <w:color w:val="000000" w:themeColor="text1"/>
        </w:rPr>
      </w:pPr>
      <w:r w:rsidRPr="00F961FF">
        <w:rPr>
          <w:color w:val="000000" w:themeColor="text1"/>
        </w:rPr>
        <w:t>The Masters of Pharmacy (</w:t>
      </w:r>
      <w:proofErr w:type="spellStart"/>
      <w:r w:rsidRPr="00F961FF">
        <w:rPr>
          <w:color w:val="000000" w:themeColor="text1"/>
        </w:rPr>
        <w:t>MPharm</w:t>
      </w:r>
      <w:proofErr w:type="spellEnd"/>
      <w:r w:rsidRPr="00F961FF">
        <w:rPr>
          <w:color w:val="000000" w:themeColor="text1"/>
        </w:rPr>
        <w:t xml:space="preserve">) is the degree in the UK required for pre-registration training for qualification as </w:t>
      </w:r>
      <w:proofErr w:type="gramStart"/>
      <w:r w:rsidRPr="00F961FF">
        <w:rPr>
          <w:color w:val="000000" w:themeColor="text1"/>
        </w:rPr>
        <w:t>a registered pharmacists</w:t>
      </w:r>
      <w:proofErr w:type="gramEnd"/>
      <w:r w:rsidRPr="00F961FF">
        <w:rPr>
          <w:color w:val="000000" w:themeColor="text1"/>
        </w:rPr>
        <w:t>. The registration of Pharmacists is governed by The General Pharmaceutical Council (</w:t>
      </w:r>
      <w:proofErr w:type="spellStart"/>
      <w:r w:rsidRPr="00F961FF">
        <w:rPr>
          <w:color w:val="000000" w:themeColor="text1"/>
        </w:rPr>
        <w:t>GPhC</w:t>
      </w:r>
      <w:proofErr w:type="spellEnd"/>
      <w:r w:rsidRPr="00F961FF">
        <w:rPr>
          <w:color w:val="000000" w:themeColor="text1"/>
        </w:rPr>
        <w:t xml:space="preserve">), who is the independent regulator for pharmacists, pharmacy technicians and pharmacy premises in Great Britain. </w:t>
      </w:r>
      <w:r w:rsidR="00310AAD" w:rsidRPr="00F961FF">
        <w:rPr>
          <w:color w:val="000000" w:themeColor="text1"/>
        </w:rPr>
        <w:t>Similarly</w:t>
      </w:r>
      <w:r w:rsidRPr="00F961FF">
        <w:rPr>
          <w:color w:val="000000" w:themeColor="text1"/>
        </w:rPr>
        <w:t xml:space="preserve">, the </w:t>
      </w:r>
      <w:proofErr w:type="spellStart"/>
      <w:r w:rsidRPr="00F961FF">
        <w:rPr>
          <w:color w:val="000000" w:themeColor="text1"/>
        </w:rPr>
        <w:t>MPharm</w:t>
      </w:r>
      <w:proofErr w:type="spellEnd"/>
      <w:r w:rsidRPr="00F961FF">
        <w:rPr>
          <w:color w:val="000000" w:themeColor="text1"/>
        </w:rPr>
        <w:t xml:space="preserve"> degree </w:t>
      </w:r>
      <w:proofErr w:type="spellStart"/>
      <w:r w:rsidRPr="00F961FF">
        <w:rPr>
          <w:color w:val="000000" w:themeColor="text1"/>
        </w:rPr>
        <w:t>programme</w:t>
      </w:r>
      <w:proofErr w:type="spellEnd"/>
      <w:r w:rsidRPr="00F961FF">
        <w:rPr>
          <w:color w:val="000000" w:themeColor="text1"/>
        </w:rPr>
        <w:t xml:space="preserve"> is accredited by the General Pharmaceutical Council (</w:t>
      </w:r>
      <w:proofErr w:type="spellStart"/>
      <w:r w:rsidRPr="00F961FF">
        <w:rPr>
          <w:color w:val="000000" w:themeColor="text1"/>
        </w:rPr>
        <w:t>GPhC</w:t>
      </w:r>
      <w:proofErr w:type="spellEnd"/>
      <w:r w:rsidRPr="00F961FF">
        <w:rPr>
          <w:color w:val="000000" w:themeColor="text1"/>
        </w:rPr>
        <w:t xml:space="preserve">), the professional regulatory body for pharmacists. The </w:t>
      </w:r>
      <w:proofErr w:type="spellStart"/>
      <w:r w:rsidRPr="00F961FF">
        <w:rPr>
          <w:color w:val="000000" w:themeColor="text1"/>
        </w:rPr>
        <w:t>Programme</w:t>
      </w:r>
      <w:proofErr w:type="spellEnd"/>
      <w:r w:rsidRPr="00F961FF">
        <w:rPr>
          <w:color w:val="000000" w:themeColor="text1"/>
        </w:rPr>
        <w:t xml:space="preserve"> is based on predicted objectives and standards for the students, set by the </w:t>
      </w:r>
      <w:proofErr w:type="spellStart"/>
      <w:r w:rsidRPr="00F961FF">
        <w:rPr>
          <w:color w:val="000000" w:themeColor="text1"/>
        </w:rPr>
        <w:t>GPhC</w:t>
      </w:r>
      <w:proofErr w:type="spellEnd"/>
      <w:r w:rsidRPr="00F961FF">
        <w:rPr>
          <w:color w:val="000000" w:themeColor="text1"/>
        </w:rPr>
        <w:t xml:space="preserve">.  The outcomes state that students require knowledge of ‘normal and abnormal structure and function’ and lists ‘Anatomy and Physiology’ (p48) as an area for competency within it (General Pharmaceutical Council, 2011). Similarly, the British Pharmacological Society (BPS) published a recommended pharmacology syllabus for pharmacy courses (2015) which indicates that anatomical knowledge is required for clinical practice. The BPS does not specify outcomes for anatomy but alludes to it within its competency statements in life sciences (British Pharmacological Society 2015). </w:t>
      </w:r>
    </w:p>
    <w:p w14:paraId="721F2B88" w14:textId="77777777" w:rsidR="00DB68D6" w:rsidRPr="00F961FF" w:rsidRDefault="00DB68D6" w:rsidP="00DF257B">
      <w:pPr>
        <w:spacing w:line="480" w:lineRule="auto"/>
        <w:jc w:val="both"/>
        <w:rPr>
          <w:color w:val="000000" w:themeColor="text1"/>
        </w:rPr>
      </w:pPr>
    </w:p>
    <w:p w14:paraId="30D5E560" w14:textId="71E17DA9" w:rsidR="00635D94" w:rsidRPr="00F961FF" w:rsidRDefault="00635D94" w:rsidP="00DF257B">
      <w:pPr>
        <w:spacing w:line="480" w:lineRule="auto"/>
        <w:jc w:val="both"/>
        <w:rPr>
          <w:color w:val="000000" w:themeColor="text1"/>
        </w:rPr>
      </w:pPr>
      <w:r w:rsidRPr="00F961FF">
        <w:rPr>
          <w:color w:val="000000" w:themeColor="text1"/>
        </w:rPr>
        <w:t>This lack of curricula clarity from such key stakeholders is mirrored within the literature. Literature searches returned a single article, describing an online anatomy education tool, and none that related to anatomy specific learning outcomes (</w:t>
      </w:r>
      <w:proofErr w:type="spellStart"/>
      <w:r w:rsidRPr="00F961FF">
        <w:rPr>
          <w:color w:val="000000" w:themeColor="text1"/>
        </w:rPr>
        <w:t>Limpach</w:t>
      </w:r>
      <w:proofErr w:type="spellEnd"/>
      <w:r w:rsidRPr="00F961FF">
        <w:rPr>
          <w:color w:val="000000" w:themeColor="text1"/>
        </w:rPr>
        <w:t xml:space="preserve"> et al. 2008). The present study therefore aimed to address this evident gap by providing a guide for Higher Education Institutions </w:t>
      </w:r>
      <w:r w:rsidR="0083638E" w:rsidRPr="00F961FF">
        <w:rPr>
          <w:color w:val="000000" w:themeColor="text1"/>
        </w:rPr>
        <w:t xml:space="preserve">(HEIs) </w:t>
      </w:r>
      <w:r w:rsidRPr="00F961FF">
        <w:rPr>
          <w:color w:val="000000" w:themeColor="text1"/>
        </w:rPr>
        <w:t xml:space="preserve">with </w:t>
      </w:r>
      <w:proofErr w:type="spellStart"/>
      <w:r w:rsidRPr="00F961FF">
        <w:rPr>
          <w:color w:val="000000" w:themeColor="text1"/>
        </w:rPr>
        <w:t>MPharm</w:t>
      </w:r>
      <w:proofErr w:type="spellEnd"/>
      <w:r w:rsidRPr="00F961FF">
        <w:rPr>
          <w:color w:val="000000" w:themeColor="text1"/>
        </w:rPr>
        <w:t xml:space="preserve"> </w:t>
      </w:r>
      <w:proofErr w:type="spellStart"/>
      <w:r w:rsidRPr="00F961FF">
        <w:rPr>
          <w:color w:val="000000" w:themeColor="text1"/>
        </w:rPr>
        <w:t>programmes</w:t>
      </w:r>
      <w:proofErr w:type="spellEnd"/>
      <w:r w:rsidRPr="00F961FF">
        <w:rPr>
          <w:color w:val="000000" w:themeColor="text1"/>
        </w:rPr>
        <w:t xml:space="preserve">, as to what basic level of anatomical knowledge a graduate should have in order to safely practice in Pharmacy and its associated </w:t>
      </w:r>
      <w:r w:rsidRPr="00F961FF">
        <w:rPr>
          <w:color w:val="000000" w:themeColor="text1"/>
        </w:rPr>
        <w:lastRenderedPageBreak/>
        <w:t xml:space="preserve">sub-disciplines. The present paper aims to provide a guide for pharmacy educators for what basic level of anatomical knowledge a </w:t>
      </w:r>
      <w:proofErr w:type="spellStart"/>
      <w:r w:rsidRPr="00F961FF">
        <w:rPr>
          <w:color w:val="000000" w:themeColor="text1"/>
        </w:rPr>
        <w:t>MPharm</w:t>
      </w:r>
      <w:proofErr w:type="spellEnd"/>
      <w:r w:rsidRPr="00F961FF">
        <w:rPr>
          <w:color w:val="000000" w:themeColor="text1"/>
        </w:rPr>
        <w:t xml:space="preserve"> graduate should have in order to safely practice pharmacy and its associated sub-disciplines. The study is based upon a modified Delphi approach.</w:t>
      </w:r>
    </w:p>
    <w:p w14:paraId="18CD5165" w14:textId="77777777" w:rsidR="00635D94" w:rsidRPr="00F961FF" w:rsidRDefault="00635D94" w:rsidP="00DF257B">
      <w:pPr>
        <w:spacing w:line="480" w:lineRule="auto"/>
        <w:jc w:val="both"/>
        <w:rPr>
          <w:color w:val="000000" w:themeColor="text1"/>
        </w:rPr>
      </w:pPr>
    </w:p>
    <w:p w14:paraId="17B8480A" w14:textId="22258344" w:rsidR="00635D94" w:rsidRPr="00F961FF" w:rsidRDefault="00635D94" w:rsidP="00DF257B">
      <w:pPr>
        <w:spacing w:line="480" w:lineRule="auto"/>
        <w:jc w:val="both"/>
        <w:rPr>
          <w:color w:val="000000" w:themeColor="text1"/>
        </w:rPr>
      </w:pPr>
      <w:r w:rsidRPr="00F961FF">
        <w:rPr>
          <w:color w:val="000000" w:themeColor="text1"/>
        </w:rPr>
        <w:t xml:space="preserve">Delphi is a research method, developed in America in the 1950s, </w:t>
      </w:r>
      <w:proofErr w:type="spellStart"/>
      <w:r w:rsidRPr="00F961FF">
        <w:rPr>
          <w:color w:val="000000" w:themeColor="text1"/>
        </w:rPr>
        <w:t>utilised</w:t>
      </w:r>
      <w:proofErr w:type="spellEnd"/>
      <w:r w:rsidRPr="00F961FF">
        <w:rPr>
          <w:color w:val="000000" w:themeColor="text1"/>
        </w:rPr>
        <w:t xml:space="preserve"> to elicit and refine group judgements (</w:t>
      </w:r>
      <w:proofErr w:type="spellStart"/>
      <w:r w:rsidRPr="00F961FF">
        <w:rPr>
          <w:color w:val="000000" w:themeColor="text1"/>
        </w:rPr>
        <w:t>Dalkey</w:t>
      </w:r>
      <w:proofErr w:type="spellEnd"/>
      <w:r w:rsidRPr="00F961FF">
        <w:rPr>
          <w:color w:val="000000" w:themeColor="text1"/>
        </w:rPr>
        <w:t xml:space="preserve"> et al. 1969). It is frequently referred to as a process approach, technique or study and takes the form of a consensus survey (Keeney et al. 2011).  In essence, Delphi enables group problem-solving and uses an iterative process with results based on the responses of questionnaires, collated by and sent by a researcher, to a panel of experts. Several rounds are sent out, and the anonymous responses are aggregated after each round and shared with the group. The overarching aim is to achieve consensus. The rationale for Delphi is often based on the adage that “two heads are better than one” (</w:t>
      </w:r>
      <w:proofErr w:type="spellStart"/>
      <w:r w:rsidRPr="00F961FF">
        <w:rPr>
          <w:color w:val="000000" w:themeColor="text1"/>
        </w:rPr>
        <w:t>Dalkey</w:t>
      </w:r>
      <w:proofErr w:type="spellEnd"/>
      <w:r w:rsidRPr="00F961FF">
        <w:rPr>
          <w:color w:val="000000" w:themeColor="text1"/>
        </w:rPr>
        <w:t xml:space="preserve"> et al. 1969), which is especially true for areas such as anatomy syllabi for pharmacists, where information is sparse. Delphi also is based upon the premise that within practice there is collegial knowledge which is understood but not discussed. This process helps makes the implicit or tacit, explicit. Delphi approaches are popular as they afford anonymity, iterations and controlled feedback whilst forcing decision-making– all of which are useful in minimizing potential biases from dominant opinions (</w:t>
      </w:r>
      <w:proofErr w:type="spellStart"/>
      <w:r w:rsidRPr="00F961FF">
        <w:rPr>
          <w:color w:val="000000" w:themeColor="text1"/>
        </w:rPr>
        <w:t>Dalkey</w:t>
      </w:r>
      <w:proofErr w:type="spellEnd"/>
      <w:r w:rsidRPr="00F961FF">
        <w:rPr>
          <w:color w:val="000000" w:themeColor="text1"/>
        </w:rPr>
        <w:t xml:space="preserve"> et al. 1969). Enabling communication and establishing agreement between experts on a panel without having to meet, has made Delphi a useful tool within education research. Flexibility further adds to the appeal of using Delphi (</w:t>
      </w:r>
      <w:proofErr w:type="spellStart"/>
      <w:r w:rsidRPr="00F961FF">
        <w:rPr>
          <w:color w:val="000000" w:themeColor="text1"/>
        </w:rPr>
        <w:t>Skulmoski</w:t>
      </w:r>
      <w:proofErr w:type="spellEnd"/>
      <w:r w:rsidRPr="00F961FF">
        <w:rPr>
          <w:color w:val="000000" w:themeColor="text1"/>
        </w:rPr>
        <w:t xml:space="preserve"> et al. 2007). It is frequently used to refine learning outcomes and generate syllabi (</w:t>
      </w:r>
      <w:proofErr w:type="spellStart"/>
      <w:r w:rsidRPr="00F961FF">
        <w:rPr>
          <w:color w:val="000000" w:themeColor="text1"/>
        </w:rPr>
        <w:t>McHanwell</w:t>
      </w:r>
      <w:proofErr w:type="spellEnd"/>
      <w:r w:rsidRPr="00F961FF">
        <w:rPr>
          <w:color w:val="000000" w:themeColor="text1"/>
        </w:rPr>
        <w:t xml:space="preserve"> S et al. 2007; Tubbs, Sorenson et al. 2014; </w:t>
      </w:r>
      <w:proofErr w:type="spellStart"/>
      <w:r w:rsidRPr="00F961FF">
        <w:rPr>
          <w:color w:val="000000" w:themeColor="text1"/>
        </w:rPr>
        <w:t>Moxham</w:t>
      </w:r>
      <w:proofErr w:type="spellEnd"/>
      <w:r w:rsidRPr="00F961FF">
        <w:rPr>
          <w:color w:val="000000" w:themeColor="text1"/>
        </w:rPr>
        <w:t xml:space="preserve"> et al. 2015; Smith et al. 2016</w:t>
      </w:r>
      <w:r w:rsidR="00E90FFD" w:rsidRPr="00F961FF">
        <w:rPr>
          <w:color w:val="000000" w:themeColor="text1"/>
        </w:rPr>
        <w:t>a</w:t>
      </w:r>
      <w:r w:rsidR="00945A17">
        <w:rPr>
          <w:color w:val="000000" w:themeColor="text1"/>
        </w:rPr>
        <w:t xml:space="preserve">; </w:t>
      </w:r>
      <w:bookmarkStart w:id="0" w:name="_GoBack"/>
      <w:bookmarkEnd w:id="0"/>
      <w:r w:rsidRPr="00F961FF">
        <w:rPr>
          <w:color w:val="000000" w:themeColor="text1"/>
        </w:rPr>
        <w:t>Smith et al. 2016</w:t>
      </w:r>
      <w:r w:rsidR="00E90FFD" w:rsidRPr="00F961FF">
        <w:rPr>
          <w:color w:val="000000" w:themeColor="text1"/>
        </w:rPr>
        <w:t>b</w:t>
      </w:r>
      <w:r w:rsidRPr="00F961FF">
        <w:rPr>
          <w:color w:val="000000" w:themeColor="text1"/>
        </w:rPr>
        <w:t xml:space="preserve">).  </w:t>
      </w:r>
    </w:p>
    <w:p w14:paraId="13B071E4" w14:textId="77777777" w:rsidR="001E276A" w:rsidRPr="00F961FF" w:rsidRDefault="001E276A" w:rsidP="00DF257B">
      <w:pPr>
        <w:widowControl w:val="0"/>
        <w:autoSpaceDE w:val="0"/>
        <w:autoSpaceDN w:val="0"/>
        <w:adjustRightInd w:val="0"/>
        <w:spacing w:line="480" w:lineRule="auto"/>
        <w:outlineLvl w:val="0"/>
        <w:rPr>
          <w:rFonts w:cs="Arial"/>
          <w:b/>
          <w:color w:val="000000" w:themeColor="text1"/>
        </w:rPr>
      </w:pPr>
    </w:p>
    <w:p w14:paraId="730DEB87" w14:textId="77777777" w:rsidR="00DB43B1" w:rsidRPr="00F961FF" w:rsidRDefault="00DB43B1" w:rsidP="00DF257B">
      <w:pPr>
        <w:spacing w:line="480" w:lineRule="auto"/>
        <w:jc w:val="both"/>
        <w:rPr>
          <w:b/>
          <w:color w:val="000000" w:themeColor="text1"/>
        </w:rPr>
      </w:pPr>
      <w:r w:rsidRPr="00F961FF">
        <w:rPr>
          <w:b/>
          <w:color w:val="000000" w:themeColor="text1"/>
        </w:rPr>
        <w:t>Methods</w:t>
      </w:r>
    </w:p>
    <w:p w14:paraId="7811809E" w14:textId="77777777" w:rsidR="00DB43B1" w:rsidRPr="00F961FF" w:rsidRDefault="00DB43B1" w:rsidP="00DF257B">
      <w:pPr>
        <w:spacing w:line="480" w:lineRule="auto"/>
        <w:jc w:val="both"/>
        <w:rPr>
          <w:b/>
          <w:color w:val="000000" w:themeColor="text1"/>
        </w:rPr>
      </w:pPr>
      <w:r w:rsidRPr="00F961FF">
        <w:rPr>
          <w:b/>
          <w:color w:val="000000" w:themeColor="text1"/>
        </w:rPr>
        <w:t>Ethics</w:t>
      </w:r>
    </w:p>
    <w:p w14:paraId="528020DD" w14:textId="77777777" w:rsidR="00DB43B1" w:rsidRPr="00F961FF" w:rsidRDefault="00DB43B1" w:rsidP="00DF257B">
      <w:pPr>
        <w:spacing w:line="480" w:lineRule="auto"/>
        <w:jc w:val="both"/>
        <w:rPr>
          <w:color w:val="000000" w:themeColor="text1"/>
        </w:rPr>
      </w:pPr>
      <w:r w:rsidRPr="00F961FF">
        <w:rPr>
          <w:color w:val="000000" w:themeColor="text1"/>
        </w:rPr>
        <w:t>Ethical approval for this study was granted by the Ethics Committee at Hull York Medical School.</w:t>
      </w:r>
    </w:p>
    <w:p w14:paraId="187994AE" w14:textId="77777777" w:rsidR="00DB43B1" w:rsidRPr="00F961FF" w:rsidRDefault="00DB43B1" w:rsidP="00DF257B">
      <w:pPr>
        <w:spacing w:line="480" w:lineRule="auto"/>
        <w:jc w:val="both"/>
        <w:rPr>
          <w:color w:val="000000" w:themeColor="text1"/>
        </w:rPr>
      </w:pPr>
      <w:r w:rsidRPr="00F961FF">
        <w:rPr>
          <w:color w:val="000000" w:themeColor="text1"/>
        </w:rPr>
        <w:t xml:space="preserve"> </w:t>
      </w:r>
    </w:p>
    <w:p w14:paraId="0B499B40" w14:textId="77777777" w:rsidR="00DB43B1" w:rsidRPr="00F961FF" w:rsidRDefault="00DB43B1" w:rsidP="00DF257B">
      <w:pPr>
        <w:spacing w:line="480" w:lineRule="auto"/>
        <w:jc w:val="both"/>
        <w:rPr>
          <w:b/>
          <w:color w:val="000000" w:themeColor="text1"/>
        </w:rPr>
      </w:pPr>
      <w:r w:rsidRPr="00F961FF">
        <w:rPr>
          <w:b/>
          <w:color w:val="000000" w:themeColor="text1"/>
        </w:rPr>
        <w:t>Study design</w:t>
      </w:r>
    </w:p>
    <w:p w14:paraId="21D59708" w14:textId="200726F6" w:rsidR="00DB43B1" w:rsidRPr="00F961FF" w:rsidRDefault="00DB43B1" w:rsidP="00DF257B">
      <w:pPr>
        <w:spacing w:line="480" w:lineRule="auto"/>
        <w:jc w:val="both"/>
        <w:rPr>
          <w:color w:val="000000" w:themeColor="text1"/>
        </w:rPr>
      </w:pPr>
      <w:r w:rsidRPr="00F961FF">
        <w:rPr>
          <w:color w:val="000000" w:themeColor="text1"/>
        </w:rPr>
        <w:t>A Delphi approach may take one of two routes. One route is to start with a blank canvas and develop content from scratch. The other route is to refine existing materials (modified Delphi). In this study, we aimed to refine pre-existing learning outcomes from existing anatomy syllabi that had already been through a Delphi process (</w:t>
      </w:r>
      <w:proofErr w:type="spellStart"/>
      <w:r w:rsidRPr="00F961FF">
        <w:rPr>
          <w:color w:val="000000" w:themeColor="text1"/>
        </w:rPr>
        <w:t>McHanwel</w:t>
      </w:r>
      <w:r w:rsidR="00925298" w:rsidRPr="00F961FF">
        <w:rPr>
          <w:color w:val="000000" w:themeColor="text1"/>
        </w:rPr>
        <w:t>l</w:t>
      </w:r>
      <w:proofErr w:type="spellEnd"/>
      <w:r w:rsidRPr="00F961FF">
        <w:rPr>
          <w:color w:val="000000" w:themeColor="text1"/>
        </w:rPr>
        <w:t xml:space="preserve"> et al. 2007 and Smith et al. 2016</w:t>
      </w:r>
      <w:r w:rsidR="00E90FFD" w:rsidRPr="00F961FF">
        <w:rPr>
          <w:color w:val="000000" w:themeColor="text1"/>
        </w:rPr>
        <w:t>a</w:t>
      </w:r>
      <w:r w:rsidRPr="00F961FF">
        <w:rPr>
          <w:color w:val="000000" w:themeColor="text1"/>
        </w:rPr>
        <w:t>)</w:t>
      </w:r>
      <w:r w:rsidR="00A35ABA" w:rsidRPr="00F961FF">
        <w:rPr>
          <w:color w:val="000000" w:themeColor="text1"/>
        </w:rPr>
        <w:t>. Ther</w:t>
      </w:r>
      <w:r w:rsidR="00DB416F" w:rsidRPr="00F961FF">
        <w:rPr>
          <w:color w:val="000000" w:themeColor="text1"/>
        </w:rPr>
        <w:t>e</w:t>
      </w:r>
      <w:r w:rsidR="00A35ABA" w:rsidRPr="00F961FF">
        <w:rPr>
          <w:color w:val="000000" w:themeColor="text1"/>
        </w:rPr>
        <w:t xml:space="preserve">fore, this study was a modified </w:t>
      </w:r>
      <w:r w:rsidR="00144CCE" w:rsidRPr="00F961FF">
        <w:rPr>
          <w:color w:val="000000" w:themeColor="text1"/>
        </w:rPr>
        <w:t>D</w:t>
      </w:r>
      <w:r w:rsidR="00A35ABA" w:rsidRPr="00F961FF">
        <w:rPr>
          <w:color w:val="000000" w:themeColor="text1"/>
        </w:rPr>
        <w:t>elphi</w:t>
      </w:r>
      <w:r w:rsidRPr="00F961FF">
        <w:rPr>
          <w:color w:val="000000" w:themeColor="text1"/>
        </w:rPr>
        <w:t>.</w:t>
      </w:r>
      <w:r w:rsidR="00F961FF">
        <w:rPr>
          <w:color w:val="000000" w:themeColor="text1"/>
        </w:rPr>
        <w:t xml:space="preserve"> The study design was similar to the work of Smith et al., (2016) and Connolly et al., (2018) and therefore references to the relevant methodologies are made throughout. </w:t>
      </w:r>
      <w:r w:rsidRPr="00F961FF">
        <w:rPr>
          <w:color w:val="000000" w:themeColor="text1"/>
        </w:rPr>
        <w:t>This approach was selected as it would help to ensure that no potential areas of the anatomy syllabus were omitted. The modified Delphi study design (Figure 1) had an initial screening process, two Delphi stages and a concluding screening for typographical errors from the research team.  The two-stage modified Delphi method permitted the panel of experts to suggest modifications to the original learning outcomes in the first stage, whereas during the second stage the panel were c</w:t>
      </w:r>
      <w:r w:rsidR="00A35ABA" w:rsidRPr="00F961FF">
        <w:rPr>
          <w:color w:val="000000" w:themeColor="text1"/>
        </w:rPr>
        <w:t>onfined to a simple decision of</w:t>
      </w:r>
      <w:r w:rsidRPr="00F961FF">
        <w:rPr>
          <w:color w:val="000000" w:themeColor="text1"/>
        </w:rPr>
        <w:t xml:space="preserve"> ‘accept’ or ‘reject’ the learning outcomes.</w:t>
      </w:r>
    </w:p>
    <w:p w14:paraId="1A0FCAE7" w14:textId="77777777" w:rsidR="00DB43B1" w:rsidRPr="00F961FF" w:rsidRDefault="00DB43B1" w:rsidP="00DF257B">
      <w:pPr>
        <w:spacing w:line="480" w:lineRule="auto"/>
        <w:jc w:val="both"/>
        <w:rPr>
          <w:color w:val="000000" w:themeColor="text1"/>
        </w:rPr>
      </w:pPr>
    </w:p>
    <w:p w14:paraId="6AE7ADD9" w14:textId="77777777" w:rsidR="00DB43B1" w:rsidRPr="00F961FF" w:rsidRDefault="00DB43B1" w:rsidP="00DF257B">
      <w:pPr>
        <w:spacing w:line="480" w:lineRule="auto"/>
        <w:jc w:val="both"/>
        <w:rPr>
          <w:b/>
          <w:i/>
          <w:color w:val="000000" w:themeColor="text1"/>
        </w:rPr>
      </w:pPr>
      <w:r w:rsidRPr="00F961FF">
        <w:rPr>
          <w:b/>
          <w:i/>
          <w:color w:val="000000" w:themeColor="text1"/>
        </w:rPr>
        <w:t>Figure 1 – The key stages of the modified Delphi process</w:t>
      </w:r>
    </w:p>
    <w:p w14:paraId="550544EF" w14:textId="77777777" w:rsidR="00DB43B1" w:rsidRPr="00F961FF" w:rsidRDefault="00DB43B1" w:rsidP="00DF257B">
      <w:pPr>
        <w:spacing w:line="480" w:lineRule="auto"/>
        <w:jc w:val="both"/>
        <w:rPr>
          <w:color w:val="000000" w:themeColor="text1"/>
        </w:rPr>
      </w:pPr>
      <w:r w:rsidRPr="00F961FF">
        <w:rPr>
          <w:color w:val="000000" w:themeColor="text1"/>
        </w:rPr>
        <w:t xml:space="preserve"> </w:t>
      </w:r>
    </w:p>
    <w:p w14:paraId="46325C44" w14:textId="77777777" w:rsidR="00DB43B1" w:rsidRPr="00F961FF" w:rsidRDefault="00DB43B1" w:rsidP="00DF257B">
      <w:pPr>
        <w:spacing w:line="480" w:lineRule="auto"/>
        <w:jc w:val="both"/>
        <w:rPr>
          <w:b/>
          <w:color w:val="000000" w:themeColor="text1"/>
        </w:rPr>
      </w:pPr>
      <w:r w:rsidRPr="00F961FF">
        <w:rPr>
          <w:b/>
          <w:color w:val="000000" w:themeColor="text1"/>
        </w:rPr>
        <w:t>Construction of the research group</w:t>
      </w:r>
    </w:p>
    <w:p w14:paraId="4D4D25D9" w14:textId="16E0D5B6" w:rsidR="00DB43B1" w:rsidRDefault="00DB43B1" w:rsidP="00001D14">
      <w:pPr>
        <w:spacing w:line="480" w:lineRule="auto"/>
        <w:jc w:val="both"/>
        <w:rPr>
          <w:color w:val="000000" w:themeColor="text1"/>
        </w:rPr>
      </w:pPr>
      <w:r w:rsidRPr="00F961FF">
        <w:rPr>
          <w:color w:val="000000" w:themeColor="text1"/>
        </w:rPr>
        <w:lastRenderedPageBreak/>
        <w:t xml:space="preserve">The research group included all of the present authors. Three of the researchers (GF, CF, CH) were selected due to their roles as anatomists, with specific experience of teaching anatomy to </w:t>
      </w:r>
      <w:proofErr w:type="spellStart"/>
      <w:r w:rsidRPr="00F961FF">
        <w:rPr>
          <w:color w:val="000000" w:themeColor="text1"/>
        </w:rPr>
        <w:t>MPharm</w:t>
      </w:r>
      <w:proofErr w:type="spellEnd"/>
      <w:r w:rsidRPr="00F961FF">
        <w:rPr>
          <w:color w:val="000000" w:themeColor="text1"/>
        </w:rPr>
        <w:t xml:space="preserve"> students. Two of the researchers (GH, BA) were selected as they were registered pharmacists who hold senior positions within pharmacy education, the third (PG) is a pharmacologist with experience of developing, leading and assessing UK </w:t>
      </w:r>
      <w:proofErr w:type="spellStart"/>
      <w:r w:rsidRPr="00F961FF">
        <w:rPr>
          <w:color w:val="000000" w:themeColor="text1"/>
        </w:rPr>
        <w:t>MPharm</w:t>
      </w:r>
      <w:proofErr w:type="spellEnd"/>
      <w:r w:rsidRPr="00F961FF">
        <w:rPr>
          <w:color w:val="000000" w:themeColor="text1"/>
        </w:rPr>
        <w:t xml:space="preserve"> </w:t>
      </w:r>
      <w:proofErr w:type="spellStart"/>
      <w:r w:rsidRPr="00F961FF">
        <w:rPr>
          <w:color w:val="000000" w:themeColor="text1"/>
        </w:rPr>
        <w:t>programmes</w:t>
      </w:r>
      <w:proofErr w:type="spellEnd"/>
      <w:r w:rsidRPr="00F961FF">
        <w:rPr>
          <w:color w:val="000000" w:themeColor="text1"/>
        </w:rPr>
        <w:t xml:space="preserve">. One author (JS) was selected due to expertise in Delphi methodology but was not involved in the revision of any anatomical content. All decisions made regarding content were made by the team, ensuring anatomy and pharmacy representation was consistent throughout. </w:t>
      </w:r>
    </w:p>
    <w:p w14:paraId="43E9D170" w14:textId="77777777" w:rsidR="00001D14" w:rsidRPr="00F961FF" w:rsidRDefault="00001D14" w:rsidP="00001D14">
      <w:pPr>
        <w:spacing w:line="480" w:lineRule="auto"/>
        <w:jc w:val="both"/>
        <w:rPr>
          <w:b/>
          <w:color w:val="000000" w:themeColor="text1"/>
        </w:rPr>
      </w:pPr>
    </w:p>
    <w:p w14:paraId="23B1DE6F" w14:textId="77777777" w:rsidR="00DB43B1" w:rsidRPr="00F961FF" w:rsidRDefault="00DB43B1" w:rsidP="00DF257B">
      <w:pPr>
        <w:spacing w:line="480" w:lineRule="auto"/>
        <w:jc w:val="both"/>
        <w:rPr>
          <w:b/>
          <w:color w:val="000000" w:themeColor="text1"/>
        </w:rPr>
      </w:pPr>
      <w:r w:rsidRPr="00F961FF">
        <w:rPr>
          <w:b/>
          <w:color w:val="000000" w:themeColor="text1"/>
        </w:rPr>
        <w:t>Identification of the Delphi panel</w:t>
      </w:r>
    </w:p>
    <w:p w14:paraId="79AF11AD" w14:textId="1CBFC01E" w:rsidR="00DB43B1" w:rsidRPr="00F961FF" w:rsidRDefault="00DB43B1" w:rsidP="00DF257B">
      <w:pPr>
        <w:spacing w:line="480" w:lineRule="auto"/>
        <w:jc w:val="both"/>
        <w:rPr>
          <w:color w:val="000000" w:themeColor="text1"/>
        </w:rPr>
      </w:pPr>
      <w:r w:rsidRPr="00F961FF">
        <w:rPr>
          <w:color w:val="000000" w:themeColor="text1"/>
        </w:rPr>
        <w:t>Delphi panels are constructed by ‘experts’. Experts are defined as persons who have knowledge and experience, as well as the ability to influence policy (Baker et al. 2006)</w:t>
      </w:r>
      <w:r w:rsidR="00315B83" w:rsidRPr="00F961FF">
        <w:rPr>
          <w:color w:val="000000" w:themeColor="text1"/>
        </w:rPr>
        <w:t>.</w:t>
      </w:r>
      <w:r w:rsidRPr="00F961FF">
        <w:rPr>
          <w:color w:val="000000" w:themeColor="text1"/>
        </w:rPr>
        <w:t xml:space="preserve"> The experts must have a sound knowledge of the ‘target issue’ (Latif et al. 2016), in this case anatomy. The identification of participants to be invited to join the Delphi panel was undertaken</w:t>
      </w:r>
      <w:r w:rsidR="007A290E" w:rsidRPr="00F961FF">
        <w:rPr>
          <w:color w:val="000000" w:themeColor="text1"/>
        </w:rPr>
        <w:t xml:space="preserve"> in two phases. Phase 1 sought </w:t>
      </w:r>
      <w:r w:rsidRPr="00F961FF">
        <w:rPr>
          <w:color w:val="000000" w:themeColor="text1"/>
        </w:rPr>
        <w:t>nominations from members of both the Anatomical Society Council and the Education Committee to nominate individuals who they deemed as fulfilling the study inclusion criteria of ‘expert’ within this field: at least two years</w:t>
      </w:r>
      <w:r w:rsidR="00D9625B" w:rsidRPr="00F961FF">
        <w:rPr>
          <w:color w:val="000000" w:themeColor="text1"/>
        </w:rPr>
        <w:t>’</w:t>
      </w:r>
      <w:r w:rsidRPr="00F961FF">
        <w:rPr>
          <w:color w:val="000000" w:themeColor="text1"/>
        </w:rPr>
        <w:t xml:space="preserve"> experience in teaching pharmacy students during their undergraduate studies or a practicing pharmacist involved in pharmacy education at undergraduate or postgraduate levels. The second phase of recruitment involved identifying all Heads of Schools of Pharmacy or course leaders asking them to participate in the Delphi panel or nominate individuals from their departments who were best placed to provide feedback.</w:t>
      </w:r>
      <w:r w:rsidR="00113946" w:rsidRPr="00F961FF">
        <w:rPr>
          <w:color w:val="000000" w:themeColor="text1"/>
        </w:rPr>
        <w:t xml:space="preserve"> </w:t>
      </w:r>
      <w:r w:rsidR="00FB0A25" w:rsidRPr="00F961FF">
        <w:rPr>
          <w:color w:val="000000" w:themeColor="text1"/>
        </w:rPr>
        <w:t>Phase two</w:t>
      </w:r>
      <w:r w:rsidR="00113946" w:rsidRPr="00F961FF">
        <w:rPr>
          <w:color w:val="000000" w:themeColor="text1"/>
        </w:rPr>
        <w:t xml:space="preserve"> mirrors that described by Connolly et al., (2018)</w:t>
      </w:r>
      <w:r w:rsidR="00FB0A25" w:rsidRPr="00F961FF">
        <w:rPr>
          <w:color w:val="000000" w:themeColor="text1"/>
        </w:rPr>
        <w:t xml:space="preserve"> within the context of nursing</w:t>
      </w:r>
      <w:r w:rsidR="00113946" w:rsidRPr="00F961FF">
        <w:rPr>
          <w:color w:val="000000" w:themeColor="text1"/>
        </w:rPr>
        <w:t xml:space="preserve">. </w:t>
      </w:r>
      <w:r w:rsidRPr="00F961FF">
        <w:rPr>
          <w:color w:val="000000" w:themeColor="text1"/>
        </w:rPr>
        <w:t xml:space="preserve"> To identify </w:t>
      </w:r>
      <w:r w:rsidRPr="00F961FF">
        <w:rPr>
          <w:color w:val="000000" w:themeColor="text1"/>
        </w:rPr>
        <w:lastRenderedPageBreak/>
        <w:t>th</w:t>
      </w:r>
      <w:r w:rsidR="00D9625B" w:rsidRPr="00F961FF">
        <w:rPr>
          <w:color w:val="000000" w:themeColor="text1"/>
        </w:rPr>
        <w:t xml:space="preserve">e Heads of Schools of Pharmacy </w:t>
      </w:r>
      <w:r w:rsidRPr="00F961FF">
        <w:rPr>
          <w:color w:val="000000" w:themeColor="text1"/>
        </w:rPr>
        <w:t>data were collated from a search of the Universities and Colleges Admissions Service (UCAS) database to identify</w:t>
      </w:r>
      <w:r w:rsidR="0083638E" w:rsidRPr="00F961FF">
        <w:rPr>
          <w:color w:val="000000" w:themeColor="text1"/>
        </w:rPr>
        <w:t xml:space="preserve"> </w:t>
      </w:r>
      <w:r w:rsidRPr="00F961FF">
        <w:rPr>
          <w:color w:val="000000" w:themeColor="text1"/>
        </w:rPr>
        <w:t>HE</w:t>
      </w:r>
      <w:r w:rsidR="0083638E" w:rsidRPr="00F961FF">
        <w:rPr>
          <w:color w:val="000000" w:themeColor="text1"/>
        </w:rPr>
        <w:t>Is</w:t>
      </w:r>
      <w:r w:rsidRPr="00F961FF">
        <w:rPr>
          <w:color w:val="000000" w:themeColor="text1"/>
        </w:rPr>
        <w:t xml:space="preserve"> offering </w:t>
      </w:r>
      <w:proofErr w:type="spellStart"/>
      <w:r w:rsidRPr="00F961FF">
        <w:rPr>
          <w:color w:val="000000" w:themeColor="text1"/>
        </w:rPr>
        <w:t>MPharm</w:t>
      </w:r>
      <w:proofErr w:type="spellEnd"/>
      <w:r w:rsidRPr="00F961FF">
        <w:rPr>
          <w:color w:val="000000" w:themeColor="text1"/>
        </w:rPr>
        <w:t xml:space="preserve"> Degree </w:t>
      </w:r>
      <w:proofErr w:type="spellStart"/>
      <w:r w:rsidRPr="00F961FF">
        <w:rPr>
          <w:color w:val="000000" w:themeColor="text1"/>
        </w:rPr>
        <w:t>programmes</w:t>
      </w:r>
      <w:proofErr w:type="spellEnd"/>
      <w:r w:rsidRPr="00F961FF">
        <w:rPr>
          <w:color w:val="000000" w:themeColor="text1"/>
        </w:rPr>
        <w:t xml:space="preserve"> and by subsequent cross-checking on institutional websites. The search returned 103 individuals who could be contacted to request nominations based upon the inclusion criteria.  Members of the original research group that devised the Smith et al.,2016 or </w:t>
      </w:r>
      <w:proofErr w:type="spellStart"/>
      <w:r w:rsidRPr="00F961FF">
        <w:rPr>
          <w:color w:val="000000" w:themeColor="text1"/>
        </w:rPr>
        <w:t>McHanwell</w:t>
      </w:r>
      <w:proofErr w:type="spellEnd"/>
      <w:r w:rsidRPr="00F961FF">
        <w:rPr>
          <w:color w:val="000000" w:themeColor="text1"/>
        </w:rPr>
        <w:t xml:space="preserve"> et al., 2007 syllabi were excluded from the Delphi panels as participation could be considered to be a conflict of interest due to their investment in creating the outcomes (</w:t>
      </w:r>
      <w:proofErr w:type="spellStart"/>
      <w:r w:rsidRPr="00F961FF">
        <w:rPr>
          <w:color w:val="000000" w:themeColor="text1"/>
        </w:rPr>
        <w:t>McHanwell</w:t>
      </w:r>
      <w:proofErr w:type="spellEnd"/>
      <w:r w:rsidRPr="00F961FF">
        <w:rPr>
          <w:color w:val="000000" w:themeColor="text1"/>
        </w:rPr>
        <w:t xml:space="preserve"> et al., 2007 and Smith et al., 2016</w:t>
      </w:r>
      <w:r w:rsidR="00E90FFD" w:rsidRPr="00F961FF">
        <w:rPr>
          <w:color w:val="000000" w:themeColor="text1"/>
        </w:rPr>
        <w:t>a</w:t>
      </w:r>
      <w:r w:rsidRPr="00F961FF">
        <w:rPr>
          <w:color w:val="000000" w:themeColor="text1"/>
        </w:rPr>
        <w:t xml:space="preserve">). Thirty-seven individuals were proposed and searches returned an additional 34 individuals, </w:t>
      </w:r>
      <w:r w:rsidR="00124E69" w:rsidRPr="00F961FF">
        <w:rPr>
          <w:color w:val="000000" w:themeColor="text1"/>
        </w:rPr>
        <w:t>totaling</w:t>
      </w:r>
      <w:r w:rsidRPr="00F961FF">
        <w:rPr>
          <w:color w:val="000000" w:themeColor="text1"/>
        </w:rPr>
        <w:t xml:space="preserve"> 71 individuals who fulfilled the inclusion criteria. The nomination process and search produced some replication. Following removal of any duplicates, the final list of potential panel members was 52. These included five members of the original core syllabus group who were immediately excluded from the survey. The remaining 47 individuals were accepted and invited to participate. An initial email was sent to the nominees inviting them to join the study. Five nominees were found to be untraceable by email making the final invited sample forty-two. A reminder email was sent thirty days later. Thirty-four individuals agreed at the time to participate in the study (n=34). Literature suggests that a panel size of greater than 10 is acceptable (Adler and </w:t>
      </w:r>
      <w:proofErr w:type="spellStart"/>
      <w:r w:rsidRPr="00F961FF">
        <w:rPr>
          <w:color w:val="000000" w:themeColor="text1"/>
        </w:rPr>
        <w:t>Ziglio</w:t>
      </w:r>
      <w:proofErr w:type="spellEnd"/>
      <w:r w:rsidRPr="00F961FF">
        <w:rPr>
          <w:color w:val="000000" w:themeColor="text1"/>
        </w:rPr>
        <w:t xml:space="preserve"> 1996, Hsu and </w:t>
      </w:r>
      <w:proofErr w:type="spellStart"/>
      <w:r w:rsidRPr="00F961FF">
        <w:rPr>
          <w:color w:val="000000" w:themeColor="text1"/>
        </w:rPr>
        <w:t>Sandford</w:t>
      </w:r>
      <w:proofErr w:type="spellEnd"/>
      <w:r w:rsidRPr="00F961FF">
        <w:rPr>
          <w:color w:val="000000" w:themeColor="text1"/>
        </w:rPr>
        <w:t xml:space="preserve"> 2007, Latif et al. 2016).</w:t>
      </w:r>
    </w:p>
    <w:p w14:paraId="4C461362" w14:textId="77777777" w:rsidR="00DB43B1" w:rsidRPr="00F961FF" w:rsidRDefault="00DB43B1" w:rsidP="00DF257B">
      <w:pPr>
        <w:spacing w:line="480" w:lineRule="auto"/>
        <w:jc w:val="both"/>
        <w:rPr>
          <w:color w:val="000000" w:themeColor="text1"/>
        </w:rPr>
      </w:pPr>
      <w:r w:rsidRPr="00F961FF">
        <w:rPr>
          <w:color w:val="000000" w:themeColor="text1"/>
        </w:rPr>
        <w:t xml:space="preserve"> </w:t>
      </w:r>
    </w:p>
    <w:p w14:paraId="3762620E" w14:textId="77777777" w:rsidR="00DB43B1" w:rsidRPr="00F961FF" w:rsidRDefault="00DB43B1" w:rsidP="00DF257B">
      <w:pPr>
        <w:spacing w:line="480" w:lineRule="auto"/>
        <w:jc w:val="both"/>
        <w:rPr>
          <w:b/>
          <w:color w:val="000000" w:themeColor="text1"/>
        </w:rPr>
      </w:pPr>
      <w:r w:rsidRPr="00F961FF">
        <w:rPr>
          <w:b/>
          <w:color w:val="000000" w:themeColor="text1"/>
        </w:rPr>
        <w:t>Pre-screen – initial outcome screening before Stage 1</w:t>
      </w:r>
    </w:p>
    <w:p w14:paraId="5458898D" w14:textId="6341C575" w:rsidR="00DB43B1" w:rsidRPr="00F961FF" w:rsidRDefault="00DB43B1" w:rsidP="00DF257B">
      <w:pPr>
        <w:spacing w:line="480" w:lineRule="auto"/>
        <w:jc w:val="both"/>
        <w:rPr>
          <w:color w:val="000000" w:themeColor="text1"/>
        </w:rPr>
      </w:pPr>
      <w:r w:rsidRPr="00F961FF">
        <w:rPr>
          <w:color w:val="000000" w:themeColor="text1"/>
        </w:rPr>
        <w:t>The content for the syllabus was generated by combining two pre-existing syllabi; (</w:t>
      </w:r>
      <w:proofErr w:type="spellStart"/>
      <w:r w:rsidRPr="00F961FF">
        <w:rPr>
          <w:color w:val="000000" w:themeColor="text1"/>
        </w:rPr>
        <w:t>i</w:t>
      </w:r>
      <w:proofErr w:type="spellEnd"/>
      <w:r w:rsidRPr="00F961FF">
        <w:rPr>
          <w:color w:val="000000" w:themeColor="text1"/>
        </w:rPr>
        <w:t>) Smith et al., (2016</w:t>
      </w:r>
      <w:r w:rsidR="00E90FFD" w:rsidRPr="00F961FF">
        <w:rPr>
          <w:color w:val="000000" w:themeColor="text1"/>
        </w:rPr>
        <w:t>a</w:t>
      </w:r>
      <w:r w:rsidRPr="00F961FF">
        <w:rPr>
          <w:color w:val="000000" w:themeColor="text1"/>
        </w:rPr>
        <w:t xml:space="preserve">) and (ii) </w:t>
      </w:r>
      <w:proofErr w:type="spellStart"/>
      <w:r w:rsidRPr="00F961FF">
        <w:rPr>
          <w:color w:val="000000" w:themeColor="text1"/>
        </w:rPr>
        <w:t>McHanwell</w:t>
      </w:r>
      <w:proofErr w:type="spellEnd"/>
      <w:r w:rsidRPr="00F961FF">
        <w:rPr>
          <w:color w:val="000000" w:themeColor="text1"/>
        </w:rPr>
        <w:t xml:space="preserve"> et al., (2007). The entire set of outcomes from Smith et al., n= 156 were used but only the 19 neuroanatomy outcomes were used from </w:t>
      </w:r>
      <w:proofErr w:type="spellStart"/>
      <w:r w:rsidRPr="00F961FF">
        <w:rPr>
          <w:color w:val="000000" w:themeColor="text1"/>
        </w:rPr>
        <w:t>McHanwell</w:t>
      </w:r>
      <w:proofErr w:type="spellEnd"/>
      <w:r w:rsidRPr="00F961FF">
        <w:rPr>
          <w:color w:val="000000" w:themeColor="text1"/>
        </w:rPr>
        <w:t xml:space="preserve"> et al., (2007). The Smith et al syllabus was a revision of </w:t>
      </w:r>
      <w:proofErr w:type="spellStart"/>
      <w:r w:rsidRPr="00F961FF">
        <w:rPr>
          <w:color w:val="000000" w:themeColor="text1"/>
        </w:rPr>
        <w:t>McHanwell</w:t>
      </w:r>
      <w:proofErr w:type="spellEnd"/>
      <w:r w:rsidRPr="00F961FF">
        <w:rPr>
          <w:color w:val="000000" w:themeColor="text1"/>
        </w:rPr>
        <w:t xml:space="preserve"> et al., and therefore had the </w:t>
      </w:r>
      <w:r w:rsidRPr="00F961FF">
        <w:rPr>
          <w:color w:val="000000" w:themeColor="text1"/>
        </w:rPr>
        <w:lastRenderedPageBreak/>
        <w:t xml:space="preserve">most up to date outcomes but it did not include neuroanatomy outcomes - for this reason the neuroanatomy outcomes were taken from </w:t>
      </w:r>
      <w:proofErr w:type="spellStart"/>
      <w:r w:rsidRPr="00F961FF">
        <w:rPr>
          <w:color w:val="000000" w:themeColor="text1"/>
        </w:rPr>
        <w:t>McHanwell</w:t>
      </w:r>
      <w:proofErr w:type="spellEnd"/>
      <w:r w:rsidRPr="00F961FF">
        <w:rPr>
          <w:color w:val="000000" w:themeColor="text1"/>
        </w:rPr>
        <w:t xml:space="preserve"> et al., to ensure a complete set </w:t>
      </w:r>
      <w:proofErr w:type="gramStart"/>
      <w:r w:rsidR="00721C51" w:rsidRPr="00F961FF">
        <w:rPr>
          <w:color w:val="000000" w:themeColor="text1"/>
        </w:rPr>
        <w:t xml:space="preserve">of </w:t>
      </w:r>
      <w:r w:rsidRPr="00F961FF">
        <w:rPr>
          <w:color w:val="000000" w:themeColor="text1"/>
        </w:rPr>
        <w:t xml:space="preserve"> outcomes</w:t>
      </w:r>
      <w:proofErr w:type="gramEnd"/>
      <w:r w:rsidRPr="00F961FF">
        <w:rPr>
          <w:color w:val="000000" w:themeColor="text1"/>
        </w:rPr>
        <w:t xml:space="preserve"> were presented to the panel. As the learning outcomes for both studies were from syllabi for medical students, they were initially screened by the research team to remove any outcomes that clearly would be </w:t>
      </w:r>
      <w:proofErr w:type="gramStart"/>
      <w:r w:rsidRPr="00F961FF">
        <w:rPr>
          <w:color w:val="000000" w:themeColor="text1"/>
        </w:rPr>
        <w:t>inappropriate</w:t>
      </w:r>
      <w:r w:rsidR="00CA5F3A" w:rsidRPr="00F961FF">
        <w:rPr>
          <w:color w:val="000000" w:themeColor="text1"/>
        </w:rPr>
        <w:t xml:space="preserve"> </w:t>
      </w:r>
      <w:r w:rsidRPr="00F961FF">
        <w:rPr>
          <w:color w:val="000000" w:themeColor="text1"/>
        </w:rPr>
        <w:t>.</w:t>
      </w:r>
      <w:proofErr w:type="gramEnd"/>
      <w:r w:rsidRPr="00F961FF">
        <w:rPr>
          <w:color w:val="000000" w:themeColor="text1"/>
        </w:rPr>
        <w:t xml:space="preserve"> Although not a typical stage in a Delphi process, this screening was performed to prevent time being wasted by inappropriate questioning.</w:t>
      </w:r>
    </w:p>
    <w:p w14:paraId="63A1D796" w14:textId="77777777" w:rsidR="00DB43B1" w:rsidRPr="00F961FF" w:rsidRDefault="00DB43B1" w:rsidP="00DF257B">
      <w:pPr>
        <w:spacing w:line="480" w:lineRule="auto"/>
        <w:jc w:val="both"/>
        <w:rPr>
          <w:color w:val="000000" w:themeColor="text1"/>
        </w:rPr>
      </w:pPr>
      <w:r w:rsidRPr="00F961FF">
        <w:rPr>
          <w:color w:val="000000" w:themeColor="text1"/>
        </w:rPr>
        <w:t xml:space="preserve"> </w:t>
      </w:r>
    </w:p>
    <w:p w14:paraId="52D88EE0" w14:textId="77777777" w:rsidR="00DB43B1" w:rsidRPr="00F961FF" w:rsidRDefault="00DB43B1" w:rsidP="00DF257B">
      <w:pPr>
        <w:spacing w:line="480" w:lineRule="auto"/>
        <w:jc w:val="both"/>
        <w:rPr>
          <w:color w:val="000000" w:themeColor="text1"/>
        </w:rPr>
      </w:pPr>
      <w:r w:rsidRPr="00F961FF">
        <w:rPr>
          <w:color w:val="000000" w:themeColor="text1"/>
        </w:rPr>
        <w:t>Before the commencement of the Delphi, the following procedures were performed by the research group: If an outcome achieved 100% rejection as an outcome, it was removed. Any outcome achieving 100%</w:t>
      </w:r>
      <w:r w:rsidR="00060B23" w:rsidRPr="00F961FF">
        <w:rPr>
          <w:color w:val="000000" w:themeColor="text1"/>
        </w:rPr>
        <w:t xml:space="preserve"> agreement or less</w:t>
      </w:r>
      <w:r w:rsidRPr="00F961FF">
        <w:rPr>
          <w:color w:val="000000" w:themeColor="text1"/>
        </w:rPr>
        <w:t xml:space="preserve"> progressed to the expert panel. Of the 156 outcomes from Smith </w:t>
      </w:r>
      <w:r w:rsidRPr="00F961FF">
        <w:rPr>
          <w:i/>
          <w:color w:val="000000" w:themeColor="text1"/>
        </w:rPr>
        <w:t>et al</w:t>
      </w:r>
      <w:r w:rsidRPr="00F961FF">
        <w:rPr>
          <w:color w:val="000000" w:themeColor="text1"/>
        </w:rPr>
        <w:t>., (2016</w:t>
      </w:r>
      <w:r w:rsidR="00E90FFD" w:rsidRPr="00F961FF">
        <w:rPr>
          <w:color w:val="000000" w:themeColor="text1"/>
        </w:rPr>
        <w:t>a</w:t>
      </w:r>
      <w:r w:rsidRPr="00F961FF">
        <w:rPr>
          <w:color w:val="000000" w:themeColor="text1"/>
        </w:rPr>
        <w:t xml:space="preserve">) medical syllabus, 146 went forward to the Delphi panel and 10 were removed. These outcomes were mostly related to clinical imaging or specific procedural knowledge which was not relevant to the role of a Pharmacist. The 19 neuroanatomy outcomes from </w:t>
      </w:r>
      <w:proofErr w:type="spellStart"/>
      <w:r w:rsidRPr="00F961FF">
        <w:rPr>
          <w:color w:val="000000" w:themeColor="text1"/>
        </w:rPr>
        <w:t>McHanwell</w:t>
      </w:r>
      <w:proofErr w:type="spellEnd"/>
      <w:r w:rsidRPr="00F961FF">
        <w:rPr>
          <w:color w:val="000000" w:themeColor="text1"/>
        </w:rPr>
        <w:t xml:space="preserve"> </w:t>
      </w:r>
      <w:r w:rsidRPr="00F961FF">
        <w:rPr>
          <w:i/>
          <w:color w:val="000000" w:themeColor="text1"/>
        </w:rPr>
        <w:t>et al</w:t>
      </w:r>
      <w:r w:rsidRPr="00F961FF">
        <w:rPr>
          <w:color w:val="000000" w:themeColor="text1"/>
        </w:rPr>
        <w:t>., (2007) were reviewed; 17 outcomes proceeded to the Delphi panel. In total, 163 learning outcomes were presented for the Stage 1 Delphi. The research group performed this initial screen to ensure that the time of expert panel members was not wasted by including outcomes that were obviously redundant. The outcomes that were</w:t>
      </w:r>
      <w:r w:rsidR="0086540C" w:rsidRPr="00F961FF">
        <w:rPr>
          <w:color w:val="000000" w:themeColor="text1"/>
        </w:rPr>
        <w:t xml:space="preserve"> removed typically referred to</w:t>
      </w:r>
      <w:r w:rsidRPr="00F961FF">
        <w:rPr>
          <w:color w:val="000000" w:themeColor="text1"/>
        </w:rPr>
        <w:t xml:space="preserve"> medical procedure</w:t>
      </w:r>
      <w:r w:rsidR="00AF1871" w:rsidRPr="00F961FF">
        <w:rPr>
          <w:color w:val="000000" w:themeColor="text1"/>
        </w:rPr>
        <w:t xml:space="preserve">s that were </w:t>
      </w:r>
      <w:r w:rsidRPr="00F961FF">
        <w:rPr>
          <w:color w:val="000000" w:themeColor="text1"/>
        </w:rPr>
        <w:t xml:space="preserve">not applicable to the role of Pharmacist. </w:t>
      </w:r>
    </w:p>
    <w:p w14:paraId="58EE0B1A" w14:textId="77777777" w:rsidR="00DB43B1" w:rsidRPr="00F961FF" w:rsidRDefault="00DB43B1" w:rsidP="00DF257B">
      <w:pPr>
        <w:spacing w:line="480" w:lineRule="auto"/>
        <w:jc w:val="both"/>
        <w:rPr>
          <w:color w:val="000000" w:themeColor="text1"/>
        </w:rPr>
      </w:pPr>
      <w:r w:rsidRPr="00F961FF">
        <w:rPr>
          <w:color w:val="000000" w:themeColor="text1"/>
        </w:rPr>
        <w:t xml:space="preserve"> </w:t>
      </w:r>
    </w:p>
    <w:p w14:paraId="3F2CDB95" w14:textId="77777777" w:rsidR="00DB43B1" w:rsidRPr="00F961FF" w:rsidRDefault="00DB43B1" w:rsidP="00DF257B">
      <w:pPr>
        <w:spacing w:line="480" w:lineRule="auto"/>
        <w:jc w:val="both"/>
        <w:rPr>
          <w:b/>
          <w:color w:val="000000" w:themeColor="text1"/>
        </w:rPr>
      </w:pPr>
      <w:r w:rsidRPr="00F961FF">
        <w:rPr>
          <w:b/>
          <w:color w:val="000000" w:themeColor="text1"/>
        </w:rPr>
        <w:t>Setting a consensus level</w:t>
      </w:r>
    </w:p>
    <w:p w14:paraId="36F0B5A0" w14:textId="6D40F90A" w:rsidR="00DB43B1" w:rsidRPr="00F961FF" w:rsidRDefault="00DB43B1" w:rsidP="00DF257B">
      <w:pPr>
        <w:spacing w:line="480" w:lineRule="auto"/>
        <w:jc w:val="both"/>
        <w:rPr>
          <w:color w:val="000000" w:themeColor="text1"/>
        </w:rPr>
      </w:pPr>
      <w:r w:rsidRPr="00F961FF">
        <w:rPr>
          <w:color w:val="000000" w:themeColor="text1"/>
        </w:rPr>
        <w:t>Before data were collected, the level of consensus was set. The appropriate level of consensus var</w:t>
      </w:r>
      <w:r w:rsidR="00F2749B" w:rsidRPr="00F961FF">
        <w:rPr>
          <w:color w:val="000000" w:themeColor="text1"/>
        </w:rPr>
        <w:t>ies</w:t>
      </w:r>
      <w:r w:rsidRPr="00F961FF">
        <w:rPr>
          <w:color w:val="000000" w:themeColor="text1"/>
        </w:rPr>
        <w:t xml:space="preserve"> within the literature (Latif et al. 2016) but these typically range from 70 – </w:t>
      </w:r>
      <w:r w:rsidRPr="00F961FF">
        <w:rPr>
          <w:color w:val="000000" w:themeColor="text1"/>
        </w:rPr>
        <w:lastRenderedPageBreak/>
        <w:t xml:space="preserve">100%. Consensus was set at 80% as the inclusion of anatomy teaching in </w:t>
      </w:r>
      <w:proofErr w:type="spellStart"/>
      <w:r w:rsidRPr="00F961FF">
        <w:rPr>
          <w:color w:val="000000" w:themeColor="text1"/>
        </w:rPr>
        <w:t>MPharm</w:t>
      </w:r>
      <w:proofErr w:type="spellEnd"/>
      <w:r w:rsidRPr="00F961FF">
        <w:rPr>
          <w:color w:val="000000" w:themeColor="text1"/>
        </w:rPr>
        <w:t xml:space="preserve"> </w:t>
      </w:r>
      <w:proofErr w:type="spellStart"/>
      <w:r w:rsidRPr="00F961FF">
        <w:rPr>
          <w:color w:val="000000" w:themeColor="text1"/>
        </w:rPr>
        <w:t>programmes</w:t>
      </w:r>
      <w:proofErr w:type="spellEnd"/>
      <w:r w:rsidRPr="00F961FF">
        <w:rPr>
          <w:color w:val="000000" w:themeColor="text1"/>
        </w:rPr>
        <w:t xml:space="preserve"> is variable (as evidenced by the information provided by the Delphi panel).  The lower consensus was agreed in order to compensate for the variable amounts of anatomy taught across </w:t>
      </w:r>
      <w:proofErr w:type="spellStart"/>
      <w:r w:rsidRPr="00F961FF">
        <w:rPr>
          <w:color w:val="000000" w:themeColor="text1"/>
        </w:rPr>
        <w:t>MPharm</w:t>
      </w:r>
      <w:proofErr w:type="spellEnd"/>
      <w:r w:rsidRPr="00F961FF">
        <w:rPr>
          <w:color w:val="000000" w:themeColor="text1"/>
        </w:rPr>
        <w:t xml:space="preserve"> </w:t>
      </w:r>
      <w:proofErr w:type="spellStart"/>
      <w:r w:rsidRPr="00F961FF">
        <w:rPr>
          <w:color w:val="000000" w:themeColor="text1"/>
        </w:rPr>
        <w:t>programmes</w:t>
      </w:r>
      <w:proofErr w:type="spellEnd"/>
      <w:r w:rsidRPr="00F961FF">
        <w:rPr>
          <w:color w:val="000000" w:themeColor="text1"/>
        </w:rPr>
        <w:t xml:space="preserve">.  </w:t>
      </w:r>
    </w:p>
    <w:p w14:paraId="4B749470" w14:textId="77777777" w:rsidR="00DB43B1" w:rsidRPr="00F961FF" w:rsidRDefault="00DB43B1" w:rsidP="00DF257B">
      <w:pPr>
        <w:spacing w:line="480" w:lineRule="auto"/>
        <w:jc w:val="both"/>
        <w:rPr>
          <w:color w:val="000000" w:themeColor="text1"/>
        </w:rPr>
      </w:pPr>
      <w:r w:rsidRPr="00F961FF">
        <w:rPr>
          <w:color w:val="000000" w:themeColor="text1"/>
        </w:rPr>
        <w:t xml:space="preserve"> </w:t>
      </w:r>
    </w:p>
    <w:p w14:paraId="526F7A4F" w14:textId="77777777" w:rsidR="00DB43B1" w:rsidRPr="00F961FF" w:rsidRDefault="00DB43B1" w:rsidP="00DF257B">
      <w:pPr>
        <w:spacing w:line="480" w:lineRule="auto"/>
        <w:jc w:val="both"/>
        <w:rPr>
          <w:b/>
          <w:color w:val="000000" w:themeColor="text1"/>
        </w:rPr>
      </w:pPr>
      <w:r w:rsidRPr="00F961FF">
        <w:rPr>
          <w:b/>
          <w:color w:val="000000" w:themeColor="text1"/>
        </w:rPr>
        <w:t xml:space="preserve"> </w:t>
      </w:r>
    </w:p>
    <w:p w14:paraId="19B3F893" w14:textId="77777777" w:rsidR="00DB43B1" w:rsidRPr="00F961FF" w:rsidRDefault="00DB43B1" w:rsidP="00DF257B">
      <w:pPr>
        <w:spacing w:line="480" w:lineRule="auto"/>
        <w:jc w:val="both"/>
        <w:rPr>
          <w:b/>
          <w:color w:val="000000" w:themeColor="text1"/>
        </w:rPr>
      </w:pPr>
      <w:r w:rsidRPr="00F961FF">
        <w:rPr>
          <w:b/>
          <w:color w:val="000000" w:themeColor="text1"/>
        </w:rPr>
        <w:t>Generation of the survey</w:t>
      </w:r>
    </w:p>
    <w:p w14:paraId="2853EB02" w14:textId="77777777" w:rsidR="00DB43B1" w:rsidRPr="00F961FF" w:rsidRDefault="00E73D70" w:rsidP="00DF257B">
      <w:pPr>
        <w:spacing w:line="480" w:lineRule="auto"/>
        <w:jc w:val="both"/>
        <w:rPr>
          <w:color w:val="000000" w:themeColor="text1"/>
        </w:rPr>
      </w:pPr>
      <w:r w:rsidRPr="00F961FF">
        <w:rPr>
          <w:color w:val="000000" w:themeColor="text1"/>
        </w:rPr>
        <w:t xml:space="preserve">The survey </w:t>
      </w:r>
      <w:r w:rsidR="00224C38" w:rsidRPr="00F961FF">
        <w:rPr>
          <w:color w:val="000000" w:themeColor="text1"/>
        </w:rPr>
        <w:t xml:space="preserve">set-up replicated that described in Smith at al., (2016b) </w:t>
      </w:r>
      <w:r w:rsidR="00DF257B" w:rsidRPr="00F961FF">
        <w:rPr>
          <w:color w:val="000000" w:themeColor="text1"/>
        </w:rPr>
        <w:t xml:space="preserve">and Connolly et al., (2018) </w:t>
      </w:r>
      <w:r w:rsidR="00224C38" w:rsidRPr="00F961FF">
        <w:rPr>
          <w:color w:val="000000" w:themeColor="text1"/>
        </w:rPr>
        <w:t>but</w:t>
      </w:r>
      <w:r w:rsidR="00DB43B1" w:rsidRPr="00F961FF">
        <w:rPr>
          <w:color w:val="000000" w:themeColor="text1"/>
        </w:rPr>
        <w:t xml:space="preserve"> using the Hull York Medical School Survey Monkey Account. Instructions for completion, a statement of consent and contact information for the research team were also included ahead of the outcomes for consideration.  In addition, there were four demographic items. Participants remained anonymous but were asked to indicate their institution, their principal role and whether or not they were also a registered Pharmacist. This information was recorded in order to report the range of expertise within the panel.</w:t>
      </w:r>
      <w:r w:rsidR="00224C38" w:rsidRPr="00F961FF">
        <w:rPr>
          <w:color w:val="000000" w:themeColor="text1"/>
        </w:rPr>
        <w:t xml:space="preserve"> </w:t>
      </w:r>
    </w:p>
    <w:p w14:paraId="366B69C5" w14:textId="77777777" w:rsidR="00DB43B1" w:rsidRPr="00F961FF" w:rsidRDefault="00DB43B1" w:rsidP="00DF257B">
      <w:pPr>
        <w:spacing w:line="480" w:lineRule="auto"/>
        <w:jc w:val="both"/>
        <w:rPr>
          <w:b/>
          <w:color w:val="000000" w:themeColor="text1"/>
        </w:rPr>
      </w:pPr>
      <w:r w:rsidRPr="00F961FF">
        <w:rPr>
          <w:b/>
          <w:color w:val="000000" w:themeColor="text1"/>
        </w:rPr>
        <w:t xml:space="preserve"> </w:t>
      </w:r>
    </w:p>
    <w:p w14:paraId="51C56D54" w14:textId="77777777" w:rsidR="00DB43B1" w:rsidRPr="00F961FF" w:rsidRDefault="00DB43B1" w:rsidP="00DF257B">
      <w:pPr>
        <w:spacing w:line="480" w:lineRule="auto"/>
        <w:jc w:val="both"/>
        <w:rPr>
          <w:b/>
          <w:color w:val="000000" w:themeColor="text1"/>
        </w:rPr>
      </w:pPr>
      <w:r w:rsidRPr="00F961FF">
        <w:rPr>
          <w:b/>
          <w:color w:val="000000" w:themeColor="text1"/>
        </w:rPr>
        <w:t>Inviting participants</w:t>
      </w:r>
    </w:p>
    <w:p w14:paraId="1E00034A" w14:textId="77777777" w:rsidR="00DB43B1" w:rsidRPr="00F961FF" w:rsidRDefault="00DB43B1" w:rsidP="00DF257B">
      <w:pPr>
        <w:spacing w:line="480" w:lineRule="auto"/>
        <w:jc w:val="both"/>
        <w:rPr>
          <w:color w:val="000000" w:themeColor="text1"/>
        </w:rPr>
      </w:pPr>
      <w:r w:rsidRPr="00F961FF">
        <w:rPr>
          <w:color w:val="000000" w:themeColor="text1"/>
        </w:rPr>
        <w:t xml:space="preserve">Participants </w:t>
      </w:r>
      <w:r w:rsidR="00CA7052" w:rsidRPr="00F961FF">
        <w:rPr>
          <w:color w:val="000000" w:themeColor="text1"/>
        </w:rPr>
        <w:t xml:space="preserve">were invited as per the protocol described in Smith at al., (2016b). </w:t>
      </w:r>
      <w:r w:rsidRPr="00F961FF">
        <w:rPr>
          <w:color w:val="000000" w:themeColor="text1"/>
        </w:rPr>
        <w:t>At each stage, the Delphi survey was open for four weeks in order to maximize participation.</w:t>
      </w:r>
    </w:p>
    <w:p w14:paraId="018AE436" w14:textId="77777777" w:rsidR="00DB43B1" w:rsidRPr="00F961FF" w:rsidRDefault="00DB43B1" w:rsidP="00DF257B">
      <w:pPr>
        <w:spacing w:line="480" w:lineRule="auto"/>
        <w:jc w:val="both"/>
        <w:rPr>
          <w:color w:val="000000" w:themeColor="text1"/>
        </w:rPr>
      </w:pPr>
      <w:r w:rsidRPr="00F961FF">
        <w:rPr>
          <w:color w:val="000000" w:themeColor="text1"/>
        </w:rPr>
        <w:t xml:space="preserve"> </w:t>
      </w:r>
    </w:p>
    <w:p w14:paraId="4861932E" w14:textId="337E81BA" w:rsidR="00DB43B1" w:rsidRPr="00F961FF" w:rsidRDefault="00DB43B1" w:rsidP="00DF257B">
      <w:pPr>
        <w:spacing w:line="480" w:lineRule="auto"/>
        <w:jc w:val="both"/>
        <w:rPr>
          <w:b/>
          <w:color w:val="000000" w:themeColor="text1"/>
        </w:rPr>
      </w:pPr>
      <w:r w:rsidRPr="00F961FF">
        <w:rPr>
          <w:b/>
          <w:color w:val="000000" w:themeColor="text1"/>
        </w:rPr>
        <w:t>Stage 1 – first round Delphi</w:t>
      </w:r>
      <w:r w:rsidR="00C41E36">
        <w:rPr>
          <w:b/>
          <w:color w:val="000000" w:themeColor="text1"/>
        </w:rPr>
        <w:t xml:space="preserve"> </w:t>
      </w:r>
    </w:p>
    <w:p w14:paraId="625821F4" w14:textId="130659E3" w:rsidR="00DB43B1" w:rsidRDefault="00DB43B1" w:rsidP="00DF257B">
      <w:pPr>
        <w:spacing w:line="480" w:lineRule="auto"/>
        <w:jc w:val="both"/>
        <w:rPr>
          <w:color w:val="000000" w:themeColor="text1"/>
        </w:rPr>
      </w:pPr>
      <w:r w:rsidRPr="00F961FF">
        <w:rPr>
          <w:color w:val="000000" w:themeColor="text1"/>
        </w:rPr>
        <w:t xml:space="preserve">Stage 1 asked participants to ‘accept’, ‘reject’ or ‘modify’ each learning outcome. Learning outcomes achieving a consensus level of 100% were accepted outright. Learning outcomes achieving a consensus level of between 81-100% were accepted but modified if there were suggestions to up the level of agreement. Learning outcomes achieving a lower level than </w:t>
      </w:r>
      <w:r w:rsidRPr="00F961FF">
        <w:rPr>
          <w:color w:val="000000" w:themeColor="text1"/>
        </w:rPr>
        <w:lastRenderedPageBreak/>
        <w:t>the pre-agreed consensus level of 80% (decided by the researchers) were rejected unless modifications or comments were made in the free-text box indicating how these could be refined. Modifications were considered by the entire research group to ensure expert anatomical and pharmaceutical input.</w:t>
      </w:r>
    </w:p>
    <w:p w14:paraId="56AF4DF7" w14:textId="77777777" w:rsidR="00C41E36" w:rsidRDefault="00C41E36" w:rsidP="00DF257B">
      <w:pPr>
        <w:spacing w:line="480" w:lineRule="auto"/>
        <w:jc w:val="both"/>
        <w:rPr>
          <w:color w:val="000000" w:themeColor="text1"/>
        </w:rPr>
      </w:pPr>
    </w:p>
    <w:p w14:paraId="1E2A6197" w14:textId="77777777" w:rsidR="00C41E36" w:rsidRPr="00F961FF" w:rsidRDefault="00C41E36" w:rsidP="00C41E36">
      <w:pPr>
        <w:spacing w:line="480" w:lineRule="auto"/>
        <w:jc w:val="both"/>
        <w:rPr>
          <w:color w:val="000000" w:themeColor="text1"/>
        </w:rPr>
      </w:pPr>
      <w:r w:rsidRPr="00F961FF">
        <w:rPr>
          <w:color w:val="000000" w:themeColor="text1"/>
        </w:rPr>
        <w:t xml:space="preserve">Each comment was read and classified by the team as either a modification, a supportive statement, a contextual remark or irrelevant, which was the screening method </w:t>
      </w:r>
      <w:r w:rsidRPr="00F961FF">
        <w:rPr>
          <w:color w:val="000000" w:themeColor="text1"/>
        </w:rPr>
        <w:t xml:space="preserve">developed during our previously published study (Smith et al. 2016b). </w:t>
      </w:r>
      <w:r w:rsidR="00DB43B1" w:rsidRPr="00F961FF">
        <w:rPr>
          <w:color w:val="000000" w:themeColor="text1"/>
        </w:rPr>
        <w:t xml:space="preserve">The research group also acted upon free-text feedback from the Panel that anatomy would not be taught by regions of the body within an undergraduate pharmacy </w:t>
      </w:r>
      <w:proofErr w:type="spellStart"/>
      <w:r w:rsidR="00DB43B1" w:rsidRPr="00F961FF">
        <w:rPr>
          <w:color w:val="000000" w:themeColor="text1"/>
        </w:rPr>
        <w:t>programme</w:t>
      </w:r>
      <w:proofErr w:type="spellEnd"/>
      <w:r w:rsidR="00DB43B1" w:rsidRPr="00F961FF">
        <w:rPr>
          <w:color w:val="000000" w:themeColor="text1"/>
        </w:rPr>
        <w:t>; thus, the outcomes were arranged into 11 sections (1 focused on terminology and 10 body system</w:t>
      </w:r>
      <w:r>
        <w:rPr>
          <w:color w:val="000000" w:themeColor="text1"/>
        </w:rPr>
        <w:t xml:space="preserve"> – see table 2</w:t>
      </w:r>
      <w:r w:rsidR="00DB43B1" w:rsidRPr="00F961FF">
        <w:rPr>
          <w:color w:val="000000" w:themeColor="text1"/>
        </w:rPr>
        <w:t xml:space="preserve">).  </w:t>
      </w:r>
      <w:r w:rsidRPr="00F961FF">
        <w:rPr>
          <w:color w:val="000000" w:themeColor="text1"/>
        </w:rPr>
        <w:t>The significant amount of modifications and comments (n= 580) reflects the engagement of the panel and is serves to demonstrate the validity of our proposed syllabus.</w:t>
      </w:r>
    </w:p>
    <w:p w14:paraId="3A7A130B" w14:textId="306BC7C0" w:rsidR="00DB43B1" w:rsidRPr="00F961FF" w:rsidRDefault="00DB43B1" w:rsidP="00DF257B">
      <w:pPr>
        <w:spacing w:line="480" w:lineRule="auto"/>
        <w:jc w:val="both"/>
        <w:rPr>
          <w:color w:val="000000" w:themeColor="text1"/>
        </w:rPr>
      </w:pPr>
    </w:p>
    <w:p w14:paraId="13219D1E" w14:textId="3113C8CC" w:rsidR="00DB43B1" w:rsidRPr="00F961FF" w:rsidRDefault="00DB43B1" w:rsidP="00C41E36">
      <w:pPr>
        <w:spacing w:line="480" w:lineRule="auto"/>
        <w:jc w:val="both"/>
        <w:rPr>
          <w:b/>
          <w:color w:val="000000" w:themeColor="text1"/>
        </w:rPr>
      </w:pPr>
    </w:p>
    <w:p w14:paraId="0B9542B8" w14:textId="77777777" w:rsidR="00DB43B1" w:rsidRPr="00F961FF" w:rsidRDefault="00DB43B1" w:rsidP="00DF257B">
      <w:pPr>
        <w:spacing w:line="480" w:lineRule="auto"/>
        <w:jc w:val="both"/>
        <w:rPr>
          <w:b/>
          <w:color w:val="000000" w:themeColor="text1"/>
        </w:rPr>
      </w:pPr>
      <w:r w:rsidRPr="00F961FF">
        <w:rPr>
          <w:b/>
          <w:color w:val="000000" w:themeColor="text1"/>
        </w:rPr>
        <w:t>Stage 2 – second round Delphi</w:t>
      </w:r>
    </w:p>
    <w:p w14:paraId="782D56DF" w14:textId="77777777" w:rsidR="00DB43B1" w:rsidRPr="00F961FF" w:rsidRDefault="00DB43B1" w:rsidP="00DF257B">
      <w:pPr>
        <w:spacing w:line="480" w:lineRule="auto"/>
        <w:jc w:val="both"/>
        <w:rPr>
          <w:color w:val="000000" w:themeColor="text1"/>
        </w:rPr>
      </w:pPr>
      <w:r w:rsidRPr="00F961FF">
        <w:rPr>
          <w:color w:val="000000" w:themeColor="text1"/>
        </w:rPr>
        <w:t>Stage 2 followed a similar process to stage 1. The 53 outcomes, now presented by systems, were made available by an email link to the survey. The same panel members were invited to participate. The second stage allowed participants to only ‘ac</w:t>
      </w:r>
      <w:r w:rsidR="00010671" w:rsidRPr="00F961FF">
        <w:rPr>
          <w:color w:val="000000" w:themeColor="text1"/>
        </w:rPr>
        <w:t xml:space="preserve">cept’ or ‘reject’ the outcomes. </w:t>
      </w:r>
      <w:r w:rsidRPr="00F961FF">
        <w:rPr>
          <w:color w:val="000000" w:themeColor="text1"/>
        </w:rPr>
        <w:t xml:space="preserve">Free-text comment boxes were available for recording of any typographical errors. Data analysis followed the same process as for Stage 1. </w:t>
      </w:r>
    </w:p>
    <w:p w14:paraId="7E6A9488" w14:textId="77777777" w:rsidR="00DB43B1" w:rsidRPr="00F961FF" w:rsidRDefault="00DB43B1" w:rsidP="00DF257B">
      <w:pPr>
        <w:spacing w:line="480" w:lineRule="auto"/>
        <w:jc w:val="both"/>
        <w:rPr>
          <w:b/>
          <w:color w:val="000000" w:themeColor="text1"/>
        </w:rPr>
      </w:pPr>
      <w:r w:rsidRPr="00F961FF">
        <w:rPr>
          <w:b/>
          <w:color w:val="000000" w:themeColor="text1"/>
        </w:rPr>
        <w:t xml:space="preserve"> </w:t>
      </w:r>
    </w:p>
    <w:p w14:paraId="59D1186C" w14:textId="77777777" w:rsidR="00DB43B1" w:rsidRPr="00F961FF" w:rsidRDefault="00DB43B1" w:rsidP="00DF257B">
      <w:pPr>
        <w:spacing w:line="480" w:lineRule="auto"/>
        <w:jc w:val="both"/>
        <w:rPr>
          <w:b/>
          <w:color w:val="000000" w:themeColor="text1"/>
        </w:rPr>
      </w:pPr>
      <w:r w:rsidRPr="00F961FF">
        <w:rPr>
          <w:b/>
          <w:color w:val="000000" w:themeColor="text1"/>
        </w:rPr>
        <w:t>Post-screen - final proofing post Delphi</w:t>
      </w:r>
    </w:p>
    <w:p w14:paraId="45A2BA2E" w14:textId="09F516C5" w:rsidR="00DB43B1" w:rsidRPr="00F961FF" w:rsidRDefault="00DB43B1" w:rsidP="00DF257B">
      <w:pPr>
        <w:spacing w:line="480" w:lineRule="auto"/>
        <w:jc w:val="both"/>
        <w:rPr>
          <w:color w:val="000000" w:themeColor="text1"/>
        </w:rPr>
      </w:pPr>
      <w:r w:rsidRPr="00F961FF">
        <w:rPr>
          <w:color w:val="000000" w:themeColor="text1"/>
        </w:rPr>
        <w:lastRenderedPageBreak/>
        <w:t>The final step in this procedure was reviewing the final outcomes by only the research group. This process was undertaken to correct typographical errors not picked up by the Delphi</w:t>
      </w:r>
      <w:r w:rsidR="00060B23" w:rsidRPr="00F961FF">
        <w:rPr>
          <w:color w:val="000000" w:themeColor="text1"/>
        </w:rPr>
        <w:t xml:space="preserve"> panel, and</w:t>
      </w:r>
      <w:r w:rsidRPr="00F961FF">
        <w:rPr>
          <w:color w:val="000000" w:themeColor="text1"/>
        </w:rPr>
        <w:t xml:space="preserve"> to refine and </w:t>
      </w:r>
      <w:proofErr w:type="spellStart"/>
      <w:r w:rsidRPr="00F961FF">
        <w:rPr>
          <w:color w:val="000000" w:themeColor="text1"/>
        </w:rPr>
        <w:t>standardise</w:t>
      </w:r>
      <w:proofErr w:type="spellEnd"/>
      <w:r w:rsidRPr="00F961FF">
        <w:rPr>
          <w:color w:val="000000" w:themeColor="text1"/>
        </w:rPr>
        <w:t xml:space="preserve"> formatting. </w:t>
      </w:r>
    </w:p>
    <w:p w14:paraId="0ECD537A" w14:textId="77777777" w:rsidR="00DB43B1" w:rsidRPr="00F961FF" w:rsidRDefault="00DB43B1" w:rsidP="00DF257B">
      <w:pPr>
        <w:widowControl w:val="0"/>
        <w:autoSpaceDE w:val="0"/>
        <w:autoSpaceDN w:val="0"/>
        <w:adjustRightInd w:val="0"/>
        <w:spacing w:line="480" w:lineRule="auto"/>
        <w:outlineLvl w:val="0"/>
        <w:rPr>
          <w:rFonts w:cs="Arial"/>
          <w:b/>
          <w:color w:val="000000" w:themeColor="text1"/>
        </w:rPr>
      </w:pPr>
    </w:p>
    <w:p w14:paraId="76081DD9" w14:textId="77777777" w:rsidR="00DB43B1" w:rsidRPr="00F961FF" w:rsidRDefault="00DB43B1" w:rsidP="00DF257B">
      <w:pPr>
        <w:widowControl w:val="0"/>
        <w:autoSpaceDE w:val="0"/>
        <w:autoSpaceDN w:val="0"/>
        <w:adjustRightInd w:val="0"/>
        <w:spacing w:line="480" w:lineRule="auto"/>
        <w:outlineLvl w:val="0"/>
        <w:rPr>
          <w:rFonts w:cs="Arial"/>
          <w:b/>
          <w:color w:val="000000" w:themeColor="text1"/>
        </w:rPr>
      </w:pPr>
    </w:p>
    <w:p w14:paraId="306E0651" w14:textId="77777777" w:rsidR="00DB43B1" w:rsidRPr="00F961FF" w:rsidRDefault="00060B23" w:rsidP="00DF257B">
      <w:pPr>
        <w:widowControl w:val="0"/>
        <w:autoSpaceDE w:val="0"/>
        <w:autoSpaceDN w:val="0"/>
        <w:adjustRightInd w:val="0"/>
        <w:spacing w:line="480" w:lineRule="auto"/>
        <w:outlineLvl w:val="0"/>
        <w:rPr>
          <w:rFonts w:cs="Arial"/>
          <w:b/>
          <w:color w:val="000000" w:themeColor="text1"/>
        </w:rPr>
      </w:pPr>
      <w:r w:rsidRPr="00F961FF">
        <w:rPr>
          <w:rFonts w:cs="Arial"/>
          <w:b/>
          <w:color w:val="000000" w:themeColor="text1"/>
        </w:rPr>
        <w:t>Results</w:t>
      </w:r>
    </w:p>
    <w:p w14:paraId="07F52E44" w14:textId="77777777" w:rsidR="00060B23" w:rsidRPr="00F961FF" w:rsidRDefault="00060B23" w:rsidP="00DF257B">
      <w:pPr>
        <w:spacing w:line="480" w:lineRule="auto"/>
        <w:jc w:val="both"/>
        <w:rPr>
          <w:rFonts w:cs="Arial"/>
          <w:b/>
          <w:color w:val="000000" w:themeColor="text1"/>
        </w:rPr>
      </w:pPr>
    </w:p>
    <w:p w14:paraId="63FC9C33" w14:textId="48E61BC9" w:rsidR="00060B23" w:rsidRPr="00F961FF" w:rsidRDefault="00060B23" w:rsidP="00DF257B">
      <w:pPr>
        <w:spacing w:line="480" w:lineRule="auto"/>
        <w:jc w:val="both"/>
        <w:rPr>
          <w:b/>
          <w:color w:val="000000" w:themeColor="text1"/>
        </w:rPr>
      </w:pPr>
      <w:r w:rsidRPr="00F961FF">
        <w:rPr>
          <w:b/>
          <w:color w:val="000000" w:themeColor="text1"/>
        </w:rPr>
        <w:t>Delphi panel demographics and participation rates</w:t>
      </w:r>
    </w:p>
    <w:p w14:paraId="6D0144E3" w14:textId="18ED99D6" w:rsidR="00060B23" w:rsidRPr="00F961FF" w:rsidRDefault="00060B23" w:rsidP="00DF257B">
      <w:pPr>
        <w:spacing w:line="480" w:lineRule="auto"/>
        <w:jc w:val="both"/>
        <w:rPr>
          <w:color w:val="000000" w:themeColor="text1"/>
        </w:rPr>
      </w:pPr>
      <w:r w:rsidRPr="00F961FF">
        <w:rPr>
          <w:color w:val="000000" w:themeColor="text1"/>
        </w:rPr>
        <w:t>A total of 34 individuals participated in the Stage 1 Delphi panel. Not all participants provided full demographic information. Within the panel 58% identified as being</w:t>
      </w:r>
      <w:r w:rsidR="0091621A" w:rsidRPr="00F961FF">
        <w:rPr>
          <w:color w:val="000000" w:themeColor="text1"/>
        </w:rPr>
        <w:t xml:space="preserve"> </w:t>
      </w:r>
      <w:r w:rsidRPr="00F961FF">
        <w:rPr>
          <w:color w:val="000000" w:themeColor="text1"/>
        </w:rPr>
        <w:t>a registered pharmacist. Respondents were asked to provide a free-text description of their role (see Table 1). Of those who participated, 73% were employed by H</w:t>
      </w:r>
      <w:r w:rsidR="0083638E" w:rsidRPr="00F961FF">
        <w:rPr>
          <w:color w:val="000000" w:themeColor="text1"/>
        </w:rPr>
        <w:t>EIs</w:t>
      </w:r>
      <w:r w:rsidRPr="00F961FF">
        <w:rPr>
          <w:color w:val="000000" w:themeColor="text1"/>
        </w:rPr>
        <w:t xml:space="preserve"> with 16 different institutions being represented and some institutions represented by multiple panel members. Participants represented a wide geographical spread across the United Kingdom and Ireland. Percentages of representation from different sectors are </w:t>
      </w:r>
      <w:r w:rsidR="00B726EF" w:rsidRPr="00F961FF">
        <w:rPr>
          <w:color w:val="000000" w:themeColor="text1"/>
        </w:rPr>
        <w:t xml:space="preserve">also </w:t>
      </w:r>
      <w:r w:rsidRPr="00F961FF">
        <w:rPr>
          <w:color w:val="000000" w:themeColor="text1"/>
        </w:rPr>
        <w:t xml:space="preserve">reported in Table </w:t>
      </w:r>
      <w:r w:rsidR="00B726EF" w:rsidRPr="00F961FF">
        <w:rPr>
          <w:color w:val="000000" w:themeColor="text1"/>
        </w:rPr>
        <w:t>1</w:t>
      </w:r>
      <w:r w:rsidRPr="00F961FF">
        <w:rPr>
          <w:color w:val="000000" w:themeColor="text1"/>
        </w:rPr>
        <w:t>. 62% of respondents reported that the H</w:t>
      </w:r>
      <w:r w:rsidR="0083638E" w:rsidRPr="00F961FF">
        <w:rPr>
          <w:color w:val="000000" w:themeColor="text1"/>
        </w:rPr>
        <w:t>EIs</w:t>
      </w:r>
      <w:r w:rsidRPr="00F961FF">
        <w:rPr>
          <w:color w:val="000000" w:themeColor="text1"/>
        </w:rPr>
        <w:t xml:space="preserve"> to which they were affiliated covered anatomy within their Masters curriculum. Stage 2 was completed by 31 participants (91%) of the original participants. </w:t>
      </w:r>
    </w:p>
    <w:p w14:paraId="64BCBC09" w14:textId="77777777" w:rsidR="007F02AA" w:rsidRPr="00F961FF" w:rsidRDefault="007F02AA" w:rsidP="00DF257B">
      <w:pPr>
        <w:widowControl w:val="0"/>
        <w:autoSpaceDE w:val="0"/>
        <w:autoSpaceDN w:val="0"/>
        <w:adjustRightInd w:val="0"/>
        <w:spacing w:line="480" w:lineRule="auto"/>
        <w:outlineLvl w:val="0"/>
        <w:rPr>
          <w:rFonts w:cs="Arial"/>
          <w:b/>
          <w:color w:val="000000" w:themeColor="text1"/>
        </w:rPr>
      </w:pPr>
    </w:p>
    <w:p w14:paraId="3786A3F9" w14:textId="77777777" w:rsidR="00E3358D" w:rsidRPr="00F961FF" w:rsidRDefault="00E3358D" w:rsidP="00DF257B">
      <w:pPr>
        <w:widowControl w:val="0"/>
        <w:autoSpaceDE w:val="0"/>
        <w:autoSpaceDN w:val="0"/>
        <w:adjustRightInd w:val="0"/>
        <w:spacing w:line="480" w:lineRule="auto"/>
        <w:outlineLvl w:val="0"/>
        <w:rPr>
          <w:rFonts w:cs="Arial"/>
          <w:b/>
          <w:color w:val="000000" w:themeColor="text1"/>
        </w:rPr>
      </w:pPr>
      <w:r w:rsidRPr="00F961FF">
        <w:rPr>
          <w:rFonts w:cs="Arial"/>
          <w:b/>
          <w:color w:val="000000" w:themeColor="text1"/>
        </w:rPr>
        <w:t xml:space="preserve">Table 1: Participant demographics by role and sector </w:t>
      </w:r>
    </w:p>
    <w:p w14:paraId="434D6737" w14:textId="77777777" w:rsidR="007F02AA" w:rsidRPr="00F961FF" w:rsidRDefault="007F02AA" w:rsidP="00DF257B">
      <w:pPr>
        <w:spacing w:line="480" w:lineRule="auto"/>
        <w:jc w:val="both"/>
        <w:rPr>
          <w:b/>
          <w:color w:val="000000" w:themeColor="text1"/>
        </w:rPr>
      </w:pPr>
    </w:p>
    <w:p w14:paraId="0B7D8811" w14:textId="77777777" w:rsidR="007F02AA" w:rsidRPr="00F961FF" w:rsidRDefault="007F02AA" w:rsidP="00DF257B">
      <w:pPr>
        <w:spacing w:line="480" w:lineRule="auto"/>
        <w:jc w:val="both"/>
        <w:rPr>
          <w:b/>
          <w:color w:val="000000" w:themeColor="text1"/>
        </w:rPr>
      </w:pPr>
      <w:r w:rsidRPr="00F961FF">
        <w:rPr>
          <w:b/>
          <w:color w:val="000000" w:themeColor="text1"/>
        </w:rPr>
        <w:t>Results for each Delphi stage</w:t>
      </w:r>
    </w:p>
    <w:p w14:paraId="69D9BAE8" w14:textId="77777777" w:rsidR="007F02AA" w:rsidRPr="00F961FF" w:rsidRDefault="00010671" w:rsidP="00DF257B">
      <w:pPr>
        <w:spacing w:line="480" w:lineRule="auto"/>
        <w:jc w:val="both"/>
        <w:rPr>
          <w:color w:val="000000" w:themeColor="text1"/>
        </w:rPr>
      </w:pPr>
      <w:r w:rsidRPr="00F961FF">
        <w:rPr>
          <w:color w:val="000000" w:themeColor="text1"/>
        </w:rPr>
        <w:lastRenderedPageBreak/>
        <w:t>Table 2</w:t>
      </w:r>
      <w:r w:rsidR="007F02AA" w:rsidRPr="00F961FF">
        <w:rPr>
          <w:color w:val="000000" w:themeColor="text1"/>
        </w:rPr>
        <w:t xml:space="preserve"> presents a summary of the number of learning outcomes within the original syllabi used as the framework for this study (Smith et al., 2016 and </w:t>
      </w:r>
      <w:proofErr w:type="spellStart"/>
      <w:r w:rsidR="007F02AA" w:rsidRPr="00F961FF">
        <w:rPr>
          <w:color w:val="000000" w:themeColor="text1"/>
        </w:rPr>
        <w:t>McHanwell</w:t>
      </w:r>
      <w:proofErr w:type="spellEnd"/>
      <w:r w:rsidR="007F02AA" w:rsidRPr="00F961FF">
        <w:rPr>
          <w:color w:val="000000" w:themeColor="text1"/>
        </w:rPr>
        <w:t xml:space="preserve"> et al., 2007) and the number of outcomes retained following each stage of the </w:t>
      </w:r>
      <w:proofErr w:type="spellStart"/>
      <w:r w:rsidR="007F02AA" w:rsidRPr="00F961FF">
        <w:rPr>
          <w:color w:val="000000" w:themeColor="text1"/>
        </w:rPr>
        <w:t>MPharm</w:t>
      </w:r>
      <w:proofErr w:type="spellEnd"/>
      <w:r w:rsidR="007F02AA" w:rsidRPr="00F961FF">
        <w:rPr>
          <w:color w:val="000000" w:themeColor="text1"/>
        </w:rPr>
        <w:t xml:space="preserve"> Delphi process.</w:t>
      </w:r>
    </w:p>
    <w:p w14:paraId="60E4421A" w14:textId="77777777" w:rsidR="007F02AA" w:rsidRPr="00F961FF" w:rsidRDefault="007F02AA" w:rsidP="00DF257B">
      <w:pPr>
        <w:spacing w:line="480" w:lineRule="auto"/>
        <w:jc w:val="both"/>
        <w:rPr>
          <w:color w:val="000000" w:themeColor="text1"/>
        </w:rPr>
      </w:pPr>
      <w:r w:rsidRPr="00F961FF">
        <w:rPr>
          <w:color w:val="000000" w:themeColor="text1"/>
        </w:rPr>
        <w:t xml:space="preserve"> </w:t>
      </w:r>
    </w:p>
    <w:p w14:paraId="2FC8C7E6" w14:textId="77777777" w:rsidR="007F02AA" w:rsidRPr="00F961FF" w:rsidRDefault="007F02AA" w:rsidP="00DF257B">
      <w:pPr>
        <w:spacing w:line="480" w:lineRule="auto"/>
        <w:jc w:val="both"/>
        <w:rPr>
          <w:b/>
          <w:i/>
          <w:color w:val="000000" w:themeColor="text1"/>
        </w:rPr>
      </w:pPr>
      <w:r w:rsidRPr="00F961FF">
        <w:rPr>
          <w:b/>
          <w:i/>
          <w:color w:val="000000" w:themeColor="text1"/>
        </w:rPr>
        <w:t>Stage 1 results</w:t>
      </w:r>
    </w:p>
    <w:p w14:paraId="44A97DF9" w14:textId="77777777" w:rsidR="007F02AA" w:rsidRPr="00F961FF" w:rsidRDefault="007F02AA" w:rsidP="00DF257B">
      <w:pPr>
        <w:spacing w:line="480" w:lineRule="auto"/>
        <w:jc w:val="both"/>
        <w:rPr>
          <w:color w:val="000000" w:themeColor="text1"/>
        </w:rPr>
      </w:pPr>
      <w:r w:rsidRPr="00F961FF">
        <w:rPr>
          <w:color w:val="000000" w:themeColor="text1"/>
        </w:rPr>
        <w:t>Following Stage 1, 53 learning outcomes were accepted and modified to go forward to stage 2 and reclassif</w:t>
      </w:r>
      <w:r w:rsidR="001A68A0" w:rsidRPr="00F961FF">
        <w:rPr>
          <w:color w:val="000000" w:themeColor="text1"/>
        </w:rPr>
        <w:t>ied by systems. (Refer to Table 2</w:t>
      </w:r>
      <w:r w:rsidRPr="00F961FF">
        <w:rPr>
          <w:color w:val="000000" w:themeColor="text1"/>
        </w:rPr>
        <w:t>)</w:t>
      </w:r>
    </w:p>
    <w:p w14:paraId="355294DF" w14:textId="77777777" w:rsidR="007F02AA" w:rsidRPr="00F961FF" w:rsidRDefault="007F02AA" w:rsidP="00DF257B">
      <w:pPr>
        <w:spacing w:line="480" w:lineRule="auto"/>
        <w:jc w:val="both"/>
        <w:rPr>
          <w:color w:val="000000" w:themeColor="text1"/>
        </w:rPr>
      </w:pPr>
      <w:r w:rsidRPr="00F961FF">
        <w:rPr>
          <w:color w:val="000000" w:themeColor="text1"/>
        </w:rPr>
        <w:t xml:space="preserve"> </w:t>
      </w:r>
    </w:p>
    <w:p w14:paraId="3C25F991" w14:textId="77777777" w:rsidR="007F02AA" w:rsidRPr="00F961FF" w:rsidRDefault="007F02AA" w:rsidP="00DF257B">
      <w:pPr>
        <w:spacing w:line="480" w:lineRule="auto"/>
        <w:jc w:val="both"/>
        <w:rPr>
          <w:b/>
          <w:i/>
          <w:color w:val="000000" w:themeColor="text1"/>
        </w:rPr>
      </w:pPr>
      <w:r w:rsidRPr="00F961FF">
        <w:rPr>
          <w:b/>
          <w:i/>
          <w:color w:val="000000" w:themeColor="text1"/>
        </w:rPr>
        <w:t>Stage 2 results</w:t>
      </w:r>
    </w:p>
    <w:p w14:paraId="17E3FF41" w14:textId="77777777" w:rsidR="004E2233" w:rsidRPr="00F961FF" w:rsidRDefault="007F02AA" w:rsidP="00DF257B">
      <w:pPr>
        <w:spacing w:line="480" w:lineRule="auto"/>
        <w:jc w:val="both"/>
        <w:rPr>
          <w:color w:val="000000" w:themeColor="text1"/>
        </w:rPr>
      </w:pPr>
      <w:r w:rsidRPr="00F961FF">
        <w:rPr>
          <w:color w:val="000000" w:themeColor="text1"/>
        </w:rPr>
        <w:t xml:space="preserve">Following Stage 2, </w:t>
      </w:r>
      <w:r w:rsidR="001A68A0" w:rsidRPr="00F961FF">
        <w:rPr>
          <w:color w:val="000000" w:themeColor="text1"/>
        </w:rPr>
        <w:t>49</w:t>
      </w:r>
      <w:r w:rsidRPr="00F961FF">
        <w:rPr>
          <w:color w:val="000000" w:themeColor="text1"/>
        </w:rPr>
        <w:t xml:space="preserve"> learning outco</w:t>
      </w:r>
      <w:r w:rsidR="001A68A0" w:rsidRPr="00F961FF">
        <w:rPr>
          <w:color w:val="000000" w:themeColor="text1"/>
        </w:rPr>
        <w:t>mes were accepted, as well as a t</w:t>
      </w:r>
      <w:r w:rsidRPr="00F961FF">
        <w:rPr>
          <w:color w:val="000000" w:themeColor="text1"/>
        </w:rPr>
        <w:t>able containing supplementary contextua</w:t>
      </w:r>
      <w:r w:rsidR="004E2233" w:rsidRPr="00F961FF">
        <w:rPr>
          <w:color w:val="000000" w:themeColor="text1"/>
        </w:rPr>
        <w:t>l information (r</w:t>
      </w:r>
      <w:r w:rsidR="00010671" w:rsidRPr="00F961FF">
        <w:rPr>
          <w:color w:val="000000" w:themeColor="text1"/>
        </w:rPr>
        <w:t>efer to Table</w:t>
      </w:r>
      <w:r w:rsidR="001A68A0" w:rsidRPr="00F961FF">
        <w:rPr>
          <w:color w:val="000000" w:themeColor="text1"/>
        </w:rPr>
        <w:t>s 2 and 3</w:t>
      </w:r>
      <w:r w:rsidRPr="00F961FF">
        <w:rPr>
          <w:color w:val="000000" w:themeColor="text1"/>
        </w:rPr>
        <w:t>)</w:t>
      </w:r>
      <w:r w:rsidR="004E2233" w:rsidRPr="00F961FF">
        <w:rPr>
          <w:color w:val="000000" w:themeColor="text1"/>
        </w:rPr>
        <w:t xml:space="preserve">. The majority of changes were to subsume some learning outcomes into another outcome. Learning outcomes were reconsidered if the wording was changed significantly. </w:t>
      </w:r>
    </w:p>
    <w:p w14:paraId="20C41058" w14:textId="77777777" w:rsidR="007F02AA" w:rsidRPr="00F961FF" w:rsidRDefault="007F02AA" w:rsidP="00DF257B">
      <w:pPr>
        <w:spacing w:line="480" w:lineRule="auto"/>
        <w:jc w:val="both"/>
        <w:rPr>
          <w:color w:val="000000" w:themeColor="text1"/>
        </w:rPr>
      </w:pPr>
    </w:p>
    <w:p w14:paraId="1CB3CE7F" w14:textId="77777777" w:rsidR="007F02AA" w:rsidRPr="00F961FF" w:rsidRDefault="007F02AA" w:rsidP="00DF257B">
      <w:pPr>
        <w:spacing w:line="480" w:lineRule="auto"/>
        <w:jc w:val="both"/>
        <w:rPr>
          <w:b/>
          <w:color w:val="000000" w:themeColor="text1"/>
        </w:rPr>
      </w:pPr>
      <w:r w:rsidRPr="00F961FF">
        <w:rPr>
          <w:b/>
          <w:color w:val="000000" w:themeColor="text1"/>
        </w:rPr>
        <w:t xml:space="preserve">Table </w:t>
      </w:r>
      <w:r w:rsidR="00010671" w:rsidRPr="00F961FF">
        <w:rPr>
          <w:b/>
          <w:color w:val="000000" w:themeColor="text1"/>
        </w:rPr>
        <w:t>2</w:t>
      </w:r>
      <w:r w:rsidRPr="00F961FF">
        <w:rPr>
          <w:b/>
          <w:color w:val="000000" w:themeColor="text1"/>
        </w:rPr>
        <w:t xml:space="preserve">: A summary of the total learning outcomes across each stage and their </w:t>
      </w:r>
      <w:proofErr w:type="spellStart"/>
      <w:r w:rsidRPr="00F961FF">
        <w:rPr>
          <w:b/>
          <w:color w:val="000000" w:themeColor="text1"/>
        </w:rPr>
        <w:t>organisation</w:t>
      </w:r>
      <w:proofErr w:type="spellEnd"/>
    </w:p>
    <w:p w14:paraId="39059F66" w14:textId="77777777" w:rsidR="007F02AA" w:rsidRPr="00F961FF" w:rsidRDefault="007F02AA" w:rsidP="00DF257B">
      <w:pPr>
        <w:spacing w:line="480" w:lineRule="auto"/>
        <w:jc w:val="both"/>
        <w:rPr>
          <w:b/>
          <w:color w:val="000000" w:themeColor="text1"/>
        </w:rPr>
      </w:pPr>
    </w:p>
    <w:p w14:paraId="27C0EDEA" w14:textId="126EE7EB" w:rsidR="007F02AA" w:rsidRPr="00F961FF" w:rsidRDefault="007F02AA" w:rsidP="00DF257B">
      <w:pPr>
        <w:spacing w:line="480" w:lineRule="auto"/>
        <w:jc w:val="both"/>
        <w:rPr>
          <w:color w:val="000000" w:themeColor="text1"/>
        </w:rPr>
      </w:pPr>
      <w:r w:rsidRPr="00F961FF">
        <w:rPr>
          <w:color w:val="000000" w:themeColor="text1"/>
        </w:rPr>
        <w:t xml:space="preserve">In total, 477 comments were made during stage 1. Of these, 65% were modifications, 22% supportive, 7% contextual and 6% deemed irrelevant. Stage 2 comments </w:t>
      </w:r>
      <w:r w:rsidR="001003F7" w:rsidRPr="00F961FF">
        <w:rPr>
          <w:color w:val="000000" w:themeColor="text1"/>
        </w:rPr>
        <w:t>totaled</w:t>
      </w:r>
      <w:r w:rsidRPr="00F961FF">
        <w:rPr>
          <w:color w:val="000000" w:themeColor="text1"/>
        </w:rPr>
        <w:t xml:space="preserve"> 103, of which 52% were supportive, 24% modifications, 14% contextual and 10% irrelevant. </w:t>
      </w:r>
    </w:p>
    <w:p w14:paraId="2F73E607" w14:textId="77777777" w:rsidR="007F02AA" w:rsidRPr="00F961FF" w:rsidRDefault="007F02AA" w:rsidP="00DF257B">
      <w:pPr>
        <w:spacing w:line="480" w:lineRule="auto"/>
        <w:jc w:val="both"/>
        <w:rPr>
          <w:b/>
          <w:color w:val="000000" w:themeColor="text1"/>
        </w:rPr>
      </w:pPr>
    </w:p>
    <w:p w14:paraId="0C4C60FB" w14:textId="77777777" w:rsidR="007F02AA" w:rsidRPr="00F961FF" w:rsidRDefault="007F02AA" w:rsidP="00DF257B">
      <w:pPr>
        <w:spacing w:line="480" w:lineRule="auto"/>
        <w:jc w:val="both"/>
        <w:rPr>
          <w:color w:val="000000" w:themeColor="text1"/>
        </w:rPr>
      </w:pPr>
      <w:r w:rsidRPr="00F961FF">
        <w:rPr>
          <w:color w:val="000000" w:themeColor="text1"/>
        </w:rPr>
        <w:t>After consideration of the free-text modification comments throughout stages 1 and 2 of the Delphi process, a table was constructed to accompany the final learning outcomes</w:t>
      </w:r>
      <w:r w:rsidRPr="00F961FF">
        <w:rPr>
          <w:i/>
          <w:color w:val="000000" w:themeColor="text1"/>
        </w:rPr>
        <w:t>.</w:t>
      </w:r>
      <w:r w:rsidRPr="00F961FF">
        <w:rPr>
          <w:color w:val="000000" w:themeColor="text1"/>
        </w:rPr>
        <w:t xml:space="preserve"> This table provides contextual information to assist in the implementation of the outcomes </w:t>
      </w:r>
      <w:r w:rsidRPr="00F961FF">
        <w:rPr>
          <w:color w:val="000000" w:themeColor="text1"/>
        </w:rPr>
        <w:lastRenderedPageBreak/>
        <w:t xml:space="preserve">within curricula. Links are provided to clinical conditions, drug administration and relevant procedures that could prove useful in integrating outcomes into </w:t>
      </w:r>
      <w:proofErr w:type="gramStart"/>
      <w:r w:rsidRPr="00F961FF">
        <w:rPr>
          <w:color w:val="000000" w:themeColor="text1"/>
        </w:rPr>
        <w:t>a curricula</w:t>
      </w:r>
      <w:proofErr w:type="gramEnd"/>
      <w:r w:rsidRPr="00F961FF">
        <w:rPr>
          <w:color w:val="000000" w:themeColor="text1"/>
        </w:rPr>
        <w:t xml:space="preserve">, thus signposting clinical relevance to staff and students alike.  In addition, within the suggested modifications, debate between expert Delphi panel members persisted as to the appropriate action verbs, and thus level, at which the learning outcomes should be presented. The predominant view was that outcomes should be at the lower levels of Bloom’s taxonomy and therefore </w:t>
      </w:r>
      <w:proofErr w:type="spellStart"/>
      <w:r w:rsidRPr="00F961FF">
        <w:rPr>
          <w:color w:val="000000" w:themeColor="text1"/>
        </w:rPr>
        <w:t>utilising</w:t>
      </w:r>
      <w:proofErr w:type="spellEnd"/>
      <w:r w:rsidRPr="00F961FF">
        <w:rPr>
          <w:color w:val="000000" w:themeColor="text1"/>
        </w:rPr>
        <w:t xml:space="preserve"> the verb ‘describe’ was appropriate (Bloom and Hastings 1971). The rationale for this decision was based on the role of the pharmacist in clinical practice and how their anatomical knowledge would be </w:t>
      </w:r>
      <w:proofErr w:type="spellStart"/>
      <w:r w:rsidRPr="00F961FF">
        <w:rPr>
          <w:color w:val="000000" w:themeColor="text1"/>
        </w:rPr>
        <w:t>utilised</w:t>
      </w:r>
      <w:proofErr w:type="spellEnd"/>
      <w:r w:rsidRPr="00F961FF">
        <w:rPr>
          <w:color w:val="000000" w:themeColor="text1"/>
        </w:rPr>
        <w:t xml:space="preserve"> within that role. </w:t>
      </w:r>
    </w:p>
    <w:p w14:paraId="693126C4" w14:textId="77777777" w:rsidR="007F02AA" w:rsidRPr="00F961FF" w:rsidRDefault="007F02AA" w:rsidP="00DF257B">
      <w:pPr>
        <w:spacing w:line="480" w:lineRule="auto"/>
        <w:jc w:val="both"/>
        <w:rPr>
          <w:color w:val="000000" w:themeColor="text1"/>
        </w:rPr>
      </w:pPr>
      <w:r w:rsidRPr="00F961FF">
        <w:rPr>
          <w:color w:val="000000" w:themeColor="text1"/>
        </w:rPr>
        <w:t xml:space="preserve"> </w:t>
      </w:r>
    </w:p>
    <w:p w14:paraId="06C59DD1" w14:textId="3965A73C" w:rsidR="00060B23" w:rsidRPr="00F961FF" w:rsidRDefault="007F02AA" w:rsidP="00F961FF">
      <w:pPr>
        <w:spacing w:line="480" w:lineRule="auto"/>
        <w:jc w:val="both"/>
        <w:rPr>
          <w:rFonts w:cs="Arial"/>
          <w:color w:val="000000" w:themeColor="text1"/>
        </w:rPr>
      </w:pPr>
      <w:r w:rsidRPr="00F961FF">
        <w:rPr>
          <w:color w:val="000000" w:themeColor="text1"/>
        </w:rPr>
        <w:t xml:space="preserve">The final recommended core anatomy syllabus for Pharmacy </w:t>
      </w:r>
      <w:r w:rsidR="003139E5" w:rsidRPr="00F961FF">
        <w:rPr>
          <w:color w:val="000000" w:themeColor="text1"/>
        </w:rPr>
        <w:t xml:space="preserve">is outlined below and </w:t>
      </w:r>
      <w:r w:rsidRPr="00F961FF">
        <w:rPr>
          <w:color w:val="000000" w:themeColor="text1"/>
        </w:rPr>
        <w:t xml:space="preserve">comprises of 49 learning outcomes. </w:t>
      </w:r>
      <w:r w:rsidR="00060B23" w:rsidRPr="00F961FF">
        <w:rPr>
          <w:rFonts w:cs="Arial"/>
          <w:color w:val="000000" w:themeColor="text1"/>
        </w:rPr>
        <w:t>Following the outcomes, some suggestions for clinical relevance are provided</w:t>
      </w:r>
      <w:r w:rsidR="00692728" w:rsidRPr="00F961FF">
        <w:rPr>
          <w:rFonts w:cs="Arial"/>
          <w:color w:val="000000" w:themeColor="text1"/>
        </w:rPr>
        <w:t xml:space="preserve"> (table </w:t>
      </w:r>
      <w:r w:rsidR="004E2233" w:rsidRPr="00F961FF">
        <w:rPr>
          <w:rFonts w:cs="Arial"/>
          <w:color w:val="000000" w:themeColor="text1"/>
        </w:rPr>
        <w:t>3</w:t>
      </w:r>
      <w:r w:rsidR="00692728" w:rsidRPr="00F961FF">
        <w:rPr>
          <w:rFonts w:cs="Arial"/>
          <w:color w:val="000000" w:themeColor="text1"/>
        </w:rPr>
        <w:t>)</w:t>
      </w:r>
      <w:r w:rsidR="00060B23" w:rsidRPr="00F961FF">
        <w:rPr>
          <w:rFonts w:cs="Arial"/>
          <w:color w:val="000000" w:themeColor="text1"/>
        </w:rPr>
        <w:t xml:space="preserve"> that indicate conditions, procedures or clinical context relevant to the practice of pharmacists or that an </w:t>
      </w:r>
      <w:proofErr w:type="spellStart"/>
      <w:r w:rsidR="00060B23" w:rsidRPr="00F961FF">
        <w:rPr>
          <w:rFonts w:cs="Arial"/>
          <w:color w:val="000000" w:themeColor="text1"/>
        </w:rPr>
        <w:t>MPharm</w:t>
      </w:r>
      <w:proofErr w:type="spellEnd"/>
      <w:r w:rsidR="00060B23" w:rsidRPr="00F961FF">
        <w:rPr>
          <w:rFonts w:cs="Arial"/>
          <w:color w:val="000000" w:themeColor="text1"/>
        </w:rPr>
        <w:t xml:space="preserve"> student would encounter. This contextual information is provided in order to help educators signpost the clinical relevance of the anatomy to students</w:t>
      </w:r>
      <w:r w:rsidR="0083638E" w:rsidRPr="00F961FF">
        <w:rPr>
          <w:rFonts w:cs="Arial"/>
          <w:color w:val="000000" w:themeColor="text1"/>
        </w:rPr>
        <w:t>.</w:t>
      </w:r>
      <w:r w:rsidR="00060B23" w:rsidRPr="00F961FF">
        <w:rPr>
          <w:rFonts w:cs="Arial"/>
          <w:color w:val="000000" w:themeColor="text1"/>
        </w:rPr>
        <w:t xml:space="preserve"> </w:t>
      </w:r>
    </w:p>
    <w:p w14:paraId="6644045C" w14:textId="77777777" w:rsidR="009A4454" w:rsidRPr="00F961FF" w:rsidRDefault="009A4454" w:rsidP="00DF257B">
      <w:pPr>
        <w:widowControl w:val="0"/>
        <w:autoSpaceDE w:val="0"/>
        <w:autoSpaceDN w:val="0"/>
        <w:adjustRightInd w:val="0"/>
        <w:spacing w:line="480" w:lineRule="auto"/>
        <w:outlineLvl w:val="0"/>
        <w:rPr>
          <w:rFonts w:cs="Arial"/>
          <w:b/>
          <w:color w:val="000000" w:themeColor="text1"/>
        </w:rPr>
      </w:pPr>
    </w:p>
    <w:p w14:paraId="5A68286B" w14:textId="77777777" w:rsidR="0081376E" w:rsidRPr="00F961FF" w:rsidRDefault="008B6BA9" w:rsidP="00DF257B">
      <w:pPr>
        <w:widowControl w:val="0"/>
        <w:autoSpaceDE w:val="0"/>
        <w:autoSpaceDN w:val="0"/>
        <w:adjustRightInd w:val="0"/>
        <w:spacing w:line="480" w:lineRule="auto"/>
        <w:rPr>
          <w:rFonts w:cs="Arial"/>
          <w:b/>
          <w:color w:val="000000" w:themeColor="text1"/>
        </w:rPr>
      </w:pPr>
      <w:r w:rsidRPr="00F961FF">
        <w:rPr>
          <w:rFonts w:cs="Arial"/>
          <w:b/>
          <w:color w:val="000000" w:themeColor="text1"/>
        </w:rPr>
        <w:t>The Anatomical Society Core Anatomy Syllabus for Undergraduate Pharmacy S</w:t>
      </w:r>
      <w:r w:rsidR="0081376E" w:rsidRPr="00F961FF">
        <w:rPr>
          <w:rFonts w:cs="Arial"/>
          <w:b/>
          <w:color w:val="000000" w:themeColor="text1"/>
        </w:rPr>
        <w:t>tudents</w:t>
      </w:r>
    </w:p>
    <w:p w14:paraId="68E37965" w14:textId="77777777" w:rsidR="0081376E" w:rsidRPr="00F961FF" w:rsidRDefault="0081376E" w:rsidP="00DF257B">
      <w:pPr>
        <w:widowControl w:val="0"/>
        <w:autoSpaceDE w:val="0"/>
        <w:autoSpaceDN w:val="0"/>
        <w:adjustRightInd w:val="0"/>
        <w:spacing w:line="480" w:lineRule="auto"/>
        <w:rPr>
          <w:rFonts w:cs="Arial"/>
          <w:b/>
          <w:color w:val="000000" w:themeColor="text1"/>
        </w:rPr>
      </w:pPr>
    </w:p>
    <w:p w14:paraId="79B50070" w14:textId="77777777" w:rsidR="0081376E" w:rsidRPr="00F961FF" w:rsidRDefault="0081376E" w:rsidP="00DF257B">
      <w:pPr>
        <w:widowControl w:val="0"/>
        <w:autoSpaceDE w:val="0"/>
        <w:autoSpaceDN w:val="0"/>
        <w:adjustRightInd w:val="0"/>
        <w:spacing w:line="480" w:lineRule="auto"/>
        <w:jc w:val="both"/>
        <w:rPr>
          <w:rFonts w:cs="Arial"/>
          <w:color w:val="000000" w:themeColor="text1"/>
        </w:rPr>
      </w:pPr>
      <w:r w:rsidRPr="00F961FF">
        <w:rPr>
          <w:rFonts w:cs="Arial"/>
          <w:color w:val="000000" w:themeColor="text1"/>
        </w:rPr>
        <w:t>The Anatomical Society and the expert Delphi panel of pharmacists and pharmacy educators recommends that the following learning outcomes should be achieved by all students upon graduation, in order to demonstrate a basic level of competence in the anatomical sciences:</w:t>
      </w:r>
    </w:p>
    <w:p w14:paraId="2FDEC658" w14:textId="77777777" w:rsidR="0081376E" w:rsidRPr="00F961FF" w:rsidRDefault="0081376E" w:rsidP="00B74B3E">
      <w:pPr>
        <w:widowControl w:val="0"/>
        <w:autoSpaceDE w:val="0"/>
        <w:autoSpaceDN w:val="0"/>
        <w:adjustRightInd w:val="0"/>
        <w:rPr>
          <w:rFonts w:cs="Arial"/>
          <w:color w:val="000000" w:themeColor="text1"/>
        </w:rPr>
      </w:pPr>
    </w:p>
    <w:p w14:paraId="106BE8FA" w14:textId="77777777" w:rsidR="00A469AF" w:rsidRPr="00F961FF" w:rsidRDefault="00A469AF" w:rsidP="006A3282">
      <w:pPr>
        <w:outlineLvl w:val="0"/>
        <w:rPr>
          <w:rFonts w:cs="Arial"/>
          <w:b/>
          <w:color w:val="000000" w:themeColor="text1"/>
        </w:rPr>
      </w:pPr>
      <w:r w:rsidRPr="00F961FF">
        <w:rPr>
          <w:rFonts w:cs="Arial"/>
          <w:b/>
          <w:color w:val="000000" w:themeColor="text1"/>
        </w:rPr>
        <w:t>Anatomical Terminology</w:t>
      </w:r>
      <w:r w:rsidR="008B6BA9" w:rsidRPr="00F961FF">
        <w:rPr>
          <w:rFonts w:cs="Arial"/>
          <w:b/>
          <w:color w:val="000000" w:themeColor="text1"/>
        </w:rPr>
        <w:t xml:space="preserve"> </w:t>
      </w:r>
    </w:p>
    <w:p w14:paraId="16D56B7B" w14:textId="77777777" w:rsidR="00A469AF" w:rsidRPr="00F961FF" w:rsidRDefault="00A469AF" w:rsidP="00A469AF">
      <w:pPr>
        <w:rPr>
          <w:rFonts w:cs="Arial"/>
          <w:color w:val="000000" w:themeColor="text1"/>
        </w:rPr>
      </w:pPr>
    </w:p>
    <w:p w14:paraId="14890B0E"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lastRenderedPageBreak/>
        <w:t xml:space="preserve">Describe the following anatomical terms relative to the (A) </w:t>
      </w:r>
      <w:r w:rsidR="008B6BA9" w:rsidRPr="00F961FF">
        <w:rPr>
          <w:rFonts w:asciiTheme="minorHAnsi" w:hAnsiTheme="minorHAnsi"/>
          <w:color w:val="000000" w:themeColor="text1"/>
          <w:sz w:val="24"/>
          <w:szCs w:val="24"/>
        </w:rPr>
        <w:t>anatomical position:</w:t>
      </w:r>
      <w:r w:rsidRPr="00F961FF">
        <w:rPr>
          <w:rFonts w:asciiTheme="minorHAnsi" w:hAnsiTheme="minorHAnsi"/>
          <w:color w:val="000000" w:themeColor="text1"/>
          <w:sz w:val="24"/>
          <w:szCs w:val="24"/>
        </w:rPr>
        <w:t xml:space="preserve"> medial, lateral, proximal, distal, superior, inferior, deep, superficial, palmar, plantar, anterior, ventral, posterior, dorsal, cephalic and cranial;</w:t>
      </w:r>
      <w:r w:rsidR="008B6BA9" w:rsidRPr="00F961FF">
        <w:rPr>
          <w:rFonts w:asciiTheme="minorHAnsi" w:hAnsiTheme="minorHAnsi"/>
          <w:color w:val="000000" w:themeColor="text1"/>
          <w:sz w:val="24"/>
          <w:szCs w:val="24"/>
        </w:rPr>
        <w:t xml:space="preserve"> and (B) the planes:</w:t>
      </w:r>
      <w:r w:rsidRPr="00F961FF">
        <w:rPr>
          <w:rFonts w:asciiTheme="minorHAnsi" w:hAnsiTheme="minorHAnsi"/>
          <w:color w:val="000000" w:themeColor="text1"/>
          <w:sz w:val="24"/>
          <w:szCs w:val="24"/>
        </w:rPr>
        <w:t xml:space="preserve"> axial, transverse, horizontal, sagittal and coronal.</w:t>
      </w:r>
    </w:p>
    <w:p w14:paraId="6879C27E" w14:textId="77777777" w:rsidR="00A469AF" w:rsidRPr="00F961FF" w:rsidRDefault="00A469AF" w:rsidP="00DF257B">
      <w:pPr>
        <w:spacing w:line="480" w:lineRule="auto"/>
        <w:rPr>
          <w:rFonts w:cs="Arial"/>
          <w:color w:val="000000" w:themeColor="text1"/>
        </w:rPr>
      </w:pPr>
    </w:p>
    <w:p w14:paraId="222754A3"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basic terms used to describe movement: flexion/ extension, abduction/ adduction, medial/lateral rotation.</w:t>
      </w:r>
    </w:p>
    <w:p w14:paraId="59E6A42A" w14:textId="77777777" w:rsidR="00A469AF" w:rsidRPr="00F961FF" w:rsidRDefault="00A469AF" w:rsidP="00DF257B">
      <w:pPr>
        <w:spacing w:line="480" w:lineRule="auto"/>
        <w:rPr>
          <w:rFonts w:cs="Arial"/>
          <w:color w:val="000000" w:themeColor="text1"/>
        </w:rPr>
      </w:pPr>
    </w:p>
    <w:p w14:paraId="0034CCE2"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anatomical differences between a neonate, child and adult.</w:t>
      </w:r>
    </w:p>
    <w:p w14:paraId="04A4A39E" w14:textId="77777777" w:rsidR="0065391C" w:rsidRPr="00F961FF" w:rsidRDefault="0065391C" w:rsidP="00DF257B">
      <w:pPr>
        <w:spacing w:line="480" w:lineRule="auto"/>
        <w:rPr>
          <w:rFonts w:cs="Arial"/>
          <w:b/>
          <w:color w:val="000000" w:themeColor="text1"/>
        </w:rPr>
      </w:pPr>
    </w:p>
    <w:p w14:paraId="2A1E24FE" w14:textId="77777777" w:rsidR="0065391C" w:rsidRPr="00F961FF" w:rsidRDefault="0065391C" w:rsidP="00DF257B">
      <w:pPr>
        <w:spacing w:line="480" w:lineRule="auto"/>
        <w:rPr>
          <w:rFonts w:cs="Arial"/>
          <w:b/>
          <w:color w:val="000000" w:themeColor="text1"/>
        </w:rPr>
      </w:pPr>
    </w:p>
    <w:p w14:paraId="617DF1BF" w14:textId="77777777" w:rsidR="00A469AF" w:rsidRPr="00F961FF" w:rsidRDefault="00A469AF" w:rsidP="00DF257B">
      <w:pPr>
        <w:spacing w:line="480" w:lineRule="auto"/>
        <w:outlineLvl w:val="0"/>
        <w:rPr>
          <w:rFonts w:cs="Arial"/>
          <w:b/>
          <w:color w:val="000000" w:themeColor="text1"/>
        </w:rPr>
      </w:pPr>
      <w:r w:rsidRPr="00F961FF">
        <w:rPr>
          <w:rFonts w:cs="Arial"/>
          <w:b/>
          <w:color w:val="000000" w:themeColor="text1"/>
        </w:rPr>
        <w:t>Cardiovascular system</w:t>
      </w:r>
    </w:p>
    <w:p w14:paraId="37B0258C" w14:textId="77777777" w:rsidR="00A469AF" w:rsidRPr="00F961FF" w:rsidRDefault="00A469AF" w:rsidP="00DF257B">
      <w:pPr>
        <w:spacing w:line="480" w:lineRule="auto"/>
        <w:rPr>
          <w:rFonts w:cs="Arial"/>
          <w:color w:val="000000" w:themeColor="text1"/>
        </w:rPr>
      </w:pPr>
    </w:p>
    <w:p w14:paraId="7B9D3AAE" w14:textId="0BCD7BE5"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major arterial pulse points including femoral, caro</w:t>
      </w:r>
      <w:r w:rsidR="00016A23" w:rsidRPr="00F961FF">
        <w:rPr>
          <w:rFonts w:asciiTheme="minorHAnsi" w:hAnsiTheme="minorHAnsi"/>
          <w:color w:val="000000" w:themeColor="text1"/>
          <w:sz w:val="24"/>
          <w:szCs w:val="24"/>
        </w:rPr>
        <w:t>t</w:t>
      </w:r>
      <w:r w:rsidRPr="00F961FF">
        <w:rPr>
          <w:rFonts w:asciiTheme="minorHAnsi" w:hAnsiTheme="minorHAnsi"/>
          <w:color w:val="000000" w:themeColor="text1"/>
          <w:sz w:val="24"/>
          <w:szCs w:val="24"/>
        </w:rPr>
        <w:t xml:space="preserve">id, brachial and radial. </w:t>
      </w:r>
    </w:p>
    <w:p w14:paraId="59E128B5" w14:textId="77777777" w:rsidR="00A469AF" w:rsidRPr="00F961FF" w:rsidRDefault="00A469AF" w:rsidP="00DF257B">
      <w:pPr>
        <w:spacing w:line="480" w:lineRule="auto"/>
        <w:rPr>
          <w:rFonts w:cs="Arial"/>
          <w:color w:val="000000" w:themeColor="text1"/>
        </w:rPr>
      </w:pPr>
    </w:p>
    <w:p w14:paraId="2DE39F91"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origin, course and main branches of the left and right coronary arteries and discuss the functional consequences of their obstruction. </w:t>
      </w:r>
    </w:p>
    <w:p w14:paraId="106D422A" w14:textId="77777777" w:rsidR="00A469AF" w:rsidRPr="00F961FF" w:rsidRDefault="00A469AF" w:rsidP="00DF257B">
      <w:pPr>
        <w:spacing w:line="480" w:lineRule="auto"/>
        <w:rPr>
          <w:rFonts w:cs="Arial"/>
          <w:color w:val="000000" w:themeColor="text1"/>
        </w:rPr>
      </w:pPr>
    </w:p>
    <w:p w14:paraId="4A8FF97C"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major anatomical features including the inflow and outflow vessels of each chamber of the heart and explain their functional significance.</w:t>
      </w:r>
    </w:p>
    <w:p w14:paraId="1062D4AE" w14:textId="77777777" w:rsidR="00A469AF" w:rsidRPr="00F961FF" w:rsidRDefault="00A469AF" w:rsidP="00DF257B">
      <w:pPr>
        <w:spacing w:line="480" w:lineRule="auto"/>
        <w:rPr>
          <w:rFonts w:cs="Arial"/>
          <w:color w:val="000000" w:themeColor="text1"/>
        </w:rPr>
      </w:pPr>
    </w:p>
    <w:p w14:paraId="3A85C764"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lastRenderedPageBreak/>
        <w:t xml:space="preserve">Describe the structure and position of the </w:t>
      </w:r>
      <w:proofErr w:type="spellStart"/>
      <w:r w:rsidRPr="00F961FF">
        <w:rPr>
          <w:rFonts w:asciiTheme="minorHAnsi" w:hAnsiTheme="minorHAnsi"/>
          <w:color w:val="000000" w:themeColor="text1"/>
          <w:sz w:val="24"/>
          <w:szCs w:val="24"/>
        </w:rPr>
        <w:t>atrio</w:t>
      </w:r>
      <w:proofErr w:type="spellEnd"/>
      <w:r w:rsidRPr="00F961FF">
        <w:rPr>
          <w:rFonts w:asciiTheme="minorHAnsi" w:hAnsiTheme="minorHAnsi"/>
          <w:color w:val="000000" w:themeColor="text1"/>
          <w:sz w:val="24"/>
          <w:szCs w:val="24"/>
        </w:rPr>
        <w:t>-ventricular, pulmonary and aortic valves and describe their function in the prevention of reflux of blood during the cardiac cycle.</w:t>
      </w:r>
    </w:p>
    <w:p w14:paraId="393F194D" w14:textId="77777777" w:rsidR="00A469AF" w:rsidRPr="00F961FF" w:rsidRDefault="00A469AF" w:rsidP="00DF257B">
      <w:pPr>
        <w:spacing w:line="480" w:lineRule="auto"/>
        <w:rPr>
          <w:rFonts w:cs="Arial"/>
          <w:color w:val="000000" w:themeColor="text1"/>
        </w:rPr>
      </w:pPr>
    </w:p>
    <w:p w14:paraId="44BA6DDF"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anatomical course of the spread of electrical excitation through the chambers of the heart.</w:t>
      </w:r>
    </w:p>
    <w:p w14:paraId="3F15E81E" w14:textId="77777777" w:rsidR="00A469AF" w:rsidRPr="00F961FF" w:rsidRDefault="00A469AF" w:rsidP="00DF257B">
      <w:pPr>
        <w:spacing w:line="480" w:lineRule="auto"/>
        <w:rPr>
          <w:rFonts w:cs="Arial"/>
          <w:color w:val="000000" w:themeColor="text1"/>
        </w:rPr>
      </w:pPr>
    </w:p>
    <w:p w14:paraId="46769426"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major branches of the aorta and the structures they supply.</w:t>
      </w:r>
    </w:p>
    <w:p w14:paraId="4E1E5A0F" w14:textId="77777777" w:rsidR="00A469AF" w:rsidRPr="00F961FF" w:rsidRDefault="00A469AF" w:rsidP="00DF257B">
      <w:pPr>
        <w:spacing w:line="480" w:lineRule="auto"/>
        <w:rPr>
          <w:rFonts w:cs="Arial"/>
          <w:color w:val="000000" w:themeColor="text1"/>
        </w:rPr>
      </w:pPr>
    </w:p>
    <w:p w14:paraId="7D71CCA2"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major tributaries of the vena </w:t>
      </w:r>
      <w:proofErr w:type="spellStart"/>
      <w:r w:rsidRPr="00F961FF">
        <w:rPr>
          <w:rFonts w:asciiTheme="minorHAnsi" w:hAnsiTheme="minorHAnsi"/>
          <w:color w:val="000000" w:themeColor="text1"/>
          <w:sz w:val="24"/>
          <w:szCs w:val="24"/>
        </w:rPr>
        <w:t>cavae</w:t>
      </w:r>
      <w:proofErr w:type="spellEnd"/>
      <w:r w:rsidRPr="00F961FF">
        <w:rPr>
          <w:rFonts w:asciiTheme="minorHAnsi" w:hAnsiTheme="minorHAnsi"/>
          <w:color w:val="000000" w:themeColor="text1"/>
          <w:sz w:val="24"/>
          <w:szCs w:val="24"/>
        </w:rPr>
        <w:t xml:space="preserve"> and the structures they drain. </w:t>
      </w:r>
    </w:p>
    <w:p w14:paraId="11C4653B" w14:textId="77777777" w:rsidR="00A469AF" w:rsidRPr="00F961FF" w:rsidRDefault="00A469AF" w:rsidP="00DF257B">
      <w:pPr>
        <w:spacing w:line="480" w:lineRule="auto"/>
        <w:rPr>
          <w:rFonts w:cs="Arial"/>
          <w:color w:val="000000" w:themeColor="text1"/>
        </w:rPr>
      </w:pPr>
    </w:p>
    <w:p w14:paraId="366C3E02"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main arteries and veins of the upper limb.</w:t>
      </w:r>
    </w:p>
    <w:p w14:paraId="7193A7B1" w14:textId="77777777" w:rsidR="00A469AF" w:rsidRPr="00F961FF" w:rsidRDefault="00A469AF" w:rsidP="00DF257B">
      <w:pPr>
        <w:spacing w:line="480" w:lineRule="auto"/>
        <w:rPr>
          <w:rFonts w:cs="Arial"/>
          <w:color w:val="000000" w:themeColor="text1"/>
        </w:rPr>
      </w:pPr>
    </w:p>
    <w:p w14:paraId="489530C1"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main arteries and veins of the lower limb. </w:t>
      </w:r>
    </w:p>
    <w:p w14:paraId="1E7C34E8" w14:textId="77777777" w:rsidR="00A469AF" w:rsidRPr="00F961FF" w:rsidRDefault="00A469AF" w:rsidP="00DF257B">
      <w:pPr>
        <w:spacing w:line="480" w:lineRule="auto"/>
        <w:rPr>
          <w:rFonts w:cs="Arial"/>
          <w:color w:val="000000" w:themeColor="text1"/>
        </w:rPr>
      </w:pPr>
    </w:p>
    <w:p w14:paraId="1E066520"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major branches of the common, internal and external carotid arteries, </w:t>
      </w:r>
      <w:r w:rsidR="0017414B" w:rsidRPr="00F961FF">
        <w:rPr>
          <w:rFonts w:asciiTheme="minorHAnsi" w:hAnsiTheme="minorHAnsi"/>
          <w:color w:val="000000" w:themeColor="text1"/>
          <w:sz w:val="24"/>
          <w:szCs w:val="24"/>
        </w:rPr>
        <w:t xml:space="preserve">and the tributaries of </w:t>
      </w:r>
      <w:r w:rsidRPr="00F961FF">
        <w:rPr>
          <w:rFonts w:asciiTheme="minorHAnsi" w:hAnsiTheme="minorHAnsi"/>
          <w:color w:val="000000" w:themeColor="text1"/>
          <w:sz w:val="24"/>
          <w:szCs w:val="24"/>
        </w:rPr>
        <w:t xml:space="preserve">the internal and external jugular veins. </w:t>
      </w:r>
    </w:p>
    <w:p w14:paraId="766242FB" w14:textId="77777777" w:rsidR="00A469AF" w:rsidRPr="00F961FF" w:rsidRDefault="00A469AF" w:rsidP="00DF257B">
      <w:pPr>
        <w:spacing w:line="480" w:lineRule="auto"/>
        <w:rPr>
          <w:rFonts w:cs="Arial"/>
          <w:color w:val="000000" w:themeColor="text1"/>
        </w:rPr>
      </w:pPr>
    </w:p>
    <w:p w14:paraId="32B08687"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blood supply and venous drainage of the brain and explain the functional deficits which may occur. </w:t>
      </w:r>
    </w:p>
    <w:p w14:paraId="3925BFE3" w14:textId="77777777" w:rsidR="00A469AF" w:rsidRPr="00F961FF" w:rsidRDefault="00A469AF" w:rsidP="00DF257B">
      <w:pPr>
        <w:spacing w:line="480" w:lineRule="auto"/>
        <w:rPr>
          <w:rFonts w:cs="Arial"/>
          <w:color w:val="000000" w:themeColor="text1"/>
        </w:rPr>
      </w:pPr>
    </w:p>
    <w:p w14:paraId="783F2EF1" w14:textId="77777777" w:rsidR="00A469AF" w:rsidRPr="00F961FF" w:rsidRDefault="00A469AF" w:rsidP="00DF257B">
      <w:pPr>
        <w:spacing w:line="480" w:lineRule="auto"/>
        <w:outlineLvl w:val="0"/>
        <w:rPr>
          <w:rFonts w:cs="Arial"/>
          <w:b/>
          <w:color w:val="000000" w:themeColor="text1"/>
        </w:rPr>
      </w:pPr>
      <w:r w:rsidRPr="00F961FF">
        <w:rPr>
          <w:rFonts w:cs="Arial"/>
          <w:b/>
          <w:color w:val="000000" w:themeColor="text1"/>
        </w:rPr>
        <w:t>Digestive system</w:t>
      </w:r>
    </w:p>
    <w:p w14:paraId="2AF8DEB2" w14:textId="77777777" w:rsidR="00A469AF" w:rsidRPr="00F961FF" w:rsidRDefault="00A469AF" w:rsidP="00DF257B">
      <w:pPr>
        <w:spacing w:line="480" w:lineRule="auto"/>
        <w:rPr>
          <w:rFonts w:cs="Arial"/>
          <w:color w:val="000000" w:themeColor="text1"/>
        </w:rPr>
      </w:pPr>
    </w:p>
    <w:p w14:paraId="288411FB"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four quadrants of the abdomen.</w:t>
      </w:r>
    </w:p>
    <w:p w14:paraId="6DB29050" w14:textId="77777777" w:rsidR="00A469AF" w:rsidRPr="00F961FF" w:rsidRDefault="00A469AF" w:rsidP="00DF257B">
      <w:pPr>
        <w:spacing w:line="480" w:lineRule="auto"/>
        <w:rPr>
          <w:rFonts w:cs="Arial"/>
          <w:color w:val="000000" w:themeColor="text1"/>
        </w:rPr>
      </w:pPr>
    </w:p>
    <w:p w14:paraId="76574DDC"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anatomy, histology and function of the different structures of the gastro-intestinal tract: </w:t>
      </w:r>
      <w:proofErr w:type="spellStart"/>
      <w:r w:rsidRPr="00F961FF">
        <w:rPr>
          <w:rFonts w:asciiTheme="minorHAnsi" w:hAnsiTheme="minorHAnsi"/>
          <w:color w:val="000000" w:themeColor="text1"/>
          <w:sz w:val="24"/>
          <w:szCs w:val="24"/>
        </w:rPr>
        <w:t>oes</w:t>
      </w:r>
      <w:r w:rsidR="0065391C" w:rsidRPr="00F961FF">
        <w:rPr>
          <w:rFonts w:asciiTheme="minorHAnsi" w:hAnsiTheme="minorHAnsi"/>
          <w:color w:val="000000" w:themeColor="text1"/>
          <w:sz w:val="24"/>
          <w:szCs w:val="24"/>
        </w:rPr>
        <w:t>o</w:t>
      </w:r>
      <w:r w:rsidRPr="00F961FF">
        <w:rPr>
          <w:rFonts w:asciiTheme="minorHAnsi" w:hAnsiTheme="minorHAnsi"/>
          <w:color w:val="000000" w:themeColor="text1"/>
          <w:sz w:val="24"/>
          <w:szCs w:val="24"/>
        </w:rPr>
        <w:t>phagus</w:t>
      </w:r>
      <w:proofErr w:type="spellEnd"/>
      <w:r w:rsidRPr="00F961FF">
        <w:rPr>
          <w:rFonts w:asciiTheme="minorHAnsi" w:hAnsiTheme="minorHAnsi"/>
          <w:color w:val="000000" w:themeColor="text1"/>
          <w:sz w:val="24"/>
          <w:szCs w:val="24"/>
        </w:rPr>
        <w:t>, stomach, duodenum, ileum, jejunum</w:t>
      </w:r>
      <w:r w:rsidR="006E636C" w:rsidRPr="00F961FF">
        <w:rPr>
          <w:rFonts w:asciiTheme="minorHAnsi" w:hAnsiTheme="minorHAnsi"/>
          <w:color w:val="000000" w:themeColor="text1"/>
          <w:sz w:val="24"/>
          <w:szCs w:val="24"/>
        </w:rPr>
        <w:t xml:space="preserve">, colon, rectum, and anal canal. </w:t>
      </w:r>
    </w:p>
    <w:p w14:paraId="0E52FA6B" w14:textId="77777777" w:rsidR="00A469AF" w:rsidRPr="00F961FF" w:rsidRDefault="00A469AF" w:rsidP="00DF257B">
      <w:pPr>
        <w:spacing w:line="480" w:lineRule="auto"/>
        <w:rPr>
          <w:rFonts w:cs="Arial"/>
          <w:color w:val="000000" w:themeColor="text1"/>
        </w:rPr>
      </w:pPr>
    </w:p>
    <w:p w14:paraId="205D9A56"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major features of the oral cavity </w:t>
      </w:r>
      <w:r w:rsidR="006E636C" w:rsidRPr="00F961FF">
        <w:rPr>
          <w:rFonts w:asciiTheme="minorHAnsi" w:hAnsiTheme="minorHAnsi"/>
          <w:color w:val="000000" w:themeColor="text1"/>
          <w:sz w:val="24"/>
          <w:szCs w:val="24"/>
        </w:rPr>
        <w:t>and its epithelial</w:t>
      </w:r>
      <w:r w:rsidRPr="00F961FF">
        <w:rPr>
          <w:rFonts w:asciiTheme="minorHAnsi" w:hAnsiTheme="minorHAnsi"/>
          <w:color w:val="000000" w:themeColor="text1"/>
          <w:sz w:val="24"/>
          <w:szCs w:val="24"/>
        </w:rPr>
        <w:t xml:space="preserve"> lining in relation to swallowing and drug delivery. </w:t>
      </w:r>
    </w:p>
    <w:p w14:paraId="41F6A950" w14:textId="77777777" w:rsidR="00A469AF" w:rsidRPr="00F961FF" w:rsidRDefault="00A469AF" w:rsidP="00DF257B">
      <w:pPr>
        <w:spacing w:line="480" w:lineRule="auto"/>
        <w:rPr>
          <w:rFonts w:cs="Arial"/>
          <w:color w:val="000000" w:themeColor="text1"/>
        </w:rPr>
      </w:pPr>
    </w:p>
    <w:p w14:paraId="2ECA3443"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position and functional anatomy of the liver, portal venous system, gallbladder, and biliary tree. </w:t>
      </w:r>
    </w:p>
    <w:p w14:paraId="1E43ABC9" w14:textId="77777777" w:rsidR="00A469AF" w:rsidRPr="00F961FF" w:rsidRDefault="00A469AF" w:rsidP="00DF257B">
      <w:pPr>
        <w:spacing w:line="480" w:lineRule="auto"/>
        <w:rPr>
          <w:rFonts w:cs="Arial"/>
          <w:color w:val="000000" w:themeColor="text1"/>
        </w:rPr>
      </w:pPr>
    </w:p>
    <w:p w14:paraId="2521EF66"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blood supply and venous drainage of the rectum and anal canal. </w:t>
      </w:r>
    </w:p>
    <w:p w14:paraId="21E9EA6F" w14:textId="77777777" w:rsidR="00A469AF" w:rsidRPr="00F961FF" w:rsidRDefault="00A469AF" w:rsidP="00DF257B">
      <w:pPr>
        <w:spacing w:line="480" w:lineRule="auto"/>
        <w:rPr>
          <w:rFonts w:cs="Arial"/>
          <w:color w:val="000000" w:themeColor="text1"/>
        </w:rPr>
      </w:pPr>
    </w:p>
    <w:p w14:paraId="25D357A7"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position and functional anatomy of the spleen. </w:t>
      </w:r>
    </w:p>
    <w:p w14:paraId="37D66567" w14:textId="77777777" w:rsidR="00A469AF" w:rsidRPr="00F961FF" w:rsidRDefault="00A469AF" w:rsidP="00DF257B">
      <w:pPr>
        <w:spacing w:line="480" w:lineRule="auto"/>
        <w:rPr>
          <w:rFonts w:cs="Arial"/>
          <w:color w:val="000000" w:themeColor="text1"/>
        </w:rPr>
      </w:pPr>
    </w:p>
    <w:p w14:paraId="36FD020D" w14:textId="77777777" w:rsidR="00A469AF" w:rsidRPr="00F961FF" w:rsidRDefault="00A469AF" w:rsidP="00DF257B">
      <w:pPr>
        <w:spacing w:line="480" w:lineRule="auto"/>
        <w:rPr>
          <w:rFonts w:cs="Arial"/>
          <w:color w:val="000000" w:themeColor="text1"/>
        </w:rPr>
      </w:pPr>
    </w:p>
    <w:p w14:paraId="23447A33"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parotid, submandibular and sublingual g</w:t>
      </w:r>
      <w:r w:rsidR="001E516A" w:rsidRPr="00F961FF">
        <w:rPr>
          <w:rFonts w:asciiTheme="minorHAnsi" w:hAnsiTheme="minorHAnsi"/>
          <w:color w:val="000000" w:themeColor="text1"/>
          <w:sz w:val="24"/>
          <w:szCs w:val="24"/>
        </w:rPr>
        <w:t>lands and their role in saliva</w:t>
      </w:r>
      <w:r w:rsidRPr="00F961FF">
        <w:rPr>
          <w:rFonts w:asciiTheme="minorHAnsi" w:hAnsiTheme="minorHAnsi"/>
          <w:color w:val="000000" w:themeColor="text1"/>
          <w:sz w:val="24"/>
          <w:szCs w:val="24"/>
        </w:rPr>
        <w:t xml:space="preserve"> production.</w:t>
      </w:r>
    </w:p>
    <w:p w14:paraId="1510C953" w14:textId="77777777" w:rsidR="00A469AF" w:rsidRPr="00F961FF" w:rsidRDefault="00A469AF" w:rsidP="00DF257B">
      <w:pPr>
        <w:pStyle w:val="ListParagraph"/>
        <w:spacing w:line="480" w:lineRule="auto"/>
        <w:rPr>
          <w:rFonts w:asciiTheme="minorHAnsi" w:hAnsiTheme="minorHAnsi"/>
          <w:color w:val="000000" w:themeColor="text1"/>
          <w:sz w:val="24"/>
          <w:szCs w:val="24"/>
        </w:rPr>
      </w:pPr>
    </w:p>
    <w:p w14:paraId="400843FA" w14:textId="77777777" w:rsidR="00A469AF" w:rsidRPr="00F961FF" w:rsidRDefault="00A469AF" w:rsidP="00DF257B">
      <w:pPr>
        <w:spacing w:line="480" w:lineRule="auto"/>
        <w:outlineLvl w:val="0"/>
        <w:rPr>
          <w:rFonts w:cs="Arial"/>
          <w:b/>
          <w:color w:val="000000" w:themeColor="text1"/>
        </w:rPr>
      </w:pPr>
      <w:r w:rsidRPr="00F961FF">
        <w:rPr>
          <w:rFonts w:cs="Arial"/>
          <w:b/>
          <w:color w:val="000000" w:themeColor="text1"/>
        </w:rPr>
        <w:t>Nervous &amp; sensory system</w:t>
      </w:r>
    </w:p>
    <w:p w14:paraId="1824AAF5" w14:textId="77777777" w:rsidR="00A469AF" w:rsidRPr="00F961FF" w:rsidRDefault="00A469AF" w:rsidP="00DF257B">
      <w:pPr>
        <w:spacing w:line="480" w:lineRule="auto"/>
        <w:rPr>
          <w:rFonts w:cs="Arial"/>
          <w:color w:val="000000" w:themeColor="text1"/>
        </w:rPr>
      </w:pPr>
    </w:p>
    <w:p w14:paraId="51BF4A60" w14:textId="77777777" w:rsidR="008B6BA9" w:rsidRPr="00F961FF" w:rsidRDefault="008B6BA9"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nervous system and explain the terms: visceral, autonomic, somatic, central and peripheral nervous systems. </w:t>
      </w:r>
    </w:p>
    <w:p w14:paraId="329528C1" w14:textId="77777777" w:rsidR="008B6BA9" w:rsidRPr="00F961FF" w:rsidRDefault="008B6BA9" w:rsidP="00DF257B">
      <w:pPr>
        <w:pStyle w:val="ListParagraph"/>
        <w:spacing w:line="480" w:lineRule="auto"/>
        <w:ind w:left="644"/>
        <w:rPr>
          <w:rFonts w:asciiTheme="minorHAnsi" w:hAnsiTheme="minorHAnsi"/>
          <w:color w:val="000000" w:themeColor="text1"/>
          <w:sz w:val="24"/>
          <w:szCs w:val="24"/>
        </w:rPr>
      </w:pPr>
    </w:p>
    <w:p w14:paraId="1F4952D3" w14:textId="77777777" w:rsidR="00A469AF" w:rsidRPr="00F961FF" w:rsidRDefault="00A469AF" w:rsidP="00DF257B">
      <w:pPr>
        <w:pStyle w:val="ListParagraph"/>
        <w:numPr>
          <w:ilvl w:val="0"/>
          <w:numId w:val="1"/>
        </w:numPr>
        <w:spacing w:line="480" w:lineRule="auto"/>
        <w:rPr>
          <w:rFonts w:asciiTheme="minorHAnsi" w:hAnsiTheme="minorHAnsi"/>
          <w:color w:val="000000" w:themeColor="text1"/>
          <w:sz w:val="24"/>
          <w:szCs w:val="24"/>
        </w:rPr>
      </w:pPr>
      <w:r w:rsidRPr="00F961FF">
        <w:rPr>
          <w:rFonts w:asciiTheme="minorHAnsi" w:hAnsiTheme="minorHAnsi"/>
          <w:color w:val="000000" w:themeColor="text1"/>
          <w:sz w:val="24"/>
          <w:szCs w:val="24"/>
        </w:rPr>
        <w:lastRenderedPageBreak/>
        <w:t>Describe the structure and divisions of the brain including: regions of grey and white matter, the cerebral hemispheres (frontal, parietal</w:t>
      </w:r>
      <w:r w:rsidR="003A4418" w:rsidRPr="00F961FF">
        <w:rPr>
          <w:rFonts w:asciiTheme="minorHAnsi" w:hAnsiTheme="minorHAnsi"/>
          <w:color w:val="000000" w:themeColor="text1"/>
          <w:sz w:val="24"/>
          <w:szCs w:val="24"/>
        </w:rPr>
        <w:t xml:space="preserve">, occipital and temporal lobes) limbic system, </w:t>
      </w:r>
      <w:r w:rsidRPr="00F961FF">
        <w:rPr>
          <w:rFonts w:asciiTheme="minorHAnsi" w:hAnsiTheme="minorHAnsi"/>
          <w:color w:val="000000" w:themeColor="text1"/>
          <w:sz w:val="24"/>
          <w:szCs w:val="24"/>
        </w:rPr>
        <w:t>thalamus, hypothalamus, midbrain, pons, medulla oblongata</w:t>
      </w:r>
      <w:r w:rsidR="002D2DB1" w:rsidRPr="00F961FF">
        <w:rPr>
          <w:rFonts w:asciiTheme="minorHAnsi" w:hAnsiTheme="minorHAnsi"/>
          <w:color w:val="000000" w:themeColor="text1"/>
          <w:sz w:val="24"/>
          <w:szCs w:val="24"/>
        </w:rPr>
        <w:t>, basal ganglia</w:t>
      </w:r>
      <w:r w:rsidRPr="00F961FF">
        <w:rPr>
          <w:rFonts w:asciiTheme="minorHAnsi" w:hAnsiTheme="minorHAnsi"/>
          <w:color w:val="000000" w:themeColor="text1"/>
          <w:sz w:val="24"/>
          <w:szCs w:val="24"/>
        </w:rPr>
        <w:t xml:space="preserve"> and cerebellum.</w:t>
      </w:r>
    </w:p>
    <w:p w14:paraId="5AFB32E8" w14:textId="77777777" w:rsidR="00A469AF" w:rsidRPr="00F961FF" w:rsidRDefault="00A469AF" w:rsidP="00A469AF">
      <w:pPr>
        <w:rPr>
          <w:rFonts w:cs="Arial"/>
          <w:color w:val="000000" w:themeColor="text1"/>
        </w:rPr>
      </w:pPr>
    </w:p>
    <w:p w14:paraId="71DCC858"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major special functions of the cerebral cortex (motor, </w:t>
      </w:r>
      <w:r w:rsidR="00BF3348" w:rsidRPr="00F961FF">
        <w:rPr>
          <w:rFonts w:asciiTheme="minorHAnsi" w:hAnsiTheme="minorHAnsi"/>
          <w:color w:val="000000" w:themeColor="text1"/>
          <w:sz w:val="24"/>
          <w:szCs w:val="24"/>
        </w:rPr>
        <w:t>somato</w:t>
      </w:r>
      <w:r w:rsidRPr="00F961FF">
        <w:rPr>
          <w:rFonts w:asciiTheme="minorHAnsi" w:hAnsiTheme="minorHAnsi"/>
          <w:color w:val="000000" w:themeColor="text1"/>
          <w:sz w:val="24"/>
          <w:szCs w:val="24"/>
        </w:rPr>
        <w:t xml:space="preserve">sensory, visual, auditory, memory and </w:t>
      </w:r>
      <w:proofErr w:type="spellStart"/>
      <w:r w:rsidRPr="00F961FF">
        <w:rPr>
          <w:rFonts w:asciiTheme="minorHAnsi" w:hAnsiTheme="minorHAnsi"/>
          <w:color w:val="000000" w:themeColor="text1"/>
          <w:sz w:val="24"/>
          <w:szCs w:val="24"/>
        </w:rPr>
        <w:t>behavioural</w:t>
      </w:r>
      <w:proofErr w:type="spellEnd"/>
      <w:r w:rsidRPr="00F961FF">
        <w:rPr>
          <w:rFonts w:asciiTheme="minorHAnsi" w:hAnsiTheme="minorHAnsi"/>
          <w:color w:val="000000" w:themeColor="text1"/>
          <w:sz w:val="24"/>
          <w:szCs w:val="24"/>
        </w:rPr>
        <w:t>).</w:t>
      </w:r>
    </w:p>
    <w:p w14:paraId="3DFEBE8C" w14:textId="77777777" w:rsidR="00A469AF" w:rsidRPr="00F961FF" w:rsidRDefault="00A469AF" w:rsidP="00A469AF">
      <w:pPr>
        <w:rPr>
          <w:rFonts w:cs="Arial"/>
          <w:color w:val="000000" w:themeColor="text1"/>
        </w:rPr>
      </w:pPr>
    </w:p>
    <w:p w14:paraId="70E0CDF5"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functions of the cranial nerves specifically including: optic, trigeminal, facial and </w:t>
      </w:r>
      <w:proofErr w:type="spellStart"/>
      <w:r w:rsidRPr="00F961FF">
        <w:rPr>
          <w:rFonts w:asciiTheme="minorHAnsi" w:hAnsiTheme="minorHAnsi"/>
          <w:color w:val="000000" w:themeColor="text1"/>
          <w:sz w:val="24"/>
          <w:szCs w:val="24"/>
        </w:rPr>
        <w:t>vagus</w:t>
      </w:r>
      <w:proofErr w:type="spellEnd"/>
      <w:r w:rsidRPr="00F961FF">
        <w:rPr>
          <w:rFonts w:asciiTheme="minorHAnsi" w:hAnsiTheme="minorHAnsi"/>
          <w:color w:val="000000" w:themeColor="text1"/>
          <w:sz w:val="24"/>
          <w:szCs w:val="24"/>
        </w:rPr>
        <w:t>.</w:t>
      </w:r>
    </w:p>
    <w:p w14:paraId="7B4A2CAE" w14:textId="77777777" w:rsidR="00A469AF" w:rsidRPr="00F961FF" w:rsidRDefault="00A469AF" w:rsidP="00A469AF">
      <w:pPr>
        <w:rPr>
          <w:rFonts w:cs="Arial"/>
          <w:color w:val="000000" w:themeColor="text1"/>
        </w:rPr>
      </w:pPr>
    </w:p>
    <w:p w14:paraId="67A11901"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meninges, ventricles, blood-brain barrier and the role of cerebrospinal fluid. </w:t>
      </w:r>
    </w:p>
    <w:p w14:paraId="2A4916B4" w14:textId="77777777" w:rsidR="00A469AF" w:rsidRPr="00F961FF" w:rsidRDefault="00A469AF" w:rsidP="00A469AF">
      <w:pPr>
        <w:rPr>
          <w:rFonts w:cs="Arial"/>
          <w:color w:val="000000" w:themeColor="text1"/>
        </w:rPr>
      </w:pPr>
    </w:p>
    <w:p w14:paraId="50F8BAFA"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function of the thalamus, hypothalamus, pituitary gland, basal ganglia and cerebellum. </w:t>
      </w:r>
    </w:p>
    <w:p w14:paraId="7129DC83" w14:textId="77777777" w:rsidR="00A469AF" w:rsidRPr="00F961FF" w:rsidRDefault="00A469AF" w:rsidP="00A469AF">
      <w:pPr>
        <w:rPr>
          <w:rFonts w:cs="Arial"/>
          <w:color w:val="000000" w:themeColor="text1"/>
        </w:rPr>
      </w:pPr>
    </w:p>
    <w:p w14:paraId="6DFD89AB" w14:textId="4B81B282"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principal components of the limbic</w:t>
      </w:r>
      <w:r w:rsidR="00E208A5" w:rsidRPr="00F961FF">
        <w:rPr>
          <w:rFonts w:asciiTheme="minorHAnsi" w:hAnsiTheme="minorHAnsi"/>
          <w:color w:val="000000" w:themeColor="text1"/>
          <w:sz w:val="24"/>
          <w:szCs w:val="24"/>
        </w:rPr>
        <w:t xml:space="preserve"> (hypothalamus, fornix, mammillary bodies)</w:t>
      </w:r>
      <w:r w:rsidRPr="00F961FF">
        <w:rPr>
          <w:rFonts w:asciiTheme="minorHAnsi" w:hAnsiTheme="minorHAnsi"/>
          <w:color w:val="000000" w:themeColor="text1"/>
          <w:sz w:val="24"/>
          <w:szCs w:val="24"/>
        </w:rPr>
        <w:t xml:space="preserve">, </w:t>
      </w:r>
      <w:proofErr w:type="spellStart"/>
      <w:r w:rsidRPr="00F961FF">
        <w:rPr>
          <w:rFonts w:asciiTheme="minorHAnsi" w:hAnsiTheme="minorHAnsi"/>
          <w:color w:val="000000" w:themeColor="text1"/>
          <w:sz w:val="24"/>
          <w:szCs w:val="24"/>
        </w:rPr>
        <w:t>aminergic</w:t>
      </w:r>
      <w:proofErr w:type="spellEnd"/>
      <w:r w:rsidRPr="00F961FF">
        <w:rPr>
          <w:rFonts w:asciiTheme="minorHAnsi" w:hAnsiTheme="minorHAnsi"/>
          <w:color w:val="000000" w:themeColor="text1"/>
          <w:sz w:val="24"/>
          <w:szCs w:val="24"/>
        </w:rPr>
        <w:t xml:space="preserve"> and cholinergic systems. </w:t>
      </w:r>
    </w:p>
    <w:p w14:paraId="32975D88" w14:textId="77777777" w:rsidR="00A469AF" w:rsidRPr="00F961FF" w:rsidRDefault="00A469AF" w:rsidP="00A469AF">
      <w:pPr>
        <w:rPr>
          <w:rFonts w:cs="Arial"/>
          <w:color w:val="000000" w:themeColor="text1"/>
        </w:rPr>
      </w:pPr>
    </w:p>
    <w:p w14:paraId="73EC0059"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anatomy of the eyelid, conjunctiva and lacrimal gland regarding maintenance of corneal integrity.</w:t>
      </w:r>
    </w:p>
    <w:p w14:paraId="3FD63D49" w14:textId="77777777" w:rsidR="00A469AF" w:rsidRPr="00F961FF" w:rsidRDefault="00A469AF" w:rsidP="00A469AF">
      <w:pPr>
        <w:rPr>
          <w:rFonts w:cs="Arial"/>
          <w:color w:val="000000" w:themeColor="text1"/>
        </w:rPr>
      </w:pPr>
    </w:p>
    <w:p w14:paraId="18F9E32D"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paranasal sinuses, nasal septum and the epithelial lining of the nasal cavity.</w:t>
      </w:r>
    </w:p>
    <w:p w14:paraId="458CFE07" w14:textId="77777777" w:rsidR="00A469AF" w:rsidRPr="00F961FF" w:rsidRDefault="00A469AF" w:rsidP="00A469AF">
      <w:pPr>
        <w:rPr>
          <w:rFonts w:cs="Arial"/>
          <w:color w:val="000000" w:themeColor="text1"/>
        </w:rPr>
      </w:pPr>
    </w:p>
    <w:p w14:paraId="4CFA33B9"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anatomy of the ear including the </w:t>
      </w:r>
      <w:r w:rsidR="00EC0E5E" w:rsidRPr="00F961FF">
        <w:rPr>
          <w:rFonts w:asciiTheme="minorHAnsi" w:hAnsiTheme="minorHAnsi"/>
          <w:color w:val="000000" w:themeColor="text1"/>
          <w:sz w:val="24"/>
          <w:szCs w:val="24"/>
        </w:rPr>
        <w:t xml:space="preserve">tympanic membrane, </w:t>
      </w:r>
      <w:proofErr w:type="spellStart"/>
      <w:r w:rsidRPr="00F961FF">
        <w:rPr>
          <w:rFonts w:asciiTheme="minorHAnsi" w:hAnsiTheme="minorHAnsi"/>
          <w:color w:val="000000" w:themeColor="text1"/>
          <w:sz w:val="24"/>
          <w:szCs w:val="24"/>
        </w:rPr>
        <w:t>ossicles</w:t>
      </w:r>
      <w:proofErr w:type="spellEnd"/>
      <w:r w:rsidRPr="00F961FF">
        <w:rPr>
          <w:rFonts w:asciiTheme="minorHAnsi" w:hAnsiTheme="minorHAnsi"/>
          <w:color w:val="000000" w:themeColor="text1"/>
          <w:sz w:val="24"/>
          <w:szCs w:val="24"/>
        </w:rPr>
        <w:t xml:space="preserve">, external auditory meatus and neurovascular supply. </w:t>
      </w:r>
    </w:p>
    <w:p w14:paraId="359F309A" w14:textId="77777777" w:rsidR="00A469AF" w:rsidRPr="00F961FF" w:rsidRDefault="00A469AF" w:rsidP="00A469AF">
      <w:pPr>
        <w:rPr>
          <w:rFonts w:cs="Arial"/>
          <w:color w:val="000000" w:themeColor="text1"/>
        </w:rPr>
      </w:pPr>
      <w:r w:rsidRPr="00F961FF">
        <w:rPr>
          <w:rFonts w:cs="Arial"/>
          <w:color w:val="000000" w:themeColor="text1"/>
        </w:rPr>
        <w:t xml:space="preserve"> </w:t>
      </w:r>
    </w:p>
    <w:p w14:paraId="3718491B"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sympathetic chain and splanchnic nerves</w:t>
      </w:r>
      <w:r w:rsidR="00EC0E5E" w:rsidRPr="00F961FF">
        <w:rPr>
          <w:rFonts w:asciiTheme="minorHAnsi" w:hAnsiTheme="minorHAnsi"/>
          <w:color w:val="000000" w:themeColor="text1"/>
          <w:sz w:val="24"/>
          <w:szCs w:val="24"/>
        </w:rPr>
        <w:t>,</w:t>
      </w:r>
      <w:r w:rsidRPr="00F961FF">
        <w:rPr>
          <w:rFonts w:asciiTheme="minorHAnsi" w:hAnsiTheme="minorHAnsi"/>
          <w:color w:val="000000" w:themeColor="text1"/>
          <w:sz w:val="24"/>
          <w:szCs w:val="24"/>
        </w:rPr>
        <w:t xml:space="preserve"> and their role in referred pain. </w:t>
      </w:r>
    </w:p>
    <w:p w14:paraId="39B95D63" w14:textId="77777777" w:rsidR="00A469AF" w:rsidRPr="00F961FF" w:rsidRDefault="00A469AF" w:rsidP="00A469AF">
      <w:pPr>
        <w:rPr>
          <w:rFonts w:cs="Arial"/>
          <w:color w:val="000000" w:themeColor="text1"/>
        </w:rPr>
      </w:pPr>
    </w:p>
    <w:p w14:paraId="17406ADF"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regions and functions of the vertebral column, spinal cord and meninges in relation to common spinal conditions and drug administration. </w:t>
      </w:r>
    </w:p>
    <w:p w14:paraId="1D50A091" w14:textId="77777777" w:rsidR="00A469AF" w:rsidRPr="00F961FF" w:rsidRDefault="00A469AF" w:rsidP="00A469AF">
      <w:pPr>
        <w:rPr>
          <w:rFonts w:cs="Arial"/>
          <w:color w:val="000000" w:themeColor="text1"/>
        </w:rPr>
      </w:pPr>
    </w:p>
    <w:p w14:paraId="392C8CF4"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anatomy of a typical spinal nerve, its main motor and </w:t>
      </w:r>
      <w:r w:rsidR="00B0434D" w:rsidRPr="00F961FF">
        <w:rPr>
          <w:rFonts w:asciiTheme="minorHAnsi" w:hAnsiTheme="minorHAnsi"/>
          <w:color w:val="000000" w:themeColor="text1"/>
          <w:sz w:val="24"/>
          <w:szCs w:val="24"/>
        </w:rPr>
        <w:t xml:space="preserve">somatosensory (cutaneous) </w:t>
      </w:r>
      <w:r w:rsidRPr="00F961FF">
        <w:rPr>
          <w:rFonts w:asciiTheme="minorHAnsi" w:hAnsiTheme="minorHAnsi"/>
          <w:color w:val="000000" w:themeColor="text1"/>
          <w:sz w:val="24"/>
          <w:szCs w:val="24"/>
        </w:rPr>
        <w:t xml:space="preserve">branches and </w:t>
      </w:r>
      <w:r w:rsidR="00511860" w:rsidRPr="00F961FF">
        <w:rPr>
          <w:rFonts w:asciiTheme="minorHAnsi" w:hAnsiTheme="minorHAnsi"/>
          <w:color w:val="000000" w:themeColor="text1"/>
          <w:sz w:val="24"/>
          <w:szCs w:val="24"/>
        </w:rPr>
        <w:t xml:space="preserve">sympathetic </w:t>
      </w:r>
      <w:r w:rsidRPr="00F961FF">
        <w:rPr>
          <w:rFonts w:asciiTheme="minorHAnsi" w:hAnsiTheme="minorHAnsi"/>
          <w:color w:val="000000" w:themeColor="text1"/>
          <w:sz w:val="24"/>
          <w:szCs w:val="24"/>
        </w:rPr>
        <w:t>component</w:t>
      </w:r>
      <w:r w:rsidR="00511860" w:rsidRPr="00F961FF">
        <w:rPr>
          <w:rFonts w:asciiTheme="minorHAnsi" w:hAnsiTheme="minorHAnsi"/>
          <w:color w:val="000000" w:themeColor="text1"/>
          <w:sz w:val="24"/>
          <w:szCs w:val="24"/>
        </w:rPr>
        <w:t>s</w:t>
      </w:r>
      <w:r w:rsidRPr="00F961FF">
        <w:rPr>
          <w:rFonts w:asciiTheme="minorHAnsi" w:hAnsiTheme="minorHAnsi"/>
          <w:color w:val="000000" w:themeColor="text1"/>
          <w:sz w:val="24"/>
          <w:szCs w:val="24"/>
        </w:rPr>
        <w:t>.</w:t>
      </w:r>
    </w:p>
    <w:p w14:paraId="7D2841E8" w14:textId="77777777" w:rsidR="00A469AF" w:rsidRPr="00F961FF" w:rsidRDefault="00A469AF" w:rsidP="00A469AF">
      <w:pPr>
        <w:rPr>
          <w:rFonts w:cs="Arial"/>
          <w:color w:val="000000" w:themeColor="text1"/>
        </w:rPr>
      </w:pPr>
    </w:p>
    <w:p w14:paraId="0C75563F" w14:textId="77777777" w:rsidR="00A469AF" w:rsidRPr="00F961FF" w:rsidRDefault="00A469AF" w:rsidP="00A469AF">
      <w:pPr>
        <w:rPr>
          <w:rFonts w:cs="Arial"/>
          <w:color w:val="000000" w:themeColor="text1"/>
        </w:rPr>
      </w:pPr>
    </w:p>
    <w:p w14:paraId="0C7A7732" w14:textId="77777777" w:rsidR="00A469AF" w:rsidRPr="00F961FF" w:rsidRDefault="00A469AF" w:rsidP="006A3282">
      <w:pPr>
        <w:outlineLvl w:val="0"/>
        <w:rPr>
          <w:rFonts w:cs="Arial"/>
          <w:b/>
          <w:color w:val="000000" w:themeColor="text1"/>
        </w:rPr>
      </w:pPr>
      <w:r w:rsidRPr="00F961FF">
        <w:rPr>
          <w:rFonts w:cs="Arial"/>
          <w:b/>
          <w:color w:val="000000" w:themeColor="text1"/>
        </w:rPr>
        <w:t>Respiratory system</w:t>
      </w:r>
    </w:p>
    <w:p w14:paraId="513B7781" w14:textId="77777777" w:rsidR="00A469AF" w:rsidRPr="00F961FF" w:rsidRDefault="00A469AF" w:rsidP="00A469AF">
      <w:pPr>
        <w:rPr>
          <w:rFonts w:cs="Arial"/>
          <w:color w:val="000000" w:themeColor="text1"/>
        </w:rPr>
      </w:pPr>
    </w:p>
    <w:p w14:paraId="71646E7F"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lastRenderedPageBreak/>
        <w:t xml:space="preserve">Describe the muscles involved in ventilation and the role of the phrenic nerve. </w:t>
      </w:r>
    </w:p>
    <w:p w14:paraId="34EFE7C9" w14:textId="77777777" w:rsidR="00A469AF" w:rsidRPr="00F961FF" w:rsidRDefault="00A469AF" w:rsidP="00A469AF">
      <w:pPr>
        <w:rPr>
          <w:rFonts w:cs="Arial"/>
          <w:color w:val="000000" w:themeColor="text1"/>
        </w:rPr>
      </w:pPr>
    </w:p>
    <w:p w14:paraId="729BE85A"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anatomy of the lungs </w:t>
      </w:r>
      <w:r w:rsidR="00511860" w:rsidRPr="00F961FF">
        <w:rPr>
          <w:rFonts w:asciiTheme="minorHAnsi" w:hAnsiTheme="minorHAnsi"/>
          <w:color w:val="000000" w:themeColor="text1"/>
          <w:sz w:val="24"/>
          <w:szCs w:val="24"/>
        </w:rPr>
        <w:t xml:space="preserve">and pleura </w:t>
      </w:r>
      <w:r w:rsidRPr="00F961FF">
        <w:rPr>
          <w:rFonts w:asciiTheme="minorHAnsi" w:hAnsiTheme="minorHAnsi"/>
          <w:color w:val="000000" w:themeColor="text1"/>
          <w:sz w:val="24"/>
          <w:szCs w:val="24"/>
        </w:rPr>
        <w:t xml:space="preserve">including their neurovascular supply, lymphatic drainage and the pulmonary circulation.  </w:t>
      </w:r>
    </w:p>
    <w:p w14:paraId="622DB8D5" w14:textId="77777777" w:rsidR="00A469AF" w:rsidRPr="00F961FF" w:rsidRDefault="00A469AF" w:rsidP="00A469AF">
      <w:pPr>
        <w:rPr>
          <w:rFonts w:cs="Arial"/>
          <w:color w:val="000000" w:themeColor="text1"/>
        </w:rPr>
      </w:pPr>
    </w:p>
    <w:p w14:paraId="0F18B233"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anatomy of the bronchial tree and bronchopulmonary segments.</w:t>
      </w:r>
    </w:p>
    <w:p w14:paraId="41791ACE" w14:textId="77777777" w:rsidR="00A469AF" w:rsidRPr="00F961FF" w:rsidRDefault="00A469AF" w:rsidP="00A469AF">
      <w:pPr>
        <w:rPr>
          <w:rFonts w:cs="Arial"/>
          <w:b/>
          <w:color w:val="000000" w:themeColor="text1"/>
        </w:rPr>
      </w:pPr>
    </w:p>
    <w:p w14:paraId="5E06273A" w14:textId="77777777" w:rsidR="00A469AF" w:rsidRPr="00F961FF" w:rsidRDefault="00A469AF" w:rsidP="006A3282">
      <w:pPr>
        <w:outlineLvl w:val="0"/>
        <w:rPr>
          <w:rFonts w:cs="Arial"/>
          <w:b/>
          <w:color w:val="000000" w:themeColor="text1"/>
        </w:rPr>
      </w:pPr>
      <w:r w:rsidRPr="00F961FF">
        <w:rPr>
          <w:rFonts w:cs="Arial"/>
          <w:b/>
          <w:color w:val="000000" w:themeColor="text1"/>
        </w:rPr>
        <w:t>Urinary system</w:t>
      </w:r>
    </w:p>
    <w:p w14:paraId="2D1BC678" w14:textId="77777777" w:rsidR="00A469AF" w:rsidRPr="00F961FF" w:rsidRDefault="00A469AF" w:rsidP="00A469AF">
      <w:pPr>
        <w:rPr>
          <w:rFonts w:cs="Arial"/>
          <w:color w:val="000000" w:themeColor="text1"/>
        </w:rPr>
      </w:pPr>
    </w:p>
    <w:p w14:paraId="1D99C0BD"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position and functional anatomy of the kidneys and ureters. </w:t>
      </w:r>
    </w:p>
    <w:p w14:paraId="2E83CFA7" w14:textId="77777777" w:rsidR="00A469AF" w:rsidRPr="00F961FF" w:rsidRDefault="00A469AF" w:rsidP="00A469AF">
      <w:pPr>
        <w:pStyle w:val="ListParagraph"/>
        <w:ind w:left="644"/>
        <w:rPr>
          <w:rFonts w:asciiTheme="minorHAnsi" w:hAnsiTheme="minorHAnsi"/>
          <w:color w:val="000000" w:themeColor="text1"/>
          <w:sz w:val="24"/>
          <w:szCs w:val="24"/>
        </w:rPr>
      </w:pPr>
    </w:p>
    <w:p w14:paraId="11C20DF7"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anatomy and function of the bladder and urethra</w:t>
      </w:r>
      <w:r w:rsidR="00F853F7" w:rsidRPr="00F961FF">
        <w:rPr>
          <w:rFonts w:asciiTheme="minorHAnsi" w:hAnsiTheme="minorHAnsi"/>
          <w:color w:val="000000" w:themeColor="text1"/>
          <w:sz w:val="24"/>
          <w:szCs w:val="24"/>
        </w:rPr>
        <w:t xml:space="preserve"> (male and female)</w:t>
      </w:r>
      <w:r w:rsidRPr="00F961FF">
        <w:rPr>
          <w:rFonts w:asciiTheme="minorHAnsi" w:hAnsiTheme="minorHAnsi"/>
          <w:color w:val="000000" w:themeColor="text1"/>
          <w:sz w:val="24"/>
          <w:szCs w:val="24"/>
        </w:rPr>
        <w:t>, including the sphincters and mechanism of micturition.</w:t>
      </w:r>
    </w:p>
    <w:p w14:paraId="5C9E7D78" w14:textId="77777777" w:rsidR="00A469AF" w:rsidRPr="00F961FF" w:rsidRDefault="00A469AF" w:rsidP="00A469AF">
      <w:pPr>
        <w:rPr>
          <w:rFonts w:cs="Arial"/>
          <w:b/>
          <w:color w:val="000000" w:themeColor="text1"/>
        </w:rPr>
      </w:pPr>
    </w:p>
    <w:p w14:paraId="47403C09" w14:textId="77777777" w:rsidR="00A469AF" w:rsidRPr="00F961FF" w:rsidRDefault="00A469AF" w:rsidP="006A3282">
      <w:pPr>
        <w:outlineLvl w:val="0"/>
        <w:rPr>
          <w:rFonts w:cs="Arial"/>
          <w:b/>
          <w:color w:val="000000" w:themeColor="text1"/>
        </w:rPr>
      </w:pPr>
      <w:r w:rsidRPr="00F961FF">
        <w:rPr>
          <w:rFonts w:cs="Arial"/>
          <w:b/>
          <w:color w:val="000000" w:themeColor="text1"/>
        </w:rPr>
        <w:t xml:space="preserve">Reproductive system </w:t>
      </w:r>
    </w:p>
    <w:p w14:paraId="064BFE23" w14:textId="77777777" w:rsidR="00A469AF" w:rsidRPr="00F961FF" w:rsidRDefault="00A469AF" w:rsidP="00A469AF">
      <w:pPr>
        <w:rPr>
          <w:rFonts w:cs="Arial"/>
          <w:color w:val="000000" w:themeColor="text1"/>
        </w:rPr>
      </w:pPr>
    </w:p>
    <w:p w14:paraId="2C614887"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anatomy and function of the female pelvic organs and external genitalia including their innervation, lymphatics, arterial supply and venous drainage. </w:t>
      </w:r>
    </w:p>
    <w:p w14:paraId="2B282548" w14:textId="77777777" w:rsidR="00A469AF" w:rsidRPr="00F961FF" w:rsidRDefault="00A469AF" w:rsidP="00A469AF">
      <w:pPr>
        <w:rPr>
          <w:rFonts w:cs="Arial"/>
          <w:color w:val="000000" w:themeColor="text1"/>
        </w:rPr>
      </w:pPr>
    </w:p>
    <w:p w14:paraId="3E2B0483"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anatomy and function of the male pelvic organs and external genitalia including their innervation, lymphatics, arterial supply and venous drainage. </w:t>
      </w:r>
    </w:p>
    <w:p w14:paraId="1358E8C3" w14:textId="77777777" w:rsidR="00A469AF" w:rsidRPr="00F961FF" w:rsidRDefault="00A469AF" w:rsidP="00A469AF">
      <w:pPr>
        <w:rPr>
          <w:rFonts w:cs="Arial"/>
          <w:color w:val="000000" w:themeColor="text1"/>
        </w:rPr>
      </w:pPr>
    </w:p>
    <w:p w14:paraId="54E64C24" w14:textId="77777777" w:rsidR="00A469AF" w:rsidRPr="00F961FF" w:rsidRDefault="00A469AF" w:rsidP="00A469AF">
      <w:pPr>
        <w:rPr>
          <w:rFonts w:cs="Arial"/>
          <w:b/>
          <w:color w:val="000000" w:themeColor="text1"/>
        </w:rPr>
      </w:pPr>
    </w:p>
    <w:p w14:paraId="2203EFF9" w14:textId="77777777" w:rsidR="00A469AF" w:rsidRPr="00F961FF" w:rsidRDefault="00A469AF" w:rsidP="006A3282">
      <w:pPr>
        <w:outlineLvl w:val="0"/>
        <w:rPr>
          <w:rFonts w:cs="Arial"/>
          <w:b/>
          <w:color w:val="000000" w:themeColor="text1"/>
        </w:rPr>
      </w:pPr>
      <w:r w:rsidRPr="00F961FF">
        <w:rPr>
          <w:rFonts w:cs="Arial"/>
          <w:b/>
          <w:color w:val="000000" w:themeColor="text1"/>
        </w:rPr>
        <w:t>Integumentary system</w:t>
      </w:r>
    </w:p>
    <w:p w14:paraId="0C19F6B5" w14:textId="77777777" w:rsidR="00A469AF" w:rsidRPr="00F961FF" w:rsidRDefault="00A469AF" w:rsidP="00A469AF">
      <w:pPr>
        <w:rPr>
          <w:rFonts w:cs="Arial"/>
          <w:color w:val="000000" w:themeColor="text1"/>
        </w:rPr>
      </w:pPr>
    </w:p>
    <w:p w14:paraId="5B1A29A9"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anatomy </w:t>
      </w:r>
      <w:r w:rsidR="00F853F7" w:rsidRPr="00F961FF">
        <w:rPr>
          <w:rFonts w:asciiTheme="minorHAnsi" w:hAnsiTheme="minorHAnsi"/>
          <w:color w:val="000000" w:themeColor="text1"/>
          <w:sz w:val="24"/>
          <w:szCs w:val="24"/>
        </w:rPr>
        <w:t xml:space="preserve">and function </w:t>
      </w:r>
      <w:r w:rsidRPr="00F961FF">
        <w:rPr>
          <w:rFonts w:asciiTheme="minorHAnsi" w:hAnsiTheme="minorHAnsi"/>
          <w:color w:val="000000" w:themeColor="text1"/>
          <w:sz w:val="24"/>
          <w:szCs w:val="24"/>
        </w:rPr>
        <w:t xml:space="preserve">of the skin. </w:t>
      </w:r>
    </w:p>
    <w:p w14:paraId="15BD232C" w14:textId="77777777" w:rsidR="00A469AF" w:rsidRPr="00F961FF" w:rsidRDefault="00A469AF" w:rsidP="00A469AF">
      <w:pPr>
        <w:rPr>
          <w:rFonts w:cs="Arial"/>
          <w:color w:val="000000" w:themeColor="text1"/>
        </w:rPr>
      </w:pPr>
    </w:p>
    <w:p w14:paraId="13FAFC3E" w14:textId="77777777" w:rsidR="00A469AF" w:rsidRPr="00F961FF" w:rsidRDefault="00A469AF" w:rsidP="00A469AF">
      <w:pPr>
        <w:rPr>
          <w:rFonts w:cs="Arial"/>
          <w:color w:val="000000" w:themeColor="text1"/>
        </w:rPr>
      </w:pPr>
    </w:p>
    <w:p w14:paraId="1EABA547" w14:textId="77777777" w:rsidR="00A469AF" w:rsidRPr="00F961FF" w:rsidRDefault="00A469AF" w:rsidP="006A3282">
      <w:pPr>
        <w:outlineLvl w:val="0"/>
        <w:rPr>
          <w:rFonts w:cs="Arial"/>
          <w:b/>
          <w:color w:val="000000" w:themeColor="text1"/>
        </w:rPr>
      </w:pPr>
      <w:r w:rsidRPr="00F961FF">
        <w:rPr>
          <w:rFonts w:cs="Arial"/>
          <w:b/>
          <w:color w:val="000000" w:themeColor="text1"/>
        </w:rPr>
        <w:t xml:space="preserve">Endocrine </w:t>
      </w:r>
    </w:p>
    <w:p w14:paraId="39F04499" w14:textId="77777777" w:rsidR="00A469AF" w:rsidRPr="00F961FF" w:rsidRDefault="00A469AF" w:rsidP="00A469AF">
      <w:pPr>
        <w:rPr>
          <w:rFonts w:cs="Arial"/>
          <w:color w:val="000000" w:themeColor="text1"/>
        </w:rPr>
      </w:pPr>
    </w:p>
    <w:p w14:paraId="51847713"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position and functional anatomy of the adrenal glands. </w:t>
      </w:r>
    </w:p>
    <w:p w14:paraId="61D8F768" w14:textId="77777777" w:rsidR="00A469AF" w:rsidRPr="00F961FF" w:rsidRDefault="00A469AF" w:rsidP="00A469AF">
      <w:pPr>
        <w:rPr>
          <w:rFonts w:cs="Arial"/>
          <w:color w:val="000000" w:themeColor="text1"/>
        </w:rPr>
      </w:pPr>
    </w:p>
    <w:p w14:paraId="5B983303"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position and functional anatomy of the pancreas. </w:t>
      </w:r>
    </w:p>
    <w:p w14:paraId="78E9D8F2" w14:textId="77777777" w:rsidR="00A469AF" w:rsidRPr="00F961FF" w:rsidRDefault="00A469AF" w:rsidP="00A469AF">
      <w:pPr>
        <w:rPr>
          <w:rFonts w:cs="Arial"/>
          <w:color w:val="000000" w:themeColor="text1"/>
        </w:rPr>
      </w:pPr>
    </w:p>
    <w:p w14:paraId="3E34BA78"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position and anatomy of the thyroid and parathyroid glands. </w:t>
      </w:r>
    </w:p>
    <w:p w14:paraId="07E25F7E" w14:textId="77777777" w:rsidR="00A469AF" w:rsidRPr="00F961FF" w:rsidRDefault="00A469AF" w:rsidP="00A469AF">
      <w:pPr>
        <w:rPr>
          <w:rFonts w:cs="Arial"/>
          <w:color w:val="000000" w:themeColor="text1"/>
        </w:rPr>
      </w:pPr>
    </w:p>
    <w:p w14:paraId="12762CB5" w14:textId="77777777" w:rsidR="00A469AF" w:rsidRPr="00F961FF" w:rsidRDefault="00A469AF" w:rsidP="00A469AF">
      <w:pPr>
        <w:pStyle w:val="ListParagraph"/>
        <w:ind w:left="644"/>
        <w:rPr>
          <w:rFonts w:asciiTheme="minorHAnsi" w:hAnsiTheme="minorHAnsi"/>
          <w:color w:val="000000" w:themeColor="text1"/>
          <w:sz w:val="24"/>
          <w:szCs w:val="24"/>
        </w:rPr>
      </w:pPr>
    </w:p>
    <w:p w14:paraId="5A9DDD9D" w14:textId="77777777" w:rsidR="0065391C" w:rsidRPr="00F961FF" w:rsidRDefault="0065391C" w:rsidP="00A469AF">
      <w:pPr>
        <w:rPr>
          <w:rFonts w:cs="Arial"/>
          <w:b/>
          <w:color w:val="000000" w:themeColor="text1"/>
        </w:rPr>
      </w:pPr>
    </w:p>
    <w:p w14:paraId="754BC346" w14:textId="77777777" w:rsidR="00A469AF" w:rsidRPr="00F961FF" w:rsidRDefault="00A469AF" w:rsidP="006A3282">
      <w:pPr>
        <w:outlineLvl w:val="0"/>
        <w:rPr>
          <w:rFonts w:cs="Arial"/>
          <w:b/>
          <w:color w:val="000000" w:themeColor="text1"/>
        </w:rPr>
      </w:pPr>
      <w:r w:rsidRPr="00F961FF">
        <w:rPr>
          <w:rFonts w:cs="Arial"/>
          <w:b/>
          <w:color w:val="000000" w:themeColor="text1"/>
        </w:rPr>
        <w:t>Musculoskeletal system</w:t>
      </w:r>
    </w:p>
    <w:p w14:paraId="768F3C34" w14:textId="77777777" w:rsidR="00A469AF" w:rsidRPr="00F961FF" w:rsidRDefault="00A469AF" w:rsidP="00A469AF">
      <w:pPr>
        <w:rPr>
          <w:rFonts w:cs="Arial"/>
          <w:color w:val="000000" w:themeColor="text1"/>
        </w:rPr>
      </w:pPr>
    </w:p>
    <w:p w14:paraId="700586C2"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major bones and joints that make up the skeleton. </w:t>
      </w:r>
    </w:p>
    <w:p w14:paraId="1F0FA1A9" w14:textId="77777777" w:rsidR="00A469AF" w:rsidRPr="00F961FF" w:rsidRDefault="00A469AF" w:rsidP="00A469AF">
      <w:pPr>
        <w:pStyle w:val="ListParagraph"/>
        <w:ind w:left="644"/>
        <w:rPr>
          <w:rFonts w:asciiTheme="minorHAnsi" w:hAnsiTheme="minorHAnsi"/>
          <w:color w:val="000000" w:themeColor="text1"/>
          <w:sz w:val="24"/>
          <w:szCs w:val="24"/>
        </w:rPr>
      </w:pPr>
    </w:p>
    <w:p w14:paraId="35B99A80"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anatomy of the gluteal region and the course of the sciatic nerve. </w:t>
      </w:r>
    </w:p>
    <w:p w14:paraId="2C68ECA1" w14:textId="77777777" w:rsidR="00A469AF" w:rsidRPr="00F961FF" w:rsidRDefault="00A469AF" w:rsidP="00A469AF">
      <w:pPr>
        <w:rPr>
          <w:rFonts w:cs="Arial"/>
          <w:color w:val="000000" w:themeColor="text1"/>
        </w:rPr>
      </w:pPr>
    </w:p>
    <w:p w14:paraId="504AA4F1" w14:textId="77777777" w:rsidR="00A469AF" w:rsidRPr="00F961FF" w:rsidRDefault="00A469AF" w:rsidP="00A469AF">
      <w:pPr>
        <w:rPr>
          <w:rFonts w:cs="Arial"/>
          <w:color w:val="000000" w:themeColor="text1"/>
        </w:rPr>
      </w:pPr>
    </w:p>
    <w:p w14:paraId="5AA6A431" w14:textId="77777777" w:rsidR="00A469AF" w:rsidRPr="00F961FF" w:rsidRDefault="00A469AF" w:rsidP="00A469AF">
      <w:pPr>
        <w:rPr>
          <w:rFonts w:cs="Arial"/>
          <w:b/>
          <w:color w:val="000000" w:themeColor="text1"/>
        </w:rPr>
      </w:pPr>
    </w:p>
    <w:p w14:paraId="45F5C231" w14:textId="77777777" w:rsidR="00A469AF" w:rsidRPr="00F961FF" w:rsidRDefault="00A469AF" w:rsidP="006A3282">
      <w:pPr>
        <w:outlineLvl w:val="0"/>
        <w:rPr>
          <w:rFonts w:cs="Arial"/>
          <w:b/>
          <w:color w:val="000000" w:themeColor="text1"/>
        </w:rPr>
      </w:pPr>
      <w:r w:rsidRPr="00F961FF">
        <w:rPr>
          <w:rFonts w:cs="Arial"/>
          <w:b/>
          <w:color w:val="000000" w:themeColor="text1"/>
        </w:rPr>
        <w:t>Lymphatic system &amp; regional anatomy</w:t>
      </w:r>
    </w:p>
    <w:p w14:paraId="0027BC34" w14:textId="77777777" w:rsidR="00A469AF" w:rsidRPr="00F961FF" w:rsidRDefault="00A469AF" w:rsidP="00A469AF">
      <w:pPr>
        <w:rPr>
          <w:rFonts w:cs="Arial"/>
          <w:color w:val="000000" w:themeColor="text1"/>
        </w:rPr>
      </w:pPr>
    </w:p>
    <w:p w14:paraId="0F6BC7AC"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Describe the anatomical arrangement of the lymphoid tissue in the body and the potential routes for the spread of infection and malignant disease.</w:t>
      </w:r>
    </w:p>
    <w:p w14:paraId="34D7CE7A" w14:textId="77777777" w:rsidR="00A469AF" w:rsidRPr="00F961FF" w:rsidRDefault="00A469AF" w:rsidP="00A469AF">
      <w:pPr>
        <w:pStyle w:val="ListParagraph"/>
        <w:ind w:left="644"/>
        <w:rPr>
          <w:rFonts w:asciiTheme="minorHAnsi" w:hAnsiTheme="minorHAnsi"/>
          <w:color w:val="000000" w:themeColor="text1"/>
          <w:sz w:val="24"/>
          <w:szCs w:val="24"/>
        </w:rPr>
      </w:pPr>
    </w:p>
    <w:p w14:paraId="561900FB" w14:textId="77777777" w:rsidR="00A469AF" w:rsidRPr="00F961FF" w:rsidRDefault="00A469AF" w:rsidP="00E07F8B">
      <w:pPr>
        <w:pStyle w:val="ListParagraph"/>
        <w:numPr>
          <w:ilvl w:val="0"/>
          <w:numId w:val="1"/>
        </w:numPr>
        <w:rPr>
          <w:rFonts w:asciiTheme="minorHAnsi" w:hAnsiTheme="minorHAnsi"/>
          <w:color w:val="000000" w:themeColor="text1"/>
          <w:sz w:val="24"/>
          <w:szCs w:val="24"/>
        </w:rPr>
      </w:pPr>
      <w:r w:rsidRPr="00F961FF">
        <w:rPr>
          <w:rFonts w:asciiTheme="minorHAnsi" w:hAnsiTheme="minorHAnsi"/>
          <w:color w:val="000000" w:themeColor="text1"/>
          <w:sz w:val="24"/>
          <w:szCs w:val="24"/>
        </w:rPr>
        <w:t xml:space="preserve">Describe the anatomy of the breast in relation to lactation and malignant disease. </w:t>
      </w:r>
    </w:p>
    <w:p w14:paraId="1847875C" w14:textId="77777777" w:rsidR="00A469AF" w:rsidRPr="00F961FF" w:rsidRDefault="00A469AF" w:rsidP="00A469AF">
      <w:pPr>
        <w:rPr>
          <w:rFonts w:cs="Arial"/>
          <w:color w:val="000000" w:themeColor="text1"/>
        </w:rPr>
      </w:pPr>
    </w:p>
    <w:p w14:paraId="0B2096A9" w14:textId="77777777" w:rsidR="00A469AF" w:rsidRPr="00F961FF" w:rsidRDefault="00A469AF" w:rsidP="00A469AF">
      <w:pPr>
        <w:pStyle w:val="ListParagraph"/>
        <w:ind w:left="644"/>
        <w:rPr>
          <w:rFonts w:asciiTheme="minorHAnsi" w:hAnsiTheme="minorHAnsi"/>
          <w:color w:val="000000" w:themeColor="text1"/>
          <w:sz w:val="24"/>
          <w:szCs w:val="24"/>
        </w:rPr>
      </w:pPr>
    </w:p>
    <w:p w14:paraId="7C409ABF" w14:textId="77777777" w:rsidR="00B225FD" w:rsidRPr="00F961FF" w:rsidRDefault="00B225FD" w:rsidP="00692728">
      <w:pPr>
        <w:widowControl w:val="0"/>
        <w:autoSpaceDE w:val="0"/>
        <w:autoSpaceDN w:val="0"/>
        <w:adjustRightInd w:val="0"/>
        <w:outlineLvl w:val="0"/>
        <w:rPr>
          <w:rFonts w:cs="Arial"/>
          <w:b/>
          <w:color w:val="000000" w:themeColor="text1"/>
        </w:rPr>
      </w:pPr>
    </w:p>
    <w:p w14:paraId="557D8AEB" w14:textId="77777777" w:rsidR="00A469AF" w:rsidRPr="00F961FF" w:rsidRDefault="00A469AF" w:rsidP="00B74B3E">
      <w:pPr>
        <w:widowControl w:val="0"/>
        <w:autoSpaceDE w:val="0"/>
        <w:autoSpaceDN w:val="0"/>
        <w:adjustRightInd w:val="0"/>
        <w:rPr>
          <w:rFonts w:cs="Arial"/>
          <w:color w:val="000000" w:themeColor="text1"/>
        </w:rPr>
      </w:pPr>
    </w:p>
    <w:p w14:paraId="4C474B30" w14:textId="77777777" w:rsidR="00A469AF" w:rsidRPr="00F961FF" w:rsidRDefault="00EF0711" w:rsidP="00B74B3E">
      <w:pPr>
        <w:widowControl w:val="0"/>
        <w:autoSpaceDE w:val="0"/>
        <w:autoSpaceDN w:val="0"/>
        <w:adjustRightInd w:val="0"/>
        <w:rPr>
          <w:rFonts w:cs="Arial"/>
          <w:b/>
          <w:color w:val="000000" w:themeColor="text1"/>
        </w:rPr>
      </w:pPr>
      <w:r w:rsidRPr="00F961FF">
        <w:rPr>
          <w:rFonts w:cs="Arial"/>
          <w:b/>
          <w:color w:val="000000" w:themeColor="text1"/>
        </w:rPr>
        <w:t xml:space="preserve">Table </w:t>
      </w:r>
      <w:r w:rsidR="004E2233" w:rsidRPr="00F961FF">
        <w:rPr>
          <w:rFonts w:cs="Arial"/>
          <w:b/>
          <w:color w:val="000000" w:themeColor="text1"/>
        </w:rPr>
        <w:t>3</w:t>
      </w:r>
      <w:r w:rsidRPr="00F961FF">
        <w:rPr>
          <w:rFonts w:cs="Arial"/>
          <w:b/>
          <w:color w:val="000000" w:themeColor="text1"/>
        </w:rPr>
        <w:t xml:space="preserve">: Contextual information to accompany each outcome to aid their integration into the curriculum. </w:t>
      </w:r>
    </w:p>
    <w:p w14:paraId="661C46E7" w14:textId="77777777" w:rsidR="007E013E" w:rsidRPr="00F961FF" w:rsidRDefault="007E013E" w:rsidP="00B74B3E">
      <w:pPr>
        <w:widowControl w:val="0"/>
        <w:autoSpaceDE w:val="0"/>
        <w:autoSpaceDN w:val="0"/>
        <w:adjustRightInd w:val="0"/>
        <w:rPr>
          <w:rFonts w:cs="Arial"/>
          <w:b/>
          <w:color w:val="000000" w:themeColor="text1"/>
        </w:rPr>
      </w:pPr>
    </w:p>
    <w:p w14:paraId="65D8FD48" w14:textId="77777777" w:rsidR="009612A8" w:rsidRPr="00F961FF" w:rsidRDefault="009612A8" w:rsidP="00B74B3E">
      <w:pPr>
        <w:widowControl w:val="0"/>
        <w:autoSpaceDE w:val="0"/>
        <w:autoSpaceDN w:val="0"/>
        <w:adjustRightInd w:val="0"/>
        <w:rPr>
          <w:rFonts w:cs="Arial"/>
          <w:color w:val="000000" w:themeColor="text1"/>
        </w:rPr>
      </w:pPr>
    </w:p>
    <w:p w14:paraId="5079AC8A" w14:textId="77777777" w:rsidR="007E013E" w:rsidRPr="00F961FF" w:rsidRDefault="007E013E" w:rsidP="007E013E">
      <w:pPr>
        <w:spacing w:line="480" w:lineRule="auto"/>
        <w:jc w:val="both"/>
        <w:rPr>
          <w:b/>
          <w:color w:val="000000" w:themeColor="text1"/>
        </w:rPr>
      </w:pPr>
      <w:r w:rsidRPr="00F961FF">
        <w:rPr>
          <w:b/>
          <w:color w:val="000000" w:themeColor="text1"/>
        </w:rPr>
        <w:t>Discussion</w:t>
      </w:r>
    </w:p>
    <w:p w14:paraId="66DD0DDC" w14:textId="77777777" w:rsidR="007E013E" w:rsidRPr="00F961FF" w:rsidRDefault="007E013E" w:rsidP="007E013E">
      <w:pPr>
        <w:spacing w:line="480" w:lineRule="auto"/>
        <w:jc w:val="both"/>
        <w:rPr>
          <w:b/>
          <w:color w:val="000000" w:themeColor="text1"/>
        </w:rPr>
      </w:pPr>
    </w:p>
    <w:p w14:paraId="4969A80F" w14:textId="357E3BB2" w:rsidR="007E013E" w:rsidRPr="00F961FF" w:rsidRDefault="007E013E" w:rsidP="007E013E">
      <w:pPr>
        <w:spacing w:line="480" w:lineRule="auto"/>
        <w:jc w:val="both"/>
        <w:rPr>
          <w:color w:val="000000" w:themeColor="text1"/>
        </w:rPr>
      </w:pPr>
      <w:r w:rsidRPr="00F961FF">
        <w:rPr>
          <w:color w:val="000000" w:themeColor="text1"/>
        </w:rPr>
        <w:t xml:space="preserve">In healthcare </w:t>
      </w:r>
      <w:r w:rsidR="0044360F" w:rsidRPr="00F961FF">
        <w:rPr>
          <w:color w:val="000000" w:themeColor="text1"/>
        </w:rPr>
        <w:t>education,</w:t>
      </w:r>
      <w:r w:rsidRPr="00F961FF">
        <w:rPr>
          <w:color w:val="000000" w:themeColor="text1"/>
        </w:rPr>
        <w:t xml:space="preserve"> the ability to practice safely is of utmost importance, a practitioner’s knowledge and understanding of the human body underpins this safe practice. Defining how much time, what breadth of content, what resource, or assessment weighting a subject </w:t>
      </w:r>
      <w:r w:rsidR="00003211" w:rsidRPr="00F961FF">
        <w:rPr>
          <w:color w:val="000000" w:themeColor="text1"/>
        </w:rPr>
        <w:t xml:space="preserve">like anatomy </w:t>
      </w:r>
      <w:r w:rsidRPr="00F961FF">
        <w:rPr>
          <w:color w:val="000000" w:themeColor="text1"/>
        </w:rPr>
        <w:t xml:space="preserve">should be given is a challenge for educators regardless of the context. Within medical education, clinicians may blame anatomists for teaching students too much detail and not enough clinically relevant structures (Pabst 1993).  Such an issue is most certainly a product of a lack of clear anatomy guidance within the curricula of many vocational </w:t>
      </w:r>
      <w:proofErr w:type="spellStart"/>
      <w:r w:rsidRPr="00F961FF">
        <w:rPr>
          <w:color w:val="000000" w:themeColor="text1"/>
        </w:rPr>
        <w:t>programmes</w:t>
      </w:r>
      <w:proofErr w:type="spellEnd"/>
      <w:r w:rsidRPr="00F961FF">
        <w:rPr>
          <w:color w:val="000000" w:themeColor="text1"/>
        </w:rPr>
        <w:t xml:space="preserve"> under the remit of health professions’ education (Smith et al., 2016). We would argue that one can better understand the challenges facing anatomical study by looking to the medical education literature; </w:t>
      </w:r>
      <w:proofErr w:type="spellStart"/>
      <w:r w:rsidRPr="00F961FF">
        <w:rPr>
          <w:color w:val="000000" w:themeColor="text1"/>
        </w:rPr>
        <w:t>Heylings</w:t>
      </w:r>
      <w:proofErr w:type="spellEnd"/>
      <w:r w:rsidRPr="00F961FF">
        <w:rPr>
          <w:color w:val="000000" w:themeColor="text1"/>
        </w:rPr>
        <w:t xml:space="preserve"> noted that in the period following the publication of Tomorrow’s Doctors in the UK (</w:t>
      </w:r>
      <w:proofErr w:type="spellStart"/>
      <w:r w:rsidRPr="00F961FF">
        <w:rPr>
          <w:color w:val="000000" w:themeColor="text1"/>
        </w:rPr>
        <w:t>Heylings</w:t>
      </w:r>
      <w:proofErr w:type="spellEnd"/>
      <w:r w:rsidRPr="00F961FF">
        <w:rPr>
          <w:color w:val="000000" w:themeColor="text1"/>
        </w:rPr>
        <w:t xml:space="preserve"> 2002, General Medical Council 2003) there has been a loss of gross anatomy teaching time for medical students.  However, there had been greater integration between anatomical disciplines and clinical </w:t>
      </w:r>
      <w:r w:rsidRPr="00F961FF">
        <w:rPr>
          <w:color w:val="000000" w:themeColor="text1"/>
        </w:rPr>
        <w:lastRenderedPageBreak/>
        <w:t xml:space="preserve">skills. If one considers that medical students are struggling to get enough time for anatomy, then for professions such as pharmacy, where anatomy might be deemed to have less significance, this challenge will be even more significant. It is for these reasons that our proposed syllabus for </w:t>
      </w:r>
      <w:proofErr w:type="spellStart"/>
      <w:r w:rsidRPr="00F961FF">
        <w:rPr>
          <w:color w:val="000000" w:themeColor="text1"/>
        </w:rPr>
        <w:t>MPharm</w:t>
      </w:r>
      <w:proofErr w:type="spellEnd"/>
      <w:r w:rsidRPr="00F961FF">
        <w:rPr>
          <w:color w:val="000000" w:themeColor="text1"/>
        </w:rPr>
        <w:t xml:space="preserve"> </w:t>
      </w:r>
      <w:proofErr w:type="spellStart"/>
      <w:r w:rsidRPr="00F961FF">
        <w:rPr>
          <w:color w:val="000000" w:themeColor="text1"/>
        </w:rPr>
        <w:t>programmes</w:t>
      </w:r>
      <w:proofErr w:type="spellEnd"/>
      <w:r w:rsidRPr="00F961FF">
        <w:rPr>
          <w:color w:val="000000" w:themeColor="text1"/>
        </w:rPr>
        <w:t xml:space="preserve"> is useful – it provides a basic framework that institutions can adapt, build upon and integrate into their own curricula. Such a framework can be developed to build a curriculum; it provides a mechanism for institutions to ensure that the course learning objectives are aligned with course assessments. Possession of a definitive list of anatomical learning outcomes makes tasks such as blueprinting significantly less troublesome. Within the sphere of vocational training, any associated lack of constructive alignment could compromise accreditation with regulatory bodies. We do not propose how to teach, when to teach or for how long to teach - this is a decision for the curriculum developers.  Specifically considering </w:t>
      </w:r>
      <w:proofErr w:type="spellStart"/>
      <w:r w:rsidRPr="00F961FF">
        <w:rPr>
          <w:color w:val="000000" w:themeColor="text1"/>
        </w:rPr>
        <w:t>MPharm</w:t>
      </w:r>
      <w:proofErr w:type="spellEnd"/>
      <w:r w:rsidRPr="00F961FF">
        <w:rPr>
          <w:color w:val="000000" w:themeColor="text1"/>
        </w:rPr>
        <w:t xml:space="preserve"> </w:t>
      </w:r>
      <w:proofErr w:type="spellStart"/>
      <w:r w:rsidRPr="00F961FF">
        <w:rPr>
          <w:color w:val="000000" w:themeColor="text1"/>
        </w:rPr>
        <w:t>programme</w:t>
      </w:r>
      <w:proofErr w:type="spellEnd"/>
      <w:r w:rsidRPr="00F961FF">
        <w:rPr>
          <w:color w:val="000000" w:themeColor="text1"/>
        </w:rPr>
        <w:t xml:space="preserve"> accreditation, our study enters a new terrain for specific life science outcomes within the discipline.</w:t>
      </w:r>
    </w:p>
    <w:p w14:paraId="756119F1" w14:textId="77777777" w:rsidR="007E013E" w:rsidRPr="00F961FF" w:rsidRDefault="007E013E" w:rsidP="007E013E">
      <w:pPr>
        <w:spacing w:line="480" w:lineRule="auto"/>
        <w:jc w:val="both"/>
        <w:rPr>
          <w:color w:val="000000" w:themeColor="text1"/>
        </w:rPr>
      </w:pPr>
      <w:r w:rsidRPr="00F961FF">
        <w:rPr>
          <w:color w:val="000000" w:themeColor="text1"/>
        </w:rPr>
        <w:t xml:space="preserve"> </w:t>
      </w:r>
    </w:p>
    <w:p w14:paraId="292D323B" w14:textId="0BFFD391" w:rsidR="007E013E" w:rsidRPr="00F961FF" w:rsidRDefault="007E013E" w:rsidP="007E013E">
      <w:pPr>
        <w:spacing w:line="480" w:lineRule="auto"/>
        <w:jc w:val="both"/>
        <w:rPr>
          <w:color w:val="000000" w:themeColor="text1"/>
        </w:rPr>
      </w:pPr>
      <w:r w:rsidRPr="00F961FF">
        <w:rPr>
          <w:color w:val="000000" w:themeColor="text1"/>
        </w:rPr>
        <w:t>We would hope that this syllabus is not only useful for the educator and the HEI.  As a syllabus is a method of communicating the intentions of the course</w:t>
      </w:r>
      <w:r w:rsidR="00F961FF" w:rsidRPr="00F961FF">
        <w:rPr>
          <w:color w:val="000000" w:themeColor="text1"/>
        </w:rPr>
        <w:t>,</w:t>
      </w:r>
      <w:r w:rsidRPr="00F961FF">
        <w:rPr>
          <w:color w:val="000000" w:themeColor="text1"/>
        </w:rPr>
        <w:t xml:space="preserve"> it also provides guidance for students on what to learn and consequently enables planning for faculty and students alike. The learning outcomes that we present achieves face validity with these Delphi panelists. H</w:t>
      </w:r>
      <w:r w:rsidR="0083638E" w:rsidRPr="00F961FF">
        <w:rPr>
          <w:color w:val="000000" w:themeColor="text1"/>
        </w:rPr>
        <w:t>EI</w:t>
      </w:r>
      <w:r w:rsidRPr="00F961FF">
        <w:rPr>
          <w:color w:val="000000" w:themeColor="text1"/>
        </w:rPr>
        <w:t xml:space="preserve">s have contributed from across the UK, involving experts from a range of environments and backgrounds. Each outcome achieved consensus at over 80% and, in most cases, over 90%. We do not claim these outcomes to be definitive as evidenced by the volume of modification comments, multiple and conflicting viewpoints exposed by the Delphi process. Some panel members wished for broader outcomes that would provide academics with the scope to integrate, expand or abridge as they saw fit and as per the </w:t>
      </w:r>
      <w:r w:rsidRPr="00F961FF">
        <w:rPr>
          <w:color w:val="000000" w:themeColor="text1"/>
        </w:rPr>
        <w:lastRenderedPageBreak/>
        <w:t xml:space="preserve">demands of their institutional curricula. Others voiced preference for more specific learning outcomes, discrete units that exhaustively listed content to be covered. The advantage of using a Delphi approach is that single dominating biases are avoided but we were </w:t>
      </w:r>
      <w:proofErr w:type="spellStart"/>
      <w:r w:rsidRPr="00F961FF">
        <w:rPr>
          <w:color w:val="000000" w:themeColor="text1"/>
        </w:rPr>
        <w:t>cognisant</w:t>
      </w:r>
      <w:proofErr w:type="spellEnd"/>
      <w:r w:rsidRPr="00F961FF">
        <w:rPr>
          <w:color w:val="000000" w:themeColor="text1"/>
        </w:rPr>
        <w:t xml:space="preserve"> that the learning outcomes produced may not suit all purposes. However, what the resultant findings do is serve as a starting point, a foundational framework to build upon existing collegial knowledge and permit discussion of shared best practice. Educators can then </w:t>
      </w:r>
      <w:proofErr w:type="spellStart"/>
      <w:r w:rsidRPr="00F961FF">
        <w:rPr>
          <w:color w:val="000000" w:themeColor="text1"/>
        </w:rPr>
        <w:t>utilise</w:t>
      </w:r>
      <w:proofErr w:type="spellEnd"/>
      <w:r w:rsidRPr="00F961FF">
        <w:rPr>
          <w:color w:val="000000" w:themeColor="text1"/>
        </w:rPr>
        <w:t xml:space="preserve"> and adapt as they see fit. Such adaptations may include, changing the action verbs based on their perceptions of how a pharmacist would </w:t>
      </w:r>
      <w:proofErr w:type="spellStart"/>
      <w:r w:rsidRPr="00F961FF">
        <w:rPr>
          <w:color w:val="000000" w:themeColor="text1"/>
        </w:rPr>
        <w:t>utilise</w:t>
      </w:r>
      <w:proofErr w:type="spellEnd"/>
      <w:r w:rsidRPr="00F961FF">
        <w:rPr>
          <w:color w:val="000000" w:themeColor="text1"/>
        </w:rPr>
        <w:t xml:space="preserve"> the anatomical knowledge in question. Similarly, splitting outcomes into further discrete units, or conversely adding more detail and granularity to individual outcomes may be necessary to </w:t>
      </w:r>
      <w:proofErr w:type="spellStart"/>
      <w:r w:rsidRPr="00F961FF">
        <w:rPr>
          <w:color w:val="000000" w:themeColor="text1"/>
        </w:rPr>
        <w:t>contextualise</w:t>
      </w:r>
      <w:proofErr w:type="spellEnd"/>
      <w:r w:rsidRPr="00F961FF">
        <w:rPr>
          <w:color w:val="000000" w:themeColor="text1"/>
        </w:rPr>
        <w:t xml:space="preserve"> these findings. What we offer here is an inaugural framework for anatomy within </w:t>
      </w:r>
      <w:proofErr w:type="spellStart"/>
      <w:r w:rsidRPr="00F961FF">
        <w:rPr>
          <w:color w:val="000000" w:themeColor="text1"/>
        </w:rPr>
        <w:t>MPharm</w:t>
      </w:r>
      <w:proofErr w:type="spellEnd"/>
      <w:r w:rsidRPr="00F961FF">
        <w:rPr>
          <w:color w:val="000000" w:themeColor="text1"/>
        </w:rPr>
        <w:t xml:space="preserve"> </w:t>
      </w:r>
      <w:proofErr w:type="spellStart"/>
      <w:r w:rsidRPr="00F961FF">
        <w:rPr>
          <w:color w:val="000000" w:themeColor="text1"/>
        </w:rPr>
        <w:t>programmes</w:t>
      </w:r>
      <w:proofErr w:type="spellEnd"/>
      <w:r w:rsidRPr="00F961FF">
        <w:rPr>
          <w:color w:val="000000" w:themeColor="text1"/>
        </w:rPr>
        <w:t xml:space="preserve"> that over time, like all curricula, will evolve alongside the discipline and as best practice develops.</w:t>
      </w:r>
    </w:p>
    <w:p w14:paraId="45ECC8B1" w14:textId="77777777" w:rsidR="007E013E" w:rsidRPr="00F961FF" w:rsidRDefault="007E013E" w:rsidP="007E013E">
      <w:pPr>
        <w:spacing w:line="480" w:lineRule="auto"/>
        <w:jc w:val="both"/>
        <w:rPr>
          <w:color w:val="000000" w:themeColor="text1"/>
        </w:rPr>
      </w:pPr>
    </w:p>
    <w:p w14:paraId="27DBFE2D" w14:textId="77777777" w:rsidR="007E013E" w:rsidRPr="00F961FF" w:rsidRDefault="007E013E" w:rsidP="007E013E">
      <w:pPr>
        <w:spacing w:line="480" w:lineRule="auto"/>
        <w:jc w:val="both"/>
        <w:rPr>
          <w:color w:val="000000" w:themeColor="text1"/>
        </w:rPr>
      </w:pPr>
      <w:r w:rsidRPr="00F961FF">
        <w:rPr>
          <w:color w:val="000000" w:themeColor="text1"/>
        </w:rPr>
        <w:t xml:space="preserve">The challenge for anyone creating a syllabus is pitching it at an appropriate level. The authors and Delphi panel made a number of changes to the learning outcomes through the iterations of the syllabus during the Delphi process. As alluded to earlier, outcomes were eventually presented at the lower levels of the cognitive domain in Bloom’s taxonomy (Bloom and Hastings 1971), which is a hierarchical model used to classify educational learning objectives into varying levels of complexity and specificity. The classification of our outcomes is evidenced by the action verbs within the outcomes; these are almost entirely ‘describe’.  Institutions, can of course, revise these statements to make them more appropriate for their own teaching and learning environments. In this vein, a point of contention was the separation of form and function, whereby we present only anatomy </w:t>
      </w:r>
      <w:r w:rsidRPr="00F961FF">
        <w:rPr>
          <w:color w:val="000000" w:themeColor="text1"/>
        </w:rPr>
        <w:lastRenderedPageBreak/>
        <w:t>learning outcomes. The remit of this project was only the consideration of anatomy, but additional contextual information that may support the integration of form and function within the curriculum was provided. Future iterations of the syllabus may indeed address the physiology gap – if this were to be the consensus of any future panels.</w:t>
      </w:r>
    </w:p>
    <w:p w14:paraId="3DB2CFF3" w14:textId="77777777" w:rsidR="007E013E" w:rsidRPr="00F961FF" w:rsidRDefault="007E013E" w:rsidP="007E013E">
      <w:pPr>
        <w:spacing w:line="480" w:lineRule="auto"/>
        <w:jc w:val="both"/>
        <w:rPr>
          <w:color w:val="000000" w:themeColor="text1"/>
        </w:rPr>
      </w:pPr>
    </w:p>
    <w:p w14:paraId="0FE081AF" w14:textId="77777777" w:rsidR="007E013E" w:rsidRPr="00F961FF" w:rsidRDefault="007E013E" w:rsidP="007E013E">
      <w:pPr>
        <w:spacing w:line="480" w:lineRule="auto"/>
        <w:jc w:val="both"/>
        <w:rPr>
          <w:color w:val="000000" w:themeColor="text1"/>
        </w:rPr>
      </w:pPr>
      <w:r w:rsidRPr="00F961FF">
        <w:rPr>
          <w:color w:val="000000" w:themeColor="text1"/>
        </w:rPr>
        <w:t xml:space="preserve">As with all research, our study has limitations. Subjective decisions had to be made, although we were as rigorous in how we approached such decisions – ensuring decisions makers were skilled and representative of both pharmacy and anatomy. We had an attrition of the panel, with a loss of 3 members between rounds of the Delphi, however the majority of learning outcomes were accepted or changed minimally at stage 2. We did not start with a blank canvas, instead opting for a modified Delphi approach – this of course could steer the Delphi panel by </w:t>
      </w:r>
      <w:proofErr w:type="spellStart"/>
      <w:r w:rsidRPr="00F961FF">
        <w:rPr>
          <w:color w:val="000000" w:themeColor="text1"/>
        </w:rPr>
        <w:t>utilising</w:t>
      </w:r>
      <w:proofErr w:type="spellEnd"/>
      <w:r w:rsidRPr="00F961FF">
        <w:rPr>
          <w:color w:val="000000" w:themeColor="text1"/>
        </w:rPr>
        <w:t xml:space="preserve"> outcomes that were generated for medicine. However, it also provided the advantage of ensuring regions of anatomy were not omitted and all aspects were given careful consideration. The syllabus created is, of course, time limited – it may require revision over time in order to be reflective of the pharmacy and anatomy education landscapes.</w:t>
      </w:r>
    </w:p>
    <w:p w14:paraId="32DBD956" w14:textId="77777777" w:rsidR="00EF7139" w:rsidRPr="00F961FF" w:rsidRDefault="00EF7139" w:rsidP="007E013E">
      <w:pPr>
        <w:spacing w:line="480" w:lineRule="auto"/>
        <w:jc w:val="both"/>
        <w:rPr>
          <w:color w:val="000000" w:themeColor="text1"/>
        </w:rPr>
      </w:pPr>
    </w:p>
    <w:p w14:paraId="372D8C03" w14:textId="70641453" w:rsidR="007E013E" w:rsidRPr="00F961FF" w:rsidRDefault="007E013E" w:rsidP="007E013E">
      <w:pPr>
        <w:spacing w:line="480" w:lineRule="auto"/>
        <w:jc w:val="both"/>
        <w:rPr>
          <w:color w:val="000000" w:themeColor="text1"/>
        </w:rPr>
      </w:pPr>
      <w:r w:rsidRPr="00F961FF">
        <w:rPr>
          <w:color w:val="000000" w:themeColor="text1"/>
        </w:rPr>
        <w:t xml:space="preserve">In conclusion, we present the first core anatomy syllabus for </w:t>
      </w:r>
      <w:proofErr w:type="spellStart"/>
      <w:r w:rsidRPr="00F961FF">
        <w:rPr>
          <w:color w:val="000000" w:themeColor="text1"/>
        </w:rPr>
        <w:t>MPharm</w:t>
      </w:r>
      <w:proofErr w:type="spellEnd"/>
      <w:r w:rsidRPr="00F961FF">
        <w:rPr>
          <w:color w:val="000000" w:themeColor="text1"/>
        </w:rPr>
        <w:t xml:space="preserve"> graduates, developed through a Delphi process. The syllabus, consisting of 49 learning outcomes, is a conceptual building block from which the anatomy for pharmacists can be developed, as well as a physical document for use and development by stakeholders in Pharmacy - from students to accrediting bodies and H</w:t>
      </w:r>
      <w:r w:rsidR="0083638E" w:rsidRPr="00F961FF">
        <w:rPr>
          <w:color w:val="000000" w:themeColor="text1"/>
        </w:rPr>
        <w:t>EI</w:t>
      </w:r>
      <w:r w:rsidRPr="00F961FF">
        <w:rPr>
          <w:color w:val="000000" w:themeColor="text1"/>
        </w:rPr>
        <w:t xml:space="preserve">s. </w:t>
      </w:r>
    </w:p>
    <w:p w14:paraId="69612BC6" w14:textId="77777777" w:rsidR="009612A8" w:rsidRPr="00F961FF" w:rsidRDefault="009612A8" w:rsidP="00B74B3E">
      <w:pPr>
        <w:widowControl w:val="0"/>
        <w:autoSpaceDE w:val="0"/>
        <w:autoSpaceDN w:val="0"/>
        <w:adjustRightInd w:val="0"/>
        <w:rPr>
          <w:rFonts w:cs="Arial"/>
          <w:color w:val="000000" w:themeColor="text1"/>
        </w:rPr>
      </w:pPr>
    </w:p>
    <w:p w14:paraId="4FD93F38" w14:textId="77777777" w:rsidR="001552AE" w:rsidRPr="00F961FF" w:rsidRDefault="001552AE" w:rsidP="006F7FAF">
      <w:pPr>
        <w:rPr>
          <w:rFonts w:cs="Arial"/>
          <w:color w:val="000000" w:themeColor="text1"/>
        </w:rPr>
      </w:pPr>
    </w:p>
    <w:p w14:paraId="5C5B1D96" w14:textId="77777777" w:rsidR="00E060EB" w:rsidRPr="00F961FF" w:rsidRDefault="00E060EB" w:rsidP="006A3282">
      <w:pPr>
        <w:outlineLvl w:val="0"/>
        <w:rPr>
          <w:b/>
          <w:color w:val="000000" w:themeColor="text1"/>
        </w:rPr>
      </w:pPr>
      <w:r w:rsidRPr="00F961FF">
        <w:rPr>
          <w:b/>
          <w:color w:val="000000" w:themeColor="text1"/>
        </w:rPr>
        <w:t>Acknowledgements</w:t>
      </w:r>
    </w:p>
    <w:p w14:paraId="2E8ADFF5" w14:textId="77777777" w:rsidR="00EF7139" w:rsidRPr="00F961FF" w:rsidRDefault="00EF7139" w:rsidP="006A3282">
      <w:pPr>
        <w:outlineLvl w:val="0"/>
        <w:rPr>
          <w:b/>
          <w:color w:val="000000" w:themeColor="text1"/>
        </w:rPr>
      </w:pPr>
    </w:p>
    <w:p w14:paraId="20BE7307" w14:textId="77777777" w:rsidR="001552AE" w:rsidRPr="00F961FF" w:rsidRDefault="00E060EB" w:rsidP="00D22173">
      <w:pPr>
        <w:spacing w:line="480" w:lineRule="auto"/>
        <w:jc w:val="both"/>
        <w:rPr>
          <w:color w:val="000000" w:themeColor="text1"/>
        </w:rPr>
      </w:pPr>
      <w:r w:rsidRPr="00F961FF">
        <w:rPr>
          <w:color w:val="000000" w:themeColor="text1"/>
        </w:rPr>
        <w:t xml:space="preserve">This project was undertaken and funded by the Anatomical Society. The authors express their gratitude to everyone involved, especially the Delphi Panel and Council members. The authors acknowledge the work of </w:t>
      </w:r>
      <w:r w:rsidR="009612A8" w:rsidRPr="00F961FF">
        <w:rPr>
          <w:color w:val="000000" w:themeColor="text1"/>
        </w:rPr>
        <w:t xml:space="preserve">Jennifer Chevalier and </w:t>
      </w:r>
      <w:r w:rsidRPr="00F961FF">
        <w:rPr>
          <w:color w:val="000000" w:themeColor="text1"/>
        </w:rPr>
        <w:t xml:space="preserve">Siobhan Connolly for </w:t>
      </w:r>
      <w:r w:rsidR="009612A8" w:rsidRPr="00F961FF">
        <w:rPr>
          <w:color w:val="000000" w:themeColor="text1"/>
        </w:rPr>
        <w:t>their</w:t>
      </w:r>
      <w:r w:rsidRPr="00F961FF">
        <w:rPr>
          <w:color w:val="000000" w:themeColor="text1"/>
        </w:rPr>
        <w:t xml:space="preserve"> support and work with Survey Mo</w:t>
      </w:r>
      <w:r w:rsidR="009612A8" w:rsidRPr="00F961FF">
        <w:rPr>
          <w:color w:val="000000" w:themeColor="text1"/>
        </w:rPr>
        <w:t>nkey</w:t>
      </w:r>
      <w:r w:rsidRPr="00F961FF">
        <w:rPr>
          <w:color w:val="000000" w:themeColor="text1"/>
        </w:rPr>
        <w:t xml:space="preserve"> and communication to the Delphi Panel.</w:t>
      </w:r>
      <w:r w:rsidR="009612A8" w:rsidRPr="00F961FF">
        <w:rPr>
          <w:color w:val="000000" w:themeColor="text1"/>
        </w:rPr>
        <w:t xml:space="preserve"> </w:t>
      </w:r>
      <w:r w:rsidR="00E60902" w:rsidRPr="00F961FF">
        <w:rPr>
          <w:color w:val="000000" w:themeColor="text1"/>
        </w:rPr>
        <w:t xml:space="preserve">We wish to thank Steve </w:t>
      </w:r>
      <w:proofErr w:type="spellStart"/>
      <w:r w:rsidR="00E60902" w:rsidRPr="00F961FF">
        <w:rPr>
          <w:color w:val="000000" w:themeColor="text1"/>
        </w:rPr>
        <w:t>McHanwell</w:t>
      </w:r>
      <w:proofErr w:type="spellEnd"/>
      <w:r w:rsidR="00E60902" w:rsidRPr="00F961FF">
        <w:rPr>
          <w:color w:val="000000" w:themeColor="text1"/>
        </w:rPr>
        <w:t xml:space="preserve"> </w:t>
      </w:r>
      <w:r w:rsidR="00574EE5" w:rsidRPr="00F961FF">
        <w:rPr>
          <w:color w:val="000000" w:themeColor="text1"/>
        </w:rPr>
        <w:t xml:space="preserve">and Fiona </w:t>
      </w:r>
      <w:proofErr w:type="spellStart"/>
      <w:r w:rsidR="00574EE5" w:rsidRPr="00F961FF">
        <w:rPr>
          <w:color w:val="000000" w:themeColor="text1"/>
        </w:rPr>
        <w:t>Ponikwer</w:t>
      </w:r>
      <w:proofErr w:type="spellEnd"/>
      <w:r w:rsidR="00574EE5" w:rsidRPr="00F961FF">
        <w:rPr>
          <w:color w:val="000000" w:themeColor="text1"/>
        </w:rPr>
        <w:t xml:space="preserve"> </w:t>
      </w:r>
      <w:r w:rsidR="00E60902" w:rsidRPr="00F961FF">
        <w:rPr>
          <w:color w:val="000000" w:themeColor="text1"/>
        </w:rPr>
        <w:t xml:space="preserve">for </w:t>
      </w:r>
      <w:r w:rsidR="00574EE5" w:rsidRPr="00F961FF">
        <w:rPr>
          <w:color w:val="000000" w:themeColor="text1"/>
        </w:rPr>
        <w:t xml:space="preserve">their </w:t>
      </w:r>
      <w:r w:rsidR="00E60902" w:rsidRPr="00F961FF">
        <w:rPr>
          <w:color w:val="000000" w:themeColor="text1"/>
        </w:rPr>
        <w:t xml:space="preserve">guidance. </w:t>
      </w:r>
    </w:p>
    <w:p w14:paraId="454F8FC9" w14:textId="77777777" w:rsidR="00E60902" w:rsidRPr="00F961FF" w:rsidRDefault="00E60902" w:rsidP="006F7FAF">
      <w:pPr>
        <w:rPr>
          <w:color w:val="000000" w:themeColor="text1"/>
        </w:rPr>
      </w:pPr>
    </w:p>
    <w:p w14:paraId="184BED5C" w14:textId="77777777" w:rsidR="00E060EB" w:rsidRPr="00F961FF" w:rsidRDefault="00E060EB" w:rsidP="006A3282">
      <w:pPr>
        <w:pStyle w:val="EndNoteBibliography"/>
        <w:outlineLvl w:val="0"/>
        <w:rPr>
          <w:rFonts w:asciiTheme="minorHAnsi" w:hAnsiTheme="minorHAnsi" w:cs="Arial"/>
          <w:b/>
          <w:color w:val="000000" w:themeColor="text1"/>
        </w:rPr>
      </w:pPr>
      <w:r w:rsidRPr="00F961FF">
        <w:rPr>
          <w:rFonts w:asciiTheme="minorHAnsi" w:hAnsiTheme="minorHAnsi"/>
          <w:b/>
          <w:color w:val="000000" w:themeColor="text1"/>
        </w:rPr>
        <w:t>References</w:t>
      </w:r>
      <w:r w:rsidRPr="00F961FF">
        <w:rPr>
          <w:rFonts w:asciiTheme="minorHAnsi" w:hAnsiTheme="minorHAnsi" w:cs="Arial"/>
          <w:b/>
          <w:color w:val="000000" w:themeColor="text1"/>
        </w:rPr>
        <w:t xml:space="preserve"> </w:t>
      </w:r>
    </w:p>
    <w:p w14:paraId="33DDA602" w14:textId="77777777" w:rsidR="00CA7052" w:rsidRPr="00F961FF" w:rsidRDefault="00CA7052" w:rsidP="00CA7052">
      <w:pPr>
        <w:spacing w:line="480" w:lineRule="auto"/>
        <w:jc w:val="both"/>
        <w:rPr>
          <w:b/>
          <w:color w:val="000000" w:themeColor="text1"/>
        </w:rPr>
      </w:pPr>
    </w:p>
    <w:p w14:paraId="59366E6C" w14:textId="77777777" w:rsidR="00CA7052" w:rsidRPr="00F961FF" w:rsidRDefault="00CA7052" w:rsidP="00CA7052">
      <w:pPr>
        <w:jc w:val="both"/>
        <w:rPr>
          <w:color w:val="000000" w:themeColor="text1"/>
        </w:rPr>
      </w:pPr>
      <w:r w:rsidRPr="00F961FF">
        <w:rPr>
          <w:color w:val="000000" w:themeColor="text1"/>
        </w:rPr>
        <w:t xml:space="preserve">Adler, M. and E. </w:t>
      </w:r>
      <w:proofErr w:type="spellStart"/>
      <w:r w:rsidRPr="00F961FF">
        <w:rPr>
          <w:color w:val="000000" w:themeColor="text1"/>
        </w:rPr>
        <w:t>Ziglio</w:t>
      </w:r>
      <w:proofErr w:type="spellEnd"/>
      <w:r w:rsidRPr="00F961FF">
        <w:rPr>
          <w:color w:val="000000" w:themeColor="text1"/>
        </w:rPr>
        <w:t xml:space="preserve"> (1996). Gazing into the oracle: The Delphi method and its application to social policy and public health, Jessica Kingsley Publishers.</w:t>
      </w:r>
    </w:p>
    <w:p w14:paraId="1836FAF5" w14:textId="77777777" w:rsidR="00CA7052" w:rsidRPr="00F961FF" w:rsidRDefault="00CA7052" w:rsidP="00CA7052">
      <w:pPr>
        <w:jc w:val="both"/>
        <w:rPr>
          <w:color w:val="000000" w:themeColor="text1"/>
        </w:rPr>
      </w:pPr>
    </w:p>
    <w:p w14:paraId="104634B1" w14:textId="77777777" w:rsidR="00CA7052" w:rsidRPr="00F961FF" w:rsidRDefault="00CA7052" w:rsidP="00CA7052">
      <w:pPr>
        <w:jc w:val="both"/>
        <w:rPr>
          <w:color w:val="000000" w:themeColor="text1"/>
        </w:rPr>
      </w:pPr>
      <w:proofErr w:type="spellStart"/>
      <w:r w:rsidRPr="00F961FF">
        <w:rPr>
          <w:color w:val="000000" w:themeColor="text1"/>
        </w:rPr>
        <w:t>Anatomica</w:t>
      </w:r>
      <w:proofErr w:type="spellEnd"/>
      <w:r w:rsidRPr="00F961FF">
        <w:rPr>
          <w:color w:val="000000" w:themeColor="text1"/>
        </w:rPr>
        <w:t>, T. (1998). "</w:t>
      </w:r>
      <w:proofErr w:type="spellStart"/>
      <w:r w:rsidRPr="00F961FF">
        <w:rPr>
          <w:color w:val="000000" w:themeColor="text1"/>
        </w:rPr>
        <w:t>Terminologica</w:t>
      </w:r>
      <w:proofErr w:type="spellEnd"/>
      <w:r w:rsidRPr="00F961FF">
        <w:rPr>
          <w:color w:val="000000" w:themeColor="text1"/>
        </w:rPr>
        <w:t xml:space="preserve"> </w:t>
      </w:r>
      <w:proofErr w:type="spellStart"/>
      <w:r w:rsidRPr="00F961FF">
        <w:rPr>
          <w:color w:val="000000" w:themeColor="text1"/>
        </w:rPr>
        <w:t>anatomica</w:t>
      </w:r>
      <w:proofErr w:type="spellEnd"/>
      <w:r w:rsidRPr="00F961FF">
        <w:rPr>
          <w:color w:val="000000" w:themeColor="text1"/>
        </w:rPr>
        <w:t>." Federative Committe</w:t>
      </w:r>
      <w:r w:rsidR="00531E5E" w:rsidRPr="00F961FF">
        <w:rPr>
          <w:color w:val="000000" w:themeColor="text1"/>
        </w:rPr>
        <w:t>e</w:t>
      </w:r>
      <w:r w:rsidRPr="00F961FF">
        <w:rPr>
          <w:color w:val="000000" w:themeColor="text1"/>
        </w:rPr>
        <w:t xml:space="preserve"> on Anatomical Terminology. </w:t>
      </w:r>
      <w:proofErr w:type="spellStart"/>
      <w:r w:rsidRPr="00F961FF">
        <w:rPr>
          <w:color w:val="000000" w:themeColor="text1"/>
        </w:rPr>
        <w:t>Stuggart</w:t>
      </w:r>
      <w:proofErr w:type="spellEnd"/>
      <w:r w:rsidRPr="00F961FF">
        <w:rPr>
          <w:color w:val="000000" w:themeColor="text1"/>
        </w:rPr>
        <w:t xml:space="preserve">: </w:t>
      </w:r>
      <w:proofErr w:type="spellStart"/>
      <w:r w:rsidRPr="00F961FF">
        <w:rPr>
          <w:color w:val="000000" w:themeColor="text1"/>
        </w:rPr>
        <w:t>Thieme</w:t>
      </w:r>
      <w:proofErr w:type="spellEnd"/>
      <w:r w:rsidRPr="00F961FF">
        <w:rPr>
          <w:color w:val="000000" w:themeColor="text1"/>
        </w:rPr>
        <w:t>.</w:t>
      </w:r>
    </w:p>
    <w:p w14:paraId="706019CD" w14:textId="77777777" w:rsidR="00CA7052" w:rsidRPr="00F961FF" w:rsidRDefault="00CA7052" w:rsidP="00CA7052">
      <w:pPr>
        <w:jc w:val="both"/>
        <w:rPr>
          <w:color w:val="000000" w:themeColor="text1"/>
        </w:rPr>
      </w:pPr>
    </w:p>
    <w:p w14:paraId="31CAD3D2" w14:textId="77777777" w:rsidR="00CA7052" w:rsidRPr="00F961FF" w:rsidRDefault="00CA7052" w:rsidP="00CA7052">
      <w:pPr>
        <w:jc w:val="both"/>
        <w:rPr>
          <w:color w:val="000000" w:themeColor="text1"/>
        </w:rPr>
      </w:pPr>
      <w:r w:rsidRPr="00F961FF">
        <w:rPr>
          <w:color w:val="000000" w:themeColor="text1"/>
        </w:rPr>
        <w:t>Baker, J., K. Lovell and N. Harris (2006). "How expert are the experts? An exploration of the concept of ‘expert’ within Delphi panel techniques." Nurse researcher 14(1): 59-70.</w:t>
      </w:r>
    </w:p>
    <w:p w14:paraId="4D2CECFD" w14:textId="77777777" w:rsidR="00CA7052" w:rsidRPr="00F961FF" w:rsidRDefault="00CA7052" w:rsidP="00CA7052">
      <w:pPr>
        <w:jc w:val="both"/>
        <w:rPr>
          <w:color w:val="000000" w:themeColor="text1"/>
        </w:rPr>
      </w:pPr>
    </w:p>
    <w:p w14:paraId="4F8C8D9C" w14:textId="77777777" w:rsidR="00CA7052" w:rsidRPr="00F961FF" w:rsidRDefault="00CA7052" w:rsidP="00CA7052">
      <w:pPr>
        <w:jc w:val="both"/>
        <w:rPr>
          <w:color w:val="000000" w:themeColor="text1"/>
        </w:rPr>
      </w:pPr>
      <w:r w:rsidRPr="00F961FF">
        <w:rPr>
          <w:color w:val="000000" w:themeColor="text1"/>
        </w:rPr>
        <w:t>Bloom, B. and G. Hastings (1971). Handbook on formative and summative evaluation of students' learning. New York, McGraw-Hill.</w:t>
      </w:r>
    </w:p>
    <w:p w14:paraId="5E21827F" w14:textId="77777777" w:rsidR="00CA7052" w:rsidRPr="00F961FF" w:rsidRDefault="00CA7052" w:rsidP="00CA7052">
      <w:pPr>
        <w:jc w:val="both"/>
        <w:rPr>
          <w:color w:val="000000" w:themeColor="text1"/>
        </w:rPr>
      </w:pPr>
    </w:p>
    <w:p w14:paraId="46982065" w14:textId="77777777" w:rsidR="00CA7052" w:rsidRPr="00F961FF" w:rsidRDefault="00CA7052" w:rsidP="00CA7052">
      <w:pPr>
        <w:jc w:val="both"/>
        <w:rPr>
          <w:color w:val="000000" w:themeColor="text1"/>
        </w:rPr>
      </w:pPr>
      <w:r w:rsidRPr="00F961FF">
        <w:rPr>
          <w:color w:val="000000" w:themeColor="text1"/>
        </w:rPr>
        <w:t>British Pharmacological Society (2015). Undergraduate Pharmacology core curriculum.</w:t>
      </w:r>
    </w:p>
    <w:p w14:paraId="551FAFDC" w14:textId="77777777" w:rsidR="00FB0A25" w:rsidRPr="00F961FF" w:rsidRDefault="00FB0A25" w:rsidP="00CA5D88">
      <w:pPr>
        <w:jc w:val="both"/>
        <w:rPr>
          <w:color w:val="000000" w:themeColor="text1"/>
        </w:rPr>
      </w:pPr>
    </w:p>
    <w:p w14:paraId="3BAA7DB6" w14:textId="77777777" w:rsidR="009C2E9A" w:rsidRPr="00F961FF" w:rsidRDefault="00FB0A25" w:rsidP="00CA5D88">
      <w:pPr>
        <w:jc w:val="both"/>
        <w:rPr>
          <w:color w:val="000000" w:themeColor="text1"/>
        </w:rPr>
      </w:pPr>
      <w:r w:rsidRPr="00F961FF">
        <w:rPr>
          <w:color w:val="000000" w:themeColor="text1"/>
        </w:rPr>
        <w:t xml:space="preserve">Connolly SA, </w:t>
      </w:r>
      <w:proofErr w:type="spellStart"/>
      <w:r w:rsidRPr="00F961FF">
        <w:rPr>
          <w:color w:val="000000" w:themeColor="text1"/>
        </w:rPr>
        <w:t>Gillingwater</w:t>
      </w:r>
      <w:proofErr w:type="spellEnd"/>
      <w:r w:rsidRPr="00F961FF">
        <w:rPr>
          <w:color w:val="000000" w:themeColor="text1"/>
        </w:rPr>
        <w:t xml:space="preserve"> TH</w:t>
      </w:r>
      <w:r w:rsidR="00D22173" w:rsidRPr="00F961FF">
        <w:rPr>
          <w:color w:val="000000" w:themeColor="text1"/>
        </w:rPr>
        <w:t>,</w:t>
      </w:r>
      <w:r w:rsidRPr="00F961FF">
        <w:rPr>
          <w:color w:val="000000" w:themeColor="text1"/>
        </w:rPr>
        <w:t xml:space="preserve"> Chandler C, Grant AW, Grieg J ,7Meskell M, </w:t>
      </w:r>
      <w:r w:rsidR="009C2E9A" w:rsidRPr="00F961FF">
        <w:rPr>
          <w:color w:val="000000" w:themeColor="text1"/>
        </w:rPr>
        <w:t xml:space="preserve">Ross MT, Smith CF, Wood AF and Finn GM. The Anatomical Society’s Core Anatomy Syllabus for Undergraduate Nursing. Journal of Anatomy, (in press). </w:t>
      </w:r>
    </w:p>
    <w:p w14:paraId="16A59373" w14:textId="77777777" w:rsidR="00FB0A25" w:rsidRPr="00F961FF" w:rsidRDefault="00FB0A25" w:rsidP="00CA7052">
      <w:pPr>
        <w:jc w:val="both"/>
        <w:rPr>
          <w:color w:val="000000" w:themeColor="text1"/>
        </w:rPr>
      </w:pPr>
    </w:p>
    <w:p w14:paraId="69165E91" w14:textId="77777777" w:rsidR="00CA7052" w:rsidRPr="00F961FF" w:rsidRDefault="00CA7052" w:rsidP="00CA7052">
      <w:pPr>
        <w:jc w:val="both"/>
        <w:rPr>
          <w:color w:val="000000" w:themeColor="text1"/>
        </w:rPr>
      </w:pPr>
      <w:proofErr w:type="spellStart"/>
      <w:r w:rsidRPr="00F961FF">
        <w:rPr>
          <w:color w:val="000000" w:themeColor="text1"/>
        </w:rPr>
        <w:t>Dalkey</w:t>
      </w:r>
      <w:proofErr w:type="spellEnd"/>
      <w:r w:rsidRPr="00F961FF">
        <w:rPr>
          <w:color w:val="000000" w:themeColor="text1"/>
        </w:rPr>
        <w:t>, N. C., B. B. Brown and S. Cochran (1969). The Delphi method: An experimental study of group opinion, Rand Corporation Santa Monica, CA.</w:t>
      </w:r>
    </w:p>
    <w:p w14:paraId="1A36DEEF" w14:textId="77777777" w:rsidR="00CA7052" w:rsidRPr="00F961FF" w:rsidRDefault="00CA7052" w:rsidP="00CA7052">
      <w:pPr>
        <w:jc w:val="both"/>
        <w:rPr>
          <w:color w:val="000000" w:themeColor="text1"/>
        </w:rPr>
      </w:pPr>
    </w:p>
    <w:p w14:paraId="46132CC6" w14:textId="77777777" w:rsidR="00CA7052" w:rsidRPr="00F961FF" w:rsidRDefault="00CA7052" w:rsidP="00CA7052">
      <w:pPr>
        <w:jc w:val="both"/>
        <w:rPr>
          <w:color w:val="000000" w:themeColor="text1"/>
        </w:rPr>
      </w:pPr>
      <w:r w:rsidRPr="00F961FF">
        <w:rPr>
          <w:color w:val="000000" w:themeColor="text1"/>
        </w:rPr>
        <w:t>General Medical Council (2003). Tomorrow's Doctors, General Medical Council.</w:t>
      </w:r>
    </w:p>
    <w:p w14:paraId="68A97960" w14:textId="77777777" w:rsidR="00CA7052" w:rsidRPr="00F961FF" w:rsidRDefault="00CA7052" w:rsidP="00CA7052">
      <w:pPr>
        <w:jc w:val="both"/>
        <w:rPr>
          <w:color w:val="000000" w:themeColor="text1"/>
        </w:rPr>
      </w:pPr>
    </w:p>
    <w:p w14:paraId="48A242B9" w14:textId="77777777" w:rsidR="00CA7052" w:rsidRPr="00F961FF" w:rsidRDefault="00CA7052" w:rsidP="00CA5D88">
      <w:pPr>
        <w:jc w:val="both"/>
        <w:rPr>
          <w:color w:val="000000" w:themeColor="text1"/>
        </w:rPr>
      </w:pPr>
      <w:r w:rsidRPr="00F961FF">
        <w:rPr>
          <w:color w:val="000000" w:themeColor="text1"/>
        </w:rPr>
        <w:t>General Pharmaceutical Council (2011). Future pharmacists: Standards for the initial education and training of pharmacists. General Pharmaceutical Council.</w:t>
      </w:r>
    </w:p>
    <w:p w14:paraId="13E68DCC" w14:textId="77777777" w:rsidR="00CA7052" w:rsidRPr="00F961FF" w:rsidRDefault="00CA7052" w:rsidP="00CA5D88">
      <w:pPr>
        <w:jc w:val="both"/>
        <w:rPr>
          <w:color w:val="000000" w:themeColor="text1"/>
        </w:rPr>
      </w:pPr>
    </w:p>
    <w:p w14:paraId="0EDA95BE" w14:textId="77777777" w:rsidR="00CA7052" w:rsidRPr="00F961FF" w:rsidRDefault="00CA7052" w:rsidP="00CA7052">
      <w:pPr>
        <w:jc w:val="both"/>
        <w:rPr>
          <w:color w:val="000000" w:themeColor="text1"/>
        </w:rPr>
      </w:pPr>
      <w:r w:rsidRPr="00F961FF">
        <w:rPr>
          <w:color w:val="000000" w:themeColor="text1"/>
        </w:rPr>
        <w:t>General Pharmaceutical Council (2017). Standards for pharmacy professionals</w:t>
      </w:r>
    </w:p>
    <w:p w14:paraId="72AF4A33" w14:textId="77777777" w:rsidR="00CA7052" w:rsidRPr="00F961FF" w:rsidRDefault="00CA7052" w:rsidP="00CA5D88">
      <w:pPr>
        <w:jc w:val="both"/>
        <w:rPr>
          <w:color w:val="000000" w:themeColor="text1"/>
        </w:rPr>
      </w:pPr>
      <w:r w:rsidRPr="00F961FF">
        <w:rPr>
          <w:color w:val="000000" w:themeColor="text1"/>
        </w:rPr>
        <w:t>General Pharmaceutical Council</w:t>
      </w:r>
    </w:p>
    <w:p w14:paraId="49BE7EDD" w14:textId="77777777" w:rsidR="00CA7052" w:rsidRPr="00F961FF" w:rsidRDefault="00CA7052" w:rsidP="00CA5D88">
      <w:pPr>
        <w:jc w:val="both"/>
        <w:rPr>
          <w:color w:val="000000" w:themeColor="text1"/>
        </w:rPr>
      </w:pPr>
    </w:p>
    <w:p w14:paraId="2C15B356" w14:textId="77777777" w:rsidR="00CA7052" w:rsidRPr="00F961FF" w:rsidRDefault="00CA7052" w:rsidP="00CA7052">
      <w:pPr>
        <w:jc w:val="both"/>
        <w:rPr>
          <w:color w:val="000000" w:themeColor="text1"/>
        </w:rPr>
      </w:pPr>
      <w:proofErr w:type="spellStart"/>
      <w:r w:rsidRPr="00F961FF">
        <w:rPr>
          <w:color w:val="000000" w:themeColor="text1"/>
        </w:rPr>
        <w:t>Heylings</w:t>
      </w:r>
      <w:proofErr w:type="spellEnd"/>
      <w:r w:rsidRPr="00F961FF">
        <w:rPr>
          <w:color w:val="000000" w:themeColor="text1"/>
        </w:rPr>
        <w:t>, D. J. A. (2002). "Anatomy 1999–2000: the curriculum, who teaches it and how?" Medical Education 36: 702-710.</w:t>
      </w:r>
    </w:p>
    <w:p w14:paraId="578DB5EB" w14:textId="77777777" w:rsidR="00CA7052" w:rsidRPr="00F961FF" w:rsidRDefault="00CA7052" w:rsidP="00CA7052">
      <w:pPr>
        <w:jc w:val="both"/>
        <w:rPr>
          <w:color w:val="000000" w:themeColor="text1"/>
        </w:rPr>
      </w:pPr>
    </w:p>
    <w:p w14:paraId="7288E3BE" w14:textId="77777777" w:rsidR="00CA7052" w:rsidRPr="00F961FF" w:rsidRDefault="00CA7052" w:rsidP="00CA7052">
      <w:pPr>
        <w:jc w:val="both"/>
        <w:rPr>
          <w:color w:val="000000" w:themeColor="text1"/>
        </w:rPr>
      </w:pPr>
      <w:r w:rsidRPr="00F961FF">
        <w:rPr>
          <w:color w:val="000000" w:themeColor="text1"/>
        </w:rPr>
        <w:lastRenderedPageBreak/>
        <w:t xml:space="preserve">Hsu, C.-C. and B. A. </w:t>
      </w:r>
      <w:proofErr w:type="spellStart"/>
      <w:r w:rsidRPr="00F961FF">
        <w:rPr>
          <w:color w:val="000000" w:themeColor="text1"/>
        </w:rPr>
        <w:t>Sandford</w:t>
      </w:r>
      <w:proofErr w:type="spellEnd"/>
      <w:r w:rsidRPr="00F961FF">
        <w:rPr>
          <w:color w:val="000000" w:themeColor="text1"/>
        </w:rPr>
        <w:t xml:space="preserve"> (2007). "The Delphi technique: making sense of consensus." Practical assessment, research &amp; evaluation 12(10): 1-8.</w:t>
      </w:r>
    </w:p>
    <w:p w14:paraId="0895D508" w14:textId="77777777" w:rsidR="00CA7052" w:rsidRPr="00F961FF" w:rsidRDefault="00CA7052" w:rsidP="00CA7052">
      <w:pPr>
        <w:jc w:val="both"/>
        <w:rPr>
          <w:color w:val="000000" w:themeColor="text1"/>
        </w:rPr>
      </w:pPr>
    </w:p>
    <w:p w14:paraId="771A41AF" w14:textId="77777777" w:rsidR="00CA7052" w:rsidRPr="00F961FF" w:rsidRDefault="00CA7052" w:rsidP="00CA7052">
      <w:pPr>
        <w:jc w:val="both"/>
        <w:rPr>
          <w:color w:val="000000" w:themeColor="text1"/>
        </w:rPr>
      </w:pPr>
      <w:r w:rsidRPr="00F961FF">
        <w:rPr>
          <w:color w:val="000000" w:themeColor="text1"/>
        </w:rPr>
        <w:t>Latif, R., R. Mohamed, D.</w:t>
      </w:r>
      <w:r w:rsidR="00EA6DB4" w:rsidRPr="00F961FF">
        <w:rPr>
          <w:color w:val="000000" w:themeColor="text1"/>
        </w:rPr>
        <w:t xml:space="preserve"> AH and H. Mat Nor (2016). "Usi</w:t>
      </w:r>
      <w:r w:rsidRPr="00F961FF">
        <w:rPr>
          <w:color w:val="000000" w:themeColor="text1"/>
        </w:rPr>
        <w:t xml:space="preserve">ng Delphi Technique: Making Sense of Consensus in Concept Mapping </w:t>
      </w:r>
      <w:r w:rsidR="00EA6DB4" w:rsidRPr="00F961FF">
        <w:rPr>
          <w:color w:val="000000" w:themeColor="text1"/>
        </w:rPr>
        <w:t>Structure</w:t>
      </w:r>
      <w:r w:rsidRPr="00F961FF">
        <w:rPr>
          <w:color w:val="000000" w:themeColor="text1"/>
        </w:rPr>
        <w:t xml:space="preserve"> and </w:t>
      </w:r>
      <w:proofErr w:type="gramStart"/>
      <w:r w:rsidRPr="00F961FF">
        <w:rPr>
          <w:color w:val="000000" w:themeColor="text1"/>
        </w:rPr>
        <w:t>Multiple Choice</w:t>
      </w:r>
      <w:proofErr w:type="gramEnd"/>
      <w:r w:rsidRPr="00F961FF">
        <w:rPr>
          <w:color w:val="000000" w:themeColor="text1"/>
        </w:rPr>
        <w:t xml:space="preserve"> Questions (MCQ)." Education in Medicine Journal 8(3): 89-98.</w:t>
      </w:r>
    </w:p>
    <w:p w14:paraId="4556D61A" w14:textId="77777777" w:rsidR="00CA7052" w:rsidRPr="00F961FF" w:rsidRDefault="00CA7052" w:rsidP="00CA7052">
      <w:pPr>
        <w:jc w:val="both"/>
        <w:rPr>
          <w:color w:val="000000" w:themeColor="text1"/>
        </w:rPr>
      </w:pPr>
    </w:p>
    <w:p w14:paraId="2F608348" w14:textId="77777777" w:rsidR="00CA7052" w:rsidRPr="00F961FF" w:rsidRDefault="00CA7052" w:rsidP="00CA7052">
      <w:pPr>
        <w:jc w:val="both"/>
        <w:rPr>
          <w:color w:val="000000" w:themeColor="text1"/>
        </w:rPr>
      </w:pPr>
      <w:proofErr w:type="spellStart"/>
      <w:r w:rsidRPr="00F961FF">
        <w:rPr>
          <w:color w:val="000000" w:themeColor="text1"/>
        </w:rPr>
        <w:t>Limpach</w:t>
      </w:r>
      <w:proofErr w:type="spellEnd"/>
      <w:r w:rsidRPr="00F961FF">
        <w:rPr>
          <w:color w:val="000000" w:themeColor="text1"/>
        </w:rPr>
        <w:t xml:space="preserve">, A. L., P. </w:t>
      </w:r>
      <w:proofErr w:type="spellStart"/>
      <w:r w:rsidRPr="00F961FF">
        <w:rPr>
          <w:color w:val="000000" w:themeColor="text1"/>
        </w:rPr>
        <w:t>Bazrafshan</w:t>
      </w:r>
      <w:proofErr w:type="spellEnd"/>
      <w:r w:rsidRPr="00F961FF">
        <w:rPr>
          <w:color w:val="000000" w:themeColor="text1"/>
        </w:rPr>
        <w:t>, P. D. Turner and M. S. Monaghan (2008). "Effectiveness of human anatomy education for pharmacy students via the internet." American journal of pharmaceutical education 72(6): 145.</w:t>
      </w:r>
    </w:p>
    <w:p w14:paraId="249920D9" w14:textId="77777777" w:rsidR="00CA7052" w:rsidRPr="00F961FF" w:rsidRDefault="00CA7052" w:rsidP="00CA7052">
      <w:pPr>
        <w:jc w:val="both"/>
        <w:rPr>
          <w:color w:val="000000" w:themeColor="text1"/>
        </w:rPr>
      </w:pPr>
    </w:p>
    <w:p w14:paraId="218DE772" w14:textId="77777777" w:rsidR="00CA7052" w:rsidRPr="00F961FF" w:rsidRDefault="00EA6DB4" w:rsidP="00EA6DB4">
      <w:pPr>
        <w:jc w:val="both"/>
        <w:rPr>
          <w:color w:val="000000" w:themeColor="text1"/>
        </w:rPr>
      </w:pPr>
      <w:proofErr w:type="spellStart"/>
      <w:r w:rsidRPr="00F961FF">
        <w:rPr>
          <w:color w:val="000000" w:themeColor="text1"/>
        </w:rPr>
        <w:t>McHanwell</w:t>
      </w:r>
      <w:proofErr w:type="spellEnd"/>
      <w:r w:rsidRPr="00F961FF">
        <w:rPr>
          <w:color w:val="000000" w:themeColor="text1"/>
        </w:rPr>
        <w:t xml:space="preserve"> S, Atkinson M, Davies DC, et al. (2007) A core syllabus in anatomy for medical students – adding common sense to need to know. </w:t>
      </w:r>
      <w:proofErr w:type="spellStart"/>
      <w:r w:rsidRPr="00F961FF">
        <w:rPr>
          <w:color w:val="000000" w:themeColor="text1"/>
        </w:rPr>
        <w:t>Eur</w:t>
      </w:r>
      <w:proofErr w:type="spellEnd"/>
      <w:r w:rsidRPr="00F961FF">
        <w:rPr>
          <w:color w:val="000000" w:themeColor="text1"/>
        </w:rPr>
        <w:t xml:space="preserve"> J </w:t>
      </w:r>
      <w:proofErr w:type="spellStart"/>
      <w:r w:rsidRPr="00F961FF">
        <w:rPr>
          <w:color w:val="000000" w:themeColor="text1"/>
        </w:rPr>
        <w:t>Anat</w:t>
      </w:r>
      <w:proofErr w:type="spellEnd"/>
      <w:r w:rsidRPr="00F961FF">
        <w:rPr>
          <w:color w:val="000000" w:themeColor="text1"/>
        </w:rPr>
        <w:t xml:space="preserve"> 11, 3–18.</w:t>
      </w:r>
    </w:p>
    <w:p w14:paraId="5BF4C63F" w14:textId="77777777" w:rsidR="00EA6DB4" w:rsidRPr="00F961FF" w:rsidRDefault="00EA6DB4" w:rsidP="00EA6DB4">
      <w:pPr>
        <w:jc w:val="both"/>
        <w:rPr>
          <w:color w:val="000000" w:themeColor="text1"/>
        </w:rPr>
      </w:pPr>
    </w:p>
    <w:p w14:paraId="586643D0" w14:textId="77777777" w:rsidR="00CA7052" w:rsidRPr="00F961FF" w:rsidRDefault="00CA7052" w:rsidP="00CA7052">
      <w:pPr>
        <w:jc w:val="both"/>
        <w:rPr>
          <w:color w:val="000000" w:themeColor="text1"/>
        </w:rPr>
      </w:pPr>
      <w:proofErr w:type="spellStart"/>
      <w:r w:rsidRPr="00F961FF">
        <w:rPr>
          <w:color w:val="000000" w:themeColor="text1"/>
        </w:rPr>
        <w:t>Moxham</w:t>
      </w:r>
      <w:proofErr w:type="spellEnd"/>
      <w:r w:rsidRPr="00F961FF">
        <w:rPr>
          <w:color w:val="000000" w:themeColor="text1"/>
        </w:rPr>
        <w:t xml:space="preserve">, B., S. </w:t>
      </w:r>
      <w:proofErr w:type="spellStart"/>
      <w:r w:rsidRPr="00F961FF">
        <w:rPr>
          <w:color w:val="000000" w:themeColor="text1"/>
        </w:rPr>
        <w:t>McHanwell</w:t>
      </w:r>
      <w:proofErr w:type="spellEnd"/>
      <w:r w:rsidRPr="00F961FF">
        <w:rPr>
          <w:color w:val="000000" w:themeColor="text1"/>
        </w:rPr>
        <w:t xml:space="preserve">, O. </w:t>
      </w:r>
      <w:proofErr w:type="spellStart"/>
      <w:r w:rsidRPr="00F961FF">
        <w:rPr>
          <w:color w:val="000000" w:themeColor="text1"/>
        </w:rPr>
        <w:t>Plaisant</w:t>
      </w:r>
      <w:proofErr w:type="spellEnd"/>
      <w:r w:rsidRPr="00F961FF">
        <w:rPr>
          <w:color w:val="000000" w:themeColor="text1"/>
        </w:rPr>
        <w:t xml:space="preserve"> and D. </w:t>
      </w:r>
      <w:proofErr w:type="spellStart"/>
      <w:r w:rsidRPr="00F961FF">
        <w:rPr>
          <w:color w:val="000000" w:themeColor="text1"/>
        </w:rPr>
        <w:t>Pais</w:t>
      </w:r>
      <w:proofErr w:type="spellEnd"/>
      <w:r w:rsidRPr="00F961FF">
        <w:rPr>
          <w:color w:val="000000" w:themeColor="text1"/>
        </w:rPr>
        <w:t xml:space="preserve"> (2015). "A core syllabus for the teaching of neuroanatomy to medical students." Clinical Anatomy 28(6): 706-716.</w:t>
      </w:r>
    </w:p>
    <w:p w14:paraId="6644761A" w14:textId="77777777" w:rsidR="00CA7052" w:rsidRPr="00F961FF" w:rsidRDefault="00CA7052" w:rsidP="00CA7052">
      <w:pPr>
        <w:jc w:val="both"/>
        <w:rPr>
          <w:color w:val="000000" w:themeColor="text1"/>
        </w:rPr>
      </w:pPr>
    </w:p>
    <w:p w14:paraId="6B73A0BB" w14:textId="77777777" w:rsidR="00CA7052" w:rsidRPr="00F961FF" w:rsidRDefault="00CA7052" w:rsidP="00CA7052">
      <w:pPr>
        <w:jc w:val="both"/>
        <w:rPr>
          <w:color w:val="000000" w:themeColor="text1"/>
        </w:rPr>
      </w:pPr>
      <w:r w:rsidRPr="00F961FF">
        <w:rPr>
          <w:color w:val="000000" w:themeColor="text1"/>
        </w:rPr>
        <w:t>Pabst, R. (1993). "Gross Anatomy: An Outdated Subject or an Essential Part of a Modern Medical Curriculum? Results of a questionnaire circulated to final-year medical students." The Anatomical Record 237: 431-433.</w:t>
      </w:r>
    </w:p>
    <w:p w14:paraId="4DEA053E" w14:textId="77777777" w:rsidR="00CA7052" w:rsidRPr="00F961FF" w:rsidRDefault="00CA7052" w:rsidP="00CA7052">
      <w:pPr>
        <w:jc w:val="both"/>
        <w:rPr>
          <w:color w:val="000000" w:themeColor="text1"/>
        </w:rPr>
      </w:pPr>
    </w:p>
    <w:p w14:paraId="25D7F72A" w14:textId="77777777" w:rsidR="00CA7052" w:rsidRPr="00F961FF" w:rsidRDefault="00CA7052" w:rsidP="00CA5D88">
      <w:pPr>
        <w:jc w:val="both"/>
        <w:rPr>
          <w:color w:val="000000" w:themeColor="text1"/>
        </w:rPr>
      </w:pPr>
      <w:r w:rsidRPr="00F961FF">
        <w:rPr>
          <w:color w:val="000000" w:themeColor="text1"/>
        </w:rPr>
        <w:t xml:space="preserve">Ridge K. (2015). Role of pharmacists is set to grow and grow. </w:t>
      </w:r>
      <w:hyperlink r:id="rId5" w:history="1">
        <w:r w:rsidRPr="00F961FF">
          <w:rPr>
            <w:color w:val="000000" w:themeColor="text1"/>
          </w:rPr>
          <w:t>https://www.england.nhs.uk/blog/keith-ridge-2/</w:t>
        </w:r>
      </w:hyperlink>
      <w:r w:rsidRPr="00F961FF">
        <w:rPr>
          <w:color w:val="000000" w:themeColor="text1"/>
        </w:rPr>
        <w:t xml:space="preserve"> Accessed 09/10/17</w:t>
      </w:r>
    </w:p>
    <w:p w14:paraId="6931BF5A" w14:textId="77777777" w:rsidR="00CA7052" w:rsidRPr="00F961FF" w:rsidRDefault="00CA7052" w:rsidP="00CA7052">
      <w:pPr>
        <w:jc w:val="both"/>
        <w:rPr>
          <w:color w:val="000000" w:themeColor="text1"/>
        </w:rPr>
      </w:pPr>
    </w:p>
    <w:p w14:paraId="3486C945" w14:textId="77777777" w:rsidR="00CA7052" w:rsidRPr="00F961FF" w:rsidRDefault="00CA7052" w:rsidP="00CA7052">
      <w:pPr>
        <w:jc w:val="both"/>
        <w:rPr>
          <w:color w:val="000000" w:themeColor="text1"/>
        </w:rPr>
      </w:pPr>
      <w:proofErr w:type="spellStart"/>
      <w:r w:rsidRPr="00F961FF">
        <w:rPr>
          <w:color w:val="000000" w:themeColor="text1"/>
        </w:rPr>
        <w:t>Skulmoski</w:t>
      </w:r>
      <w:proofErr w:type="spellEnd"/>
      <w:r w:rsidRPr="00F961FF">
        <w:rPr>
          <w:color w:val="000000" w:themeColor="text1"/>
        </w:rPr>
        <w:t xml:space="preserve">, G., F. Hartman and J. </w:t>
      </w:r>
      <w:proofErr w:type="spellStart"/>
      <w:r w:rsidRPr="00F961FF">
        <w:rPr>
          <w:color w:val="000000" w:themeColor="text1"/>
        </w:rPr>
        <w:t>Krahn</w:t>
      </w:r>
      <w:proofErr w:type="spellEnd"/>
      <w:r w:rsidRPr="00F961FF">
        <w:rPr>
          <w:color w:val="000000" w:themeColor="text1"/>
        </w:rPr>
        <w:t xml:space="preserve"> (2007). "The Delphi method for graduate research." Journal of Information Technology Education: Research 6(1): 1-21.</w:t>
      </w:r>
    </w:p>
    <w:p w14:paraId="31E43349" w14:textId="77777777" w:rsidR="00CA7052" w:rsidRPr="00F961FF" w:rsidRDefault="00CA7052" w:rsidP="00CA7052">
      <w:pPr>
        <w:jc w:val="both"/>
        <w:rPr>
          <w:color w:val="000000" w:themeColor="text1"/>
        </w:rPr>
      </w:pPr>
    </w:p>
    <w:p w14:paraId="1A903B7B" w14:textId="77777777" w:rsidR="00B81516" w:rsidRPr="00F961FF" w:rsidRDefault="00CA7052" w:rsidP="00CA7052">
      <w:pPr>
        <w:jc w:val="both"/>
        <w:rPr>
          <w:color w:val="000000" w:themeColor="text1"/>
        </w:rPr>
      </w:pPr>
      <w:r w:rsidRPr="00F961FF">
        <w:rPr>
          <w:color w:val="000000" w:themeColor="text1"/>
        </w:rPr>
        <w:t xml:space="preserve">Smith, C. F., G. Finn, J. Stewart, M. Atkinson, D. Davies, R. </w:t>
      </w:r>
      <w:proofErr w:type="spellStart"/>
      <w:r w:rsidRPr="00F961FF">
        <w:rPr>
          <w:color w:val="000000" w:themeColor="text1"/>
        </w:rPr>
        <w:t>Dyball</w:t>
      </w:r>
      <w:proofErr w:type="spellEnd"/>
      <w:r w:rsidRPr="00F961FF">
        <w:rPr>
          <w:color w:val="000000" w:themeColor="text1"/>
        </w:rPr>
        <w:t>, J. Morris,</w:t>
      </w:r>
      <w:r w:rsidR="00B81516" w:rsidRPr="00F961FF">
        <w:rPr>
          <w:color w:val="000000" w:themeColor="text1"/>
        </w:rPr>
        <w:t xml:space="preserve"> C. </w:t>
      </w:r>
      <w:proofErr w:type="spellStart"/>
      <w:r w:rsidR="00B81516" w:rsidRPr="00F961FF">
        <w:rPr>
          <w:color w:val="000000" w:themeColor="text1"/>
        </w:rPr>
        <w:t>Ockleford</w:t>
      </w:r>
      <w:proofErr w:type="spellEnd"/>
      <w:r w:rsidR="00B81516" w:rsidRPr="00F961FF">
        <w:rPr>
          <w:color w:val="000000" w:themeColor="text1"/>
        </w:rPr>
        <w:t xml:space="preserve">, I. </w:t>
      </w:r>
      <w:proofErr w:type="spellStart"/>
      <w:r w:rsidR="00B81516" w:rsidRPr="00F961FF">
        <w:rPr>
          <w:color w:val="000000" w:themeColor="text1"/>
        </w:rPr>
        <w:t>Parkin</w:t>
      </w:r>
      <w:proofErr w:type="spellEnd"/>
      <w:r w:rsidR="00B81516" w:rsidRPr="00F961FF">
        <w:rPr>
          <w:color w:val="000000" w:themeColor="text1"/>
        </w:rPr>
        <w:t xml:space="preserve">, </w:t>
      </w:r>
      <w:proofErr w:type="spellStart"/>
      <w:r w:rsidRPr="00F961FF">
        <w:rPr>
          <w:color w:val="000000" w:themeColor="text1"/>
        </w:rPr>
        <w:t>Standring</w:t>
      </w:r>
      <w:proofErr w:type="spellEnd"/>
      <w:r w:rsidR="00B81516" w:rsidRPr="00F961FF">
        <w:rPr>
          <w:color w:val="000000" w:themeColor="text1"/>
        </w:rPr>
        <w:t xml:space="preserve"> Whiten S., Wilton J., </w:t>
      </w:r>
      <w:proofErr w:type="spellStart"/>
      <w:r w:rsidR="00B81516" w:rsidRPr="00F961FF">
        <w:rPr>
          <w:color w:val="000000" w:themeColor="text1"/>
        </w:rPr>
        <w:t>McHanwell</w:t>
      </w:r>
      <w:proofErr w:type="spellEnd"/>
      <w:r w:rsidR="00B81516" w:rsidRPr="00F961FF">
        <w:rPr>
          <w:color w:val="000000" w:themeColor="text1"/>
        </w:rPr>
        <w:t xml:space="preserve"> S. </w:t>
      </w:r>
      <w:r w:rsidRPr="00F961FF">
        <w:rPr>
          <w:color w:val="000000" w:themeColor="text1"/>
        </w:rPr>
        <w:t xml:space="preserve"> (2016). "The Anatomical Society core regional anatomy syllabus for undergraduate medicine." Journal of anatomy 228(1): 15-23. (Smith 2016a) </w:t>
      </w:r>
    </w:p>
    <w:p w14:paraId="2A46ADDC" w14:textId="77777777" w:rsidR="00CA7052" w:rsidRPr="00F961FF" w:rsidRDefault="00CA7052" w:rsidP="00CA7052">
      <w:pPr>
        <w:jc w:val="both"/>
        <w:rPr>
          <w:color w:val="000000" w:themeColor="text1"/>
        </w:rPr>
      </w:pPr>
    </w:p>
    <w:p w14:paraId="74889208" w14:textId="77777777" w:rsidR="00CA7052" w:rsidRPr="00F961FF" w:rsidRDefault="00CA7052" w:rsidP="00CA7052">
      <w:pPr>
        <w:jc w:val="both"/>
        <w:rPr>
          <w:color w:val="000000" w:themeColor="text1"/>
        </w:rPr>
      </w:pPr>
      <w:r w:rsidRPr="00F961FF">
        <w:rPr>
          <w:color w:val="000000" w:themeColor="text1"/>
        </w:rPr>
        <w:t xml:space="preserve">Smith, C., G. Finn, J. Stewart and S. </w:t>
      </w:r>
      <w:proofErr w:type="spellStart"/>
      <w:r w:rsidRPr="00F961FF">
        <w:rPr>
          <w:color w:val="000000" w:themeColor="text1"/>
        </w:rPr>
        <w:t>McHanwell</w:t>
      </w:r>
      <w:proofErr w:type="spellEnd"/>
      <w:r w:rsidRPr="00F961FF">
        <w:rPr>
          <w:color w:val="000000" w:themeColor="text1"/>
        </w:rPr>
        <w:t xml:space="preserve"> (2016). "Anatomical Society core regional anatomy syllabus for undergraduate medicine: the Delphi process." Journal of anatomy 228(1): 2-14. (Smith 2016b) </w:t>
      </w:r>
    </w:p>
    <w:p w14:paraId="36573731" w14:textId="77777777" w:rsidR="00CA7052" w:rsidRPr="00F961FF" w:rsidRDefault="00CA7052" w:rsidP="00CA7052">
      <w:pPr>
        <w:jc w:val="both"/>
        <w:rPr>
          <w:color w:val="000000" w:themeColor="text1"/>
        </w:rPr>
      </w:pPr>
    </w:p>
    <w:p w14:paraId="4AED170F" w14:textId="77777777" w:rsidR="00CA7052" w:rsidRPr="00DF257B" w:rsidRDefault="00CA7052" w:rsidP="00CA7052">
      <w:pPr>
        <w:jc w:val="both"/>
        <w:rPr>
          <w:color w:val="000000" w:themeColor="text1"/>
        </w:rPr>
      </w:pPr>
      <w:r w:rsidRPr="00F961FF">
        <w:rPr>
          <w:color w:val="000000" w:themeColor="text1"/>
        </w:rPr>
        <w:t xml:space="preserve">Tubbs, R. S., E. P. Sorenson, A. Sharma, B. </w:t>
      </w:r>
      <w:proofErr w:type="spellStart"/>
      <w:r w:rsidRPr="00F961FF">
        <w:rPr>
          <w:color w:val="000000" w:themeColor="text1"/>
        </w:rPr>
        <w:t>Benninger</w:t>
      </w:r>
      <w:proofErr w:type="spellEnd"/>
      <w:r w:rsidRPr="00F961FF">
        <w:rPr>
          <w:color w:val="000000" w:themeColor="text1"/>
        </w:rPr>
        <w:t xml:space="preserve">, N. Norton, M. </w:t>
      </w:r>
      <w:proofErr w:type="spellStart"/>
      <w:r w:rsidRPr="00F961FF">
        <w:rPr>
          <w:color w:val="000000" w:themeColor="text1"/>
        </w:rPr>
        <w:t>Loukas</w:t>
      </w:r>
      <w:proofErr w:type="spellEnd"/>
      <w:r w:rsidRPr="00F961FF">
        <w:rPr>
          <w:color w:val="000000" w:themeColor="text1"/>
        </w:rPr>
        <w:t xml:space="preserve"> and B. J. </w:t>
      </w:r>
      <w:proofErr w:type="spellStart"/>
      <w:r w:rsidRPr="00F961FF">
        <w:rPr>
          <w:color w:val="000000" w:themeColor="text1"/>
        </w:rPr>
        <w:t>Moxham</w:t>
      </w:r>
      <w:proofErr w:type="spellEnd"/>
      <w:r w:rsidRPr="00F961FF">
        <w:rPr>
          <w:color w:val="000000" w:themeColor="text1"/>
        </w:rPr>
        <w:t xml:space="preserve"> (2014). "The development of a core syllabus for the teaching of head and neck anatomy to medical students." Clinical Anatomy 27(3): 321-330.</w:t>
      </w:r>
    </w:p>
    <w:p w14:paraId="049A8680" w14:textId="77777777" w:rsidR="00400E99" w:rsidRPr="00DF257B" w:rsidRDefault="00400E99" w:rsidP="00CA5D88">
      <w:pPr>
        <w:jc w:val="both"/>
        <w:rPr>
          <w:color w:val="000000" w:themeColor="text1"/>
        </w:rPr>
      </w:pPr>
    </w:p>
    <w:sectPr w:rsidR="00400E99" w:rsidRPr="00DF257B" w:rsidSect="00361B99">
      <w:pgSz w:w="11900" w:h="16840"/>
      <w:pgMar w:top="1440" w:right="1440" w:bottom="1440" w:left="144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S Truman">
    <w:altName w:val="Calibri"/>
    <w:panose1 w:val="00000000000000000000"/>
    <w:charset w:val="00"/>
    <w:family w:val="swiss"/>
    <w:notTrueType/>
    <w:pitch w:val="default"/>
    <w:sig w:usb0="00000003" w:usb1="00000000" w:usb2="00000000" w:usb3="00000000" w:csb0="00000001" w:csb1="00000000"/>
  </w:font>
  <w:font w:name="FS Truman Light">
    <w:altName w:val="Calibri"/>
    <w:panose1 w:val="00000000000000000000"/>
    <w:charset w:val="00"/>
    <w:family w:val="swiss"/>
    <w:notTrueType/>
    <w:pitch w:val="default"/>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692C"/>
    <w:multiLevelType w:val="hybridMultilevel"/>
    <w:tmpl w:val="8508EDB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2279E"/>
    <w:multiLevelType w:val="hybridMultilevel"/>
    <w:tmpl w:val="8508EDB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F7FAF"/>
    <w:rsid w:val="00001D14"/>
    <w:rsid w:val="00003211"/>
    <w:rsid w:val="00010671"/>
    <w:rsid w:val="00013E49"/>
    <w:rsid w:val="00016A23"/>
    <w:rsid w:val="00023F54"/>
    <w:rsid w:val="00060B23"/>
    <w:rsid w:val="00081ABF"/>
    <w:rsid w:val="00091DDA"/>
    <w:rsid w:val="000A4944"/>
    <w:rsid w:val="000B0B3D"/>
    <w:rsid w:val="000D3EBF"/>
    <w:rsid w:val="000E4ECF"/>
    <w:rsid w:val="001003F7"/>
    <w:rsid w:val="0010213D"/>
    <w:rsid w:val="00113946"/>
    <w:rsid w:val="00124E69"/>
    <w:rsid w:val="0013567B"/>
    <w:rsid w:val="0013635A"/>
    <w:rsid w:val="0014394C"/>
    <w:rsid w:val="00144CCE"/>
    <w:rsid w:val="00153853"/>
    <w:rsid w:val="001552AE"/>
    <w:rsid w:val="0017414B"/>
    <w:rsid w:val="001A68A0"/>
    <w:rsid w:val="001B6314"/>
    <w:rsid w:val="001E1EDB"/>
    <w:rsid w:val="001E276A"/>
    <w:rsid w:val="001E516A"/>
    <w:rsid w:val="00224C38"/>
    <w:rsid w:val="002474AB"/>
    <w:rsid w:val="002525B6"/>
    <w:rsid w:val="002A0232"/>
    <w:rsid w:val="002C7134"/>
    <w:rsid w:val="002D2DB1"/>
    <w:rsid w:val="002E7479"/>
    <w:rsid w:val="00310AAD"/>
    <w:rsid w:val="003139E5"/>
    <w:rsid w:val="00315B83"/>
    <w:rsid w:val="0032522B"/>
    <w:rsid w:val="00357BCE"/>
    <w:rsid w:val="00361B99"/>
    <w:rsid w:val="00370CAA"/>
    <w:rsid w:val="00391BDD"/>
    <w:rsid w:val="003A4418"/>
    <w:rsid w:val="003C5F15"/>
    <w:rsid w:val="003E14CC"/>
    <w:rsid w:val="00400E99"/>
    <w:rsid w:val="0040332D"/>
    <w:rsid w:val="004243BC"/>
    <w:rsid w:val="004431BD"/>
    <w:rsid w:val="0044360F"/>
    <w:rsid w:val="00464820"/>
    <w:rsid w:val="00465256"/>
    <w:rsid w:val="00474117"/>
    <w:rsid w:val="004B0B3E"/>
    <w:rsid w:val="004E0CF2"/>
    <w:rsid w:val="004E2233"/>
    <w:rsid w:val="004F045B"/>
    <w:rsid w:val="00511860"/>
    <w:rsid w:val="00513718"/>
    <w:rsid w:val="00527DAB"/>
    <w:rsid w:val="00531E5E"/>
    <w:rsid w:val="005322D0"/>
    <w:rsid w:val="0054291C"/>
    <w:rsid w:val="00574EE5"/>
    <w:rsid w:val="005C68DA"/>
    <w:rsid w:val="005E261F"/>
    <w:rsid w:val="00600A5F"/>
    <w:rsid w:val="006148F5"/>
    <w:rsid w:val="006317CA"/>
    <w:rsid w:val="00635D94"/>
    <w:rsid w:val="0065391C"/>
    <w:rsid w:val="00666DB5"/>
    <w:rsid w:val="006813AC"/>
    <w:rsid w:val="00692728"/>
    <w:rsid w:val="006A3282"/>
    <w:rsid w:val="006A4580"/>
    <w:rsid w:val="006B3355"/>
    <w:rsid w:val="006B7B83"/>
    <w:rsid w:val="006C7B18"/>
    <w:rsid w:val="006D6399"/>
    <w:rsid w:val="006E636C"/>
    <w:rsid w:val="006F7FAF"/>
    <w:rsid w:val="00701157"/>
    <w:rsid w:val="007077A8"/>
    <w:rsid w:val="00721C51"/>
    <w:rsid w:val="00760DCE"/>
    <w:rsid w:val="0078559D"/>
    <w:rsid w:val="007A290E"/>
    <w:rsid w:val="007A6F4F"/>
    <w:rsid w:val="007E013E"/>
    <w:rsid w:val="007E4B80"/>
    <w:rsid w:val="007E6773"/>
    <w:rsid w:val="007F02AA"/>
    <w:rsid w:val="0081376E"/>
    <w:rsid w:val="0083638E"/>
    <w:rsid w:val="008416BC"/>
    <w:rsid w:val="0086540C"/>
    <w:rsid w:val="008667F7"/>
    <w:rsid w:val="008B0EAE"/>
    <w:rsid w:val="008B6BA9"/>
    <w:rsid w:val="008F6BB0"/>
    <w:rsid w:val="008F7CEA"/>
    <w:rsid w:val="00900182"/>
    <w:rsid w:val="0091621A"/>
    <w:rsid w:val="00925298"/>
    <w:rsid w:val="00945A17"/>
    <w:rsid w:val="009612A8"/>
    <w:rsid w:val="00967D1B"/>
    <w:rsid w:val="009A4454"/>
    <w:rsid w:val="009C2E9A"/>
    <w:rsid w:val="00A051DA"/>
    <w:rsid w:val="00A152EC"/>
    <w:rsid w:val="00A35ABA"/>
    <w:rsid w:val="00A469AF"/>
    <w:rsid w:val="00A91E4C"/>
    <w:rsid w:val="00AA3C93"/>
    <w:rsid w:val="00AE01C2"/>
    <w:rsid w:val="00AF1871"/>
    <w:rsid w:val="00B0434D"/>
    <w:rsid w:val="00B21F5F"/>
    <w:rsid w:val="00B225FD"/>
    <w:rsid w:val="00B25F7C"/>
    <w:rsid w:val="00B367BA"/>
    <w:rsid w:val="00B37675"/>
    <w:rsid w:val="00B56890"/>
    <w:rsid w:val="00B726EF"/>
    <w:rsid w:val="00B74B3E"/>
    <w:rsid w:val="00B8052F"/>
    <w:rsid w:val="00B81516"/>
    <w:rsid w:val="00B908FC"/>
    <w:rsid w:val="00BE52E5"/>
    <w:rsid w:val="00BF3348"/>
    <w:rsid w:val="00BF5726"/>
    <w:rsid w:val="00C1350E"/>
    <w:rsid w:val="00C335F4"/>
    <w:rsid w:val="00C34F6F"/>
    <w:rsid w:val="00C36F39"/>
    <w:rsid w:val="00C41E36"/>
    <w:rsid w:val="00CA5D88"/>
    <w:rsid w:val="00CA5F3A"/>
    <w:rsid w:val="00CA7052"/>
    <w:rsid w:val="00D01890"/>
    <w:rsid w:val="00D22173"/>
    <w:rsid w:val="00D43FE0"/>
    <w:rsid w:val="00D538BE"/>
    <w:rsid w:val="00D867FD"/>
    <w:rsid w:val="00D9625B"/>
    <w:rsid w:val="00DB416F"/>
    <w:rsid w:val="00DB43B1"/>
    <w:rsid w:val="00DB68D6"/>
    <w:rsid w:val="00DF257B"/>
    <w:rsid w:val="00E060EB"/>
    <w:rsid w:val="00E07F8B"/>
    <w:rsid w:val="00E208A5"/>
    <w:rsid w:val="00E222C8"/>
    <w:rsid w:val="00E3358D"/>
    <w:rsid w:val="00E60902"/>
    <w:rsid w:val="00E73030"/>
    <w:rsid w:val="00E73D70"/>
    <w:rsid w:val="00E90FFD"/>
    <w:rsid w:val="00EA488B"/>
    <w:rsid w:val="00EA6DB4"/>
    <w:rsid w:val="00EA74F4"/>
    <w:rsid w:val="00EC0BBD"/>
    <w:rsid w:val="00EC0E5E"/>
    <w:rsid w:val="00EE462B"/>
    <w:rsid w:val="00EF0711"/>
    <w:rsid w:val="00EF7139"/>
    <w:rsid w:val="00F16C00"/>
    <w:rsid w:val="00F17E43"/>
    <w:rsid w:val="00F24981"/>
    <w:rsid w:val="00F25931"/>
    <w:rsid w:val="00F2749B"/>
    <w:rsid w:val="00F44C26"/>
    <w:rsid w:val="00F4613F"/>
    <w:rsid w:val="00F8467D"/>
    <w:rsid w:val="00F853F7"/>
    <w:rsid w:val="00F94CEA"/>
    <w:rsid w:val="00F961FF"/>
    <w:rsid w:val="00F962FB"/>
    <w:rsid w:val="00FA379E"/>
    <w:rsid w:val="00FB0A25"/>
    <w:rsid w:val="00FD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77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1552AE"/>
    <w:pPr>
      <w:jc w:val="center"/>
    </w:pPr>
    <w:rPr>
      <w:rFonts w:ascii="Calibri" w:hAnsi="Calibri"/>
    </w:rPr>
  </w:style>
  <w:style w:type="paragraph" w:customStyle="1" w:styleId="EndNoteBibliography">
    <w:name w:val="EndNote Bibliography"/>
    <w:basedOn w:val="Normal"/>
    <w:rsid w:val="001552AE"/>
    <w:rPr>
      <w:rFonts w:ascii="Calibri" w:hAnsi="Calibri"/>
    </w:rPr>
  </w:style>
  <w:style w:type="paragraph" w:styleId="ListParagraph">
    <w:name w:val="List Paragraph"/>
    <w:basedOn w:val="Normal"/>
    <w:uiPriority w:val="34"/>
    <w:qFormat/>
    <w:rsid w:val="00A469AF"/>
    <w:pPr>
      <w:spacing w:line="276" w:lineRule="auto"/>
      <w:ind w:left="720"/>
      <w:contextualSpacing/>
    </w:pPr>
    <w:rPr>
      <w:rFonts w:ascii="Arial" w:eastAsia="Arial" w:hAnsi="Arial" w:cs="Arial"/>
      <w:color w:val="000000"/>
      <w:sz w:val="22"/>
      <w:szCs w:val="22"/>
    </w:rPr>
  </w:style>
  <w:style w:type="paragraph" w:customStyle="1" w:styleId="Default">
    <w:name w:val="Default"/>
    <w:rsid w:val="00FA379E"/>
    <w:pPr>
      <w:widowControl w:val="0"/>
      <w:autoSpaceDE w:val="0"/>
      <w:autoSpaceDN w:val="0"/>
      <w:adjustRightInd w:val="0"/>
    </w:pPr>
    <w:rPr>
      <w:rFonts w:ascii="FS Truman" w:hAnsi="FS Truman" w:cs="FS Truman"/>
      <w:color w:val="000000"/>
    </w:rPr>
  </w:style>
  <w:style w:type="paragraph" w:customStyle="1" w:styleId="Pa2">
    <w:name w:val="Pa2"/>
    <w:basedOn w:val="Default"/>
    <w:next w:val="Default"/>
    <w:uiPriority w:val="99"/>
    <w:rsid w:val="00FA379E"/>
    <w:pPr>
      <w:spacing w:line="241" w:lineRule="atLeast"/>
    </w:pPr>
    <w:rPr>
      <w:rFonts w:cstheme="minorBidi"/>
      <w:color w:val="auto"/>
    </w:rPr>
  </w:style>
  <w:style w:type="character" w:customStyle="1" w:styleId="A7">
    <w:name w:val="A7"/>
    <w:uiPriority w:val="99"/>
    <w:rsid w:val="00FA379E"/>
    <w:rPr>
      <w:rFonts w:cs="FS Truman"/>
      <w:b/>
      <w:bCs/>
      <w:color w:val="000000"/>
      <w:sz w:val="18"/>
      <w:szCs w:val="18"/>
    </w:rPr>
  </w:style>
  <w:style w:type="character" w:customStyle="1" w:styleId="A2">
    <w:name w:val="A2"/>
    <w:uiPriority w:val="99"/>
    <w:rsid w:val="00FA379E"/>
    <w:rPr>
      <w:rFonts w:ascii="FS Truman Light" w:hAnsi="FS Truman Light" w:cs="FS Truman Light"/>
      <w:color w:val="000000"/>
      <w:sz w:val="16"/>
      <w:szCs w:val="16"/>
    </w:rPr>
  </w:style>
  <w:style w:type="table" w:styleId="TableGrid">
    <w:name w:val="Table Grid"/>
    <w:basedOn w:val="TableNormal"/>
    <w:uiPriority w:val="39"/>
    <w:rsid w:val="009612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21F5F"/>
    <w:rPr>
      <w:sz w:val="16"/>
      <w:szCs w:val="16"/>
    </w:rPr>
  </w:style>
  <w:style w:type="paragraph" w:styleId="CommentText">
    <w:name w:val="annotation text"/>
    <w:basedOn w:val="Normal"/>
    <w:link w:val="CommentTextChar"/>
    <w:uiPriority w:val="99"/>
    <w:semiHidden/>
    <w:unhideWhenUsed/>
    <w:rsid w:val="00B21F5F"/>
    <w:rPr>
      <w:sz w:val="20"/>
      <w:szCs w:val="20"/>
    </w:rPr>
  </w:style>
  <w:style w:type="character" w:customStyle="1" w:styleId="CommentTextChar">
    <w:name w:val="Comment Text Char"/>
    <w:basedOn w:val="DefaultParagraphFont"/>
    <w:link w:val="CommentText"/>
    <w:uiPriority w:val="99"/>
    <w:semiHidden/>
    <w:rsid w:val="00B21F5F"/>
    <w:rPr>
      <w:sz w:val="20"/>
      <w:szCs w:val="20"/>
    </w:rPr>
  </w:style>
  <w:style w:type="paragraph" w:styleId="CommentSubject">
    <w:name w:val="annotation subject"/>
    <w:basedOn w:val="CommentText"/>
    <w:next w:val="CommentText"/>
    <w:link w:val="CommentSubjectChar"/>
    <w:uiPriority w:val="99"/>
    <w:semiHidden/>
    <w:unhideWhenUsed/>
    <w:rsid w:val="00B21F5F"/>
    <w:rPr>
      <w:b/>
      <w:bCs/>
    </w:rPr>
  </w:style>
  <w:style w:type="character" w:customStyle="1" w:styleId="CommentSubjectChar">
    <w:name w:val="Comment Subject Char"/>
    <w:basedOn w:val="CommentTextChar"/>
    <w:link w:val="CommentSubject"/>
    <w:uiPriority w:val="99"/>
    <w:semiHidden/>
    <w:rsid w:val="00B21F5F"/>
    <w:rPr>
      <w:b/>
      <w:bCs/>
      <w:sz w:val="20"/>
      <w:szCs w:val="20"/>
    </w:rPr>
  </w:style>
  <w:style w:type="paragraph" w:styleId="BalloonText">
    <w:name w:val="Balloon Text"/>
    <w:basedOn w:val="Normal"/>
    <w:link w:val="BalloonTextChar"/>
    <w:uiPriority w:val="99"/>
    <w:semiHidden/>
    <w:unhideWhenUsed/>
    <w:rsid w:val="00B21F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F5F"/>
    <w:rPr>
      <w:rFonts w:ascii="Segoe UI" w:hAnsi="Segoe UI" w:cs="Segoe UI"/>
      <w:sz w:val="18"/>
      <w:szCs w:val="18"/>
    </w:rPr>
  </w:style>
  <w:style w:type="character" w:styleId="Hyperlink">
    <w:name w:val="Hyperlink"/>
    <w:basedOn w:val="DefaultParagraphFont"/>
    <w:uiPriority w:val="99"/>
    <w:unhideWhenUsed/>
    <w:rsid w:val="004431BD"/>
    <w:rPr>
      <w:color w:val="0563C1" w:themeColor="hyperlink"/>
      <w:u w:val="single"/>
    </w:rPr>
  </w:style>
  <w:style w:type="character" w:styleId="LineNumber">
    <w:name w:val="line number"/>
    <w:basedOn w:val="DefaultParagraphFont"/>
    <w:uiPriority w:val="99"/>
    <w:semiHidden/>
    <w:unhideWhenUsed/>
    <w:rsid w:val="00361B99"/>
  </w:style>
  <w:style w:type="character" w:styleId="Emphasis">
    <w:name w:val="Emphasis"/>
    <w:basedOn w:val="DefaultParagraphFont"/>
    <w:uiPriority w:val="20"/>
    <w:qFormat/>
    <w:rsid w:val="002E7479"/>
    <w:rPr>
      <w:i/>
      <w:iCs/>
    </w:rPr>
  </w:style>
  <w:style w:type="paragraph" w:customStyle="1" w:styleId="p1">
    <w:name w:val="p1"/>
    <w:basedOn w:val="Normal"/>
    <w:rsid w:val="00FB0A25"/>
    <w:rPr>
      <w:rFonts w:ascii="Helvetica" w:hAnsi="Helvetica" w:cs="Times New Roman"/>
      <w:sz w:val="18"/>
      <w:szCs w:val="18"/>
    </w:rPr>
  </w:style>
  <w:style w:type="character" w:customStyle="1" w:styleId="s1">
    <w:name w:val="s1"/>
    <w:basedOn w:val="DefaultParagraphFont"/>
    <w:rsid w:val="00FB0A25"/>
    <w:rPr>
      <w:rFonts w:ascii="Helvetica" w:hAnsi="Helvetica" w:hint="default"/>
      <w:sz w:val="12"/>
      <w:szCs w:val="12"/>
    </w:rPr>
  </w:style>
  <w:style w:type="paragraph" w:customStyle="1" w:styleId="p2">
    <w:name w:val="p2"/>
    <w:basedOn w:val="Normal"/>
    <w:rsid w:val="00B81516"/>
    <w:rPr>
      <w:rFonts w:ascii="Helvetica" w:hAnsi="Helvetica" w:cs="Times New Roman"/>
      <w:sz w:val="15"/>
      <w:szCs w:val="15"/>
    </w:rPr>
  </w:style>
  <w:style w:type="paragraph" w:customStyle="1" w:styleId="p3">
    <w:name w:val="p3"/>
    <w:basedOn w:val="Normal"/>
    <w:rsid w:val="00B81516"/>
    <w:rPr>
      <w:rFonts w:ascii="Helvetica" w:hAnsi="Helvetica" w:cs="Times New Roman"/>
      <w:color w:val="DEF5FF"/>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73845">
      <w:bodyDiv w:val="1"/>
      <w:marLeft w:val="0"/>
      <w:marRight w:val="0"/>
      <w:marTop w:val="0"/>
      <w:marBottom w:val="0"/>
      <w:divBdr>
        <w:top w:val="none" w:sz="0" w:space="0" w:color="auto"/>
        <w:left w:val="none" w:sz="0" w:space="0" w:color="auto"/>
        <w:bottom w:val="none" w:sz="0" w:space="0" w:color="auto"/>
        <w:right w:val="none" w:sz="0" w:space="0" w:color="auto"/>
      </w:divBdr>
    </w:div>
    <w:div w:id="1395079002">
      <w:bodyDiv w:val="1"/>
      <w:marLeft w:val="0"/>
      <w:marRight w:val="0"/>
      <w:marTop w:val="0"/>
      <w:marBottom w:val="0"/>
      <w:divBdr>
        <w:top w:val="none" w:sz="0" w:space="0" w:color="auto"/>
        <w:left w:val="none" w:sz="0" w:space="0" w:color="auto"/>
        <w:bottom w:val="none" w:sz="0" w:space="0" w:color="auto"/>
        <w:right w:val="none" w:sz="0" w:space="0" w:color="auto"/>
      </w:divBdr>
    </w:div>
    <w:div w:id="1443764224">
      <w:bodyDiv w:val="1"/>
      <w:marLeft w:val="0"/>
      <w:marRight w:val="0"/>
      <w:marTop w:val="0"/>
      <w:marBottom w:val="0"/>
      <w:divBdr>
        <w:top w:val="none" w:sz="0" w:space="0" w:color="auto"/>
        <w:left w:val="none" w:sz="0" w:space="0" w:color="auto"/>
        <w:bottom w:val="none" w:sz="0" w:space="0" w:color="auto"/>
        <w:right w:val="none" w:sz="0" w:space="0" w:color="auto"/>
      </w:divBdr>
    </w:div>
    <w:div w:id="1770158575">
      <w:bodyDiv w:val="1"/>
      <w:marLeft w:val="0"/>
      <w:marRight w:val="0"/>
      <w:marTop w:val="0"/>
      <w:marBottom w:val="0"/>
      <w:divBdr>
        <w:top w:val="none" w:sz="0" w:space="0" w:color="auto"/>
        <w:left w:val="none" w:sz="0" w:space="0" w:color="auto"/>
        <w:bottom w:val="none" w:sz="0" w:space="0" w:color="auto"/>
        <w:right w:val="none" w:sz="0" w:space="0" w:color="auto"/>
      </w:divBdr>
    </w:div>
    <w:div w:id="1963806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ngland.nhs.uk/blog/keith-ridge-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5681</Words>
  <Characters>32383</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
  <Company>University of Sussex</Company>
  <LinksUpToDate>false</LinksUpToDate>
  <CharactersWithSpaces>37989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Finn</dc:creator>
  <cp:keywords/>
  <dc:description/>
  <cp:lastModifiedBy>Gabrielle Finn</cp:lastModifiedBy>
  <cp:revision>2</cp:revision>
  <dcterms:created xsi:type="dcterms:W3CDTF">2018-01-10T22:01:00Z</dcterms:created>
  <dcterms:modified xsi:type="dcterms:W3CDTF">2018-01-10T22:01:00Z</dcterms:modified>
  <cp:category/>
</cp:coreProperties>
</file>