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DFB96" w14:textId="1256FF1E" w:rsidR="00A66EDD" w:rsidRPr="00DD1EEC" w:rsidRDefault="00C21CCA" w:rsidP="003107F3">
      <w:pPr>
        <w:pStyle w:val="BATitle"/>
      </w:pPr>
      <w:r>
        <w:t>Optimiz</w:t>
      </w:r>
      <w:r w:rsidR="003B441D" w:rsidRPr="003B441D">
        <w:t>ation of Amidation Reactions using Predictive Tools for the Replacement of Regulat</w:t>
      </w:r>
      <w:r w:rsidR="00346D79">
        <w:t>ed S</w:t>
      </w:r>
      <w:r w:rsidR="00701619">
        <w:t>olvents with Safer Bio-based</w:t>
      </w:r>
      <w:r w:rsidR="00346D79">
        <w:t xml:space="preserve"> Alterna</w:t>
      </w:r>
      <w:r w:rsidR="003B441D" w:rsidRPr="003B441D">
        <w:t>tives</w:t>
      </w:r>
    </w:p>
    <w:p w14:paraId="0A6988E1" w14:textId="68E70309" w:rsidR="00A66EDD" w:rsidRPr="00DD1EEC" w:rsidRDefault="003B441D" w:rsidP="003E4947">
      <w:pPr>
        <w:pStyle w:val="BBAuthorName"/>
      </w:pPr>
      <w:r w:rsidRPr="003B441D">
        <w:t>Tabitha H. M. Petchey, James W. Comerford, Thomas J. Farmer*, Dunca</w:t>
      </w:r>
      <w:r w:rsidR="003E4947">
        <w:t>n J. Macquarrie, James Sher</w:t>
      </w:r>
      <w:r w:rsidR="00162A61">
        <w:t>wood and</w:t>
      </w:r>
      <w:r w:rsidRPr="003B441D">
        <w:t xml:space="preserve"> James H. Clark </w:t>
      </w:r>
    </w:p>
    <w:p w14:paraId="0DB4DBFC" w14:textId="4E8ED28C" w:rsidR="00A66EDD" w:rsidRDefault="00A15411" w:rsidP="00835CBD">
      <w:pPr>
        <w:pStyle w:val="BCAuthorAddress"/>
      </w:pPr>
      <w:r w:rsidRPr="00C44681">
        <w:t>*thomas.farmer@york.ac.uk</w:t>
      </w:r>
      <w:r w:rsidRPr="00F339C8">
        <w:t>,</w:t>
      </w:r>
      <w:r>
        <w:t xml:space="preserve"> </w:t>
      </w:r>
      <w:r w:rsidR="003B441D" w:rsidRPr="003B441D">
        <w:t xml:space="preserve">Green Chemistry </w:t>
      </w:r>
      <w:r w:rsidR="003B441D">
        <w:t>Centre of Excellence, Dept.</w:t>
      </w:r>
      <w:r w:rsidR="003B441D" w:rsidRPr="003B441D">
        <w:t xml:space="preserve"> of Chemistry, University of York, Heslington, York, YO10 5DD, UK</w:t>
      </w:r>
    </w:p>
    <w:p w14:paraId="0F557ED4" w14:textId="13FDD774" w:rsidR="00B5291B" w:rsidRPr="00B5291B" w:rsidRDefault="00B5291B" w:rsidP="00B5291B">
      <w:pPr>
        <w:pStyle w:val="BHBriefs"/>
        <w:sectPr w:rsidR="00B5291B" w:rsidRPr="00B5291B" w:rsidSect="00B63339">
          <w:footerReference w:type="even" r:id="rId8"/>
          <w:footerReference w:type="default" r:id="rId9"/>
          <w:type w:val="continuous"/>
          <w:pgSz w:w="12240" w:h="15840" w:code="1"/>
          <w:pgMar w:top="720" w:right="1094" w:bottom="950" w:left="1094" w:header="720" w:footer="720" w:gutter="0"/>
          <w:cols w:space="720"/>
          <w:titlePg/>
        </w:sectPr>
      </w:pPr>
    </w:p>
    <w:p w14:paraId="0BEDFB8D" w14:textId="6BCFB5EE" w:rsidR="00552A07" w:rsidRPr="0049609B" w:rsidRDefault="00552A07" w:rsidP="0049609B">
      <w:pPr>
        <w:pStyle w:val="AFTitleRunningHead"/>
        <w:rPr>
          <w:rFonts w:ascii="Times New Roman" w:hAnsi="Times New Roman"/>
          <w:szCs w:val="24"/>
        </w:rPr>
      </w:pPr>
      <w:r w:rsidRPr="0049609B">
        <w:rPr>
          <w:rStyle w:val="BDAbstractTitleChar"/>
          <w:rFonts w:ascii="Times New Roman" w:hAnsi="Times New Roman"/>
          <w:b w:val="0"/>
          <w:sz w:val="24"/>
          <w:szCs w:val="24"/>
        </w:rPr>
        <w:t>ABSTRACT</w:t>
      </w:r>
      <w:r w:rsidR="006532A9" w:rsidRPr="0049609B">
        <w:rPr>
          <w:rStyle w:val="BDAbstractTitleChar"/>
          <w:rFonts w:ascii="Times New Roman" w:hAnsi="Times New Roman"/>
          <w:b w:val="0"/>
          <w:sz w:val="24"/>
          <w:szCs w:val="24"/>
        </w:rPr>
        <w:t>:</w:t>
      </w:r>
      <w:r w:rsidRPr="0049609B">
        <w:rPr>
          <w:rFonts w:ascii="Times New Roman" w:hAnsi="Times New Roman"/>
          <w:szCs w:val="24"/>
        </w:rPr>
        <w:t xml:space="preserve"> </w:t>
      </w:r>
      <w:r w:rsidR="003B441D" w:rsidRPr="0049609B">
        <w:rPr>
          <w:rFonts w:ascii="Times New Roman" w:hAnsi="Times New Roman"/>
          <w:szCs w:val="24"/>
        </w:rPr>
        <w:t>Catalytic methods for the synthesis of amides are much sought after. Silica catalysts have shown promise, but yields are generally moderate and the use of toluene, a toxic and regulated solvent is required. Here, the Hansen Solu</w:t>
      </w:r>
      <w:bookmarkStart w:id="0" w:name="_GoBack"/>
      <w:bookmarkEnd w:id="0"/>
      <w:r w:rsidR="003B441D" w:rsidRPr="0049609B">
        <w:rPr>
          <w:rFonts w:ascii="Times New Roman" w:hAnsi="Times New Roman"/>
          <w:szCs w:val="24"/>
        </w:rPr>
        <w:t>bility Parameters in Practice (HSPiP) software package has been used</w:t>
      </w:r>
      <w:r w:rsidR="004F0A20" w:rsidRPr="0049609B">
        <w:rPr>
          <w:rFonts w:ascii="Times New Roman" w:hAnsi="Times New Roman"/>
          <w:szCs w:val="24"/>
        </w:rPr>
        <w:t xml:space="preserve"> along with the Yalkowsky approximation </w:t>
      </w:r>
      <w:r w:rsidR="003B441D" w:rsidRPr="0049609B">
        <w:rPr>
          <w:rFonts w:ascii="Times New Roman" w:hAnsi="Times New Roman"/>
          <w:szCs w:val="24"/>
        </w:rPr>
        <w:t xml:space="preserve">to make predictions about the solubility of a series of aliphatic and aromatic amides in less hazardous solvents. </w:t>
      </w:r>
      <w:r w:rsidR="00C21CCA" w:rsidRPr="0049609B">
        <w:rPr>
          <w:rFonts w:ascii="Times New Roman" w:hAnsi="Times New Roman"/>
          <w:szCs w:val="24"/>
        </w:rPr>
        <w:t>The conventional</w:t>
      </w:r>
      <w:r w:rsidR="003B441D" w:rsidRPr="0049609B">
        <w:rPr>
          <w:rFonts w:ascii="Times New Roman" w:hAnsi="Times New Roman"/>
          <w:szCs w:val="24"/>
        </w:rPr>
        <w:t xml:space="preserve"> solvent toluene has been modelled, along-side potential bio-derived alternatives, to find a safer and more productive reaction medium for amidation chemistry. The best candidate, 4-m</w:t>
      </w:r>
      <w:r w:rsidR="00C21CCA" w:rsidRPr="0049609B">
        <w:rPr>
          <w:rFonts w:ascii="Times New Roman" w:hAnsi="Times New Roman"/>
          <w:szCs w:val="24"/>
        </w:rPr>
        <w:t>ethylisopropylbenzene (</w:t>
      </w:r>
      <w:r w:rsidR="00C21CCA" w:rsidRPr="0049609B">
        <w:rPr>
          <w:rFonts w:ascii="Times New Roman" w:hAnsi="Times New Roman"/>
          <w:i/>
          <w:szCs w:val="24"/>
        </w:rPr>
        <w:t>p</w:t>
      </w:r>
      <w:r w:rsidR="00C21CCA" w:rsidRPr="0049609B">
        <w:rPr>
          <w:rFonts w:ascii="Times New Roman" w:hAnsi="Times New Roman"/>
          <w:szCs w:val="24"/>
        </w:rPr>
        <w:t>-cymene</w:t>
      </w:r>
      <w:r w:rsidR="003B441D" w:rsidRPr="0049609B">
        <w:rPr>
          <w:rFonts w:ascii="Times New Roman" w:hAnsi="Times New Roman"/>
          <w:szCs w:val="24"/>
        </w:rPr>
        <w:t xml:space="preserve">) was then examined experimentally against toluene in a range of silica-catalyzed reactions between carboxylic acids and amines, including both aromatic and aliphatic reactants. The increased temperatures achievable in the higher boiling </w:t>
      </w:r>
      <w:r w:rsidR="003B441D" w:rsidRPr="0049609B">
        <w:rPr>
          <w:rFonts w:ascii="Times New Roman" w:hAnsi="Times New Roman"/>
          <w:i/>
          <w:szCs w:val="24"/>
        </w:rPr>
        <w:t>p</w:t>
      </w:r>
      <w:r w:rsidR="003B441D" w:rsidRPr="0049609B">
        <w:rPr>
          <w:rFonts w:ascii="Times New Roman" w:hAnsi="Times New Roman"/>
          <w:szCs w:val="24"/>
        </w:rPr>
        <w:t>-cymene are shown to provide a significant</w:t>
      </w:r>
      <w:r w:rsidR="003502D7" w:rsidRPr="0049609B">
        <w:rPr>
          <w:rFonts w:ascii="Times New Roman" w:hAnsi="Times New Roman"/>
          <w:szCs w:val="24"/>
        </w:rPr>
        <w:t xml:space="preserve"> im</w:t>
      </w:r>
      <w:r w:rsidR="003B441D" w:rsidRPr="0049609B">
        <w:rPr>
          <w:rFonts w:ascii="Times New Roman" w:hAnsi="Times New Roman"/>
          <w:szCs w:val="24"/>
        </w:rPr>
        <w:t xml:space="preserve">provement to yields compared to toluene. The low solubility of many of the amides in cold </w:t>
      </w:r>
      <w:r w:rsidR="003B441D" w:rsidRPr="0049609B">
        <w:rPr>
          <w:rFonts w:ascii="Times New Roman" w:hAnsi="Times New Roman"/>
          <w:i/>
          <w:szCs w:val="24"/>
        </w:rPr>
        <w:t>p</w:t>
      </w:r>
      <w:r w:rsidR="003B441D" w:rsidRPr="0049609B">
        <w:rPr>
          <w:rFonts w:ascii="Times New Roman" w:hAnsi="Times New Roman"/>
          <w:szCs w:val="24"/>
        </w:rPr>
        <w:t xml:space="preserve">-cymene proves an aid to separation. In general, higher polarity amides exhibit more </w:t>
      </w:r>
      <w:r w:rsidR="003502D7" w:rsidRPr="0049609B">
        <w:rPr>
          <w:rFonts w:ascii="Times New Roman" w:hAnsi="Times New Roman"/>
          <w:szCs w:val="24"/>
        </w:rPr>
        <w:t>favorable</w:t>
      </w:r>
      <w:r w:rsidR="003B441D" w:rsidRPr="0049609B">
        <w:rPr>
          <w:rFonts w:ascii="Times New Roman" w:hAnsi="Times New Roman"/>
          <w:szCs w:val="24"/>
        </w:rPr>
        <w:t xml:space="preserve"> yields. In addition, tests run in a continuous flow system demonstrate the potential for further efficiency improvements by the recirculation of reactants.</w:t>
      </w:r>
    </w:p>
    <w:p w14:paraId="39FAB2FB" w14:textId="77777777" w:rsidR="0049609B" w:rsidRDefault="00375A72" w:rsidP="0049609B">
      <w:pPr>
        <w:pStyle w:val="AFTitleRunningHead"/>
      </w:pPr>
      <w:r>
        <w:lastRenderedPageBreak/>
        <w:t>INTRODUCTION</w:t>
      </w:r>
    </w:p>
    <w:p w14:paraId="488BA597" w14:textId="30544FA3" w:rsidR="00181473" w:rsidRDefault="00487D03" w:rsidP="004B3DCC">
      <w:pPr>
        <w:pStyle w:val="TAMainText"/>
      </w:pPr>
      <w:r>
        <w:t xml:space="preserve">Amide synthesis is one of the most prevalent </w:t>
      </w:r>
      <w:r w:rsidR="00AD6599">
        <w:t>and important convers</w:t>
      </w:r>
      <w:r>
        <w:t xml:space="preserve">ions </w:t>
      </w:r>
      <w:r w:rsidR="00AD6599">
        <w:t>in the pharmaceutical industry.</w:t>
      </w:r>
      <w:r w:rsidR="00682CC6">
        <w:fldChar w:fldCharType="begin" w:fldLock="1"/>
      </w:r>
      <w:r w:rsidR="00F068AF">
        <w:instrText>ADDIN CSL_CITATION { "citationItems" : [ { "id" : "ITEM-1", "itemData" : { "DOI" : "10.1039/b602413k", "author" : [ { "dropping-particle" : "", "family" : "Carey", "given" : "John S", "non-dropping-particle" : "", "parse-names" : false, "suffix" : "" }, { "dropping-particle" : "", "family" : "Laffan", "given" : "David", "non-dropping-particle" : "", "parse-names" : false, "suffix" : "" }, { "dropping-particle" : "", "family" : "Thomson", "given" : "Colin", "non-dropping-particle" : "", "parse-names" : false, "suffix" : "" }, { "dropping-particle" : "", "family" : "Williams", "given" : "Mike T", "non-dropping-particle" : "", "parse-names" : false, "suffix" : "" } ], "container-title" : "Org. Biomol. Chem.", "id" : "ITEM-1", "issued" : { "date-parts" : [ [ "2006" ] ] }, "page" : "2337-2347", "title" : "Analysis of the reactions used for the preparation of drug candidate molecules", "type" : "article-journal", "volume" : "4" }, "uris" : [ "http://www.mendeley.com/documents/?uuid=5eb55b0a-abc0-497b-9369-7a106ac4e8e0" ] }, { "id" : "ITEM-2", "itemData" : { "author" : [ { "dropping-particle" : "", "family" : "Roughley", "given" : "Stephen D", "non-dropping-particle" : "", "parse-names" : false, "suffix" : "" }, { "dropping-particle" : "", "family" : "Jordan", "given" : "Allan M", "non-dropping-particle" : "", "parse-names" : false, "suffix" : "" } ], "container-title" : "Journal of Medicinal Chemistry", "id" : "ITEM-2", "issued" : { "date-parts" : [ [ "2011" ] ] }, "page" : "3451-3479", "title" : "The Medicinal Chemist\u2019s Toolbox : An Analysis of Reactions Used in the Pursuit of Drug Candidates\u2020", "type" : "article-journal", "volume" : "54" }, "uris" : [ "http://www.mendeley.com/documents/?uuid=3f32fa75-36ee-4cad-a4eb-8519d849bffc" ] } ], "mendeley" : { "formattedCitation" : "&lt;sup&gt;1,2&lt;/sup&gt;", "plainTextFormattedCitation" : "1,2", "previouslyFormattedCitation" : "&lt;sup&gt;1,2&lt;/sup&gt;" }, "properties" : { "noteIndex" : 0 }, "schema" : "https://github.com/citation-style-language/schema/raw/master/csl-citation.json" }</w:instrText>
      </w:r>
      <w:r w:rsidR="00682CC6">
        <w:fldChar w:fldCharType="separate"/>
      </w:r>
      <w:r w:rsidR="00C74286" w:rsidRPr="00C74286">
        <w:rPr>
          <w:noProof/>
          <w:vertAlign w:val="superscript"/>
        </w:rPr>
        <w:t>1,2</w:t>
      </w:r>
      <w:r w:rsidR="00682CC6">
        <w:fldChar w:fldCharType="end"/>
      </w:r>
      <w:r w:rsidR="00AD6599">
        <w:t xml:space="preserve"> This class of reaction is routinely carried out using one of many known coupling agents, which have been reviewed thoroughly in the literature.</w:t>
      </w:r>
      <w:r w:rsidR="00F068AF">
        <w:fldChar w:fldCharType="begin" w:fldLock="1"/>
      </w:r>
      <w:r w:rsidR="00DB403A">
        <w:instrText>ADDIN CSL_CITATION { "citationItems" : [ { "id" : "ITEM-1", "itemData" : { "DOI" : "10.1021/op500305s", "ISSN" : "1083-6160", "author" : [ { "dropping-particle" : "", "family" : "Dunetz", "given" : "Joshua R", "non-dropping-particle" : "", "parse-names" : false, "suffix" : "" }, { "dropping-particle" : "", "family" : "Magano", "given" : "Javier", "non-dropping-particle" : "", "parse-names" : false, "suffix" : "" }, { "dropping-particle" : "", "family" : "Weisenburger", "given" : "Gerald A", "non-dropping-particle" : "", "parse-names" : false, "suffix" : "" } ], "container-title" : "Organic Process Research &amp; Development", "id" : "ITEM-1", "issue" : "2", "issued" : { "date-parts" : [ [ "2016", "2", "19" ] ] }, "page" : "140-177", "title" : "Large-Scale Applications of Amide Coupling Reagents for the Synthesis of Pharmaceuticals", "type" : "article-journal", "volume" : "20" }, "uris" : [ "http://www.mendeley.com/documents/?uuid=94267c50-bf85-416c-bf08-134ede4207eb" ] }, { "id" : "ITEM-2", "itemData" : { "DOI" : "10.1016/j.jscs.2010.12.006", "ISSN" : "1319-6103", "author" : [ { "dropping-particle" : "", "family" : "Al-warhi", "given" : "Tarfah I", "non-dropping-particle" : "", "parse-names" : false, "suffix" : "" }, { "dropping-particle" : "", "family" : "Al-Hazimi", "given" : "Hassan M.A.", "non-dropping-particle" : "", "parse-names" : false, "suffix" : "" }, { "dropping-particle" : "", "family" : "El-Faham", "given" : "Ayman", "non-dropping-particle" : "", "parse-names" : false, "suffix" : "" } ], "container-title" : "Journal of Saudi Chemical Society", "id" : "ITEM-2", "issue" : "2", "issued" : { "date-parts" : [ [ "2012" ] ] }, "page" : "97-116", "publisher" : "King Saud University", "title" : "Recent development in peptide coupling reagents", "type" : "article-journal", "volume" : "16" }, "uris" : [ "http://www.mendeley.com/documents/?uuid=11da417e-f5b7-44e7-9d77-f62848d20496" ] }, { "id" : "ITEM-3", "itemData" : { "author" : [ { "dropping-particle" : "", "family" : "El-Faham", "given" : "Ayman", "non-dropping-particle" : "", "parse-names" : false, "suffix" : "" }, { "dropping-particle" : "", "family" : "Albericio", "given" : "Fernando", "non-dropping-particle" : "", "parse-names" : false, "suffix" : "" } ], "container-title" : "Chemical Reviews", "id" : "ITEM-3", "issued" : { "date-parts" : [ [ "2011" ] ] }, "page" : "6557-6602", "title" : "Peptide Coupling Reagents , More than a Letter Soup", "type" : "article-journal", "volume" : "111" }, "uris" : [ "http://www.mendeley.com/documents/?uuid=405a7953-8885-4c79-9659-595f973eb376" ] }, { "id" : "ITEM-4", "itemData" : { "DOI" : "10.1039/b701677h", "author" : [ { "dropping-particle" : "", "family" : "Valeur", "given" : "Eric", "non-dropping-particle" : "", "parse-names" : false, "suffix" : "" }, { "dropping-particle" : "", "family" : "Bradley", "given" : "Mark", "non-dropping-particle" : "", "parse-names" : false, "suffix" : "" } ], "container-title" : "Chemical Society reviews", "id" : "ITEM-4", "issued" : { "date-parts" : [ [ "2009" ] ] }, "page" : "606-631", "title" : "Amide bond formation: beyond the myth of coupling reagents", "type" : "article-journal", "volume" : "38" }, "uris" : [ "http://www.mendeley.com/documents/?uuid=ab7dd60c-ad10-4d79-9024-1fe2ebda8b3d" ] }, { "id" : "ITEM-5", "itemData" : { "PMID" : "12399580", "author" : [ { "dropping-particle" : "", "family" : "Montalbetti", "given" : "Christian A G N", "non-dropping-particle" : "", "parse-names" : false, "suffix" : "" }, { "dropping-particle" : "", "family" : "Falque", "given" : "Virginie", "non-dropping-particle" : "", "parse-names" : false, "suffix" : "" } ], "container-title" : "Tetrahedron", "id" : "ITEM-5", "issue" : "46", "issued" : { "date-parts" : [ [ "2005" ] ] }, "page" : "10827-10852", "title" : "Amide bond formation and peptide coupling", "type" : "article", "volume" : "61" }, "uris" : [ "http://www.mendeley.com/documents/?uuid=f945bdc6-677a-410b-afd3-8f69f0e86f7f" ] }, { "id" : "ITEM-6", "itemData" : { "DOI" : "10.1016/j.tet.2004.01.020", "author" : [ { "dropping-particle" : "", "family" : "Han", "given" : "So-Yeop", "non-dropping-particle" : "", "parse-names" : false, "suffix" : "" }, { "dropping-particle" : "", "family" : "Kim", "given" : "Young-Ah", "non-dropping-particle" : "", "parse-names" : false, "suffix" : "" } ], "container-title" : "Tetrahedron", "id" : "ITEM-6", "issue" : "672", "issued" : { "date-parts" : [ [ "2004" ] ] }, "page" : "2447-2467", "title" : "Recent development of peptide coupling reagents in organic synthesis", "type" : "article-journal", "volume" : "60" }, "uris" : [ "http://www.mendeley.com/documents/?uuid=36f6d5b8-b2ad-494c-ae71-bccebdd1abdc" ] } ], "mendeley" : { "formattedCitation" : "&lt;sup&gt;3\u20138&lt;/sup&gt;", "plainTextFormattedCitation" : "3\u20138", "previouslyFormattedCitation" : "&lt;sup&gt;3\u20138&lt;/sup&gt;" }, "properties" : { "noteIndex" : 0 }, "schema" : "https://github.com/citation-style-language/schema/raw/master/csl-citation.json" }</w:instrText>
      </w:r>
      <w:r w:rsidR="00F068AF">
        <w:fldChar w:fldCharType="separate"/>
      </w:r>
      <w:r w:rsidR="00F068AF" w:rsidRPr="00F068AF">
        <w:rPr>
          <w:noProof/>
          <w:vertAlign w:val="superscript"/>
        </w:rPr>
        <w:t>3–8</w:t>
      </w:r>
      <w:r w:rsidR="00F068AF">
        <w:fldChar w:fldCharType="end"/>
      </w:r>
      <w:r w:rsidR="00F62932">
        <w:t xml:space="preserve"> Employment o</w:t>
      </w:r>
      <w:r w:rsidR="00AD6599">
        <w:t>f such reagents is an effective method of avoiding the formation of unwanted ammonium-carboxylate salt ins</w:t>
      </w:r>
      <w:r w:rsidR="003755F5">
        <w:t>tead of the product. Regrettably</w:t>
      </w:r>
      <w:r w:rsidR="00AD6599">
        <w:t>, they are often toxic and corrosive, and their use is wasteful as stoichiometric amounts are used up in the process.</w:t>
      </w:r>
      <w:r w:rsidR="00A473F3">
        <w:fldChar w:fldCharType="begin" w:fldLock="1"/>
      </w:r>
      <w:r w:rsidR="00291B55">
        <w:instrText>ADDIN CSL_CITATION { "citationItems" : [ { "id" : "ITEM-1", "itemData" : { "DOI" : "10.1002/chem.200900615", "author" : [ { "dropping-particle" : "", "family" : "El-faham", "given" : "Ayman", "non-dropping-particle" : "", "parse-names" : false, "suffix" : "" }, { "dropping-particle" : "", "family" : "Funosas", "given" : "Ramon Subir\u00f3s", "non-dropping-particle" : "", "parse-names" : false, "suffix" : "" }, { "dropping-particle" : "", "family" : "Prohens", "given" : "Rafel", "non-dropping-particle" : "", "parse-names" : false, "suffix" : "" }, { "dropping-particle" : "", "family" : "Alvericio", "given" : "Fernando", "non-dropping-particle" : "", "parse-names" : false, "suffix" : "" } ], "container-title" : "Chem. Eur. J.", "id" : "ITEM-1", "issued" : { "date-parts" : [ [ "2009" ] ] }, "page" : "9404-9416", "title" : "COMU : A Safer and More Effective Replacement for Benzotriazole-Based Uronium Coupling Reagents", "type" : "article-journal", "volume" : "15" }, "uris" : [ "http://www.mendeley.com/documents/?uuid=be95c3d1-e74f-4966-8532-cda1e0cedacd" ] }, { "id" : "ITEM-2", "itemData" : { "author" : [ { "dropping-particle" : "", "family" : "Abdelmoty", "given" : "Iman", "non-dropping-particle" : "", "parse-names" : false, "suffix" : "" }, { "dropping-particle" : "", "family" : "Albericio", "given" : "Fernando", "non-dropping-particle" : "", "parse-names" : false, "suffix" : "" }, { "dropping-particle" : "", "family" : "Carpino", "given" : "Louis A", "non-dropping-particle" : "", "parse-names" : false, "suffix" : "" }, { "dropping-particle" : "", "family" : "Foxman", "given" : "Bruce M", "non-dropping-particle" : "", "parse-names" : false, "suffix" : "" }, { "dropping-particle" : "", "family" : "Kates", "given" : "Steven A", "non-dropping-particle" : "", "parse-names" : false, "suffix" : "" } ], "container-title" : "Letters in Peptide Science", "id" : "ITEM-2", "issued" : { "date-parts" : [ [ "1994" ] ] }, "page" : "57-67", "title" : "Structural studies of reagents for peptide bond formation : Crystal and molecular structures of HBTU and HATU", "type" : "article-journal", "volume" : "1" }, "uris" : [ "http://www.mendeley.com/documents/?uuid=9e0b80ce-0015-41d9-9b50-f1e5f8b7cb8b" ] }, { "id" : "ITEM-3", "itemData" : { "author" : [ { "dropping-particle" : "", "family" : "Coste", "given" : "J", "non-dropping-particle" : "", "parse-names" : false, "suffix" : "" }, { "dropping-particle" : "", "family" : "Le-Nguyen", "given" : "D", "non-dropping-particle" : "", "parse-names" : false, "suffix" : "" }, { "dropping-particle" : "", "family" : "Castro", "given" : "B", "non-dropping-particle" : "", "parse-names" : false, "suffix" : "" } ], "container-title" : "Tetrahedron Letters", "id" : "ITEM-3", "issue" : "2", "issued" : { "date-parts" : [ [ "1990" ] ] }, "page" : "205-208", "title" : "PyBOP: A New Peptide Coupling Reagent Devoid of a Toxic By-product", "type" : "article-journal", "volume" : "31" }, "uris" : [ "http://www.mendeley.com/documents/?uuid=e4da2607-c570-4271-8af6-08cfe7306d68" ] } ], "mendeley" : { "formattedCitation" : "&lt;sup&gt;9\u201311&lt;/sup&gt;", "plainTextFormattedCitation" : "9\u201311", "previouslyFormattedCitation" : "&lt;sup&gt;9\u201311&lt;/sup&gt;" }, "properties" : { "noteIndex" : 0 }, "schema" : "https://github.com/citation-style-language/schema/raw/master/csl-citation.json" }</w:instrText>
      </w:r>
      <w:r w:rsidR="00A473F3">
        <w:fldChar w:fldCharType="separate"/>
      </w:r>
      <w:r w:rsidR="00A473F3" w:rsidRPr="00A473F3">
        <w:rPr>
          <w:noProof/>
          <w:vertAlign w:val="superscript"/>
        </w:rPr>
        <w:t>9–11</w:t>
      </w:r>
      <w:r w:rsidR="00A473F3">
        <w:fldChar w:fldCharType="end"/>
      </w:r>
      <w:r w:rsidR="00AD6599">
        <w:t xml:space="preserve"> </w:t>
      </w:r>
      <w:r w:rsidR="00215701">
        <w:t>More recently, this has inspired a move towards catalysis</w:t>
      </w:r>
      <w:r w:rsidR="00A63757">
        <w:t xml:space="preserve"> to improve efficiency and decrease toxicity and risk.</w:t>
      </w:r>
      <w:r w:rsidR="00291B55">
        <w:fldChar w:fldCharType="begin" w:fldLock="1"/>
      </w:r>
      <w:r w:rsidR="004B0D89">
        <w:instrText>ADDIN CSL_CITATION { "citationItems" : [ { "id" : "ITEM-1", "itemData" : { "DOI" : "10.1039/c3cs60345h", "author" : [ { "dropping-particle" : "", "family" : "Lundberg", "given" : "Helena", "non-dropping-particle" : "", "parse-names" : false, "suffix" : "" }, { "dropping-particle" : "", "family" : "Tinnis", "given" : "Fredrik", "non-dropping-particle" : "", "parse-names" : false, "suffix" : "" }, { "dropping-particle" : "", "family" : "Selander", "given" : "Nicklas", "non-dropping-particle" : "", "parse-names" : false, "suffix" : "" }, { "dropping-particle" : "", "family" : "Adolfsson", "given" : "Hans", "non-dropping-particle" : "", "parse-names" : false, "suffix" : "" } ], "container-title" : "Chem. Soc. Rev.", "id" : "ITEM-1", "issued" : { "date-parts" : [ [ "2014" ] ] }, "page" : "2714-2742", "title" : "Catalytic amide formation from non-activated carboxylic acids and amines", "type" : "article-journal", "volume" : "43" }, "uris" : [ "http://www.mendeley.com/documents/?uuid=d070fb1c-bda5-4b8d-99db-8f2948a00709" ] }, { "id" : "ITEM-2", "itemData" : { "DOI" : "10.1038/nature10702", "ISSN" : "0028-0836", "author" : [ { "dropping-particle" : "", "family" : "Pattabiraman", "given" : "Vijaya R", "non-dropping-particle" : "", "parse-names" : false, "suffix" : "" }, { "dropping-particle" : "", "family" : "Bode", "given" : "Jeffrey W", "non-dropping-particle" : "", "parse-names" : false, "suffix" : "" } ], "container-title" : "Nature", "id" : "ITEM-2", "issue" : "7378", "issued" : { "date-parts" : [ [ "2011" ] ] }, "page" : "471-479", "publisher" : "Nature Publishing Group", "title" : "Rethinking amide bond synthesis", "type" : "article-journal", "volume" : "480" }, "uris" : [ "http://www.mendeley.com/documents/?uuid=c6ef6d0d-87ec-40c1-87ad-faa9ec703b41" ] }, { "id" : "ITEM-3", "itemData" : { "DOI" : "10.1016/j.tet.2012.08.065", "ISSN" : "0040-4020", "author" : [ { "dropping-particle" : "", "family" : "Roy", "given" : "Sudipta", "non-dropping-particle" : "", "parse-names" : false, "suffix" : "" }, { "dropping-particle" : "", "family" : "Roy", "given" : "Sujata", "non-dropping-particle" : "", "parse-names" : false, "suffix" : "" }, { "dropping-particle" : "", "family" : "Gribble", "given" : "Gordon W", "non-dropping-particle" : "", "parse-names" : false, "suffix" : "" } ], "container-title" : "Tetrahedron", "id" : "ITEM-3", "issue" : "48", "issued" : { "date-parts" : [ [ "2012" ] ] }, "page" : "9867-9923", "publisher" : "Elsevier Ltd", "title" : "Metal-catalyzed amidation", "type" : "article-journal", "volume" : "68" }, "uris" : [ "http://www.mendeley.com/documents/?uuid=ab412aa3-916e-44b1-9807-6a11fef9b31f" ] }, { "id" : "ITEM-4", "itemData" : { "DOI" : "10.1039/c0cs00196a", "author" : [ { "dropping-particle" : "", "family" : "Allen", "given" : "C Liana", "non-dropping-particle" : "", "parse-names" : false, "suffix" : "" }, { "dropping-particle" : "", "family" : "Williams", "given" : "Jonathan M J", "non-dropping-particle" : "", "parse-names" : false, "suffix" : "" } ], "container-title" : "Chemical Society Reviews", "id" : "ITEM-4", "issued" : { "date-parts" : [ [ "2011" ] ] }, "page" : "3405-3415", "title" : "Metal-catalysed approaches to amide bond formation", "type" : "article-journal", "volume" : "40" }, "uris" : [ "http://www.mendeley.com/documents/?uuid=097369fe-ed19-4e43-ad1e-6ca2c225f768" ] }, { "id" : "ITEM-5", "itemData" : { "DOI" : "10.1039/b923093a", "author" : [ { "dropping-particle" : "", "family" : "Charville", "given" : "Hayley", "non-dropping-particle" : "", "parse-names" : false, "suffix" : "" }, { "dropping-particle" : "", "family" : "Jackson", "given" : "David", "non-dropping-particle" : "", "parse-names" : false, "suffix" : "" }, { "dropping-particle" : "", "family" : "Hodges", "given" : "George", "non-dropping-particle" : "", "parse-names" : false, "suffix" : "" }, { "dropping-particle" : "", "family" : "Whiting", "given" : "Andrew", "non-dropping-particle" : "", "parse-names" : false, "suffix" : "" } ], "container-title" : "Chemical Communications", "id" : "ITEM-5", "issued" : { "date-parts" : [ [ "2010" ] ] }, "page" : "1813-1823", "title" : "The thermal and boron-catalysed direct amide formation reactions: mechanistically understudied yet important processes", "type" : "article-journal", "volume" : "46" }, "uris" : [ "http://www.mendeley.com/documents/?uuid=bb6894eb-0a3e-4390-99c4-0f02ce6fb814" ] } ], "mendeley" : { "formattedCitation" : "&lt;sup&gt;12\u201316&lt;/sup&gt;", "plainTextFormattedCitation" : "12\u201316", "previouslyFormattedCitation" : "&lt;sup&gt;12\u201316&lt;/sup&gt;" }, "properties" : { "noteIndex" : 0 }, "schema" : "https://github.com/citation-style-language/schema/raw/master/csl-citation.json" }</w:instrText>
      </w:r>
      <w:r w:rsidR="00291B55">
        <w:fldChar w:fldCharType="separate"/>
      </w:r>
      <w:r w:rsidR="00291B55" w:rsidRPr="00291B55">
        <w:rPr>
          <w:noProof/>
          <w:vertAlign w:val="superscript"/>
        </w:rPr>
        <w:t>12–16</w:t>
      </w:r>
      <w:r w:rsidR="00291B55">
        <w:fldChar w:fldCharType="end"/>
      </w:r>
      <w:r w:rsidR="00A63757">
        <w:t xml:space="preserve"> Heterogeneous activated silica catalysts are particularly advantageous because they are cheap, robust and reusable.</w:t>
      </w:r>
      <w:r w:rsidR="004B0D89">
        <w:fldChar w:fldCharType="begin" w:fldLock="1"/>
      </w:r>
      <w:r w:rsidR="00DA68D6">
        <w:instrText>ADDIN CSL_CITATION { "citationItems" : [ { "id" : "ITEM-1", "itemData" : { "author" : [ { "dropping-particle" : "", "family" : "Comerford", "given" : "James W", "non-dropping-particle" : "", "parse-names" : false, "suffix" : "" }, { "dropping-particle" : "", "family" : "Farmer", "given" : "Thomas J", "non-dropping-particle" : "", "parse-names" : false, "suffix" : "" }, { "dropping-particle" : "", "family" : "Macquarrie", "given" : "Duncan J", "non-dropping-particle" : "", "parse-names" : false, "suffix" : "" }, { "dropping-particle" : "", "family" : "Breeden", "given" : "Simon W", "non-dropping-particle" : "", "parse-names" : false, "suffix" : "" }, { "dropping-particle" : "", "family" : "Clark", "given" : "James H", "non-dropping-particle" : "", "parse-names" : false, "suffix" : "" } ], "container-title" : "ARKIVOC", "id" : "ITEM-1", "issued" : { "date-parts" : [ [ "2012" ] ] }, "page" : "282-293", "title" : "Mesoporous Structured Silica \u2013 An improved catalyst for direct amide synthesis and its application to continuous flow processing", "type" : "article-journal", "volume" : "vii" }, "uris" : [ "http://www.mendeley.com/documents/?uuid=cad9be22-50c3-45c6-bfe5-1363ec5d8543" ] }, { "id" : "ITEM-2", "itemData" : { "DOI" : "10.1039/b901581g", "ISBN" : "1359-7345", "ISSN" : "1359-7345", "PMID" : "19532890", "abstract" : "We have developed a heterogeneous silica catalyst that can effectively catalyse amide synthesis from acid and amine, without production of toxic by-products and with the advantage of being readily available, low cost, environmentally benign and reusable.", "author" : [ { "dropping-particle" : "", "family" : "Comerford", "given" : "James W", "non-dropping-particle" : "", "parse-names" : false, "suffix" : "" }, { "dropping-particle" : "", "family" : "Clark", "given" : "James H", "non-dropping-particle" : "", "parse-names" : false, "suffix" : "" }, { "dropping-particle" : "", "family" : "Macquarrie", "given" : "Duncan J", "non-dropping-particle" : "", "parse-names" : false, "suffix" : "" }, { "dropping-particle" : "", "family" : "Breeden", "given" : "Simon W", "non-dropping-particle" : "", "parse-names" : false, "suffix" : "" } ], "container-title" : "Chemical communications (Cambridge, England)", "id" : "ITEM-2", "issue" : "18", "issued" : { "date-parts" : [ [ "2009" ] ] }, "page" : "2562-2564", "title" : "Clean, reusable and low cost heterogeneous catalyst for amide synthesis.", "type" : "article-journal" }, "uris" : [ "http://www.mendeley.com/documents/?uuid=9ff8b100-145d-4c20-826e-bff4a085965a" ] } ], "mendeley" : { "formattedCitation" : "&lt;sup&gt;17,18&lt;/sup&gt;", "plainTextFormattedCitation" : "17,18", "previouslyFormattedCitation" : "&lt;sup&gt;17,18&lt;/sup&gt;" }, "properties" : { "noteIndex" : 0 }, "schema" : "https://github.com/citation-style-language/schema/raw/master/csl-citation.json" }</w:instrText>
      </w:r>
      <w:r w:rsidR="004B0D89">
        <w:fldChar w:fldCharType="separate"/>
      </w:r>
      <w:r w:rsidR="004B0D89" w:rsidRPr="004B0D89">
        <w:rPr>
          <w:noProof/>
          <w:vertAlign w:val="superscript"/>
        </w:rPr>
        <w:t>17,18</w:t>
      </w:r>
      <w:r w:rsidR="004B0D89">
        <w:fldChar w:fldCharType="end"/>
      </w:r>
      <w:r w:rsidR="00A63757">
        <w:t xml:space="preserve"> </w:t>
      </w:r>
    </w:p>
    <w:p w14:paraId="0E6495C9" w14:textId="53BEC8D5" w:rsidR="00D951F5" w:rsidRDefault="00A63757" w:rsidP="004B3DCC">
      <w:pPr>
        <w:pStyle w:val="TAMainText"/>
      </w:pPr>
      <w:r>
        <w:t xml:space="preserve">For solubility reasons, </w:t>
      </w:r>
      <w:r w:rsidR="00EC1F3A">
        <w:t>coupling reagent enabled amidations are typically run in</w:t>
      </w:r>
      <w:r w:rsidR="00EC1F3A" w:rsidRPr="00EC1F3A">
        <w:t xml:space="preserve"> </w:t>
      </w:r>
      <w:r>
        <w:t xml:space="preserve">polar aprotic solvents such as dichloromethane (DCM) and </w:t>
      </w:r>
      <w:r w:rsidRPr="00474FAA">
        <w:rPr>
          <w:i/>
        </w:rPr>
        <w:t>N,N</w:t>
      </w:r>
      <w:r>
        <w:t>-dimethylformamide (DMF)</w:t>
      </w:r>
      <w:r w:rsidR="009F2CCC">
        <w:t>.</w:t>
      </w:r>
      <w:r w:rsidR="00DA68D6">
        <w:fldChar w:fldCharType="begin" w:fldLock="1"/>
      </w:r>
      <w:r w:rsidR="00EC1F3A">
        <w:instrText>ADDIN CSL_CITATION { "citationItems" : [ { "id" : "ITEM-1", "itemData" : { "DOI" : "10.1039/c2gc36900a", "author" : [ { "dropping-particle" : "", "family" : "MacMillan", "given" : "Donna S.", "non-dropping-particle" : "", "parse-names" : false, "suffix" : "" }, { "dropping-particle" : "", "family" : "Murray", "given" : "Jane", "non-dropping-particle" : "", "parse-names" : false, "suffix" : "" }, { "dropping-particle" : "", "family" : "Sneddon", "given" : "Helen F.", "non-dropping-particle" : "", "parse-names" : false, "suffix" : "" }, { "dropping-particle" : "", "family" : "Jamieson", "given" : "Craig", "non-dropping-particle" : "", "parse-names" : false, "suffix" : "" }, { "dropping-particle" : "", "family" : "Watson", "given" : "Allan J. B.", "non-dropping-particle" : "", "parse-names" : false, "suffix" : "" } ], "container-title" : "Green Chem.", "id" : "ITEM-1", "issued" : { "date-parts" : [ [ "2013" ] ] }, "page" : "596-600", "title" : "Evaluation of alternative solvents in common amide coupling reactions: replacement of dichloromethane and N,N-dimethylformamide", "type" : "article-journal", "volume" : "15" }, "uris" : [ "http://www.mendeley.com/documents/?uuid=008c46df-027d-4aa5-a692-f613326700b6" ] } ], "mendeley" : { "formattedCitation" : "&lt;sup&gt;19&lt;/sup&gt;", "plainTextFormattedCitation" : "19", "previouslyFormattedCitation" : "&lt;sup&gt;19&lt;/sup&gt;" }, "properties" : { "noteIndex" : 0 }, "schema" : "https://github.com/citation-style-language/schema/raw/master/csl-citation.json" }</w:instrText>
      </w:r>
      <w:r w:rsidR="00DA68D6">
        <w:fldChar w:fldCharType="separate"/>
      </w:r>
      <w:r w:rsidR="00DA68D6" w:rsidRPr="00DA68D6">
        <w:rPr>
          <w:noProof/>
          <w:vertAlign w:val="superscript"/>
        </w:rPr>
        <w:t>19</w:t>
      </w:r>
      <w:r w:rsidR="00DA68D6">
        <w:fldChar w:fldCharType="end"/>
      </w:r>
      <w:r w:rsidR="009F2CCC">
        <w:t xml:space="preserve"> </w:t>
      </w:r>
      <w:r w:rsidR="00650640">
        <w:t xml:space="preserve">In the absence of coupling </w:t>
      </w:r>
      <w:r w:rsidR="00EC1F3A">
        <w:t>re</w:t>
      </w:r>
      <w:r w:rsidR="00650640">
        <w:t xml:space="preserve">agents, </w:t>
      </w:r>
      <w:r w:rsidR="001B0B01">
        <w:t>toluene is preferable as a solvent because its poor hydrogen-bonding ability accelerates the reaction.</w:t>
      </w:r>
      <w:r w:rsidR="00EC1F3A">
        <w:fldChar w:fldCharType="begin" w:fldLock="1"/>
      </w:r>
      <w:r w:rsidR="0050654A">
        <w:instrText>ADDIN CSL_CITATION { "citationItems" : [ { "id" : "ITEM-1", "itemData" : { "DOI" : "10.1039/c1gc16299c", "ISBN" : "1463-9262", "ISSN" : "1463-9262", "abstract" : "(R)-(+)-Limonene, which is available in large quantities from citrus waste, and its close deriv. p-cymene are shown herein to be viable yet sustainable solvents for amidation and esterification reactions.", "author" : [ { "dropping-particle" : "", "family" : "Clark", "given" : "James H.", "non-dropping-particle" : "", "parse-names" : false, "suffix" : "" }, { "dropping-particle" : "", "family" : "Macquarrie", "given" : "Duncan J.", "non-dropping-particle" : "", "parse-names" : false, "suffix" : "" }, { "dropping-particle" : "", "family" : "Sherwood", "given" : "James", "non-dropping-particle" : "", "parse-names" : false, "suffix" : "" } ], "container-title" : "Green Chemistry", "id" : "ITEM-1", "issue" : "0", "issued" : { "date-parts" : [ [ "2012" ] ] }, "page" : "90-93", "title" : "A quantitative comparison between conventional and bio-derived solvents from citrus waste in esterification and amidation kinetic studies", "type" : "article-journal", "volume" : "14" }, "uris" : [ "http://www.mendeley.com/documents/?uuid=51fcfd81-6125-4bba-968f-d9802d9ad1d3" ] } ], "mendeley" : { "formattedCitation" : "&lt;sup&gt;20&lt;/sup&gt;", "plainTextFormattedCitation" : "20", "previouslyFormattedCitation" : "&lt;sup&gt;20&lt;/sup&gt;" }, "properties" : { "noteIndex" : 0 }, "schema" : "https://github.com/citation-style-language/schema/raw/master/csl-citation.json" }</w:instrText>
      </w:r>
      <w:r w:rsidR="00EC1F3A">
        <w:fldChar w:fldCharType="separate"/>
      </w:r>
      <w:r w:rsidR="00EC1F3A" w:rsidRPr="00EC1F3A">
        <w:rPr>
          <w:noProof/>
          <w:vertAlign w:val="superscript"/>
        </w:rPr>
        <w:t>20</w:t>
      </w:r>
      <w:r w:rsidR="00EC1F3A">
        <w:fldChar w:fldCharType="end"/>
      </w:r>
      <w:r w:rsidR="001B0B01">
        <w:t xml:space="preserve"> Unfortunately, all of the</w:t>
      </w:r>
      <w:r w:rsidR="0079072D">
        <w:t xml:space="preserve"> aforementioned</w:t>
      </w:r>
      <w:r w:rsidR="001B0B01">
        <w:t xml:space="preserve"> solvents are subject to increasingly restrictive legislative actions.</w:t>
      </w:r>
      <w:r w:rsidR="0050654A">
        <w:fldChar w:fldCharType="begin" w:fldLock="1"/>
      </w:r>
      <w:r w:rsidR="00BE6947">
        <w:instrText>ADDIN CSL_CITATION { "citationItems" : [ { "id" : "ITEM-1", "itemData" : { "author" : [ { "dropping-particle" : "", "family" : "European commission", "given" : "council directive 1907/2006", "non-dropping-particle" : "", "parse-names" : false, "suffix" : "" } ], "id" : "ITEM-1", "issue" : "1907", "issued" : { "date-parts" : [ [ "2016" ] ] }, "number-of-pages" : "1-526", "title" : "concerning the Registration, Evaluation, Authorisation and Restriction of Chemicals (REACH), establishing a European Chemicals Agency, amending Directive 1999/45/EC and repealing Council Regulation (EEC) No 793/93 and Commission Regulation (EC) No 1488/94", "type" : "report" }, "uris" : [ "http://www.mendeley.com/documents/?uuid=81d16d15-77d1-4740-832b-a0bab673276d" ] } ], "mendeley" : { "formattedCitation" : "&lt;sup&gt;21&lt;/sup&gt;", "plainTextFormattedCitation" : "21", "previouslyFormattedCitation" : "&lt;sup&gt;21&lt;/sup&gt;" }, "properties" : { "noteIndex" : 0 }, "schema" : "https://github.com/citation-style-language/schema/raw/master/csl-citation.json" }</w:instrText>
      </w:r>
      <w:r w:rsidR="0050654A">
        <w:fldChar w:fldCharType="separate"/>
      </w:r>
      <w:r w:rsidR="0050654A" w:rsidRPr="0050654A">
        <w:rPr>
          <w:noProof/>
          <w:vertAlign w:val="superscript"/>
        </w:rPr>
        <w:t>21</w:t>
      </w:r>
      <w:r w:rsidR="0050654A">
        <w:fldChar w:fldCharType="end"/>
      </w:r>
      <w:r w:rsidR="001B0B01">
        <w:t xml:space="preserve"> As the majority component, </w:t>
      </w:r>
      <w:r w:rsidR="00397E0A">
        <w:t xml:space="preserve">the solvent is routinely </w:t>
      </w:r>
      <w:r w:rsidR="00060047">
        <w:t>the chief contributor to</w:t>
      </w:r>
      <w:r w:rsidR="00397E0A">
        <w:t xml:space="preserve"> the </w:t>
      </w:r>
      <w:r w:rsidR="00060047">
        <w:t xml:space="preserve">hazards of a reaction. </w:t>
      </w:r>
      <w:r w:rsidR="002207DB" w:rsidRPr="00075202">
        <w:t xml:space="preserve">Finding suitable alternative solvents </w:t>
      </w:r>
      <w:r w:rsidR="005D7D87" w:rsidRPr="00075202">
        <w:t>is</w:t>
      </w:r>
      <w:r w:rsidR="00476044" w:rsidRPr="00075202">
        <w:t xml:space="preserve"> crucial for</w:t>
      </w:r>
      <w:r w:rsidR="002207DB" w:rsidRPr="00075202">
        <w:t xml:space="preserve"> amidation chemistry to be performed safely, and</w:t>
      </w:r>
      <w:r w:rsidR="00476044" w:rsidRPr="00075202">
        <w:t xml:space="preserve"> pursuing this goal</w:t>
      </w:r>
      <w:r w:rsidR="002207DB" w:rsidRPr="00075202">
        <w:t xml:space="preserve"> provides </w:t>
      </w:r>
      <w:r w:rsidR="00476044" w:rsidRPr="00075202">
        <w:t>an opportunity to improve performance</w:t>
      </w:r>
      <w:r w:rsidR="002207DB" w:rsidRPr="00075202">
        <w:t>.</w:t>
      </w:r>
      <w:r w:rsidR="00FE1AC2">
        <w:t xml:space="preserve"> </w:t>
      </w:r>
      <w:r w:rsidR="00FE1AC2" w:rsidRPr="00075202">
        <w:t xml:space="preserve">The influence of the solvent on rates of reaction is quite profound, akin to a catalyst, and </w:t>
      </w:r>
      <w:r w:rsidR="00075202" w:rsidRPr="00075202">
        <w:t>reaction</w:t>
      </w:r>
      <w:r w:rsidR="00FE1AC2" w:rsidRPr="00075202">
        <w:t xml:space="preserve"> equilibria are also solvent dependent.</w:t>
      </w:r>
      <w:r w:rsidR="00FE1AC2">
        <w:t xml:space="preserve"> </w:t>
      </w:r>
      <w:r w:rsidR="00D217B0" w:rsidRPr="00BE6947">
        <w:t>Although safer or bio-based solvents for amidation are occasionally investigated,</w:t>
      </w:r>
      <w:r w:rsidR="00BE6947" w:rsidRPr="00BE6947">
        <w:fldChar w:fldCharType="begin" w:fldLock="1"/>
      </w:r>
      <w:r w:rsidR="00687AC7">
        <w:instrText>ADDIN CSL_CITATION { "citationItems" : [ { "id" : "ITEM-1", "itemData" : { "DOI" : "10.1039/c2gc36900a", "author" : [ { "dropping-particle" : "", "family" : "MacMillan", "given" : "Donna S.", "non-dropping-particle" : "", "parse-names" : false, "suffix" : "" }, { "dropping-particle" : "", "family" : "Murray", "given" : "Jane", "non-dropping-particle" : "", "parse-names" : false, "suffix" : "" }, { "dropping-particle" : "", "family" : "Sneddon", "given" : "Helen F.", "non-dropping-particle" : "", "parse-names" : false, "suffix" : "" }, { "dropping-particle" : "", "family" : "Jamieson", "given" : "Craig", "non-dropping-particle" : "", "parse-names" : false, "suffix" : "" }, { "dropping-particle" : "", "family" : "Watson", "given" : "Allan J. B.", "non-dropping-particle" : "", "parse-names" : false, "suffix" : "" } ], "container-title" : "Green Chem.", "id" : "ITEM-1", "issued" : { "date-parts" : [ [ "2013" ] ] }, "page" : "596-600", "title" : "Evaluation of alternative solvents in common amide coupling reactions: replacement of dichloromethane and N,N-dimethylformamide", "type" : "article-journal", "volume" : "15" }, "uris" : [ "http://www.mendeley.com/documents/?uuid=008c46df-027d-4aa5-a692-f613326700b6" ] } ], "mendeley" : { "formattedCitation" : "&lt;sup&gt;19&lt;/sup&gt;", "plainTextFormattedCitation" : "19", "previouslyFormattedCitation" : "&lt;sup&gt;19&lt;/sup&gt;" }, "properties" : { "noteIndex" : 0 }, "schema" : "https://github.com/citation-style-language/schema/raw/master/csl-citation.json" }</w:instrText>
      </w:r>
      <w:r w:rsidR="00BE6947" w:rsidRPr="00BE6947">
        <w:fldChar w:fldCharType="separate"/>
      </w:r>
      <w:r w:rsidR="00BE6947" w:rsidRPr="00BE6947">
        <w:rPr>
          <w:noProof/>
          <w:vertAlign w:val="superscript"/>
        </w:rPr>
        <w:t>19</w:t>
      </w:r>
      <w:r w:rsidR="00BE6947" w:rsidRPr="00BE6947">
        <w:fldChar w:fldCharType="end"/>
      </w:r>
      <w:r w:rsidR="00D217B0" w:rsidRPr="00BE6947">
        <w:t xml:space="preserve"> </w:t>
      </w:r>
      <w:r w:rsidR="00BE6947" w:rsidRPr="00BE6947">
        <w:t>most</w:t>
      </w:r>
      <w:r w:rsidR="00D217B0" w:rsidRPr="00BE6947">
        <w:t xml:space="preserve"> research efforts to date have focused on catalyst development.</w:t>
      </w:r>
      <w:r w:rsidR="00D217B0">
        <w:t xml:space="preserve"> </w:t>
      </w:r>
    </w:p>
    <w:p w14:paraId="1F826C6A" w14:textId="736C58DD" w:rsidR="00D951F5" w:rsidRDefault="00D951F5" w:rsidP="004B3DCC">
      <w:pPr>
        <w:pStyle w:val="TAMainText"/>
      </w:pPr>
      <w:r w:rsidRPr="00B347C7">
        <w:t>Here</w:t>
      </w:r>
      <w:r w:rsidR="000E691C">
        <w:t>in</w:t>
      </w:r>
      <w:r w:rsidR="00BE6947" w:rsidRPr="00B347C7">
        <w:t>,</w:t>
      </w:r>
      <w:r w:rsidRPr="00B347C7">
        <w:t xml:space="preserve"> we show that computational tools make it possible to rationally optimize a chemical process (such as amidation)</w:t>
      </w:r>
      <w:r w:rsidR="00B10BC6" w:rsidRPr="00B347C7">
        <w:t xml:space="preserve"> with a straight-forward solvent substitution.</w:t>
      </w:r>
      <w:r w:rsidR="00B10BC6">
        <w:t xml:space="preserve"> </w:t>
      </w:r>
      <w:r w:rsidR="006B6FFD" w:rsidRPr="00B347C7">
        <w:t xml:space="preserve">The clear advantage of using </w:t>
      </w:r>
      <w:r w:rsidR="00B347C7" w:rsidRPr="00B347C7">
        <w:t xml:space="preserve">predictive </w:t>
      </w:r>
      <w:r w:rsidR="006B6FFD" w:rsidRPr="00B347C7">
        <w:t xml:space="preserve">modelling </w:t>
      </w:r>
      <w:r w:rsidR="005E4A11">
        <w:t>software is the avoid</w:t>
      </w:r>
      <w:r w:rsidR="00B347C7" w:rsidRPr="00B347C7">
        <w:t>ance of</w:t>
      </w:r>
      <w:r w:rsidR="006B6FFD" w:rsidRPr="00B347C7">
        <w:t xml:space="preserve"> “tria</w:t>
      </w:r>
      <w:r w:rsidR="00B347C7" w:rsidRPr="00B347C7">
        <w:t>l-and-</w:t>
      </w:r>
      <w:r w:rsidR="006B6FFD" w:rsidRPr="00B347C7">
        <w:t xml:space="preserve">error” approaches that are time consuming and </w:t>
      </w:r>
      <w:r w:rsidR="00665E20" w:rsidRPr="00B347C7">
        <w:t>only reveal the best solvent from within a limited set of experimental data.</w:t>
      </w:r>
      <w:r w:rsidR="00665E20">
        <w:t xml:space="preserve"> A useful and widely </w:t>
      </w:r>
      <w:r w:rsidR="00B347C7">
        <w:t>appli</w:t>
      </w:r>
      <w:r w:rsidR="00665E20">
        <w:t xml:space="preserve">ed software package for solvent selection is HSPiP. The application of Hansen solubility parameters using HSPiP calculations makes the determination of appropriate solvents considerably faster than </w:t>
      </w:r>
      <w:r w:rsidR="00B347C7">
        <w:t xml:space="preserve">running practical </w:t>
      </w:r>
      <w:r w:rsidR="00665E20">
        <w:lastRenderedPageBreak/>
        <w:t xml:space="preserve">experiments. </w:t>
      </w:r>
      <w:r w:rsidR="00E230EC">
        <w:t xml:space="preserve">For this investigation, we could predict </w:t>
      </w:r>
      <w:r w:rsidR="00437C4F">
        <w:t>the relative solubility of an amide</w:t>
      </w:r>
      <w:r w:rsidR="007D4405">
        <w:t xml:space="preserve"> </w:t>
      </w:r>
      <w:r w:rsidR="00437C4F">
        <w:t>in each</w:t>
      </w:r>
      <w:r w:rsidR="007D4405">
        <w:t xml:space="preserve"> solvent</w:t>
      </w:r>
      <w:r w:rsidR="007D4405" w:rsidRPr="00F0280F">
        <w:t xml:space="preserve">. </w:t>
      </w:r>
      <w:r w:rsidR="00CE3368" w:rsidRPr="00F0280F">
        <w:t xml:space="preserve">This information permitted the </w:t>
      </w:r>
      <w:r w:rsidR="00D120D8">
        <w:t xml:space="preserve">rapid </w:t>
      </w:r>
      <w:r w:rsidR="00CE3368" w:rsidRPr="00F0280F">
        <w:t xml:space="preserve">optimization of the experimental conditions, </w:t>
      </w:r>
      <w:r w:rsidR="00437C4F" w:rsidRPr="00F0280F">
        <w:t>as amide recovery through precipitation wa</w:t>
      </w:r>
      <w:r w:rsidR="00CE3368" w:rsidRPr="00F0280F">
        <w:t>s necessary</w:t>
      </w:r>
      <w:r w:rsidR="00F0280F">
        <w:t xml:space="preserve"> due to </w:t>
      </w:r>
      <w:r w:rsidR="00D120D8">
        <w:t xml:space="preserve">typically </w:t>
      </w:r>
      <w:r w:rsidR="00F0280F">
        <w:t>high boiling point</w:t>
      </w:r>
      <w:r w:rsidR="00D120D8">
        <w:t xml:space="preserve">s found with </w:t>
      </w:r>
      <w:r w:rsidR="00F0280F">
        <w:t>bio-based solvents</w:t>
      </w:r>
      <w:r w:rsidR="00CE3368">
        <w:t xml:space="preserve">. </w:t>
      </w:r>
    </w:p>
    <w:p w14:paraId="52DCBB6A" w14:textId="74D14DC6" w:rsidR="001E477C" w:rsidRDefault="001E477C" w:rsidP="0049609B">
      <w:pPr>
        <w:pStyle w:val="TAMainText"/>
        <w:jc w:val="center"/>
      </w:pPr>
      <w:r>
        <w:rPr>
          <w:noProof/>
          <w:lang w:val="en-GB" w:eastAsia="en-GB"/>
        </w:rPr>
        <w:drawing>
          <wp:inline distT="0" distB="0" distL="0" distR="0" wp14:anchorId="44AB8879" wp14:editId="102DA675">
            <wp:extent cx="1122045" cy="7499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749935"/>
                    </a:xfrm>
                    <a:prstGeom prst="rect">
                      <a:avLst/>
                    </a:prstGeom>
                    <a:noFill/>
                  </pic:spPr>
                </pic:pic>
              </a:graphicData>
            </a:graphic>
          </wp:inline>
        </w:drawing>
      </w:r>
    </w:p>
    <w:p w14:paraId="1CA18E22" w14:textId="6F178352" w:rsidR="005173A3" w:rsidRDefault="0049609B" w:rsidP="0049609B">
      <w:pPr>
        <w:pStyle w:val="VAFigureCaption"/>
      </w:pPr>
      <w:r w:rsidRPr="0049609B">
        <w:rPr>
          <w:b/>
        </w:rPr>
        <w:t>Figure 1.</w:t>
      </w:r>
      <w:r w:rsidR="003F1161" w:rsidRPr="0049609B">
        <w:rPr>
          <w:b/>
        </w:rPr>
        <w:t xml:space="preserve"> </w:t>
      </w:r>
      <w:r w:rsidR="003F1161" w:rsidRPr="003F1161">
        <w:t xml:space="preserve">Structure of </w:t>
      </w:r>
      <w:r w:rsidR="003F1161" w:rsidRPr="003F1161">
        <w:rPr>
          <w:i/>
        </w:rPr>
        <w:t>p</w:t>
      </w:r>
      <w:r w:rsidR="003F1161" w:rsidRPr="003F1161">
        <w:t>-cymene (left) and D-limonene (right).</w:t>
      </w:r>
    </w:p>
    <w:p w14:paraId="62C1D822" w14:textId="5816BCEE" w:rsidR="00375A72" w:rsidRPr="00375A72" w:rsidRDefault="00D120D8" w:rsidP="004B3DCC">
      <w:pPr>
        <w:pStyle w:val="TAMainText"/>
        <w:rPr>
          <w:noProof/>
        </w:rPr>
      </w:pPr>
      <w:r>
        <w:t>T</w:t>
      </w:r>
      <w:r w:rsidR="00195091">
        <w:t>oluene is a prime target for replacement, owing to its flammability, unsustainable origin (crude oil), and the fact that it is a suspected teratogen.</w:t>
      </w:r>
      <w:r w:rsidR="00195091">
        <w:fldChar w:fldCharType="begin" w:fldLock="1"/>
      </w:r>
      <w:r w:rsidR="00195091">
        <w:instrText>ADDIN CSL_CITATION { "citationItems" : [ { "id" : "ITEM-1", "itemData" : { "id" : "ITEM-1", "issued" : { "date-parts" : [ [ "2012" ] ] }, "title" : "Toluene, Occupational Safety and Health Administration, United States Department of Labor", "type" : "webpage" }, "uris" : [ "http://www.mendeley.com/documents/?uuid=93a3dfb2-e74d-4f43-a088-a34e59bb4c3c" ] } ], "mendeley" : { "formattedCitation" : "&lt;sup&gt;22&lt;/sup&gt;", "plainTextFormattedCitation" : "22", "previouslyFormattedCitation" : "&lt;sup&gt;22&lt;/sup&gt;" }, "properties" : { "noteIndex" : 0 }, "schema" : "https://github.com/citation-style-language/schema/raw/master/csl-citation.json" }</w:instrText>
      </w:r>
      <w:r w:rsidR="00195091">
        <w:fldChar w:fldCharType="separate"/>
      </w:r>
      <w:r w:rsidR="00195091" w:rsidRPr="00687AC7">
        <w:rPr>
          <w:noProof/>
          <w:vertAlign w:val="superscript"/>
        </w:rPr>
        <w:t>22</w:t>
      </w:r>
      <w:r w:rsidR="00195091">
        <w:fldChar w:fldCharType="end"/>
      </w:r>
      <w:r w:rsidR="00195091">
        <w:t xml:space="preserve"> </w:t>
      </w:r>
      <w:r w:rsidR="00195091" w:rsidRPr="00966A14">
        <w:rPr>
          <w:i/>
        </w:rPr>
        <w:t>p</w:t>
      </w:r>
      <w:r w:rsidR="00195091">
        <w:t xml:space="preserve">-Cymene </w:t>
      </w:r>
      <w:r w:rsidR="00FE43C1" w:rsidRPr="00F339C8">
        <w:t>(Figure 1)</w:t>
      </w:r>
      <w:r w:rsidR="00FE43C1">
        <w:t xml:space="preserve"> </w:t>
      </w:r>
      <w:r w:rsidR="00195091">
        <w:t xml:space="preserve">was identified as a promising bio-based solvent replacement for toluene due to its similar polarity and functionality. </w:t>
      </w:r>
      <w:r w:rsidR="00975F9C" w:rsidRPr="004A7BEC">
        <w:rPr>
          <w:i/>
          <w:noProof/>
        </w:rPr>
        <w:t>p</w:t>
      </w:r>
      <w:r w:rsidR="00975F9C" w:rsidRPr="004A7BEC">
        <w:rPr>
          <w:noProof/>
        </w:rPr>
        <w:t>-Cymene can be synthesised using silica supported palladium or mesoporous</w:t>
      </w:r>
      <w:r w:rsidR="002C5BFD" w:rsidRPr="004A7BEC">
        <w:rPr>
          <w:noProof/>
        </w:rPr>
        <w:t xml:space="preserve"> silica-alumina from D-limonene, which itself can be extracted from food waste such as citrus peels.</w:t>
      </w:r>
      <w:r w:rsidR="004A7BEC" w:rsidRPr="004A7BEC">
        <w:rPr>
          <w:noProof/>
        </w:rPr>
        <w:fldChar w:fldCharType="begin" w:fldLock="1"/>
      </w:r>
      <w:r w:rsidR="005E6434">
        <w:rPr>
          <w:noProof/>
        </w:rPr>
        <w:instrText>ADDIN CSL_CITATION { "citationItems" : [ { "id" : "ITEM-1", "itemData" : { "DOI" : "10.1039/c1gc16299c", "ISBN" : "1463-9262", "ISSN" : "1463-9262", "abstract" : "(R)-(+)-Limonene, which is available in large quantities from citrus waste, and its close deriv. p-cymene are shown herein to be viable yet sustainable solvents for amidation and esterification reactions.", "author" : [ { "dropping-particle" : "", "family" : "Clark", "given" : "James H.", "non-dropping-particle" : "", "parse-names" : false, "suffix" : "" }, { "dropping-particle" : "", "family" : "Macquarrie", "given" : "Duncan J.", "non-dropping-particle" : "", "parse-names" : false, "suffix" : "" }, { "dropping-particle" : "", "family" : "Sherwood", "given" : "James", "non-dropping-particle" : "", "parse-names" : false, "suffix" : "" } ], "container-title" : "Green Chemistry", "id" : "ITEM-1", "issue" : "0", "issued" : { "date-parts" : [ [ "2012" ] ] }, "page" : "90-93", "title" : "A quantitative comparison between conventional and bio-derived solvents from citrus waste in esterification and amidation kinetic studies", "type" : "article-journal", "volume" : "14" }, "uris" : [ "http://www.mendeley.com/documents/?uuid=51fcfd81-6125-4bba-968f-d9802d9ad1d3" ] }, { "id" : "ITEM-2", "itemData" : { "DOI" : "10.1016/j.apcata.2010.08.016", "ISSN" : "0926-860X", "abstract" : "A fine chemical intermediate in a wide range of chemical processes, p-cymene, has been obtained from Limonene, solids based on a natural clay (sepiolite) modified with sodium, nickel, iron or manganese oxides and programmable focalised microwaves. The process has the added bonus of one mol of hydrogen being produced per mol of limonene converted to p-cymene.", "author" : [ { "dropping-particle" : "", "family" : "Martin-Luengo", "given" : "M.A.", "non-dropping-particle" : "", "parse-names" : false, "suffix" : "" }, { "dropping-particle" : "", "family" : "Yates", "given" : "M.", "non-dropping-particle" : "", "parse-names" : false, "suffix" : "" }, { "dropping-particle" : "", "family" : "Rojo", "given" : "E. Saez", "non-dropping-particle" : "", "parse-names" : false, "suffix" : "" }, { "dropping-particle" : "", "family" : "Huerta Arribas", "given" : "D.", "non-dropping-particle" : "", "parse-names" : false, "suffix" : "" }, { "dropping-particle" : "", "family" : "Aguilar", "given" : "D.", "non-dropping-particle" : "", "parse-names" : false, "suffix" : "" }, { "dropping-particle" : "", "family" : "Ruiz Hitzky", "given" : "E.", "non-dropping-particle" : "", "parse-names" : false, "suffix" : "" } ], "container-title" : "Applied Catalysis A: General", "id" : "ITEM-2", "issue" : "1-2", "issued" : { "date-parts" : [ [ "2010" ] ] }, "page" : "141-146", "publisher" : "Elsevier B.V.", "title" : "Sustainable p-cymene and hydrogen from limonene", "type" : "article-journal", "volume" : "387" }, "uris" : [ "http://www.mendeley.com/documents/?uuid=b9a3de83-38e9-40cd-bbc5-94cf9f3ee7ce" ] } ], "mendeley" : { "formattedCitation" : "&lt;sup&gt;20,23&lt;/sup&gt;", "plainTextFormattedCitation" : "20,23", "previouslyFormattedCitation" : "&lt;sup&gt;20,23&lt;/sup&gt;" }, "properties" : { "noteIndex" : 0 }, "schema" : "https://github.com/citation-style-language/schema/raw/master/csl-citation.json" }</w:instrText>
      </w:r>
      <w:r w:rsidR="004A7BEC" w:rsidRPr="004A7BEC">
        <w:rPr>
          <w:noProof/>
        </w:rPr>
        <w:fldChar w:fldCharType="separate"/>
      </w:r>
      <w:r w:rsidR="004A7BEC" w:rsidRPr="004A7BEC">
        <w:rPr>
          <w:noProof/>
          <w:vertAlign w:val="superscript"/>
        </w:rPr>
        <w:t>20,23</w:t>
      </w:r>
      <w:r w:rsidR="004A7BEC" w:rsidRPr="004A7BEC">
        <w:rPr>
          <w:noProof/>
        </w:rPr>
        <w:fldChar w:fldCharType="end"/>
      </w:r>
      <w:r w:rsidR="002C5BFD">
        <w:rPr>
          <w:noProof/>
        </w:rPr>
        <w:t xml:space="preserve"> </w:t>
      </w:r>
      <w:r w:rsidR="00ED285A" w:rsidRPr="00F339C8">
        <w:rPr>
          <w:i/>
          <w:noProof/>
        </w:rPr>
        <w:t>p</w:t>
      </w:r>
      <w:r w:rsidR="00ED285A" w:rsidRPr="00F339C8">
        <w:rPr>
          <w:noProof/>
        </w:rPr>
        <w:t xml:space="preserve">-Cymene </w:t>
      </w:r>
      <w:r w:rsidR="00DB403A" w:rsidRPr="00F339C8">
        <w:rPr>
          <w:noProof/>
        </w:rPr>
        <w:t xml:space="preserve"> is also naturally occurring in its own right, being present in certain essential oils,</w:t>
      </w:r>
      <w:r w:rsidR="00DB403A" w:rsidRPr="00F339C8">
        <w:t xml:space="preserve"> </w:t>
      </w:r>
      <w:r w:rsidR="00DB403A" w:rsidRPr="00F339C8">
        <w:rPr>
          <w:noProof/>
        </w:rPr>
        <w:t>and is low</w:t>
      </w:r>
      <w:r w:rsidR="00774DE2" w:rsidRPr="00F339C8">
        <w:rPr>
          <w:noProof/>
        </w:rPr>
        <w:t xml:space="preserve"> enough</w:t>
      </w:r>
      <w:r w:rsidR="00DB403A" w:rsidRPr="00F339C8">
        <w:rPr>
          <w:noProof/>
        </w:rPr>
        <w:t xml:space="preserve"> in toxicity</w:t>
      </w:r>
      <w:r w:rsidR="00774DE2" w:rsidRPr="00F339C8">
        <w:rPr>
          <w:noProof/>
        </w:rPr>
        <w:t xml:space="preserve"> to be a recognised food additive.</w:t>
      </w:r>
      <w:r w:rsidR="00774DE2" w:rsidRPr="00F339C8">
        <w:rPr>
          <w:noProof/>
        </w:rPr>
        <w:fldChar w:fldCharType="begin" w:fldLock="1"/>
      </w:r>
      <w:r w:rsidR="00774DE2" w:rsidRPr="00F339C8">
        <w:rPr>
          <w:noProof/>
        </w:rPr>
        <w:instrText>ADDIN CSL_CITATION { "citationItems" : [ { "id" : "ITEM-1", "itemData" : { "DOI" : "10.3390/ma10080947", "ISSN" : "19961944", "abstract" : "\u00a9 2017 by the authors. p-Cymene [1-methyl-4-(1-methylethyl)-benzene] is a monoterpene found in over 100 plant species used for medicine and food purposes. It shows a range of biological activity including antioxidant, anti-inflammatory, antinociceptive, anxiolytic, anticancer and antimicrobial effects. This last property has been widely investigated due to the urgent need for new substances with antimicrobial properties, to be used to treat communicable diseases whose diffusion in developed countries has been facilitated by globalization and the evolution of antimicrobial resistance. This review summarizes available scientific data, as reported by the most recent studies describing the antimicrobial activity of p-cymene either alone, or as the main component of plant extracts, as well as addressing the mechanisms of action of cymenes as antimicrobial agents. While p-cymene is one of the major constituents of extracts and essential oils used in traditional medicines as antimicrobial agents, but considering the limited data on its in vivo efficacy and safety, further studies are required to reach a definitive recommendation on the use and beneficial effects of p-cymene in human healthcare and in biomedical applications as a promising candidate to functionalize biomaterials and nanomaterials.", "author" : [ { "dropping-particle" : "", "family" : "Marchese", "given" : "Anna", "non-dropping-particle" : "", "parse-names" : false, "suffix" : "" }, { "dropping-particle" : "", "family" : "Arciola", "given" : "Carla Renata", "non-dropping-particle" : "", "parse-names" : false, "suffix" : "" }, { "dropping-particle" : "", "family" : "Barbieri", "given" : "Ramona", "non-dropping-particle" : "", "parse-names" : false, "suffix" : "" }, { "dropping-particle" : "", "family" : "Silva", "given" : "Ana Sanches", "non-dropping-particle" : "", "parse-names" : false, "suffix" : "" }, { "dropping-particle" : "", "family" : "Nabavi", "given" : "Seyed Fazel", "non-dropping-particle" : "", "parse-names" : false, "suffix" : "" }, { "dropping-particle" : "", "family" : "Sokeng", "given" : "Arold Jorel Tsetegho", "non-dropping-particle" : "", "parse-names" : false, "suffix" : "" }, { "dropping-particle" : "", "family" : "Izadi", "given" : "Morteza", "non-dropping-particle" : "", "parse-names" : false, "suffix" : "" }, { "dropping-particle" : "", "family" : "Jafari", "given" : "Nematollah Jonaidi", "non-dropping-particle" : "", "parse-names" : false, "suffix" : "" }, { "dropping-particle" : "", "family" : "Suntar", "given" : "Ipek", "non-dropping-particle" : "", "parse-names" : false, "suffix" : "" }, { "dropping-particle" : "", "family" : "Daglia", "given" : "Maria", "non-dropping-particle" : "", "parse-names" : false, "suffix" : "" }, { "dropping-particle" : "", "family" : "Nabavi", "given" : "Seyed Mohammad", "non-dropping-particle" : "", "parse-names" : false, "suffix" : "" } ], "container-title" : "Materials", "id" : "ITEM-1", "issue" : "8", "issued" : { "date-parts" : [ [ "2017" ] ] }, "page" : "947-961", "title" : "Update on monoterpenes as antimicrobial agents: A particular focus on p-cymene", "type" : "article-journal", "volume" : "10" }, "uris" : [ "http://www.mendeley.com/documents/?uuid=8f398541-12d3-4b77-a5bd-cb1b947546ff" ] }, { "id" : "ITEM-2", "itemData" : { "URL" : "https://www.accessdata.fda.gov/scripts/cdrh/cfdocs/cfCFR/CFRSearch.cfm?fr=172.515", "accessed" : { "date-parts" : [ [ "2017", "1", "12" ] ] }, "author" : [ { "dropping-particle" : "", "family" : "Food and Drug Administration", "given" : "", "non-dropping-particle" : "", "parse-names" : false, "suffix" : "" } ], "container-title" : "C.F.R 2006", "id" : "ITEM-2", "issued" : { "date-parts" : [ [ "0" ] ] }, "title" : "Substances Generally Recognized as Safe Food Additives Permitted for Direct Addition to Food for Human Consumption.", "type" : "webpage" }, "uris" : [ "http://www.mendeley.com/documents/?uuid=975c478b-8a95-497e-a117-9ab27c59f415" ] } ], "mendeley" : { "formattedCitation" : "&lt;sup&gt;24,25&lt;/sup&gt;", "plainTextFormattedCitation" : "24,25", "previouslyFormattedCitation" : "&lt;sup&gt;24,25&lt;/sup&gt;" }, "properties" : { "noteIndex" : 3 }, "schema" : "https://github.com/citation-style-language/schema/raw/master/csl-citation.json" }</w:instrText>
      </w:r>
      <w:r w:rsidR="00774DE2" w:rsidRPr="00F339C8">
        <w:rPr>
          <w:noProof/>
        </w:rPr>
        <w:fldChar w:fldCharType="separate"/>
      </w:r>
      <w:r w:rsidR="00774DE2" w:rsidRPr="00F339C8">
        <w:rPr>
          <w:noProof/>
          <w:vertAlign w:val="superscript"/>
        </w:rPr>
        <w:t>24,25</w:t>
      </w:r>
      <w:r w:rsidR="00774DE2" w:rsidRPr="00F339C8">
        <w:rPr>
          <w:noProof/>
        </w:rPr>
        <w:fldChar w:fldCharType="end"/>
      </w:r>
      <w:r w:rsidR="00DB403A">
        <w:rPr>
          <w:noProof/>
        </w:rPr>
        <w:t xml:space="preserve"> </w:t>
      </w:r>
      <w:r w:rsidR="002C5BFD">
        <w:rPr>
          <w:noProof/>
        </w:rPr>
        <w:t xml:space="preserve">Another property of </w:t>
      </w:r>
      <w:r w:rsidR="002C5BFD" w:rsidRPr="00AC5179">
        <w:rPr>
          <w:i/>
          <w:noProof/>
        </w:rPr>
        <w:t>p</w:t>
      </w:r>
      <w:r w:rsidR="00C47F7D">
        <w:rPr>
          <w:noProof/>
        </w:rPr>
        <w:t>-cymene that makes it appeali</w:t>
      </w:r>
      <w:r w:rsidR="002C5BFD">
        <w:rPr>
          <w:noProof/>
        </w:rPr>
        <w:t xml:space="preserve">ng for this study is its boiling point (177 </w:t>
      </w:r>
      <w:r w:rsidR="00BD61F1">
        <w:rPr>
          <w:rFonts w:ascii="Ebrima" w:hAnsi="Ebrima"/>
          <w:noProof/>
        </w:rPr>
        <w:t>°</w:t>
      </w:r>
      <w:r w:rsidR="002C5BFD">
        <w:rPr>
          <w:noProof/>
        </w:rPr>
        <w:t xml:space="preserve">C compared to 111 </w:t>
      </w:r>
      <w:r w:rsidR="00BD61F1">
        <w:rPr>
          <w:rFonts w:ascii="Ebrima" w:hAnsi="Ebrima"/>
          <w:noProof/>
        </w:rPr>
        <w:t>°</w:t>
      </w:r>
      <w:r w:rsidR="002C5BFD">
        <w:rPr>
          <w:noProof/>
        </w:rPr>
        <w:t xml:space="preserve">C for toluene). We postulated a </w:t>
      </w:r>
      <w:r w:rsidR="005E4A11">
        <w:rPr>
          <w:noProof/>
        </w:rPr>
        <w:t>higher reflux temperature would</w:t>
      </w:r>
      <w:r w:rsidR="004A7BEC">
        <w:rPr>
          <w:noProof/>
        </w:rPr>
        <w:t xml:space="preserve"> </w:t>
      </w:r>
      <w:r w:rsidR="002C5BFD">
        <w:rPr>
          <w:noProof/>
        </w:rPr>
        <w:t xml:space="preserve">likely increase the rate of </w:t>
      </w:r>
      <w:r w:rsidR="004A7BEC">
        <w:rPr>
          <w:noProof/>
        </w:rPr>
        <w:t xml:space="preserve">direct </w:t>
      </w:r>
      <w:r w:rsidR="002C5BFD">
        <w:rPr>
          <w:noProof/>
        </w:rPr>
        <w:t>amidation, and ideally translate to shorter reaction times.</w:t>
      </w:r>
    </w:p>
    <w:p w14:paraId="248A0A39" w14:textId="77777777" w:rsidR="0049609B" w:rsidRDefault="0049609B" w:rsidP="0049609B">
      <w:pPr>
        <w:pStyle w:val="TAMainText"/>
        <w:ind w:firstLine="0"/>
      </w:pPr>
    </w:p>
    <w:p w14:paraId="2AF457C3" w14:textId="04B4BB82" w:rsidR="00375A72" w:rsidRDefault="00375A72" w:rsidP="0049609B">
      <w:pPr>
        <w:pStyle w:val="TAMainText"/>
        <w:ind w:firstLine="0"/>
      </w:pPr>
      <w:r>
        <w:t>RESULTS AND DISCUSSION</w:t>
      </w:r>
    </w:p>
    <w:p w14:paraId="4C9ED0F2" w14:textId="7D821F21" w:rsidR="005433C7" w:rsidRDefault="004834C6" w:rsidP="004B3DCC">
      <w:pPr>
        <w:pStyle w:val="TAMainText"/>
        <w:rPr>
          <w:noProof/>
        </w:rPr>
      </w:pPr>
      <w:r w:rsidRPr="00F339C8">
        <w:rPr>
          <w:noProof/>
        </w:rPr>
        <w:t>Thirteen</w:t>
      </w:r>
      <w:r w:rsidR="00EA6EFF" w:rsidRPr="00F339C8">
        <w:rPr>
          <w:noProof/>
        </w:rPr>
        <w:t xml:space="preserve"> amides were selected,</w:t>
      </w:r>
      <w:r w:rsidR="00B81AD9" w:rsidRPr="00F339C8">
        <w:rPr>
          <w:noProof/>
        </w:rPr>
        <w:t xml:space="preserve"> covering a range of aliphatic</w:t>
      </w:r>
      <w:r w:rsidRPr="00F339C8">
        <w:rPr>
          <w:noProof/>
        </w:rPr>
        <w:t>, furan</w:t>
      </w:r>
      <w:r w:rsidR="00B81AD9">
        <w:rPr>
          <w:noProof/>
        </w:rPr>
        <w:t xml:space="preserve"> and aromatic structures (shown in </w:t>
      </w:r>
      <w:r w:rsidR="00966A14">
        <w:rPr>
          <w:noProof/>
        </w:rPr>
        <w:t>T</w:t>
      </w:r>
      <w:r w:rsidR="008B04E4">
        <w:rPr>
          <w:noProof/>
        </w:rPr>
        <w:t>able 1</w:t>
      </w:r>
      <w:r w:rsidR="00B81AD9">
        <w:rPr>
          <w:noProof/>
        </w:rPr>
        <w:t>)</w:t>
      </w:r>
      <w:r w:rsidR="00EA6EFF">
        <w:rPr>
          <w:noProof/>
        </w:rPr>
        <w:t xml:space="preserve">, to test </w:t>
      </w:r>
      <w:r w:rsidR="00EA6EFF" w:rsidRPr="00EA6EFF">
        <w:rPr>
          <w:i/>
          <w:noProof/>
        </w:rPr>
        <w:t>p</w:t>
      </w:r>
      <w:r w:rsidR="00EA6EFF">
        <w:rPr>
          <w:noProof/>
        </w:rPr>
        <w:t>-cymene as a reaction solvent</w:t>
      </w:r>
      <w:r w:rsidR="00B81AD9">
        <w:rPr>
          <w:noProof/>
        </w:rPr>
        <w:t xml:space="preserve">. </w:t>
      </w:r>
      <w:r w:rsidR="001E3E61">
        <w:rPr>
          <w:noProof/>
        </w:rPr>
        <w:t xml:space="preserve">The ideal solubility of each amide was predicted using the Yalkowsky approximation (see </w:t>
      </w:r>
      <w:r w:rsidR="00966A14">
        <w:rPr>
          <w:noProof/>
        </w:rPr>
        <w:t>F</w:t>
      </w:r>
      <w:r w:rsidR="001E3E61">
        <w:rPr>
          <w:noProof/>
        </w:rPr>
        <w:t>igure 2).</w:t>
      </w:r>
      <w:r w:rsidR="005E6434">
        <w:rPr>
          <w:noProof/>
        </w:rPr>
        <w:fldChar w:fldCharType="begin" w:fldLock="1"/>
      </w:r>
      <w:r w:rsidR="00774DE2">
        <w:rPr>
          <w:noProof/>
        </w:rPr>
        <w:instrText>ADDIN CSL_CITATION { "citationItems" : [ { "id" : "ITEM-1", "itemData" : { "author" : [ { "dropping-particle" : "", "family" : "Yalkowsky", "given" : "S. H.", "non-dropping-particle" : "", "parse-names" : false, "suffix" : "" }, { "dropping-particle" : "", "family" : "Wu", "given" : "M.", "non-dropping-particle" : "", "parse-names" : false, "suffix" : "" } ], "container-title" : "J. Pharm. Sci.", "id" : "ITEM-1", "issued" : { "date-parts" : [ [ "2010" ] ] }, "page" : "1100-1106", "title" : "Estimation of the Ideal Solubility (Crystal-Liquid Fugacity Ratio) of Organic Compounds", "type" : "article-journal", "volume" : "99" }, "uris" : [ "http://www.mendeley.com/documents/?uuid=ba655acc-f4cd-498e-8cd5-665d68ba0e58" ] } ], "mendeley" : { "formattedCitation" : "&lt;sup&gt;26&lt;/sup&gt;", "plainTextFormattedCitation" : "26", "previouslyFormattedCitation" : "&lt;sup&gt;26&lt;/sup&gt;" }, "properties" : { "noteIndex" : 0 }, "schema" : "https://github.com/citation-style-language/schema/raw/master/csl-citation.json" }</w:instrText>
      </w:r>
      <w:r w:rsidR="005E6434">
        <w:rPr>
          <w:noProof/>
        </w:rPr>
        <w:fldChar w:fldCharType="separate"/>
      </w:r>
      <w:r w:rsidR="00774DE2" w:rsidRPr="00774DE2">
        <w:rPr>
          <w:noProof/>
          <w:vertAlign w:val="superscript"/>
        </w:rPr>
        <w:t>26</w:t>
      </w:r>
      <w:r w:rsidR="005E6434">
        <w:rPr>
          <w:noProof/>
        </w:rPr>
        <w:fldChar w:fldCharType="end"/>
      </w:r>
      <w:r w:rsidR="001E3E61">
        <w:rPr>
          <w:noProof/>
        </w:rPr>
        <w:t xml:space="preserve"> </w:t>
      </w:r>
      <w:r w:rsidR="00611DF7">
        <w:rPr>
          <w:noProof/>
        </w:rPr>
        <w:t>It is derived from the difference between the melting point of the solute and the temperature defined for the</w:t>
      </w:r>
      <w:r w:rsidR="00B92FAC">
        <w:rPr>
          <w:noProof/>
        </w:rPr>
        <w:t xml:space="preserve"> prediction. Amides with lower melting points</w:t>
      </w:r>
      <w:r w:rsidR="008C494E">
        <w:rPr>
          <w:noProof/>
        </w:rPr>
        <w:t xml:space="preserve"> </w:t>
      </w:r>
      <w:r w:rsidR="00F4090A">
        <w:rPr>
          <w:noProof/>
        </w:rPr>
        <w:t>have higher ideal</w:t>
      </w:r>
      <w:r w:rsidR="00B92FAC">
        <w:rPr>
          <w:noProof/>
        </w:rPr>
        <w:t xml:space="preserve"> solubilities due to the lower amount of energy required to break intermolecular interactions. </w:t>
      </w:r>
    </w:p>
    <w:p w14:paraId="0EC1D00A" w14:textId="03F12C0E" w:rsidR="00B5291B" w:rsidRDefault="00B5291B" w:rsidP="0049609B">
      <w:pPr>
        <w:pStyle w:val="TAMainText"/>
        <w:jc w:val="center"/>
        <w:rPr>
          <w:noProof/>
        </w:rPr>
      </w:pPr>
    </w:p>
    <w:p w14:paraId="5EC854E6" w14:textId="0B5CB422" w:rsidR="00E573E4" w:rsidRDefault="003107F3" w:rsidP="0049609B">
      <w:pPr>
        <w:pStyle w:val="TAMainText"/>
        <w:jc w:val="center"/>
        <w:rPr>
          <w:noProof/>
        </w:rPr>
      </w:pPr>
      <w:r>
        <w:rPr>
          <w:noProof/>
          <w:lang w:val="en-GB" w:eastAsia="en-GB"/>
        </w:rPr>
        <w:lastRenderedPageBreak/>
        <w:drawing>
          <wp:inline distT="0" distB="0" distL="0" distR="0" wp14:anchorId="604936FF" wp14:editId="455361B1">
            <wp:extent cx="4580633" cy="299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633" cy="2991600"/>
                    </a:xfrm>
                    <a:prstGeom prst="rect">
                      <a:avLst/>
                    </a:prstGeom>
                    <a:noFill/>
                  </pic:spPr>
                </pic:pic>
              </a:graphicData>
            </a:graphic>
          </wp:inline>
        </w:drawing>
      </w:r>
    </w:p>
    <w:p w14:paraId="7B85B0F8" w14:textId="7DC2FD41" w:rsidR="0049609B" w:rsidRDefault="0049609B" w:rsidP="004B3DCC">
      <w:pPr>
        <w:pStyle w:val="VAFigureCaption"/>
        <w:rPr>
          <w:noProof/>
        </w:rPr>
      </w:pPr>
      <w:r w:rsidRPr="00F339C8">
        <w:rPr>
          <w:b/>
          <w:noProof/>
        </w:rPr>
        <w:t>Figure 2.</w:t>
      </w:r>
      <w:r w:rsidR="003F1161">
        <w:rPr>
          <w:noProof/>
        </w:rPr>
        <w:t xml:space="preserve"> </w:t>
      </w:r>
      <w:r w:rsidR="003F1161" w:rsidRPr="003F1161">
        <w:rPr>
          <w:noProof/>
        </w:rPr>
        <w:t>Ideal solubility predic</w:t>
      </w:r>
      <w:r w:rsidR="003F1161">
        <w:rPr>
          <w:noProof/>
        </w:rPr>
        <w:t>tion using the Yalkowsky approximatio</w:t>
      </w:r>
      <w:r w:rsidR="003F1161" w:rsidRPr="003F1161">
        <w:rPr>
          <w:noProof/>
        </w:rPr>
        <w:t>n and literature melting points, at 25 °C.</w:t>
      </w:r>
      <w:r w:rsidR="00BD2D38">
        <w:rPr>
          <w:noProof/>
        </w:rPr>
        <w:t xml:space="preserve"> </w:t>
      </w:r>
    </w:p>
    <w:p w14:paraId="6318CD4D" w14:textId="183C6757" w:rsidR="000A382F" w:rsidRDefault="00C03D49" w:rsidP="004B3DCC">
      <w:pPr>
        <w:pStyle w:val="TAMainText"/>
      </w:pPr>
      <w:r>
        <w:t xml:space="preserve">This method is independent of the solvent. Even though the efficiency of the reaction is not predicted, the low solubility expected for amides </w:t>
      </w:r>
      <w:r w:rsidRPr="001435C6">
        <w:rPr>
          <w:b/>
        </w:rPr>
        <w:t>1-6</w:t>
      </w:r>
      <w:r>
        <w:t xml:space="preserve">, </w:t>
      </w:r>
      <w:r w:rsidRPr="001435C6">
        <w:rPr>
          <w:b/>
        </w:rPr>
        <w:t>10</w:t>
      </w:r>
      <w:r w:rsidR="00865773">
        <w:rPr>
          <w:b/>
        </w:rPr>
        <w:t xml:space="preserve">, </w:t>
      </w:r>
      <w:r w:rsidR="00865773" w:rsidRPr="00F339C8">
        <w:rPr>
          <w:b/>
        </w:rPr>
        <w:t>12</w:t>
      </w:r>
      <w:r w:rsidRPr="00F339C8">
        <w:t xml:space="preserve"> and </w:t>
      </w:r>
      <w:r w:rsidRPr="00F339C8">
        <w:rPr>
          <w:b/>
        </w:rPr>
        <w:t>1</w:t>
      </w:r>
      <w:r w:rsidR="00865773" w:rsidRPr="00F339C8">
        <w:rPr>
          <w:b/>
        </w:rPr>
        <w:t>3</w:t>
      </w:r>
      <w:r w:rsidR="001435C6">
        <w:t xml:space="preserve"> is of</w:t>
      </w:r>
      <w:r>
        <w:t xml:space="preserve"> significant b</w:t>
      </w:r>
      <w:r w:rsidR="001435C6">
        <w:t>enefit to</w:t>
      </w:r>
      <w:r>
        <w:t xml:space="preserve"> the recovery of the amides by filtration.</w:t>
      </w:r>
      <w:r w:rsidR="003E2A53">
        <w:t xml:space="preserve"> </w:t>
      </w:r>
      <w:r w:rsidR="00466E34">
        <w:t xml:space="preserve">To demonstrate the advantage of using a higher boiling solvent as a medium for the reactions, a heat map </w:t>
      </w:r>
      <w:r w:rsidR="00604F80">
        <w:t xml:space="preserve">(Figure 3) </w:t>
      </w:r>
      <w:r w:rsidR="00466E34">
        <w:t>was modelled using equations for enthalpy and entropy of activation (from the uncatalyzed amidation</w:t>
      </w:r>
      <w:r w:rsidR="00035EC9">
        <w:t xml:space="preserve">; </w:t>
      </w:r>
      <w:r w:rsidR="00035EC9" w:rsidRPr="00F339C8">
        <w:t>see Supporting Information for details</w:t>
      </w:r>
      <w:r w:rsidR="00466E34">
        <w:t>).</w:t>
      </w:r>
      <w:r w:rsidR="00AE3B24">
        <w:t xml:space="preserve"> </w:t>
      </w:r>
      <w:r w:rsidR="000A382F">
        <w:t xml:space="preserve">Theoretically, the highest rates of reaction can be achieved using solvents in the bottom-right hand corner of the graph (i.e. elevated temperatures and low polarity). The temperature is the dominating influence on the rate of reaction, as the reaction is entropically driven. </w:t>
      </w:r>
      <w:r w:rsidR="000A382F" w:rsidRPr="00132CBC">
        <w:t xml:space="preserve">The absolute solubility of each acid and amide was tested in both toluene and </w:t>
      </w:r>
      <w:r w:rsidR="000A382F" w:rsidRPr="002F761E">
        <w:rPr>
          <w:i/>
        </w:rPr>
        <w:t>p</w:t>
      </w:r>
      <w:r w:rsidR="000A382F" w:rsidRPr="00132CBC">
        <w:t>-cymene at 25 °C to establish the strength of the correlation between reality and our predicted results using these modelling techniques. T</w:t>
      </w:r>
      <w:r w:rsidR="000A382F">
        <w:t xml:space="preserve">he results are given in Table 1 and </w:t>
      </w:r>
      <w:r w:rsidR="000124B2">
        <w:t>are consistent</w:t>
      </w:r>
      <w:r w:rsidR="000A382F">
        <w:t xml:space="preserve"> with the prediction in Figure </w:t>
      </w:r>
      <w:r w:rsidR="000A382F" w:rsidRPr="00F339C8">
        <w:t>2</w:t>
      </w:r>
      <w:r w:rsidR="000124B2" w:rsidRPr="00F339C8">
        <w:t xml:space="preserve"> except for amide </w:t>
      </w:r>
      <w:r w:rsidR="000124B2" w:rsidRPr="00F339C8">
        <w:rPr>
          <w:b/>
        </w:rPr>
        <w:t>9</w:t>
      </w:r>
      <w:r w:rsidR="000124B2" w:rsidRPr="00F339C8">
        <w:t xml:space="preserve"> which was found to be poorly soluble despite its</w:t>
      </w:r>
      <w:r w:rsidR="00840384" w:rsidRPr="00F339C8">
        <w:t xml:space="preserve"> relatively</w:t>
      </w:r>
      <w:r w:rsidR="000124B2" w:rsidRPr="00F339C8">
        <w:t xml:space="preserve"> low melting point</w:t>
      </w:r>
      <w:r w:rsidR="00840384" w:rsidRPr="00F339C8">
        <w:t xml:space="preserve"> of 82-83 </w:t>
      </w:r>
      <w:r w:rsidR="00840384" w:rsidRPr="00F339C8">
        <w:rPr>
          <w:rFonts w:ascii="Calibri" w:hAnsi="Calibri" w:cs="Calibri"/>
        </w:rPr>
        <w:t>°</w:t>
      </w:r>
      <w:r w:rsidR="00840384" w:rsidRPr="00F339C8">
        <w:t>C</w:t>
      </w:r>
      <w:r w:rsidR="000A382F" w:rsidRPr="00F339C8">
        <w:t>.</w:t>
      </w:r>
      <w:r w:rsidR="00472AE2" w:rsidRPr="00F339C8">
        <w:fldChar w:fldCharType="begin" w:fldLock="1"/>
      </w:r>
      <w:r w:rsidR="00472AE2" w:rsidRPr="00F339C8">
        <w:instrText>ADDIN CSL_CITATION { "citationItems" : [ { "id" : "ITEM-1", "itemData" : { "DOI" : "10.1016/j.tet.2015.10.016", "ISSN" : "14645416", "abstract" : "OSU-6, an MCM-41 type hexagonal mesoporous silica with strong Bronsted acid properties, has been used to promote the high-yield conversion of carboxylic acids and esters to carboxamides as well as transamidations of primary amides in a one-pot solventless approach. A metal-free heterogeneous catalyst that promotes all of these processes has not been previously reported. OSU-6 enables these transformations to proceed in shorter times and at lower temperatures for a broad range of substrates. An added benefit is that the catalyst can be recycled and reused multiple times without significant loss of activity.", "author" : [ { "dropping-particle" : "", "family" : "Nammalwar", "given" : "Baskar", "non-dropping-particle" : "", "parse-names" : false, "suffix" : "" }, { "dropping-particle" : "", "family" : "Muddala", "given" : "Nagendra Prasad", "non-dropping-particle" : "", "parse-names" : false, "suffix" : "" }, { "dropping-particle" : "", "family" : "Watts", "given" : "Field M.", "non-dropping-particle" : "", "parse-names" : false, "suffix" : "" }, { "dropping-particle" : "", "family" : "Bunce", "given" : "Richard A.", "non-dropping-particle" : "", "parse-names" : false, "suffix" : "" } ], "container-title" : "Tetrahedron", "id" : "ITEM-1", "issue" : "48", "issued" : { "date-parts" : [ [ "2015" ] ] }, "page" : "9101-9111", "title" : "Efficient conversion of acids and esters to amides and transamidation of primary amides using OSU-6", "type" : "article-journal", "volume" : "71" }, "uris" : [ "http://www.mendeley.com/documents/?uuid=60addfe0-9503-4036-a1f7-2070870c1448" ] } ], "mendeley" : { "formattedCitation" : "&lt;sup&gt;27&lt;/sup&gt;", "plainTextFormattedCitation" : "27", "previouslyFormattedCitation" : "&lt;sup&gt;27&lt;/sup&gt;" }, "properties" : { "noteIndex" : 5 }, "schema" : "https://github.com/citation-style-language/schema/raw/master/csl-citation.json" }</w:instrText>
      </w:r>
      <w:r w:rsidR="00472AE2" w:rsidRPr="00F339C8">
        <w:fldChar w:fldCharType="separate"/>
      </w:r>
      <w:r w:rsidR="00472AE2" w:rsidRPr="00F339C8">
        <w:rPr>
          <w:noProof/>
          <w:vertAlign w:val="superscript"/>
        </w:rPr>
        <w:t>27</w:t>
      </w:r>
      <w:r w:rsidR="00472AE2" w:rsidRPr="00F339C8">
        <w:fldChar w:fldCharType="end"/>
      </w:r>
      <w:r w:rsidR="000A382F">
        <w:t xml:space="preserve"> </w:t>
      </w:r>
      <w:r w:rsidR="000A382F" w:rsidRPr="00A76EF0">
        <w:t>HSPiP software was used to de</w:t>
      </w:r>
      <w:r w:rsidR="00930A69">
        <w:t>termine the Hansen s</w:t>
      </w:r>
      <w:r w:rsidR="007E319E">
        <w:t>olubili</w:t>
      </w:r>
      <w:r w:rsidR="00930A69">
        <w:t>ty p</w:t>
      </w:r>
      <w:r w:rsidR="000A382F" w:rsidRPr="00A76EF0">
        <w:t>arameters of each amid</w:t>
      </w:r>
      <w:r w:rsidR="00625B42">
        <w:t>e and reaction solvent (Figure 4</w:t>
      </w:r>
      <w:r w:rsidR="000A382F" w:rsidRPr="00A76EF0">
        <w:t xml:space="preserve">). </w:t>
      </w:r>
    </w:p>
    <w:p w14:paraId="4E1A132D" w14:textId="4988DB9D" w:rsidR="005173A3" w:rsidRDefault="00B379FE" w:rsidP="0049609B">
      <w:pPr>
        <w:pStyle w:val="TAMainText"/>
        <w:jc w:val="center"/>
      </w:pPr>
      <w:r>
        <w:rPr>
          <w:noProof/>
          <w:lang w:val="en-GB" w:eastAsia="en-GB"/>
        </w:rPr>
        <w:lastRenderedPageBreak/>
        <w:drawing>
          <wp:inline distT="0" distB="0" distL="0" distR="0" wp14:anchorId="0333D435" wp14:editId="6318C1A0">
            <wp:extent cx="4739808" cy="338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8399" cy="3396550"/>
                    </a:xfrm>
                    <a:prstGeom prst="rect">
                      <a:avLst/>
                    </a:prstGeom>
                    <a:noFill/>
                  </pic:spPr>
                </pic:pic>
              </a:graphicData>
            </a:graphic>
          </wp:inline>
        </w:drawing>
      </w:r>
    </w:p>
    <w:p w14:paraId="2B747616" w14:textId="3F6471DF" w:rsidR="00604F80" w:rsidRDefault="0049609B" w:rsidP="00604F80">
      <w:pPr>
        <w:pStyle w:val="VAFigureCaption"/>
      </w:pPr>
      <w:r w:rsidRPr="0049609B">
        <w:rPr>
          <w:b/>
        </w:rPr>
        <w:t>Figure 3.</w:t>
      </w:r>
      <w:r w:rsidR="00825BA8">
        <w:t xml:space="preserve"> Heat map modelling showing the e</w:t>
      </w:r>
      <w:r w:rsidR="00825BA8" w:rsidRPr="00825BA8">
        <w:t>ffect of solvent hydrogen bond basicity and temperature on the rate of reacti</w:t>
      </w:r>
      <w:r w:rsidR="00BD144A">
        <w:t xml:space="preserve">on of </w:t>
      </w:r>
      <w:r w:rsidR="007E0ADE">
        <w:t>phenylbutyric acid and benzylamine</w:t>
      </w:r>
      <w:r w:rsidR="00BD144A">
        <w:t xml:space="preserve"> </w:t>
      </w:r>
      <w:r w:rsidR="007E0ADE">
        <w:t>(</w:t>
      </w:r>
      <w:r w:rsidR="00BD144A">
        <w:t>un</w:t>
      </w:r>
      <w:r w:rsidR="00346D79">
        <w:t>-</w:t>
      </w:r>
      <w:r w:rsidR="00BD144A">
        <w:t>catalyzed</w:t>
      </w:r>
      <w:r w:rsidR="007E0ADE">
        <w:t>)</w:t>
      </w:r>
      <w:r w:rsidR="00825BA8" w:rsidRPr="00825BA8">
        <w:t>.</w:t>
      </w:r>
    </w:p>
    <w:p w14:paraId="63AA00A3" w14:textId="35258C1C" w:rsidR="00435BD6" w:rsidRDefault="00435BD6" w:rsidP="00604F80">
      <w:pPr>
        <w:pStyle w:val="TAMainText"/>
        <w:ind w:firstLine="0"/>
      </w:pPr>
    </w:p>
    <w:p w14:paraId="4850C66E" w14:textId="0EBC9836" w:rsidR="00E40832" w:rsidRPr="00E40832" w:rsidRDefault="00604F80" w:rsidP="0049609B">
      <w:pPr>
        <w:pStyle w:val="TAMainText"/>
        <w:jc w:val="center"/>
      </w:pPr>
      <w:r>
        <w:rPr>
          <w:noProof/>
          <w:lang w:val="en-GB" w:eastAsia="en-GB"/>
        </w:rPr>
        <w:drawing>
          <wp:inline distT="0" distB="0" distL="0" distR="0" wp14:anchorId="12B1D60D" wp14:editId="56802182">
            <wp:extent cx="3042285" cy="2284730"/>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995" b="367"/>
                    <a:stretch/>
                  </pic:blipFill>
                  <pic:spPr bwMode="auto">
                    <a:xfrm>
                      <a:off x="0" y="0"/>
                      <a:ext cx="3042285" cy="2284730"/>
                    </a:xfrm>
                    <a:prstGeom prst="rect">
                      <a:avLst/>
                    </a:prstGeom>
                    <a:noFill/>
                    <a:ln>
                      <a:noFill/>
                    </a:ln>
                    <a:extLst>
                      <a:ext uri="{53640926-AAD7-44D8-BBD7-CCE9431645EC}">
                        <a14:shadowObscured xmlns:a14="http://schemas.microsoft.com/office/drawing/2010/main"/>
                      </a:ext>
                    </a:extLst>
                  </pic:spPr>
                </pic:pic>
              </a:graphicData>
            </a:graphic>
          </wp:inline>
        </w:drawing>
      </w:r>
      <w:r w:rsidRPr="00604F80">
        <w:rPr>
          <w:noProof/>
          <w:lang w:val="en-GB" w:eastAsia="en-GB"/>
        </w:rPr>
        <w:t xml:space="preserve"> </w:t>
      </w:r>
      <w:r>
        <w:rPr>
          <w:noProof/>
          <w:lang w:val="en-GB" w:eastAsia="en-GB"/>
        </w:rPr>
        <w:drawing>
          <wp:inline distT="0" distB="0" distL="0" distR="0" wp14:anchorId="3CB2AD30" wp14:editId="7738BB8E">
            <wp:extent cx="3042285" cy="23228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9" b="1119"/>
                    <a:stretch/>
                  </pic:blipFill>
                  <pic:spPr bwMode="auto">
                    <a:xfrm>
                      <a:off x="0" y="0"/>
                      <a:ext cx="3042285" cy="2322830"/>
                    </a:xfrm>
                    <a:prstGeom prst="rect">
                      <a:avLst/>
                    </a:prstGeom>
                    <a:noFill/>
                  </pic:spPr>
                </pic:pic>
              </a:graphicData>
            </a:graphic>
          </wp:inline>
        </w:drawing>
      </w:r>
    </w:p>
    <w:p w14:paraId="6F3BFD9F" w14:textId="77FEA5E1" w:rsidR="007E319E" w:rsidRDefault="004B3DCC" w:rsidP="0049609B">
      <w:pPr>
        <w:pStyle w:val="VAFigureCaption"/>
      </w:pPr>
      <w:r w:rsidRPr="004B3DCC">
        <w:rPr>
          <w:b/>
        </w:rPr>
        <w:t>Figure 4.</w:t>
      </w:r>
      <w:r w:rsidR="009D4CCC">
        <w:t xml:space="preserve"> </w:t>
      </w:r>
      <w:r w:rsidR="008701E0" w:rsidRPr="008701E0">
        <w:t xml:space="preserve">Hansen space featuring non-hazardous solvents from the CHEM21 selection guide for classical and neoteric solvents for amide </w:t>
      </w:r>
      <w:r w:rsidR="00E40832" w:rsidRPr="00E40832">
        <w:rPr>
          <w:b/>
        </w:rPr>
        <w:t>1</w:t>
      </w:r>
      <w:r w:rsidR="00604F80">
        <w:t xml:space="preserve"> (left</w:t>
      </w:r>
      <w:r w:rsidR="00E40832">
        <w:t xml:space="preserve">) and amide </w:t>
      </w:r>
      <w:r w:rsidR="00E40832" w:rsidRPr="00E40832">
        <w:rPr>
          <w:b/>
        </w:rPr>
        <w:t>12</w:t>
      </w:r>
      <w:r w:rsidR="00604F80">
        <w:t xml:space="preserve"> (right</w:t>
      </w:r>
      <w:r w:rsidR="008701E0" w:rsidRPr="008701E0">
        <w:t>) (green data points).  Blue data points are within the sphere, and represent solvents that will dissolve the amide. Red data points repre</w:t>
      </w:r>
      <w:r w:rsidR="00DD5FFC">
        <w:t>sent solvents that will advanta</w:t>
      </w:r>
      <w:r w:rsidR="008701E0" w:rsidRPr="008701E0">
        <w:t>g</w:t>
      </w:r>
      <w:r w:rsidR="00DD5FFC">
        <w:t>e</w:t>
      </w:r>
      <w:r w:rsidR="007E319E">
        <w:t xml:space="preserve">ously not dissolve the </w:t>
      </w:r>
      <w:r w:rsidR="008701E0" w:rsidRPr="008701E0">
        <w:t>amide</w:t>
      </w:r>
      <w:r w:rsidR="008701E0" w:rsidRPr="00F339C8">
        <w:t>.</w:t>
      </w:r>
      <w:r w:rsidR="00EF7B3C" w:rsidRPr="00F339C8">
        <w:t xml:space="preserve"> See Figure S1</w:t>
      </w:r>
      <w:r w:rsidR="00346D79" w:rsidRPr="00F339C8">
        <w:t xml:space="preserve"> for 2D representations of the </w:t>
      </w:r>
      <w:r w:rsidR="00035EC9" w:rsidRPr="00F339C8">
        <w:t>Hansen space</w:t>
      </w:r>
      <w:r w:rsidR="00346D79" w:rsidRPr="00F339C8">
        <w:t>.</w:t>
      </w:r>
    </w:p>
    <w:p w14:paraId="33BCD653" w14:textId="6E770BBD" w:rsidR="003E4947" w:rsidRDefault="003E4947" w:rsidP="003E4947"/>
    <w:p w14:paraId="680A31FA" w14:textId="77777777" w:rsidR="003E4947" w:rsidRPr="003E4947" w:rsidRDefault="003E4947" w:rsidP="003E4947">
      <w:pPr>
        <w:sectPr w:rsidR="003E4947" w:rsidRPr="003E4947" w:rsidSect="00B63339">
          <w:type w:val="continuous"/>
          <w:pgSz w:w="12240" w:h="15840"/>
          <w:pgMar w:top="720" w:right="1094" w:bottom="950" w:left="1094" w:header="720" w:footer="720" w:gutter="0"/>
          <w:cols w:space="461"/>
        </w:sectPr>
      </w:pPr>
    </w:p>
    <w:p w14:paraId="22687C4A" w14:textId="2A775C09" w:rsidR="005173A3" w:rsidRDefault="007A11E6" w:rsidP="0049609B">
      <w:pPr>
        <w:pStyle w:val="VDTableTitle"/>
      </w:pPr>
      <w:r w:rsidRPr="0049609B">
        <w:rPr>
          <w:b/>
        </w:rPr>
        <w:t xml:space="preserve">Table </w:t>
      </w:r>
      <w:r w:rsidR="009D38FC" w:rsidRPr="0049609B">
        <w:rPr>
          <w:b/>
        </w:rPr>
        <w:t>1</w:t>
      </w:r>
      <w:r w:rsidRPr="0049609B">
        <w:rPr>
          <w:b/>
        </w:rPr>
        <w:t>.</w:t>
      </w:r>
      <w:r w:rsidRPr="007A11E6">
        <w:t xml:space="preserve"> Isolated yields for direc</w:t>
      </w:r>
      <w:r w:rsidR="009B2BE3">
        <w:t>t amide formation in toluene or</w:t>
      </w:r>
      <w:r w:rsidRPr="007A11E6">
        <w:t xml:space="preserve"> </w:t>
      </w:r>
      <w:r w:rsidRPr="00594E19">
        <w:rPr>
          <w:i/>
        </w:rPr>
        <w:t>p</w:t>
      </w:r>
      <w:r w:rsidR="00763E32">
        <w:t>-cymene solvents along with e</w:t>
      </w:r>
      <w:r w:rsidR="00763E32" w:rsidRPr="00763E32">
        <w:t>xperimental solubilities of</w:t>
      </w:r>
      <w:r w:rsidR="009B2BE3">
        <w:t xml:space="preserve"> amides in toluene or</w:t>
      </w:r>
      <w:r w:rsidR="00763E32">
        <w:t xml:space="preserve"> </w:t>
      </w:r>
      <w:r w:rsidR="00763E32" w:rsidRPr="00763E32">
        <w:rPr>
          <w:i/>
        </w:rPr>
        <w:t>p</w:t>
      </w:r>
      <w:r w:rsidR="00763E32">
        <w:t>-cymene.</w:t>
      </w:r>
    </w:p>
    <w:p w14:paraId="4A81BB33" w14:textId="1EBC18B1" w:rsidR="007A11E6" w:rsidRDefault="00B835C1" w:rsidP="00DD5FFC">
      <w:pPr>
        <w:jc w:val="center"/>
      </w:pPr>
      <w:r>
        <w:object w:dxaOrig="7561" w:dyaOrig="838" w14:anchorId="0951B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42pt" o:ole="">
            <v:imagedata r:id="rId15" o:title=""/>
          </v:shape>
          <o:OLEObject Type="Embed" ProgID="ChemDraw.Document.6.0" ShapeID="_x0000_i1025" DrawAspect="Content" ObjectID="_1575366265" r:id="rId16"/>
        </w:object>
      </w:r>
    </w:p>
    <w:tbl>
      <w:tblPr>
        <w:tblStyle w:val="TableGrid2"/>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1413"/>
        <w:gridCol w:w="1558"/>
        <w:gridCol w:w="1136"/>
        <w:gridCol w:w="1415"/>
        <w:gridCol w:w="1277"/>
        <w:gridCol w:w="1242"/>
        <w:gridCol w:w="1297"/>
      </w:tblGrid>
      <w:tr w:rsidR="001033C6" w:rsidRPr="007A11E6" w14:paraId="5BB904DE" w14:textId="77777777" w:rsidTr="00D015C9">
        <w:trPr>
          <w:trHeight w:val="264"/>
          <w:jc w:val="center"/>
        </w:trPr>
        <w:tc>
          <w:tcPr>
            <w:tcW w:w="355" w:type="pct"/>
            <w:vMerge w:val="restart"/>
            <w:tcBorders>
              <w:top w:val="single" w:sz="4" w:space="0" w:color="auto"/>
            </w:tcBorders>
            <w:vAlign w:val="center"/>
          </w:tcPr>
          <w:p w14:paraId="4D5941E6" w14:textId="77777777" w:rsidR="001033C6" w:rsidRPr="007A11E6" w:rsidRDefault="001033C6" w:rsidP="0049609B">
            <w:pPr>
              <w:pStyle w:val="TCTableBody"/>
            </w:pPr>
            <w:r w:rsidRPr="007A11E6">
              <w:t>Entry</w:t>
            </w:r>
          </w:p>
        </w:tc>
        <w:tc>
          <w:tcPr>
            <w:tcW w:w="703" w:type="pct"/>
            <w:vMerge w:val="restart"/>
            <w:tcBorders>
              <w:top w:val="single" w:sz="4" w:space="0" w:color="auto"/>
            </w:tcBorders>
            <w:vAlign w:val="center"/>
          </w:tcPr>
          <w:p w14:paraId="74420039" w14:textId="77777777" w:rsidR="001033C6" w:rsidRPr="007A11E6" w:rsidRDefault="001033C6" w:rsidP="0049609B">
            <w:pPr>
              <w:pStyle w:val="TCTableBody"/>
            </w:pPr>
            <w:r w:rsidRPr="007A11E6">
              <w:t>R</w:t>
            </w:r>
            <w:r w:rsidRPr="007A11E6">
              <w:rPr>
                <w:vertAlign w:val="superscript"/>
              </w:rPr>
              <w:t>1,a</w:t>
            </w:r>
          </w:p>
        </w:tc>
        <w:tc>
          <w:tcPr>
            <w:tcW w:w="775" w:type="pct"/>
            <w:vMerge w:val="restart"/>
            <w:tcBorders>
              <w:top w:val="single" w:sz="4" w:space="0" w:color="auto"/>
            </w:tcBorders>
            <w:vAlign w:val="center"/>
          </w:tcPr>
          <w:p w14:paraId="230F8B96" w14:textId="77777777" w:rsidR="001033C6" w:rsidRPr="007A11E6" w:rsidRDefault="001033C6" w:rsidP="0049609B">
            <w:pPr>
              <w:pStyle w:val="TCTableBody"/>
            </w:pPr>
            <w:r w:rsidRPr="007A11E6">
              <w:t>R</w:t>
            </w:r>
            <w:r w:rsidRPr="007A11E6">
              <w:rPr>
                <w:vertAlign w:val="superscript"/>
              </w:rPr>
              <w:t>2,a</w:t>
            </w:r>
          </w:p>
        </w:tc>
        <w:tc>
          <w:tcPr>
            <w:tcW w:w="1904" w:type="pct"/>
            <w:gridSpan w:val="3"/>
            <w:tcBorders>
              <w:top w:val="single" w:sz="4" w:space="0" w:color="auto"/>
            </w:tcBorders>
            <w:vAlign w:val="center"/>
          </w:tcPr>
          <w:p w14:paraId="31BACBFA" w14:textId="36280847" w:rsidR="001033C6" w:rsidRPr="001033C6" w:rsidRDefault="001033C6" w:rsidP="0049609B">
            <w:pPr>
              <w:pStyle w:val="TCTableBody"/>
            </w:pPr>
            <w:r w:rsidRPr="001033C6">
              <w:t>Isolated % Yield</w:t>
            </w:r>
          </w:p>
        </w:tc>
        <w:tc>
          <w:tcPr>
            <w:tcW w:w="1263" w:type="pct"/>
            <w:gridSpan w:val="2"/>
            <w:tcBorders>
              <w:top w:val="single" w:sz="4" w:space="0" w:color="auto"/>
              <w:bottom w:val="single" w:sz="4" w:space="0" w:color="auto"/>
            </w:tcBorders>
            <w:vAlign w:val="center"/>
          </w:tcPr>
          <w:p w14:paraId="6630083D" w14:textId="77777777" w:rsidR="001033C6" w:rsidRPr="007A11E6" w:rsidRDefault="001033C6" w:rsidP="0049609B">
            <w:pPr>
              <w:pStyle w:val="TCTableBody"/>
            </w:pPr>
            <w:r w:rsidRPr="007A11E6">
              <w:t>Amide Solubility /mol kg</w:t>
            </w:r>
            <w:r w:rsidRPr="007A11E6">
              <w:rPr>
                <w:vertAlign w:val="superscript"/>
              </w:rPr>
              <w:t>-1</w:t>
            </w:r>
          </w:p>
        </w:tc>
      </w:tr>
      <w:tr w:rsidR="001033C6" w:rsidRPr="007A11E6" w14:paraId="5E576DC8" w14:textId="77777777" w:rsidTr="00D015C9">
        <w:trPr>
          <w:trHeight w:val="264"/>
          <w:jc w:val="center"/>
        </w:trPr>
        <w:tc>
          <w:tcPr>
            <w:tcW w:w="355" w:type="pct"/>
            <w:vMerge/>
            <w:tcBorders>
              <w:bottom w:val="single" w:sz="4" w:space="0" w:color="auto"/>
            </w:tcBorders>
            <w:vAlign w:val="center"/>
          </w:tcPr>
          <w:p w14:paraId="63FCAA63" w14:textId="77777777" w:rsidR="001033C6" w:rsidRPr="007A11E6" w:rsidRDefault="001033C6" w:rsidP="0049609B">
            <w:pPr>
              <w:pStyle w:val="TCTableBody"/>
            </w:pPr>
          </w:p>
        </w:tc>
        <w:tc>
          <w:tcPr>
            <w:tcW w:w="703" w:type="pct"/>
            <w:vMerge/>
            <w:tcBorders>
              <w:bottom w:val="single" w:sz="4" w:space="0" w:color="auto"/>
            </w:tcBorders>
            <w:vAlign w:val="center"/>
          </w:tcPr>
          <w:p w14:paraId="6F218DD3" w14:textId="77777777" w:rsidR="001033C6" w:rsidRPr="007A11E6" w:rsidRDefault="001033C6" w:rsidP="0049609B">
            <w:pPr>
              <w:pStyle w:val="TCTableBody"/>
            </w:pPr>
          </w:p>
        </w:tc>
        <w:tc>
          <w:tcPr>
            <w:tcW w:w="775" w:type="pct"/>
            <w:vMerge/>
            <w:tcBorders>
              <w:bottom w:val="single" w:sz="4" w:space="0" w:color="auto"/>
            </w:tcBorders>
            <w:vAlign w:val="center"/>
          </w:tcPr>
          <w:p w14:paraId="754ACD23" w14:textId="77777777" w:rsidR="001033C6" w:rsidRPr="007A11E6" w:rsidRDefault="001033C6" w:rsidP="0049609B">
            <w:pPr>
              <w:pStyle w:val="TCTableBody"/>
            </w:pPr>
          </w:p>
        </w:tc>
        <w:tc>
          <w:tcPr>
            <w:tcW w:w="565" w:type="pct"/>
            <w:tcBorders>
              <w:top w:val="single" w:sz="4" w:space="0" w:color="auto"/>
              <w:bottom w:val="single" w:sz="4" w:space="0" w:color="auto"/>
            </w:tcBorders>
            <w:vAlign w:val="center"/>
          </w:tcPr>
          <w:p w14:paraId="51ACB0B9" w14:textId="5FE5C353" w:rsidR="001033C6" w:rsidRPr="007A11E6" w:rsidRDefault="001033C6" w:rsidP="0049609B">
            <w:pPr>
              <w:pStyle w:val="TCTableBody"/>
            </w:pPr>
            <w:r w:rsidRPr="007A11E6">
              <w:t>Toluene</w:t>
            </w:r>
          </w:p>
        </w:tc>
        <w:tc>
          <w:tcPr>
            <w:tcW w:w="704" w:type="pct"/>
            <w:tcBorders>
              <w:top w:val="single" w:sz="4" w:space="0" w:color="auto"/>
              <w:bottom w:val="single" w:sz="4" w:space="0" w:color="auto"/>
            </w:tcBorders>
            <w:vAlign w:val="center"/>
          </w:tcPr>
          <w:p w14:paraId="69049088" w14:textId="40190DFE" w:rsidR="001033C6" w:rsidRPr="007A11E6" w:rsidRDefault="001033C6" w:rsidP="0049609B">
            <w:pPr>
              <w:pStyle w:val="TCTableBody"/>
              <w:rPr>
                <w:i/>
              </w:rPr>
            </w:pPr>
            <w:r w:rsidRPr="007A11E6">
              <w:rPr>
                <w:i/>
              </w:rPr>
              <w:t>p</w:t>
            </w:r>
            <w:r w:rsidRPr="007A11E6">
              <w:t>-Cymene</w:t>
            </w:r>
            <w:r w:rsidRPr="007A11E6">
              <w:rPr>
                <w:vertAlign w:val="superscript"/>
              </w:rPr>
              <w:t>b</w:t>
            </w:r>
          </w:p>
        </w:tc>
        <w:tc>
          <w:tcPr>
            <w:tcW w:w="635" w:type="pct"/>
            <w:tcBorders>
              <w:top w:val="single" w:sz="4" w:space="0" w:color="auto"/>
              <w:bottom w:val="single" w:sz="4" w:space="0" w:color="auto"/>
            </w:tcBorders>
            <w:vAlign w:val="center"/>
          </w:tcPr>
          <w:p w14:paraId="6F299DC0" w14:textId="1C372CF3" w:rsidR="001033C6" w:rsidRPr="007A11E6" w:rsidRDefault="001033C6" w:rsidP="0049609B">
            <w:pPr>
              <w:pStyle w:val="TCTableBody"/>
              <w:rPr>
                <w:i/>
              </w:rPr>
            </w:pPr>
            <w:r w:rsidRPr="007A11E6">
              <w:rPr>
                <w:i/>
              </w:rPr>
              <w:t>p</w:t>
            </w:r>
            <w:r w:rsidRPr="007A11E6">
              <w:t>-Cymene</w:t>
            </w:r>
          </w:p>
        </w:tc>
        <w:tc>
          <w:tcPr>
            <w:tcW w:w="618" w:type="pct"/>
            <w:tcBorders>
              <w:top w:val="single" w:sz="4" w:space="0" w:color="auto"/>
              <w:bottom w:val="single" w:sz="4" w:space="0" w:color="auto"/>
            </w:tcBorders>
            <w:vAlign w:val="center"/>
          </w:tcPr>
          <w:p w14:paraId="2A95C19E" w14:textId="5605C15F" w:rsidR="001033C6" w:rsidRPr="007A11E6" w:rsidRDefault="001033C6" w:rsidP="0049609B">
            <w:pPr>
              <w:pStyle w:val="TCTableBody"/>
            </w:pPr>
            <w:r>
              <w:t>T</w:t>
            </w:r>
            <w:r w:rsidRPr="007A11E6">
              <w:t>oluene</w:t>
            </w:r>
          </w:p>
        </w:tc>
        <w:tc>
          <w:tcPr>
            <w:tcW w:w="645" w:type="pct"/>
            <w:tcBorders>
              <w:bottom w:val="single" w:sz="4" w:space="0" w:color="auto"/>
            </w:tcBorders>
            <w:vAlign w:val="center"/>
          </w:tcPr>
          <w:p w14:paraId="4E318F68" w14:textId="4CA4508A" w:rsidR="001033C6" w:rsidRPr="007A11E6" w:rsidRDefault="001033C6" w:rsidP="0049609B">
            <w:pPr>
              <w:pStyle w:val="TCTableBody"/>
            </w:pPr>
            <w:r w:rsidRPr="007A11E6">
              <w:rPr>
                <w:i/>
              </w:rPr>
              <w:t>p</w:t>
            </w:r>
            <w:r>
              <w:t>-C</w:t>
            </w:r>
            <w:r w:rsidRPr="007A11E6">
              <w:t>ymene</w:t>
            </w:r>
          </w:p>
        </w:tc>
      </w:tr>
      <w:tr w:rsidR="00F36651" w:rsidRPr="007A11E6" w14:paraId="77EA9ACC" w14:textId="77777777" w:rsidTr="00F36651">
        <w:trPr>
          <w:jc w:val="center"/>
        </w:trPr>
        <w:tc>
          <w:tcPr>
            <w:tcW w:w="355" w:type="pct"/>
            <w:tcBorders>
              <w:top w:val="single" w:sz="4" w:space="0" w:color="auto"/>
            </w:tcBorders>
          </w:tcPr>
          <w:p w14:paraId="5B1B8C2A" w14:textId="77777777" w:rsidR="007A11E6" w:rsidRPr="007A11E6" w:rsidRDefault="007A11E6" w:rsidP="0049609B">
            <w:pPr>
              <w:pStyle w:val="TCTableBody"/>
            </w:pPr>
            <w:r w:rsidRPr="007A11E6">
              <w:t>1</w:t>
            </w:r>
          </w:p>
        </w:tc>
        <w:tc>
          <w:tcPr>
            <w:tcW w:w="703" w:type="pct"/>
            <w:tcBorders>
              <w:top w:val="single" w:sz="4" w:space="0" w:color="auto"/>
            </w:tcBorders>
          </w:tcPr>
          <w:p w14:paraId="4ADD006C"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r w:rsidRPr="007A11E6">
              <w:t>CH</w:t>
            </w:r>
            <w:r w:rsidRPr="007A11E6">
              <w:rPr>
                <w:vertAlign w:val="subscript"/>
              </w:rPr>
              <w:t>2</w:t>
            </w:r>
            <w:r w:rsidRPr="007A11E6">
              <w:t>CH</w:t>
            </w:r>
            <w:r w:rsidRPr="007A11E6">
              <w:rPr>
                <w:vertAlign w:val="subscript"/>
              </w:rPr>
              <w:t>2</w:t>
            </w:r>
            <w:r w:rsidRPr="007A11E6">
              <w:t>CH</w:t>
            </w:r>
            <w:r w:rsidRPr="007A11E6">
              <w:rPr>
                <w:vertAlign w:val="subscript"/>
              </w:rPr>
              <w:t>2</w:t>
            </w:r>
          </w:p>
        </w:tc>
        <w:tc>
          <w:tcPr>
            <w:tcW w:w="775" w:type="pct"/>
            <w:tcBorders>
              <w:top w:val="single" w:sz="4" w:space="0" w:color="auto"/>
            </w:tcBorders>
          </w:tcPr>
          <w:p w14:paraId="1B660EEC"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p>
        </w:tc>
        <w:tc>
          <w:tcPr>
            <w:tcW w:w="565" w:type="pct"/>
            <w:tcBorders>
              <w:top w:val="single" w:sz="4" w:space="0" w:color="auto"/>
            </w:tcBorders>
          </w:tcPr>
          <w:p w14:paraId="3557257D" w14:textId="77777777" w:rsidR="007A11E6" w:rsidRPr="007A11E6" w:rsidRDefault="007A11E6" w:rsidP="0049609B">
            <w:pPr>
              <w:pStyle w:val="TCTableBody"/>
            </w:pPr>
            <w:r w:rsidRPr="007A11E6">
              <w:t>61</w:t>
            </w:r>
          </w:p>
        </w:tc>
        <w:tc>
          <w:tcPr>
            <w:tcW w:w="704" w:type="pct"/>
            <w:tcBorders>
              <w:top w:val="single" w:sz="4" w:space="0" w:color="auto"/>
            </w:tcBorders>
          </w:tcPr>
          <w:p w14:paraId="6B45F743" w14:textId="77777777" w:rsidR="007A11E6" w:rsidRPr="007A11E6" w:rsidRDefault="007A11E6" w:rsidP="0049609B">
            <w:pPr>
              <w:pStyle w:val="TCTableBody"/>
            </w:pPr>
            <w:r w:rsidRPr="007A11E6">
              <w:t>37</w:t>
            </w:r>
          </w:p>
        </w:tc>
        <w:tc>
          <w:tcPr>
            <w:tcW w:w="635" w:type="pct"/>
            <w:tcBorders>
              <w:top w:val="single" w:sz="4" w:space="0" w:color="auto"/>
            </w:tcBorders>
          </w:tcPr>
          <w:p w14:paraId="762BB0C9" w14:textId="77777777" w:rsidR="007A11E6" w:rsidRPr="007A11E6" w:rsidRDefault="007A11E6" w:rsidP="0049609B">
            <w:pPr>
              <w:pStyle w:val="TCTableBody"/>
            </w:pPr>
            <w:r w:rsidRPr="007A11E6">
              <w:t>92</w:t>
            </w:r>
          </w:p>
        </w:tc>
        <w:tc>
          <w:tcPr>
            <w:tcW w:w="618" w:type="pct"/>
          </w:tcPr>
          <w:p w14:paraId="0529FB25" w14:textId="69B00115" w:rsidR="007A11E6" w:rsidRPr="007A11E6" w:rsidRDefault="007A11E6" w:rsidP="0049609B">
            <w:pPr>
              <w:pStyle w:val="TCTableBody"/>
            </w:pPr>
            <w:r w:rsidRPr="007A11E6">
              <w:t>0.077</w:t>
            </w:r>
            <w:r w:rsidR="00594E19">
              <w:rPr>
                <w:vertAlign w:val="superscript"/>
              </w:rPr>
              <w:t>c</w:t>
            </w:r>
          </w:p>
        </w:tc>
        <w:tc>
          <w:tcPr>
            <w:tcW w:w="645" w:type="pct"/>
          </w:tcPr>
          <w:p w14:paraId="3694721D" w14:textId="6A00B228" w:rsidR="007A11E6" w:rsidRPr="007A11E6" w:rsidRDefault="007A11E6" w:rsidP="0049609B">
            <w:pPr>
              <w:pStyle w:val="TCTableBody"/>
            </w:pPr>
            <w:r w:rsidRPr="007A11E6">
              <w:t>0.017</w:t>
            </w:r>
            <w:r w:rsidR="00594E19">
              <w:rPr>
                <w:vertAlign w:val="superscript"/>
              </w:rPr>
              <w:t>c</w:t>
            </w:r>
          </w:p>
        </w:tc>
      </w:tr>
      <w:tr w:rsidR="00F36651" w:rsidRPr="007A11E6" w14:paraId="3DC256A5" w14:textId="77777777" w:rsidTr="00F36651">
        <w:trPr>
          <w:jc w:val="center"/>
        </w:trPr>
        <w:tc>
          <w:tcPr>
            <w:tcW w:w="355" w:type="pct"/>
          </w:tcPr>
          <w:p w14:paraId="7E418342" w14:textId="77777777" w:rsidR="007A11E6" w:rsidRPr="007A11E6" w:rsidRDefault="007A11E6" w:rsidP="0049609B">
            <w:pPr>
              <w:pStyle w:val="TCTableBody"/>
            </w:pPr>
            <w:r w:rsidRPr="007A11E6">
              <w:t>2</w:t>
            </w:r>
          </w:p>
        </w:tc>
        <w:tc>
          <w:tcPr>
            <w:tcW w:w="703" w:type="pct"/>
          </w:tcPr>
          <w:p w14:paraId="3255849F"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r w:rsidRPr="007A11E6">
              <w:t>CH</w:t>
            </w:r>
            <w:r w:rsidRPr="007A11E6">
              <w:rPr>
                <w:vertAlign w:val="subscript"/>
              </w:rPr>
              <w:t>2</w:t>
            </w:r>
          </w:p>
        </w:tc>
        <w:tc>
          <w:tcPr>
            <w:tcW w:w="775" w:type="pct"/>
          </w:tcPr>
          <w:p w14:paraId="15CD952A"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p>
        </w:tc>
        <w:tc>
          <w:tcPr>
            <w:tcW w:w="565" w:type="pct"/>
          </w:tcPr>
          <w:p w14:paraId="0AE03817" w14:textId="77777777" w:rsidR="007A11E6" w:rsidRPr="007A11E6" w:rsidRDefault="007A11E6" w:rsidP="0049609B">
            <w:pPr>
              <w:pStyle w:val="TCTableBody"/>
            </w:pPr>
            <w:r w:rsidRPr="007A11E6">
              <w:t>80</w:t>
            </w:r>
          </w:p>
        </w:tc>
        <w:tc>
          <w:tcPr>
            <w:tcW w:w="704" w:type="pct"/>
          </w:tcPr>
          <w:p w14:paraId="56D476F0" w14:textId="77777777" w:rsidR="007A11E6" w:rsidRPr="007A11E6" w:rsidRDefault="007A11E6" w:rsidP="0049609B">
            <w:pPr>
              <w:pStyle w:val="TCTableBody"/>
            </w:pPr>
            <w:r w:rsidRPr="007A11E6">
              <w:t>57</w:t>
            </w:r>
          </w:p>
        </w:tc>
        <w:tc>
          <w:tcPr>
            <w:tcW w:w="635" w:type="pct"/>
          </w:tcPr>
          <w:p w14:paraId="2FE3B1F3" w14:textId="77777777" w:rsidR="007A11E6" w:rsidRPr="007A11E6" w:rsidRDefault="007A11E6" w:rsidP="0049609B">
            <w:pPr>
              <w:pStyle w:val="TCTableBody"/>
            </w:pPr>
            <w:r w:rsidRPr="007A11E6">
              <w:t>88</w:t>
            </w:r>
          </w:p>
        </w:tc>
        <w:tc>
          <w:tcPr>
            <w:tcW w:w="618" w:type="pct"/>
          </w:tcPr>
          <w:p w14:paraId="4D2E8C2C" w14:textId="77777777" w:rsidR="007A11E6" w:rsidRPr="007A11E6" w:rsidRDefault="007A11E6" w:rsidP="0049609B">
            <w:pPr>
              <w:pStyle w:val="TCTableBody"/>
            </w:pPr>
            <w:r w:rsidRPr="007A11E6">
              <w:t>0.042</w:t>
            </w:r>
          </w:p>
        </w:tc>
        <w:tc>
          <w:tcPr>
            <w:tcW w:w="645" w:type="pct"/>
          </w:tcPr>
          <w:p w14:paraId="0DC4461C" w14:textId="77777777" w:rsidR="007A11E6" w:rsidRPr="007A11E6" w:rsidRDefault="007A11E6" w:rsidP="0049609B">
            <w:pPr>
              <w:pStyle w:val="TCTableBody"/>
            </w:pPr>
            <w:r w:rsidRPr="007A11E6">
              <w:t>0.013</w:t>
            </w:r>
          </w:p>
        </w:tc>
      </w:tr>
      <w:tr w:rsidR="00F36651" w:rsidRPr="007A11E6" w14:paraId="1CA5AFC0" w14:textId="77777777" w:rsidTr="00F36651">
        <w:trPr>
          <w:jc w:val="center"/>
        </w:trPr>
        <w:tc>
          <w:tcPr>
            <w:tcW w:w="355" w:type="pct"/>
          </w:tcPr>
          <w:p w14:paraId="6382D3CD" w14:textId="77777777" w:rsidR="007A11E6" w:rsidRPr="007A11E6" w:rsidRDefault="007A11E6" w:rsidP="0049609B">
            <w:pPr>
              <w:pStyle w:val="TCTableBody"/>
            </w:pPr>
            <w:r w:rsidRPr="007A11E6">
              <w:t>3</w:t>
            </w:r>
          </w:p>
        </w:tc>
        <w:tc>
          <w:tcPr>
            <w:tcW w:w="703" w:type="pct"/>
          </w:tcPr>
          <w:p w14:paraId="2D0453D6"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p>
        </w:tc>
        <w:tc>
          <w:tcPr>
            <w:tcW w:w="775" w:type="pct"/>
          </w:tcPr>
          <w:p w14:paraId="1A1115F5"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p>
        </w:tc>
        <w:tc>
          <w:tcPr>
            <w:tcW w:w="565" w:type="pct"/>
          </w:tcPr>
          <w:p w14:paraId="1C8409FC" w14:textId="77777777" w:rsidR="007A11E6" w:rsidRPr="007A11E6" w:rsidRDefault="007A11E6" w:rsidP="0049609B">
            <w:pPr>
              <w:pStyle w:val="TCTableBody"/>
            </w:pPr>
            <w:r w:rsidRPr="007A11E6">
              <w:t>36</w:t>
            </w:r>
          </w:p>
        </w:tc>
        <w:tc>
          <w:tcPr>
            <w:tcW w:w="704" w:type="pct"/>
          </w:tcPr>
          <w:p w14:paraId="107FC1F2" w14:textId="77777777" w:rsidR="007A11E6" w:rsidRPr="007A11E6" w:rsidRDefault="007A11E6" w:rsidP="0049609B">
            <w:pPr>
              <w:pStyle w:val="TCTableBody"/>
              <w:rPr>
                <w:color w:val="FF0000"/>
              </w:rPr>
            </w:pPr>
            <w:r w:rsidRPr="007A11E6">
              <w:t>5</w:t>
            </w:r>
          </w:p>
        </w:tc>
        <w:tc>
          <w:tcPr>
            <w:tcW w:w="635" w:type="pct"/>
          </w:tcPr>
          <w:p w14:paraId="104019A3" w14:textId="77777777" w:rsidR="007A11E6" w:rsidRPr="007A11E6" w:rsidRDefault="007A11E6" w:rsidP="0049609B">
            <w:pPr>
              <w:pStyle w:val="TCTableBody"/>
              <w:rPr>
                <w:color w:val="FF0000"/>
              </w:rPr>
            </w:pPr>
            <w:r w:rsidRPr="007A11E6">
              <w:t>69</w:t>
            </w:r>
          </w:p>
        </w:tc>
        <w:tc>
          <w:tcPr>
            <w:tcW w:w="618" w:type="pct"/>
          </w:tcPr>
          <w:p w14:paraId="062448F3" w14:textId="77777777" w:rsidR="007A11E6" w:rsidRPr="007A11E6" w:rsidRDefault="007A11E6" w:rsidP="0049609B">
            <w:pPr>
              <w:pStyle w:val="TCTableBody"/>
            </w:pPr>
            <w:r w:rsidRPr="007A11E6">
              <w:t>0.015</w:t>
            </w:r>
          </w:p>
        </w:tc>
        <w:tc>
          <w:tcPr>
            <w:tcW w:w="645" w:type="pct"/>
          </w:tcPr>
          <w:p w14:paraId="390F57BD" w14:textId="77777777" w:rsidR="007A11E6" w:rsidRPr="007A11E6" w:rsidRDefault="007A11E6" w:rsidP="0049609B">
            <w:pPr>
              <w:pStyle w:val="TCTableBody"/>
            </w:pPr>
            <w:r w:rsidRPr="007A11E6">
              <w:t>0.005</w:t>
            </w:r>
          </w:p>
        </w:tc>
      </w:tr>
      <w:tr w:rsidR="00F36651" w:rsidRPr="007A11E6" w14:paraId="64D88B78" w14:textId="77777777" w:rsidTr="00F36651">
        <w:trPr>
          <w:jc w:val="center"/>
        </w:trPr>
        <w:tc>
          <w:tcPr>
            <w:tcW w:w="355" w:type="pct"/>
          </w:tcPr>
          <w:p w14:paraId="1B54142C" w14:textId="77777777" w:rsidR="007A11E6" w:rsidRPr="007A11E6" w:rsidRDefault="007A11E6" w:rsidP="0049609B">
            <w:pPr>
              <w:pStyle w:val="TCTableBody"/>
            </w:pPr>
            <w:r w:rsidRPr="007A11E6">
              <w:t>4</w:t>
            </w:r>
          </w:p>
        </w:tc>
        <w:tc>
          <w:tcPr>
            <w:tcW w:w="703" w:type="pct"/>
          </w:tcPr>
          <w:p w14:paraId="0396910A" w14:textId="014E3A55" w:rsidR="007A11E6" w:rsidRPr="007A11E6" w:rsidRDefault="007A11E6" w:rsidP="0049609B">
            <w:pPr>
              <w:pStyle w:val="TCTableBody"/>
            </w:pPr>
            <w:r w:rsidRPr="007A11E6">
              <w:t>ClC</w:t>
            </w:r>
            <w:r w:rsidRPr="007A11E6">
              <w:rPr>
                <w:vertAlign w:val="subscript"/>
              </w:rPr>
              <w:t>6</w:t>
            </w:r>
            <w:r w:rsidRPr="007A11E6">
              <w:t>H</w:t>
            </w:r>
            <w:r w:rsidRPr="007A11E6">
              <w:rPr>
                <w:vertAlign w:val="subscript"/>
              </w:rPr>
              <w:t>4</w:t>
            </w:r>
            <w:r w:rsidRPr="007A11E6">
              <w:t>OCH</w:t>
            </w:r>
            <w:r w:rsidRPr="007A11E6">
              <w:rPr>
                <w:vertAlign w:val="subscript"/>
              </w:rPr>
              <w:t>2</w:t>
            </w:r>
            <w:r w:rsidR="00594E19">
              <w:rPr>
                <w:vertAlign w:val="superscript"/>
              </w:rPr>
              <w:t>d</w:t>
            </w:r>
          </w:p>
        </w:tc>
        <w:tc>
          <w:tcPr>
            <w:tcW w:w="775" w:type="pct"/>
          </w:tcPr>
          <w:p w14:paraId="4246D0D3"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p>
        </w:tc>
        <w:tc>
          <w:tcPr>
            <w:tcW w:w="565" w:type="pct"/>
          </w:tcPr>
          <w:p w14:paraId="31C5FE3A" w14:textId="77777777" w:rsidR="007A11E6" w:rsidRPr="007A11E6" w:rsidRDefault="007A11E6" w:rsidP="0049609B">
            <w:pPr>
              <w:pStyle w:val="TCTableBody"/>
            </w:pPr>
            <w:r w:rsidRPr="007A11E6">
              <w:t>74</w:t>
            </w:r>
          </w:p>
        </w:tc>
        <w:tc>
          <w:tcPr>
            <w:tcW w:w="704" w:type="pct"/>
          </w:tcPr>
          <w:p w14:paraId="13B6CD2A" w14:textId="77777777" w:rsidR="007A11E6" w:rsidRPr="007A11E6" w:rsidRDefault="007A11E6" w:rsidP="0049609B">
            <w:pPr>
              <w:pStyle w:val="TCTableBody"/>
            </w:pPr>
            <w:r w:rsidRPr="007A11E6">
              <w:t>75</w:t>
            </w:r>
          </w:p>
        </w:tc>
        <w:tc>
          <w:tcPr>
            <w:tcW w:w="635" w:type="pct"/>
          </w:tcPr>
          <w:p w14:paraId="66E992C8" w14:textId="77777777" w:rsidR="007A11E6" w:rsidRPr="007A11E6" w:rsidRDefault="007A11E6" w:rsidP="0049609B">
            <w:pPr>
              <w:pStyle w:val="TCTableBody"/>
            </w:pPr>
            <w:r w:rsidRPr="007A11E6">
              <w:t>77</w:t>
            </w:r>
          </w:p>
        </w:tc>
        <w:tc>
          <w:tcPr>
            <w:tcW w:w="618" w:type="pct"/>
          </w:tcPr>
          <w:p w14:paraId="29B0EA49" w14:textId="77777777" w:rsidR="007A11E6" w:rsidRPr="007A11E6" w:rsidRDefault="007A11E6" w:rsidP="0049609B">
            <w:pPr>
              <w:pStyle w:val="TCTableBody"/>
            </w:pPr>
            <w:r w:rsidRPr="007A11E6">
              <w:t>0.073</w:t>
            </w:r>
          </w:p>
        </w:tc>
        <w:tc>
          <w:tcPr>
            <w:tcW w:w="645" w:type="pct"/>
          </w:tcPr>
          <w:p w14:paraId="0318AE04" w14:textId="77777777" w:rsidR="007A11E6" w:rsidRPr="007A11E6" w:rsidRDefault="007A11E6" w:rsidP="0049609B">
            <w:pPr>
              <w:pStyle w:val="TCTableBody"/>
            </w:pPr>
            <w:r w:rsidRPr="007A11E6">
              <w:t>0.021</w:t>
            </w:r>
          </w:p>
        </w:tc>
      </w:tr>
      <w:tr w:rsidR="00F36651" w:rsidRPr="007A11E6" w14:paraId="3A7F2EBA" w14:textId="77777777" w:rsidTr="00F36651">
        <w:trPr>
          <w:jc w:val="center"/>
        </w:trPr>
        <w:tc>
          <w:tcPr>
            <w:tcW w:w="355" w:type="pct"/>
          </w:tcPr>
          <w:p w14:paraId="626B6764" w14:textId="77777777" w:rsidR="007A11E6" w:rsidRPr="007A11E6" w:rsidRDefault="007A11E6" w:rsidP="0049609B">
            <w:pPr>
              <w:pStyle w:val="TCTableBody"/>
            </w:pPr>
            <w:r w:rsidRPr="007A11E6">
              <w:t>5</w:t>
            </w:r>
          </w:p>
        </w:tc>
        <w:tc>
          <w:tcPr>
            <w:tcW w:w="703" w:type="pct"/>
          </w:tcPr>
          <w:p w14:paraId="4D6A4E47"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r w:rsidRPr="007A11E6">
              <w:t>CH</w:t>
            </w:r>
            <w:r w:rsidRPr="007A11E6">
              <w:rPr>
                <w:vertAlign w:val="subscript"/>
              </w:rPr>
              <w:t>2</w:t>
            </w:r>
          </w:p>
        </w:tc>
        <w:tc>
          <w:tcPr>
            <w:tcW w:w="775" w:type="pct"/>
          </w:tcPr>
          <w:p w14:paraId="0249E9AA" w14:textId="365D7818" w:rsidR="007A11E6" w:rsidRPr="007A11E6" w:rsidRDefault="007A11E6" w:rsidP="0049609B">
            <w:pPr>
              <w:pStyle w:val="TCTableBody"/>
            </w:pPr>
            <w:r w:rsidRPr="007A11E6">
              <w:t>ClC</w:t>
            </w:r>
            <w:r w:rsidRPr="007A11E6">
              <w:rPr>
                <w:vertAlign w:val="subscript"/>
              </w:rPr>
              <w:t>6</w:t>
            </w:r>
            <w:r w:rsidRPr="007A11E6">
              <w:t>H</w:t>
            </w:r>
            <w:r w:rsidRPr="007A11E6">
              <w:rPr>
                <w:vertAlign w:val="subscript"/>
              </w:rPr>
              <w:t>4</w:t>
            </w:r>
            <w:r w:rsidR="00594E19">
              <w:rPr>
                <w:vertAlign w:val="superscript"/>
              </w:rPr>
              <w:t>e</w:t>
            </w:r>
          </w:p>
        </w:tc>
        <w:tc>
          <w:tcPr>
            <w:tcW w:w="565" w:type="pct"/>
          </w:tcPr>
          <w:p w14:paraId="6895D980" w14:textId="77777777" w:rsidR="007A11E6" w:rsidRPr="007A11E6" w:rsidRDefault="007A11E6" w:rsidP="0049609B">
            <w:pPr>
              <w:pStyle w:val="TCTableBody"/>
            </w:pPr>
            <w:r w:rsidRPr="007A11E6">
              <w:t>18</w:t>
            </w:r>
          </w:p>
        </w:tc>
        <w:tc>
          <w:tcPr>
            <w:tcW w:w="704" w:type="pct"/>
          </w:tcPr>
          <w:p w14:paraId="57C5ECED" w14:textId="77777777" w:rsidR="007A11E6" w:rsidRPr="007A11E6" w:rsidRDefault="007A11E6" w:rsidP="0049609B">
            <w:pPr>
              <w:pStyle w:val="TCTableBody"/>
            </w:pPr>
            <w:r w:rsidRPr="007A11E6">
              <w:t>6</w:t>
            </w:r>
          </w:p>
        </w:tc>
        <w:tc>
          <w:tcPr>
            <w:tcW w:w="635" w:type="pct"/>
          </w:tcPr>
          <w:p w14:paraId="5F1F2061" w14:textId="77777777" w:rsidR="007A11E6" w:rsidRPr="007A11E6" w:rsidRDefault="007A11E6" w:rsidP="0049609B">
            <w:pPr>
              <w:pStyle w:val="TCTableBody"/>
            </w:pPr>
            <w:r w:rsidRPr="007A11E6">
              <w:t>55</w:t>
            </w:r>
          </w:p>
        </w:tc>
        <w:tc>
          <w:tcPr>
            <w:tcW w:w="618" w:type="pct"/>
          </w:tcPr>
          <w:p w14:paraId="482A12BD" w14:textId="77777777" w:rsidR="007A11E6" w:rsidRPr="007A11E6" w:rsidRDefault="007A11E6" w:rsidP="0049609B">
            <w:pPr>
              <w:pStyle w:val="TCTableBody"/>
            </w:pPr>
            <w:r w:rsidRPr="007A11E6">
              <w:t>0.085</w:t>
            </w:r>
          </w:p>
        </w:tc>
        <w:tc>
          <w:tcPr>
            <w:tcW w:w="645" w:type="pct"/>
          </w:tcPr>
          <w:p w14:paraId="111DACE9" w14:textId="77777777" w:rsidR="007A11E6" w:rsidRPr="007A11E6" w:rsidRDefault="007A11E6" w:rsidP="0049609B">
            <w:pPr>
              <w:pStyle w:val="TCTableBody"/>
            </w:pPr>
            <w:r w:rsidRPr="007A11E6">
              <w:t>0.045</w:t>
            </w:r>
          </w:p>
        </w:tc>
      </w:tr>
      <w:tr w:rsidR="00F36651" w:rsidRPr="007A11E6" w14:paraId="5862248D" w14:textId="77777777" w:rsidTr="00F36651">
        <w:trPr>
          <w:jc w:val="center"/>
        </w:trPr>
        <w:tc>
          <w:tcPr>
            <w:tcW w:w="355" w:type="pct"/>
          </w:tcPr>
          <w:p w14:paraId="3C30655F" w14:textId="77777777" w:rsidR="007A11E6" w:rsidRPr="007A11E6" w:rsidRDefault="007A11E6" w:rsidP="0049609B">
            <w:pPr>
              <w:pStyle w:val="TCTableBody"/>
            </w:pPr>
            <w:r w:rsidRPr="007A11E6">
              <w:t>6</w:t>
            </w:r>
          </w:p>
        </w:tc>
        <w:tc>
          <w:tcPr>
            <w:tcW w:w="703" w:type="pct"/>
          </w:tcPr>
          <w:p w14:paraId="27ADB226" w14:textId="77777777"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5</w:t>
            </w:r>
            <w:r w:rsidRPr="007A11E6">
              <w:t>CH</w:t>
            </w:r>
            <w:r w:rsidRPr="007A11E6">
              <w:rPr>
                <w:vertAlign w:val="subscript"/>
              </w:rPr>
              <w:t>2</w:t>
            </w:r>
          </w:p>
        </w:tc>
        <w:tc>
          <w:tcPr>
            <w:tcW w:w="775" w:type="pct"/>
          </w:tcPr>
          <w:p w14:paraId="4D981DF7" w14:textId="21ED25DD" w:rsidR="007A11E6" w:rsidRPr="007A11E6" w:rsidRDefault="007A11E6" w:rsidP="0049609B">
            <w:pPr>
              <w:pStyle w:val="TCTableBody"/>
            </w:pPr>
            <w:r w:rsidRPr="007A11E6">
              <w:t>C</w:t>
            </w:r>
            <w:r w:rsidRPr="007A11E6">
              <w:rPr>
                <w:vertAlign w:val="subscript"/>
              </w:rPr>
              <w:t>6</w:t>
            </w:r>
            <w:r w:rsidRPr="007A11E6">
              <w:t>H</w:t>
            </w:r>
            <w:r w:rsidRPr="007A11E6">
              <w:rPr>
                <w:vertAlign w:val="subscript"/>
              </w:rPr>
              <w:t>4</w:t>
            </w:r>
            <w:r w:rsidRPr="007A11E6">
              <w:t>(CH</w:t>
            </w:r>
            <w:r w:rsidRPr="007A11E6">
              <w:rPr>
                <w:vertAlign w:val="subscript"/>
              </w:rPr>
              <w:t>3</w:t>
            </w:r>
            <w:r w:rsidRPr="007A11E6">
              <w:t>)</w:t>
            </w:r>
            <w:r w:rsidRPr="007A11E6">
              <w:rPr>
                <w:vertAlign w:val="subscript"/>
              </w:rPr>
              <w:t>2</w:t>
            </w:r>
            <w:r w:rsidR="00594E19">
              <w:rPr>
                <w:vertAlign w:val="superscript"/>
              </w:rPr>
              <w:t>f</w:t>
            </w:r>
          </w:p>
        </w:tc>
        <w:tc>
          <w:tcPr>
            <w:tcW w:w="565" w:type="pct"/>
          </w:tcPr>
          <w:p w14:paraId="5FC2757B" w14:textId="77777777" w:rsidR="007A11E6" w:rsidRPr="007A11E6" w:rsidRDefault="007A11E6" w:rsidP="0049609B">
            <w:pPr>
              <w:pStyle w:val="TCTableBody"/>
            </w:pPr>
            <w:r w:rsidRPr="007A11E6">
              <w:t>20</w:t>
            </w:r>
          </w:p>
        </w:tc>
        <w:tc>
          <w:tcPr>
            <w:tcW w:w="704" w:type="pct"/>
          </w:tcPr>
          <w:p w14:paraId="4221C6FA" w14:textId="77777777" w:rsidR="007A11E6" w:rsidRPr="007A11E6" w:rsidRDefault="007A11E6" w:rsidP="0049609B">
            <w:pPr>
              <w:pStyle w:val="TCTableBody"/>
            </w:pPr>
            <w:r w:rsidRPr="007A11E6">
              <w:t>2</w:t>
            </w:r>
          </w:p>
        </w:tc>
        <w:tc>
          <w:tcPr>
            <w:tcW w:w="635" w:type="pct"/>
          </w:tcPr>
          <w:p w14:paraId="24DB2FC0" w14:textId="77777777" w:rsidR="007A11E6" w:rsidRPr="007A11E6" w:rsidRDefault="007A11E6" w:rsidP="0049609B">
            <w:pPr>
              <w:pStyle w:val="TCTableBody"/>
            </w:pPr>
            <w:r w:rsidRPr="007A11E6">
              <w:t>69</w:t>
            </w:r>
          </w:p>
        </w:tc>
        <w:tc>
          <w:tcPr>
            <w:tcW w:w="618" w:type="pct"/>
          </w:tcPr>
          <w:p w14:paraId="07C3A4CE" w14:textId="77777777" w:rsidR="007A11E6" w:rsidRPr="007A11E6" w:rsidRDefault="007A11E6" w:rsidP="0049609B">
            <w:pPr>
              <w:pStyle w:val="TCTableBody"/>
            </w:pPr>
            <w:r w:rsidRPr="007A11E6">
              <w:t>0.029</w:t>
            </w:r>
          </w:p>
        </w:tc>
        <w:tc>
          <w:tcPr>
            <w:tcW w:w="645" w:type="pct"/>
          </w:tcPr>
          <w:p w14:paraId="77963452" w14:textId="77777777" w:rsidR="007A11E6" w:rsidRPr="007A11E6" w:rsidRDefault="007A11E6" w:rsidP="0049609B">
            <w:pPr>
              <w:pStyle w:val="TCTableBody"/>
            </w:pPr>
            <w:r w:rsidRPr="007A11E6">
              <w:t>0.000</w:t>
            </w:r>
          </w:p>
        </w:tc>
      </w:tr>
      <w:tr w:rsidR="00F36651" w:rsidRPr="007A11E6" w14:paraId="19F5DB99" w14:textId="77777777" w:rsidTr="00F36651">
        <w:trPr>
          <w:jc w:val="center"/>
        </w:trPr>
        <w:tc>
          <w:tcPr>
            <w:tcW w:w="355" w:type="pct"/>
          </w:tcPr>
          <w:p w14:paraId="48210B51" w14:textId="64FAF3A2" w:rsidR="007A11E6" w:rsidRPr="00923D32" w:rsidRDefault="007A11E6" w:rsidP="0049609B">
            <w:pPr>
              <w:pStyle w:val="TCTableBody"/>
            </w:pPr>
            <w:r w:rsidRPr="00923D32">
              <w:t>7</w:t>
            </w:r>
            <w:r w:rsidR="00594E19" w:rsidRPr="00923D32">
              <w:rPr>
                <w:vertAlign w:val="superscript"/>
              </w:rPr>
              <w:t>g</w:t>
            </w:r>
          </w:p>
        </w:tc>
        <w:tc>
          <w:tcPr>
            <w:tcW w:w="703" w:type="pct"/>
          </w:tcPr>
          <w:p w14:paraId="36BBF0F4" w14:textId="77777777"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5</w:t>
            </w:r>
            <w:r w:rsidRPr="00923D32">
              <w:t>CH</w:t>
            </w:r>
            <w:r w:rsidRPr="00923D32">
              <w:rPr>
                <w:vertAlign w:val="subscript"/>
              </w:rPr>
              <w:t>2</w:t>
            </w:r>
          </w:p>
        </w:tc>
        <w:tc>
          <w:tcPr>
            <w:tcW w:w="775" w:type="pct"/>
          </w:tcPr>
          <w:p w14:paraId="631781E7" w14:textId="2988C6A3" w:rsidR="007A11E6" w:rsidRPr="00923D32" w:rsidRDefault="007A11E6" w:rsidP="0049609B">
            <w:pPr>
              <w:pStyle w:val="TCTableBody"/>
            </w:pPr>
            <w:r w:rsidRPr="00923D32">
              <w:t>C</w:t>
            </w:r>
            <w:r w:rsidRPr="00923D32">
              <w:rPr>
                <w:vertAlign w:val="subscript"/>
              </w:rPr>
              <w:t>4</w:t>
            </w:r>
            <w:r w:rsidRPr="00923D32">
              <w:t>H</w:t>
            </w:r>
            <w:r w:rsidRPr="00923D32">
              <w:rPr>
                <w:vertAlign w:val="subscript"/>
              </w:rPr>
              <w:t>8</w:t>
            </w:r>
            <w:r w:rsidR="00594E19" w:rsidRPr="00923D32">
              <w:rPr>
                <w:vertAlign w:val="superscript"/>
              </w:rPr>
              <w:t>h</w:t>
            </w:r>
          </w:p>
        </w:tc>
        <w:tc>
          <w:tcPr>
            <w:tcW w:w="565" w:type="pct"/>
          </w:tcPr>
          <w:p w14:paraId="17DF5CC7" w14:textId="58B2D21B" w:rsidR="007A11E6" w:rsidRPr="00923D32" w:rsidRDefault="007A11E6" w:rsidP="0049609B">
            <w:pPr>
              <w:pStyle w:val="TCTableBody"/>
            </w:pPr>
            <w:r w:rsidRPr="00923D32">
              <w:t>52</w:t>
            </w:r>
            <w:r w:rsidR="00E01506" w:rsidRPr="00923D32">
              <w:t>*</w:t>
            </w:r>
          </w:p>
        </w:tc>
        <w:tc>
          <w:tcPr>
            <w:tcW w:w="704" w:type="pct"/>
          </w:tcPr>
          <w:p w14:paraId="6EF6FA4F" w14:textId="1EC4239E" w:rsidR="007A11E6" w:rsidRPr="00923D32" w:rsidRDefault="007A11E6" w:rsidP="0049609B">
            <w:pPr>
              <w:pStyle w:val="TCTableBody"/>
            </w:pPr>
            <w:r w:rsidRPr="00923D32">
              <w:t>28</w:t>
            </w:r>
            <w:r w:rsidR="00E01506" w:rsidRPr="00923D32">
              <w:t>*</w:t>
            </w:r>
          </w:p>
        </w:tc>
        <w:tc>
          <w:tcPr>
            <w:tcW w:w="635" w:type="pct"/>
          </w:tcPr>
          <w:p w14:paraId="13ED9580" w14:textId="7F691734" w:rsidR="007A11E6" w:rsidRPr="00923D32" w:rsidRDefault="007A11E6" w:rsidP="0049609B">
            <w:pPr>
              <w:pStyle w:val="TCTableBody"/>
            </w:pPr>
            <w:r w:rsidRPr="00923D32">
              <w:t>22</w:t>
            </w:r>
            <w:r w:rsidR="00E01506" w:rsidRPr="00923D32">
              <w:t>*</w:t>
            </w:r>
          </w:p>
        </w:tc>
        <w:tc>
          <w:tcPr>
            <w:tcW w:w="618" w:type="pct"/>
          </w:tcPr>
          <w:p w14:paraId="1C8CF916" w14:textId="03FAAE90" w:rsidR="007A11E6" w:rsidRPr="00923D32" w:rsidRDefault="007A11E6" w:rsidP="0049609B">
            <w:pPr>
              <w:pStyle w:val="TCTableBody"/>
            </w:pPr>
            <w:r w:rsidRPr="00923D32">
              <w:t>high</w:t>
            </w:r>
            <w:r w:rsidR="00594E19" w:rsidRPr="00923D32">
              <w:rPr>
                <w:vertAlign w:val="superscript"/>
              </w:rPr>
              <w:t>i</w:t>
            </w:r>
          </w:p>
        </w:tc>
        <w:tc>
          <w:tcPr>
            <w:tcW w:w="645" w:type="pct"/>
          </w:tcPr>
          <w:p w14:paraId="673C9390" w14:textId="36C91569" w:rsidR="007A11E6" w:rsidRPr="00923D32" w:rsidRDefault="007A11E6" w:rsidP="0049609B">
            <w:pPr>
              <w:pStyle w:val="TCTableBody"/>
            </w:pPr>
            <w:r w:rsidRPr="00923D32">
              <w:t>high</w:t>
            </w:r>
            <w:r w:rsidR="00594E19" w:rsidRPr="00923D32">
              <w:rPr>
                <w:vertAlign w:val="superscript"/>
              </w:rPr>
              <w:t>i</w:t>
            </w:r>
          </w:p>
        </w:tc>
      </w:tr>
      <w:tr w:rsidR="00F36651" w:rsidRPr="007A11E6" w14:paraId="127A419B" w14:textId="77777777" w:rsidTr="00F36651">
        <w:trPr>
          <w:jc w:val="center"/>
        </w:trPr>
        <w:tc>
          <w:tcPr>
            <w:tcW w:w="355" w:type="pct"/>
          </w:tcPr>
          <w:p w14:paraId="07F63FB9" w14:textId="3CE00E31" w:rsidR="007A11E6" w:rsidRPr="00923D32" w:rsidRDefault="00E01506" w:rsidP="0049609B">
            <w:pPr>
              <w:pStyle w:val="TCTableBody"/>
            </w:pPr>
            <w:r w:rsidRPr="00923D32">
              <w:t>8</w:t>
            </w:r>
            <w:r w:rsidRPr="00923D32">
              <w:rPr>
                <w:vertAlign w:val="superscript"/>
              </w:rPr>
              <w:t>j</w:t>
            </w:r>
          </w:p>
        </w:tc>
        <w:tc>
          <w:tcPr>
            <w:tcW w:w="703" w:type="pct"/>
          </w:tcPr>
          <w:p w14:paraId="0CF74618" w14:textId="77777777"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5</w:t>
            </w:r>
          </w:p>
        </w:tc>
        <w:tc>
          <w:tcPr>
            <w:tcW w:w="775" w:type="pct"/>
          </w:tcPr>
          <w:p w14:paraId="0548CECE" w14:textId="77777777" w:rsidR="007A11E6" w:rsidRPr="00923D32" w:rsidRDefault="007A11E6" w:rsidP="0049609B">
            <w:pPr>
              <w:pStyle w:val="TCTableBody"/>
            </w:pPr>
            <w:r w:rsidRPr="00923D32">
              <w:t>CH</w:t>
            </w:r>
            <w:r w:rsidRPr="00923D32">
              <w:rPr>
                <w:vertAlign w:val="subscript"/>
              </w:rPr>
              <w:t>3</w:t>
            </w:r>
            <w:r w:rsidRPr="00923D32">
              <w:t>CH</w:t>
            </w:r>
            <w:r w:rsidRPr="00923D32">
              <w:rPr>
                <w:vertAlign w:val="subscript"/>
              </w:rPr>
              <w:t>2</w:t>
            </w:r>
            <w:r w:rsidRPr="00923D32">
              <w:t>CH</w:t>
            </w:r>
            <w:r w:rsidRPr="00923D32">
              <w:rPr>
                <w:vertAlign w:val="subscript"/>
              </w:rPr>
              <w:t>2</w:t>
            </w:r>
            <w:r w:rsidRPr="00923D32">
              <w:t>CH</w:t>
            </w:r>
            <w:r w:rsidRPr="00923D32">
              <w:rPr>
                <w:vertAlign w:val="subscript"/>
              </w:rPr>
              <w:t>2</w:t>
            </w:r>
          </w:p>
        </w:tc>
        <w:tc>
          <w:tcPr>
            <w:tcW w:w="565" w:type="pct"/>
          </w:tcPr>
          <w:p w14:paraId="55325E45" w14:textId="7A8D3D26" w:rsidR="007A11E6" w:rsidRPr="00923D32" w:rsidRDefault="007A11E6" w:rsidP="0049609B">
            <w:pPr>
              <w:pStyle w:val="TCTableBody"/>
            </w:pPr>
            <w:r w:rsidRPr="00923D32">
              <w:t>(</w:t>
            </w:r>
            <w:r w:rsidR="00E01506" w:rsidRPr="00923D32">
              <w:t>k</w:t>
            </w:r>
            <w:r w:rsidRPr="00923D32">
              <w:t>)</w:t>
            </w:r>
          </w:p>
        </w:tc>
        <w:tc>
          <w:tcPr>
            <w:tcW w:w="704" w:type="pct"/>
          </w:tcPr>
          <w:p w14:paraId="08576811" w14:textId="176FC25C" w:rsidR="007A11E6" w:rsidRPr="00923D32" w:rsidRDefault="007A11E6" w:rsidP="0049609B">
            <w:pPr>
              <w:pStyle w:val="TCTableBody"/>
            </w:pPr>
            <w:r w:rsidRPr="00923D32">
              <w:t>(</w:t>
            </w:r>
            <w:r w:rsidR="00E01506" w:rsidRPr="00923D32">
              <w:t>k</w:t>
            </w:r>
            <w:r w:rsidRPr="00923D32">
              <w:t>)</w:t>
            </w:r>
          </w:p>
        </w:tc>
        <w:tc>
          <w:tcPr>
            <w:tcW w:w="635" w:type="pct"/>
          </w:tcPr>
          <w:p w14:paraId="1C401657" w14:textId="77777777" w:rsidR="007A11E6" w:rsidRPr="00923D32" w:rsidRDefault="007A11E6" w:rsidP="0049609B">
            <w:pPr>
              <w:pStyle w:val="TCTableBody"/>
            </w:pPr>
            <w:r w:rsidRPr="00923D32">
              <w:t>55</w:t>
            </w:r>
          </w:p>
        </w:tc>
        <w:tc>
          <w:tcPr>
            <w:tcW w:w="618" w:type="pct"/>
          </w:tcPr>
          <w:p w14:paraId="61A5C9FD" w14:textId="6D059E5E" w:rsidR="007A11E6" w:rsidRPr="00923D32" w:rsidRDefault="007A11E6" w:rsidP="0049609B">
            <w:pPr>
              <w:pStyle w:val="TCTableBody"/>
            </w:pPr>
            <w:r w:rsidRPr="00923D32">
              <w:t>high</w:t>
            </w:r>
            <w:r w:rsidR="00594E19" w:rsidRPr="00923D32">
              <w:rPr>
                <w:vertAlign w:val="superscript"/>
              </w:rPr>
              <w:t>i</w:t>
            </w:r>
          </w:p>
        </w:tc>
        <w:tc>
          <w:tcPr>
            <w:tcW w:w="645" w:type="pct"/>
          </w:tcPr>
          <w:p w14:paraId="3042EC91" w14:textId="14D66C8E" w:rsidR="007A11E6" w:rsidRPr="00923D32" w:rsidRDefault="007A11E6" w:rsidP="0049609B">
            <w:pPr>
              <w:pStyle w:val="TCTableBody"/>
            </w:pPr>
            <w:r w:rsidRPr="00923D32">
              <w:t>high</w:t>
            </w:r>
            <w:r w:rsidR="00594E19" w:rsidRPr="00923D32">
              <w:rPr>
                <w:vertAlign w:val="superscript"/>
              </w:rPr>
              <w:t>i</w:t>
            </w:r>
          </w:p>
        </w:tc>
      </w:tr>
      <w:tr w:rsidR="00F36651" w:rsidRPr="007A11E6" w14:paraId="29EBE309" w14:textId="77777777" w:rsidTr="00F36651">
        <w:trPr>
          <w:jc w:val="center"/>
        </w:trPr>
        <w:tc>
          <w:tcPr>
            <w:tcW w:w="355" w:type="pct"/>
          </w:tcPr>
          <w:p w14:paraId="7733A35C" w14:textId="77777777" w:rsidR="007A11E6" w:rsidRPr="00923D32" w:rsidRDefault="007A11E6" w:rsidP="0049609B">
            <w:pPr>
              <w:pStyle w:val="TCTableBody"/>
            </w:pPr>
            <w:r w:rsidRPr="00923D32">
              <w:t>9</w:t>
            </w:r>
          </w:p>
        </w:tc>
        <w:tc>
          <w:tcPr>
            <w:tcW w:w="703" w:type="pct"/>
          </w:tcPr>
          <w:p w14:paraId="130EE847" w14:textId="357FF819"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4</w:t>
            </w:r>
            <w:r w:rsidRPr="00923D32">
              <w:t>(NO</w:t>
            </w:r>
            <w:r w:rsidRPr="00923D32">
              <w:rPr>
                <w:vertAlign w:val="subscript"/>
              </w:rPr>
              <w:t>2</w:t>
            </w:r>
            <w:r w:rsidRPr="00923D32">
              <w:t>)</w:t>
            </w:r>
            <w:r w:rsidR="00E01506" w:rsidRPr="00923D32">
              <w:rPr>
                <w:vertAlign w:val="superscript"/>
              </w:rPr>
              <w:t>l</w:t>
            </w:r>
          </w:p>
        </w:tc>
        <w:tc>
          <w:tcPr>
            <w:tcW w:w="775" w:type="pct"/>
          </w:tcPr>
          <w:p w14:paraId="3DF195FA" w14:textId="77777777" w:rsidR="007A11E6" w:rsidRPr="00923D32" w:rsidRDefault="007A11E6" w:rsidP="0049609B">
            <w:pPr>
              <w:pStyle w:val="TCTableBody"/>
            </w:pPr>
            <w:r w:rsidRPr="00923D32">
              <w:t>CH</w:t>
            </w:r>
            <w:r w:rsidRPr="00923D32">
              <w:rPr>
                <w:vertAlign w:val="subscript"/>
              </w:rPr>
              <w:t>3</w:t>
            </w:r>
            <w:r w:rsidRPr="00923D32">
              <w:t>(CH2)</w:t>
            </w:r>
            <w:r w:rsidRPr="00923D32">
              <w:rPr>
                <w:vertAlign w:val="subscript"/>
              </w:rPr>
              <w:t>4</w:t>
            </w:r>
            <w:r w:rsidRPr="00923D32">
              <w:t>CH</w:t>
            </w:r>
            <w:r w:rsidRPr="00923D32">
              <w:rPr>
                <w:vertAlign w:val="subscript"/>
              </w:rPr>
              <w:t>2</w:t>
            </w:r>
          </w:p>
        </w:tc>
        <w:tc>
          <w:tcPr>
            <w:tcW w:w="565" w:type="pct"/>
          </w:tcPr>
          <w:p w14:paraId="78137BC6" w14:textId="095DA529" w:rsidR="007A11E6" w:rsidRPr="00923D32" w:rsidRDefault="007A11E6" w:rsidP="0049609B">
            <w:pPr>
              <w:pStyle w:val="TCTableBody"/>
            </w:pPr>
            <w:r w:rsidRPr="00923D32">
              <w:t>(</w:t>
            </w:r>
            <w:r w:rsidR="00E01506" w:rsidRPr="00923D32">
              <w:t>k</w:t>
            </w:r>
            <w:r w:rsidRPr="00923D32">
              <w:t>)</w:t>
            </w:r>
          </w:p>
        </w:tc>
        <w:tc>
          <w:tcPr>
            <w:tcW w:w="704" w:type="pct"/>
          </w:tcPr>
          <w:p w14:paraId="1E80409C" w14:textId="6895D3B5" w:rsidR="007A11E6" w:rsidRPr="00923D32" w:rsidRDefault="007A11E6" w:rsidP="0049609B">
            <w:pPr>
              <w:pStyle w:val="TCTableBody"/>
            </w:pPr>
            <w:r w:rsidRPr="00923D32">
              <w:t>(</w:t>
            </w:r>
            <w:r w:rsidR="00E01506" w:rsidRPr="00923D32">
              <w:t>k</w:t>
            </w:r>
            <w:r w:rsidRPr="00923D32">
              <w:t>)</w:t>
            </w:r>
          </w:p>
        </w:tc>
        <w:tc>
          <w:tcPr>
            <w:tcW w:w="635" w:type="pct"/>
          </w:tcPr>
          <w:p w14:paraId="393B66E1" w14:textId="77777777" w:rsidR="007A11E6" w:rsidRPr="00923D32" w:rsidRDefault="007A11E6" w:rsidP="0049609B">
            <w:pPr>
              <w:pStyle w:val="TCTableBody"/>
            </w:pPr>
            <w:r w:rsidRPr="00923D32">
              <w:t>34</w:t>
            </w:r>
          </w:p>
        </w:tc>
        <w:tc>
          <w:tcPr>
            <w:tcW w:w="618" w:type="pct"/>
          </w:tcPr>
          <w:p w14:paraId="36E6A725" w14:textId="77777777" w:rsidR="007A11E6" w:rsidRPr="00923D32" w:rsidRDefault="007A11E6" w:rsidP="0049609B">
            <w:pPr>
              <w:pStyle w:val="TCTableBody"/>
            </w:pPr>
            <w:r w:rsidRPr="00923D32">
              <w:t>0.052</w:t>
            </w:r>
          </w:p>
        </w:tc>
        <w:tc>
          <w:tcPr>
            <w:tcW w:w="645" w:type="pct"/>
          </w:tcPr>
          <w:p w14:paraId="49A71560" w14:textId="77777777" w:rsidR="007A11E6" w:rsidRPr="00923D32" w:rsidRDefault="007A11E6" w:rsidP="0049609B">
            <w:pPr>
              <w:pStyle w:val="TCTableBody"/>
            </w:pPr>
            <w:r w:rsidRPr="00923D32">
              <w:t>0.004</w:t>
            </w:r>
          </w:p>
        </w:tc>
      </w:tr>
      <w:tr w:rsidR="00F36651" w:rsidRPr="007A11E6" w14:paraId="7B6737B0" w14:textId="77777777" w:rsidTr="00F36651">
        <w:trPr>
          <w:jc w:val="center"/>
        </w:trPr>
        <w:tc>
          <w:tcPr>
            <w:tcW w:w="355" w:type="pct"/>
          </w:tcPr>
          <w:p w14:paraId="59719DF8" w14:textId="77777777" w:rsidR="007A11E6" w:rsidRPr="00923D32" w:rsidRDefault="007A11E6" w:rsidP="0049609B">
            <w:pPr>
              <w:pStyle w:val="TCTableBody"/>
            </w:pPr>
            <w:r w:rsidRPr="00923D32">
              <w:t>10</w:t>
            </w:r>
          </w:p>
        </w:tc>
        <w:tc>
          <w:tcPr>
            <w:tcW w:w="703" w:type="pct"/>
          </w:tcPr>
          <w:p w14:paraId="76C61ACB" w14:textId="20AFA1AB"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4</w:t>
            </w:r>
            <w:r w:rsidRPr="00923D32">
              <w:t>(NO</w:t>
            </w:r>
            <w:r w:rsidRPr="00923D32">
              <w:rPr>
                <w:vertAlign w:val="subscript"/>
              </w:rPr>
              <w:t>2</w:t>
            </w:r>
            <w:r w:rsidR="00594E19" w:rsidRPr="00923D32">
              <w:t>)</w:t>
            </w:r>
          </w:p>
        </w:tc>
        <w:tc>
          <w:tcPr>
            <w:tcW w:w="775" w:type="pct"/>
          </w:tcPr>
          <w:p w14:paraId="28FEC693" w14:textId="77777777"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5</w:t>
            </w:r>
          </w:p>
        </w:tc>
        <w:tc>
          <w:tcPr>
            <w:tcW w:w="565" w:type="pct"/>
          </w:tcPr>
          <w:p w14:paraId="5114AD60" w14:textId="77777777" w:rsidR="007A11E6" w:rsidRPr="00923D32" w:rsidRDefault="007A11E6" w:rsidP="0049609B">
            <w:pPr>
              <w:pStyle w:val="TCTableBody"/>
            </w:pPr>
            <w:r w:rsidRPr="00923D32">
              <w:t>8</w:t>
            </w:r>
          </w:p>
        </w:tc>
        <w:tc>
          <w:tcPr>
            <w:tcW w:w="704" w:type="pct"/>
          </w:tcPr>
          <w:p w14:paraId="214C09A7" w14:textId="77777777" w:rsidR="007A11E6" w:rsidRPr="00923D32" w:rsidRDefault="007A11E6" w:rsidP="0049609B">
            <w:pPr>
              <w:pStyle w:val="TCTableBody"/>
            </w:pPr>
            <w:r w:rsidRPr="00923D32">
              <w:t>&lt;1</w:t>
            </w:r>
          </w:p>
        </w:tc>
        <w:tc>
          <w:tcPr>
            <w:tcW w:w="635" w:type="pct"/>
          </w:tcPr>
          <w:p w14:paraId="7D1B13F8" w14:textId="77777777" w:rsidR="007A11E6" w:rsidRPr="00923D32" w:rsidRDefault="007A11E6" w:rsidP="0049609B">
            <w:pPr>
              <w:pStyle w:val="TCTableBody"/>
            </w:pPr>
            <w:r w:rsidRPr="00923D32">
              <w:t>11</w:t>
            </w:r>
          </w:p>
        </w:tc>
        <w:tc>
          <w:tcPr>
            <w:tcW w:w="618" w:type="pct"/>
          </w:tcPr>
          <w:p w14:paraId="12DA1C2A" w14:textId="77777777" w:rsidR="007A11E6" w:rsidRPr="00923D32" w:rsidRDefault="007A11E6" w:rsidP="0049609B">
            <w:pPr>
              <w:pStyle w:val="TCTableBody"/>
            </w:pPr>
            <w:r w:rsidRPr="00923D32">
              <w:t>0.000</w:t>
            </w:r>
          </w:p>
        </w:tc>
        <w:tc>
          <w:tcPr>
            <w:tcW w:w="645" w:type="pct"/>
          </w:tcPr>
          <w:p w14:paraId="54772F87" w14:textId="77777777" w:rsidR="007A11E6" w:rsidRPr="00923D32" w:rsidRDefault="007A11E6" w:rsidP="0049609B">
            <w:pPr>
              <w:pStyle w:val="TCTableBody"/>
            </w:pPr>
            <w:r w:rsidRPr="00923D32">
              <w:t>0.000</w:t>
            </w:r>
          </w:p>
        </w:tc>
      </w:tr>
      <w:tr w:rsidR="00F36651" w:rsidRPr="007A11E6" w14:paraId="7A9A3342" w14:textId="77777777" w:rsidTr="00F36651">
        <w:trPr>
          <w:jc w:val="center"/>
        </w:trPr>
        <w:tc>
          <w:tcPr>
            <w:tcW w:w="355" w:type="pct"/>
          </w:tcPr>
          <w:p w14:paraId="41D05F7C" w14:textId="13F0E061" w:rsidR="007A11E6" w:rsidRPr="00923D32" w:rsidRDefault="00E01506" w:rsidP="0049609B">
            <w:pPr>
              <w:pStyle w:val="TCTableBody"/>
            </w:pPr>
            <w:r w:rsidRPr="00923D32">
              <w:t>11</w:t>
            </w:r>
            <w:r w:rsidRPr="00923D32">
              <w:rPr>
                <w:vertAlign w:val="superscript"/>
              </w:rPr>
              <w:t>g</w:t>
            </w:r>
          </w:p>
        </w:tc>
        <w:tc>
          <w:tcPr>
            <w:tcW w:w="703" w:type="pct"/>
          </w:tcPr>
          <w:p w14:paraId="71EBFE52" w14:textId="21F4795A"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11</w:t>
            </w:r>
            <w:r w:rsidR="005C172A" w:rsidRPr="00923D32">
              <w:rPr>
                <w:vertAlign w:val="superscript"/>
              </w:rPr>
              <w:t>m</w:t>
            </w:r>
          </w:p>
        </w:tc>
        <w:tc>
          <w:tcPr>
            <w:tcW w:w="775" w:type="pct"/>
          </w:tcPr>
          <w:p w14:paraId="05888DAC" w14:textId="77777777" w:rsidR="007A11E6" w:rsidRPr="00923D32" w:rsidRDefault="007A11E6" w:rsidP="0049609B">
            <w:pPr>
              <w:pStyle w:val="TCTableBody"/>
            </w:pPr>
            <w:r w:rsidRPr="00923D32">
              <w:t>CH</w:t>
            </w:r>
            <w:r w:rsidRPr="00923D32">
              <w:rPr>
                <w:vertAlign w:val="subscript"/>
              </w:rPr>
              <w:t>3</w:t>
            </w:r>
            <w:r w:rsidRPr="00923D32">
              <w:t>(CH2)</w:t>
            </w:r>
            <w:r w:rsidRPr="00923D32">
              <w:rPr>
                <w:vertAlign w:val="subscript"/>
              </w:rPr>
              <w:t>4</w:t>
            </w:r>
            <w:r w:rsidRPr="00923D32">
              <w:t>CH</w:t>
            </w:r>
            <w:r w:rsidRPr="00923D32">
              <w:rPr>
                <w:vertAlign w:val="subscript"/>
              </w:rPr>
              <w:t>2</w:t>
            </w:r>
          </w:p>
        </w:tc>
        <w:tc>
          <w:tcPr>
            <w:tcW w:w="565" w:type="pct"/>
          </w:tcPr>
          <w:p w14:paraId="62AFB8F4" w14:textId="77777777" w:rsidR="007A11E6" w:rsidRPr="00923D32" w:rsidRDefault="007A11E6" w:rsidP="0049609B">
            <w:pPr>
              <w:pStyle w:val="TCTableBody"/>
            </w:pPr>
            <w:r w:rsidRPr="00923D32">
              <w:t>9</w:t>
            </w:r>
          </w:p>
        </w:tc>
        <w:tc>
          <w:tcPr>
            <w:tcW w:w="704" w:type="pct"/>
          </w:tcPr>
          <w:p w14:paraId="0A574EB2" w14:textId="77777777" w:rsidR="007A11E6" w:rsidRPr="00923D32" w:rsidRDefault="007A11E6" w:rsidP="0049609B">
            <w:pPr>
              <w:pStyle w:val="TCTableBody"/>
            </w:pPr>
            <w:r w:rsidRPr="00923D32">
              <w:t>16</w:t>
            </w:r>
          </w:p>
        </w:tc>
        <w:tc>
          <w:tcPr>
            <w:tcW w:w="635" w:type="pct"/>
          </w:tcPr>
          <w:p w14:paraId="5272C546" w14:textId="77777777" w:rsidR="007A11E6" w:rsidRPr="00923D32" w:rsidRDefault="007A11E6" w:rsidP="0049609B">
            <w:pPr>
              <w:pStyle w:val="TCTableBody"/>
            </w:pPr>
            <w:r w:rsidRPr="00923D32">
              <w:t>&gt;99</w:t>
            </w:r>
          </w:p>
        </w:tc>
        <w:tc>
          <w:tcPr>
            <w:tcW w:w="618" w:type="pct"/>
          </w:tcPr>
          <w:p w14:paraId="1806FAA1" w14:textId="78917330" w:rsidR="007A11E6" w:rsidRPr="00923D32" w:rsidRDefault="007A11E6" w:rsidP="0049609B">
            <w:pPr>
              <w:pStyle w:val="TCTableBody"/>
            </w:pPr>
            <w:r w:rsidRPr="00923D32">
              <w:t>high</w:t>
            </w:r>
            <w:r w:rsidR="00594E19" w:rsidRPr="00923D32">
              <w:rPr>
                <w:vertAlign w:val="superscript"/>
              </w:rPr>
              <w:t>i</w:t>
            </w:r>
          </w:p>
        </w:tc>
        <w:tc>
          <w:tcPr>
            <w:tcW w:w="645" w:type="pct"/>
          </w:tcPr>
          <w:p w14:paraId="5EC9B10D" w14:textId="7D06638A" w:rsidR="007A11E6" w:rsidRPr="00923D32" w:rsidRDefault="007A11E6" w:rsidP="0049609B">
            <w:pPr>
              <w:pStyle w:val="TCTableBody"/>
            </w:pPr>
            <w:r w:rsidRPr="00923D32">
              <w:t>high</w:t>
            </w:r>
            <w:r w:rsidR="00594E19" w:rsidRPr="00923D32">
              <w:rPr>
                <w:vertAlign w:val="superscript"/>
              </w:rPr>
              <w:t>i</w:t>
            </w:r>
          </w:p>
        </w:tc>
      </w:tr>
      <w:tr w:rsidR="00F36651" w:rsidRPr="007A11E6" w14:paraId="592111C2" w14:textId="77777777" w:rsidTr="00F36651">
        <w:trPr>
          <w:jc w:val="center"/>
        </w:trPr>
        <w:tc>
          <w:tcPr>
            <w:tcW w:w="355" w:type="pct"/>
          </w:tcPr>
          <w:p w14:paraId="08AD6EA1" w14:textId="77777777" w:rsidR="007A11E6" w:rsidRPr="00923D32" w:rsidRDefault="007A11E6" w:rsidP="0049609B">
            <w:pPr>
              <w:pStyle w:val="TCTableBody"/>
            </w:pPr>
            <w:r w:rsidRPr="00923D32">
              <w:t>12</w:t>
            </w:r>
          </w:p>
        </w:tc>
        <w:tc>
          <w:tcPr>
            <w:tcW w:w="703" w:type="pct"/>
          </w:tcPr>
          <w:p w14:paraId="0079CF83" w14:textId="77777777"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11</w:t>
            </w:r>
          </w:p>
        </w:tc>
        <w:tc>
          <w:tcPr>
            <w:tcW w:w="775" w:type="pct"/>
          </w:tcPr>
          <w:p w14:paraId="5C1A90D5" w14:textId="77777777" w:rsidR="007A11E6" w:rsidRPr="00923D32" w:rsidRDefault="007A11E6" w:rsidP="0049609B">
            <w:pPr>
              <w:pStyle w:val="TCTableBody"/>
            </w:pPr>
            <w:r w:rsidRPr="00923D32">
              <w:t>C</w:t>
            </w:r>
            <w:r w:rsidRPr="00923D32">
              <w:rPr>
                <w:vertAlign w:val="subscript"/>
              </w:rPr>
              <w:t>6</w:t>
            </w:r>
            <w:r w:rsidRPr="00923D32">
              <w:t>H</w:t>
            </w:r>
            <w:r w:rsidRPr="00923D32">
              <w:rPr>
                <w:vertAlign w:val="subscript"/>
              </w:rPr>
              <w:t>5</w:t>
            </w:r>
          </w:p>
        </w:tc>
        <w:tc>
          <w:tcPr>
            <w:tcW w:w="565" w:type="pct"/>
          </w:tcPr>
          <w:p w14:paraId="023316B9" w14:textId="77777777" w:rsidR="007A11E6" w:rsidRPr="00923D32" w:rsidRDefault="007A11E6" w:rsidP="0049609B">
            <w:pPr>
              <w:pStyle w:val="TCTableBody"/>
            </w:pPr>
            <w:r w:rsidRPr="00923D32">
              <w:t>11</w:t>
            </w:r>
          </w:p>
        </w:tc>
        <w:tc>
          <w:tcPr>
            <w:tcW w:w="704" w:type="pct"/>
          </w:tcPr>
          <w:p w14:paraId="7CFB5FE4" w14:textId="77777777" w:rsidR="007A11E6" w:rsidRPr="00923D32" w:rsidRDefault="007A11E6" w:rsidP="0049609B">
            <w:pPr>
              <w:pStyle w:val="TCTableBody"/>
            </w:pPr>
            <w:r w:rsidRPr="00923D32">
              <w:t>5</w:t>
            </w:r>
          </w:p>
        </w:tc>
        <w:tc>
          <w:tcPr>
            <w:tcW w:w="635" w:type="pct"/>
          </w:tcPr>
          <w:p w14:paraId="529A9FDF" w14:textId="77777777" w:rsidR="007A11E6" w:rsidRPr="00923D32" w:rsidRDefault="007A11E6" w:rsidP="0049609B">
            <w:pPr>
              <w:pStyle w:val="TCTableBody"/>
            </w:pPr>
            <w:r w:rsidRPr="00923D32">
              <w:t>70</w:t>
            </w:r>
          </w:p>
        </w:tc>
        <w:tc>
          <w:tcPr>
            <w:tcW w:w="618" w:type="pct"/>
          </w:tcPr>
          <w:p w14:paraId="10F40A1A" w14:textId="77777777" w:rsidR="007A11E6" w:rsidRPr="00923D32" w:rsidRDefault="007A11E6" w:rsidP="0049609B">
            <w:pPr>
              <w:pStyle w:val="TCTableBody"/>
            </w:pPr>
            <w:r w:rsidRPr="00923D32">
              <w:t>0.031</w:t>
            </w:r>
          </w:p>
        </w:tc>
        <w:tc>
          <w:tcPr>
            <w:tcW w:w="645" w:type="pct"/>
          </w:tcPr>
          <w:p w14:paraId="7D3443FC" w14:textId="77777777" w:rsidR="007A11E6" w:rsidRPr="00923D32" w:rsidRDefault="007A11E6" w:rsidP="0049609B">
            <w:pPr>
              <w:pStyle w:val="TCTableBody"/>
            </w:pPr>
            <w:r w:rsidRPr="00923D32">
              <w:t>0.011</w:t>
            </w:r>
          </w:p>
        </w:tc>
      </w:tr>
      <w:tr w:rsidR="001950F9" w:rsidRPr="007A11E6" w14:paraId="683D84FF" w14:textId="77777777" w:rsidTr="00F36651">
        <w:trPr>
          <w:jc w:val="center"/>
        </w:trPr>
        <w:tc>
          <w:tcPr>
            <w:tcW w:w="355" w:type="pct"/>
          </w:tcPr>
          <w:p w14:paraId="510C6D0E" w14:textId="7741E345" w:rsidR="001950F9" w:rsidRPr="00923D32" w:rsidRDefault="001950F9" w:rsidP="0049609B">
            <w:pPr>
              <w:pStyle w:val="TCTableBody"/>
            </w:pPr>
            <w:r w:rsidRPr="00923D32">
              <w:t>13</w:t>
            </w:r>
          </w:p>
        </w:tc>
        <w:tc>
          <w:tcPr>
            <w:tcW w:w="703" w:type="pct"/>
          </w:tcPr>
          <w:p w14:paraId="64C08E35" w14:textId="3A2989F5" w:rsidR="001950F9" w:rsidRPr="00923D32" w:rsidRDefault="008F1E8A" w:rsidP="0049609B">
            <w:pPr>
              <w:pStyle w:val="TCTableBody"/>
            </w:pPr>
            <w:r w:rsidRPr="00923D32">
              <w:t>C</w:t>
            </w:r>
            <w:r w:rsidRPr="00923D32">
              <w:rPr>
                <w:vertAlign w:val="subscript"/>
              </w:rPr>
              <w:t>4</w:t>
            </w:r>
            <w:r w:rsidRPr="00923D32">
              <w:t>H</w:t>
            </w:r>
            <w:r w:rsidRPr="00923D32">
              <w:rPr>
                <w:vertAlign w:val="subscript"/>
              </w:rPr>
              <w:t>3</w:t>
            </w:r>
            <w:r w:rsidRPr="00923D32">
              <w:t>O</w:t>
            </w:r>
            <w:r w:rsidR="00DB3F21" w:rsidRPr="00923D32">
              <w:rPr>
                <w:vertAlign w:val="superscript"/>
              </w:rPr>
              <w:t>n</w:t>
            </w:r>
          </w:p>
        </w:tc>
        <w:tc>
          <w:tcPr>
            <w:tcW w:w="775" w:type="pct"/>
          </w:tcPr>
          <w:p w14:paraId="4A1C80CA" w14:textId="74FCFA3B" w:rsidR="001950F9" w:rsidRPr="00923D32" w:rsidRDefault="008F1E8A" w:rsidP="0049609B">
            <w:pPr>
              <w:pStyle w:val="TCTableBody"/>
            </w:pPr>
            <w:r w:rsidRPr="00923D32">
              <w:t>C</w:t>
            </w:r>
            <w:r w:rsidRPr="00923D32">
              <w:rPr>
                <w:vertAlign w:val="subscript"/>
              </w:rPr>
              <w:t>6</w:t>
            </w:r>
            <w:r w:rsidRPr="00923D32">
              <w:t>H</w:t>
            </w:r>
            <w:r w:rsidRPr="00923D32">
              <w:rPr>
                <w:vertAlign w:val="subscript"/>
              </w:rPr>
              <w:t>5</w:t>
            </w:r>
          </w:p>
        </w:tc>
        <w:tc>
          <w:tcPr>
            <w:tcW w:w="565" w:type="pct"/>
          </w:tcPr>
          <w:p w14:paraId="428590B0" w14:textId="07DF575A" w:rsidR="001950F9" w:rsidRPr="00923D32" w:rsidRDefault="000B6CC7" w:rsidP="0049609B">
            <w:pPr>
              <w:pStyle w:val="TCTableBody"/>
            </w:pPr>
            <w:r w:rsidRPr="00923D32">
              <w:t>(k)</w:t>
            </w:r>
          </w:p>
        </w:tc>
        <w:tc>
          <w:tcPr>
            <w:tcW w:w="704" w:type="pct"/>
          </w:tcPr>
          <w:p w14:paraId="190C7879" w14:textId="1BB18BA2" w:rsidR="001950F9" w:rsidRPr="00923D32" w:rsidRDefault="000B6CC7" w:rsidP="0049609B">
            <w:pPr>
              <w:pStyle w:val="TCTableBody"/>
            </w:pPr>
            <w:r w:rsidRPr="00923D32">
              <w:t>(k)</w:t>
            </w:r>
          </w:p>
        </w:tc>
        <w:tc>
          <w:tcPr>
            <w:tcW w:w="635" w:type="pct"/>
          </w:tcPr>
          <w:p w14:paraId="0E7666D8" w14:textId="7AEE8597" w:rsidR="001950F9" w:rsidRPr="00923D32" w:rsidRDefault="000B6CC7" w:rsidP="0049609B">
            <w:pPr>
              <w:pStyle w:val="TCTableBody"/>
            </w:pPr>
            <w:r w:rsidRPr="00923D32">
              <w:t>78</w:t>
            </w:r>
          </w:p>
        </w:tc>
        <w:tc>
          <w:tcPr>
            <w:tcW w:w="618" w:type="pct"/>
          </w:tcPr>
          <w:p w14:paraId="6F541860" w14:textId="459DF2B8" w:rsidR="001950F9" w:rsidRPr="00923D32" w:rsidRDefault="008F1E8A" w:rsidP="0049609B">
            <w:pPr>
              <w:pStyle w:val="TCTableBody"/>
            </w:pPr>
            <w:r w:rsidRPr="00923D32">
              <w:t>0.081</w:t>
            </w:r>
          </w:p>
        </w:tc>
        <w:tc>
          <w:tcPr>
            <w:tcW w:w="645" w:type="pct"/>
          </w:tcPr>
          <w:p w14:paraId="083805A7" w14:textId="4FA0C006" w:rsidR="001950F9" w:rsidRPr="00923D32" w:rsidRDefault="008F1E8A" w:rsidP="0049609B">
            <w:pPr>
              <w:pStyle w:val="TCTableBody"/>
            </w:pPr>
            <w:r w:rsidRPr="00923D32">
              <w:t>0.018</w:t>
            </w:r>
          </w:p>
        </w:tc>
      </w:tr>
    </w:tbl>
    <w:p w14:paraId="21E42CFB" w14:textId="4BFB60DD" w:rsidR="007A11E6" w:rsidRDefault="00F36651" w:rsidP="0049609B">
      <w:pPr>
        <w:pStyle w:val="FETableFootnote"/>
        <w:ind w:firstLine="0"/>
      </w:pPr>
      <w:r w:rsidRPr="00F36651">
        <w:t>K60 catalyst activated at 700 °C</w:t>
      </w:r>
      <w:r w:rsidR="00BD2D38">
        <w:t xml:space="preserve">; </w:t>
      </w:r>
      <w:r w:rsidR="00BD2D38" w:rsidRPr="00923D32">
        <w:t xml:space="preserve">reactions run for 24 h; solubilities determined at 25 </w:t>
      </w:r>
      <w:r w:rsidR="00BD2D38" w:rsidRPr="00923D32">
        <w:rPr>
          <w:rFonts w:ascii="Ebrima" w:hAnsi="Ebrima"/>
        </w:rPr>
        <w:t>°</w:t>
      </w:r>
      <w:r w:rsidR="00BD2D38" w:rsidRPr="00923D32">
        <w:t>C;</w:t>
      </w:r>
      <w:r w:rsidRPr="00923D32">
        <w:t xml:space="preserve"> (a) 12 mmol of each reagent, (b) 111 °C, otherwise solvents set to reflux, (c) </w:t>
      </w:r>
      <w:r w:rsidR="00594E19" w:rsidRPr="00923D32">
        <w:t>mean of 3 tests, (d) 4-chlorophenoxyacetic acid, (e) 2-chloroaniline, (f</w:t>
      </w:r>
      <w:r w:rsidRPr="00923D32">
        <w:t xml:space="preserve">) 2,6-dimethylaniline, </w:t>
      </w:r>
      <w:r w:rsidR="00594E19" w:rsidRPr="00923D32">
        <w:t xml:space="preserve">(g) </w:t>
      </w:r>
      <w:r w:rsidR="00E01506" w:rsidRPr="00923D32">
        <w:t>non-precipitating waxy solid</w:t>
      </w:r>
      <w:r w:rsidR="00594E19" w:rsidRPr="00923D32">
        <w:t>, (h</w:t>
      </w:r>
      <w:r w:rsidRPr="00923D32">
        <w:t xml:space="preserve">) pyrrolidine, </w:t>
      </w:r>
      <w:r w:rsidR="00594E19" w:rsidRPr="00923D32">
        <w:t xml:space="preserve">(i) </w:t>
      </w:r>
      <w:r w:rsidR="00420210" w:rsidRPr="00923D32">
        <w:t xml:space="preserve">accurate </w:t>
      </w:r>
      <w:r w:rsidR="00594E19" w:rsidRPr="00923D32">
        <w:t xml:space="preserve">measurement not possible by this method and with available quantities, </w:t>
      </w:r>
      <w:r w:rsidRPr="00923D32">
        <w:t>(</w:t>
      </w:r>
      <w:r w:rsidR="00594E19" w:rsidRPr="00923D32">
        <w:t>j</w:t>
      </w:r>
      <w:r w:rsidRPr="00923D32">
        <w:t xml:space="preserve">) </w:t>
      </w:r>
      <w:r w:rsidR="00E01506" w:rsidRPr="00923D32">
        <w:t xml:space="preserve">oil, (k) </w:t>
      </w:r>
      <w:r w:rsidR="005C172A" w:rsidRPr="00923D32">
        <w:t>yield too low to isolate, (</w:t>
      </w:r>
      <w:r w:rsidR="00E01506" w:rsidRPr="00923D32">
        <w:t>l</w:t>
      </w:r>
      <w:r w:rsidR="005C172A" w:rsidRPr="00923D32">
        <w:t xml:space="preserve">) </w:t>
      </w:r>
      <w:r w:rsidRPr="00923D32">
        <w:t xml:space="preserve">4-nitrobenzoic acid, </w:t>
      </w:r>
      <w:r w:rsidR="00594E19" w:rsidRPr="00923D32">
        <w:t xml:space="preserve">, </w:t>
      </w:r>
      <w:r w:rsidRPr="00923D32">
        <w:t>(</w:t>
      </w:r>
      <w:r w:rsidR="005C172A" w:rsidRPr="00923D32">
        <w:t>m) cy</w:t>
      </w:r>
      <w:r w:rsidRPr="00923D32">
        <w:t>clohexane</w:t>
      </w:r>
      <w:r w:rsidR="001033C6" w:rsidRPr="00923D32">
        <w:t xml:space="preserve"> </w:t>
      </w:r>
      <w:r w:rsidRPr="00923D32">
        <w:t>carboxylic acid,</w:t>
      </w:r>
      <w:r w:rsidR="005C172A" w:rsidRPr="00923D32">
        <w:t xml:space="preserve"> </w:t>
      </w:r>
      <w:r w:rsidR="00DB3F21" w:rsidRPr="00923D32">
        <w:t xml:space="preserve">(n) </w:t>
      </w:r>
      <w:r w:rsidR="005611E9" w:rsidRPr="00923D32">
        <w:t xml:space="preserve">2-furoic acid. </w:t>
      </w:r>
      <w:r w:rsidR="00E01506" w:rsidRPr="00923D32">
        <w:t xml:space="preserve"> *Amide </w:t>
      </w:r>
      <w:r w:rsidR="00E01506" w:rsidRPr="00923D32">
        <w:rPr>
          <w:b/>
        </w:rPr>
        <w:t>7</w:t>
      </w:r>
      <w:r w:rsidR="00E01506" w:rsidRPr="00923D32">
        <w:t xml:space="preserve"> isolated yield</w:t>
      </w:r>
      <w:r w:rsidR="005611E9" w:rsidRPr="00923D32">
        <w:t xml:space="preserve"> trend</w:t>
      </w:r>
      <w:r w:rsidR="00E01506" w:rsidRPr="00923D32">
        <w:t xml:space="preserve"> differ</w:t>
      </w:r>
      <w:r w:rsidR="005611E9" w:rsidRPr="00923D32">
        <w:t>s</w:t>
      </w:r>
      <w:r w:rsidR="00E01506" w:rsidRPr="00923D32">
        <w:t xml:space="preserve"> w.r.t. yields obtained on GC. </w:t>
      </w:r>
      <w:r w:rsidR="0060409B" w:rsidRPr="00923D32">
        <w:t xml:space="preserve">As </w:t>
      </w:r>
      <w:r w:rsidR="0060409B" w:rsidRPr="00923D32">
        <w:rPr>
          <w:b/>
        </w:rPr>
        <w:t>7</w:t>
      </w:r>
      <w:r w:rsidR="0060409B" w:rsidRPr="00923D32">
        <w:t xml:space="preserve"> did not precipitate, there were likely several losses during the isolation process</w:t>
      </w:r>
      <w:r w:rsidR="00705238" w:rsidRPr="00923D32">
        <w:t xml:space="preserve">. </w:t>
      </w:r>
      <w:r w:rsidR="004A1DD8" w:rsidRPr="00923D32">
        <w:t xml:space="preserve">See </w:t>
      </w:r>
      <w:r w:rsidR="00A15411" w:rsidRPr="00923D32">
        <w:t xml:space="preserve">Table </w:t>
      </w:r>
      <w:r w:rsidR="004A1DD8" w:rsidRPr="00923D32">
        <w:t>S</w:t>
      </w:r>
      <w:r w:rsidR="00FB596E" w:rsidRPr="00923D32">
        <w:t>1</w:t>
      </w:r>
      <w:r w:rsidR="004A1DD8" w:rsidRPr="00923D32">
        <w:t xml:space="preserve"> for</w:t>
      </w:r>
      <w:r w:rsidR="00705238" w:rsidRPr="00923D32">
        <w:t xml:space="preserve"> GC yields</w:t>
      </w:r>
      <w:r w:rsidR="00865773" w:rsidRPr="00923D32">
        <w:t xml:space="preserve">, </w:t>
      </w:r>
      <w:r w:rsidR="004A1DD8" w:rsidRPr="00923D32">
        <w:t>catalyst-free reaction yields</w:t>
      </w:r>
      <w:r w:rsidR="00865773" w:rsidRPr="00923D32">
        <w:t xml:space="preserve"> and an example of catalyst reuse for amide </w:t>
      </w:r>
      <w:r w:rsidR="00865773" w:rsidRPr="00923D32">
        <w:rPr>
          <w:b/>
        </w:rPr>
        <w:t>13</w:t>
      </w:r>
      <w:r w:rsidR="004A1DD8" w:rsidRPr="00923D32">
        <w:t>.</w:t>
      </w:r>
      <w:r w:rsidR="004A1DD8">
        <w:t xml:space="preserve"> </w:t>
      </w:r>
    </w:p>
    <w:p w14:paraId="63D1ABEF" w14:textId="0B7155C0" w:rsidR="00375A72" w:rsidRDefault="00375A72" w:rsidP="003E4947">
      <w:pPr>
        <w:pStyle w:val="TAMainText"/>
        <w:ind w:firstLine="0"/>
      </w:pPr>
    </w:p>
    <w:p w14:paraId="15F36325" w14:textId="77777777" w:rsidR="00604F80" w:rsidRDefault="00604F80" w:rsidP="003E4947">
      <w:pPr>
        <w:pStyle w:val="TAMainText"/>
        <w:ind w:firstLine="0"/>
        <w:sectPr w:rsidR="00604F80" w:rsidSect="00B63339">
          <w:type w:val="continuous"/>
          <w:pgSz w:w="12240" w:h="15840"/>
          <w:pgMar w:top="720" w:right="1094" w:bottom="950" w:left="1094" w:header="720" w:footer="720" w:gutter="0"/>
          <w:cols w:space="461"/>
        </w:sectPr>
      </w:pPr>
    </w:p>
    <w:p w14:paraId="41D22297" w14:textId="21E54F95" w:rsidR="00DC0C41" w:rsidRDefault="004E4BA1" w:rsidP="004B3DCC">
      <w:pPr>
        <w:pStyle w:val="TAMainText"/>
      </w:pPr>
      <w:r w:rsidRPr="004E4BA1">
        <w:t>By visualizing the relative solubilities in the “solvent-space”, it was possible to affirm the predictions about the likelihood that the amides would precipitate out of solution. The proximity of solvent and solute in the Hansen solvent space indicates a high affinity (“like-dissolves-like”). Amides have been plotted indi</w:t>
      </w:r>
      <w:r w:rsidR="009B2BE3">
        <w:t>vidually with a data set of sol</w:t>
      </w:r>
      <w:r w:rsidRPr="004E4BA1">
        <w:t>vents to show which will be likely to form a solution and which fall outside the solubility zone (green sphere).</w:t>
      </w:r>
      <w:r>
        <w:t xml:space="preserve"> </w:t>
      </w:r>
      <w:r w:rsidR="00A76EF0" w:rsidRPr="00A76EF0">
        <w:t xml:space="preserve">It is logical that the greater distance in solvent-space (corresponding to dissimilar polarity and H-bonding), the lower the solubility of the amide. It is important to bear in mind that the radius of the sphere of solubility is specific to each amide, so a clear trend could not be drawn between distance and the solubility of </w:t>
      </w:r>
      <w:r w:rsidR="00A76EF0" w:rsidRPr="00A76EF0">
        <w:rPr>
          <w:i/>
        </w:rPr>
        <w:t>p</w:t>
      </w:r>
      <w:r w:rsidR="00A76EF0" w:rsidRPr="00A76EF0">
        <w:t>-cymene or toluene. Howeve</w:t>
      </w:r>
      <w:r w:rsidR="00A76EF0">
        <w:t>r, in general, the HSPiP predic</w:t>
      </w:r>
      <w:r w:rsidR="00A76EF0" w:rsidRPr="00A76EF0">
        <w:t>tions agree with the Yalkowsky app</w:t>
      </w:r>
      <w:r w:rsidR="00A76EF0">
        <w:t>roximation. The two am</w:t>
      </w:r>
      <w:r w:rsidR="00A76EF0" w:rsidRPr="00A76EF0">
        <w:t xml:space="preserve">ides nearest to the solvents, </w:t>
      </w:r>
      <w:r w:rsidR="00A76EF0" w:rsidRPr="00A76EF0">
        <w:rPr>
          <w:b/>
        </w:rPr>
        <w:t>7</w:t>
      </w:r>
      <w:r w:rsidR="00A76EF0" w:rsidRPr="00A76EF0">
        <w:t xml:space="preserve"> and </w:t>
      </w:r>
      <w:r w:rsidR="00A76EF0" w:rsidRPr="00A76EF0">
        <w:rPr>
          <w:b/>
        </w:rPr>
        <w:t>11</w:t>
      </w:r>
      <w:r w:rsidR="00A76EF0" w:rsidRPr="00A76EF0">
        <w:t xml:space="preserve">, were soluble in the two solvents and thus outside the range of amides suitable for filtration. The farthest amide in solvent space, </w:t>
      </w:r>
      <w:r w:rsidR="00A76EF0" w:rsidRPr="00A76EF0">
        <w:rPr>
          <w:b/>
        </w:rPr>
        <w:t>10</w:t>
      </w:r>
      <w:r w:rsidR="00A76EF0" w:rsidRPr="00A76EF0">
        <w:t>, showed no solubility in either solvent, which can be attributed to the increased polarity afforded</w:t>
      </w:r>
      <w:r w:rsidR="00A76EF0">
        <w:t xml:space="preserve"> by the -NO</w:t>
      </w:r>
      <w:r w:rsidR="00A76EF0" w:rsidRPr="00923D32">
        <w:rPr>
          <w:vertAlign w:val="subscript"/>
        </w:rPr>
        <w:t>2</w:t>
      </w:r>
      <w:r w:rsidR="00A76EF0">
        <w:t xml:space="preserve"> functionality. Alt</w:t>
      </w:r>
      <w:r w:rsidR="00A76EF0" w:rsidRPr="00A76EF0">
        <w:t xml:space="preserve">hough toluene and </w:t>
      </w:r>
      <w:r w:rsidR="00A76EF0" w:rsidRPr="00A76EF0">
        <w:rPr>
          <w:i/>
        </w:rPr>
        <w:t>p</w:t>
      </w:r>
      <w:r w:rsidR="00A76EF0" w:rsidRPr="00A76EF0">
        <w:t xml:space="preserve">-cymene occupy the same region of solvent space, amide solubility was consistently lower in </w:t>
      </w:r>
      <w:r w:rsidR="00A76EF0" w:rsidRPr="00A76EF0">
        <w:rPr>
          <w:i/>
        </w:rPr>
        <w:t>p</w:t>
      </w:r>
      <w:r w:rsidR="00A76EF0" w:rsidRPr="00A76EF0">
        <w:t xml:space="preserve">-cymene due to its </w:t>
      </w:r>
      <w:r w:rsidR="008C7701">
        <w:t>relatively lower polarity</w:t>
      </w:r>
      <w:r w:rsidR="00A76EF0" w:rsidRPr="00A76EF0">
        <w:t>, which is an advantage for recovery.</w:t>
      </w:r>
      <w:r w:rsidR="003310A9">
        <w:t xml:space="preserve"> </w:t>
      </w:r>
    </w:p>
    <w:p w14:paraId="527DB70F" w14:textId="1BD58D40" w:rsidR="00DB6481" w:rsidRDefault="00DB6481" w:rsidP="004B3DCC">
      <w:pPr>
        <w:pStyle w:val="TAMainText"/>
      </w:pPr>
      <w:r>
        <w:t xml:space="preserve">With the aim of testing the efficacy of </w:t>
      </w:r>
      <w:r w:rsidRPr="00474FAA">
        <w:rPr>
          <w:i/>
        </w:rPr>
        <w:t>p</w:t>
      </w:r>
      <w:r>
        <w:t xml:space="preserve">-cymene as a solvent for direct amidation, a study was conducted covering the range of amides with various functional groups to account </w:t>
      </w:r>
      <w:r w:rsidR="009D38FC">
        <w:t>f</w:t>
      </w:r>
      <w:r>
        <w:t xml:space="preserve">or steric effects and selectivity (see Table 1). </w:t>
      </w:r>
      <w:r w:rsidR="00031CB9">
        <w:t xml:space="preserve">Amidations were run in toluene </w:t>
      </w:r>
      <w:r w:rsidR="00031CB9" w:rsidRPr="00031CB9">
        <w:t xml:space="preserve">(reflux) and in </w:t>
      </w:r>
      <w:r w:rsidR="00031CB9" w:rsidRPr="00474FAA">
        <w:rPr>
          <w:i/>
        </w:rPr>
        <w:t>p</w:t>
      </w:r>
      <w:r w:rsidR="00031CB9" w:rsidRPr="00031CB9">
        <w:t xml:space="preserve">-cymene (111 °C and reflux) to investigate the potential benefits of a temperature increase made possible by the low volatility of </w:t>
      </w:r>
      <w:r w:rsidR="00031CB9" w:rsidRPr="00474FAA">
        <w:rPr>
          <w:i/>
        </w:rPr>
        <w:t>p</w:t>
      </w:r>
      <w:r w:rsidR="00031CB9" w:rsidRPr="00031CB9">
        <w:t>-cymene. The heterogeneous catalyst chosen for this purpose was K60 silica gel activated to 700 °</w:t>
      </w:r>
      <w:r w:rsidR="00474FAA">
        <w:t>C</w:t>
      </w:r>
      <w:r w:rsidR="00031CB9" w:rsidRPr="00031CB9">
        <w:t>. Y</w:t>
      </w:r>
      <w:r w:rsidR="00B97B80">
        <w:t>ields were obtained via GC anal</w:t>
      </w:r>
      <w:r w:rsidR="00031CB9" w:rsidRPr="00031CB9">
        <w:t>ysis</w:t>
      </w:r>
      <w:r w:rsidR="00EF7B3C">
        <w:t xml:space="preserve"> (Table S1)</w:t>
      </w:r>
      <w:r w:rsidR="00031CB9" w:rsidRPr="00031CB9">
        <w:t xml:space="preserve"> and by isolation of the pure amide to assess losses in the work u</w:t>
      </w:r>
      <w:r w:rsidR="009D38FC">
        <w:t>p</w:t>
      </w:r>
      <w:r w:rsidR="00EF7B3C">
        <w:t xml:space="preserve"> (Table 1).</w:t>
      </w:r>
      <w:r w:rsidR="001C7FA1">
        <w:t xml:space="preserve"> </w:t>
      </w:r>
    </w:p>
    <w:p w14:paraId="538BED16" w14:textId="7359EAC3" w:rsidR="00007A74" w:rsidRDefault="00B97B80" w:rsidP="004B3DCC">
      <w:pPr>
        <w:pStyle w:val="TAMainText"/>
      </w:pPr>
      <w:r w:rsidRPr="00B97B80">
        <w:t xml:space="preserve">It is evident from the results in Table 1 that the yields after 24 h were generally lower in </w:t>
      </w:r>
      <w:r w:rsidRPr="00474FAA">
        <w:rPr>
          <w:i/>
        </w:rPr>
        <w:t>p</w:t>
      </w:r>
      <w:r w:rsidRPr="00B97B80">
        <w:t xml:space="preserve">-cymene at 111 °C than those in refluxing toluene. However, raising the temperature of </w:t>
      </w:r>
      <w:r w:rsidRPr="00474FAA">
        <w:rPr>
          <w:i/>
        </w:rPr>
        <w:t>p</w:t>
      </w:r>
      <w:r w:rsidRPr="00B97B80">
        <w:t xml:space="preserve">-cymene to reflux caused a dramatic increase in the yield. In the case of </w:t>
      </w:r>
      <w:r w:rsidRPr="00474FAA">
        <w:rPr>
          <w:i/>
        </w:rPr>
        <w:t>N</w:t>
      </w:r>
      <w:r w:rsidRPr="00B97B80">
        <w:t xml:space="preserve">-(2,6-Dimethyl-phenyl)phenyl-acetamide, an increase of </w:t>
      </w:r>
      <w:r w:rsidRPr="00B97B80">
        <w:lastRenderedPageBreak/>
        <w:t xml:space="preserve">more than 50% was observed in refluxing </w:t>
      </w:r>
      <w:r w:rsidRPr="00474FAA">
        <w:rPr>
          <w:i/>
        </w:rPr>
        <w:t>p</w:t>
      </w:r>
      <w:r w:rsidRPr="00B97B80">
        <w:t>-cymene over toluene. In the cases of nitr</w:t>
      </w:r>
      <w:r w:rsidR="00567FE0">
        <w:t>o</w:t>
      </w:r>
      <w:r w:rsidRPr="00B97B80">
        <w:t xml:space="preserve"> containi</w:t>
      </w:r>
      <w:r w:rsidR="00474FAA">
        <w:t xml:space="preserve">ng amide, </w:t>
      </w:r>
      <w:r w:rsidR="00474FAA" w:rsidRPr="00567FE0">
        <w:rPr>
          <w:b/>
        </w:rPr>
        <w:t>9</w:t>
      </w:r>
      <w:r w:rsidR="00474FAA">
        <w:t>, the higher tempera</w:t>
      </w:r>
      <w:r w:rsidR="009B2BE3">
        <w:t>ture is necessary to promote</w:t>
      </w:r>
      <w:r w:rsidRPr="00B97B80">
        <w:t xml:space="preserve"> the reaction.</w:t>
      </w:r>
      <w:r w:rsidR="00007A74" w:rsidRPr="00007A74">
        <w:t xml:space="preserve"> </w:t>
      </w:r>
      <w:r w:rsidR="00007A74" w:rsidRPr="00923D32">
        <w:t>Energy measurements were carried out on the synthesis </w:t>
      </w:r>
      <w:r w:rsidR="00007A74" w:rsidRPr="00923D32">
        <w:rPr>
          <w:b/>
          <w:bCs/>
        </w:rPr>
        <w:t>3</w:t>
      </w:r>
      <w:r w:rsidR="00007A74" w:rsidRPr="00923D32">
        <w:t> using both solvents at 111</w:t>
      </w:r>
      <w:r w:rsidR="00007A74" w:rsidRPr="00923D32">
        <w:rPr>
          <w:rFonts w:ascii="Calibri" w:hAnsi="Calibri" w:cs="Calibri"/>
        </w:rPr>
        <w:t>°</w:t>
      </w:r>
      <w:r w:rsidR="00007A74" w:rsidRPr="00923D32">
        <w:t xml:space="preserve">C and </w:t>
      </w:r>
      <w:r w:rsidR="00007A74" w:rsidRPr="00923D32">
        <w:rPr>
          <w:i/>
        </w:rPr>
        <w:t>p</w:t>
      </w:r>
      <w:r w:rsidR="00007A74" w:rsidRPr="00923D32">
        <w:t xml:space="preserve">-cymene at </w:t>
      </w:r>
      <w:r w:rsidR="00007A74" w:rsidRPr="00923D32">
        <w:t>reflux (see Supplementary Information)</w:t>
      </w:r>
      <w:r w:rsidR="00007A74" w:rsidRPr="00923D32">
        <w:t xml:space="preserve">. </w:t>
      </w:r>
      <w:r w:rsidR="00007A74" w:rsidRPr="00923D32">
        <w:t xml:space="preserve">The high temperature </w:t>
      </w:r>
      <w:r w:rsidR="00007A74" w:rsidRPr="00923D32">
        <w:rPr>
          <w:i/>
        </w:rPr>
        <w:t>p</w:t>
      </w:r>
      <w:r w:rsidR="00007A74" w:rsidRPr="00923D32">
        <w:t>-cymene was</w:t>
      </w:r>
      <w:r w:rsidR="00007A74" w:rsidRPr="00923D32">
        <w:t xml:space="preserve"> the most energy efficient per unit product</w:t>
      </w:r>
      <w:r w:rsidR="00007A74" w:rsidRPr="00923D32">
        <w:t xml:space="preserve"> of all the systems </w:t>
      </w:r>
      <w:r w:rsidR="00007A74" w:rsidRPr="00923D32">
        <w:t>(0.357 kWh g</w:t>
      </w:r>
      <w:r w:rsidR="00007A74" w:rsidRPr="00923D32">
        <w:rPr>
          <w:vertAlign w:val="superscript"/>
        </w:rPr>
        <w:t>-1</w:t>
      </w:r>
      <w:r w:rsidR="00007A74" w:rsidRPr="00923D32">
        <w:t xml:space="preserve">), </w:t>
      </w:r>
      <w:r w:rsidR="00007A74" w:rsidRPr="00923D32">
        <w:t>refluxing toluene giving the next best at 0.464 kWh g</w:t>
      </w:r>
      <w:r w:rsidR="00007A74" w:rsidRPr="00923D32">
        <w:rPr>
          <w:vertAlign w:val="superscript"/>
        </w:rPr>
        <w:t>-1</w:t>
      </w:r>
      <w:r w:rsidR="00007A74" w:rsidRPr="00923D32">
        <w:t xml:space="preserve">.  Given the lack of insulation on the vessel, heat losses would be significantly greater </w:t>
      </w:r>
      <w:r w:rsidR="00007A74" w:rsidRPr="00923D32">
        <w:t xml:space="preserve">for the refluxing </w:t>
      </w:r>
      <w:r w:rsidR="00007A74" w:rsidRPr="00923D32">
        <w:rPr>
          <w:i/>
        </w:rPr>
        <w:t>p</w:t>
      </w:r>
      <w:r w:rsidR="00007A74" w:rsidRPr="00923D32">
        <w:t>-cymene system</w:t>
      </w:r>
      <w:r w:rsidR="00007A74" w:rsidRPr="00923D32">
        <w:t xml:space="preserve">, meaning a </w:t>
      </w:r>
      <w:r w:rsidR="00007A74" w:rsidRPr="00923D32">
        <w:t>well-</w:t>
      </w:r>
      <w:r w:rsidR="00007A74" w:rsidRPr="00923D32">
        <w:t>insulated system would benefit the high temperature process further</w:t>
      </w:r>
      <w:r w:rsidR="00007A74" w:rsidRPr="00923D32">
        <w:t>.</w:t>
      </w:r>
      <w:r w:rsidR="00FB596E">
        <w:t xml:space="preserve"> </w:t>
      </w:r>
    </w:p>
    <w:p w14:paraId="0E56338B" w14:textId="1111559A" w:rsidR="00B97B80" w:rsidRPr="00923D32" w:rsidRDefault="00A9031B" w:rsidP="004B3DCC">
      <w:pPr>
        <w:pStyle w:val="TAMainText"/>
      </w:pPr>
      <w:r w:rsidRPr="00923D32">
        <w:t xml:space="preserve">In general, the catalyst was effective where aromatic amines were used </w:t>
      </w:r>
      <w:r w:rsidR="00C76F01" w:rsidRPr="00923D32">
        <w:t>but</w:t>
      </w:r>
      <w:r w:rsidRPr="00923D32">
        <w:t xml:space="preserve"> did not make a significant difference to reactions involving aliphatic amines (see S1).</w:t>
      </w:r>
      <w:r w:rsidR="00A15411" w:rsidRPr="00923D32">
        <w:t xml:space="preserve"> However, it should be noted that in examples where the catalyst offered little benefit (Table S1, amides </w:t>
      </w:r>
      <w:r w:rsidR="00A15411" w:rsidRPr="00923D32">
        <w:rPr>
          <w:b/>
        </w:rPr>
        <w:t>7</w:t>
      </w:r>
      <w:r w:rsidR="00A15411" w:rsidRPr="00923D32">
        <w:t xml:space="preserve"> and </w:t>
      </w:r>
      <w:r w:rsidR="00A15411" w:rsidRPr="00923D32">
        <w:rPr>
          <w:b/>
        </w:rPr>
        <w:t>11</w:t>
      </w:r>
      <w:r w:rsidR="00A15411" w:rsidRPr="00923D32">
        <w:t xml:space="preserve">) there was still a significant improvement in yield on moving to the hotter refluxing </w:t>
      </w:r>
      <w:r w:rsidR="00923D32">
        <w:rPr>
          <w:i/>
        </w:rPr>
        <w:t>p</w:t>
      </w:r>
      <w:r w:rsidR="00A15411" w:rsidRPr="00923D32">
        <w:t>-cymene solvent over the toluene equivalent.</w:t>
      </w:r>
      <w:r w:rsidR="00865773" w:rsidRPr="00923D32">
        <w:t xml:space="preserve"> The activated K60 silica catalyst was recovered and reused for the synthesis of </w:t>
      </w:r>
      <w:r w:rsidR="00865773" w:rsidRPr="00923D32">
        <w:rPr>
          <w:b/>
        </w:rPr>
        <w:t>13</w:t>
      </w:r>
      <w:r w:rsidR="00865773" w:rsidRPr="00923D32">
        <w:t xml:space="preserve"> (see Table S1), showing no drop in yield and therefore suggesting excellent potential for use in continual flow reaction.</w:t>
      </w:r>
      <w:r w:rsidR="00B419DF" w:rsidRPr="00923D32">
        <w:t xml:space="preserve"> </w:t>
      </w:r>
    </w:p>
    <w:p w14:paraId="6A58F6C7" w14:textId="3059AD19" w:rsidR="00B97B80" w:rsidRDefault="00B419DF" w:rsidP="004B3DCC">
      <w:pPr>
        <w:pStyle w:val="TAMainText"/>
      </w:pPr>
      <w:r w:rsidRPr="00923D32">
        <w:t xml:space="preserve">Amide </w:t>
      </w:r>
      <w:r w:rsidRPr="00923D32">
        <w:rPr>
          <w:b/>
        </w:rPr>
        <w:t>1</w:t>
      </w:r>
      <w:r w:rsidRPr="00923D32">
        <w:t xml:space="preserve"> (4,</w:t>
      </w:r>
      <w:r w:rsidRPr="00923D32">
        <w:rPr>
          <w:i/>
        </w:rPr>
        <w:t>N</w:t>
      </w:r>
      <w:r w:rsidRPr="00923D32">
        <w:t>-diphenylbutyramide) was selected for the flow reaction as it was isolated in high yields from the batch reaction</w:t>
      </w:r>
      <w:r w:rsidRPr="00923D32">
        <w:t xml:space="preserve"> and how a low absolute solubility in cool </w:t>
      </w:r>
      <w:r w:rsidRPr="00923D32">
        <w:rPr>
          <w:i/>
        </w:rPr>
        <w:t>p</w:t>
      </w:r>
      <w:r w:rsidRPr="00923D32">
        <w:t>-cymene</w:t>
      </w:r>
      <w:r w:rsidRPr="00923D32">
        <w:t>.</w:t>
      </w:r>
      <w:r>
        <w:t xml:space="preserve"> </w:t>
      </w:r>
      <w:r w:rsidR="00B97B80" w:rsidRPr="00B97B80">
        <w:t xml:space="preserve">The solubility of </w:t>
      </w:r>
      <w:r w:rsidRPr="00C44681">
        <w:rPr>
          <w:b/>
        </w:rPr>
        <w:t>1</w:t>
      </w:r>
      <w:r w:rsidR="00B97B80" w:rsidRPr="00B97B80">
        <w:t xml:space="preserve"> was checked visually at increasing temperatures and found to have completely diss</w:t>
      </w:r>
      <w:r w:rsidR="00474FAA">
        <w:t xml:space="preserve">olved in </w:t>
      </w:r>
      <w:r w:rsidR="00474FAA" w:rsidRPr="00474FAA">
        <w:rPr>
          <w:i/>
        </w:rPr>
        <w:t>p</w:t>
      </w:r>
      <w:r w:rsidR="00474FAA">
        <w:t>-cymene at 70 °C. Cor</w:t>
      </w:r>
      <w:r w:rsidR="00EF7B3C">
        <w:t xml:space="preserve">respondingly, </w:t>
      </w:r>
      <w:r w:rsidR="00B97B80" w:rsidRPr="00B97B80">
        <w:t>4-pheny</w:t>
      </w:r>
      <w:r w:rsidR="00965F50">
        <w:t>lbutyric acid was checked at de</w:t>
      </w:r>
      <w:r w:rsidR="00B97B80" w:rsidRPr="00B97B80">
        <w:t xml:space="preserve">creasing temperatures and found to precipitate out of solution at temperatures below </w:t>
      </w:r>
      <w:r w:rsidR="00346D79" w:rsidRPr="00346D79">
        <w:t>-5</w:t>
      </w:r>
      <w:r w:rsidR="00B97B80" w:rsidRPr="00346D79">
        <w:t xml:space="preserve"> </w:t>
      </w:r>
      <w:r w:rsidR="00B97B80" w:rsidRPr="00B97B80">
        <w:t>°C.  This information was used to decide on</w:t>
      </w:r>
      <w:r w:rsidR="00474FAA">
        <w:t xml:space="preserve"> the suitable operating tempera</w:t>
      </w:r>
      <w:r w:rsidR="00B97B80" w:rsidRPr="00B97B80">
        <w:t>tures for use in a flow reaction, i.e. the temperature of the reaction column to keep</w:t>
      </w:r>
      <w:r w:rsidR="00567FE0">
        <w:t xml:space="preserve"> the</w:t>
      </w:r>
      <w:r w:rsidR="00B97B80" w:rsidRPr="00B97B80">
        <w:t xml:space="preserve"> amide in solution, and the temperature of the cooling reservoir to keep </w:t>
      </w:r>
      <w:r w:rsidR="00567FE0">
        <w:t>the acid in so</w:t>
      </w:r>
      <w:r w:rsidR="00B97B80" w:rsidRPr="00B97B80">
        <w:t xml:space="preserve">lution but allow precipitation of the amide. The results of this reaction in </w:t>
      </w:r>
      <w:r w:rsidR="00B97B80" w:rsidRPr="00474FAA">
        <w:rPr>
          <w:i/>
        </w:rPr>
        <w:t>p</w:t>
      </w:r>
      <w:r w:rsidR="00B97B80" w:rsidRPr="00B97B80">
        <w:t xml:space="preserve">-cymene are provided in Table </w:t>
      </w:r>
      <w:r w:rsidR="00567FE0">
        <w:t>2</w:t>
      </w:r>
      <w:r w:rsidR="00B97B80" w:rsidRPr="00B97B80">
        <w:t xml:space="preserve">. </w:t>
      </w:r>
    </w:p>
    <w:p w14:paraId="57795C93" w14:textId="04AAEB1E" w:rsidR="00375A72" w:rsidRDefault="00375A72" w:rsidP="00375A72">
      <w:pPr>
        <w:pStyle w:val="TAMainText"/>
        <w:ind w:firstLine="0"/>
      </w:pPr>
    </w:p>
    <w:p w14:paraId="2C0A8AEF" w14:textId="2B80ACAC" w:rsidR="00C44681" w:rsidRDefault="00C44681" w:rsidP="00375A72">
      <w:pPr>
        <w:pStyle w:val="TAMainText"/>
        <w:ind w:firstLine="0"/>
      </w:pPr>
    </w:p>
    <w:p w14:paraId="026CFEA8" w14:textId="2A72210A" w:rsidR="00C44681" w:rsidRDefault="00C44681" w:rsidP="00375A72">
      <w:pPr>
        <w:pStyle w:val="TAMainText"/>
        <w:ind w:firstLine="0"/>
      </w:pPr>
    </w:p>
    <w:p w14:paraId="776A4457" w14:textId="77777777" w:rsidR="00C44681" w:rsidRDefault="00C44681" w:rsidP="00375A72">
      <w:pPr>
        <w:pStyle w:val="TAMainText"/>
        <w:ind w:firstLine="0"/>
      </w:pPr>
    </w:p>
    <w:p w14:paraId="646A2316" w14:textId="2A652F84" w:rsidR="00DC0C41" w:rsidRDefault="00DC0C41" w:rsidP="0049609B">
      <w:pPr>
        <w:pStyle w:val="VDTableTitle"/>
      </w:pPr>
      <w:r w:rsidRPr="0049609B">
        <w:rPr>
          <w:b/>
        </w:rPr>
        <w:t xml:space="preserve">Table </w:t>
      </w:r>
      <w:r w:rsidR="00567FE0" w:rsidRPr="0049609B">
        <w:rPr>
          <w:b/>
        </w:rPr>
        <w:t>2</w:t>
      </w:r>
      <w:r w:rsidR="0049609B">
        <w:t>.</w:t>
      </w:r>
      <w:r>
        <w:t xml:space="preserve"> </w:t>
      </w:r>
      <w:r w:rsidR="00FF6CF8" w:rsidRPr="00FF6CF8">
        <w:t xml:space="preserve">Results of continuous flow reaction between 4-phenylbutyric acid and aniline in </w:t>
      </w:r>
      <w:r w:rsidR="00FF6CF8" w:rsidRPr="00FF6CF8">
        <w:rPr>
          <w:i/>
        </w:rPr>
        <w:t>p</w:t>
      </w:r>
      <w:r w:rsidR="00FF6CF8" w:rsidRPr="00FF6CF8">
        <w:t>-cymene.</w:t>
      </w:r>
    </w:p>
    <w:tbl>
      <w:tblPr>
        <w:tblStyle w:val="TableGrid1"/>
        <w:tblW w:w="49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2276"/>
        <w:gridCol w:w="1989"/>
        <w:gridCol w:w="2560"/>
      </w:tblGrid>
      <w:tr w:rsidR="00DC0C41" w:rsidRPr="00DC0C41" w14:paraId="10308111" w14:textId="77777777" w:rsidTr="00E93C3B">
        <w:tc>
          <w:tcPr>
            <w:tcW w:w="1548" w:type="pct"/>
            <w:tcBorders>
              <w:top w:val="single" w:sz="4" w:space="0" w:color="auto"/>
              <w:bottom w:val="single" w:sz="4" w:space="0" w:color="auto"/>
            </w:tcBorders>
            <w:vAlign w:val="center"/>
          </w:tcPr>
          <w:p w14:paraId="0A966D1B" w14:textId="1D9E8A62" w:rsidR="00DC0C41" w:rsidRPr="00DC0C41" w:rsidRDefault="00E93C3B" w:rsidP="004B3DCC">
            <w:pPr>
              <w:pStyle w:val="TCTableBody"/>
            </w:pPr>
            <w:r>
              <w:t>Recircul</w:t>
            </w:r>
            <w:r w:rsidRPr="00DC0C41">
              <w:t>ation</w:t>
            </w:r>
            <w:r>
              <w:t>s</w:t>
            </w:r>
          </w:p>
        </w:tc>
        <w:tc>
          <w:tcPr>
            <w:tcW w:w="1151" w:type="pct"/>
            <w:tcBorders>
              <w:top w:val="single" w:sz="4" w:space="0" w:color="auto"/>
              <w:bottom w:val="single" w:sz="4" w:space="0" w:color="auto"/>
            </w:tcBorders>
            <w:vAlign w:val="center"/>
          </w:tcPr>
          <w:p w14:paraId="214E99BD" w14:textId="737024AB" w:rsidR="00E93C3B" w:rsidRDefault="00DC0C41" w:rsidP="004B3DCC">
            <w:pPr>
              <w:pStyle w:val="TCTableBody"/>
            </w:pPr>
            <w:r w:rsidRPr="00DC0C41">
              <w:t>Residence time</w:t>
            </w:r>
            <w:r w:rsidRPr="00DC0C41">
              <w:rPr>
                <w:vertAlign w:val="superscript"/>
              </w:rPr>
              <w:t>a</w:t>
            </w:r>
          </w:p>
          <w:p w14:paraId="47E453DD" w14:textId="5444D52E" w:rsidR="00DC0C41" w:rsidRPr="00DC0C41" w:rsidRDefault="00E93C3B" w:rsidP="004B3DCC">
            <w:pPr>
              <w:pStyle w:val="TCTableBody"/>
            </w:pPr>
            <w:r>
              <w:t>(</w:t>
            </w:r>
            <w:r w:rsidR="00DC0C41" w:rsidRPr="00DC0C41">
              <w:t>min</w:t>
            </w:r>
            <w:r>
              <w:t>)</w:t>
            </w:r>
          </w:p>
        </w:tc>
        <w:tc>
          <w:tcPr>
            <w:tcW w:w="1006" w:type="pct"/>
            <w:tcBorders>
              <w:top w:val="single" w:sz="4" w:space="0" w:color="auto"/>
              <w:bottom w:val="single" w:sz="4" w:space="0" w:color="auto"/>
            </w:tcBorders>
            <w:vAlign w:val="center"/>
          </w:tcPr>
          <w:p w14:paraId="2CFB11D3" w14:textId="303BB30D" w:rsidR="00E93C3B" w:rsidRDefault="00DC0C41" w:rsidP="004B3DCC">
            <w:pPr>
              <w:pStyle w:val="TCTableBody"/>
            </w:pPr>
            <w:r w:rsidRPr="00DC0C41">
              <w:t>Total time</w:t>
            </w:r>
          </w:p>
          <w:p w14:paraId="1D7221D3" w14:textId="2B616B9B" w:rsidR="00DC0C41" w:rsidRPr="00DC0C41" w:rsidRDefault="00E93C3B" w:rsidP="004B3DCC">
            <w:pPr>
              <w:pStyle w:val="TCTableBody"/>
            </w:pPr>
            <w:r>
              <w:t>(</w:t>
            </w:r>
            <w:r w:rsidR="00DC0C41" w:rsidRPr="00DC0C41">
              <w:t>min</w:t>
            </w:r>
            <w:r>
              <w:t>)</w:t>
            </w:r>
          </w:p>
        </w:tc>
        <w:tc>
          <w:tcPr>
            <w:tcW w:w="1295" w:type="pct"/>
            <w:tcBorders>
              <w:top w:val="single" w:sz="4" w:space="0" w:color="auto"/>
              <w:bottom w:val="single" w:sz="4" w:space="0" w:color="auto"/>
            </w:tcBorders>
            <w:vAlign w:val="center"/>
          </w:tcPr>
          <w:p w14:paraId="72FEE8AD" w14:textId="77777777" w:rsidR="00E93C3B" w:rsidRDefault="00DC0C41" w:rsidP="004B3DCC">
            <w:pPr>
              <w:pStyle w:val="TCTableBody"/>
              <w:rPr>
                <w:vertAlign w:val="superscript"/>
              </w:rPr>
            </w:pPr>
            <w:r w:rsidRPr="00DC0C41">
              <w:t>Space time yield</w:t>
            </w:r>
            <w:r w:rsidRPr="00DC0C41">
              <w:rPr>
                <w:vertAlign w:val="superscript"/>
              </w:rPr>
              <w:t>b</w:t>
            </w:r>
          </w:p>
          <w:p w14:paraId="3E885BA4" w14:textId="45E814BB" w:rsidR="00DC0C41" w:rsidRPr="00E93C3B" w:rsidRDefault="00E93C3B" w:rsidP="004B3DCC">
            <w:pPr>
              <w:pStyle w:val="TCTableBody"/>
            </w:pPr>
            <w:r>
              <w:t xml:space="preserve">(mg </w:t>
            </w:r>
            <w:r w:rsidR="00DC0C41" w:rsidRPr="00DC0C41">
              <w:t>g h</w:t>
            </w:r>
            <w:r w:rsidR="00DC0C41" w:rsidRPr="00DC0C41">
              <w:rPr>
                <w:vertAlign w:val="superscript"/>
              </w:rPr>
              <w:t>-1</w:t>
            </w:r>
            <w:r>
              <w:t>)</w:t>
            </w:r>
          </w:p>
        </w:tc>
      </w:tr>
      <w:tr w:rsidR="00DC0C41" w:rsidRPr="00DC0C41" w14:paraId="3A21AC01" w14:textId="77777777" w:rsidTr="00E93C3B">
        <w:tc>
          <w:tcPr>
            <w:tcW w:w="1548" w:type="pct"/>
            <w:tcBorders>
              <w:top w:val="single" w:sz="4" w:space="0" w:color="auto"/>
            </w:tcBorders>
            <w:vAlign w:val="center"/>
          </w:tcPr>
          <w:p w14:paraId="2FD41E87" w14:textId="77777777" w:rsidR="00DC0C41" w:rsidRPr="00DC0C41" w:rsidRDefault="00DC0C41" w:rsidP="004B3DCC">
            <w:pPr>
              <w:pStyle w:val="TCTableBody"/>
            </w:pPr>
            <w:r w:rsidRPr="00DC0C41">
              <w:lastRenderedPageBreak/>
              <w:t>1</w:t>
            </w:r>
          </w:p>
        </w:tc>
        <w:tc>
          <w:tcPr>
            <w:tcW w:w="1151" w:type="pct"/>
            <w:tcBorders>
              <w:top w:val="single" w:sz="4" w:space="0" w:color="auto"/>
            </w:tcBorders>
            <w:vAlign w:val="center"/>
          </w:tcPr>
          <w:p w14:paraId="77A3E11B" w14:textId="77777777" w:rsidR="00DC0C41" w:rsidRPr="00DC0C41" w:rsidRDefault="00DC0C41" w:rsidP="004B3DCC">
            <w:pPr>
              <w:pStyle w:val="TCTableBody"/>
            </w:pPr>
            <w:r w:rsidRPr="00DC0C41">
              <w:t>23.3</w:t>
            </w:r>
          </w:p>
        </w:tc>
        <w:tc>
          <w:tcPr>
            <w:tcW w:w="1006" w:type="pct"/>
            <w:tcBorders>
              <w:top w:val="single" w:sz="4" w:space="0" w:color="auto"/>
            </w:tcBorders>
            <w:vAlign w:val="center"/>
          </w:tcPr>
          <w:p w14:paraId="64FFAE42" w14:textId="77777777" w:rsidR="00DC0C41" w:rsidRPr="00DC0C41" w:rsidRDefault="00DC0C41" w:rsidP="004B3DCC">
            <w:pPr>
              <w:pStyle w:val="TCTableBody"/>
            </w:pPr>
            <w:r w:rsidRPr="00DC0C41">
              <w:t>67</w:t>
            </w:r>
          </w:p>
        </w:tc>
        <w:tc>
          <w:tcPr>
            <w:tcW w:w="1295" w:type="pct"/>
            <w:tcBorders>
              <w:top w:val="single" w:sz="4" w:space="0" w:color="auto"/>
            </w:tcBorders>
            <w:vAlign w:val="center"/>
          </w:tcPr>
          <w:p w14:paraId="3FCD1815" w14:textId="77777777" w:rsidR="00DC0C41" w:rsidRPr="00DC0C41" w:rsidRDefault="00DC0C41" w:rsidP="004B3DCC">
            <w:pPr>
              <w:pStyle w:val="TCTableBody"/>
            </w:pPr>
            <w:r w:rsidRPr="00DC0C41">
              <w:t>60</w:t>
            </w:r>
          </w:p>
        </w:tc>
      </w:tr>
      <w:tr w:rsidR="00DC0C41" w:rsidRPr="00DC0C41" w14:paraId="57C0F269" w14:textId="77777777" w:rsidTr="00E93C3B">
        <w:tc>
          <w:tcPr>
            <w:tcW w:w="1548" w:type="pct"/>
            <w:vAlign w:val="center"/>
          </w:tcPr>
          <w:p w14:paraId="38D07C0E" w14:textId="77777777" w:rsidR="00DC0C41" w:rsidRPr="00DC0C41" w:rsidRDefault="00DC0C41" w:rsidP="004B3DCC">
            <w:pPr>
              <w:pStyle w:val="TCTableBody"/>
            </w:pPr>
            <w:r w:rsidRPr="00DC0C41">
              <w:t>2</w:t>
            </w:r>
          </w:p>
        </w:tc>
        <w:tc>
          <w:tcPr>
            <w:tcW w:w="1151" w:type="pct"/>
            <w:vAlign w:val="center"/>
          </w:tcPr>
          <w:p w14:paraId="3133E8D3" w14:textId="77777777" w:rsidR="00DC0C41" w:rsidRPr="00DC0C41" w:rsidRDefault="00DC0C41" w:rsidP="004B3DCC">
            <w:pPr>
              <w:pStyle w:val="TCTableBody"/>
            </w:pPr>
            <w:r w:rsidRPr="00DC0C41">
              <w:t>46.6</w:t>
            </w:r>
          </w:p>
        </w:tc>
        <w:tc>
          <w:tcPr>
            <w:tcW w:w="1006" w:type="pct"/>
            <w:vAlign w:val="center"/>
          </w:tcPr>
          <w:p w14:paraId="2F77A1EC" w14:textId="77777777" w:rsidR="00DC0C41" w:rsidRPr="00DC0C41" w:rsidRDefault="00DC0C41" w:rsidP="004B3DCC">
            <w:pPr>
              <w:pStyle w:val="TCTableBody"/>
            </w:pPr>
            <w:r w:rsidRPr="00DC0C41">
              <w:t>134</w:t>
            </w:r>
          </w:p>
        </w:tc>
        <w:tc>
          <w:tcPr>
            <w:tcW w:w="1295" w:type="pct"/>
            <w:vAlign w:val="center"/>
          </w:tcPr>
          <w:p w14:paraId="1B8BA836" w14:textId="77777777" w:rsidR="00DC0C41" w:rsidRPr="00DC0C41" w:rsidRDefault="00DC0C41" w:rsidP="004B3DCC">
            <w:pPr>
              <w:pStyle w:val="TCTableBody"/>
            </w:pPr>
            <w:r w:rsidRPr="00DC0C41">
              <w:t>48</w:t>
            </w:r>
          </w:p>
        </w:tc>
      </w:tr>
      <w:tr w:rsidR="00DC0C41" w:rsidRPr="00DC0C41" w14:paraId="7F2E411D" w14:textId="77777777" w:rsidTr="00E93C3B">
        <w:tc>
          <w:tcPr>
            <w:tcW w:w="1548" w:type="pct"/>
            <w:tcBorders>
              <w:bottom w:val="single" w:sz="4" w:space="0" w:color="auto"/>
            </w:tcBorders>
            <w:vAlign w:val="center"/>
          </w:tcPr>
          <w:p w14:paraId="20209B56" w14:textId="77777777" w:rsidR="00DC0C41" w:rsidRPr="00DC0C41" w:rsidRDefault="00DC0C41" w:rsidP="004B3DCC">
            <w:pPr>
              <w:pStyle w:val="TCTableBody"/>
            </w:pPr>
            <w:r w:rsidRPr="00DC0C41">
              <w:t>3</w:t>
            </w:r>
          </w:p>
        </w:tc>
        <w:tc>
          <w:tcPr>
            <w:tcW w:w="1151" w:type="pct"/>
            <w:tcBorders>
              <w:bottom w:val="single" w:sz="4" w:space="0" w:color="auto"/>
            </w:tcBorders>
            <w:vAlign w:val="center"/>
          </w:tcPr>
          <w:p w14:paraId="1DF3E904" w14:textId="77777777" w:rsidR="00DC0C41" w:rsidRPr="00DC0C41" w:rsidRDefault="00DC0C41" w:rsidP="004B3DCC">
            <w:pPr>
              <w:pStyle w:val="TCTableBody"/>
            </w:pPr>
            <w:r w:rsidRPr="00DC0C41">
              <w:t>69.9</w:t>
            </w:r>
          </w:p>
        </w:tc>
        <w:tc>
          <w:tcPr>
            <w:tcW w:w="1006" w:type="pct"/>
            <w:tcBorders>
              <w:bottom w:val="single" w:sz="4" w:space="0" w:color="auto"/>
            </w:tcBorders>
            <w:vAlign w:val="center"/>
          </w:tcPr>
          <w:p w14:paraId="313F0FD4" w14:textId="77777777" w:rsidR="00DC0C41" w:rsidRPr="00DC0C41" w:rsidRDefault="00DC0C41" w:rsidP="004B3DCC">
            <w:pPr>
              <w:pStyle w:val="TCTableBody"/>
            </w:pPr>
            <w:r w:rsidRPr="00DC0C41">
              <w:t>201</w:t>
            </w:r>
          </w:p>
        </w:tc>
        <w:tc>
          <w:tcPr>
            <w:tcW w:w="1295" w:type="pct"/>
            <w:tcBorders>
              <w:bottom w:val="single" w:sz="4" w:space="0" w:color="auto"/>
            </w:tcBorders>
            <w:vAlign w:val="center"/>
          </w:tcPr>
          <w:p w14:paraId="5B4EF588" w14:textId="77777777" w:rsidR="00DC0C41" w:rsidRPr="00DC0C41" w:rsidRDefault="00DC0C41" w:rsidP="004B3DCC">
            <w:pPr>
              <w:pStyle w:val="TCTableBody"/>
            </w:pPr>
            <w:r w:rsidRPr="00DC0C41">
              <w:t>39</w:t>
            </w:r>
          </w:p>
        </w:tc>
      </w:tr>
    </w:tbl>
    <w:p w14:paraId="550ADE1F" w14:textId="440C1E0F" w:rsidR="00DC0C41" w:rsidRPr="00567FE0" w:rsidRDefault="004B3DCC" w:rsidP="004B3DCC">
      <w:pPr>
        <w:pStyle w:val="FETableFootnote"/>
      </w:pPr>
      <w:r>
        <w:t xml:space="preserve">(a) </w:t>
      </w:r>
      <w:r w:rsidR="00FF6CF8" w:rsidRPr="00567FE0">
        <w:t>Calculated from volume of catalyst (3 g) and flow rate (0.3 mL min-1) (b) the incre</w:t>
      </w:r>
      <w:r w:rsidR="00EB53CC">
        <w:t>mental decrease in output is ex</w:t>
      </w:r>
      <w:r w:rsidR="00FF6CF8" w:rsidRPr="00567FE0">
        <w:t>pected as the starting materials were not replenished.</w:t>
      </w:r>
    </w:p>
    <w:p w14:paraId="3DFDF1EB" w14:textId="77777777" w:rsidR="004B3DCC" w:rsidRDefault="004B3DCC" w:rsidP="004B3DCC">
      <w:pPr>
        <w:pStyle w:val="TAMainText"/>
        <w:ind w:firstLine="0"/>
      </w:pPr>
    </w:p>
    <w:p w14:paraId="7A6BF61E" w14:textId="3CBE6161" w:rsidR="00375A72" w:rsidRPr="00375A72" w:rsidRDefault="00567FE0" w:rsidP="004B3DCC">
      <w:pPr>
        <w:pStyle w:val="TAMainText"/>
      </w:pPr>
      <w:r w:rsidRPr="00567FE0">
        <w:t>The results confirm that this system has the potential to improve efficiency by recycling of the reaction products and, in a more sophisticated</w:t>
      </w:r>
      <w:r w:rsidR="00604F80">
        <w:t xml:space="preserve"> flow</w:t>
      </w:r>
      <w:r w:rsidRPr="00567FE0">
        <w:t xml:space="preserve"> system, regular removal of the</w:t>
      </w:r>
      <w:r w:rsidR="00604F80">
        <w:t xml:space="preserve"> amide</w:t>
      </w:r>
      <w:r w:rsidRPr="00567FE0">
        <w:t xml:space="preserve"> product.</w:t>
      </w:r>
    </w:p>
    <w:p w14:paraId="27A4D4C0" w14:textId="77777777" w:rsidR="004B3DCC" w:rsidRDefault="004B3DCC" w:rsidP="004B3DCC">
      <w:pPr>
        <w:pStyle w:val="TAMainText"/>
        <w:ind w:firstLine="0"/>
      </w:pPr>
    </w:p>
    <w:p w14:paraId="6AEEA638" w14:textId="25EA46A4" w:rsidR="00375A72" w:rsidRDefault="00375A72" w:rsidP="004B3DCC">
      <w:pPr>
        <w:pStyle w:val="TAMainText"/>
        <w:ind w:firstLine="0"/>
      </w:pPr>
      <w:r>
        <w:t>CONCLUSION</w:t>
      </w:r>
    </w:p>
    <w:p w14:paraId="6A6E35DC" w14:textId="63332B91" w:rsidR="00FB514F" w:rsidRDefault="00B97B80" w:rsidP="00FB514F">
      <w:pPr>
        <w:pStyle w:val="TAMainText"/>
        <w:ind w:firstLine="0"/>
      </w:pPr>
      <w:r w:rsidRPr="00B97B80">
        <w:t xml:space="preserve">Several amides have been successfully formed using </w:t>
      </w:r>
      <w:r w:rsidRPr="00966A14">
        <w:rPr>
          <w:i/>
        </w:rPr>
        <w:t>p</w:t>
      </w:r>
      <w:r w:rsidRPr="00B97B80">
        <w:t xml:space="preserve">-cymene as the reaction solvent and a simple activated K60 silica catalyst as the activating agent. The results show that the higher boiling point of </w:t>
      </w:r>
      <w:r w:rsidRPr="00BD61F1">
        <w:rPr>
          <w:i/>
        </w:rPr>
        <w:t>p</w:t>
      </w:r>
      <w:r w:rsidR="009B2BE3">
        <w:t>-cymene com</w:t>
      </w:r>
      <w:r w:rsidRPr="00B97B80">
        <w:t>pared to toluene has a</w:t>
      </w:r>
      <w:r w:rsidR="00474FAA">
        <w:t>n advantage in this set of reac</w:t>
      </w:r>
      <w:r w:rsidRPr="00B97B80">
        <w:t xml:space="preserve">tions as the higher temperatures achievable can produce higher yields of product within a given time frame. The low volatility of </w:t>
      </w:r>
      <w:r w:rsidR="009B2BE3" w:rsidRPr="009B2BE3">
        <w:rPr>
          <w:i/>
        </w:rPr>
        <w:t>p</w:t>
      </w:r>
      <w:r w:rsidR="009B2BE3">
        <w:t>-cymene</w:t>
      </w:r>
      <w:r w:rsidRPr="00B97B80">
        <w:t xml:space="preserve"> ma</w:t>
      </w:r>
      <w:r w:rsidR="00474FAA">
        <w:t>kes it a safer choice con</w:t>
      </w:r>
      <w:r w:rsidRPr="00B97B80">
        <w:t>sidering concerns of safety and environmental health and the indication is th</w:t>
      </w:r>
      <w:r w:rsidR="00000E5A">
        <w:t>at the high energy usage associ</w:t>
      </w:r>
      <w:r w:rsidRPr="00B97B80">
        <w:t>ated with distilling off the solvent can be mitigated in many cases where the products are precipitated out of solution</w:t>
      </w:r>
      <w:r w:rsidRPr="00C44681">
        <w:t xml:space="preserve">. </w:t>
      </w:r>
      <w:r w:rsidR="006B1728" w:rsidRPr="00C44681">
        <w:rPr>
          <w:i/>
        </w:rPr>
        <w:t>p</w:t>
      </w:r>
      <w:r w:rsidR="006B1728" w:rsidRPr="00C44681">
        <w:t>-Cymene has been successfully applied to direct amidation set up in a continuous flow reactor, reducing the risks brought about by the high pressures associated with higher volatility solvents.</w:t>
      </w:r>
      <w:r w:rsidR="00130566" w:rsidRPr="00C44681">
        <w:t xml:space="preserve"> </w:t>
      </w:r>
      <w:r w:rsidR="00C76F01" w:rsidRPr="00C44681">
        <w:t xml:space="preserve">It is important to note that much research still needs to be done into the production of bio-based </w:t>
      </w:r>
      <w:r w:rsidR="00C76F01" w:rsidRPr="00C44681">
        <w:rPr>
          <w:i/>
        </w:rPr>
        <w:t>p</w:t>
      </w:r>
      <w:r w:rsidR="00C76F01" w:rsidRPr="00C44681">
        <w:t>-cymene to make it economically competitive.</w:t>
      </w:r>
      <w:r w:rsidR="005611E9" w:rsidRPr="00C44681">
        <w:fldChar w:fldCharType="begin" w:fldLock="1"/>
      </w:r>
      <w:r w:rsidR="005611E9" w:rsidRPr="00C44681">
        <w:instrText>ADDIN CSL_CITATION { "citationItems" : [ { "id" : "ITEM-1", "itemData" : { "DOI" : "10.1007/s12649-014-9339-y", "ISSN" : "1877265X", "abstract" : "Citrus production generates a large quantities of residues which can be used in the production of intermediate compounds for the production of value added products which can be used in the synthesis of industrial fine chemicals, fragrances, flavorings, herbicides, pharmaceutical products among others. This work presents a study to increase the value added of essential oils obtained from orange peel producing p-cymene and pectin. Techno-economic and environmental assessments were developed demonstrating that computer-aided process engineering tools can be used to evaluate the feasibility of integrated processes. Two scenarios were evaluated (with and without electricity generation) obtaining 9.22 and 42.63 kg/h with purities of 97 and 81 {%} of p-cymene and pectin respectively. In the scenario with electricity generation, 99.81 kWh was obtained, covering all requirements in the process. The techno-economic analysis showed that the most appropriate scheme was that without electricity generation reaching a production cost of 5.27 and 3.53 USD/kg of p-cymene and pectin respectively. Environmental analysis reveals that the potential environmental impact was lowest for the scenario without electricity generation.", "author" : [ { "dropping-particle" : "", "family" : "D\u00e1vila", "given" : "Javier A.", "non-dropping-particle" : "", "parse-names" : false, "suffix" : "" }, { "dropping-particle" : "", "family" : "Rosenberg", "given" : "Moshe", "non-dropping-particle" : "", "parse-names" : false, "suffix" : "" }, { "dropping-particle" : "", "family" : "Cardona", "given" : "Carlos A.", "non-dropping-particle" : "", "parse-names" : false, "suffix" : "" } ], "container-title" : "Waste and Biomass Valorization", "id" : "ITEM-1", "issue" : "2", "issued" : { "date-parts" : [ [ "2015" ] ] }, "page" : "253-261", "title" : "Techno-economic and Environmental Assessment of p-Cymene and Pectin Production from Orange Peel", "type" : "article-journal", "volume" : "6" }, "uris" : [ "http://www.mendeley.com/documents/?uuid=5f5914f7-5ce4-4f9f-9355-9afed71416fb" ] } ], "mendeley" : { "formattedCitation" : "&lt;sup&gt;28&lt;/sup&gt;", "plainTextFormattedCitation" : "28", "previouslyFormattedCitation" : "&lt;sup&gt;28&lt;/sup&gt;" }, "properties" : { "noteIndex" : 9 }, "schema" : "https://github.com/citation-style-language/schema/raw/master/csl-citation.json" }</w:instrText>
      </w:r>
      <w:r w:rsidR="005611E9" w:rsidRPr="00C44681">
        <w:fldChar w:fldCharType="separate"/>
      </w:r>
      <w:r w:rsidR="005611E9" w:rsidRPr="00C44681">
        <w:rPr>
          <w:noProof/>
          <w:vertAlign w:val="superscript"/>
        </w:rPr>
        <w:t>28</w:t>
      </w:r>
      <w:r w:rsidR="005611E9" w:rsidRPr="00C44681">
        <w:fldChar w:fldCharType="end"/>
      </w:r>
      <w:r w:rsidR="00C76F01">
        <w:t xml:space="preserve"> </w:t>
      </w:r>
      <w:r w:rsidRPr="00B97B80">
        <w:t>Hansen solubility parameters have been used to predict where this is likely to be the case highlighting the need for an intell</w:t>
      </w:r>
      <w:r w:rsidR="009B2BE3">
        <w:t>igent approach and choosing sol</w:t>
      </w:r>
      <w:r w:rsidRPr="00B97B80">
        <w:t>vents on a case-by-case basis.</w:t>
      </w:r>
      <w:r w:rsidR="00130566">
        <w:t xml:space="preserve"> </w:t>
      </w:r>
      <w:r w:rsidR="00130566" w:rsidRPr="00C44681">
        <w:t>This approach may be applicable to many other processes where the properties of the solvent factor strongly in the outcome,</w:t>
      </w:r>
      <w:r w:rsidRPr="00C44681">
        <w:t xml:space="preserve"> </w:t>
      </w:r>
      <w:r w:rsidR="00130566" w:rsidRPr="00C44681">
        <w:t>and should be used to target toxic and undesirable solvents for replacement.</w:t>
      </w:r>
      <w:r w:rsidR="00130566">
        <w:t xml:space="preserve"> </w:t>
      </w:r>
    </w:p>
    <w:p w14:paraId="231D9A23" w14:textId="77777777" w:rsidR="00604F80" w:rsidRPr="00604F80" w:rsidRDefault="00604F80" w:rsidP="00FB514F">
      <w:pPr>
        <w:pStyle w:val="TAMainText"/>
        <w:ind w:firstLine="0"/>
      </w:pPr>
    </w:p>
    <w:p w14:paraId="11510667" w14:textId="2984E5BC" w:rsidR="008161E2" w:rsidRPr="00FB514F" w:rsidRDefault="008161E2" w:rsidP="00FB514F">
      <w:pPr>
        <w:pStyle w:val="TAMainText"/>
        <w:ind w:firstLine="0"/>
        <w:rPr>
          <w:rFonts w:ascii="Times New Roman" w:hAnsi="Times New Roman"/>
          <w:szCs w:val="24"/>
        </w:rPr>
      </w:pPr>
      <w:r w:rsidRPr="00FB514F">
        <w:rPr>
          <w:rFonts w:ascii="Times New Roman" w:hAnsi="Times New Roman"/>
          <w:szCs w:val="24"/>
        </w:rPr>
        <w:t>EXPERIMENTAL SECTION</w:t>
      </w:r>
    </w:p>
    <w:p w14:paraId="63593FA2" w14:textId="3F3A6BDA" w:rsidR="00DA2042" w:rsidRDefault="00DA2042" w:rsidP="00FB514F">
      <w:pPr>
        <w:pStyle w:val="TAMainText"/>
        <w:ind w:firstLine="0"/>
        <w:rPr>
          <w:rFonts w:ascii="Times New Roman" w:hAnsi="Times New Roman"/>
          <w:kern w:val="21"/>
          <w:szCs w:val="24"/>
        </w:rPr>
      </w:pPr>
      <w:r w:rsidRPr="00FB514F">
        <w:rPr>
          <w:rFonts w:ascii="Times New Roman" w:hAnsi="Times New Roman"/>
          <w:kern w:val="21"/>
          <w:szCs w:val="24"/>
        </w:rPr>
        <w:lastRenderedPageBreak/>
        <w:t>K60 silica gel for chromatography was obtained from Sigma-Aldrich.</w:t>
      </w:r>
      <w:r w:rsidR="003E4947">
        <w:rPr>
          <w:rFonts w:ascii="Times New Roman" w:hAnsi="Times New Roman"/>
          <w:kern w:val="21"/>
          <w:szCs w:val="24"/>
        </w:rPr>
        <w:t xml:space="preserve"> </w:t>
      </w:r>
      <w:r w:rsidR="008161E2" w:rsidRPr="00FB514F">
        <w:rPr>
          <w:rFonts w:ascii="Times New Roman" w:hAnsi="Times New Roman"/>
          <w:kern w:val="21"/>
          <w:szCs w:val="24"/>
        </w:rPr>
        <w:t>NMR spectra were obtained on a 400 MHz JEOL spectrometer. GC chromatograms were obtained on a Hewlett-Packard 6890 Series gas chromatograph using 30 m Rxi-5HT column, 0.25 mm ID, 0.25 μm d</w:t>
      </w:r>
      <w:r w:rsidR="008161E2" w:rsidRPr="00FB514F">
        <w:rPr>
          <w:rFonts w:ascii="Times New Roman" w:hAnsi="Times New Roman"/>
          <w:kern w:val="21"/>
          <w:szCs w:val="24"/>
          <w:vertAlign w:val="subscript"/>
        </w:rPr>
        <w:t>f</w:t>
      </w:r>
      <w:r w:rsidR="008161E2" w:rsidRPr="00FB514F">
        <w:rPr>
          <w:rFonts w:ascii="Times New Roman" w:hAnsi="Times New Roman"/>
          <w:kern w:val="21"/>
          <w:szCs w:val="24"/>
        </w:rPr>
        <w:t>. GC-MS were obtained on a Perkin-Elmer Clarus 500 gas chromatograph combined with Clarus 560 S mass spectrometer. CHN analysis was conducted by using an Exeter Analytical Inc CE-440 analyser and the samples were weighed by using a Sartorius SE-2 analytical balance. Infrared Spectroscopy was run on a Perkin Elmer FTIR/FTNIR Spectrum 400 Spectrophotometer. Amidations were carried out on a Radleys 6-position multipoint hot-plate and condenser. Flow reactions were run on a Uniqsis Flowsyn continuous flow reactor.</w:t>
      </w:r>
      <w:r w:rsidR="00FB514F">
        <w:rPr>
          <w:rFonts w:ascii="Times New Roman" w:hAnsi="Times New Roman"/>
          <w:b/>
          <w:kern w:val="21"/>
          <w:szCs w:val="24"/>
        </w:rPr>
        <w:t xml:space="preserve"> </w:t>
      </w:r>
      <w:r w:rsidRPr="00FB514F">
        <w:rPr>
          <w:rFonts w:ascii="Times New Roman" w:hAnsi="Times New Roman"/>
          <w:kern w:val="21"/>
          <w:szCs w:val="24"/>
        </w:rPr>
        <w:t>Activation of silica catalyst. K60 silica gel was activated at 700 °C for 4 h in a furnace under ambient pressure, with a ramp rate of 10 °C min</w:t>
      </w:r>
      <w:r w:rsidRPr="00FB514F">
        <w:rPr>
          <w:rFonts w:ascii="Times New Roman" w:hAnsi="Times New Roman"/>
          <w:kern w:val="21"/>
          <w:szCs w:val="24"/>
          <w:vertAlign w:val="superscript"/>
        </w:rPr>
        <w:t>-1</w:t>
      </w:r>
      <w:r w:rsidRPr="00FB514F">
        <w:rPr>
          <w:rFonts w:ascii="Times New Roman" w:hAnsi="Times New Roman"/>
          <w:kern w:val="21"/>
          <w:szCs w:val="24"/>
        </w:rPr>
        <w:t>. The catalyst was allowed to cool naturally to room temperature.</w:t>
      </w:r>
    </w:p>
    <w:p w14:paraId="147E2139" w14:textId="3D0A2582" w:rsidR="00FB514F" w:rsidRDefault="00FB514F" w:rsidP="00FB514F">
      <w:pPr>
        <w:pStyle w:val="TAMainText"/>
        <w:ind w:firstLine="0"/>
        <w:rPr>
          <w:rFonts w:ascii="Times New Roman" w:hAnsi="Times New Roman"/>
          <w:kern w:val="21"/>
          <w:szCs w:val="24"/>
        </w:rPr>
      </w:pPr>
      <w:r w:rsidRPr="00FB514F">
        <w:rPr>
          <w:rFonts w:ascii="Times New Roman" w:hAnsi="Times New Roman"/>
          <w:b/>
          <w:kern w:val="21"/>
          <w:szCs w:val="24"/>
        </w:rPr>
        <w:t>General procedure</w:t>
      </w:r>
      <w:r w:rsidRPr="00FB514F">
        <w:rPr>
          <w:rFonts w:ascii="Times New Roman" w:hAnsi="Times New Roman"/>
          <w:kern w:val="21"/>
          <w:szCs w:val="24"/>
        </w:rPr>
        <w:t xml:space="preserve">. </w:t>
      </w:r>
      <w:r>
        <w:rPr>
          <w:rFonts w:ascii="Times New Roman" w:hAnsi="Times New Roman"/>
          <w:kern w:val="21"/>
          <w:szCs w:val="24"/>
        </w:rPr>
        <w:t>Chosen carboxylic acid (</w:t>
      </w:r>
      <w:r w:rsidRPr="00FB514F">
        <w:rPr>
          <w:rFonts w:ascii="Times New Roman" w:hAnsi="Times New Roman"/>
          <w:kern w:val="21"/>
          <w:szCs w:val="24"/>
        </w:rPr>
        <w:t xml:space="preserve">12 mmol), activated K60 silica(0.62 g) and 20 mL of solvent (toluene or p-cymene) were heated to reflux (111 °C/177 °C) in a two-necked round bottom flask equipped with a condenser and suba-seal. </w:t>
      </w:r>
      <w:r>
        <w:rPr>
          <w:rFonts w:ascii="Times New Roman" w:hAnsi="Times New Roman"/>
          <w:kern w:val="21"/>
          <w:szCs w:val="24"/>
        </w:rPr>
        <w:t>Once reflux was reached, chosen amine (12 mmol</w:t>
      </w:r>
      <w:r w:rsidRPr="00FB514F">
        <w:rPr>
          <w:rFonts w:ascii="Times New Roman" w:hAnsi="Times New Roman"/>
          <w:kern w:val="21"/>
          <w:szCs w:val="24"/>
        </w:rPr>
        <w:t>) was injected</w:t>
      </w:r>
      <w:r>
        <w:rPr>
          <w:rFonts w:ascii="Times New Roman" w:hAnsi="Times New Roman"/>
          <w:kern w:val="21"/>
          <w:szCs w:val="24"/>
        </w:rPr>
        <w:t xml:space="preserve"> into the reaction mixture</w:t>
      </w:r>
      <w:r w:rsidRPr="00FB514F">
        <w:rPr>
          <w:rFonts w:ascii="Times New Roman" w:hAnsi="Times New Roman"/>
          <w:kern w:val="21"/>
          <w:szCs w:val="24"/>
        </w:rPr>
        <w:t>. After 24 hours, the hot reaction mixture was filtered through a sintered glass funnel</w:t>
      </w:r>
      <w:r w:rsidR="00EF7B3C">
        <w:rPr>
          <w:rFonts w:ascii="Times New Roman" w:hAnsi="Times New Roman"/>
          <w:kern w:val="21"/>
          <w:szCs w:val="24"/>
        </w:rPr>
        <w:t xml:space="preserve"> (sample taken for GC analysis, see Table S1)</w:t>
      </w:r>
      <w:r w:rsidRPr="00FB514F">
        <w:rPr>
          <w:rFonts w:ascii="Times New Roman" w:hAnsi="Times New Roman"/>
          <w:kern w:val="21"/>
          <w:szCs w:val="24"/>
        </w:rPr>
        <w:t xml:space="preserve"> and the catalyst washed with 10 ml of hot solvent</w:t>
      </w:r>
      <w:r w:rsidR="00660572">
        <w:rPr>
          <w:rFonts w:ascii="Times New Roman" w:hAnsi="Times New Roman"/>
          <w:kern w:val="21"/>
          <w:szCs w:val="24"/>
        </w:rPr>
        <w:t xml:space="preserve">. </w:t>
      </w:r>
      <w:r w:rsidR="00660572" w:rsidRPr="00C44681">
        <w:rPr>
          <w:rFonts w:ascii="Times New Roman" w:hAnsi="Times New Roman"/>
          <w:kern w:val="21"/>
          <w:szCs w:val="24"/>
        </w:rPr>
        <w:t>The filtrate was</w:t>
      </w:r>
      <w:r w:rsidRPr="00C44681">
        <w:rPr>
          <w:rFonts w:ascii="Times New Roman" w:hAnsi="Times New Roman"/>
          <w:kern w:val="21"/>
          <w:szCs w:val="24"/>
        </w:rPr>
        <w:t xml:space="preserve"> left in a refrigerator (4 °C)</w:t>
      </w:r>
      <w:r w:rsidR="000233A3" w:rsidRPr="00C44681">
        <w:rPr>
          <w:rFonts w:ascii="Times New Roman" w:hAnsi="Times New Roman"/>
          <w:kern w:val="21"/>
          <w:szCs w:val="24"/>
        </w:rPr>
        <w:t xml:space="preserve"> </w:t>
      </w:r>
      <w:bookmarkStart w:id="1" w:name="_Hlk499897464"/>
      <w:r w:rsidR="005611E9" w:rsidRPr="00C44681">
        <w:rPr>
          <w:rFonts w:ascii="Times New Roman" w:hAnsi="Times New Roman"/>
          <w:kern w:val="21"/>
          <w:szCs w:val="24"/>
        </w:rPr>
        <w:t>to aid</w:t>
      </w:r>
      <w:r w:rsidR="000233A3" w:rsidRPr="00C44681">
        <w:rPr>
          <w:rFonts w:ascii="Times New Roman" w:hAnsi="Times New Roman"/>
          <w:kern w:val="21"/>
          <w:szCs w:val="24"/>
        </w:rPr>
        <w:t xml:space="preserve"> product precipitation</w:t>
      </w:r>
      <w:bookmarkEnd w:id="1"/>
      <w:r w:rsidRPr="00C44681">
        <w:rPr>
          <w:rFonts w:ascii="Times New Roman" w:hAnsi="Times New Roman"/>
          <w:kern w:val="21"/>
          <w:szCs w:val="24"/>
        </w:rPr>
        <w:t>.</w:t>
      </w:r>
      <w:r w:rsidRPr="00FB514F">
        <w:rPr>
          <w:rFonts w:ascii="Times New Roman" w:hAnsi="Times New Roman"/>
          <w:kern w:val="21"/>
          <w:szCs w:val="24"/>
        </w:rPr>
        <w:t xml:space="preserve"> Product </w:t>
      </w:r>
      <w:r>
        <w:rPr>
          <w:rFonts w:ascii="Times New Roman" w:hAnsi="Times New Roman"/>
          <w:kern w:val="21"/>
          <w:szCs w:val="24"/>
        </w:rPr>
        <w:t xml:space="preserve">was </w:t>
      </w:r>
      <w:r w:rsidRPr="00FB514F">
        <w:rPr>
          <w:rFonts w:ascii="Times New Roman" w:hAnsi="Times New Roman"/>
          <w:kern w:val="21"/>
          <w:szCs w:val="24"/>
        </w:rPr>
        <w:t>obtained by filtration and washing with cyclohexane</w:t>
      </w:r>
      <w:r w:rsidR="00EF7B3C">
        <w:rPr>
          <w:rFonts w:ascii="Times New Roman" w:hAnsi="Times New Roman"/>
          <w:kern w:val="21"/>
          <w:szCs w:val="24"/>
        </w:rPr>
        <w:t xml:space="preserve"> (unless stated otherwise in details for each amide in the SI</w:t>
      </w:r>
      <w:r>
        <w:rPr>
          <w:rFonts w:ascii="Times New Roman" w:hAnsi="Times New Roman"/>
          <w:kern w:val="21"/>
          <w:szCs w:val="24"/>
        </w:rPr>
        <w:t>)</w:t>
      </w:r>
      <w:r w:rsidRPr="00FB514F">
        <w:rPr>
          <w:rFonts w:ascii="Times New Roman" w:hAnsi="Times New Roman"/>
          <w:kern w:val="21"/>
          <w:szCs w:val="24"/>
        </w:rPr>
        <w:t>.</w:t>
      </w:r>
    </w:p>
    <w:p w14:paraId="517FA90B" w14:textId="5A13074C" w:rsidR="00FB514F" w:rsidRDefault="00FB514F" w:rsidP="00FB514F">
      <w:pPr>
        <w:pStyle w:val="TAMainText"/>
        <w:ind w:firstLine="0"/>
        <w:rPr>
          <w:rFonts w:ascii="Times New Roman" w:hAnsi="Times New Roman"/>
          <w:szCs w:val="24"/>
        </w:rPr>
      </w:pPr>
      <w:r w:rsidRPr="00FB514F">
        <w:rPr>
          <w:rFonts w:ascii="Times New Roman" w:hAnsi="Times New Roman"/>
          <w:b/>
          <w:szCs w:val="24"/>
        </w:rPr>
        <w:t xml:space="preserve">Procedure for flow reaction. </w:t>
      </w:r>
      <w:r w:rsidRPr="00FB514F">
        <w:rPr>
          <w:rFonts w:ascii="Times New Roman" w:hAnsi="Times New Roman"/>
          <w:szCs w:val="24"/>
        </w:rPr>
        <w:t xml:space="preserve">4-phenylbutyric acid (1.97 g, 12 mmol) and aniline (1.12 g, 12 mmol) were dissolved in </w:t>
      </w:r>
      <w:r w:rsidRPr="00FB514F">
        <w:rPr>
          <w:rFonts w:ascii="Times New Roman" w:hAnsi="Times New Roman"/>
          <w:i/>
          <w:szCs w:val="24"/>
        </w:rPr>
        <w:t>p</w:t>
      </w:r>
      <w:r w:rsidRPr="00FB514F">
        <w:rPr>
          <w:rFonts w:ascii="Times New Roman" w:hAnsi="Times New Roman"/>
          <w:szCs w:val="24"/>
        </w:rPr>
        <w:t>-cymene (20 mL) and fed into a flow reactor. The catalyst chamber (0.785 x 7.000 cm) was filled with K60 silica activated at 700 °C (2.5 g). The reactant solution was fed through the catalyst chamber at 150 °C with a flow rate of 0.3 mL min-1. The output tube was fed into the input vessel (cooled with tap water, ~10 °C) to allow the reactants to flow through the system repeatedly. Yields were determined by gas chromatography.</w:t>
      </w:r>
    </w:p>
    <w:p w14:paraId="270BCD3F" w14:textId="77777777" w:rsidR="00604F80" w:rsidRPr="005137DB" w:rsidRDefault="00604F80" w:rsidP="00FB514F">
      <w:pPr>
        <w:pStyle w:val="TAMainText"/>
        <w:ind w:firstLine="0"/>
        <w:rPr>
          <w:rFonts w:ascii="Times New Roman" w:hAnsi="Times New Roman"/>
          <w:szCs w:val="24"/>
        </w:rPr>
      </w:pPr>
    </w:p>
    <w:p w14:paraId="1E393394" w14:textId="77777777" w:rsidR="003E4947" w:rsidRDefault="003E4947" w:rsidP="003E4947">
      <w:pPr>
        <w:pStyle w:val="TESupportingInformation"/>
        <w:spacing w:after="240"/>
        <w:ind w:firstLine="0"/>
        <w:jc w:val="left"/>
      </w:pPr>
      <w:r>
        <w:t>ASSOCIATED CONTENT</w:t>
      </w:r>
    </w:p>
    <w:p w14:paraId="34350D5C" w14:textId="1EE9CF72" w:rsidR="006A3746" w:rsidRPr="006A3746" w:rsidRDefault="00346D79" w:rsidP="003E4947">
      <w:pPr>
        <w:pStyle w:val="TESupportingInformation"/>
        <w:ind w:firstLine="0"/>
      </w:pPr>
      <w:r w:rsidRPr="003E4947">
        <w:rPr>
          <w:b/>
        </w:rPr>
        <w:lastRenderedPageBreak/>
        <w:t>Supporting Information</w:t>
      </w:r>
      <w:r w:rsidRPr="00346D79">
        <w:t xml:space="preserve"> </w:t>
      </w:r>
      <w:r w:rsidR="003E4947">
        <w:t xml:space="preserve">(pdf) </w:t>
      </w:r>
      <w:r w:rsidRPr="00346D79">
        <w:t>is available free of charge on the ACS Publications website. Supporting informati</w:t>
      </w:r>
      <w:r w:rsidR="008161E2">
        <w:t xml:space="preserve">on for this manuscript includes: </w:t>
      </w:r>
      <w:r w:rsidR="004E2633">
        <w:t>detailed characterization of each amide</w:t>
      </w:r>
      <w:r w:rsidR="00ED285A">
        <w:t>;</w:t>
      </w:r>
      <w:r w:rsidR="004E2633">
        <w:t xml:space="preserve"> </w:t>
      </w:r>
      <w:r w:rsidRPr="00346D79">
        <w:t>2-dimensional representations of the HSPiP pred</w:t>
      </w:r>
      <w:r w:rsidR="00F81F7C">
        <w:t xml:space="preserve">ictions (δP vs. δH; δP vs. δD; </w:t>
      </w:r>
      <w:r w:rsidRPr="00346D79">
        <w:t>δH vs. δD),</w:t>
      </w:r>
      <w:r w:rsidR="00ED285A">
        <w:t xml:space="preserve"> </w:t>
      </w:r>
      <w:r w:rsidR="00ED285A" w:rsidRPr="00C44681">
        <w:t>further details of how HSPiP predictions and the solvent heat map were carried out;</w:t>
      </w:r>
      <w:r w:rsidRPr="00346D79">
        <w:t xml:space="preserve"> data for yields (determined by GC) for both catalyzed and un-catalyzed (blank) reactions for each a</w:t>
      </w:r>
      <w:r w:rsidR="00A747AE">
        <w:t>mide</w:t>
      </w:r>
      <w:r w:rsidR="00ED285A">
        <w:t>;</w:t>
      </w:r>
      <w:r w:rsidR="00A747AE">
        <w:t xml:space="preserve"> </w:t>
      </w:r>
      <w:r w:rsidR="00A747AE" w:rsidRPr="00A747AE">
        <w:rPr>
          <w:vertAlign w:val="superscript"/>
        </w:rPr>
        <w:t>1</w:t>
      </w:r>
      <w:r w:rsidR="00A747AE">
        <w:t xml:space="preserve">H and </w:t>
      </w:r>
      <w:r w:rsidR="00A747AE" w:rsidRPr="00A747AE">
        <w:rPr>
          <w:vertAlign w:val="superscript"/>
        </w:rPr>
        <w:t>13</w:t>
      </w:r>
      <w:r w:rsidR="00A747AE">
        <w:t>C NMR spectra for each isolated amide</w:t>
      </w:r>
      <w:r w:rsidR="00ED285A">
        <w:t xml:space="preserve">; </w:t>
      </w:r>
      <w:r w:rsidR="00ED285A" w:rsidRPr="00C44681">
        <w:t>details for the energy efficiency calculation.</w:t>
      </w:r>
    </w:p>
    <w:p w14:paraId="7878C1E2" w14:textId="77777777" w:rsidR="00B63339" w:rsidRDefault="00B63339" w:rsidP="00B63339">
      <w:pPr>
        <w:pStyle w:val="FACorrespondingAuthorFootnote"/>
        <w:spacing w:after="0"/>
        <w:jc w:val="left"/>
      </w:pPr>
      <w:r>
        <w:t>AUTHOR INFORMATION</w:t>
      </w:r>
    </w:p>
    <w:p w14:paraId="4BB2FAC7" w14:textId="77777777" w:rsidR="00B63339" w:rsidRPr="00DD6DBB" w:rsidRDefault="00B63339" w:rsidP="00B63339">
      <w:pPr>
        <w:pStyle w:val="FAAuthorInfoSubtitle"/>
      </w:pPr>
      <w:r w:rsidRPr="00DD6DBB">
        <w:t>Corresponding Author</w:t>
      </w:r>
    </w:p>
    <w:p w14:paraId="2C4B91EA" w14:textId="380796C5" w:rsidR="00B63339" w:rsidRDefault="00B63339" w:rsidP="00B63339">
      <w:pPr>
        <w:pStyle w:val="FACorrespondingAuthorFootnote"/>
        <w:spacing w:after="240"/>
        <w:jc w:val="left"/>
      </w:pPr>
      <w:r w:rsidRPr="00B63339">
        <w:t>*Thomas J. Farmer: thomas.farmer@york.ac.uk</w:t>
      </w:r>
    </w:p>
    <w:p w14:paraId="22E9F7CC" w14:textId="77777777" w:rsidR="00B63339" w:rsidRPr="00DD6DBB" w:rsidRDefault="00B63339" w:rsidP="00B63339">
      <w:pPr>
        <w:pStyle w:val="FAAuthorInfoSubtitle"/>
      </w:pPr>
      <w:r w:rsidRPr="00DD6DBB">
        <w:t>Author Contributions</w:t>
      </w:r>
    </w:p>
    <w:p w14:paraId="04D40FE0" w14:textId="02C59384" w:rsidR="00B63339" w:rsidRPr="00DD6DBB" w:rsidRDefault="00B63339" w:rsidP="00B63339">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14:paraId="5671B1C8" w14:textId="77777777" w:rsidR="00B63339" w:rsidRPr="00DD6DBB" w:rsidRDefault="00B63339" w:rsidP="00B63339">
      <w:pPr>
        <w:pStyle w:val="FAAuthorInfoSubtitle"/>
      </w:pPr>
      <w:r w:rsidRPr="00DD6DBB">
        <w:t>Funding Sources</w:t>
      </w:r>
    </w:p>
    <w:p w14:paraId="43367EA0" w14:textId="1A820966" w:rsidR="00B63339" w:rsidRDefault="00672B5D" w:rsidP="00604F80">
      <w:pPr>
        <w:pStyle w:val="FAAuthorInfoSubtitle"/>
        <w:rPr>
          <w:b w:val="0"/>
        </w:rPr>
      </w:pPr>
      <w:r w:rsidRPr="00B63339">
        <w:rPr>
          <w:b w:val="0"/>
        </w:rPr>
        <w:t xml:space="preserve">The authors thank the University of York for </w:t>
      </w:r>
      <w:r w:rsidR="00162A61" w:rsidRPr="00B63339">
        <w:rPr>
          <w:b w:val="0"/>
        </w:rPr>
        <w:t xml:space="preserve">part </w:t>
      </w:r>
      <w:r w:rsidRPr="00B63339">
        <w:rPr>
          <w:b w:val="0"/>
        </w:rPr>
        <w:t>funding this research.</w:t>
      </w:r>
      <w:r w:rsidR="00BB451D" w:rsidRPr="00B63339">
        <w:rPr>
          <w:b w:val="0"/>
        </w:rPr>
        <w:t xml:space="preserve"> </w:t>
      </w:r>
      <w:r w:rsidR="00162A61" w:rsidRPr="00B63339">
        <w:rPr>
          <w:b w:val="0"/>
        </w:rPr>
        <w:t>This research was also part funded by CHEM21 under the Innovative Medicines Initiative Joint Undertaking (grant agreement n°115360), resources of which are composed of financial contribution from the European Union's Seventh Framework Program (FP7/2007-2013) and EFPIA companies’ in-kind contributions.</w:t>
      </w:r>
    </w:p>
    <w:p w14:paraId="09AF419C" w14:textId="77777777" w:rsidR="00C44681" w:rsidRPr="00604F80" w:rsidRDefault="00C44681" w:rsidP="00604F80">
      <w:pPr>
        <w:pStyle w:val="FAAuthorInfoSubtitle"/>
      </w:pPr>
    </w:p>
    <w:p w14:paraId="495460A5" w14:textId="63F182DF" w:rsidR="007331FF" w:rsidRDefault="007331FF" w:rsidP="00B63339">
      <w:pPr>
        <w:pStyle w:val="TDAcknowledgments"/>
        <w:ind w:firstLine="0"/>
      </w:pPr>
      <w:r w:rsidRPr="00A71C00">
        <w:t>ACKNOWLEDGMENT</w:t>
      </w:r>
      <w:r w:rsidRPr="00BE533F">
        <w:t xml:space="preserve"> </w:t>
      </w:r>
    </w:p>
    <w:p w14:paraId="5F5D69F8" w14:textId="10CDB285" w:rsidR="00B63339" w:rsidRDefault="004F0A20" w:rsidP="00604F80">
      <w:pPr>
        <w:pStyle w:val="TDAcknowledgments"/>
        <w:ind w:firstLine="0"/>
      </w:pPr>
      <w:r w:rsidRPr="004F0A20">
        <w:t xml:space="preserve">Thanks to Joshua Reid and Romain Aufaure for preliminary work and to Paul Elliot for technical assistance. </w:t>
      </w:r>
      <w:r>
        <w:t>Thanks a</w:t>
      </w:r>
      <w:r w:rsidRPr="004F0A20">
        <w:t>lso to William Unsworth for</w:t>
      </w:r>
      <w:r>
        <w:t xml:space="preserve"> assistance with flow reactions</w:t>
      </w:r>
      <w:r w:rsidR="005C6C44" w:rsidRPr="004D5F3A">
        <w:t>.</w:t>
      </w:r>
    </w:p>
    <w:p w14:paraId="64B1E131" w14:textId="77777777" w:rsidR="00A06329" w:rsidRPr="00101D1F" w:rsidRDefault="00A06329" w:rsidP="00A06329">
      <w:pPr>
        <w:pStyle w:val="TFReferencesSection"/>
        <w:ind w:firstLine="0"/>
      </w:pPr>
      <w:r>
        <w:t>REFERENCES</w:t>
      </w:r>
    </w:p>
    <w:p w14:paraId="2CD2E510" w14:textId="5A126D2C" w:rsidR="005611E9" w:rsidRPr="005611E9" w:rsidRDefault="00A06329" w:rsidP="005611E9">
      <w:pPr>
        <w:widowControl w:val="0"/>
        <w:autoSpaceDE w:val="0"/>
        <w:autoSpaceDN w:val="0"/>
        <w:adjustRightInd w:val="0"/>
        <w:spacing w:line="480" w:lineRule="auto"/>
        <w:ind w:left="640" w:hanging="640"/>
        <w:rPr>
          <w:rFonts w:cs="Times"/>
          <w:noProof/>
          <w:szCs w:val="24"/>
        </w:rPr>
      </w:pPr>
      <w:r>
        <w:fldChar w:fldCharType="begin" w:fldLock="1"/>
      </w:r>
      <w:r>
        <w:instrText xml:space="preserve">ADDIN Mendeley Bibliography CSL_BIBLIOGRAPHY </w:instrText>
      </w:r>
      <w:r>
        <w:fldChar w:fldCharType="separate"/>
      </w:r>
      <w:r w:rsidR="005611E9" w:rsidRPr="005611E9">
        <w:rPr>
          <w:rFonts w:cs="Times"/>
          <w:noProof/>
          <w:szCs w:val="24"/>
        </w:rPr>
        <w:t xml:space="preserve">(1) </w:t>
      </w:r>
      <w:r w:rsidR="005611E9" w:rsidRPr="005611E9">
        <w:rPr>
          <w:rFonts w:cs="Times"/>
          <w:noProof/>
          <w:szCs w:val="24"/>
        </w:rPr>
        <w:tab/>
        <w:t xml:space="preserve">Carey, J. S.; Laffan, D.; Thomson, C.; Williams, M. T. </w:t>
      </w:r>
      <w:r w:rsidR="005611E9" w:rsidRPr="005611E9">
        <w:rPr>
          <w:rFonts w:cs="Times"/>
          <w:i/>
          <w:iCs/>
          <w:noProof/>
          <w:szCs w:val="24"/>
        </w:rPr>
        <w:t>Org. Biomol. Chem.</w:t>
      </w:r>
      <w:r w:rsidR="005611E9" w:rsidRPr="005611E9">
        <w:rPr>
          <w:rFonts w:cs="Times"/>
          <w:noProof/>
          <w:szCs w:val="24"/>
        </w:rPr>
        <w:t xml:space="preserve"> </w:t>
      </w:r>
      <w:r w:rsidR="005611E9" w:rsidRPr="005611E9">
        <w:rPr>
          <w:rFonts w:cs="Times"/>
          <w:b/>
          <w:bCs/>
          <w:noProof/>
          <w:szCs w:val="24"/>
        </w:rPr>
        <w:t>2006</w:t>
      </w:r>
      <w:r w:rsidR="005611E9" w:rsidRPr="005611E9">
        <w:rPr>
          <w:rFonts w:cs="Times"/>
          <w:noProof/>
          <w:szCs w:val="24"/>
        </w:rPr>
        <w:t xml:space="preserve">, </w:t>
      </w:r>
      <w:r w:rsidR="005611E9" w:rsidRPr="005611E9">
        <w:rPr>
          <w:rFonts w:cs="Times"/>
          <w:i/>
          <w:iCs/>
          <w:noProof/>
          <w:szCs w:val="24"/>
        </w:rPr>
        <w:t>4</w:t>
      </w:r>
      <w:r w:rsidR="005611E9" w:rsidRPr="005611E9">
        <w:rPr>
          <w:rFonts w:cs="Times"/>
          <w:noProof/>
          <w:szCs w:val="24"/>
        </w:rPr>
        <w:t>, 2337.</w:t>
      </w:r>
    </w:p>
    <w:p w14:paraId="31AA57B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lastRenderedPageBreak/>
        <w:t xml:space="preserve">(2) </w:t>
      </w:r>
      <w:r w:rsidRPr="005611E9">
        <w:rPr>
          <w:rFonts w:cs="Times"/>
          <w:noProof/>
          <w:szCs w:val="24"/>
        </w:rPr>
        <w:tab/>
        <w:t xml:space="preserve">Roughley, S. D.; Jordan, A. M. </w:t>
      </w:r>
      <w:r w:rsidRPr="005611E9">
        <w:rPr>
          <w:rFonts w:cs="Times"/>
          <w:i/>
          <w:iCs/>
          <w:noProof/>
          <w:szCs w:val="24"/>
        </w:rPr>
        <w:t>J. Med. Chem.</w:t>
      </w:r>
      <w:r w:rsidRPr="005611E9">
        <w:rPr>
          <w:rFonts w:cs="Times"/>
          <w:noProof/>
          <w:szCs w:val="24"/>
        </w:rPr>
        <w:t xml:space="preserve"> </w:t>
      </w:r>
      <w:r w:rsidRPr="005611E9">
        <w:rPr>
          <w:rFonts w:cs="Times"/>
          <w:b/>
          <w:bCs/>
          <w:noProof/>
          <w:szCs w:val="24"/>
        </w:rPr>
        <w:t>2011</w:t>
      </w:r>
      <w:r w:rsidRPr="005611E9">
        <w:rPr>
          <w:rFonts w:cs="Times"/>
          <w:noProof/>
          <w:szCs w:val="24"/>
        </w:rPr>
        <w:t xml:space="preserve">, </w:t>
      </w:r>
      <w:r w:rsidRPr="005611E9">
        <w:rPr>
          <w:rFonts w:cs="Times"/>
          <w:i/>
          <w:iCs/>
          <w:noProof/>
          <w:szCs w:val="24"/>
        </w:rPr>
        <w:t>54</w:t>
      </w:r>
      <w:r w:rsidRPr="005611E9">
        <w:rPr>
          <w:rFonts w:cs="Times"/>
          <w:noProof/>
          <w:szCs w:val="24"/>
        </w:rPr>
        <w:t>, 3451.</w:t>
      </w:r>
    </w:p>
    <w:p w14:paraId="6EF35367"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(3) </w:t>
      </w:r>
      <w:r w:rsidRPr="005611E9">
        <w:rPr>
          <w:rFonts w:cs="Times"/>
          <w:noProof/>
          <w:szCs w:val="24"/>
        </w:rPr>
        <w:tab/>
        <w:t xml:space="preserve">Dunetz, J. R.; Magano, J.; Weisenburger, G. A. </w:t>
      </w:r>
      <w:r w:rsidRPr="005611E9">
        <w:rPr>
          <w:rFonts w:cs="Times"/>
          <w:i/>
          <w:iCs/>
          <w:noProof/>
          <w:szCs w:val="24"/>
        </w:rPr>
        <w:t>Org. Process Res. Dev.</w:t>
      </w:r>
      <w:r w:rsidRPr="005611E9">
        <w:rPr>
          <w:rFonts w:cs="Times"/>
          <w:noProof/>
          <w:szCs w:val="24"/>
        </w:rPr>
        <w:t xml:space="preserve"> </w:t>
      </w:r>
      <w:r w:rsidRPr="005611E9">
        <w:rPr>
          <w:rFonts w:cs="Times"/>
          <w:b/>
          <w:bCs/>
          <w:noProof/>
          <w:szCs w:val="24"/>
        </w:rPr>
        <w:t>2016</w:t>
      </w:r>
      <w:r w:rsidRPr="005611E9">
        <w:rPr>
          <w:rFonts w:cs="Times"/>
          <w:noProof/>
          <w:szCs w:val="24"/>
        </w:rPr>
        <w:t xml:space="preserve">, </w:t>
      </w:r>
      <w:r w:rsidRPr="005611E9">
        <w:rPr>
          <w:rFonts w:cs="Times"/>
          <w:i/>
          <w:iCs/>
          <w:noProof/>
          <w:szCs w:val="24"/>
        </w:rPr>
        <w:t>20</w:t>
      </w:r>
      <w:r w:rsidRPr="005611E9">
        <w:rPr>
          <w:rFonts w:cs="Times"/>
          <w:noProof/>
          <w:szCs w:val="24"/>
        </w:rPr>
        <w:t xml:space="preserve"> (2), 140.</w:t>
      </w:r>
    </w:p>
    <w:p w14:paraId="07D38D68"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(4) </w:t>
      </w:r>
      <w:r w:rsidRPr="005611E9">
        <w:rPr>
          <w:rFonts w:cs="Times"/>
          <w:noProof/>
          <w:szCs w:val="24"/>
        </w:rPr>
        <w:tab/>
        <w:t xml:space="preserve">Al-warhi, T. I.; Al-Hazimi, H. M. A.; El-Faham, A. </w:t>
      </w:r>
      <w:r w:rsidRPr="005611E9">
        <w:rPr>
          <w:rFonts w:cs="Times"/>
          <w:i/>
          <w:iCs/>
          <w:noProof/>
          <w:szCs w:val="24"/>
        </w:rPr>
        <w:t>J. Saudi Chem. Soc.</w:t>
      </w:r>
      <w:r w:rsidRPr="005611E9">
        <w:rPr>
          <w:rFonts w:cs="Times"/>
          <w:noProof/>
          <w:szCs w:val="24"/>
        </w:rPr>
        <w:t xml:space="preserve"> </w:t>
      </w:r>
      <w:r w:rsidRPr="005611E9">
        <w:rPr>
          <w:rFonts w:cs="Times"/>
          <w:b/>
          <w:bCs/>
          <w:noProof/>
          <w:szCs w:val="24"/>
        </w:rPr>
        <w:t>2012</w:t>
      </w:r>
      <w:r w:rsidRPr="005611E9">
        <w:rPr>
          <w:rFonts w:cs="Times"/>
          <w:noProof/>
          <w:szCs w:val="24"/>
        </w:rPr>
        <w:t xml:space="preserve">, </w:t>
      </w:r>
      <w:r w:rsidRPr="005611E9">
        <w:rPr>
          <w:rFonts w:cs="Times"/>
          <w:i/>
          <w:iCs/>
          <w:noProof/>
          <w:szCs w:val="24"/>
        </w:rPr>
        <w:t>16</w:t>
      </w:r>
      <w:r w:rsidRPr="005611E9">
        <w:rPr>
          <w:rFonts w:cs="Times"/>
          <w:noProof/>
          <w:szCs w:val="24"/>
        </w:rPr>
        <w:t xml:space="preserve"> (2), 97.</w:t>
      </w:r>
    </w:p>
    <w:p w14:paraId="59E49357"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(5) </w:t>
      </w:r>
      <w:r w:rsidRPr="005611E9">
        <w:rPr>
          <w:rFonts w:cs="Times"/>
          <w:noProof/>
          <w:szCs w:val="24"/>
        </w:rPr>
        <w:tab/>
        <w:t xml:space="preserve">El-Faham, A.; Albericio, F. </w:t>
      </w:r>
      <w:r w:rsidRPr="005611E9">
        <w:rPr>
          <w:rFonts w:cs="Times"/>
          <w:i/>
          <w:iCs/>
          <w:noProof/>
          <w:szCs w:val="24"/>
        </w:rPr>
        <w:t>Chem. Rev.</w:t>
      </w:r>
      <w:r w:rsidRPr="005611E9">
        <w:rPr>
          <w:rFonts w:cs="Times"/>
          <w:noProof/>
          <w:szCs w:val="24"/>
        </w:rPr>
        <w:t xml:space="preserve"> </w:t>
      </w:r>
      <w:r w:rsidRPr="005611E9">
        <w:rPr>
          <w:rFonts w:cs="Times"/>
          <w:b/>
          <w:bCs/>
          <w:noProof/>
          <w:szCs w:val="24"/>
        </w:rPr>
        <w:t>2011</w:t>
      </w:r>
      <w:r w:rsidRPr="005611E9">
        <w:rPr>
          <w:rFonts w:cs="Times"/>
          <w:noProof/>
          <w:szCs w:val="24"/>
        </w:rPr>
        <w:t xml:space="preserve">, </w:t>
      </w:r>
      <w:r w:rsidRPr="005611E9">
        <w:rPr>
          <w:rFonts w:cs="Times"/>
          <w:i/>
          <w:iCs/>
          <w:noProof/>
          <w:szCs w:val="24"/>
        </w:rPr>
        <w:t>111</w:t>
      </w:r>
      <w:r w:rsidRPr="005611E9">
        <w:rPr>
          <w:rFonts w:cs="Times"/>
          <w:noProof/>
          <w:szCs w:val="24"/>
        </w:rPr>
        <w:t>, 6557.</w:t>
      </w:r>
    </w:p>
    <w:p w14:paraId="30F5522A"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(6) </w:t>
      </w:r>
      <w:r w:rsidRPr="005611E9">
        <w:rPr>
          <w:rFonts w:cs="Times"/>
          <w:noProof/>
          <w:szCs w:val="24"/>
        </w:rPr>
        <w:tab/>
        <w:t xml:space="preserve">Valeur, E.; Bradley, M. </w:t>
      </w:r>
      <w:r w:rsidRPr="005611E9">
        <w:rPr>
          <w:rFonts w:cs="Times"/>
          <w:i/>
          <w:iCs/>
          <w:noProof/>
          <w:szCs w:val="24"/>
        </w:rPr>
        <w:t>Chem. Soc. Rev.</w:t>
      </w:r>
      <w:r w:rsidRPr="005611E9">
        <w:rPr>
          <w:rFonts w:cs="Times"/>
          <w:noProof/>
          <w:szCs w:val="24"/>
        </w:rPr>
        <w:t xml:space="preserve"> </w:t>
      </w:r>
      <w:r w:rsidRPr="005611E9">
        <w:rPr>
          <w:rFonts w:cs="Times"/>
          <w:b/>
          <w:bCs/>
          <w:noProof/>
          <w:szCs w:val="24"/>
        </w:rPr>
        <w:t>2009</w:t>
      </w:r>
      <w:r w:rsidRPr="005611E9">
        <w:rPr>
          <w:rFonts w:cs="Times"/>
          <w:noProof/>
          <w:szCs w:val="24"/>
        </w:rPr>
        <w:t xml:space="preserve">, </w:t>
      </w:r>
      <w:r w:rsidRPr="005611E9">
        <w:rPr>
          <w:rFonts w:cs="Times"/>
          <w:i/>
          <w:iCs/>
          <w:noProof/>
          <w:szCs w:val="24"/>
        </w:rPr>
        <w:t>38</w:t>
      </w:r>
      <w:r w:rsidRPr="005611E9">
        <w:rPr>
          <w:rFonts w:cs="Times"/>
          <w:noProof/>
          <w:szCs w:val="24"/>
        </w:rPr>
        <w:t>, 606.</w:t>
      </w:r>
    </w:p>
    <w:p w14:paraId="4E5DDBC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(7) </w:t>
      </w:r>
      <w:r w:rsidRPr="005611E9">
        <w:rPr>
          <w:rFonts w:cs="Times"/>
          <w:noProof/>
          <w:szCs w:val="24"/>
        </w:rPr>
        <w:tab/>
        <w:t xml:space="preserve">Montalbetti, C. A. G. N.; Falque, V. </w:t>
      </w:r>
      <w:r w:rsidRPr="005611E9">
        <w:rPr>
          <w:rFonts w:cs="Times"/>
          <w:i/>
          <w:iCs/>
          <w:noProof/>
          <w:szCs w:val="24"/>
        </w:rPr>
        <w:t>Tetrahedron</w:t>
      </w:r>
      <w:r w:rsidRPr="005611E9">
        <w:rPr>
          <w:rFonts w:cs="Times"/>
          <w:noProof/>
          <w:szCs w:val="24"/>
        </w:rPr>
        <w:t>. 2005, pp 10827–10852.</w:t>
      </w:r>
    </w:p>
    <w:p w14:paraId="01C4C520"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(8) </w:t>
      </w:r>
      <w:r w:rsidRPr="005611E9">
        <w:rPr>
          <w:rFonts w:cs="Times"/>
          <w:noProof/>
          <w:szCs w:val="24"/>
        </w:rPr>
        <w:tab/>
        <w:t xml:space="preserve">Han, S.-Y.; Kim, Y.-A. </w:t>
      </w:r>
      <w:r w:rsidRPr="005611E9">
        <w:rPr>
          <w:rFonts w:cs="Times"/>
          <w:i/>
          <w:iCs/>
          <w:noProof/>
          <w:szCs w:val="24"/>
        </w:rPr>
        <w:t>Tetrahedron</w:t>
      </w:r>
      <w:r w:rsidRPr="005611E9">
        <w:rPr>
          <w:rFonts w:cs="Times"/>
          <w:noProof/>
          <w:szCs w:val="24"/>
        </w:rPr>
        <w:t xml:space="preserve"> </w:t>
      </w:r>
      <w:r w:rsidRPr="005611E9">
        <w:rPr>
          <w:rFonts w:cs="Times"/>
          <w:b/>
          <w:bCs/>
          <w:noProof/>
          <w:szCs w:val="24"/>
        </w:rPr>
        <w:t>2004</w:t>
      </w:r>
      <w:r w:rsidRPr="005611E9">
        <w:rPr>
          <w:rFonts w:cs="Times"/>
          <w:noProof/>
          <w:szCs w:val="24"/>
        </w:rPr>
        <w:t xml:space="preserve">, </w:t>
      </w:r>
      <w:r w:rsidRPr="005611E9">
        <w:rPr>
          <w:rFonts w:cs="Times"/>
          <w:i/>
          <w:iCs/>
          <w:noProof/>
          <w:szCs w:val="24"/>
        </w:rPr>
        <w:t>60</w:t>
      </w:r>
      <w:r w:rsidRPr="005611E9">
        <w:rPr>
          <w:rFonts w:cs="Times"/>
          <w:noProof/>
          <w:szCs w:val="24"/>
        </w:rPr>
        <w:t xml:space="preserve"> (672), 2447.</w:t>
      </w:r>
    </w:p>
    <w:p w14:paraId="74CB04B5"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(9) </w:t>
      </w:r>
      <w:r w:rsidRPr="005611E9">
        <w:rPr>
          <w:rFonts w:cs="Times"/>
          <w:noProof/>
          <w:szCs w:val="24"/>
        </w:rPr>
        <w:tab/>
        <w:t xml:space="preserve">El-faham, A.; Funosas, R. S.; Prohens, R.; Alvericio, F. </w:t>
      </w:r>
      <w:r w:rsidRPr="005611E9">
        <w:rPr>
          <w:rFonts w:cs="Times"/>
          <w:i/>
          <w:iCs/>
          <w:noProof/>
          <w:szCs w:val="24"/>
        </w:rPr>
        <w:t>Chem. Eur. J.</w:t>
      </w:r>
      <w:r w:rsidRPr="005611E9">
        <w:rPr>
          <w:rFonts w:cs="Times"/>
          <w:noProof/>
          <w:szCs w:val="24"/>
        </w:rPr>
        <w:t xml:space="preserve"> </w:t>
      </w:r>
      <w:r w:rsidRPr="005611E9">
        <w:rPr>
          <w:rFonts w:cs="Times"/>
          <w:b/>
          <w:bCs/>
          <w:noProof/>
          <w:szCs w:val="24"/>
        </w:rPr>
        <w:t>2009</w:t>
      </w:r>
      <w:r w:rsidRPr="005611E9">
        <w:rPr>
          <w:rFonts w:cs="Times"/>
          <w:noProof/>
          <w:szCs w:val="24"/>
        </w:rPr>
        <w:t xml:space="preserve">, </w:t>
      </w:r>
      <w:r w:rsidRPr="005611E9">
        <w:rPr>
          <w:rFonts w:cs="Times"/>
          <w:i/>
          <w:iCs/>
          <w:noProof/>
          <w:szCs w:val="24"/>
        </w:rPr>
        <w:t>15</w:t>
      </w:r>
      <w:r w:rsidRPr="005611E9">
        <w:rPr>
          <w:rFonts w:cs="Times"/>
          <w:noProof/>
          <w:szCs w:val="24"/>
        </w:rPr>
        <w:t>, 9404.</w:t>
      </w:r>
    </w:p>
    <w:p w14:paraId="2B809AC7"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(10) </w:t>
      </w:r>
      <w:r w:rsidRPr="005611E9">
        <w:rPr>
          <w:rFonts w:cs="Times"/>
          <w:noProof/>
          <w:szCs w:val="24"/>
        </w:rPr>
        <w:tab/>
        <w:t xml:space="preserve">Abdelmoty, I.; Albericio, F.; Carpino, L. A.; Foxman, B. M.; Kates, S. A. </w:t>
      </w:r>
      <w:r w:rsidRPr="005611E9">
        <w:rPr>
          <w:rFonts w:cs="Times"/>
          <w:i/>
          <w:iCs/>
          <w:noProof/>
          <w:szCs w:val="24"/>
        </w:rPr>
        <w:t>Lett. Pept. Sci.</w:t>
      </w:r>
      <w:r w:rsidRPr="005611E9">
        <w:rPr>
          <w:rFonts w:cs="Times"/>
          <w:noProof/>
          <w:szCs w:val="24"/>
        </w:rPr>
        <w:t xml:space="preserve"> </w:t>
      </w:r>
      <w:r w:rsidRPr="005611E9">
        <w:rPr>
          <w:rFonts w:cs="Times"/>
          <w:b/>
          <w:bCs/>
          <w:noProof/>
          <w:szCs w:val="24"/>
        </w:rPr>
        <w:t>1994</w:t>
      </w:r>
      <w:r w:rsidRPr="005611E9">
        <w:rPr>
          <w:rFonts w:cs="Times"/>
          <w:noProof/>
          <w:szCs w:val="24"/>
        </w:rPr>
        <w:t xml:space="preserve">, </w:t>
      </w:r>
      <w:r w:rsidRPr="005611E9">
        <w:rPr>
          <w:rFonts w:cs="Times"/>
          <w:i/>
          <w:iCs/>
          <w:noProof/>
          <w:szCs w:val="24"/>
        </w:rPr>
        <w:t>1</w:t>
      </w:r>
      <w:r w:rsidRPr="005611E9">
        <w:rPr>
          <w:rFonts w:cs="Times"/>
          <w:noProof/>
          <w:szCs w:val="24"/>
        </w:rPr>
        <w:t>, 57.</w:t>
      </w:r>
    </w:p>
    <w:p w14:paraId="7FBE9AFB"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(11) </w:t>
      </w:r>
      <w:r w:rsidRPr="005611E9">
        <w:rPr>
          <w:rFonts w:cs="Times"/>
          <w:noProof/>
          <w:szCs w:val="24"/>
        </w:rPr>
        <w:tab/>
        <w:t xml:space="preserve">Coste, J.; Le-Nguyen, D.; Castro, B. </w:t>
      </w:r>
      <w:r w:rsidRPr="005611E9">
        <w:rPr>
          <w:rFonts w:cs="Times"/>
          <w:i/>
          <w:iCs/>
          <w:noProof/>
          <w:szCs w:val="24"/>
        </w:rPr>
        <w:t>Tetrahedron Lett.</w:t>
      </w:r>
      <w:r w:rsidRPr="005611E9">
        <w:rPr>
          <w:rFonts w:cs="Times"/>
          <w:noProof/>
          <w:szCs w:val="24"/>
        </w:rPr>
        <w:t xml:space="preserve"> </w:t>
      </w:r>
      <w:r w:rsidRPr="005611E9">
        <w:rPr>
          <w:rFonts w:cs="Times"/>
          <w:b/>
          <w:bCs/>
          <w:noProof/>
          <w:szCs w:val="24"/>
        </w:rPr>
        <w:t>1990</w:t>
      </w:r>
      <w:r w:rsidRPr="005611E9">
        <w:rPr>
          <w:rFonts w:cs="Times"/>
          <w:noProof/>
          <w:szCs w:val="24"/>
        </w:rPr>
        <w:t xml:space="preserve">, </w:t>
      </w:r>
      <w:r w:rsidRPr="005611E9">
        <w:rPr>
          <w:rFonts w:cs="Times"/>
          <w:i/>
          <w:iCs/>
          <w:noProof/>
          <w:szCs w:val="24"/>
        </w:rPr>
        <w:t>31</w:t>
      </w:r>
      <w:r w:rsidRPr="005611E9">
        <w:rPr>
          <w:rFonts w:cs="Times"/>
          <w:noProof/>
          <w:szCs w:val="24"/>
        </w:rPr>
        <w:t xml:space="preserve"> (2), 205.</w:t>
      </w:r>
    </w:p>
    <w:p w14:paraId="4E4C957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(12) </w:t>
      </w:r>
      <w:r w:rsidRPr="005611E9">
        <w:rPr>
          <w:rFonts w:cs="Times"/>
          <w:noProof/>
          <w:szCs w:val="24"/>
        </w:rPr>
        <w:tab/>
        <w:t xml:space="preserve">Lundberg, H.; Tinnis, F.; Selander, N.; Adolfsson, H. </w:t>
      </w:r>
      <w:r w:rsidRPr="005611E9">
        <w:rPr>
          <w:rFonts w:cs="Times"/>
          <w:i/>
          <w:iCs/>
          <w:noProof/>
          <w:szCs w:val="24"/>
        </w:rPr>
        <w:t>Chem. Soc. Rev.</w:t>
      </w:r>
      <w:r w:rsidRPr="005611E9">
        <w:rPr>
          <w:rFonts w:cs="Times"/>
          <w:noProof/>
          <w:szCs w:val="24"/>
        </w:rPr>
        <w:t xml:space="preserve"> </w:t>
      </w:r>
      <w:r w:rsidRPr="005611E9">
        <w:rPr>
          <w:rFonts w:cs="Times"/>
          <w:b/>
          <w:bCs/>
          <w:noProof/>
          <w:szCs w:val="24"/>
        </w:rPr>
        <w:t>2014</w:t>
      </w:r>
      <w:r w:rsidRPr="005611E9">
        <w:rPr>
          <w:rFonts w:cs="Times"/>
          <w:noProof/>
          <w:szCs w:val="24"/>
        </w:rPr>
        <w:t xml:space="preserve">, </w:t>
      </w:r>
      <w:r w:rsidRPr="005611E9">
        <w:rPr>
          <w:rFonts w:cs="Times"/>
          <w:i/>
          <w:iCs/>
          <w:noProof/>
          <w:szCs w:val="24"/>
        </w:rPr>
        <w:t>43</w:t>
      </w:r>
      <w:r w:rsidRPr="005611E9">
        <w:rPr>
          <w:rFonts w:cs="Times"/>
          <w:noProof/>
          <w:szCs w:val="24"/>
        </w:rPr>
        <w:t>, 2714.</w:t>
      </w:r>
    </w:p>
    <w:p w14:paraId="6B0E7029"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(13) </w:t>
      </w:r>
      <w:r w:rsidRPr="005611E9">
        <w:rPr>
          <w:rFonts w:cs="Times"/>
          <w:noProof/>
          <w:szCs w:val="24"/>
        </w:rPr>
        <w:tab/>
        <w:t xml:space="preserve">Pattabiraman, V. R.; Bode, J. W. </w:t>
      </w:r>
      <w:r w:rsidRPr="005611E9">
        <w:rPr>
          <w:rFonts w:cs="Times"/>
          <w:i/>
          <w:iCs/>
          <w:noProof/>
          <w:szCs w:val="24"/>
        </w:rPr>
        <w:t>Nature</w:t>
      </w:r>
      <w:r w:rsidRPr="005611E9">
        <w:rPr>
          <w:rFonts w:cs="Times"/>
          <w:noProof/>
          <w:szCs w:val="24"/>
        </w:rPr>
        <w:t xml:space="preserve"> </w:t>
      </w:r>
      <w:r w:rsidRPr="005611E9">
        <w:rPr>
          <w:rFonts w:cs="Times"/>
          <w:b/>
          <w:bCs/>
          <w:noProof/>
          <w:szCs w:val="24"/>
        </w:rPr>
        <w:t>2011</w:t>
      </w:r>
      <w:r w:rsidRPr="005611E9">
        <w:rPr>
          <w:rFonts w:cs="Times"/>
          <w:noProof/>
          <w:szCs w:val="24"/>
        </w:rPr>
        <w:t xml:space="preserve">, </w:t>
      </w:r>
      <w:r w:rsidRPr="005611E9">
        <w:rPr>
          <w:rFonts w:cs="Times"/>
          <w:i/>
          <w:iCs/>
          <w:noProof/>
          <w:szCs w:val="24"/>
        </w:rPr>
        <w:t>480</w:t>
      </w:r>
      <w:r w:rsidRPr="005611E9">
        <w:rPr>
          <w:rFonts w:cs="Times"/>
          <w:noProof/>
          <w:szCs w:val="24"/>
        </w:rPr>
        <w:t xml:space="preserve"> (7378), 471.</w:t>
      </w:r>
    </w:p>
    <w:p w14:paraId="23F1B9C0"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(14) </w:t>
      </w:r>
      <w:r w:rsidRPr="005611E9">
        <w:rPr>
          <w:rFonts w:cs="Times"/>
          <w:noProof/>
          <w:szCs w:val="24"/>
        </w:rPr>
        <w:tab/>
        <w:t xml:space="preserve">Roy, S.; Roy, S.; Gribble, G. W. </w:t>
      </w:r>
      <w:r w:rsidRPr="005611E9">
        <w:rPr>
          <w:rFonts w:cs="Times"/>
          <w:i/>
          <w:iCs/>
          <w:noProof/>
          <w:szCs w:val="24"/>
        </w:rPr>
        <w:t>Tetrahedron</w:t>
      </w:r>
      <w:r w:rsidRPr="005611E9">
        <w:rPr>
          <w:rFonts w:cs="Times"/>
          <w:noProof/>
          <w:szCs w:val="24"/>
        </w:rPr>
        <w:t xml:space="preserve"> </w:t>
      </w:r>
      <w:r w:rsidRPr="005611E9">
        <w:rPr>
          <w:rFonts w:cs="Times"/>
          <w:b/>
          <w:bCs/>
          <w:noProof/>
          <w:szCs w:val="24"/>
        </w:rPr>
        <w:t>2012</w:t>
      </w:r>
      <w:r w:rsidRPr="005611E9">
        <w:rPr>
          <w:rFonts w:cs="Times"/>
          <w:noProof/>
          <w:szCs w:val="24"/>
        </w:rPr>
        <w:t xml:space="preserve">, </w:t>
      </w:r>
      <w:r w:rsidRPr="005611E9">
        <w:rPr>
          <w:rFonts w:cs="Times"/>
          <w:i/>
          <w:iCs/>
          <w:noProof/>
          <w:szCs w:val="24"/>
        </w:rPr>
        <w:t>68</w:t>
      </w:r>
      <w:r w:rsidRPr="005611E9">
        <w:rPr>
          <w:rFonts w:cs="Times"/>
          <w:noProof/>
          <w:szCs w:val="24"/>
        </w:rPr>
        <w:t xml:space="preserve"> (48), 9867.</w:t>
      </w:r>
    </w:p>
    <w:p w14:paraId="0B6FC11C"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(15) </w:t>
      </w:r>
      <w:r w:rsidRPr="005611E9">
        <w:rPr>
          <w:rFonts w:cs="Times"/>
          <w:noProof/>
          <w:szCs w:val="24"/>
        </w:rPr>
        <w:tab/>
        <w:t xml:space="preserve">Allen, C. L.; Williams, J. M. J. </w:t>
      </w:r>
      <w:r w:rsidRPr="005611E9">
        <w:rPr>
          <w:rFonts w:cs="Times"/>
          <w:i/>
          <w:iCs/>
          <w:noProof/>
          <w:szCs w:val="24"/>
        </w:rPr>
        <w:t>Chem. Soc. Rev.</w:t>
      </w:r>
      <w:r w:rsidRPr="005611E9">
        <w:rPr>
          <w:rFonts w:cs="Times"/>
          <w:noProof/>
          <w:szCs w:val="24"/>
        </w:rPr>
        <w:t xml:space="preserve"> </w:t>
      </w:r>
      <w:r w:rsidRPr="005611E9">
        <w:rPr>
          <w:rFonts w:cs="Times"/>
          <w:b/>
          <w:bCs/>
          <w:noProof/>
          <w:szCs w:val="24"/>
        </w:rPr>
        <w:t>2011</w:t>
      </w:r>
      <w:r w:rsidRPr="005611E9">
        <w:rPr>
          <w:rFonts w:cs="Times"/>
          <w:noProof/>
          <w:szCs w:val="24"/>
        </w:rPr>
        <w:t xml:space="preserve">, </w:t>
      </w:r>
      <w:r w:rsidRPr="005611E9">
        <w:rPr>
          <w:rFonts w:cs="Times"/>
          <w:i/>
          <w:iCs/>
          <w:noProof/>
          <w:szCs w:val="24"/>
        </w:rPr>
        <w:t>40</w:t>
      </w:r>
      <w:r w:rsidRPr="005611E9">
        <w:rPr>
          <w:rFonts w:cs="Times"/>
          <w:noProof/>
          <w:szCs w:val="24"/>
        </w:rPr>
        <w:t>, 3405.</w:t>
      </w:r>
    </w:p>
    <w:p w14:paraId="59501827"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(16) </w:t>
      </w:r>
      <w:r w:rsidRPr="005611E9">
        <w:rPr>
          <w:rFonts w:cs="Times"/>
          <w:noProof/>
          <w:szCs w:val="24"/>
        </w:rPr>
        <w:tab/>
        <w:t xml:space="preserve">Charville, H.; Jackson, D.; Hodges, G.; Whiting, A. </w:t>
      </w:r>
      <w:r w:rsidRPr="005611E9">
        <w:rPr>
          <w:rFonts w:cs="Times"/>
          <w:i/>
          <w:iCs/>
          <w:noProof/>
          <w:szCs w:val="24"/>
        </w:rPr>
        <w:t>Chem. Commun.</w:t>
      </w:r>
      <w:r w:rsidRPr="005611E9">
        <w:rPr>
          <w:rFonts w:cs="Times"/>
          <w:noProof/>
          <w:szCs w:val="24"/>
        </w:rPr>
        <w:t xml:space="preserve"> </w:t>
      </w:r>
      <w:r w:rsidRPr="005611E9">
        <w:rPr>
          <w:rFonts w:cs="Times"/>
          <w:b/>
          <w:bCs/>
          <w:noProof/>
          <w:szCs w:val="24"/>
        </w:rPr>
        <w:t>2010</w:t>
      </w:r>
      <w:r w:rsidRPr="005611E9">
        <w:rPr>
          <w:rFonts w:cs="Times"/>
          <w:noProof/>
          <w:szCs w:val="24"/>
        </w:rPr>
        <w:t xml:space="preserve">, </w:t>
      </w:r>
      <w:r w:rsidRPr="005611E9">
        <w:rPr>
          <w:rFonts w:cs="Times"/>
          <w:i/>
          <w:iCs/>
          <w:noProof/>
          <w:szCs w:val="24"/>
        </w:rPr>
        <w:t>46</w:t>
      </w:r>
      <w:r w:rsidRPr="005611E9">
        <w:rPr>
          <w:rFonts w:cs="Times"/>
          <w:noProof/>
          <w:szCs w:val="24"/>
        </w:rPr>
        <w:t>, 1813.</w:t>
      </w:r>
    </w:p>
    <w:p w14:paraId="70BB66DB"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(17) </w:t>
      </w:r>
      <w:r w:rsidRPr="005611E9">
        <w:rPr>
          <w:rFonts w:cs="Times"/>
          <w:noProof/>
          <w:szCs w:val="24"/>
        </w:rPr>
        <w:tab/>
        <w:t xml:space="preserve">Comerford, J. W.; Farmer, T. J.; Macquarrie, D. J.; Breeden, S. W.; Clark, J. H. </w:t>
      </w:r>
      <w:r w:rsidRPr="005611E9">
        <w:rPr>
          <w:rFonts w:cs="Times"/>
          <w:i/>
          <w:iCs/>
          <w:noProof/>
          <w:szCs w:val="24"/>
        </w:rPr>
        <w:t>ARKIVOC</w:t>
      </w:r>
      <w:r w:rsidRPr="005611E9">
        <w:rPr>
          <w:rFonts w:cs="Times"/>
          <w:noProof/>
          <w:szCs w:val="24"/>
        </w:rPr>
        <w:t xml:space="preserve"> </w:t>
      </w:r>
      <w:r w:rsidRPr="005611E9">
        <w:rPr>
          <w:rFonts w:cs="Times"/>
          <w:b/>
          <w:bCs/>
          <w:noProof/>
          <w:szCs w:val="24"/>
        </w:rPr>
        <w:t>2012</w:t>
      </w:r>
      <w:r w:rsidRPr="005611E9">
        <w:rPr>
          <w:rFonts w:cs="Times"/>
          <w:noProof/>
          <w:szCs w:val="24"/>
        </w:rPr>
        <w:t xml:space="preserve">, </w:t>
      </w:r>
      <w:r w:rsidRPr="005611E9">
        <w:rPr>
          <w:rFonts w:cs="Times"/>
          <w:i/>
          <w:iCs/>
          <w:noProof/>
          <w:szCs w:val="24"/>
        </w:rPr>
        <w:t>vii</w:t>
      </w:r>
      <w:r w:rsidRPr="005611E9">
        <w:rPr>
          <w:rFonts w:cs="Times"/>
          <w:noProof/>
          <w:szCs w:val="24"/>
        </w:rPr>
        <w:t>, 282.</w:t>
      </w:r>
    </w:p>
    <w:p w14:paraId="6065E5D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(18) </w:t>
      </w:r>
      <w:r w:rsidRPr="005611E9">
        <w:rPr>
          <w:rFonts w:cs="Times"/>
          <w:noProof/>
          <w:szCs w:val="24"/>
        </w:rPr>
        <w:tab/>
        <w:t xml:space="preserve">Comerford, J. W.; Clark, J. H.; Macquarrie, D. J.; Breeden, S. W. </w:t>
      </w:r>
      <w:r w:rsidRPr="005611E9">
        <w:rPr>
          <w:rFonts w:cs="Times"/>
          <w:i/>
          <w:iCs/>
          <w:noProof/>
          <w:szCs w:val="24"/>
        </w:rPr>
        <w:t>Chem. Commun. (Camb).</w:t>
      </w:r>
      <w:r w:rsidRPr="005611E9">
        <w:rPr>
          <w:rFonts w:cs="Times"/>
          <w:noProof/>
          <w:szCs w:val="24"/>
        </w:rPr>
        <w:t xml:space="preserve"> </w:t>
      </w:r>
      <w:r w:rsidRPr="005611E9">
        <w:rPr>
          <w:rFonts w:cs="Times"/>
          <w:b/>
          <w:bCs/>
          <w:noProof/>
          <w:szCs w:val="24"/>
        </w:rPr>
        <w:t>2009</w:t>
      </w:r>
      <w:r w:rsidRPr="005611E9">
        <w:rPr>
          <w:rFonts w:cs="Times"/>
          <w:noProof/>
          <w:szCs w:val="24"/>
        </w:rPr>
        <w:t xml:space="preserve">, </w:t>
      </w:r>
      <w:r w:rsidRPr="005611E9">
        <w:rPr>
          <w:rFonts w:cs="Times"/>
          <w:noProof/>
          <w:szCs w:val="24"/>
        </w:rPr>
        <w:lastRenderedPageBreak/>
        <w:t>No. 18, 2562.</w:t>
      </w:r>
    </w:p>
    <w:p w14:paraId="402EE309"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(19) </w:t>
      </w:r>
      <w:r w:rsidRPr="005611E9">
        <w:rPr>
          <w:rFonts w:cs="Times"/>
          <w:noProof/>
          <w:szCs w:val="24"/>
        </w:rPr>
        <w:tab/>
        <w:t xml:space="preserve">MacMillan, D. S.; Murray, J.; Sneddon, H. F.; Jamieson, C.; Watson, A. J. B. </w:t>
      </w:r>
      <w:r w:rsidRPr="005611E9">
        <w:rPr>
          <w:rFonts w:cs="Times"/>
          <w:i/>
          <w:iCs/>
          <w:noProof/>
          <w:szCs w:val="24"/>
        </w:rPr>
        <w:t>Green Chem.</w:t>
      </w:r>
      <w:r w:rsidRPr="005611E9">
        <w:rPr>
          <w:rFonts w:cs="Times"/>
          <w:noProof/>
          <w:szCs w:val="24"/>
        </w:rPr>
        <w:t xml:space="preserve"> </w:t>
      </w:r>
      <w:r w:rsidRPr="005611E9">
        <w:rPr>
          <w:rFonts w:cs="Times"/>
          <w:b/>
          <w:bCs/>
          <w:noProof/>
          <w:szCs w:val="24"/>
        </w:rPr>
        <w:t>2013</w:t>
      </w:r>
      <w:r w:rsidRPr="005611E9">
        <w:rPr>
          <w:rFonts w:cs="Times"/>
          <w:noProof/>
          <w:szCs w:val="24"/>
        </w:rPr>
        <w:t xml:space="preserve">, </w:t>
      </w:r>
      <w:r w:rsidRPr="005611E9">
        <w:rPr>
          <w:rFonts w:cs="Times"/>
          <w:i/>
          <w:iCs/>
          <w:noProof/>
          <w:szCs w:val="24"/>
        </w:rPr>
        <w:t>15</w:t>
      </w:r>
      <w:r w:rsidRPr="005611E9">
        <w:rPr>
          <w:rFonts w:cs="Times"/>
          <w:noProof/>
          <w:szCs w:val="24"/>
        </w:rPr>
        <w:t>, 596.</w:t>
      </w:r>
    </w:p>
    <w:p w14:paraId="61C8B51F"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(20) </w:t>
      </w:r>
      <w:r w:rsidRPr="005611E9">
        <w:rPr>
          <w:rFonts w:cs="Times"/>
          <w:noProof/>
          <w:szCs w:val="24"/>
        </w:rPr>
        <w:tab/>
        <w:t xml:space="preserve">Clark, J. H.; Macquarrie, D. J.; Sherwood, J. </w:t>
      </w:r>
      <w:r w:rsidRPr="005611E9">
        <w:rPr>
          <w:rFonts w:cs="Times"/>
          <w:i/>
          <w:iCs/>
          <w:noProof/>
          <w:szCs w:val="24"/>
        </w:rPr>
        <w:t>Green Chem.</w:t>
      </w:r>
      <w:r w:rsidRPr="005611E9">
        <w:rPr>
          <w:rFonts w:cs="Times"/>
          <w:noProof/>
          <w:szCs w:val="24"/>
        </w:rPr>
        <w:t xml:space="preserve"> </w:t>
      </w:r>
      <w:r w:rsidRPr="005611E9">
        <w:rPr>
          <w:rFonts w:cs="Times"/>
          <w:b/>
          <w:bCs/>
          <w:noProof/>
          <w:szCs w:val="24"/>
        </w:rPr>
        <w:t>2012</w:t>
      </w:r>
      <w:r w:rsidRPr="005611E9">
        <w:rPr>
          <w:rFonts w:cs="Times"/>
          <w:noProof/>
          <w:szCs w:val="24"/>
        </w:rPr>
        <w:t xml:space="preserve">, </w:t>
      </w:r>
      <w:r w:rsidRPr="005611E9">
        <w:rPr>
          <w:rFonts w:cs="Times"/>
          <w:i/>
          <w:iCs/>
          <w:noProof/>
          <w:szCs w:val="24"/>
        </w:rPr>
        <w:t>14</w:t>
      </w:r>
      <w:r w:rsidRPr="005611E9">
        <w:rPr>
          <w:rFonts w:cs="Times"/>
          <w:noProof/>
          <w:szCs w:val="24"/>
        </w:rPr>
        <w:t xml:space="preserve"> (0), 90.</w:t>
      </w:r>
    </w:p>
    <w:p w14:paraId="6BD952D5"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(21) </w:t>
      </w:r>
      <w:r w:rsidRPr="005611E9">
        <w:rPr>
          <w:rFonts w:cs="Times"/>
          <w:noProof/>
          <w:szCs w:val="24"/>
        </w:rPr>
        <w:tab/>
        <w:t xml:space="preserve">European commission,  council directive 1907/2006. </w:t>
      </w:r>
      <w:r w:rsidRPr="005611E9">
        <w:rPr>
          <w:rFonts w:cs="Times"/>
          <w:i/>
          <w:iCs/>
          <w:noProof/>
          <w:szCs w:val="24"/>
        </w:rPr>
        <w:t>concerning the Registration, Evaluation, Authorisation and Restriction of Chemicals (REACH), establishing a European Chemicals Agency, amending Directive 1999/45/EC and repealing Council Regulation (EEC) No 793/93 and Commission Regulation (EC) No 1488/94</w:t>
      </w:r>
      <w:r w:rsidRPr="005611E9">
        <w:rPr>
          <w:rFonts w:cs="Times"/>
          <w:noProof/>
          <w:szCs w:val="24"/>
        </w:rPr>
        <w:t>; 2016.</w:t>
      </w:r>
    </w:p>
    <w:p w14:paraId="0B4B96CA"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(22) </w:t>
      </w:r>
      <w:r w:rsidRPr="005611E9">
        <w:rPr>
          <w:rFonts w:cs="Times"/>
          <w:noProof/>
          <w:szCs w:val="24"/>
        </w:rPr>
        <w:tab/>
        <w:t>Toluene, Occupational Safety and Health Administration, United States Department of Labor.</w:t>
      </w:r>
    </w:p>
    <w:p w14:paraId="6DE47BF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(23) </w:t>
      </w:r>
      <w:r w:rsidRPr="005611E9">
        <w:rPr>
          <w:rFonts w:cs="Times"/>
          <w:noProof/>
          <w:szCs w:val="24"/>
        </w:rPr>
        <w:tab/>
        <w:t xml:space="preserve">Martin-Luengo, M. A.; Yates, M.; Rojo, E. S.; Huerta Arribas, D.; Aguilar, D.; Ruiz Hitzky, E. </w:t>
      </w:r>
      <w:r w:rsidRPr="005611E9">
        <w:rPr>
          <w:rFonts w:cs="Times"/>
          <w:i/>
          <w:iCs/>
          <w:noProof/>
          <w:szCs w:val="24"/>
        </w:rPr>
        <w:t>Appl. Catal. A Gen.</w:t>
      </w:r>
      <w:r w:rsidRPr="005611E9">
        <w:rPr>
          <w:rFonts w:cs="Times"/>
          <w:noProof/>
          <w:szCs w:val="24"/>
        </w:rPr>
        <w:t xml:space="preserve"> </w:t>
      </w:r>
      <w:r w:rsidRPr="005611E9">
        <w:rPr>
          <w:rFonts w:cs="Times"/>
          <w:b/>
          <w:bCs/>
          <w:noProof/>
          <w:szCs w:val="24"/>
        </w:rPr>
        <w:t>2010</w:t>
      </w:r>
      <w:r w:rsidRPr="005611E9">
        <w:rPr>
          <w:rFonts w:cs="Times"/>
          <w:noProof/>
          <w:szCs w:val="24"/>
        </w:rPr>
        <w:t xml:space="preserve">, </w:t>
      </w:r>
      <w:r w:rsidRPr="005611E9">
        <w:rPr>
          <w:rFonts w:cs="Times"/>
          <w:i/>
          <w:iCs/>
          <w:noProof/>
          <w:szCs w:val="24"/>
        </w:rPr>
        <w:t>387</w:t>
      </w:r>
      <w:r w:rsidRPr="005611E9">
        <w:rPr>
          <w:rFonts w:cs="Times"/>
          <w:noProof/>
          <w:szCs w:val="24"/>
        </w:rPr>
        <w:t xml:space="preserve"> (1–2), 141.</w:t>
      </w:r>
    </w:p>
    <w:p w14:paraId="71741ECC" w14:textId="77777777" w:rsidR="005611E9" w:rsidRPr="00C44681" w:rsidRDefault="005611E9" w:rsidP="005611E9">
      <w:pPr>
        <w:widowControl w:val="0"/>
        <w:autoSpaceDE w:val="0"/>
        <w:autoSpaceDN w:val="0"/>
        <w:adjustRightInd w:val="0"/>
        <w:spacing w:line="480" w:lineRule="auto"/>
        <w:ind w:left="640" w:hanging="640"/>
        <w:rPr>
          <w:rFonts w:cs="Times"/>
          <w:noProof/>
          <w:szCs w:val="24"/>
        </w:rPr>
      </w:pPr>
      <w:r w:rsidRPr="00C44681">
        <w:rPr>
          <w:rFonts w:cs="Times"/>
          <w:noProof/>
          <w:szCs w:val="24"/>
        </w:rPr>
        <w:t xml:space="preserve">(24) </w:t>
      </w:r>
      <w:r w:rsidRPr="00C44681">
        <w:rPr>
          <w:rFonts w:cs="Times"/>
          <w:noProof/>
          <w:szCs w:val="24"/>
        </w:rPr>
        <w:tab/>
        <w:t xml:space="preserve">Marchese, A.; Arciola, C. R.; Barbieri, R.; Silva, A. S.; Nabavi, S. F.; Sokeng, A. J. T.; Izadi, M.; Jafari, N. J.; Suntar, I.; Daglia, M.; Nabavi, S. M. </w:t>
      </w:r>
      <w:r w:rsidRPr="00C44681">
        <w:rPr>
          <w:rFonts w:cs="Times"/>
          <w:i/>
          <w:iCs/>
          <w:noProof/>
          <w:szCs w:val="24"/>
        </w:rPr>
        <w:t>Materials (Basel).</w:t>
      </w:r>
      <w:r w:rsidRPr="00C44681">
        <w:rPr>
          <w:rFonts w:cs="Times"/>
          <w:noProof/>
          <w:szCs w:val="24"/>
        </w:rPr>
        <w:t xml:space="preserve"> </w:t>
      </w:r>
      <w:r w:rsidRPr="00C44681">
        <w:rPr>
          <w:rFonts w:cs="Times"/>
          <w:b/>
          <w:bCs/>
          <w:noProof/>
          <w:szCs w:val="24"/>
        </w:rPr>
        <w:t>2017</w:t>
      </w:r>
      <w:r w:rsidRPr="00C44681">
        <w:rPr>
          <w:rFonts w:cs="Times"/>
          <w:noProof/>
          <w:szCs w:val="24"/>
        </w:rPr>
        <w:t xml:space="preserve">, </w:t>
      </w:r>
      <w:r w:rsidRPr="00C44681">
        <w:rPr>
          <w:rFonts w:cs="Times"/>
          <w:i/>
          <w:iCs/>
          <w:noProof/>
          <w:szCs w:val="24"/>
        </w:rPr>
        <w:t>10</w:t>
      </w:r>
      <w:r w:rsidRPr="00C44681">
        <w:rPr>
          <w:rFonts w:cs="Times"/>
          <w:noProof/>
          <w:szCs w:val="24"/>
        </w:rPr>
        <w:t xml:space="preserve"> (8), 947.</w:t>
      </w:r>
    </w:p>
    <w:p w14:paraId="0ECE6C54"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C44681">
        <w:rPr>
          <w:rFonts w:cs="Times"/>
          <w:noProof/>
          <w:szCs w:val="24"/>
        </w:rPr>
        <w:t xml:space="preserve">(25) </w:t>
      </w:r>
      <w:r w:rsidRPr="00C44681">
        <w:rPr>
          <w:rFonts w:cs="Times"/>
          <w:noProof/>
          <w:szCs w:val="24"/>
        </w:rPr>
        <w:tab/>
        <w:t>Food and Drug Administration. Substances Generally Recognized as Safe Food Additives Permitted for Direct Addition to Food for Human Consumption. https://www.accessdata.fda.gov/scripts/cdrh/cfdocs/cfCFR/CFRSearch.cfm?fr=172.515 (accessed Jan 12, 2017).</w:t>
      </w:r>
    </w:p>
    <w:p w14:paraId="201E7B81" w14:textId="77777777" w:rsidR="005611E9" w:rsidRPr="005611E9" w:rsidRDefault="005611E9" w:rsidP="005611E9">
      <w:pPr>
        <w:widowControl w:val="0"/>
        <w:autoSpaceDE w:val="0"/>
        <w:autoSpaceDN w:val="0"/>
        <w:adjustRightInd w:val="0"/>
        <w:spacing w:line="480" w:lineRule="auto"/>
        <w:ind w:left="640" w:hanging="640"/>
        <w:rPr>
          <w:rFonts w:cs="Times"/>
          <w:noProof/>
          <w:szCs w:val="24"/>
        </w:rPr>
      </w:pPr>
      <w:r w:rsidRPr="005611E9">
        <w:rPr>
          <w:rFonts w:cs="Times"/>
          <w:noProof/>
          <w:szCs w:val="24"/>
        </w:rPr>
        <w:t xml:space="preserve">(26) </w:t>
      </w:r>
      <w:r w:rsidRPr="005611E9">
        <w:rPr>
          <w:rFonts w:cs="Times"/>
          <w:noProof/>
          <w:szCs w:val="24"/>
        </w:rPr>
        <w:tab/>
        <w:t xml:space="preserve">Yalkowsky, S. H.; Wu, M. </w:t>
      </w:r>
      <w:r w:rsidRPr="005611E9">
        <w:rPr>
          <w:rFonts w:cs="Times"/>
          <w:i/>
          <w:iCs/>
          <w:noProof/>
          <w:szCs w:val="24"/>
        </w:rPr>
        <w:t>J. Pharm. Sci.</w:t>
      </w:r>
      <w:r w:rsidRPr="005611E9">
        <w:rPr>
          <w:rFonts w:cs="Times"/>
          <w:noProof/>
          <w:szCs w:val="24"/>
        </w:rPr>
        <w:t xml:space="preserve"> </w:t>
      </w:r>
      <w:r w:rsidRPr="005611E9">
        <w:rPr>
          <w:rFonts w:cs="Times"/>
          <w:b/>
          <w:bCs/>
          <w:noProof/>
          <w:szCs w:val="24"/>
        </w:rPr>
        <w:t>2010</w:t>
      </w:r>
      <w:r w:rsidRPr="005611E9">
        <w:rPr>
          <w:rFonts w:cs="Times"/>
          <w:noProof/>
          <w:szCs w:val="24"/>
        </w:rPr>
        <w:t xml:space="preserve">, </w:t>
      </w:r>
      <w:r w:rsidRPr="005611E9">
        <w:rPr>
          <w:rFonts w:cs="Times"/>
          <w:i/>
          <w:iCs/>
          <w:noProof/>
          <w:szCs w:val="24"/>
        </w:rPr>
        <w:t>99</w:t>
      </w:r>
      <w:r w:rsidRPr="005611E9">
        <w:rPr>
          <w:rFonts w:cs="Times"/>
          <w:noProof/>
          <w:szCs w:val="24"/>
        </w:rPr>
        <w:t>, 1100.</w:t>
      </w:r>
    </w:p>
    <w:p w14:paraId="4C74C50D" w14:textId="77777777" w:rsidR="005611E9" w:rsidRPr="00C44681" w:rsidRDefault="005611E9" w:rsidP="005611E9">
      <w:pPr>
        <w:widowControl w:val="0"/>
        <w:autoSpaceDE w:val="0"/>
        <w:autoSpaceDN w:val="0"/>
        <w:adjustRightInd w:val="0"/>
        <w:spacing w:line="480" w:lineRule="auto"/>
        <w:ind w:left="640" w:hanging="640"/>
        <w:rPr>
          <w:rFonts w:cs="Times"/>
          <w:noProof/>
          <w:szCs w:val="24"/>
        </w:rPr>
      </w:pPr>
      <w:r w:rsidRPr="00C44681">
        <w:rPr>
          <w:rFonts w:cs="Times"/>
          <w:noProof/>
          <w:szCs w:val="24"/>
        </w:rPr>
        <w:t xml:space="preserve">(27) </w:t>
      </w:r>
      <w:r w:rsidRPr="00C44681">
        <w:rPr>
          <w:rFonts w:cs="Times"/>
          <w:noProof/>
          <w:szCs w:val="24"/>
        </w:rPr>
        <w:tab/>
        <w:t xml:space="preserve">Nammalwar, B.; Muddala, N. P.; Watts, F. M.; Bunce, R. A. </w:t>
      </w:r>
      <w:r w:rsidRPr="00C44681">
        <w:rPr>
          <w:rFonts w:cs="Times"/>
          <w:i/>
          <w:iCs/>
          <w:noProof/>
          <w:szCs w:val="24"/>
        </w:rPr>
        <w:t>Tetrahedron</w:t>
      </w:r>
      <w:r w:rsidRPr="00C44681">
        <w:rPr>
          <w:rFonts w:cs="Times"/>
          <w:noProof/>
          <w:szCs w:val="24"/>
        </w:rPr>
        <w:t xml:space="preserve"> </w:t>
      </w:r>
      <w:r w:rsidRPr="00C44681">
        <w:rPr>
          <w:rFonts w:cs="Times"/>
          <w:b/>
          <w:bCs/>
          <w:noProof/>
          <w:szCs w:val="24"/>
        </w:rPr>
        <w:t>2015</w:t>
      </w:r>
      <w:r w:rsidRPr="00C44681">
        <w:rPr>
          <w:rFonts w:cs="Times"/>
          <w:noProof/>
          <w:szCs w:val="24"/>
        </w:rPr>
        <w:t xml:space="preserve">, </w:t>
      </w:r>
      <w:r w:rsidRPr="00C44681">
        <w:rPr>
          <w:rFonts w:cs="Times"/>
          <w:i/>
          <w:iCs/>
          <w:noProof/>
          <w:szCs w:val="24"/>
        </w:rPr>
        <w:t>71</w:t>
      </w:r>
      <w:r w:rsidRPr="00C44681">
        <w:rPr>
          <w:rFonts w:cs="Times"/>
          <w:noProof/>
          <w:szCs w:val="24"/>
        </w:rPr>
        <w:t xml:space="preserve"> (48), 9101.</w:t>
      </w:r>
    </w:p>
    <w:p w14:paraId="36B85E9D" w14:textId="77777777" w:rsidR="005611E9" w:rsidRPr="005611E9" w:rsidRDefault="005611E9" w:rsidP="005611E9">
      <w:pPr>
        <w:widowControl w:val="0"/>
        <w:autoSpaceDE w:val="0"/>
        <w:autoSpaceDN w:val="0"/>
        <w:adjustRightInd w:val="0"/>
        <w:spacing w:line="480" w:lineRule="auto"/>
        <w:ind w:left="640" w:hanging="640"/>
        <w:rPr>
          <w:rFonts w:cs="Times"/>
          <w:noProof/>
        </w:rPr>
      </w:pPr>
      <w:r w:rsidRPr="00C44681">
        <w:rPr>
          <w:rFonts w:cs="Times"/>
          <w:noProof/>
          <w:szCs w:val="24"/>
        </w:rPr>
        <w:t xml:space="preserve">(28) </w:t>
      </w:r>
      <w:r w:rsidRPr="00C44681">
        <w:rPr>
          <w:rFonts w:cs="Times"/>
          <w:noProof/>
          <w:szCs w:val="24"/>
        </w:rPr>
        <w:tab/>
        <w:t xml:space="preserve">Dávila, J. A.; Rosenberg, M.; Cardona, C. A. </w:t>
      </w:r>
      <w:r w:rsidRPr="00C44681">
        <w:rPr>
          <w:rFonts w:cs="Times"/>
          <w:i/>
          <w:iCs/>
          <w:noProof/>
          <w:szCs w:val="24"/>
        </w:rPr>
        <w:t>Waste and Biomass Valorization</w:t>
      </w:r>
      <w:r w:rsidRPr="00C44681">
        <w:rPr>
          <w:rFonts w:cs="Times"/>
          <w:noProof/>
          <w:szCs w:val="24"/>
        </w:rPr>
        <w:t xml:space="preserve"> </w:t>
      </w:r>
      <w:r w:rsidRPr="00C44681">
        <w:rPr>
          <w:rFonts w:cs="Times"/>
          <w:b/>
          <w:bCs/>
          <w:noProof/>
          <w:szCs w:val="24"/>
        </w:rPr>
        <w:t>2015</w:t>
      </w:r>
      <w:r w:rsidRPr="00C44681">
        <w:rPr>
          <w:rFonts w:cs="Times"/>
          <w:noProof/>
          <w:szCs w:val="24"/>
        </w:rPr>
        <w:t xml:space="preserve">, </w:t>
      </w:r>
      <w:r w:rsidRPr="00C44681">
        <w:rPr>
          <w:rFonts w:cs="Times"/>
          <w:i/>
          <w:iCs/>
          <w:noProof/>
          <w:szCs w:val="24"/>
        </w:rPr>
        <w:t>6</w:t>
      </w:r>
      <w:r w:rsidRPr="00C44681">
        <w:rPr>
          <w:rFonts w:cs="Times"/>
          <w:noProof/>
          <w:szCs w:val="24"/>
        </w:rPr>
        <w:t xml:space="preserve"> (2), 253.</w:t>
      </w:r>
    </w:p>
    <w:p w14:paraId="6B5FF43B" w14:textId="15810DE0" w:rsidR="00DD29EF" w:rsidRDefault="00A06329" w:rsidP="00A06329">
      <w:pPr>
        <w:pStyle w:val="TFReferencesSection"/>
        <w:sectPr w:rsidR="00DD29EF" w:rsidSect="00B63339">
          <w:type w:val="continuous"/>
          <w:pgSz w:w="12240" w:h="15840"/>
          <w:pgMar w:top="720" w:right="1094" w:bottom="950" w:left="1094" w:header="720" w:footer="720" w:gutter="0"/>
          <w:cols w:space="461"/>
        </w:sectPr>
      </w:pPr>
      <w:r>
        <w:fldChar w:fldCharType="end"/>
      </w:r>
    </w:p>
    <w:p w14:paraId="15D98431" w14:textId="77777777" w:rsidR="00EF7B3C" w:rsidRDefault="00EF7B3C" w:rsidP="00B63339">
      <w:pPr>
        <w:pStyle w:val="SNSynopsisTOC"/>
      </w:pPr>
    </w:p>
    <w:p w14:paraId="3582D3B0" w14:textId="74FC8078" w:rsidR="000B4F9D" w:rsidRPr="005137DB" w:rsidRDefault="000B4F9D" w:rsidP="00B63339">
      <w:pPr>
        <w:pStyle w:val="SNSynopsisTOC"/>
      </w:pPr>
      <w:r w:rsidRPr="005137DB">
        <w:t>SYNOPSIS</w:t>
      </w:r>
    </w:p>
    <w:p w14:paraId="5B1C77EC" w14:textId="0FC056EA" w:rsidR="00A15411" w:rsidRPr="00C44681" w:rsidRDefault="00A15411" w:rsidP="005137DB">
      <w:pPr>
        <w:pStyle w:val="SNSynopsisTOC"/>
      </w:pPr>
      <w:r w:rsidRPr="00C44681">
        <w:t xml:space="preserve">Computational modelling predicts selective precipitation of structurally diverse amide products, facilitating substitution of toluene solvent with bio-derivable </w:t>
      </w:r>
      <w:r w:rsidRPr="00C44681">
        <w:rPr>
          <w:i/>
        </w:rPr>
        <w:t>para</w:t>
      </w:r>
      <w:r w:rsidRPr="00C44681">
        <w:t>-cymene.</w:t>
      </w:r>
    </w:p>
    <w:p w14:paraId="287DC0E1" w14:textId="77777777" w:rsidR="00EF7B3C" w:rsidRDefault="00EF7B3C" w:rsidP="00B63339">
      <w:pPr>
        <w:pStyle w:val="SNSynopsisTOC"/>
      </w:pPr>
    </w:p>
    <w:p w14:paraId="174C9EF6" w14:textId="0DE21F05" w:rsidR="00EF7B3C" w:rsidRDefault="00EF7B3C" w:rsidP="00B63339">
      <w:pPr>
        <w:pStyle w:val="SNSynopsisTOC"/>
      </w:pPr>
      <w:r>
        <w:t>KEYWORDS</w:t>
      </w:r>
    </w:p>
    <w:p w14:paraId="7F2FB179" w14:textId="345AB7DE" w:rsidR="000B4F9D" w:rsidRPr="000B4F9D" w:rsidRDefault="00EF7B3C" w:rsidP="00B63339">
      <w:pPr>
        <w:pStyle w:val="SNSynopsisTOC"/>
      </w:pPr>
      <w:r>
        <w:t>H</w:t>
      </w:r>
      <w:r w:rsidRPr="00EF7B3C">
        <w:t xml:space="preserve">eterogeneous catalysis, amide, solvent substitution, flow chemistry, Hanson solubility parameters, Yalkowsky approximation, </w:t>
      </w:r>
      <w:r w:rsidRPr="00EF7B3C">
        <w:rPr>
          <w:i/>
        </w:rPr>
        <w:t>para</w:t>
      </w:r>
      <w:r w:rsidRPr="00EF7B3C">
        <w:t>-cymene.</w:t>
      </w:r>
    </w:p>
    <w:sectPr w:rsidR="000B4F9D" w:rsidRPr="000B4F9D" w:rsidSect="00A76EF0">
      <w:headerReference w:type="even" r:id="rId17"/>
      <w:footerReference w:type="even" r:id="rId18"/>
      <w:footerReference w:type="default" r:id="rId19"/>
      <w:type w:val="continuous"/>
      <w:pgSz w:w="12240" w:h="15840"/>
      <w:pgMar w:top="720" w:right="1094" w:bottom="950" w:left="1094" w:header="720" w:footer="720" w:gutter="0"/>
      <w:cols w:space="46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B3826A" w16cid:durableId="1DD52844"/>
  <w16cid:commentId w16cid:paraId="2465EA04" w16cid:durableId="1DD52845"/>
  <w16cid:commentId w16cid:paraId="13525A1A" w16cid:durableId="1DD0F1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F5393" w14:textId="77777777" w:rsidR="00C62D0D" w:rsidRDefault="00C62D0D">
      <w:r>
        <w:separator/>
      </w:r>
    </w:p>
    <w:p w14:paraId="646614E7" w14:textId="77777777" w:rsidR="00C62D0D" w:rsidRDefault="00C62D0D"/>
  </w:endnote>
  <w:endnote w:type="continuationSeparator" w:id="0">
    <w:p w14:paraId="26C4B314" w14:textId="77777777" w:rsidR="00C62D0D" w:rsidRDefault="00C62D0D">
      <w:r>
        <w:continuationSeparator/>
      </w:r>
    </w:p>
    <w:p w14:paraId="6316C714" w14:textId="77777777" w:rsidR="00C62D0D" w:rsidRDefault="00C62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embedRegular r:id="rId1" w:fontKey="{1CC4D205-B0EA-408B-B26D-DD65EBD80A6A}"/>
    <w:embedBold r:id="rId2" w:fontKey="{A607449C-2171-4D34-9155-933F291977CC}"/>
    <w:embedItalic r:id="rId3" w:fontKey="{5FB16652-8356-42AC-98A2-6153CE4971E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yriad Pro Light">
    <w:altName w:val="Corbel"/>
    <w:charset w:val="00"/>
    <w:family w:val="auto"/>
    <w:pitch w:val="default"/>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embedRegular r:id="rId4" w:subsetted="1" w:fontKey="{97918779-DA3C-4770-9BD9-F3FC6B9EBB32}"/>
  </w:font>
  <w:font w:name="Calibri">
    <w:panose1 w:val="020F0502020204030204"/>
    <w:charset w:val="00"/>
    <w:family w:val="swiss"/>
    <w:pitch w:val="variable"/>
    <w:sig w:usb0="E0002AFF" w:usb1="C000247B" w:usb2="00000009" w:usb3="00000000" w:csb0="000001FF" w:csb1="00000000"/>
    <w:embedRegular r:id="rId5" w:subsetted="1" w:fontKey="{31EA42F3-1AC5-4E9F-8AD4-786CAB06B372}"/>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2C62" w14:textId="77777777" w:rsidR="007314AE" w:rsidRDefault="007314AE">
    <w:pPr>
      <w:framePr w:wrap="around" w:vAnchor="text" w:hAnchor="margin" w:xAlign="right" w:y="1"/>
      <w:rPr>
        <w:rStyle w:val="PageNumber"/>
      </w:rPr>
    </w:pPr>
    <w:r>
      <w:rPr>
        <w:rStyle w:val="PageNumber"/>
      </w:rPr>
      <w:t xml:space="preserve">PAGE  </w:t>
    </w:r>
    <w:r>
      <w:rPr>
        <w:rStyle w:val="PageNumber"/>
        <w:noProof/>
      </w:rPr>
      <w:t>2</w:t>
    </w:r>
  </w:p>
  <w:p w14:paraId="583063DF" w14:textId="77777777" w:rsidR="007314AE" w:rsidRDefault="007314AE">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77095" w14:textId="77777777" w:rsidR="007314AE" w:rsidRDefault="007314AE">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37AF5" w14:textId="77777777" w:rsidR="007314AE" w:rsidRDefault="00731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370CB03" w14:textId="77777777" w:rsidR="007314AE" w:rsidRDefault="007314AE">
    <w:pPr>
      <w:pStyle w:val="Footer"/>
      <w:ind w:right="360"/>
    </w:pPr>
  </w:p>
  <w:p w14:paraId="49293344" w14:textId="77777777" w:rsidR="007314AE" w:rsidRDefault="007314A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C957" w14:textId="073D3BDE" w:rsidR="007314AE" w:rsidRDefault="00731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39C8">
      <w:rPr>
        <w:rStyle w:val="PageNumber"/>
        <w:noProof/>
      </w:rPr>
      <w:t>14</w:t>
    </w:r>
    <w:r>
      <w:rPr>
        <w:rStyle w:val="PageNumber"/>
      </w:rPr>
      <w:fldChar w:fldCharType="end"/>
    </w:r>
  </w:p>
  <w:p w14:paraId="15F6E1B4" w14:textId="77777777" w:rsidR="007314AE" w:rsidRDefault="007314AE">
    <w:pPr>
      <w:pStyle w:val="Footer"/>
      <w:ind w:right="360"/>
    </w:pPr>
  </w:p>
  <w:p w14:paraId="3B3D7ABA" w14:textId="77777777" w:rsidR="007314AE" w:rsidRDefault="007314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05C7B" w14:textId="77777777" w:rsidR="00C62D0D" w:rsidRDefault="00C62D0D">
      <w:r>
        <w:separator/>
      </w:r>
    </w:p>
    <w:p w14:paraId="5A18902E" w14:textId="77777777" w:rsidR="00C62D0D" w:rsidRDefault="00C62D0D"/>
  </w:footnote>
  <w:footnote w:type="continuationSeparator" w:id="0">
    <w:p w14:paraId="3314B21E" w14:textId="77777777" w:rsidR="00C62D0D" w:rsidRDefault="00C62D0D">
      <w:r>
        <w:continuationSeparator/>
      </w:r>
    </w:p>
    <w:p w14:paraId="3C01F840" w14:textId="77777777" w:rsidR="00C62D0D" w:rsidRDefault="00C62D0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8D1A5" w14:textId="77777777" w:rsidR="007314AE" w:rsidRDefault="007314A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4D60F1"/>
    <w:multiLevelType w:val="hybridMultilevel"/>
    <w:tmpl w:val="70E22B2C"/>
    <w:lvl w:ilvl="0" w:tplc="B66CEA80">
      <w:start w:val="1"/>
      <w:numFmt w:val="lowerLetter"/>
      <w:lvlText w:val="(%1)"/>
      <w:lvlJc w:val="left"/>
      <w:pPr>
        <w:ind w:left="547" w:hanging="36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1"/>
  </w:num>
  <w:num w:numId="8">
    <w:abstractNumId w:val="1"/>
    <w:lvlOverride w:ilvl="0">
      <w:startOverride w:val="1"/>
    </w:lvlOverride>
  </w:num>
  <w:num w:numId="9">
    <w:abstractNumId w:val="4"/>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41D"/>
    <w:rsid w:val="00000E5A"/>
    <w:rsid w:val="000017E0"/>
    <w:rsid w:val="000074FC"/>
    <w:rsid w:val="00007A74"/>
    <w:rsid w:val="000124B2"/>
    <w:rsid w:val="000201D0"/>
    <w:rsid w:val="00022754"/>
    <w:rsid w:val="00022FD0"/>
    <w:rsid w:val="000233A3"/>
    <w:rsid w:val="0003046A"/>
    <w:rsid w:val="00031CB9"/>
    <w:rsid w:val="00035EC9"/>
    <w:rsid w:val="00045949"/>
    <w:rsid w:val="00046572"/>
    <w:rsid w:val="00060047"/>
    <w:rsid w:val="00075202"/>
    <w:rsid w:val="000A382F"/>
    <w:rsid w:val="000A65BB"/>
    <w:rsid w:val="000A7F9A"/>
    <w:rsid w:val="000B4F9D"/>
    <w:rsid w:val="000B6CC7"/>
    <w:rsid w:val="000D2D84"/>
    <w:rsid w:val="000D4904"/>
    <w:rsid w:val="000D545E"/>
    <w:rsid w:val="000E691C"/>
    <w:rsid w:val="000E6DBC"/>
    <w:rsid w:val="000E75E3"/>
    <w:rsid w:val="00101D1F"/>
    <w:rsid w:val="001033C6"/>
    <w:rsid w:val="00113C26"/>
    <w:rsid w:val="00130566"/>
    <w:rsid w:val="00132CBC"/>
    <w:rsid w:val="001379DD"/>
    <w:rsid w:val="00141659"/>
    <w:rsid w:val="001435C6"/>
    <w:rsid w:val="00145F45"/>
    <w:rsid w:val="0015109A"/>
    <w:rsid w:val="00157E12"/>
    <w:rsid w:val="00162A61"/>
    <w:rsid w:val="0017705C"/>
    <w:rsid w:val="00181473"/>
    <w:rsid w:val="001843A2"/>
    <w:rsid w:val="00190944"/>
    <w:rsid w:val="00195091"/>
    <w:rsid w:val="001950F9"/>
    <w:rsid w:val="001B0B01"/>
    <w:rsid w:val="001C7FA1"/>
    <w:rsid w:val="001E3E61"/>
    <w:rsid w:val="001E477C"/>
    <w:rsid w:val="001E6AB1"/>
    <w:rsid w:val="002031A2"/>
    <w:rsid w:val="00205BC4"/>
    <w:rsid w:val="00215701"/>
    <w:rsid w:val="002207DB"/>
    <w:rsid w:val="002222DA"/>
    <w:rsid w:val="0022302F"/>
    <w:rsid w:val="00227A58"/>
    <w:rsid w:val="0024409A"/>
    <w:rsid w:val="00244A5F"/>
    <w:rsid w:val="00260D6F"/>
    <w:rsid w:val="002644CA"/>
    <w:rsid w:val="00265812"/>
    <w:rsid w:val="002729FB"/>
    <w:rsid w:val="002803C4"/>
    <w:rsid w:val="0028782E"/>
    <w:rsid w:val="00291B55"/>
    <w:rsid w:val="002A033B"/>
    <w:rsid w:val="002A15A6"/>
    <w:rsid w:val="002A7098"/>
    <w:rsid w:val="002A7D96"/>
    <w:rsid w:val="002B4C94"/>
    <w:rsid w:val="002B6353"/>
    <w:rsid w:val="002C3431"/>
    <w:rsid w:val="002C5BFD"/>
    <w:rsid w:val="002F761E"/>
    <w:rsid w:val="003107F3"/>
    <w:rsid w:val="00310911"/>
    <w:rsid w:val="003310A9"/>
    <w:rsid w:val="00346D79"/>
    <w:rsid w:val="0035002E"/>
    <w:rsid w:val="003502D7"/>
    <w:rsid w:val="003547B0"/>
    <w:rsid w:val="0036458D"/>
    <w:rsid w:val="003679A1"/>
    <w:rsid w:val="003755F5"/>
    <w:rsid w:val="00375603"/>
    <w:rsid w:val="00375A72"/>
    <w:rsid w:val="003914A4"/>
    <w:rsid w:val="00393CED"/>
    <w:rsid w:val="00397E0A"/>
    <w:rsid w:val="003A0F5F"/>
    <w:rsid w:val="003B23C2"/>
    <w:rsid w:val="003B441D"/>
    <w:rsid w:val="003B4AF3"/>
    <w:rsid w:val="003E2A53"/>
    <w:rsid w:val="003E4947"/>
    <w:rsid w:val="003E5207"/>
    <w:rsid w:val="003F1161"/>
    <w:rsid w:val="004016DD"/>
    <w:rsid w:val="0041079D"/>
    <w:rsid w:val="00412535"/>
    <w:rsid w:val="00420210"/>
    <w:rsid w:val="00422950"/>
    <w:rsid w:val="00423E9B"/>
    <w:rsid w:val="004242E2"/>
    <w:rsid w:val="00427112"/>
    <w:rsid w:val="00435BD6"/>
    <w:rsid w:val="00437C4F"/>
    <w:rsid w:val="00440851"/>
    <w:rsid w:val="004564CF"/>
    <w:rsid w:val="004653AC"/>
    <w:rsid w:val="00466E34"/>
    <w:rsid w:val="00472AE2"/>
    <w:rsid w:val="00474FAA"/>
    <w:rsid w:val="00476044"/>
    <w:rsid w:val="00477C94"/>
    <w:rsid w:val="004834C6"/>
    <w:rsid w:val="00487D03"/>
    <w:rsid w:val="0049609B"/>
    <w:rsid w:val="00496B72"/>
    <w:rsid w:val="0049789A"/>
    <w:rsid w:val="004A1DD8"/>
    <w:rsid w:val="004A742B"/>
    <w:rsid w:val="004A7BEC"/>
    <w:rsid w:val="004B0D89"/>
    <w:rsid w:val="004B0EBE"/>
    <w:rsid w:val="004B1240"/>
    <w:rsid w:val="004B3DCC"/>
    <w:rsid w:val="004C64DA"/>
    <w:rsid w:val="004D5F3A"/>
    <w:rsid w:val="004E2484"/>
    <w:rsid w:val="004E2633"/>
    <w:rsid w:val="004E4BA1"/>
    <w:rsid w:val="004F0A20"/>
    <w:rsid w:val="0050654A"/>
    <w:rsid w:val="00511299"/>
    <w:rsid w:val="00513318"/>
    <w:rsid w:val="005137DB"/>
    <w:rsid w:val="00517330"/>
    <w:rsid w:val="005173A3"/>
    <w:rsid w:val="00522456"/>
    <w:rsid w:val="005327A4"/>
    <w:rsid w:val="00537A6B"/>
    <w:rsid w:val="005433C7"/>
    <w:rsid w:val="00551789"/>
    <w:rsid w:val="00552A07"/>
    <w:rsid w:val="005570E4"/>
    <w:rsid w:val="005611E9"/>
    <w:rsid w:val="005626BD"/>
    <w:rsid w:val="00567FE0"/>
    <w:rsid w:val="0057165A"/>
    <w:rsid w:val="005721AA"/>
    <w:rsid w:val="005754B8"/>
    <w:rsid w:val="00575965"/>
    <w:rsid w:val="00582217"/>
    <w:rsid w:val="00582419"/>
    <w:rsid w:val="00584F2C"/>
    <w:rsid w:val="0059195D"/>
    <w:rsid w:val="00591A57"/>
    <w:rsid w:val="00591AC2"/>
    <w:rsid w:val="00594E19"/>
    <w:rsid w:val="0059535F"/>
    <w:rsid w:val="005A3E8A"/>
    <w:rsid w:val="005B57D6"/>
    <w:rsid w:val="005C172A"/>
    <w:rsid w:val="005C6C44"/>
    <w:rsid w:val="005D0C10"/>
    <w:rsid w:val="005D2065"/>
    <w:rsid w:val="005D7D87"/>
    <w:rsid w:val="005E458C"/>
    <w:rsid w:val="005E4A11"/>
    <w:rsid w:val="005E6434"/>
    <w:rsid w:val="005E71E3"/>
    <w:rsid w:val="005F5C5C"/>
    <w:rsid w:val="005F7CFB"/>
    <w:rsid w:val="0060094B"/>
    <w:rsid w:val="0060409B"/>
    <w:rsid w:val="00604E00"/>
    <w:rsid w:val="00604F23"/>
    <w:rsid w:val="00604F80"/>
    <w:rsid w:val="00610F0E"/>
    <w:rsid w:val="00611DF7"/>
    <w:rsid w:val="00614F2E"/>
    <w:rsid w:val="00616D68"/>
    <w:rsid w:val="00625B42"/>
    <w:rsid w:val="00631B3F"/>
    <w:rsid w:val="00631E32"/>
    <w:rsid w:val="0063566F"/>
    <w:rsid w:val="00641EC8"/>
    <w:rsid w:val="00650640"/>
    <w:rsid w:val="00651965"/>
    <w:rsid w:val="006532A9"/>
    <w:rsid w:val="00660572"/>
    <w:rsid w:val="0066338D"/>
    <w:rsid w:val="00665E20"/>
    <w:rsid w:val="00672B5D"/>
    <w:rsid w:val="00682CC6"/>
    <w:rsid w:val="006845C8"/>
    <w:rsid w:val="00687AC7"/>
    <w:rsid w:val="00691A92"/>
    <w:rsid w:val="006A3746"/>
    <w:rsid w:val="006B1728"/>
    <w:rsid w:val="006B2581"/>
    <w:rsid w:val="006B6FFD"/>
    <w:rsid w:val="006C3166"/>
    <w:rsid w:val="006D3576"/>
    <w:rsid w:val="006D7CCF"/>
    <w:rsid w:val="006E303C"/>
    <w:rsid w:val="006F268D"/>
    <w:rsid w:val="007005E1"/>
    <w:rsid w:val="007009DA"/>
    <w:rsid w:val="00700BE0"/>
    <w:rsid w:val="0070119D"/>
    <w:rsid w:val="00701619"/>
    <w:rsid w:val="00705238"/>
    <w:rsid w:val="0071182A"/>
    <w:rsid w:val="007130C0"/>
    <w:rsid w:val="0071675C"/>
    <w:rsid w:val="007179F0"/>
    <w:rsid w:val="00725A59"/>
    <w:rsid w:val="00725E67"/>
    <w:rsid w:val="007314AE"/>
    <w:rsid w:val="007331FF"/>
    <w:rsid w:val="007353A2"/>
    <w:rsid w:val="007629D3"/>
    <w:rsid w:val="00763E32"/>
    <w:rsid w:val="0077280A"/>
    <w:rsid w:val="007739C8"/>
    <w:rsid w:val="00773E0D"/>
    <w:rsid w:val="00774DE2"/>
    <w:rsid w:val="0079072D"/>
    <w:rsid w:val="00792385"/>
    <w:rsid w:val="007A11E6"/>
    <w:rsid w:val="007C0659"/>
    <w:rsid w:val="007C1383"/>
    <w:rsid w:val="007C31DF"/>
    <w:rsid w:val="007D4405"/>
    <w:rsid w:val="007E0ADE"/>
    <w:rsid w:val="007E19EA"/>
    <w:rsid w:val="007E319E"/>
    <w:rsid w:val="007F6792"/>
    <w:rsid w:val="00803489"/>
    <w:rsid w:val="008161E2"/>
    <w:rsid w:val="00822005"/>
    <w:rsid w:val="00825BA8"/>
    <w:rsid w:val="00826E45"/>
    <w:rsid w:val="008340A4"/>
    <w:rsid w:val="008348A2"/>
    <w:rsid w:val="00835CBD"/>
    <w:rsid w:val="00840053"/>
    <w:rsid w:val="00840384"/>
    <w:rsid w:val="008432CE"/>
    <w:rsid w:val="00865479"/>
    <w:rsid w:val="008655C0"/>
    <w:rsid w:val="00865773"/>
    <w:rsid w:val="008701E0"/>
    <w:rsid w:val="00876B56"/>
    <w:rsid w:val="00896330"/>
    <w:rsid w:val="008A4400"/>
    <w:rsid w:val="008B04E4"/>
    <w:rsid w:val="008B1538"/>
    <w:rsid w:val="008C494E"/>
    <w:rsid w:val="008C7701"/>
    <w:rsid w:val="008D2DFE"/>
    <w:rsid w:val="008D3D15"/>
    <w:rsid w:val="008D567C"/>
    <w:rsid w:val="008D5F40"/>
    <w:rsid w:val="008F1E8A"/>
    <w:rsid w:val="0092037A"/>
    <w:rsid w:val="00923D32"/>
    <w:rsid w:val="009246AD"/>
    <w:rsid w:val="00927CDC"/>
    <w:rsid w:val="00930A69"/>
    <w:rsid w:val="009370DA"/>
    <w:rsid w:val="00942500"/>
    <w:rsid w:val="00952B1F"/>
    <w:rsid w:val="00957C0B"/>
    <w:rsid w:val="00965F50"/>
    <w:rsid w:val="00966A14"/>
    <w:rsid w:val="00967927"/>
    <w:rsid w:val="00975F9C"/>
    <w:rsid w:val="00977FBF"/>
    <w:rsid w:val="00980721"/>
    <w:rsid w:val="00982D23"/>
    <w:rsid w:val="00984F9E"/>
    <w:rsid w:val="009968AF"/>
    <w:rsid w:val="009B0DA6"/>
    <w:rsid w:val="009B2BE3"/>
    <w:rsid w:val="009B377A"/>
    <w:rsid w:val="009B4D63"/>
    <w:rsid w:val="009B5BC7"/>
    <w:rsid w:val="009D38FC"/>
    <w:rsid w:val="009D4CCC"/>
    <w:rsid w:val="009F2CCC"/>
    <w:rsid w:val="009F2E61"/>
    <w:rsid w:val="009F375F"/>
    <w:rsid w:val="00A02D62"/>
    <w:rsid w:val="00A06329"/>
    <w:rsid w:val="00A15411"/>
    <w:rsid w:val="00A1701C"/>
    <w:rsid w:val="00A269C9"/>
    <w:rsid w:val="00A33BBE"/>
    <w:rsid w:val="00A419EF"/>
    <w:rsid w:val="00A444E1"/>
    <w:rsid w:val="00A460B5"/>
    <w:rsid w:val="00A46C91"/>
    <w:rsid w:val="00A473F3"/>
    <w:rsid w:val="00A57E90"/>
    <w:rsid w:val="00A63757"/>
    <w:rsid w:val="00A640B8"/>
    <w:rsid w:val="00A66999"/>
    <w:rsid w:val="00A66EDD"/>
    <w:rsid w:val="00A71C00"/>
    <w:rsid w:val="00A747AE"/>
    <w:rsid w:val="00A76EF0"/>
    <w:rsid w:val="00A801A2"/>
    <w:rsid w:val="00A80473"/>
    <w:rsid w:val="00A819FC"/>
    <w:rsid w:val="00A9031B"/>
    <w:rsid w:val="00AB6A10"/>
    <w:rsid w:val="00AC020E"/>
    <w:rsid w:val="00AC1839"/>
    <w:rsid w:val="00AC5179"/>
    <w:rsid w:val="00AC5F97"/>
    <w:rsid w:val="00AC6438"/>
    <w:rsid w:val="00AD57E3"/>
    <w:rsid w:val="00AD6599"/>
    <w:rsid w:val="00AE3B24"/>
    <w:rsid w:val="00AE4B97"/>
    <w:rsid w:val="00AF2AD1"/>
    <w:rsid w:val="00AF6187"/>
    <w:rsid w:val="00B10BC6"/>
    <w:rsid w:val="00B170B9"/>
    <w:rsid w:val="00B2619C"/>
    <w:rsid w:val="00B3321B"/>
    <w:rsid w:val="00B347C7"/>
    <w:rsid w:val="00B379FE"/>
    <w:rsid w:val="00B419DF"/>
    <w:rsid w:val="00B42C29"/>
    <w:rsid w:val="00B5291B"/>
    <w:rsid w:val="00B53142"/>
    <w:rsid w:val="00B563D9"/>
    <w:rsid w:val="00B631C3"/>
    <w:rsid w:val="00B63339"/>
    <w:rsid w:val="00B71491"/>
    <w:rsid w:val="00B7618D"/>
    <w:rsid w:val="00B80297"/>
    <w:rsid w:val="00B81AD9"/>
    <w:rsid w:val="00B835C1"/>
    <w:rsid w:val="00B875D7"/>
    <w:rsid w:val="00B92FAC"/>
    <w:rsid w:val="00B951ED"/>
    <w:rsid w:val="00B97259"/>
    <w:rsid w:val="00B97B80"/>
    <w:rsid w:val="00BA6622"/>
    <w:rsid w:val="00BB1134"/>
    <w:rsid w:val="00BB451D"/>
    <w:rsid w:val="00BB59B5"/>
    <w:rsid w:val="00BC3E2A"/>
    <w:rsid w:val="00BD0668"/>
    <w:rsid w:val="00BD144A"/>
    <w:rsid w:val="00BD2D38"/>
    <w:rsid w:val="00BD5122"/>
    <w:rsid w:val="00BD61F1"/>
    <w:rsid w:val="00BE10EB"/>
    <w:rsid w:val="00BE533F"/>
    <w:rsid w:val="00BE6947"/>
    <w:rsid w:val="00BF2C02"/>
    <w:rsid w:val="00C03D49"/>
    <w:rsid w:val="00C06CFC"/>
    <w:rsid w:val="00C16496"/>
    <w:rsid w:val="00C16965"/>
    <w:rsid w:val="00C21CCA"/>
    <w:rsid w:val="00C30403"/>
    <w:rsid w:val="00C40EDE"/>
    <w:rsid w:val="00C44681"/>
    <w:rsid w:val="00C45E7B"/>
    <w:rsid w:val="00C47F7D"/>
    <w:rsid w:val="00C53F30"/>
    <w:rsid w:val="00C62D0D"/>
    <w:rsid w:val="00C66944"/>
    <w:rsid w:val="00C72D78"/>
    <w:rsid w:val="00C74286"/>
    <w:rsid w:val="00C76F01"/>
    <w:rsid w:val="00C77856"/>
    <w:rsid w:val="00C87EC0"/>
    <w:rsid w:val="00C9140C"/>
    <w:rsid w:val="00CA0DD8"/>
    <w:rsid w:val="00CA15CA"/>
    <w:rsid w:val="00CB55EA"/>
    <w:rsid w:val="00CC24B4"/>
    <w:rsid w:val="00CD4635"/>
    <w:rsid w:val="00CD6E01"/>
    <w:rsid w:val="00CE1C3F"/>
    <w:rsid w:val="00CE3368"/>
    <w:rsid w:val="00CF62F9"/>
    <w:rsid w:val="00D015C9"/>
    <w:rsid w:val="00D120D8"/>
    <w:rsid w:val="00D217B0"/>
    <w:rsid w:val="00D53582"/>
    <w:rsid w:val="00D61DBF"/>
    <w:rsid w:val="00D66756"/>
    <w:rsid w:val="00D7282F"/>
    <w:rsid w:val="00D86677"/>
    <w:rsid w:val="00D928D2"/>
    <w:rsid w:val="00D951F5"/>
    <w:rsid w:val="00DA2042"/>
    <w:rsid w:val="00DA68D6"/>
    <w:rsid w:val="00DB16D3"/>
    <w:rsid w:val="00DB3F21"/>
    <w:rsid w:val="00DB403A"/>
    <w:rsid w:val="00DB6481"/>
    <w:rsid w:val="00DC0C41"/>
    <w:rsid w:val="00DD1EEC"/>
    <w:rsid w:val="00DD29EF"/>
    <w:rsid w:val="00DD5FFC"/>
    <w:rsid w:val="00DE78D2"/>
    <w:rsid w:val="00DF1F84"/>
    <w:rsid w:val="00DF59F4"/>
    <w:rsid w:val="00E01506"/>
    <w:rsid w:val="00E074F2"/>
    <w:rsid w:val="00E230EC"/>
    <w:rsid w:val="00E2340D"/>
    <w:rsid w:val="00E3104D"/>
    <w:rsid w:val="00E32A18"/>
    <w:rsid w:val="00E34CBE"/>
    <w:rsid w:val="00E40832"/>
    <w:rsid w:val="00E46BD3"/>
    <w:rsid w:val="00E573E4"/>
    <w:rsid w:val="00E65825"/>
    <w:rsid w:val="00E6673C"/>
    <w:rsid w:val="00E75388"/>
    <w:rsid w:val="00E84CB9"/>
    <w:rsid w:val="00E85EBE"/>
    <w:rsid w:val="00E93C3B"/>
    <w:rsid w:val="00E96302"/>
    <w:rsid w:val="00EA0D6A"/>
    <w:rsid w:val="00EA6EFF"/>
    <w:rsid w:val="00EB53CC"/>
    <w:rsid w:val="00EC1F3A"/>
    <w:rsid w:val="00EC6595"/>
    <w:rsid w:val="00ED285A"/>
    <w:rsid w:val="00EE44EF"/>
    <w:rsid w:val="00EF06A4"/>
    <w:rsid w:val="00EF7B3C"/>
    <w:rsid w:val="00F0280F"/>
    <w:rsid w:val="00F03213"/>
    <w:rsid w:val="00F04720"/>
    <w:rsid w:val="00F05662"/>
    <w:rsid w:val="00F068AF"/>
    <w:rsid w:val="00F103D7"/>
    <w:rsid w:val="00F1397C"/>
    <w:rsid w:val="00F271B3"/>
    <w:rsid w:val="00F339C8"/>
    <w:rsid w:val="00F36651"/>
    <w:rsid w:val="00F4090A"/>
    <w:rsid w:val="00F55986"/>
    <w:rsid w:val="00F62932"/>
    <w:rsid w:val="00F64EBB"/>
    <w:rsid w:val="00F73100"/>
    <w:rsid w:val="00F81F7C"/>
    <w:rsid w:val="00F833F7"/>
    <w:rsid w:val="00F8537A"/>
    <w:rsid w:val="00F960B1"/>
    <w:rsid w:val="00F9673F"/>
    <w:rsid w:val="00F97782"/>
    <w:rsid w:val="00FA093F"/>
    <w:rsid w:val="00FB514F"/>
    <w:rsid w:val="00FB596E"/>
    <w:rsid w:val="00FC4EEE"/>
    <w:rsid w:val="00FD5A8A"/>
    <w:rsid w:val="00FE1AC2"/>
    <w:rsid w:val="00FE2588"/>
    <w:rsid w:val="00FE3051"/>
    <w:rsid w:val="00FE43C1"/>
    <w:rsid w:val="00FF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2D590B"/>
  <w15:docId w15:val="{FBBC7EB5-FA1F-4FF2-9EF0-128051E2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9DF"/>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rsid w:val="00B419D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419DF"/>
  </w:style>
  <w:style w:type="character" w:styleId="FollowedHyperlink">
    <w:name w:val="FollowedHyperlink"/>
    <w:rsid w:val="00B419DF"/>
    <w:rPr>
      <w:color w:val="800080"/>
      <w:u w:val="single"/>
    </w:rPr>
  </w:style>
  <w:style w:type="paragraph" w:styleId="BodyText">
    <w:name w:val="Body Text"/>
    <w:basedOn w:val="Normal"/>
    <w:rsid w:val="00B419DF"/>
    <w:pPr>
      <w:jc w:val="center"/>
    </w:pPr>
    <w:rPr>
      <w:b/>
      <w:sz w:val="40"/>
    </w:rPr>
  </w:style>
  <w:style w:type="paragraph" w:styleId="FootnoteText">
    <w:name w:val="footnote text"/>
    <w:basedOn w:val="Normal"/>
    <w:next w:val="TFReferencesSection"/>
    <w:semiHidden/>
    <w:rsid w:val="00B419DF"/>
  </w:style>
  <w:style w:type="paragraph" w:customStyle="1" w:styleId="TFReferencesSection">
    <w:name w:val="TF_References_Section"/>
    <w:basedOn w:val="Normal"/>
    <w:rsid w:val="00B419DF"/>
    <w:pPr>
      <w:spacing w:line="480" w:lineRule="auto"/>
      <w:ind w:firstLine="187"/>
    </w:pPr>
  </w:style>
  <w:style w:type="paragraph" w:customStyle="1" w:styleId="TAMainText">
    <w:name w:val="TA_Main_Text"/>
    <w:basedOn w:val="Normal"/>
    <w:rsid w:val="00B419DF"/>
    <w:pPr>
      <w:spacing w:after="0" w:line="480" w:lineRule="auto"/>
      <w:ind w:firstLine="202"/>
    </w:pPr>
  </w:style>
  <w:style w:type="paragraph" w:customStyle="1" w:styleId="BATitle">
    <w:name w:val="BA_Title"/>
    <w:basedOn w:val="Normal"/>
    <w:next w:val="BBAuthorName"/>
    <w:rsid w:val="00B419DF"/>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B419DF"/>
    <w:pPr>
      <w:spacing w:after="240" w:line="480" w:lineRule="auto"/>
      <w:jc w:val="center"/>
    </w:pPr>
    <w:rPr>
      <w:i/>
    </w:rPr>
  </w:style>
  <w:style w:type="paragraph" w:customStyle="1" w:styleId="BCAuthorAddress">
    <w:name w:val="BC_Author_Address"/>
    <w:basedOn w:val="Normal"/>
    <w:next w:val="BIEmailAddress"/>
    <w:rsid w:val="00B419DF"/>
    <w:pPr>
      <w:spacing w:after="240" w:line="480" w:lineRule="auto"/>
      <w:jc w:val="center"/>
    </w:pPr>
  </w:style>
  <w:style w:type="paragraph" w:customStyle="1" w:styleId="BIEmailAddress">
    <w:name w:val="BI_Email_Address"/>
    <w:basedOn w:val="Normal"/>
    <w:next w:val="AIReceivedDate"/>
    <w:rsid w:val="00B419DF"/>
    <w:pPr>
      <w:spacing w:line="480" w:lineRule="auto"/>
    </w:pPr>
  </w:style>
  <w:style w:type="paragraph" w:customStyle="1" w:styleId="AIReceivedDate">
    <w:name w:val="AI_Received_Date"/>
    <w:basedOn w:val="Normal"/>
    <w:next w:val="BDAbstract"/>
    <w:rsid w:val="00B419DF"/>
    <w:pPr>
      <w:spacing w:after="240" w:line="480" w:lineRule="auto"/>
    </w:pPr>
    <w:rPr>
      <w:b/>
    </w:rPr>
  </w:style>
  <w:style w:type="paragraph" w:customStyle="1" w:styleId="BDAbstract">
    <w:name w:val="BD_Abstract"/>
    <w:basedOn w:val="Normal"/>
    <w:next w:val="TAMainText"/>
    <w:link w:val="BDAbstractChar"/>
    <w:rsid w:val="00B419DF"/>
    <w:pPr>
      <w:spacing w:before="360" w:after="360" w:line="480" w:lineRule="auto"/>
    </w:p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rsid w:val="00B419DF"/>
    <w:pPr>
      <w:spacing w:line="480" w:lineRule="auto"/>
    </w:pPr>
  </w:style>
  <w:style w:type="paragraph" w:customStyle="1" w:styleId="VDTableTitle">
    <w:name w:val="VD_Table_Title"/>
    <w:basedOn w:val="Normal"/>
    <w:next w:val="Normal"/>
    <w:rsid w:val="00B419DF"/>
    <w:pPr>
      <w:spacing w:line="480" w:lineRule="auto"/>
    </w:pPr>
  </w:style>
  <w:style w:type="paragraph" w:customStyle="1" w:styleId="VAFigureCaption">
    <w:name w:val="VA_Figure_Caption"/>
    <w:basedOn w:val="Normal"/>
    <w:next w:val="Normal"/>
    <w:rsid w:val="00B419DF"/>
    <w:pPr>
      <w:spacing w:line="480" w:lineRule="auto"/>
    </w:pPr>
  </w:style>
  <w:style w:type="paragraph" w:customStyle="1" w:styleId="VBChartTitle">
    <w:name w:val="VB_Chart_Title"/>
    <w:basedOn w:val="Normal"/>
    <w:next w:val="Normal"/>
    <w:rsid w:val="00B419DF"/>
    <w:pPr>
      <w:spacing w:line="480" w:lineRule="auto"/>
    </w:pPr>
  </w:style>
  <w:style w:type="paragraph" w:customStyle="1" w:styleId="FETableFootnote">
    <w:name w:val="FE_Table_Footnote"/>
    <w:basedOn w:val="Normal"/>
    <w:next w:val="Normal"/>
    <w:rsid w:val="00B419DF"/>
    <w:pPr>
      <w:ind w:firstLine="187"/>
    </w:pPr>
  </w:style>
  <w:style w:type="paragraph" w:customStyle="1" w:styleId="FCChartFootnote">
    <w:name w:val="FC_Chart_Footnote"/>
    <w:basedOn w:val="Normal"/>
    <w:next w:val="Normal"/>
    <w:rsid w:val="00B419DF"/>
    <w:pPr>
      <w:ind w:firstLine="187"/>
    </w:pPr>
  </w:style>
  <w:style w:type="paragraph" w:customStyle="1" w:styleId="FDSchemeFootnote">
    <w:name w:val="FD_Scheme_Footnote"/>
    <w:basedOn w:val="Normal"/>
    <w:next w:val="Normal"/>
    <w:rsid w:val="00B419DF"/>
    <w:pPr>
      <w:ind w:firstLine="187"/>
    </w:pPr>
  </w:style>
  <w:style w:type="paragraph" w:customStyle="1" w:styleId="TCTableBody">
    <w:name w:val="TC_Table_Body"/>
    <w:basedOn w:val="Normal"/>
    <w:link w:val="TCTableBodyChar"/>
    <w:rsid w:val="00B419DF"/>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rsid w:val="00B419DF"/>
    <w:pPr>
      <w:spacing w:line="480" w:lineRule="auto"/>
    </w:p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rsid w:val="00B419DF"/>
    <w:pPr>
      <w:spacing w:line="480" w:lineRule="auto"/>
    </w:pPr>
  </w:style>
  <w:style w:type="character" w:styleId="Hyperlink">
    <w:name w:val="Hyperlink"/>
    <w:rsid w:val="00B419DF"/>
    <w:rPr>
      <w:color w:val="0000FF"/>
      <w:u w:val="single"/>
    </w:rPr>
  </w:style>
  <w:style w:type="paragraph" w:styleId="Footer">
    <w:name w:val="footer"/>
    <w:basedOn w:val="Normal"/>
    <w:rsid w:val="00B419DF"/>
    <w:pPr>
      <w:tabs>
        <w:tab w:val="center" w:pos="4320"/>
        <w:tab w:val="right" w:pos="8640"/>
      </w:tabs>
    </w:pPr>
  </w:style>
  <w:style w:type="paragraph" w:customStyle="1" w:styleId="BGKeywords">
    <w:name w:val="BG_Keywords"/>
    <w:basedOn w:val="Normal"/>
    <w:rsid w:val="00B419DF"/>
    <w:pPr>
      <w:spacing w:line="480" w:lineRule="auto"/>
    </w:pPr>
  </w:style>
  <w:style w:type="paragraph" w:customStyle="1" w:styleId="BHBriefs">
    <w:name w:val="BH_Briefs"/>
    <w:basedOn w:val="Normal"/>
    <w:rsid w:val="00B419DF"/>
    <w:pPr>
      <w:spacing w:line="480" w:lineRule="auto"/>
    </w:pPr>
  </w:style>
  <w:style w:type="character" w:styleId="PageNumber">
    <w:name w:val="page number"/>
    <w:basedOn w:val="DefaultParagraphFont"/>
    <w:rsid w:val="00B419DF"/>
  </w:style>
  <w:style w:type="paragraph" w:styleId="BalloonText">
    <w:name w:val="Balloon Text"/>
    <w:basedOn w:val="Normal"/>
    <w:semiHidden/>
    <w:rsid w:val="00B419DF"/>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Times" w:hAnsi="Times"/>
      <w:sz w:val="24"/>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Times" w:hAnsi="Times"/>
      <w:sz w:val="24"/>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basedOn w:val="DefaultParagraphFont"/>
    <w:semiHidden/>
    <w:unhideWhenUsed/>
    <w:rsid w:val="003B441D"/>
    <w:rPr>
      <w:sz w:val="16"/>
      <w:szCs w:val="16"/>
    </w:rPr>
  </w:style>
  <w:style w:type="paragraph" w:styleId="CommentText">
    <w:name w:val="annotation text"/>
    <w:basedOn w:val="Normal"/>
    <w:link w:val="CommentTextChar"/>
    <w:semiHidden/>
    <w:unhideWhenUsed/>
    <w:rsid w:val="003B441D"/>
    <w:rPr>
      <w:sz w:val="20"/>
    </w:rPr>
  </w:style>
  <w:style w:type="character" w:customStyle="1" w:styleId="CommentTextChar">
    <w:name w:val="Comment Text Char"/>
    <w:basedOn w:val="DefaultParagraphFont"/>
    <w:link w:val="CommentText"/>
    <w:semiHidden/>
    <w:rsid w:val="003B441D"/>
    <w:rPr>
      <w:rFonts w:ascii="Times" w:hAnsi="Times"/>
    </w:rPr>
  </w:style>
  <w:style w:type="paragraph" w:styleId="CommentSubject">
    <w:name w:val="annotation subject"/>
    <w:basedOn w:val="CommentText"/>
    <w:next w:val="CommentText"/>
    <w:link w:val="CommentSubjectChar"/>
    <w:semiHidden/>
    <w:unhideWhenUsed/>
    <w:rsid w:val="003B441D"/>
    <w:rPr>
      <w:b/>
      <w:bCs/>
    </w:rPr>
  </w:style>
  <w:style w:type="character" w:customStyle="1" w:styleId="CommentSubjectChar">
    <w:name w:val="Comment Subject Char"/>
    <w:basedOn w:val="CommentTextChar"/>
    <w:link w:val="CommentSubject"/>
    <w:semiHidden/>
    <w:rsid w:val="003B441D"/>
    <w:rPr>
      <w:rFonts w:ascii="Times" w:hAnsi="Times"/>
      <w:b/>
      <w:bCs/>
    </w:rPr>
  </w:style>
  <w:style w:type="table" w:styleId="TableGrid">
    <w:name w:val="Table Grid"/>
    <w:basedOn w:val="TableNormal"/>
    <w:rsid w:val="0051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C0C4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A1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Acknowledgments">
    <w:name w:val="TD_Acknowledgments"/>
    <w:basedOn w:val="Normal"/>
    <w:next w:val="Normal"/>
    <w:rsid w:val="00B419DF"/>
    <w:pPr>
      <w:spacing w:before="200" w:line="480" w:lineRule="auto"/>
      <w:ind w:firstLine="202"/>
    </w:pPr>
  </w:style>
  <w:style w:type="paragraph" w:customStyle="1" w:styleId="TESupportingInformation">
    <w:name w:val="TE_Supporting_Information"/>
    <w:basedOn w:val="Normal"/>
    <w:next w:val="Normal"/>
    <w:rsid w:val="00B419DF"/>
    <w:pPr>
      <w:spacing w:line="480" w:lineRule="auto"/>
      <w:ind w:firstLine="187"/>
    </w:pPr>
  </w:style>
  <w:style w:type="paragraph" w:customStyle="1" w:styleId="AFTitleRunningHead">
    <w:name w:val="AF_Title_Running_Head"/>
    <w:basedOn w:val="Normal"/>
    <w:next w:val="TAMainText"/>
    <w:rsid w:val="00B419DF"/>
    <w:pPr>
      <w:spacing w:line="480" w:lineRule="auto"/>
    </w:pPr>
  </w:style>
  <w:style w:type="paragraph" w:customStyle="1" w:styleId="FACorrespondingAuthorFootnote">
    <w:name w:val="FA_Corresponding_Author_Footnote"/>
    <w:basedOn w:val="Normal"/>
    <w:next w:val="TAMainText"/>
    <w:rsid w:val="00B419DF"/>
    <w:pPr>
      <w:spacing w:line="480" w:lineRule="auto"/>
    </w:pPr>
  </w:style>
  <w:style w:type="paragraph" w:customStyle="1" w:styleId="StyleFACorrespondingAuthorFootnote7pt">
    <w:name w:val="Style FA_Corresponding_Author_Footnote + 7 pt"/>
    <w:basedOn w:val="Normal"/>
    <w:next w:val="BGKeywords"/>
    <w:link w:val="StyleFACorrespondingAuthorFootnote7ptChar"/>
    <w:autoRedefine/>
    <w:rsid w:val="00B419DF"/>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419DF"/>
    <w:rPr>
      <w:rFonts w:ascii="Arno Pro" w:hAnsi="Arno Pro"/>
      <w:kern w:val="20"/>
      <w:sz w:val="18"/>
    </w:rPr>
  </w:style>
  <w:style w:type="paragraph" w:customStyle="1" w:styleId="FAAuthorInfoSubtitle">
    <w:name w:val="FA_Author_Info_Subtitle"/>
    <w:basedOn w:val="Normal"/>
    <w:link w:val="FAAuthorInfoSubtitleChar"/>
    <w:autoRedefine/>
    <w:rsid w:val="00B419DF"/>
    <w:pPr>
      <w:spacing w:before="120" w:after="60" w:line="480" w:lineRule="auto"/>
      <w:jc w:val="left"/>
    </w:pPr>
    <w:rPr>
      <w:b/>
    </w:rPr>
  </w:style>
  <w:style w:type="character" w:customStyle="1" w:styleId="FAAuthorInfoSubtitleChar">
    <w:name w:val="FA_Author_Info_Subtitle Char"/>
    <w:link w:val="FAAuthorInfoSubtitle"/>
    <w:rsid w:val="00B419DF"/>
    <w:rPr>
      <w:rFonts w:ascii="Times" w:hAnsi="Times"/>
      <w:b/>
      <w:sz w:val="24"/>
    </w:rPr>
  </w:style>
  <w:style w:type="paragraph" w:customStyle="1" w:styleId="Default">
    <w:name w:val="Default"/>
    <w:rsid w:val="00B419DF"/>
    <w:pPr>
      <w:autoSpaceDE w:val="0"/>
      <w:autoSpaceDN w:val="0"/>
      <w:adjustRightInd w:val="0"/>
    </w:pPr>
    <w:rPr>
      <w:rFonts w:ascii="Symbol" w:hAnsi="Symbol" w:cs="Symbol"/>
      <w:color w:val="000000"/>
      <w:sz w:val="24"/>
      <w:szCs w:val="24"/>
    </w:rPr>
  </w:style>
  <w:style w:type="paragraph" w:customStyle="1" w:styleId="m-8188868391694171297gmail-msonormal">
    <w:name w:val="m_-8188868391694171297gmail-msonormal"/>
    <w:basedOn w:val="Normal"/>
    <w:rsid w:val="008432CE"/>
    <w:pPr>
      <w:spacing w:before="100" w:beforeAutospacing="1" w:after="100" w:afterAutospacing="1"/>
      <w:jc w:val="left"/>
    </w:pPr>
    <w:rPr>
      <w:rFonts w:ascii="Times New Roman" w:hAnsi="Times New Roman"/>
      <w:szCs w:val="24"/>
      <w:lang w:val="en-GB" w:eastAsia="en-GB"/>
    </w:rPr>
  </w:style>
  <w:style w:type="paragraph" w:customStyle="1" w:styleId="m-4113616497755815130gmail-msonormal">
    <w:name w:val="m_-4113616497755815130gmail-msonormal"/>
    <w:basedOn w:val="Normal"/>
    <w:rsid w:val="00A419EF"/>
    <w:pPr>
      <w:spacing w:before="100" w:beforeAutospacing="1" w:after="100" w:afterAutospacing="1"/>
      <w:jc w:val="left"/>
    </w:pPr>
    <w:rPr>
      <w:rFonts w:ascii="Times New Roman" w:hAnsi="Times New Roman"/>
      <w:szCs w:val="24"/>
      <w:lang w:val="en-GB" w:eastAsia="en-GB"/>
    </w:rPr>
  </w:style>
  <w:style w:type="character" w:customStyle="1" w:styleId="m-4113616497755815130gmail-msocommentreference">
    <w:name w:val="m_-4113616497755815130gmail-msocommentreference"/>
    <w:basedOn w:val="DefaultParagraphFont"/>
    <w:rsid w:val="00A419EF"/>
  </w:style>
  <w:style w:type="paragraph" w:customStyle="1" w:styleId="m-4113616497755815130gmail-msocommenttext">
    <w:name w:val="m_-4113616497755815130gmail-msocommenttext"/>
    <w:basedOn w:val="Normal"/>
    <w:rsid w:val="00A419EF"/>
    <w:pPr>
      <w:spacing w:before="100" w:beforeAutospacing="1" w:after="100" w:afterAutospacing="1"/>
      <w:jc w:val="left"/>
    </w:pPr>
    <w:rPr>
      <w:rFonts w:ascii="Times New Roman" w:hAnsi="Times New Roman"/>
      <w:szCs w:val="24"/>
      <w:lang w:val="en-GB" w:eastAsia="en-GB"/>
    </w:rPr>
  </w:style>
  <w:style w:type="paragraph" w:styleId="Revision">
    <w:name w:val="Revision"/>
    <w:hidden/>
    <w:uiPriority w:val="99"/>
    <w:semiHidden/>
    <w:rsid w:val="00A419EF"/>
    <w:rPr>
      <w:rFonts w:ascii="Times" w:hAnsi="Times"/>
      <w:sz w:val="24"/>
    </w:rPr>
  </w:style>
  <w:style w:type="character" w:customStyle="1" w:styleId="authorsname">
    <w:name w:val="authors__name"/>
    <w:basedOn w:val="DefaultParagraphFont"/>
    <w:rsid w:val="00A419EF"/>
  </w:style>
  <w:style w:type="paragraph" w:styleId="NormalWeb">
    <w:name w:val="Normal (Web)"/>
    <w:basedOn w:val="Normal"/>
    <w:uiPriority w:val="99"/>
    <w:unhideWhenUsed/>
    <w:rsid w:val="00A419EF"/>
    <w:pPr>
      <w:spacing w:before="100" w:beforeAutospacing="1" w:after="100" w:afterAutospacing="1"/>
      <w:jc w:val="left"/>
    </w:pPr>
    <w:rPr>
      <w:rFonts w:ascii="Times New Roman" w:hAnsi="Times New Roman"/>
      <w:szCs w:val="24"/>
      <w:lang w:val="en-GB" w:eastAsia="en-GB"/>
    </w:rPr>
  </w:style>
  <w:style w:type="character" w:customStyle="1" w:styleId="journaltitle">
    <w:name w:val="journaltitle"/>
    <w:basedOn w:val="DefaultParagraphFont"/>
    <w:rsid w:val="00A419EF"/>
  </w:style>
  <w:style w:type="paragraph" w:customStyle="1" w:styleId="icon--meta-keyline-before">
    <w:name w:val="icon--meta-keyline-before"/>
    <w:basedOn w:val="Normal"/>
    <w:rsid w:val="00A419EF"/>
    <w:pPr>
      <w:spacing w:before="100" w:beforeAutospacing="1" w:after="100" w:afterAutospacing="1"/>
      <w:jc w:val="left"/>
    </w:pPr>
    <w:rPr>
      <w:rFonts w:ascii="Times New Roman" w:hAnsi="Times New Roman"/>
      <w:szCs w:val="24"/>
      <w:lang w:val="en-GB" w:eastAsia="en-GB"/>
    </w:rPr>
  </w:style>
  <w:style w:type="character" w:customStyle="1" w:styleId="articlecitationyear">
    <w:name w:val="articlecitation_year"/>
    <w:basedOn w:val="DefaultParagraphFont"/>
    <w:rsid w:val="00A419EF"/>
  </w:style>
  <w:style w:type="character" w:customStyle="1" w:styleId="articlecitationvolume">
    <w:name w:val="articlecitation_volume"/>
    <w:basedOn w:val="DefaultParagraphFont"/>
    <w:rsid w:val="00A419EF"/>
  </w:style>
  <w:style w:type="character" w:customStyle="1" w:styleId="articlecitationpages">
    <w:name w:val="articlecitation_pages"/>
    <w:basedOn w:val="DefaultParagraphFont"/>
    <w:rsid w:val="00A4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48070">
      <w:bodyDiv w:val="1"/>
      <w:marLeft w:val="0"/>
      <w:marRight w:val="0"/>
      <w:marTop w:val="0"/>
      <w:marBottom w:val="0"/>
      <w:divBdr>
        <w:top w:val="none" w:sz="0" w:space="0" w:color="auto"/>
        <w:left w:val="none" w:sz="0" w:space="0" w:color="auto"/>
        <w:bottom w:val="none" w:sz="0" w:space="0" w:color="auto"/>
        <w:right w:val="none" w:sz="0" w:space="0" w:color="auto"/>
      </w:divBdr>
    </w:div>
    <w:div w:id="554044109">
      <w:bodyDiv w:val="1"/>
      <w:marLeft w:val="0"/>
      <w:marRight w:val="0"/>
      <w:marTop w:val="0"/>
      <w:marBottom w:val="0"/>
      <w:divBdr>
        <w:top w:val="none" w:sz="0" w:space="0" w:color="auto"/>
        <w:left w:val="none" w:sz="0" w:space="0" w:color="auto"/>
        <w:bottom w:val="none" w:sz="0" w:space="0" w:color="auto"/>
        <w:right w:val="none" w:sz="0" w:space="0" w:color="auto"/>
      </w:divBdr>
    </w:div>
    <w:div w:id="1016276213">
      <w:bodyDiv w:val="1"/>
      <w:marLeft w:val="0"/>
      <w:marRight w:val="0"/>
      <w:marTop w:val="0"/>
      <w:marBottom w:val="0"/>
      <w:divBdr>
        <w:top w:val="none" w:sz="0" w:space="0" w:color="auto"/>
        <w:left w:val="none" w:sz="0" w:space="0" w:color="auto"/>
        <w:bottom w:val="none" w:sz="0" w:space="0" w:color="auto"/>
        <w:right w:val="none" w:sz="0" w:space="0" w:color="auto"/>
      </w:divBdr>
    </w:div>
    <w:div w:id="1190215130">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70743109">
      <w:bodyDiv w:val="1"/>
      <w:marLeft w:val="0"/>
      <w:marRight w:val="0"/>
      <w:marTop w:val="0"/>
      <w:marBottom w:val="0"/>
      <w:divBdr>
        <w:top w:val="none" w:sz="0" w:space="0" w:color="auto"/>
        <w:left w:val="none" w:sz="0" w:space="0" w:color="auto"/>
        <w:bottom w:val="none" w:sz="0" w:space="0" w:color="auto"/>
        <w:right w:val="none" w:sz="0" w:space="0" w:color="auto"/>
      </w:divBdr>
      <w:divsChild>
        <w:div w:id="244530877">
          <w:marLeft w:val="0"/>
          <w:marRight w:val="0"/>
          <w:marTop w:val="0"/>
          <w:marBottom w:val="0"/>
          <w:divBdr>
            <w:top w:val="none" w:sz="0" w:space="0" w:color="auto"/>
            <w:left w:val="none" w:sz="0" w:space="0" w:color="auto"/>
            <w:bottom w:val="none" w:sz="0" w:space="0" w:color="auto"/>
            <w:right w:val="none" w:sz="0" w:space="0" w:color="auto"/>
          </w:divBdr>
          <w:divsChild>
            <w:div w:id="1947958471">
              <w:marLeft w:val="0"/>
              <w:marRight w:val="0"/>
              <w:marTop w:val="0"/>
              <w:marBottom w:val="0"/>
              <w:divBdr>
                <w:top w:val="none" w:sz="0" w:space="0" w:color="auto"/>
                <w:left w:val="none" w:sz="0" w:space="0" w:color="auto"/>
                <w:bottom w:val="none" w:sz="0" w:space="0" w:color="auto"/>
                <w:right w:val="none" w:sz="0" w:space="0" w:color="auto"/>
              </w:divBdr>
              <w:divsChild>
                <w:div w:id="1409813689">
                  <w:marLeft w:val="0"/>
                  <w:marRight w:val="0"/>
                  <w:marTop w:val="0"/>
                  <w:marBottom w:val="0"/>
                  <w:divBdr>
                    <w:top w:val="none" w:sz="0" w:space="0" w:color="auto"/>
                    <w:left w:val="none" w:sz="0" w:space="0" w:color="auto"/>
                    <w:bottom w:val="none" w:sz="0" w:space="0" w:color="auto"/>
                    <w:right w:val="none" w:sz="0" w:space="0" w:color="auto"/>
                  </w:divBdr>
                  <w:divsChild>
                    <w:div w:id="1285429372">
                      <w:marLeft w:val="0"/>
                      <w:marRight w:val="0"/>
                      <w:marTop w:val="0"/>
                      <w:marBottom w:val="0"/>
                      <w:divBdr>
                        <w:top w:val="none" w:sz="0" w:space="0" w:color="auto"/>
                        <w:left w:val="none" w:sz="0" w:space="0" w:color="auto"/>
                        <w:bottom w:val="none" w:sz="0" w:space="0" w:color="auto"/>
                        <w:right w:val="none" w:sz="0" w:space="0" w:color="auto"/>
                      </w:divBdr>
                    </w:div>
                  </w:divsChild>
                </w:div>
                <w:div w:id="684672161">
                  <w:marLeft w:val="0"/>
                  <w:marRight w:val="0"/>
                  <w:marTop w:val="0"/>
                  <w:marBottom w:val="0"/>
                  <w:divBdr>
                    <w:top w:val="none" w:sz="0" w:space="0" w:color="auto"/>
                    <w:left w:val="none" w:sz="0" w:space="0" w:color="auto"/>
                    <w:bottom w:val="none" w:sz="0" w:space="0" w:color="auto"/>
                    <w:right w:val="none" w:sz="0" w:space="0" w:color="auto"/>
                  </w:divBdr>
                  <w:divsChild>
                    <w:div w:id="8301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f104\AppData\Roaming\Microsoft\Template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BB0C8-018B-437D-A4BA-5E3E76A6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6</TotalTime>
  <Pages>14</Pages>
  <Words>3564</Words>
  <Characters>56778</Characters>
  <Application>Microsoft Office Word</Application>
  <DocSecurity>0</DocSecurity>
  <Lines>473</Lines>
  <Paragraphs>120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60222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Tabitha Petchey</dc:creator>
  <cp:lastModifiedBy>Thomas Farmer</cp:lastModifiedBy>
  <cp:revision>5</cp:revision>
  <cp:lastPrinted>2017-10-10T12:22:00Z</cp:lastPrinted>
  <dcterms:created xsi:type="dcterms:W3CDTF">2017-12-21T12:51:00Z</dcterms:created>
  <dcterms:modified xsi:type="dcterms:W3CDTF">2017-12-21T12:58:00Z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236303a5-39c3-35df-89da-42592f81dc1f</vt:lpwstr>
  </property>
  <property fmtid="{D5CDD505-2E9C-101B-9397-08002B2CF9AE}" pid="24" name="Mendeley Citation Style_1">
    <vt:lpwstr>http://www.zotero.org/styles/journal-of-the-american-chemical-society</vt:lpwstr>
  </property>
</Properties>
</file>