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645" w:rsidRPr="00F83645" w:rsidRDefault="00F83645" w:rsidP="00F83645">
      <w:pPr>
        <w:spacing w:after="0" w:line="240" w:lineRule="auto"/>
        <w:jc w:val="center"/>
        <w:rPr>
          <w:rFonts w:eastAsia="Calibri"/>
          <w:b/>
        </w:rPr>
      </w:pPr>
      <w:r w:rsidRPr="00F83645">
        <w:rPr>
          <w:rFonts w:eastAsia="Calibri"/>
          <w:b/>
        </w:rPr>
        <w:fldChar w:fldCharType="begin"/>
      </w:r>
      <w:r w:rsidRPr="00F83645">
        <w:rPr>
          <w:rFonts w:eastAsia="Calibri"/>
          <w:b/>
        </w:rPr>
        <w:instrText xml:space="preserve"> HYPERLINK "http://www.tandfonline.com/doi/full/10.1080/03069400.2017.1377025" </w:instrText>
      </w:r>
      <w:r w:rsidRPr="00F83645">
        <w:rPr>
          <w:rFonts w:eastAsia="Calibri"/>
          <w:b/>
        </w:rPr>
        <w:fldChar w:fldCharType="separate"/>
      </w:r>
      <w:r w:rsidRPr="00F83645">
        <w:rPr>
          <w:rFonts w:eastAsia="Calibri"/>
          <w:b/>
        </w:rPr>
        <w:t>Teaching terrorism: the impact of the Counter-Terrorism and Security Act 2015 on academic freedom</w:t>
      </w:r>
      <w:r w:rsidRPr="00F83645">
        <w:rPr>
          <w:rFonts w:eastAsia="Calibri"/>
          <w:b/>
        </w:rPr>
        <w:fldChar w:fldCharType="end"/>
      </w:r>
    </w:p>
    <w:p w:rsidR="00F83645" w:rsidRPr="00F83645" w:rsidRDefault="00F83645" w:rsidP="00F83645">
      <w:pPr>
        <w:spacing w:after="0" w:line="240" w:lineRule="auto"/>
        <w:jc w:val="center"/>
        <w:rPr>
          <w:rFonts w:eastAsia="Calibri"/>
          <w:b/>
        </w:rPr>
      </w:pPr>
    </w:p>
    <w:p w:rsidR="00F83645" w:rsidRDefault="00F83645" w:rsidP="00F83645">
      <w:pPr>
        <w:spacing w:after="0" w:line="240" w:lineRule="auto"/>
        <w:jc w:val="center"/>
        <w:rPr>
          <w:rFonts w:eastAsia="Calibri"/>
          <w:b/>
        </w:rPr>
      </w:pPr>
      <w:r w:rsidRPr="00F83645">
        <w:rPr>
          <w:rFonts w:eastAsia="Calibri"/>
          <w:b/>
        </w:rPr>
        <w:t>Dr Joanna Gilmore</w:t>
      </w:r>
    </w:p>
    <w:p w:rsidR="00F83645" w:rsidRPr="00F83645" w:rsidRDefault="00F83645" w:rsidP="00F83645">
      <w:pPr>
        <w:spacing w:after="0" w:line="240" w:lineRule="auto"/>
        <w:jc w:val="center"/>
        <w:rPr>
          <w:rFonts w:eastAsia="Calibri"/>
          <w:b/>
        </w:rPr>
      </w:pPr>
    </w:p>
    <w:p w:rsidR="00F83645" w:rsidRDefault="00F83645" w:rsidP="00F83645">
      <w:pPr>
        <w:spacing w:after="0" w:line="240" w:lineRule="auto"/>
        <w:jc w:val="center"/>
        <w:rPr>
          <w:rFonts w:eastAsia="Calibri"/>
          <w:b/>
        </w:rPr>
      </w:pPr>
      <w:r w:rsidRPr="00F83645">
        <w:rPr>
          <w:rFonts w:eastAsia="Calibri"/>
          <w:b/>
        </w:rPr>
        <w:t>York Law School, University of York</w:t>
      </w:r>
    </w:p>
    <w:p w:rsidR="00F83645" w:rsidRDefault="00F83645" w:rsidP="00F83645">
      <w:pPr>
        <w:spacing w:after="0" w:line="240" w:lineRule="auto"/>
        <w:jc w:val="center"/>
        <w:rPr>
          <w:rFonts w:eastAsia="Calibri"/>
          <w:b/>
        </w:rPr>
      </w:pPr>
    </w:p>
    <w:p w:rsidR="00F83645" w:rsidRDefault="00F83645" w:rsidP="00F83645">
      <w:pPr>
        <w:spacing w:after="0" w:line="240" w:lineRule="auto"/>
        <w:jc w:val="center"/>
        <w:rPr>
          <w:rFonts w:eastAsia="Calibri"/>
          <w:b/>
        </w:rPr>
      </w:pPr>
      <w:r>
        <w:rPr>
          <w:rFonts w:eastAsia="Calibri"/>
          <w:b/>
        </w:rPr>
        <w:t>Author accepted manuscript</w:t>
      </w:r>
    </w:p>
    <w:p w:rsidR="00F83645" w:rsidRPr="00F83645" w:rsidRDefault="00F83645" w:rsidP="00F83645">
      <w:pPr>
        <w:spacing w:after="0" w:line="240" w:lineRule="auto"/>
        <w:jc w:val="center"/>
        <w:rPr>
          <w:rFonts w:eastAsia="Calibri"/>
          <w:b/>
        </w:rPr>
      </w:pPr>
    </w:p>
    <w:p w:rsidR="00F83645" w:rsidRPr="00F83645" w:rsidRDefault="00F83645" w:rsidP="00F83645">
      <w:pPr>
        <w:spacing w:after="0" w:line="240" w:lineRule="auto"/>
        <w:jc w:val="center"/>
        <w:rPr>
          <w:rFonts w:eastAsia="Calibri"/>
          <w:b/>
        </w:rPr>
      </w:pPr>
      <w:r>
        <w:rPr>
          <w:rFonts w:eastAsia="Calibri"/>
          <w:b/>
        </w:rPr>
        <w:t>Final version published in:</w:t>
      </w:r>
      <w:r w:rsidR="00EC06D4">
        <w:rPr>
          <w:rFonts w:eastAsia="Calibri"/>
          <w:b/>
        </w:rPr>
        <w:t xml:space="preserve"> </w:t>
      </w:r>
      <w:hyperlink r:id="rId8" w:history="1">
        <w:r w:rsidRPr="00EC06D4">
          <w:rPr>
            <w:rFonts w:eastAsia="Calibri"/>
            <w:b/>
            <w:i/>
          </w:rPr>
          <w:t>The Law Teacher</w:t>
        </w:r>
        <w:r w:rsidRPr="00F83645">
          <w:rPr>
            <w:rFonts w:eastAsia="Calibri"/>
            <w:b/>
          </w:rPr>
          <w:t> </w:t>
        </w:r>
      </w:hyperlink>
      <w:r w:rsidR="00EC06D4">
        <w:rPr>
          <w:rFonts w:eastAsia="Calibri"/>
          <w:b/>
        </w:rPr>
        <w:t>2017 51(4)</w:t>
      </w:r>
    </w:p>
    <w:p w:rsidR="00F83645" w:rsidRDefault="00F83645" w:rsidP="00D51B1C">
      <w:pPr>
        <w:spacing w:after="0" w:line="240" w:lineRule="auto"/>
        <w:jc w:val="both"/>
        <w:rPr>
          <w:rFonts w:eastAsia="Calibri"/>
          <w:b/>
        </w:rPr>
      </w:pPr>
      <w:bookmarkStart w:id="0" w:name="_GoBack"/>
      <w:bookmarkEnd w:id="0"/>
    </w:p>
    <w:p w:rsidR="00372C7C" w:rsidRDefault="00372C7C" w:rsidP="00D51B1C">
      <w:pPr>
        <w:spacing w:after="0" w:line="240" w:lineRule="auto"/>
        <w:jc w:val="both"/>
        <w:rPr>
          <w:rFonts w:eastAsia="Calibri"/>
          <w:b/>
        </w:rPr>
      </w:pPr>
      <w:r>
        <w:rPr>
          <w:rFonts w:eastAsia="Calibri"/>
          <w:b/>
        </w:rPr>
        <w:t>Abstract:</w:t>
      </w:r>
    </w:p>
    <w:p w:rsidR="00372C7C" w:rsidRDefault="00372C7C" w:rsidP="00D51B1C">
      <w:pPr>
        <w:spacing w:after="0" w:line="240" w:lineRule="auto"/>
        <w:jc w:val="both"/>
        <w:rPr>
          <w:rFonts w:eastAsia="Calibri"/>
          <w:b/>
        </w:rPr>
      </w:pPr>
    </w:p>
    <w:p w:rsidR="00A130C7" w:rsidRPr="001D7E30" w:rsidRDefault="009E61D7" w:rsidP="001D7E30">
      <w:pPr>
        <w:spacing w:after="0" w:line="240" w:lineRule="auto"/>
        <w:ind w:left="851" w:right="851"/>
        <w:jc w:val="both"/>
        <w:rPr>
          <w:rFonts w:eastAsia="Calibri"/>
        </w:rPr>
      </w:pPr>
      <w:r w:rsidRPr="001D7E30">
        <w:rPr>
          <w:rFonts w:eastAsia="Calibri"/>
        </w:rPr>
        <w:t xml:space="preserve">On 21 September 2015, Section 26 of the Counter-Terrorism and Security Act 2015 </w:t>
      </w:r>
      <w:r w:rsidR="009F0699" w:rsidRPr="001D7E30">
        <w:rPr>
          <w:rFonts w:eastAsia="Calibri"/>
        </w:rPr>
        <w:t>(</w:t>
      </w:r>
      <w:r w:rsidR="005F69E1" w:rsidRPr="001D7E30">
        <w:rPr>
          <w:rFonts w:eastAsia="Calibri"/>
        </w:rPr>
        <w:t>CTSA 2015)</w:t>
      </w:r>
      <w:r w:rsidR="00D002B5" w:rsidRPr="001D7E30">
        <w:rPr>
          <w:rFonts w:eastAsia="Calibri"/>
        </w:rPr>
        <w:t xml:space="preserve"> </w:t>
      </w:r>
      <w:r w:rsidRPr="001D7E30">
        <w:rPr>
          <w:rFonts w:eastAsia="Calibri"/>
        </w:rPr>
        <w:t>came into force</w:t>
      </w:r>
      <w:r w:rsidR="004E7726">
        <w:rPr>
          <w:rFonts w:eastAsia="Calibri"/>
        </w:rPr>
        <w:t xml:space="preserve"> in England and Wales</w:t>
      </w:r>
      <w:r w:rsidRPr="001D7E30">
        <w:rPr>
          <w:rFonts w:eastAsia="Calibri"/>
        </w:rPr>
        <w:t xml:space="preserve">. The legislation imposes a duty on specified authorities, including colleges and universities, to have </w:t>
      </w:r>
      <w:r w:rsidR="00B86581" w:rsidRPr="001D7E30">
        <w:rPr>
          <w:rFonts w:eastAsia="Calibri"/>
        </w:rPr>
        <w:t>“</w:t>
      </w:r>
      <w:r w:rsidRPr="001D7E30">
        <w:rPr>
          <w:rFonts w:eastAsia="Calibri"/>
        </w:rPr>
        <w:t xml:space="preserve">due regard to the need to prevent people </w:t>
      </w:r>
      <w:r w:rsidR="00B86581" w:rsidRPr="001D7E30">
        <w:rPr>
          <w:rFonts w:eastAsia="Calibri"/>
        </w:rPr>
        <w:t>from being drawn into terrorism”</w:t>
      </w:r>
      <w:r w:rsidRPr="001D7E30">
        <w:rPr>
          <w:rFonts w:eastAsia="Calibri"/>
        </w:rPr>
        <w:t xml:space="preserve">. The provision is the latest in a series of measures introduced as part of the </w:t>
      </w:r>
      <w:r w:rsidR="004E7726">
        <w:rPr>
          <w:rFonts w:eastAsia="Calibri"/>
        </w:rPr>
        <w:t xml:space="preserve">UK </w:t>
      </w:r>
      <w:r w:rsidRPr="001D7E30">
        <w:rPr>
          <w:rFonts w:eastAsia="Calibri"/>
        </w:rPr>
        <w:t>Government’s overall counter-terrorism str</w:t>
      </w:r>
      <w:r w:rsidR="00B86581" w:rsidRPr="001D7E30">
        <w:rPr>
          <w:rFonts w:eastAsia="Calibri"/>
        </w:rPr>
        <w:t>ategy, CONTEST, which seeks to “</w:t>
      </w:r>
      <w:r w:rsidR="00D51B1C" w:rsidRPr="001D7E30">
        <w:rPr>
          <w:rFonts w:eastAsia="Calibri"/>
        </w:rPr>
        <w:t>stop</w:t>
      </w:r>
      <w:r w:rsidRPr="001D7E30">
        <w:rPr>
          <w:rFonts w:eastAsia="Calibri"/>
        </w:rPr>
        <w:t xml:space="preserve"> people becoming ter</w:t>
      </w:r>
      <w:r w:rsidR="00B86581" w:rsidRPr="001D7E30">
        <w:rPr>
          <w:rFonts w:eastAsia="Calibri"/>
        </w:rPr>
        <w:t>rorists or supporting terrorism”</w:t>
      </w:r>
      <w:r w:rsidRPr="001D7E30">
        <w:rPr>
          <w:rFonts w:eastAsia="Calibri"/>
        </w:rPr>
        <w:t>.</w:t>
      </w:r>
      <w:r w:rsidR="004A4F2F" w:rsidRPr="001D7E30">
        <w:rPr>
          <w:rFonts w:eastAsia="Calibri"/>
        </w:rPr>
        <w:t xml:space="preserve"> </w:t>
      </w:r>
      <w:r w:rsidRPr="001D7E30">
        <w:rPr>
          <w:rFonts w:eastAsia="Calibri"/>
        </w:rPr>
        <w:t xml:space="preserve">The Prevent </w:t>
      </w:r>
      <w:r w:rsidR="00C63D64" w:rsidRPr="001D7E30">
        <w:rPr>
          <w:rFonts w:eastAsia="Calibri"/>
        </w:rPr>
        <w:t>duty</w:t>
      </w:r>
      <w:r w:rsidRPr="001D7E30">
        <w:rPr>
          <w:rFonts w:eastAsia="Calibri"/>
        </w:rPr>
        <w:t xml:space="preserve"> has been met with significant opposition from within the Higher Education </w:t>
      </w:r>
      <w:r w:rsidR="00D92AE2" w:rsidRPr="001D7E30">
        <w:rPr>
          <w:rFonts w:eastAsia="Calibri"/>
        </w:rPr>
        <w:t xml:space="preserve">(HE) </w:t>
      </w:r>
      <w:r w:rsidRPr="001D7E30">
        <w:rPr>
          <w:rFonts w:eastAsia="Calibri"/>
        </w:rPr>
        <w:t>sector.  At its 2015 Congress, the lecturers’ trade union, the University and College Union (UCU), passed a motion which condemned the Prevent duty as posing a serious threat to academic freedom. UCU has raised concerns that the Government’s broad definition</w:t>
      </w:r>
      <w:r w:rsidR="00FE75E3" w:rsidRPr="001D7E30">
        <w:rPr>
          <w:rFonts w:eastAsia="Calibri"/>
        </w:rPr>
        <w:t>s</w:t>
      </w:r>
      <w:r w:rsidRPr="001D7E30">
        <w:rPr>
          <w:rFonts w:eastAsia="Calibri"/>
        </w:rPr>
        <w:t xml:space="preserve"> of ‘terrorism’ and ‘extremism’ will have the effect of stifling campus activism and freedom of speech. Concerns have also been raised by the National Union of Students </w:t>
      </w:r>
      <w:r w:rsidR="00B86581" w:rsidRPr="001D7E30">
        <w:rPr>
          <w:rFonts w:eastAsia="Calibri"/>
        </w:rPr>
        <w:t xml:space="preserve">(NUS) </w:t>
      </w:r>
      <w:r w:rsidRPr="001D7E30">
        <w:rPr>
          <w:rFonts w:eastAsia="Calibri"/>
        </w:rPr>
        <w:t xml:space="preserve">that in focusing disproportionately on Islamic-inspired ‘terrorism’ and ‘extremism’, the Prevent duty is inherently discriminatory towards Muslim students, and will sever the relationship of trust and confidence between staff and students, legitimise Islamophobia and lead to the normalisation of racist views. </w:t>
      </w:r>
      <w:r w:rsidR="00A130C7" w:rsidRPr="001D7E30">
        <w:rPr>
          <w:rFonts w:eastAsia="Calibri"/>
        </w:rPr>
        <w:t xml:space="preserve">This </w:t>
      </w:r>
      <w:r w:rsidR="00372C7C" w:rsidRPr="001D7E30">
        <w:rPr>
          <w:rFonts w:eastAsia="Calibri"/>
        </w:rPr>
        <w:t>article</w:t>
      </w:r>
      <w:r w:rsidR="00A130C7" w:rsidRPr="001D7E30">
        <w:rPr>
          <w:rFonts w:eastAsia="Calibri"/>
        </w:rPr>
        <w:t xml:space="preserve"> will consider the extent to which the Prevent duty undermines academic freedom in UK Higher Education. Drawing on </w:t>
      </w:r>
      <w:r w:rsidRPr="001D7E30">
        <w:rPr>
          <w:rFonts w:eastAsia="Calibri"/>
        </w:rPr>
        <w:t xml:space="preserve">the author’s </w:t>
      </w:r>
      <w:r w:rsidR="00A130C7" w:rsidRPr="001D7E30">
        <w:rPr>
          <w:rFonts w:eastAsia="Calibri"/>
        </w:rPr>
        <w:t xml:space="preserve">own experience </w:t>
      </w:r>
      <w:r w:rsidR="00372C7C" w:rsidRPr="001D7E30">
        <w:rPr>
          <w:rFonts w:eastAsia="Calibri"/>
        </w:rPr>
        <w:t>teaching counter terrorism law</w:t>
      </w:r>
      <w:r w:rsidR="00E138D0" w:rsidRPr="001D7E30">
        <w:rPr>
          <w:rFonts w:eastAsia="Calibri"/>
        </w:rPr>
        <w:t xml:space="preserve">, the </w:t>
      </w:r>
      <w:r w:rsidR="00372C7C" w:rsidRPr="001D7E30">
        <w:rPr>
          <w:rFonts w:eastAsia="Calibri"/>
        </w:rPr>
        <w:t>article</w:t>
      </w:r>
      <w:r w:rsidR="00E138D0" w:rsidRPr="001D7E30">
        <w:rPr>
          <w:rFonts w:eastAsia="Calibri"/>
        </w:rPr>
        <w:t xml:space="preserve"> </w:t>
      </w:r>
      <w:r w:rsidR="00A130C7" w:rsidRPr="001D7E30">
        <w:rPr>
          <w:rFonts w:eastAsia="Calibri"/>
        </w:rPr>
        <w:t xml:space="preserve">will </w:t>
      </w:r>
      <w:r w:rsidR="00E138D0" w:rsidRPr="001D7E30">
        <w:rPr>
          <w:rFonts w:eastAsia="Calibri"/>
        </w:rPr>
        <w:t>discuss the</w:t>
      </w:r>
      <w:r w:rsidR="00A130C7" w:rsidRPr="001D7E30">
        <w:rPr>
          <w:rFonts w:eastAsia="Calibri"/>
        </w:rPr>
        <w:t xml:space="preserve"> implications of the duty for HE teaching practice.</w:t>
      </w:r>
    </w:p>
    <w:p w:rsidR="00372C7C" w:rsidRDefault="00372C7C" w:rsidP="00D51B1C">
      <w:pPr>
        <w:spacing w:after="0" w:line="240" w:lineRule="auto"/>
        <w:jc w:val="both"/>
        <w:rPr>
          <w:rFonts w:eastAsia="Calibri"/>
        </w:rPr>
      </w:pPr>
    </w:p>
    <w:p w:rsidR="00372C7C" w:rsidRPr="00372C7C" w:rsidRDefault="00372C7C" w:rsidP="00D51B1C">
      <w:pPr>
        <w:spacing w:after="0" w:line="240" w:lineRule="auto"/>
        <w:jc w:val="both"/>
        <w:rPr>
          <w:rFonts w:eastAsia="Calibri"/>
          <w:b/>
        </w:rPr>
      </w:pPr>
      <w:r w:rsidRPr="00372C7C">
        <w:rPr>
          <w:rFonts w:eastAsia="Calibri"/>
          <w:b/>
        </w:rPr>
        <w:t>Keywords</w:t>
      </w:r>
      <w:r>
        <w:rPr>
          <w:rFonts w:eastAsia="Calibri"/>
          <w:b/>
        </w:rPr>
        <w:t>: Counter-Terrorism, Prevent, Counter Terrorism and Security Act 2015, Academic Freedom</w:t>
      </w:r>
    </w:p>
    <w:p w:rsidR="00641127" w:rsidRPr="00D51B1C" w:rsidRDefault="00641127" w:rsidP="00D51B1C">
      <w:pPr>
        <w:spacing w:after="0" w:line="240" w:lineRule="auto"/>
        <w:jc w:val="both"/>
      </w:pPr>
    </w:p>
    <w:p w:rsidR="00372C7C" w:rsidRDefault="00372C7C" w:rsidP="00D51B1C">
      <w:pPr>
        <w:spacing w:after="0" w:line="240" w:lineRule="auto"/>
        <w:jc w:val="both"/>
        <w:rPr>
          <w:b/>
        </w:rPr>
      </w:pPr>
      <w:r>
        <w:rPr>
          <w:b/>
        </w:rPr>
        <w:t>Introduction</w:t>
      </w:r>
    </w:p>
    <w:p w:rsidR="00372C7C" w:rsidRDefault="00372C7C" w:rsidP="00D51B1C">
      <w:pPr>
        <w:spacing w:after="0" w:line="240" w:lineRule="auto"/>
        <w:jc w:val="both"/>
        <w:rPr>
          <w:b/>
        </w:rPr>
      </w:pPr>
    </w:p>
    <w:p w:rsidR="00140AE5" w:rsidRPr="001D7E30" w:rsidRDefault="00140AE5" w:rsidP="00140AE5">
      <w:pPr>
        <w:spacing w:after="0" w:line="240" w:lineRule="auto"/>
        <w:jc w:val="both"/>
        <w:rPr>
          <w:rFonts w:eastAsia="Calibri"/>
        </w:rPr>
      </w:pPr>
      <w:r w:rsidRPr="001D7E30">
        <w:rPr>
          <w:rFonts w:eastAsia="Calibri"/>
        </w:rPr>
        <w:t>On 21 September 2015, Section 26 of the Counter-Terrorism and Security Act 2015 (CTSA 2015) came into force</w:t>
      </w:r>
      <w:r w:rsidR="004E7726">
        <w:rPr>
          <w:rFonts w:eastAsia="Calibri"/>
        </w:rPr>
        <w:t xml:space="preserve"> in England and Wales</w:t>
      </w:r>
      <w:r w:rsidRPr="001D7E30">
        <w:rPr>
          <w:rFonts w:eastAsia="Calibri"/>
        </w:rPr>
        <w:t>. The legislation imposes a duty on specified authorities, including colleges and universities, to have “due regard to the need to prevent people from being drawn into terrorism”.</w:t>
      </w:r>
      <w:r w:rsidRPr="001D7E30">
        <w:rPr>
          <w:rStyle w:val="FootnoteReference"/>
          <w:rFonts w:eastAsia="Calibri"/>
        </w:rPr>
        <w:footnoteReference w:id="1"/>
      </w:r>
      <w:r w:rsidRPr="001D7E30">
        <w:rPr>
          <w:rFonts w:eastAsia="Calibri"/>
        </w:rPr>
        <w:t xml:space="preserve"> The provision is the latest in a series of measures introduced as part of the </w:t>
      </w:r>
      <w:r w:rsidR="004E7726">
        <w:rPr>
          <w:rFonts w:eastAsia="Calibri"/>
        </w:rPr>
        <w:t xml:space="preserve">UK </w:t>
      </w:r>
      <w:r w:rsidRPr="001D7E30">
        <w:rPr>
          <w:rFonts w:eastAsia="Calibri"/>
        </w:rPr>
        <w:t>Government’s overall counter-terrorism strategy, CONTEST</w:t>
      </w:r>
      <w:r w:rsidRPr="001D7E30">
        <w:rPr>
          <w:rStyle w:val="FootnoteReference"/>
          <w:rFonts w:eastAsia="Calibri"/>
        </w:rPr>
        <w:footnoteReference w:id="2"/>
      </w:r>
      <w:r w:rsidRPr="001D7E30">
        <w:rPr>
          <w:rFonts w:eastAsia="Calibri"/>
        </w:rPr>
        <w:t>, which seeks to “stop people becoming terrorists or supporting terrorism”.</w:t>
      </w:r>
      <w:r w:rsidRPr="001D7E30">
        <w:rPr>
          <w:rStyle w:val="FootnoteReference"/>
          <w:rFonts w:eastAsia="Calibri"/>
        </w:rPr>
        <w:footnoteReference w:id="3"/>
      </w:r>
      <w:r w:rsidRPr="001D7E30">
        <w:rPr>
          <w:rFonts w:eastAsia="Calibri"/>
        </w:rPr>
        <w:t xml:space="preserve"> The Prevent duty has been met with significant opposition from within the Higher Education (HE) sector.  At its 2015 Congress, the lecturers’ trade union, the University and College Union (UCU), passed a motion which condemned the Prevent duty as posing a </w:t>
      </w:r>
      <w:r w:rsidRPr="001D7E30">
        <w:rPr>
          <w:rFonts w:eastAsia="Calibri"/>
        </w:rPr>
        <w:lastRenderedPageBreak/>
        <w:t>serious threat to academic freedom.</w:t>
      </w:r>
      <w:r w:rsidRPr="001D7E30">
        <w:rPr>
          <w:rStyle w:val="FootnoteReference"/>
          <w:rFonts w:eastAsia="Calibri"/>
        </w:rPr>
        <w:footnoteReference w:id="4"/>
      </w:r>
      <w:r w:rsidRPr="001D7E30">
        <w:rPr>
          <w:rFonts w:eastAsia="Calibri"/>
        </w:rPr>
        <w:t xml:space="preserve"> UCU has raised concerns that the Government’s broad definitions of ‘terrorism’ and ‘extremism’ will have the effect of stifling campus activism and freedom of speech.</w:t>
      </w:r>
      <w:r w:rsidRPr="001D7E30">
        <w:rPr>
          <w:rStyle w:val="FootnoteReference"/>
          <w:rFonts w:eastAsia="Calibri"/>
        </w:rPr>
        <w:footnoteReference w:id="5"/>
      </w:r>
      <w:r w:rsidRPr="001D7E30">
        <w:rPr>
          <w:rFonts w:eastAsia="Calibri"/>
        </w:rPr>
        <w:t xml:space="preserve"> Concerns have also been raised by UCU and the National Union of Students (NUS) that in focusing disproportionately on Islamic-inspired ‘terrorism’ and ‘extremism’, the Prevent duty is inherently discriminatory towards Muslim students, and will sever the relationship of trust and confidence between staff and students, legitimise Islamophobia and lead to the normalisation of racist views.</w:t>
      </w:r>
      <w:r w:rsidRPr="001D7E30">
        <w:rPr>
          <w:rStyle w:val="FootnoteReference"/>
          <w:rFonts w:eastAsia="Calibri"/>
        </w:rPr>
        <w:footnoteReference w:id="6"/>
      </w:r>
      <w:r w:rsidRPr="001D7E30">
        <w:rPr>
          <w:rFonts w:eastAsia="Calibri"/>
        </w:rPr>
        <w:t xml:space="preserve"> This article will consider the extent to which the Prevent duty undermines academic freedom in UK Higher Education. Drawing on the author’s own experience teaching counter terrorism law, the article will discuss the implications of the duty for HE teaching practice.</w:t>
      </w:r>
    </w:p>
    <w:p w:rsidR="00372C7C" w:rsidRDefault="00372C7C" w:rsidP="00140AE5">
      <w:pPr>
        <w:spacing w:after="0" w:line="240" w:lineRule="auto"/>
        <w:jc w:val="both"/>
        <w:rPr>
          <w:b/>
        </w:rPr>
      </w:pPr>
    </w:p>
    <w:p w:rsidR="00314773" w:rsidRDefault="00CB2287" w:rsidP="00140AE5">
      <w:pPr>
        <w:spacing w:after="0" w:line="240" w:lineRule="auto"/>
        <w:jc w:val="both"/>
        <w:rPr>
          <w:b/>
        </w:rPr>
      </w:pPr>
      <w:r w:rsidRPr="00D51B1C">
        <w:rPr>
          <w:b/>
        </w:rPr>
        <w:t xml:space="preserve">Academic </w:t>
      </w:r>
      <w:r w:rsidR="001D7E30">
        <w:rPr>
          <w:b/>
        </w:rPr>
        <w:t>f</w:t>
      </w:r>
      <w:r w:rsidR="00314773" w:rsidRPr="00D51B1C">
        <w:rPr>
          <w:b/>
        </w:rPr>
        <w:t>reedom</w:t>
      </w:r>
    </w:p>
    <w:p w:rsidR="00D51B1C" w:rsidRPr="00D51B1C" w:rsidRDefault="00D51B1C" w:rsidP="00140AE5">
      <w:pPr>
        <w:spacing w:after="0" w:line="240" w:lineRule="auto"/>
        <w:jc w:val="both"/>
        <w:rPr>
          <w:b/>
        </w:rPr>
      </w:pPr>
    </w:p>
    <w:p w:rsidR="00B127A4" w:rsidRPr="00D51B1C" w:rsidRDefault="00030AE3" w:rsidP="00140AE5">
      <w:pPr>
        <w:autoSpaceDE w:val="0"/>
        <w:autoSpaceDN w:val="0"/>
        <w:adjustRightInd w:val="0"/>
        <w:spacing w:after="0" w:line="240" w:lineRule="auto"/>
        <w:jc w:val="both"/>
        <w:rPr>
          <w:rFonts w:cs="AdvTimes"/>
        </w:rPr>
      </w:pPr>
      <w:r w:rsidRPr="00D51B1C">
        <w:rPr>
          <w:rFonts w:cs="FranklinGotMdITC-Heavy"/>
          <w:bCs/>
        </w:rPr>
        <w:t xml:space="preserve">One of the </w:t>
      </w:r>
      <w:r w:rsidR="008C769A" w:rsidRPr="00D51B1C">
        <w:rPr>
          <w:rFonts w:cs="FranklinGotMdITC-Heavy"/>
          <w:bCs/>
        </w:rPr>
        <w:t xml:space="preserve">key </w:t>
      </w:r>
      <w:r w:rsidRPr="00D51B1C">
        <w:rPr>
          <w:rFonts w:cs="FranklinGotMdITC-Heavy"/>
          <w:bCs/>
        </w:rPr>
        <w:t xml:space="preserve">purposes of </w:t>
      </w:r>
      <w:r w:rsidR="00D92AE2">
        <w:rPr>
          <w:rFonts w:cs="FranklinGotMdITC-Heavy"/>
          <w:bCs/>
        </w:rPr>
        <w:t>HE</w:t>
      </w:r>
      <w:r w:rsidR="00B127A4" w:rsidRPr="00D51B1C">
        <w:rPr>
          <w:rFonts w:cs="FranklinGotMdITC-Heavy"/>
          <w:bCs/>
        </w:rPr>
        <w:t xml:space="preserve"> </w:t>
      </w:r>
      <w:r w:rsidRPr="00D51B1C">
        <w:rPr>
          <w:rFonts w:cs="FranklinGotMdITC-Heavy"/>
          <w:bCs/>
        </w:rPr>
        <w:t xml:space="preserve">is to serve the public interest through </w:t>
      </w:r>
      <w:r w:rsidR="00D860B6" w:rsidRPr="00D51B1C">
        <w:rPr>
          <w:rFonts w:cs="FranklinGotMdITC-Heavy"/>
          <w:bCs/>
        </w:rPr>
        <w:t xml:space="preserve">the advancement of </w:t>
      </w:r>
      <w:r w:rsidR="0024799D">
        <w:rPr>
          <w:rFonts w:cs="FranklinGotMdITC-Heavy"/>
          <w:bCs/>
        </w:rPr>
        <w:t xml:space="preserve">knowledge </w:t>
      </w:r>
      <w:r w:rsidR="008C769A" w:rsidRPr="00D51B1C">
        <w:rPr>
          <w:rFonts w:cs="FranklinGotMdITC-Heavy"/>
          <w:bCs/>
        </w:rPr>
        <w:t>and understanding</w:t>
      </w:r>
      <w:r w:rsidRPr="00D51B1C">
        <w:rPr>
          <w:rFonts w:cs="FranklinGotMdITC-Heavy"/>
          <w:bCs/>
        </w:rPr>
        <w:t>.</w:t>
      </w:r>
      <w:bookmarkStart w:id="1" w:name="_Ref447897463"/>
      <w:r w:rsidR="00D860B6" w:rsidRPr="00D51B1C">
        <w:rPr>
          <w:rStyle w:val="FootnoteReference"/>
          <w:rFonts w:cs="FranklinGotMdITC-Heavy"/>
          <w:bCs/>
        </w:rPr>
        <w:footnoteReference w:id="7"/>
      </w:r>
      <w:bookmarkEnd w:id="1"/>
      <w:r w:rsidRPr="00D51B1C">
        <w:rPr>
          <w:rFonts w:cs="FranklinGotMdITC-Heavy"/>
          <w:bCs/>
        </w:rPr>
        <w:t xml:space="preserve"> </w:t>
      </w:r>
      <w:r w:rsidR="008C769A" w:rsidRPr="00D51B1C">
        <w:rPr>
          <w:rFonts w:cs="FranklinGotMdITC-Heavy"/>
          <w:bCs/>
        </w:rPr>
        <w:t xml:space="preserve">The 1997 Dearing Report into Higher Education stressed the importance of </w:t>
      </w:r>
      <w:r w:rsidR="00DF360C" w:rsidRPr="00D51B1C">
        <w:rPr>
          <w:rFonts w:cs="FranklinGotMdITC-Heavy"/>
          <w:bCs/>
        </w:rPr>
        <w:t>universities</w:t>
      </w:r>
      <w:r w:rsidR="008C769A" w:rsidRPr="00D51B1C">
        <w:rPr>
          <w:rFonts w:cs="FranklinGotMdITC-Heavy"/>
          <w:bCs/>
        </w:rPr>
        <w:t xml:space="preserve"> in </w:t>
      </w:r>
      <w:r w:rsidR="001005B2" w:rsidRPr="00D51B1C">
        <w:rPr>
          <w:rFonts w:cs="FranklinGotMdITC-Heavy"/>
          <w:bCs/>
        </w:rPr>
        <w:t>“</w:t>
      </w:r>
      <w:r w:rsidR="008C769A" w:rsidRPr="00D51B1C">
        <w:rPr>
          <w:rFonts w:cs="FranklinGotMdITC-Heavy"/>
          <w:bCs/>
        </w:rPr>
        <w:t>the development of our people, our society, and our economy</w:t>
      </w:r>
      <w:r w:rsidR="001005B2" w:rsidRPr="00D51B1C">
        <w:rPr>
          <w:rFonts w:cs="FranklinGotMdITC-Heavy"/>
          <w:bCs/>
        </w:rPr>
        <w:t>”</w:t>
      </w:r>
      <w:r w:rsidR="008C769A" w:rsidRPr="00D51B1C">
        <w:rPr>
          <w:rFonts w:cs="FranklinGotMdITC-Heavy"/>
          <w:bCs/>
        </w:rPr>
        <w:t>.</w:t>
      </w:r>
      <w:r w:rsidR="00852BEA">
        <w:rPr>
          <w:rStyle w:val="FootnoteReference"/>
          <w:rFonts w:cs="FranklinGotMdITC-Heavy"/>
          <w:bCs/>
        </w:rPr>
        <w:footnoteReference w:id="8"/>
      </w:r>
      <w:r w:rsidR="008C769A" w:rsidRPr="00D51B1C">
        <w:rPr>
          <w:rFonts w:cs="FranklinGotMdITC-Heavy"/>
          <w:bCs/>
        </w:rPr>
        <w:t xml:space="preserve"> </w:t>
      </w:r>
      <w:r w:rsidR="007954A0" w:rsidRPr="00D51B1C">
        <w:rPr>
          <w:rFonts w:cs="FranklinGotMdITC-Heavy"/>
          <w:bCs/>
        </w:rPr>
        <w:t xml:space="preserve">Central to the proper functioning of universities is the </w:t>
      </w:r>
      <w:r w:rsidR="00BF3784">
        <w:rPr>
          <w:rFonts w:cs="FranklinGotMdITC-Heavy"/>
          <w:bCs/>
        </w:rPr>
        <w:t>concept</w:t>
      </w:r>
      <w:r w:rsidR="007954A0" w:rsidRPr="00D51B1C">
        <w:rPr>
          <w:rFonts w:cs="FranklinGotMdITC-Heavy"/>
          <w:bCs/>
        </w:rPr>
        <w:t xml:space="preserve"> of ‘academic freedom’.</w:t>
      </w:r>
      <w:r w:rsidR="00997EDC" w:rsidRPr="00D51B1C">
        <w:rPr>
          <w:rFonts w:cs="FranklinGotMdITC-Heavy"/>
          <w:bCs/>
        </w:rPr>
        <w:t xml:space="preserve"> </w:t>
      </w:r>
      <w:r w:rsidR="00B127A4" w:rsidRPr="00D51B1C">
        <w:rPr>
          <w:rFonts w:cs="FranklinGotMdITC-Heavy"/>
          <w:bCs/>
        </w:rPr>
        <w:t xml:space="preserve">The university is traditionally considered an environment in which critical thinking in staff and students </w:t>
      </w:r>
      <w:r w:rsidR="00491274" w:rsidRPr="00D51B1C">
        <w:rPr>
          <w:rFonts w:cs="FranklinGotMdITC-Heavy"/>
          <w:bCs/>
        </w:rPr>
        <w:t>can be</w:t>
      </w:r>
      <w:r w:rsidR="00B127A4" w:rsidRPr="00D51B1C">
        <w:rPr>
          <w:rFonts w:cs="FranklinGotMdITC-Heavy"/>
          <w:bCs/>
        </w:rPr>
        <w:t xml:space="preserve"> fostered and nurtured, free from undue interference and restriction. </w:t>
      </w:r>
      <w:r w:rsidR="00BF1BDD" w:rsidRPr="00D51B1C">
        <w:rPr>
          <w:rFonts w:cs="FranklinGotMdITC-Heavy"/>
          <w:bCs/>
        </w:rPr>
        <w:t>A</w:t>
      </w:r>
      <w:r w:rsidR="00997EDC" w:rsidRPr="00D51B1C">
        <w:rPr>
          <w:rFonts w:cs="FranklinGotMdITC-Heavy"/>
          <w:bCs/>
        </w:rPr>
        <w:t xml:space="preserve">lthough </w:t>
      </w:r>
      <w:r w:rsidR="00890DFE" w:rsidRPr="00D51B1C">
        <w:rPr>
          <w:rFonts w:cs="FranklinGotMdITC-Heavy"/>
          <w:bCs/>
        </w:rPr>
        <w:t xml:space="preserve">it is often </w:t>
      </w:r>
      <w:r w:rsidR="001C2932">
        <w:rPr>
          <w:rFonts w:cs="FranklinGotMdITC-Heavy"/>
          <w:bCs/>
        </w:rPr>
        <w:t>regarded as</w:t>
      </w:r>
      <w:r w:rsidR="000B7605" w:rsidRPr="00D51B1C">
        <w:rPr>
          <w:rFonts w:cs="FranklinGotMdITC-Heavy"/>
          <w:bCs/>
        </w:rPr>
        <w:t xml:space="preserve"> a</w:t>
      </w:r>
      <w:r w:rsidR="00890DFE" w:rsidRPr="00D51B1C">
        <w:rPr>
          <w:rFonts w:cs="FranklinGotMdITC-Heavy"/>
          <w:bCs/>
        </w:rPr>
        <w:t xml:space="preserve"> </w:t>
      </w:r>
      <w:r w:rsidR="000B7605" w:rsidRPr="00D51B1C">
        <w:t xml:space="preserve">fundamental </w:t>
      </w:r>
      <w:r w:rsidR="0076054F" w:rsidRPr="00D51B1C">
        <w:t>principle</w:t>
      </w:r>
      <w:r w:rsidR="000B7605" w:rsidRPr="00D51B1C">
        <w:t xml:space="preserve"> of academic </w:t>
      </w:r>
      <w:r w:rsidR="0076054F" w:rsidRPr="00D51B1C">
        <w:t>practice</w:t>
      </w:r>
      <w:r w:rsidR="00890DFE" w:rsidRPr="00D51B1C">
        <w:rPr>
          <w:rFonts w:cs="FranklinGotMdITC-Heavy"/>
          <w:bCs/>
        </w:rPr>
        <w:t xml:space="preserve">, the </w:t>
      </w:r>
      <w:r w:rsidR="00F9474E">
        <w:rPr>
          <w:rFonts w:cs="FranklinGotMdITC-Heavy"/>
          <w:bCs/>
        </w:rPr>
        <w:t>term</w:t>
      </w:r>
      <w:r w:rsidR="00890DFE" w:rsidRPr="00D51B1C">
        <w:rPr>
          <w:rFonts w:cs="FranklinGotMdITC-Heavy"/>
          <w:bCs/>
        </w:rPr>
        <w:t xml:space="preserve"> ‘academic freedom’ is difficult to define. </w:t>
      </w:r>
      <w:r w:rsidR="000B7605" w:rsidRPr="00D51B1C">
        <w:rPr>
          <w:rFonts w:cs="FranklinGotMdITC-Heavy"/>
          <w:bCs/>
        </w:rPr>
        <w:t>There is no single agreed definition of the term</w:t>
      </w:r>
      <w:r w:rsidR="00820674" w:rsidRPr="00D51B1C">
        <w:rPr>
          <w:rFonts w:cs="FranklinGotMdITC-Heavy"/>
          <w:bCs/>
        </w:rPr>
        <w:t xml:space="preserve"> within the academic community</w:t>
      </w:r>
      <w:r w:rsidR="00820674" w:rsidRPr="00D51B1C">
        <w:rPr>
          <w:rStyle w:val="FootnoteReference"/>
          <w:rFonts w:cs="FranklinGotMdITC-Heavy"/>
          <w:bCs/>
        </w:rPr>
        <w:footnoteReference w:id="9"/>
      </w:r>
      <w:r w:rsidR="008C769A" w:rsidRPr="00D51B1C">
        <w:t xml:space="preserve"> and</w:t>
      </w:r>
      <w:r w:rsidR="0020009F" w:rsidRPr="00D51B1C">
        <w:t xml:space="preserve"> </w:t>
      </w:r>
      <w:r w:rsidR="008F0C7A" w:rsidRPr="00D51B1C">
        <w:t xml:space="preserve">there is </w:t>
      </w:r>
      <w:r w:rsidR="0020009F" w:rsidRPr="00D51B1C">
        <w:rPr>
          <w:rFonts w:cs="AdvTimes"/>
        </w:rPr>
        <w:t>significant variation in the protection of academic freedom between EU countries.</w:t>
      </w:r>
      <w:bookmarkStart w:id="2" w:name="_Ref447895681"/>
      <w:r w:rsidR="002C5BCA">
        <w:rPr>
          <w:rStyle w:val="FootnoteReference"/>
          <w:rFonts w:cs="AdvTimes"/>
        </w:rPr>
        <w:footnoteReference w:id="10"/>
      </w:r>
      <w:bookmarkEnd w:id="2"/>
      <w:r w:rsidR="0020009F" w:rsidRPr="00D51B1C">
        <w:rPr>
          <w:rFonts w:cs="AdvTimes"/>
        </w:rPr>
        <w:t xml:space="preserve"> </w:t>
      </w:r>
      <w:r w:rsidR="008C769A" w:rsidRPr="00D51B1C">
        <w:t xml:space="preserve"> </w:t>
      </w:r>
      <w:r w:rsidR="0020009F" w:rsidRPr="00D51B1C">
        <w:rPr>
          <w:rFonts w:cs="AdvTimes"/>
        </w:rPr>
        <w:t>Whilst Article 13 of the EU’s Charter of Fundamental Rights states that “[t]he arts and scientific research shall be free of constraint. Acad</w:t>
      </w:r>
      <w:r w:rsidR="00023803">
        <w:rPr>
          <w:rFonts w:cs="AdvTimes"/>
        </w:rPr>
        <w:t>emic freedom shall be respected”</w:t>
      </w:r>
      <w:r w:rsidR="00023803">
        <w:rPr>
          <w:rStyle w:val="FootnoteReference"/>
          <w:rFonts w:cs="AdvTimes"/>
        </w:rPr>
        <w:footnoteReference w:id="11"/>
      </w:r>
      <w:r w:rsidR="0020009F" w:rsidRPr="00D51B1C">
        <w:rPr>
          <w:rFonts w:cs="AdvTimes"/>
        </w:rPr>
        <w:t xml:space="preserve">, it omits to provide a clear definition of what constitutes academic freedom, nor any guidance on how it can be protected. </w:t>
      </w:r>
      <w:r w:rsidR="008C769A" w:rsidRPr="00D51B1C">
        <w:t>As Felt</w:t>
      </w:r>
      <w:r w:rsidR="00A93E11">
        <w:rPr>
          <w:rStyle w:val="FootnoteReference"/>
        </w:rPr>
        <w:footnoteReference w:id="12"/>
      </w:r>
      <w:r w:rsidR="008C769A" w:rsidRPr="00D51B1C">
        <w:t xml:space="preserve"> has noted, “</w:t>
      </w:r>
      <w:r w:rsidR="000B7605" w:rsidRPr="00D51B1C">
        <w:t>[e]</w:t>
      </w:r>
      <w:proofErr w:type="spellStart"/>
      <w:r w:rsidR="000B7605" w:rsidRPr="00D51B1C">
        <w:t>ven</w:t>
      </w:r>
      <w:proofErr w:type="spellEnd"/>
      <w:r w:rsidR="000B7605" w:rsidRPr="00D51B1C">
        <w:t xml:space="preserve"> though we would very quic</w:t>
      </w:r>
      <w:r w:rsidR="008C769A" w:rsidRPr="00D51B1C">
        <w:t>kly agree on the importance of ‘</w:t>
      </w:r>
      <w:r w:rsidR="000B7605" w:rsidRPr="00D51B1C">
        <w:t>academic freedom</w:t>
      </w:r>
      <w:r w:rsidR="008C769A" w:rsidRPr="00D51B1C">
        <w:t>’</w:t>
      </w:r>
      <w:r w:rsidR="000B7605" w:rsidRPr="00D51B1C">
        <w:t xml:space="preserve"> for the development of contemporary societies, the meaning of this n</w:t>
      </w:r>
      <w:r w:rsidR="008C769A" w:rsidRPr="00D51B1C">
        <w:t>otion remains extremely vague”.</w:t>
      </w:r>
    </w:p>
    <w:p w:rsidR="00B127A4" w:rsidRPr="00D51B1C" w:rsidRDefault="00B127A4" w:rsidP="00D51B1C">
      <w:pPr>
        <w:autoSpaceDE w:val="0"/>
        <w:autoSpaceDN w:val="0"/>
        <w:adjustRightInd w:val="0"/>
        <w:spacing w:after="0" w:line="240" w:lineRule="auto"/>
        <w:jc w:val="both"/>
        <w:rPr>
          <w:rFonts w:cs="AdvTimes"/>
        </w:rPr>
      </w:pPr>
    </w:p>
    <w:p w:rsidR="0072268C" w:rsidRPr="00D51B1C" w:rsidRDefault="006F2A5E" w:rsidP="00D51B1C">
      <w:pPr>
        <w:autoSpaceDE w:val="0"/>
        <w:autoSpaceDN w:val="0"/>
        <w:adjustRightInd w:val="0"/>
        <w:spacing w:after="0" w:line="240" w:lineRule="auto"/>
        <w:jc w:val="both"/>
        <w:rPr>
          <w:rFonts w:cs="AdvTimes"/>
        </w:rPr>
      </w:pPr>
      <w:r w:rsidRPr="00D51B1C">
        <w:rPr>
          <w:rFonts w:cs="AdvTimes"/>
        </w:rPr>
        <w:t>Legislative</w:t>
      </w:r>
      <w:r w:rsidR="00477ED6" w:rsidRPr="00D51B1C">
        <w:rPr>
          <w:rFonts w:cs="AdvTimes"/>
        </w:rPr>
        <w:t xml:space="preserve"> protection of academic freedom in the UK can be found in </w:t>
      </w:r>
      <w:r w:rsidR="002844E1" w:rsidRPr="00D51B1C">
        <w:rPr>
          <w:rFonts w:cs="FranklinGotMdITC-Heavy"/>
          <w:bCs/>
        </w:rPr>
        <w:t>Section 202 of the Education Reform Act</w:t>
      </w:r>
      <w:r w:rsidR="00477ED6" w:rsidRPr="00D51B1C">
        <w:rPr>
          <w:rFonts w:cs="FranklinGotMdITC-Heavy"/>
          <w:bCs/>
        </w:rPr>
        <w:t xml:space="preserve"> 1988, which </w:t>
      </w:r>
      <w:r w:rsidR="002844E1" w:rsidRPr="00D51B1C">
        <w:rPr>
          <w:rFonts w:cs="FranklinGotMdITC-Heavy"/>
          <w:bCs/>
        </w:rPr>
        <w:t>est</w:t>
      </w:r>
      <w:r w:rsidR="00863408" w:rsidRPr="00D51B1C">
        <w:rPr>
          <w:rFonts w:cs="FranklinGotMdITC-Heavy"/>
          <w:bCs/>
        </w:rPr>
        <w:t>ablishe</w:t>
      </w:r>
      <w:r w:rsidR="003967C6" w:rsidRPr="00D51B1C">
        <w:rPr>
          <w:rFonts w:cs="FranklinGotMdITC-Heavy"/>
          <w:bCs/>
        </w:rPr>
        <w:t>s</w:t>
      </w:r>
      <w:r w:rsidR="00863408" w:rsidRPr="00D51B1C">
        <w:rPr>
          <w:rFonts w:cs="FranklinGotMdITC-Heavy"/>
          <w:bCs/>
        </w:rPr>
        <w:t xml:space="preserve"> </w:t>
      </w:r>
      <w:r w:rsidR="002844E1" w:rsidRPr="00D51B1C">
        <w:rPr>
          <w:rFonts w:cs="FranklinGotMdITC-Heavy"/>
          <w:bCs/>
        </w:rPr>
        <w:t xml:space="preserve">a </w:t>
      </w:r>
      <w:r w:rsidR="00444ECE" w:rsidRPr="00D51B1C">
        <w:rPr>
          <w:rFonts w:cs="FranklinGotMdITC-Heavy"/>
          <w:bCs/>
        </w:rPr>
        <w:t>legal right for academic staff “</w:t>
      </w:r>
      <w:r w:rsidR="002844E1" w:rsidRPr="00D51B1C">
        <w:rPr>
          <w:rFonts w:cs="FranklinGotMdITC-Heavy"/>
          <w:bCs/>
        </w:rPr>
        <w:t xml:space="preserve">to question and test received wisdom and to put forward new ideas and controversial or unpopular opinions without placing themselves in jeopardy of losing their jobs </w:t>
      </w:r>
      <w:r w:rsidR="00444ECE" w:rsidRPr="00D51B1C">
        <w:rPr>
          <w:rFonts w:cs="FranklinGotMdITC-Heavy"/>
          <w:bCs/>
        </w:rPr>
        <w:t>or the privileges they may have”</w:t>
      </w:r>
      <w:r w:rsidR="009E14D4">
        <w:rPr>
          <w:rStyle w:val="FootnoteReference"/>
          <w:rFonts w:cs="FranklinGotMdITC-Heavy"/>
          <w:bCs/>
        </w:rPr>
        <w:footnoteReference w:id="13"/>
      </w:r>
      <w:r w:rsidR="003179CD" w:rsidRPr="00D51B1C">
        <w:rPr>
          <w:rFonts w:cs="FranklinGotMdITC-Heavy"/>
          <w:bCs/>
        </w:rPr>
        <w:t>.</w:t>
      </w:r>
      <w:r w:rsidR="003967C6" w:rsidRPr="00D51B1C">
        <w:rPr>
          <w:rFonts w:cs="FranklinGotMdITC-Heavy"/>
          <w:bCs/>
        </w:rPr>
        <w:t xml:space="preserve"> </w:t>
      </w:r>
      <w:r w:rsidR="00BC4B02" w:rsidRPr="00D51B1C">
        <w:rPr>
          <w:rFonts w:cs="FranklinGotMdITC-Heavy"/>
          <w:bCs/>
        </w:rPr>
        <w:t>Yet, a</w:t>
      </w:r>
      <w:r w:rsidR="003967C6" w:rsidRPr="00D51B1C">
        <w:rPr>
          <w:rFonts w:cs="FranklinGotMdITC-Heavy"/>
          <w:bCs/>
        </w:rPr>
        <w:t xml:space="preserve">s </w:t>
      </w:r>
      <w:proofErr w:type="spellStart"/>
      <w:r w:rsidR="003967C6" w:rsidRPr="00D51B1C">
        <w:rPr>
          <w:rFonts w:cs="FranklinGotMdITC-Heavy"/>
          <w:bCs/>
        </w:rPr>
        <w:t>Ka</w:t>
      </w:r>
      <w:r w:rsidR="009E14D4">
        <w:rPr>
          <w:rFonts w:cs="FranklinGotMdITC-Heavy"/>
          <w:bCs/>
        </w:rPr>
        <w:t>rra</w:t>
      </w:r>
      <w:r w:rsidR="003967C6" w:rsidRPr="00D51B1C">
        <w:rPr>
          <w:rFonts w:cs="FranklinGotMdITC-Heavy"/>
          <w:bCs/>
        </w:rPr>
        <w:t>n</w:t>
      </w:r>
      <w:proofErr w:type="spellEnd"/>
      <w:r w:rsidR="009E14D4">
        <w:rPr>
          <w:rStyle w:val="FootnoteReference"/>
          <w:rFonts w:cs="FranklinGotMdITC-Heavy"/>
          <w:bCs/>
        </w:rPr>
        <w:footnoteReference w:id="14"/>
      </w:r>
      <w:r w:rsidR="003967C6" w:rsidRPr="00D51B1C">
        <w:rPr>
          <w:rFonts w:cs="FranklinGotMdITC-Heavy"/>
          <w:bCs/>
        </w:rPr>
        <w:t xml:space="preserve"> notes, t</w:t>
      </w:r>
      <w:r w:rsidR="00B127A4" w:rsidRPr="00D51B1C">
        <w:rPr>
          <w:rFonts w:cs="FranklinGotMdITC-Heavy"/>
          <w:bCs/>
        </w:rPr>
        <w:t xml:space="preserve">his provision does not afford the same constitutional protections for academic freedom as other comparable </w:t>
      </w:r>
      <w:r w:rsidR="003179CD" w:rsidRPr="00D51B1C">
        <w:rPr>
          <w:rFonts w:cs="FranklinGotMdITC-Heavy"/>
          <w:bCs/>
        </w:rPr>
        <w:t>EU countries</w:t>
      </w:r>
      <w:r w:rsidR="00B127A4" w:rsidRPr="00D51B1C">
        <w:rPr>
          <w:rFonts w:cs="FranklinGotMdITC-Heavy"/>
          <w:bCs/>
        </w:rPr>
        <w:t xml:space="preserve">. </w:t>
      </w:r>
      <w:r w:rsidR="003967C6" w:rsidRPr="00D51B1C">
        <w:rPr>
          <w:rFonts w:cs="FranklinGotMdITC-Heavy"/>
          <w:bCs/>
        </w:rPr>
        <w:t>Introduced by a Conservative Government under Margaret Thatcher</w:t>
      </w:r>
      <w:r w:rsidR="00BC4B02" w:rsidRPr="00D51B1C">
        <w:rPr>
          <w:rFonts w:cs="FranklinGotMdITC-Heavy"/>
          <w:bCs/>
        </w:rPr>
        <w:t>,</w:t>
      </w:r>
      <w:r w:rsidR="003967C6" w:rsidRPr="00D51B1C">
        <w:rPr>
          <w:rFonts w:cs="FranklinGotMdITC-Heavy"/>
          <w:bCs/>
        </w:rPr>
        <w:t xml:space="preserve"> </w:t>
      </w:r>
      <w:r w:rsidR="002844E1" w:rsidRPr="00D51B1C">
        <w:rPr>
          <w:rFonts w:cs="FranklinGotMdITC-Heavy"/>
          <w:bCs/>
        </w:rPr>
        <w:t>the purpose of the provision</w:t>
      </w:r>
      <w:r w:rsidR="003179CD" w:rsidRPr="00D51B1C">
        <w:rPr>
          <w:rFonts w:cs="FranklinGotMdITC-Heavy"/>
          <w:bCs/>
        </w:rPr>
        <w:t xml:space="preserve"> </w:t>
      </w:r>
      <w:r w:rsidR="00C670A5" w:rsidRPr="00D51B1C">
        <w:rPr>
          <w:rFonts w:cs="FranklinGotMdITC-Heavy"/>
          <w:bCs/>
        </w:rPr>
        <w:t xml:space="preserve">as a whole </w:t>
      </w:r>
      <w:r w:rsidR="002844E1" w:rsidRPr="00D51B1C">
        <w:rPr>
          <w:rFonts w:cs="FranklinGotMdITC-Heavy"/>
          <w:bCs/>
        </w:rPr>
        <w:t xml:space="preserve">was to weaken, rather than strengthen academic freedom in the </w:t>
      </w:r>
      <w:r w:rsidR="002844E1" w:rsidRPr="00D51B1C">
        <w:rPr>
          <w:rFonts w:cs="FranklinGotMdITC-Heavy"/>
          <w:bCs/>
        </w:rPr>
        <w:lastRenderedPageBreak/>
        <w:t>UK, by removing ‘tenure’ for academic staff, which had previously given protection against dismissal on the grounds of redundancy or financial necessity.</w:t>
      </w:r>
      <w:r w:rsidR="00863408" w:rsidRPr="00D51B1C">
        <w:rPr>
          <w:rFonts w:cs="FranklinGotMdITC-Heavy"/>
          <w:bCs/>
        </w:rPr>
        <w:t xml:space="preserve"> Moreover, the provision does</w:t>
      </w:r>
      <w:r w:rsidR="002844E1" w:rsidRPr="00D51B1C">
        <w:rPr>
          <w:rFonts w:cs="FranklinGotMdITC-Heavy"/>
          <w:bCs/>
        </w:rPr>
        <w:t xml:space="preserve"> not apply to </w:t>
      </w:r>
      <w:r w:rsidR="00491274" w:rsidRPr="00D51B1C">
        <w:rPr>
          <w:rFonts w:cs="FranklinGotMdITC-Heavy"/>
          <w:bCs/>
        </w:rPr>
        <w:t xml:space="preserve">academic </w:t>
      </w:r>
      <w:r w:rsidR="002844E1" w:rsidRPr="00D51B1C">
        <w:rPr>
          <w:rFonts w:cs="FranklinGotMdITC-Heavy"/>
          <w:bCs/>
        </w:rPr>
        <w:t>staff working in the post-1992 sector.</w:t>
      </w:r>
      <w:r w:rsidR="00545F5A" w:rsidRPr="00D51B1C">
        <w:rPr>
          <w:rStyle w:val="FootnoteReference"/>
          <w:rFonts w:cs="FranklinGotMdITC-Heavy"/>
          <w:bCs/>
        </w:rPr>
        <w:footnoteReference w:id="15"/>
      </w:r>
      <w:r w:rsidR="002844E1" w:rsidRPr="00D51B1C">
        <w:rPr>
          <w:rFonts w:cs="FranklinGotMdITC-Heavy"/>
          <w:bCs/>
        </w:rPr>
        <w:t xml:space="preserve"> </w:t>
      </w:r>
      <w:r w:rsidR="003967C6" w:rsidRPr="00D51B1C">
        <w:rPr>
          <w:rFonts w:cs="FranklinGotMdITC-Heavy"/>
          <w:bCs/>
        </w:rPr>
        <w:t>Thus for Court</w:t>
      </w:r>
      <w:r w:rsidR="009E14D4">
        <w:rPr>
          <w:rStyle w:val="FootnoteReference"/>
          <w:rFonts w:cs="FranklinGotMdITC-Heavy"/>
          <w:bCs/>
        </w:rPr>
        <w:footnoteReference w:id="16"/>
      </w:r>
      <w:r w:rsidR="003967C6" w:rsidRPr="00D51B1C">
        <w:rPr>
          <w:rFonts w:cs="FranklinGotMdITC-Heavy"/>
          <w:bCs/>
        </w:rPr>
        <w:t xml:space="preserve">, </w:t>
      </w:r>
      <w:r w:rsidR="002844E1" w:rsidRPr="00D51B1C">
        <w:rPr>
          <w:rFonts w:cs="FranklinGotMdITC-Heavy"/>
          <w:bCs/>
        </w:rPr>
        <w:t xml:space="preserve">whilst the </w:t>
      </w:r>
      <w:r w:rsidR="00491274" w:rsidRPr="00D51B1C">
        <w:rPr>
          <w:rFonts w:cs="FranklinGotMdITC-Heavy"/>
          <w:bCs/>
        </w:rPr>
        <w:t xml:space="preserve">1998 </w:t>
      </w:r>
      <w:r w:rsidR="002844E1" w:rsidRPr="00D51B1C">
        <w:rPr>
          <w:rFonts w:cs="FranklinGotMdITC-Heavy"/>
          <w:bCs/>
        </w:rPr>
        <w:t xml:space="preserve">Act for the first time made </w:t>
      </w:r>
      <w:r w:rsidR="002844E1" w:rsidRPr="00D51B1C">
        <w:rPr>
          <w:rFonts w:cs="AdvTimes"/>
        </w:rPr>
        <w:t>specific reference to the protection of academic freedom, “there must be doubt that staff</w:t>
      </w:r>
      <w:r w:rsidR="00477ED6" w:rsidRPr="00D51B1C">
        <w:rPr>
          <w:rFonts w:cs="AdvTimes"/>
        </w:rPr>
        <w:t xml:space="preserve"> </w:t>
      </w:r>
      <w:r w:rsidR="002844E1" w:rsidRPr="00D51B1C">
        <w:rPr>
          <w:rFonts w:cs="AdvTimes"/>
        </w:rPr>
        <w:t>engaged now in teaching and research at UK universities have the same libert</w:t>
      </w:r>
      <w:r w:rsidR="00545F5A" w:rsidRPr="00D51B1C">
        <w:rPr>
          <w:rFonts w:cs="AdvTimes"/>
        </w:rPr>
        <w:t>y that existed in earlier times”</w:t>
      </w:r>
      <w:r w:rsidR="00863408" w:rsidRPr="00D51B1C">
        <w:rPr>
          <w:rFonts w:cs="AdvTimes"/>
        </w:rPr>
        <w:t>.</w:t>
      </w:r>
      <w:r w:rsidR="00477ED6" w:rsidRPr="00D51B1C">
        <w:rPr>
          <w:rFonts w:cs="AdvTimes"/>
        </w:rPr>
        <w:t xml:space="preserve"> Indeed, a</w:t>
      </w:r>
      <w:r w:rsidR="0072268C" w:rsidRPr="00D51B1C">
        <w:rPr>
          <w:rFonts w:cs="AdvTimes"/>
        </w:rPr>
        <w:t xml:space="preserve"> comparative study of academic freedom in Europe found the in the absence of </w:t>
      </w:r>
      <w:r w:rsidR="003967C6" w:rsidRPr="00D51B1C">
        <w:rPr>
          <w:rFonts w:cs="AdvTimes"/>
        </w:rPr>
        <w:t xml:space="preserve">clear </w:t>
      </w:r>
      <w:r w:rsidR="0072268C" w:rsidRPr="00D51B1C">
        <w:rPr>
          <w:rFonts w:cs="AdvTimes"/>
        </w:rPr>
        <w:t>constitutional support, the UK has one of the lowest protections for acad</w:t>
      </w:r>
      <w:r w:rsidR="00491274" w:rsidRPr="00D51B1C">
        <w:rPr>
          <w:rFonts w:cs="AdvTimes"/>
        </w:rPr>
        <w:t>emic freedom of the EU nations</w:t>
      </w:r>
      <w:r w:rsidR="003967C6" w:rsidRPr="00D51B1C">
        <w:rPr>
          <w:rFonts w:cs="AdvTimes"/>
        </w:rPr>
        <w:t>.</w:t>
      </w:r>
      <w:r w:rsidR="00491274" w:rsidRPr="00D51B1C">
        <w:rPr>
          <w:rStyle w:val="FootnoteReference"/>
          <w:rFonts w:cs="AdvTimes"/>
        </w:rPr>
        <w:footnoteReference w:id="17"/>
      </w:r>
    </w:p>
    <w:p w:rsidR="003179CD" w:rsidRPr="00D51B1C" w:rsidRDefault="003179CD" w:rsidP="00D51B1C">
      <w:pPr>
        <w:autoSpaceDE w:val="0"/>
        <w:autoSpaceDN w:val="0"/>
        <w:adjustRightInd w:val="0"/>
        <w:spacing w:after="0" w:line="240" w:lineRule="auto"/>
        <w:jc w:val="both"/>
        <w:rPr>
          <w:rFonts w:cs="AdvTimes"/>
        </w:rPr>
      </w:pPr>
    </w:p>
    <w:p w:rsidR="008C769A" w:rsidRPr="00D51B1C" w:rsidRDefault="00BF1BDD" w:rsidP="00D51B1C">
      <w:pPr>
        <w:autoSpaceDE w:val="0"/>
        <w:autoSpaceDN w:val="0"/>
        <w:adjustRightInd w:val="0"/>
        <w:spacing w:after="0" w:line="240" w:lineRule="auto"/>
        <w:jc w:val="both"/>
      </w:pPr>
      <w:r w:rsidRPr="00D51B1C">
        <w:t>D</w:t>
      </w:r>
      <w:r w:rsidR="00863408" w:rsidRPr="00D51B1C">
        <w:t xml:space="preserve">espite an absence of effective </w:t>
      </w:r>
      <w:r w:rsidR="00491274" w:rsidRPr="00D51B1C">
        <w:t>constitutional</w:t>
      </w:r>
      <w:r w:rsidR="00863408" w:rsidRPr="00D51B1C">
        <w:t xml:space="preserve"> protection, </w:t>
      </w:r>
      <w:r w:rsidR="008D04F2" w:rsidRPr="00D51B1C">
        <w:t>academic freedom</w:t>
      </w:r>
      <w:r w:rsidR="00BC4B02" w:rsidRPr="00D51B1C">
        <w:t xml:space="preserve"> undoubtedly </w:t>
      </w:r>
      <w:r w:rsidR="00E13287" w:rsidRPr="00D51B1C">
        <w:t xml:space="preserve">remains </w:t>
      </w:r>
      <w:r w:rsidR="00BC4B02" w:rsidRPr="00D51B1C">
        <w:t>a</w:t>
      </w:r>
      <w:r w:rsidR="00863408" w:rsidRPr="00D51B1C">
        <w:t xml:space="preserve"> </w:t>
      </w:r>
      <w:r w:rsidR="00BC4B02" w:rsidRPr="00D51B1C">
        <w:t xml:space="preserve">foundational </w:t>
      </w:r>
      <w:r w:rsidR="00863408" w:rsidRPr="00D51B1C">
        <w:t xml:space="preserve">concept </w:t>
      </w:r>
      <w:r w:rsidR="00491274" w:rsidRPr="00D51B1C">
        <w:t xml:space="preserve">in UK </w:t>
      </w:r>
      <w:r w:rsidR="00863408" w:rsidRPr="00D51B1C">
        <w:t xml:space="preserve">HE.  The </w:t>
      </w:r>
      <w:r w:rsidR="004922CF">
        <w:t>UCU</w:t>
      </w:r>
      <w:r w:rsidR="008D04F2" w:rsidRPr="00D51B1C">
        <w:t xml:space="preserve"> </w:t>
      </w:r>
      <w:r w:rsidR="003179CD" w:rsidRPr="00D51B1C">
        <w:t xml:space="preserve">promotes </w:t>
      </w:r>
      <w:r w:rsidR="008D04F2" w:rsidRPr="00D51B1C">
        <w:t>academic freedom</w:t>
      </w:r>
      <w:r w:rsidR="00491274" w:rsidRPr="00D51B1C">
        <w:t xml:space="preserve">, including freedom to research and advocate new ideas, </w:t>
      </w:r>
      <w:r w:rsidR="008D04F2" w:rsidRPr="00D51B1C">
        <w:t>a</w:t>
      </w:r>
      <w:r w:rsidR="003179CD" w:rsidRPr="00D51B1C">
        <w:t>s essential to the expansion of knowledge and understanding and “the development of a civilised democracy”.</w:t>
      </w:r>
      <w:r w:rsidR="00491274" w:rsidRPr="00D51B1C">
        <w:rPr>
          <w:rStyle w:val="FootnoteReference"/>
        </w:rPr>
        <w:footnoteReference w:id="18"/>
      </w:r>
      <w:r w:rsidR="003679EA" w:rsidRPr="00D51B1C">
        <w:t xml:space="preserve"> </w:t>
      </w:r>
      <w:r w:rsidR="008E2182">
        <w:t>It is recognised within t</w:t>
      </w:r>
      <w:r w:rsidR="00B203F4">
        <w:t>eaching and learning scholarship</w:t>
      </w:r>
      <w:r w:rsidR="00182D8B">
        <w:t xml:space="preserve"> </w:t>
      </w:r>
      <w:r w:rsidR="008E2182">
        <w:t>that</w:t>
      </w:r>
      <w:r w:rsidR="00182D8B">
        <w:t xml:space="preserve"> s</w:t>
      </w:r>
      <w:r w:rsidR="007C4E76" w:rsidRPr="00D51B1C">
        <w:t xml:space="preserve">uch protections are </w:t>
      </w:r>
      <w:r w:rsidR="006D3057" w:rsidRPr="00D51B1C">
        <w:t>important n</w:t>
      </w:r>
      <w:r w:rsidR="008C769A" w:rsidRPr="00D51B1C">
        <w:t xml:space="preserve">ot only </w:t>
      </w:r>
      <w:r w:rsidR="007C4E76" w:rsidRPr="00D51B1C">
        <w:t xml:space="preserve">to </w:t>
      </w:r>
      <w:r w:rsidR="008C769A" w:rsidRPr="00D51B1C">
        <w:t xml:space="preserve">those working and studying in </w:t>
      </w:r>
      <w:r w:rsidR="009F60D5">
        <w:t>HE</w:t>
      </w:r>
      <w:r w:rsidR="006D3057" w:rsidRPr="00D51B1C">
        <w:t>,</w:t>
      </w:r>
      <w:r w:rsidR="008C769A" w:rsidRPr="00D51B1C">
        <w:t xml:space="preserve"> but</w:t>
      </w:r>
      <w:r w:rsidR="006D3057" w:rsidRPr="00D51B1C">
        <w:t xml:space="preserve"> for</w:t>
      </w:r>
      <w:r w:rsidR="007C4E76" w:rsidRPr="00D51B1C">
        <w:t xml:space="preserve"> </w:t>
      </w:r>
      <w:r w:rsidR="0041657E" w:rsidRPr="00D51B1C">
        <w:t>wider society</w:t>
      </w:r>
      <w:r w:rsidR="008C769A" w:rsidRPr="00D51B1C">
        <w:t xml:space="preserve">. </w:t>
      </w:r>
      <w:r w:rsidR="009525D3">
        <w:t>For Bergan, a</w:t>
      </w:r>
      <w:r w:rsidR="007C4E76" w:rsidRPr="00D51B1C">
        <w:t>cademic freedom is</w:t>
      </w:r>
      <w:r w:rsidR="009B5E1F">
        <w:t xml:space="preserve"> “the heart of</w:t>
      </w:r>
      <w:r w:rsidR="007C4E76" w:rsidRPr="00D51B1C">
        <w:t xml:space="preserve"> democratic society”</w:t>
      </w:r>
      <w:r w:rsidR="007C4E76" w:rsidRPr="00D51B1C">
        <w:rPr>
          <w:rStyle w:val="FootnoteReference"/>
        </w:rPr>
        <w:footnoteReference w:id="19"/>
      </w:r>
      <w:r w:rsidR="007C4E76" w:rsidRPr="00D51B1C">
        <w:t xml:space="preserve">, enabling </w:t>
      </w:r>
      <w:r w:rsidR="007C4E76" w:rsidRPr="00D51B1C">
        <w:rPr>
          <w:rFonts w:cs="AdvTimes"/>
        </w:rPr>
        <w:t xml:space="preserve">the public to hold governments and powerful corporations to account for their </w:t>
      </w:r>
      <w:r w:rsidR="007C4E76" w:rsidRPr="00F95976">
        <w:rPr>
          <w:rFonts w:cs="AdvTimes"/>
          <w:color w:val="000000" w:themeColor="text1"/>
        </w:rPr>
        <w:t>actions</w:t>
      </w:r>
      <w:r w:rsidR="007C4E76" w:rsidRPr="00F95976">
        <w:rPr>
          <w:rFonts w:eastAsia="Times New Roman" w:cs="Times New Roman"/>
          <w:color w:val="000000" w:themeColor="text1"/>
          <w:lang w:eastAsia="en-GB"/>
        </w:rPr>
        <w:t>.</w:t>
      </w:r>
      <w:bookmarkStart w:id="3" w:name="_Ref448146138"/>
      <w:r w:rsidR="007C4E76" w:rsidRPr="00F95976">
        <w:rPr>
          <w:rStyle w:val="FootnoteReference"/>
          <w:rFonts w:eastAsia="Times New Roman" w:cs="Times New Roman"/>
          <w:color w:val="000000" w:themeColor="text1"/>
          <w:lang w:eastAsia="en-GB"/>
        </w:rPr>
        <w:footnoteReference w:id="20"/>
      </w:r>
      <w:bookmarkEnd w:id="3"/>
      <w:r w:rsidR="007C4E76" w:rsidRPr="00F95976">
        <w:rPr>
          <w:rFonts w:eastAsia="Times New Roman" w:cs="Times New Roman"/>
          <w:color w:val="000000" w:themeColor="text1"/>
          <w:lang w:eastAsia="en-GB"/>
        </w:rPr>
        <w:t xml:space="preserve"> </w:t>
      </w:r>
      <w:r w:rsidR="009525D3">
        <w:rPr>
          <w:rFonts w:eastAsia="Times New Roman" w:cs="Times New Roman"/>
          <w:color w:val="000000" w:themeColor="text1"/>
          <w:lang w:eastAsia="en-GB"/>
        </w:rPr>
        <w:t xml:space="preserve">In a similar vein, </w:t>
      </w:r>
      <w:r w:rsidR="008C769A" w:rsidRPr="00F95976">
        <w:rPr>
          <w:color w:val="000000" w:themeColor="text1"/>
        </w:rPr>
        <w:t>Rochford</w:t>
      </w:r>
      <w:r w:rsidR="009525D3">
        <w:t xml:space="preserve"> </w:t>
      </w:r>
      <w:r w:rsidR="008C769A" w:rsidRPr="00D51B1C">
        <w:t>has suggested that:</w:t>
      </w:r>
    </w:p>
    <w:p w:rsidR="006D3057" w:rsidRPr="00D51B1C" w:rsidRDefault="006D3057" w:rsidP="00D51B1C">
      <w:pPr>
        <w:autoSpaceDE w:val="0"/>
        <w:autoSpaceDN w:val="0"/>
        <w:adjustRightInd w:val="0"/>
        <w:spacing w:after="0" w:line="240" w:lineRule="auto"/>
        <w:ind w:left="720"/>
        <w:jc w:val="both"/>
      </w:pPr>
    </w:p>
    <w:p w:rsidR="006D3057" w:rsidRPr="00D51B1C" w:rsidRDefault="008C769A" w:rsidP="00AA73CE">
      <w:pPr>
        <w:autoSpaceDE w:val="0"/>
        <w:autoSpaceDN w:val="0"/>
        <w:adjustRightInd w:val="0"/>
        <w:spacing w:after="0" w:line="240" w:lineRule="auto"/>
        <w:ind w:left="720" w:right="720"/>
        <w:jc w:val="both"/>
      </w:pPr>
      <w:r w:rsidRPr="00D51B1C">
        <w:t xml:space="preserve">Academic freedom is not for the benefit of the academic, or even the institution. It is for the benefit of society at large, and society’s failure to provide the environment in which this freedom can flourish will result in </w:t>
      </w:r>
      <w:r w:rsidR="00D258F9">
        <w:t>the loss of a valuable asset.</w:t>
      </w:r>
      <w:r w:rsidR="0028596A" w:rsidRPr="00D51B1C">
        <w:rPr>
          <w:rStyle w:val="FootnoteReference"/>
        </w:rPr>
        <w:footnoteReference w:id="21"/>
      </w:r>
    </w:p>
    <w:p w:rsidR="0028596A" w:rsidRPr="00D51B1C" w:rsidRDefault="0028596A" w:rsidP="00D51B1C">
      <w:pPr>
        <w:autoSpaceDE w:val="0"/>
        <w:autoSpaceDN w:val="0"/>
        <w:adjustRightInd w:val="0"/>
        <w:spacing w:after="0" w:line="240" w:lineRule="auto"/>
        <w:ind w:left="720"/>
        <w:jc w:val="both"/>
        <w:rPr>
          <w:rFonts w:eastAsia="Times New Roman" w:cs="Times New Roman"/>
          <w:color w:val="555555"/>
          <w:lang w:eastAsia="en-GB"/>
        </w:rPr>
      </w:pPr>
    </w:p>
    <w:p w:rsidR="0055175F" w:rsidRPr="00D51B1C" w:rsidRDefault="00D65782" w:rsidP="00D51B1C">
      <w:pPr>
        <w:autoSpaceDE w:val="0"/>
        <w:autoSpaceDN w:val="0"/>
        <w:adjustRightInd w:val="0"/>
        <w:spacing w:after="0" w:line="240" w:lineRule="auto"/>
        <w:jc w:val="both"/>
        <w:rPr>
          <w:rFonts w:cs="AdvTimes"/>
        </w:rPr>
      </w:pPr>
      <w:r w:rsidRPr="00D51B1C">
        <w:rPr>
          <w:rFonts w:cs="AdvTimes"/>
        </w:rPr>
        <w:t>Whilst the concept of academic freedom is traditionally associated with the freedom for a</w:t>
      </w:r>
      <w:r w:rsidR="00477ED6" w:rsidRPr="00D51B1C">
        <w:rPr>
          <w:rFonts w:cs="AdvTimes"/>
        </w:rPr>
        <w:t xml:space="preserve">cademic staff </w:t>
      </w:r>
      <w:r w:rsidRPr="00D51B1C">
        <w:rPr>
          <w:rFonts w:cs="AdvTimes"/>
        </w:rPr>
        <w:t xml:space="preserve">to conduct research and express opinions freely, </w:t>
      </w:r>
      <w:r w:rsidR="00444ECE" w:rsidRPr="00D51B1C">
        <w:rPr>
          <w:rFonts w:cs="AdvTimes"/>
        </w:rPr>
        <w:t xml:space="preserve">several scholars have </w:t>
      </w:r>
      <w:r w:rsidR="002D5557" w:rsidRPr="00D51B1C">
        <w:rPr>
          <w:rFonts w:cs="AdvTimes"/>
        </w:rPr>
        <w:t xml:space="preserve">highlighted the importance of </w:t>
      </w:r>
      <w:r w:rsidR="0009732D" w:rsidRPr="00D51B1C">
        <w:rPr>
          <w:rFonts w:cs="AdvTimes"/>
        </w:rPr>
        <w:t>such protections for</w:t>
      </w:r>
      <w:r w:rsidR="002D5557" w:rsidRPr="00D51B1C">
        <w:rPr>
          <w:rFonts w:cs="AdvTimes"/>
        </w:rPr>
        <w:t xml:space="preserve"> students</w:t>
      </w:r>
      <w:r w:rsidR="006C79B1" w:rsidRPr="00D51B1C">
        <w:rPr>
          <w:rFonts w:cs="AdvTimes"/>
        </w:rPr>
        <w:t xml:space="preserve">. </w:t>
      </w:r>
      <w:r w:rsidR="00444ECE" w:rsidRPr="00D51B1C">
        <w:rPr>
          <w:rFonts w:cs="AdvTimes"/>
        </w:rPr>
        <w:t>Macfarlane, for example, sug</w:t>
      </w:r>
      <w:r w:rsidR="00BD2392" w:rsidRPr="00D51B1C">
        <w:rPr>
          <w:rFonts w:cs="AdvTimes"/>
        </w:rPr>
        <w:t>gests that since both groups a</w:t>
      </w:r>
      <w:r w:rsidR="006C79B1" w:rsidRPr="00D51B1C">
        <w:rPr>
          <w:rFonts w:cs="AdvTimes"/>
        </w:rPr>
        <w:t xml:space="preserve">re members of the </w:t>
      </w:r>
      <w:r w:rsidR="00BD2392" w:rsidRPr="00D51B1C">
        <w:rPr>
          <w:rFonts w:cs="AdvTimes"/>
        </w:rPr>
        <w:t xml:space="preserve">same </w:t>
      </w:r>
      <w:r w:rsidR="006C79B1" w:rsidRPr="00D51B1C">
        <w:rPr>
          <w:rFonts w:cs="AdvTimes"/>
        </w:rPr>
        <w:t>academic community engaged in independent and intellectual enquiry, it follows that the claims of academi</w:t>
      </w:r>
      <w:r w:rsidR="00827511" w:rsidRPr="00D51B1C">
        <w:rPr>
          <w:rFonts w:cs="AdvTimes"/>
        </w:rPr>
        <w:t>c freedom should apply to staff and students</w:t>
      </w:r>
      <w:r w:rsidR="006C79B1" w:rsidRPr="00D51B1C">
        <w:rPr>
          <w:rFonts w:cs="AdvTimes"/>
        </w:rPr>
        <w:t xml:space="preserve"> equally.</w:t>
      </w:r>
      <w:r w:rsidR="00D258F9">
        <w:rPr>
          <w:rStyle w:val="FootnoteReference"/>
          <w:rFonts w:cs="AdvTimes"/>
        </w:rPr>
        <w:footnoteReference w:id="22"/>
      </w:r>
      <w:r w:rsidR="006C79B1" w:rsidRPr="00D51B1C">
        <w:rPr>
          <w:rFonts w:cs="AdvTimes"/>
        </w:rPr>
        <w:t xml:space="preserve"> </w:t>
      </w:r>
      <w:r w:rsidR="00E5683A" w:rsidRPr="00D51B1C">
        <w:rPr>
          <w:rFonts w:cs="AdvTimes"/>
        </w:rPr>
        <w:t>Advocating a</w:t>
      </w:r>
      <w:r w:rsidR="00F864EC" w:rsidRPr="00D51B1C">
        <w:rPr>
          <w:rFonts w:cs="AdvTimes"/>
        </w:rPr>
        <w:t xml:space="preserve"> renewed focus on </w:t>
      </w:r>
      <w:r w:rsidR="00E5683A" w:rsidRPr="00D51B1C">
        <w:rPr>
          <w:rFonts w:cs="AdvTimes"/>
        </w:rPr>
        <w:t>‘integrity’ in HE teaching, Macfarlane suggests that t</w:t>
      </w:r>
      <w:r w:rsidR="006C79B1" w:rsidRPr="00D51B1C">
        <w:rPr>
          <w:rFonts w:cs="AdvTimes"/>
        </w:rPr>
        <w:t>he protection of students’ academic freedom “is one, if not the first, academic duty of teachers in Higher Education”</w:t>
      </w:r>
      <w:r w:rsidR="00252A16">
        <w:rPr>
          <w:rFonts w:cs="AdvTimes"/>
        </w:rPr>
        <w:t>.</w:t>
      </w:r>
      <w:r w:rsidR="00955C6F" w:rsidRPr="00D51B1C">
        <w:rPr>
          <w:rStyle w:val="FootnoteReference"/>
          <w:rFonts w:cs="AdvTimes"/>
        </w:rPr>
        <w:footnoteReference w:id="23"/>
      </w:r>
      <w:r w:rsidR="002404F1" w:rsidRPr="00D51B1C">
        <w:rPr>
          <w:rFonts w:cs="AdvTimes"/>
        </w:rPr>
        <w:t xml:space="preserve"> </w:t>
      </w:r>
      <w:r w:rsidR="0055175F" w:rsidRPr="00D51B1C">
        <w:rPr>
          <w:rFonts w:cs="AdvTimes"/>
        </w:rPr>
        <w:t xml:space="preserve">Support for this </w:t>
      </w:r>
      <w:r w:rsidR="00F87391" w:rsidRPr="00D51B1C">
        <w:rPr>
          <w:rFonts w:cs="AdvTimes"/>
        </w:rPr>
        <w:t xml:space="preserve">broader conception of </w:t>
      </w:r>
      <w:r w:rsidR="00827511" w:rsidRPr="00D51B1C">
        <w:rPr>
          <w:rFonts w:cs="AdvTimes"/>
        </w:rPr>
        <w:t xml:space="preserve">academic freedom </w:t>
      </w:r>
      <w:r w:rsidR="0055175F" w:rsidRPr="00D51B1C">
        <w:rPr>
          <w:rFonts w:cs="AdvTimes"/>
        </w:rPr>
        <w:t>c</w:t>
      </w:r>
      <w:r w:rsidR="00F87391" w:rsidRPr="00D51B1C">
        <w:rPr>
          <w:rFonts w:cs="AdvTimes"/>
        </w:rPr>
        <w:t>an be found</w:t>
      </w:r>
      <w:r w:rsidR="00C10994" w:rsidRPr="00D51B1C">
        <w:rPr>
          <w:rFonts w:cs="AdvTimes"/>
        </w:rPr>
        <w:t xml:space="preserve"> in the 1997 Dearing report </w:t>
      </w:r>
      <w:r w:rsidR="0055175F" w:rsidRPr="00D51B1C">
        <w:rPr>
          <w:rFonts w:cs="AdvTimes"/>
        </w:rPr>
        <w:t xml:space="preserve">into Higher Education, which identifies freedom of thought and expression as being something which </w:t>
      </w:r>
      <w:r w:rsidR="0091650F" w:rsidRPr="00D51B1C">
        <w:rPr>
          <w:rFonts w:cs="AdvTimes"/>
        </w:rPr>
        <w:t>“</w:t>
      </w:r>
      <w:r w:rsidR="0055175F" w:rsidRPr="00D51B1C">
        <w:rPr>
          <w:rFonts w:cs="AdvTimes"/>
        </w:rPr>
        <w:t>is shared throughout higher education</w:t>
      </w:r>
      <w:r w:rsidR="0091650F" w:rsidRPr="00D51B1C">
        <w:rPr>
          <w:rFonts w:cs="AdvTimes"/>
        </w:rPr>
        <w:t>”</w:t>
      </w:r>
      <w:r w:rsidR="002404F1" w:rsidRPr="00D51B1C">
        <w:rPr>
          <w:rFonts w:cs="AdvTimes"/>
        </w:rPr>
        <w:t>.</w:t>
      </w:r>
      <w:r w:rsidR="00D258F9">
        <w:rPr>
          <w:rStyle w:val="FootnoteReference"/>
          <w:rFonts w:cs="AdvTimes"/>
        </w:rPr>
        <w:footnoteReference w:id="24"/>
      </w:r>
      <w:r w:rsidR="002404F1" w:rsidRPr="00D51B1C">
        <w:rPr>
          <w:rFonts w:cs="AdvTimes"/>
        </w:rPr>
        <w:t xml:space="preserve"> </w:t>
      </w:r>
      <w:r w:rsidR="00515B86" w:rsidRPr="00D51B1C">
        <w:rPr>
          <w:rFonts w:cs="FranklinGotMdITC-Heavy"/>
          <w:bCs/>
        </w:rPr>
        <w:t xml:space="preserve">For Nelson, academic freedom, including the freedom to study, learn, teach and express ideas “is the most significant </w:t>
      </w:r>
      <w:r w:rsidR="00955C6F" w:rsidRPr="00D51B1C">
        <w:rPr>
          <w:rFonts w:cs="FranklinGotMdITC-Heavy"/>
          <w:bCs/>
        </w:rPr>
        <w:t>concept a teacher can embrace”</w:t>
      </w:r>
      <w:r w:rsidR="00955C6F" w:rsidRPr="00D51B1C">
        <w:rPr>
          <w:rStyle w:val="FootnoteReference"/>
          <w:rFonts w:cs="FranklinGotMdITC-Heavy"/>
          <w:bCs/>
        </w:rPr>
        <w:footnoteReference w:id="25"/>
      </w:r>
      <w:r w:rsidR="00515B86" w:rsidRPr="00D51B1C">
        <w:rPr>
          <w:rFonts w:cs="FranklinGotMdITC-Heavy"/>
          <w:bCs/>
        </w:rPr>
        <w:t xml:space="preserve">. </w:t>
      </w:r>
      <w:r w:rsidR="00D05702" w:rsidRPr="00D51B1C">
        <w:rPr>
          <w:rFonts w:cs="FranklinGotMdITC-Heavy"/>
          <w:bCs/>
        </w:rPr>
        <w:t xml:space="preserve">To this end, </w:t>
      </w:r>
      <w:r w:rsidR="002404F1" w:rsidRPr="00D51B1C">
        <w:rPr>
          <w:rFonts w:cs="AdvTimes"/>
        </w:rPr>
        <w:t>Nelson and Watt propose a more inclusive definition of academic freedom as</w:t>
      </w:r>
      <w:r w:rsidR="00827511" w:rsidRPr="00D51B1C">
        <w:rPr>
          <w:rFonts w:cs="AdvTimes"/>
        </w:rPr>
        <w:t xml:space="preserve"> </w:t>
      </w:r>
      <w:r w:rsidR="0091650F" w:rsidRPr="00D51B1C">
        <w:rPr>
          <w:rFonts w:cs="AdvTimes"/>
        </w:rPr>
        <w:t>“</w:t>
      </w:r>
      <w:r w:rsidR="00045DCF">
        <w:rPr>
          <w:rFonts w:cs="AdvTimes"/>
        </w:rPr>
        <w:t>t</w:t>
      </w:r>
      <w:r w:rsidR="0055175F" w:rsidRPr="00D51B1C">
        <w:rPr>
          <w:rFonts w:cs="AdvTimes"/>
        </w:rPr>
        <w:t xml:space="preserve">he principle which gives both </w:t>
      </w:r>
      <w:r w:rsidR="0055175F" w:rsidRPr="00D51B1C">
        <w:rPr>
          <w:rFonts w:cs="AdvTimes"/>
        </w:rPr>
        <w:lastRenderedPageBreak/>
        <w:t>students and faculty in the classroom the right to say whatever they believe is pertinent to the subject at hand</w:t>
      </w:r>
      <w:r w:rsidR="0091650F" w:rsidRPr="00D51B1C">
        <w:rPr>
          <w:rFonts w:cs="AdvTimes"/>
        </w:rPr>
        <w:t>”</w:t>
      </w:r>
      <w:r w:rsidR="00FF60AC">
        <w:rPr>
          <w:rFonts w:cs="AdvTimes"/>
        </w:rPr>
        <w:t>.</w:t>
      </w:r>
      <w:r w:rsidR="00FF60AC">
        <w:rPr>
          <w:rStyle w:val="FootnoteReference"/>
          <w:rFonts w:cs="AdvTimes"/>
        </w:rPr>
        <w:footnoteReference w:id="26"/>
      </w:r>
    </w:p>
    <w:p w:rsidR="002404F1" w:rsidRPr="00D51B1C" w:rsidRDefault="002404F1" w:rsidP="00D51B1C">
      <w:pPr>
        <w:autoSpaceDE w:val="0"/>
        <w:autoSpaceDN w:val="0"/>
        <w:adjustRightInd w:val="0"/>
        <w:spacing w:after="0" w:line="240" w:lineRule="auto"/>
        <w:jc w:val="both"/>
        <w:rPr>
          <w:rFonts w:cs="AdvTimes"/>
        </w:rPr>
      </w:pPr>
    </w:p>
    <w:p w:rsidR="00C3128F" w:rsidRPr="00D51B1C" w:rsidRDefault="007A68CC" w:rsidP="00D51B1C">
      <w:pPr>
        <w:autoSpaceDE w:val="0"/>
        <w:autoSpaceDN w:val="0"/>
        <w:adjustRightInd w:val="0"/>
        <w:spacing w:after="0" w:line="240" w:lineRule="auto"/>
        <w:jc w:val="both"/>
        <w:rPr>
          <w:rFonts w:cs="FranklinGotMdITC-Heavy"/>
          <w:bCs/>
        </w:rPr>
      </w:pPr>
      <w:r w:rsidRPr="00D51B1C">
        <w:rPr>
          <w:rFonts w:cs="FranklinGotMdITC-Heavy"/>
          <w:bCs/>
        </w:rPr>
        <w:t xml:space="preserve">Central to academic freedom is the </w:t>
      </w:r>
      <w:r w:rsidR="0000499D" w:rsidRPr="00D51B1C">
        <w:rPr>
          <w:rFonts w:cs="FranklinGotMdITC-Heavy"/>
          <w:bCs/>
        </w:rPr>
        <w:t>enhancement</w:t>
      </w:r>
      <w:r w:rsidRPr="00D51B1C">
        <w:rPr>
          <w:rFonts w:cs="FranklinGotMdITC-Heavy"/>
          <w:bCs/>
        </w:rPr>
        <w:t xml:space="preserve"> of learning through engagement in critical thought and expression. </w:t>
      </w:r>
      <w:r w:rsidRPr="00D51B1C">
        <w:rPr>
          <w:rFonts w:cs="AdvTimes"/>
        </w:rPr>
        <w:t xml:space="preserve">For </w:t>
      </w:r>
      <w:r w:rsidR="0099397C" w:rsidRPr="00D51B1C">
        <w:rPr>
          <w:rFonts w:cs="AdvTimes"/>
        </w:rPr>
        <w:t xml:space="preserve">Bowden and </w:t>
      </w:r>
      <w:proofErr w:type="spellStart"/>
      <w:r w:rsidR="0099397C" w:rsidRPr="00D51B1C">
        <w:rPr>
          <w:rFonts w:cs="AdvTimes"/>
        </w:rPr>
        <w:t>Marto</w:t>
      </w:r>
      <w:r w:rsidRPr="00D51B1C">
        <w:rPr>
          <w:rFonts w:cs="AdvTimes"/>
        </w:rPr>
        <w:t>n</w:t>
      </w:r>
      <w:proofErr w:type="spellEnd"/>
      <w:r w:rsidRPr="00D51B1C">
        <w:rPr>
          <w:rFonts w:cs="AdvTimes"/>
        </w:rPr>
        <w:t>, learning is “the defining element of the university”</w:t>
      </w:r>
      <w:r w:rsidR="00045DCF">
        <w:rPr>
          <w:rStyle w:val="FootnoteReference"/>
          <w:rFonts w:cs="AdvTimes"/>
        </w:rPr>
        <w:footnoteReference w:id="27"/>
      </w:r>
      <w:r w:rsidRPr="00D51B1C">
        <w:rPr>
          <w:rFonts w:cs="AdvTimes"/>
        </w:rPr>
        <w:t xml:space="preserve">, engaged by both students, though </w:t>
      </w:r>
      <w:r w:rsidR="00F953B9">
        <w:rPr>
          <w:rFonts w:cs="AdvTimes"/>
        </w:rPr>
        <w:t xml:space="preserve">individual </w:t>
      </w:r>
      <w:r w:rsidR="00045DCF">
        <w:rPr>
          <w:rFonts w:cs="AdvTimes"/>
        </w:rPr>
        <w:t>studying</w:t>
      </w:r>
      <w:r w:rsidRPr="00D51B1C">
        <w:rPr>
          <w:rFonts w:cs="AdvTimes"/>
        </w:rPr>
        <w:t xml:space="preserve">, </w:t>
      </w:r>
      <w:r w:rsidR="002C2EAD" w:rsidRPr="00D51B1C">
        <w:rPr>
          <w:rFonts w:cs="AdvTimes"/>
        </w:rPr>
        <w:t xml:space="preserve">and </w:t>
      </w:r>
      <w:r w:rsidRPr="00D51B1C">
        <w:rPr>
          <w:rFonts w:cs="AdvTimes"/>
        </w:rPr>
        <w:t>staff</w:t>
      </w:r>
      <w:r w:rsidR="002C2EAD" w:rsidRPr="00D51B1C">
        <w:rPr>
          <w:rFonts w:cs="AdvTimes"/>
        </w:rPr>
        <w:t>,</w:t>
      </w:r>
      <w:r w:rsidRPr="00D51B1C">
        <w:rPr>
          <w:rFonts w:cs="AdvTimes"/>
        </w:rPr>
        <w:t xml:space="preserve"> through </w:t>
      </w:r>
      <w:r w:rsidR="00F953B9">
        <w:rPr>
          <w:rFonts w:cs="AdvTimes"/>
        </w:rPr>
        <w:t xml:space="preserve">academic </w:t>
      </w:r>
      <w:r w:rsidRPr="00D51B1C">
        <w:rPr>
          <w:rFonts w:cs="AdvTimes"/>
        </w:rPr>
        <w:t xml:space="preserve">research. </w:t>
      </w:r>
      <w:r w:rsidR="00640B28" w:rsidRPr="00D51B1C">
        <w:rPr>
          <w:rFonts w:cs="FranklinGotMdITC-Heavy"/>
          <w:bCs/>
        </w:rPr>
        <w:t>The development of critical thinking is both a hallmark of academic rigour and</w:t>
      </w:r>
      <w:r w:rsidR="00955C6F" w:rsidRPr="00D51B1C">
        <w:rPr>
          <w:rFonts w:cs="FranklinGotMdITC-Heavy"/>
          <w:bCs/>
        </w:rPr>
        <w:t xml:space="preserve"> a foundation of good pedagogy</w:t>
      </w:r>
      <w:r w:rsidR="00640B28" w:rsidRPr="00D51B1C">
        <w:rPr>
          <w:rFonts w:cs="FranklinGotMdITC-Heavy"/>
          <w:bCs/>
        </w:rPr>
        <w:t>.</w:t>
      </w:r>
      <w:r w:rsidR="00955C6F" w:rsidRPr="00D51B1C">
        <w:rPr>
          <w:rStyle w:val="FootnoteReference"/>
          <w:rFonts w:cs="FranklinGotMdITC-Heavy"/>
          <w:bCs/>
        </w:rPr>
        <w:footnoteReference w:id="28"/>
      </w:r>
      <w:r w:rsidR="00640B28" w:rsidRPr="00D51B1C">
        <w:rPr>
          <w:rFonts w:cs="FranklinGotMdITC-Heavy"/>
          <w:bCs/>
        </w:rPr>
        <w:t xml:space="preserve"> </w:t>
      </w:r>
      <w:bookmarkStart w:id="4" w:name="anc"/>
      <w:r w:rsidR="00C3128F" w:rsidRPr="00D51B1C">
        <w:rPr>
          <w:rFonts w:cs="FranklinGotMdITC-Heavy"/>
          <w:bCs/>
        </w:rPr>
        <w:t>Boyer’s conception of to ‘active learning’ stresses the importance of fostering spaces for critical thinking in the development of good teaching practices:</w:t>
      </w:r>
    </w:p>
    <w:p w:rsidR="000874F9" w:rsidRPr="00D51B1C" w:rsidRDefault="000874F9" w:rsidP="00D51B1C">
      <w:pPr>
        <w:autoSpaceDE w:val="0"/>
        <w:autoSpaceDN w:val="0"/>
        <w:adjustRightInd w:val="0"/>
        <w:spacing w:after="0" w:line="240" w:lineRule="auto"/>
        <w:jc w:val="both"/>
        <w:rPr>
          <w:rFonts w:cs="FranklinGotMdITC-Heavy"/>
          <w:bCs/>
        </w:rPr>
      </w:pPr>
      <w:bookmarkStart w:id="5" w:name="08"/>
    </w:p>
    <w:p w:rsidR="00C3128F" w:rsidRPr="00D51B1C" w:rsidRDefault="00AA73CE" w:rsidP="00AA73CE">
      <w:pPr>
        <w:autoSpaceDE w:val="0"/>
        <w:autoSpaceDN w:val="0"/>
        <w:adjustRightInd w:val="0"/>
        <w:spacing w:after="0" w:line="240" w:lineRule="auto"/>
        <w:ind w:left="720" w:right="720"/>
        <w:jc w:val="both"/>
        <w:rPr>
          <w:rFonts w:cs="FranklinGotMdITC-Heavy"/>
          <w:bCs/>
        </w:rPr>
      </w:pPr>
      <w:r>
        <w:rPr>
          <w:rFonts w:cs="FranklinGotMdITC-Heavy"/>
          <w:bCs/>
        </w:rPr>
        <w:t>G</w:t>
      </w:r>
      <w:r w:rsidR="00C3128F" w:rsidRPr="00D51B1C">
        <w:rPr>
          <w:rFonts w:cs="FranklinGotMdITC-Heavy"/>
          <w:bCs/>
        </w:rPr>
        <w:t xml:space="preserve">reat teachers create a common ground of intellectual commitment. They stimulate active, not passive, learning and encourage students to be critical, creative thinkers, with the capacity to go on learning after </w:t>
      </w:r>
      <w:r>
        <w:rPr>
          <w:rFonts w:cs="FranklinGotMdITC-Heavy"/>
          <w:bCs/>
        </w:rPr>
        <w:t>their college days are over.</w:t>
      </w:r>
      <w:r w:rsidR="0074226D" w:rsidRPr="00D51B1C">
        <w:rPr>
          <w:rStyle w:val="FootnoteReference"/>
          <w:rFonts w:cs="FranklinGotMdITC-Heavy"/>
          <w:bCs/>
        </w:rPr>
        <w:footnoteReference w:id="29"/>
      </w:r>
    </w:p>
    <w:p w:rsidR="000F0DC9" w:rsidRPr="00D51B1C" w:rsidRDefault="000F0DC9" w:rsidP="00D51B1C">
      <w:pPr>
        <w:autoSpaceDE w:val="0"/>
        <w:autoSpaceDN w:val="0"/>
        <w:adjustRightInd w:val="0"/>
        <w:spacing w:after="0" w:line="240" w:lineRule="auto"/>
        <w:jc w:val="both"/>
        <w:rPr>
          <w:rFonts w:cs="FranklinGotMdITC-Heavy"/>
          <w:bCs/>
        </w:rPr>
      </w:pPr>
    </w:p>
    <w:p w:rsidR="000F0DC9" w:rsidRPr="00D51B1C" w:rsidRDefault="000F0DC9" w:rsidP="00D51B1C">
      <w:pPr>
        <w:autoSpaceDE w:val="0"/>
        <w:autoSpaceDN w:val="0"/>
        <w:adjustRightInd w:val="0"/>
        <w:spacing w:after="0" w:line="240" w:lineRule="auto"/>
        <w:jc w:val="both"/>
      </w:pPr>
      <w:r w:rsidRPr="00D51B1C">
        <w:rPr>
          <w:rFonts w:cs="AdvTimes"/>
        </w:rPr>
        <w:t xml:space="preserve">The contemporary emphasis </w:t>
      </w:r>
      <w:r w:rsidR="007B13B9" w:rsidRPr="00D51B1C">
        <w:rPr>
          <w:rFonts w:cs="AdvTimes"/>
        </w:rPr>
        <w:t>on ‘research informed teaching’</w:t>
      </w:r>
      <w:r w:rsidRPr="00D51B1C">
        <w:rPr>
          <w:rFonts w:cs="AdvTimes"/>
        </w:rPr>
        <w:t xml:space="preserve"> reflects </w:t>
      </w:r>
      <w:r w:rsidR="00467518" w:rsidRPr="00D51B1C">
        <w:rPr>
          <w:rFonts w:cs="AdvTimes"/>
        </w:rPr>
        <w:t xml:space="preserve">a recognition of </w:t>
      </w:r>
      <w:r w:rsidR="00A33564">
        <w:rPr>
          <w:rFonts w:cs="AdvTimes"/>
        </w:rPr>
        <w:t xml:space="preserve">the </w:t>
      </w:r>
      <w:r w:rsidR="004F45D7" w:rsidRPr="00D51B1C">
        <w:rPr>
          <w:rFonts w:cs="AdvTimes"/>
        </w:rPr>
        <w:t>inherent</w:t>
      </w:r>
      <w:r w:rsidR="00467518" w:rsidRPr="00D51B1C">
        <w:rPr>
          <w:rFonts w:cs="AdvTimes"/>
        </w:rPr>
        <w:t xml:space="preserve"> relationship between teaching and research in a HE context.</w:t>
      </w:r>
      <w:r w:rsidR="0074226D" w:rsidRPr="00D51B1C">
        <w:rPr>
          <w:rStyle w:val="FootnoteReference"/>
          <w:rFonts w:cs="AdvTimes"/>
        </w:rPr>
        <w:footnoteReference w:id="30"/>
      </w:r>
      <w:r w:rsidR="00467518" w:rsidRPr="00D51B1C">
        <w:rPr>
          <w:rFonts w:cs="AdvTimes"/>
        </w:rPr>
        <w:t xml:space="preserve"> </w:t>
      </w:r>
      <w:r w:rsidRPr="00D51B1C">
        <w:rPr>
          <w:rFonts w:cs="AdvTimes"/>
        </w:rPr>
        <w:t xml:space="preserve">A report published in February 2016 by the House of Commons Business, Innovation and Skills Committee, in response to Government plans to introduce a ‘Teaching Excellence Framework’ in HE, stresses “the </w:t>
      </w:r>
      <w:r w:rsidRPr="00D51B1C">
        <w:t>interdependencies between research and teaching within the higher education environment”.</w:t>
      </w:r>
      <w:r w:rsidRPr="00D51B1C">
        <w:rPr>
          <w:rStyle w:val="FootnoteReference"/>
        </w:rPr>
        <w:footnoteReference w:id="31"/>
      </w:r>
      <w:r w:rsidR="00D43BBC">
        <w:t xml:space="preserve"> The</w:t>
      </w:r>
      <w:r w:rsidRPr="00D51B1C">
        <w:t xml:space="preserve"> unity of teaching and research requires that both staff and students are</w:t>
      </w:r>
      <w:r w:rsidRPr="00D51B1C">
        <w:rPr>
          <w:rFonts w:cs="AdvTimes"/>
        </w:rPr>
        <w:t xml:space="preserve"> given an “intellectual space”</w:t>
      </w:r>
      <w:r w:rsidR="00D43BBC" w:rsidRPr="00D51B1C">
        <w:rPr>
          <w:rStyle w:val="FootnoteReference"/>
          <w:rFonts w:cs="AdvTimes"/>
        </w:rPr>
        <w:footnoteReference w:id="32"/>
      </w:r>
      <w:r w:rsidRPr="00D51B1C">
        <w:rPr>
          <w:rFonts w:cs="AdvTimes"/>
        </w:rPr>
        <w:t xml:space="preserve"> to evaluate pre</w:t>
      </w:r>
      <w:r w:rsidR="00B633BA" w:rsidRPr="00D51B1C">
        <w:rPr>
          <w:rFonts w:cs="AdvTimes"/>
        </w:rPr>
        <w:t>vailing ideas and perspectives</w:t>
      </w:r>
      <w:r w:rsidRPr="00D51B1C">
        <w:rPr>
          <w:rFonts w:cs="AdvTimes"/>
        </w:rPr>
        <w:t>.</w:t>
      </w:r>
      <w:r w:rsidRPr="00D51B1C">
        <w:t xml:space="preserve"> </w:t>
      </w:r>
      <w:r w:rsidR="004F45D7" w:rsidRPr="00D51B1C">
        <w:t>The promotion and protection of a</w:t>
      </w:r>
      <w:r w:rsidR="002D76CE" w:rsidRPr="00D51B1C">
        <w:t xml:space="preserve">cademic freedom </w:t>
      </w:r>
      <w:r w:rsidR="002A11F5" w:rsidRPr="00D51B1C">
        <w:t xml:space="preserve">is thus </w:t>
      </w:r>
      <w:r w:rsidR="004F45D7" w:rsidRPr="00D51B1C">
        <w:t>essential</w:t>
      </w:r>
      <w:r w:rsidRPr="00D51B1C">
        <w:t xml:space="preserve"> to </w:t>
      </w:r>
      <w:r w:rsidR="004F45D7" w:rsidRPr="00D51B1C">
        <w:t xml:space="preserve">the </w:t>
      </w:r>
      <w:r w:rsidR="002D76CE" w:rsidRPr="00D51B1C">
        <w:t>enhancement</w:t>
      </w:r>
      <w:r w:rsidR="004F45D7" w:rsidRPr="00D51B1C">
        <w:t xml:space="preserve"> of both </w:t>
      </w:r>
      <w:r w:rsidRPr="00D51B1C">
        <w:t>teaching and research in UK HE.</w:t>
      </w:r>
    </w:p>
    <w:bookmarkEnd w:id="4"/>
    <w:bookmarkEnd w:id="5"/>
    <w:p w:rsidR="000874F9" w:rsidRPr="00D51B1C" w:rsidRDefault="000874F9" w:rsidP="00D51B1C">
      <w:pPr>
        <w:autoSpaceDE w:val="0"/>
        <w:autoSpaceDN w:val="0"/>
        <w:adjustRightInd w:val="0"/>
        <w:spacing w:after="0" w:line="240" w:lineRule="auto"/>
        <w:jc w:val="both"/>
        <w:rPr>
          <w:rFonts w:cs="AdvTimes"/>
        </w:rPr>
      </w:pPr>
    </w:p>
    <w:p w:rsidR="0091650F" w:rsidRPr="00D51B1C" w:rsidRDefault="00F32907" w:rsidP="00D51B1C">
      <w:pPr>
        <w:autoSpaceDE w:val="0"/>
        <w:autoSpaceDN w:val="0"/>
        <w:adjustRightInd w:val="0"/>
        <w:spacing w:after="0" w:line="240" w:lineRule="auto"/>
        <w:jc w:val="both"/>
        <w:rPr>
          <w:rFonts w:cs="AdvTimes"/>
          <w:b/>
        </w:rPr>
      </w:pPr>
      <w:r>
        <w:rPr>
          <w:rFonts w:cs="AdvTimes"/>
          <w:b/>
        </w:rPr>
        <w:t>The Prevent d</w:t>
      </w:r>
      <w:r w:rsidR="0091650F" w:rsidRPr="00D51B1C">
        <w:rPr>
          <w:rFonts w:cs="AdvTimes"/>
          <w:b/>
        </w:rPr>
        <w:t>uty</w:t>
      </w:r>
    </w:p>
    <w:p w:rsidR="006C79B1" w:rsidRPr="00D51B1C" w:rsidRDefault="006C79B1" w:rsidP="00D51B1C">
      <w:pPr>
        <w:autoSpaceDE w:val="0"/>
        <w:autoSpaceDN w:val="0"/>
        <w:adjustRightInd w:val="0"/>
        <w:spacing w:after="0" w:line="240" w:lineRule="auto"/>
        <w:jc w:val="both"/>
        <w:rPr>
          <w:rFonts w:cs="AdvTimes"/>
        </w:rPr>
      </w:pPr>
    </w:p>
    <w:p w:rsidR="004A5EDC" w:rsidRDefault="0074226D" w:rsidP="004A5EDC">
      <w:pPr>
        <w:autoSpaceDE w:val="0"/>
        <w:autoSpaceDN w:val="0"/>
        <w:adjustRightInd w:val="0"/>
        <w:spacing w:after="0" w:line="240" w:lineRule="auto"/>
        <w:jc w:val="both"/>
      </w:pPr>
      <w:r w:rsidRPr="00D51B1C">
        <w:t xml:space="preserve">With the above discussion in mind, the reforms introduced under the </w:t>
      </w:r>
      <w:r w:rsidR="0069396F" w:rsidRPr="00D51B1C">
        <w:t>CTSA</w:t>
      </w:r>
      <w:r w:rsidR="008D0F05" w:rsidRPr="00D51B1C">
        <w:t xml:space="preserve"> 2015</w:t>
      </w:r>
      <w:r w:rsidRPr="00D51B1C">
        <w:t xml:space="preserve"> warrant careful scrutiny. By Section 26 of the Act, universities, as one of a number of </w:t>
      </w:r>
      <w:r w:rsidR="008B004C" w:rsidRPr="00D51B1C">
        <w:t>“</w:t>
      </w:r>
      <w:r w:rsidRPr="00D51B1C">
        <w:t>specified authorities</w:t>
      </w:r>
      <w:r w:rsidR="008B004C" w:rsidRPr="00D51B1C">
        <w:t>”</w:t>
      </w:r>
      <w:r w:rsidRPr="00D51B1C">
        <w:t xml:space="preserve">, are now under a statutory duty </w:t>
      </w:r>
      <w:r w:rsidR="008D0F05" w:rsidRPr="00D51B1C">
        <w:t xml:space="preserve">have </w:t>
      </w:r>
      <w:r w:rsidR="001A0D15" w:rsidRPr="00D51B1C">
        <w:t>“</w:t>
      </w:r>
      <w:r w:rsidR="008D0F05" w:rsidRPr="00D51B1C">
        <w:t>due regard to the need to prevent people fr</w:t>
      </w:r>
      <w:r w:rsidR="001A0D15" w:rsidRPr="00D51B1C">
        <w:t>om being drawn into terrorism”.</w:t>
      </w:r>
      <w:r w:rsidR="00814F8E">
        <w:rPr>
          <w:rStyle w:val="FootnoteReference"/>
        </w:rPr>
        <w:footnoteReference w:id="33"/>
      </w:r>
      <w:r w:rsidR="00A57CB1" w:rsidRPr="00D51B1C">
        <w:t xml:space="preserve"> </w:t>
      </w:r>
      <w:r w:rsidR="00601BE6" w:rsidRPr="00D51B1C">
        <w:t xml:space="preserve">The duty is a key part of the Government’s </w:t>
      </w:r>
      <w:r w:rsidR="002F1493">
        <w:t xml:space="preserve">latest </w:t>
      </w:r>
      <w:r w:rsidR="00601BE6" w:rsidRPr="00D51B1C">
        <w:t>P</w:t>
      </w:r>
      <w:r w:rsidR="00567FE0" w:rsidRPr="00D51B1C">
        <w:t>revent strategy</w:t>
      </w:r>
      <w:bookmarkStart w:id="6" w:name="_Ref448148641"/>
      <w:r w:rsidR="002F1493">
        <w:rPr>
          <w:rStyle w:val="FootnoteReference"/>
        </w:rPr>
        <w:footnoteReference w:id="34"/>
      </w:r>
      <w:bookmarkEnd w:id="6"/>
      <w:r w:rsidR="00601BE6" w:rsidRPr="00D51B1C">
        <w:t xml:space="preserve">, which ostensibly seeks to </w:t>
      </w:r>
      <w:r w:rsidR="00587217" w:rsidRPr="00D51B1C">
        <w:t>“</w:t>
      </w:r>
      <w:r w:rsidR="00601BE6" w:rsidRPr="00D51B1C">
        <w:t>reduce the threat to the UK from terrorism by stopping people becoming ter</w:t>
      </w:r>
      <w:r w:rsidR="00587217" w:rsidRPr="00D51B1C">
        <w:t>rorists or supporting terrorism”.</w:t>
      </w:r>
      <w:bookmarkStart w:id="7" w:name="_Ref448148866"/>
      <w:r w:rsidR="00814F8E">
        <w:rPr>
          <w:rStyle w:val="FootnoteReference"/>
        </w:rPr>
        <w:footnoteReference w:id="35"/>
      </w:r>
      <w:bookmarkEnd w:id="7"/>
      <w:r w:rsidR="00682E91" w:rsidRPr="00D51B1C">
        <w:t xml:space="preserve"> Originally</w:t>
      </w:r>
      <w:r w:rsidR="00FF16A1" w:rsidRPr="00D51B1C">
        <w:t xml:space="preserve"> introduced</w:t>
      </w:r>
      <w:r w:rsidR="00682E91" w:rsidRPr="00D51B1C">
        <w:t xml:space="preserve"> by the New Labour </w:t>
      </w:r>
      <w:r w:rsidR="00EA2558" w:rsidRPr="00D51B1C">
        <w:t>Government</w:t>
      </w:r>
      <w:r w:rsidR="00682E91" w:rsidRPr="00D51B1C">
        <w:t xml:space="preserve"> in 2003</w:t>
      </w:r>
      <w:r w:rsidR="00FF16A1" w:rsidRPr="00D51B1C">
        <w:t>, following the London bombings of 7 July 2005 P</w:t>
      </w:r>
      <w:r w:rsidR="00682E91" w:rsidRPr="00D51B1C">
        <w:t xml:space="preserve">revent became </w:t>
      </w:r>
      <w:r w:rsidR="003F7913" w:rsidRPr="00D51B1C">
        <w:t xml:space="preserve">the </w:t>
      </w:r>
      <w:r w:rsidR="00FF16A1" w:rsidRPr="00D51B1C">
        <w:t>focal point of the Government’s overall</w:t>
      </w:r>
      <w:r w:rsidR="00682E91" w:rsidRPr="00D51B1C">
        <w:t xml:space="preserve"> </w:t>
      </w:r>
      <w:r w:rsidR="00FF16A1" w:rsidRPr="00D51B1C">
        <w:t xml:space="preserve">counter terrorism strategy, CONTEST, which aims to </w:t>
      </w:r>
      <w:r w:rsidR="003F7913" w:rsidRPr="00D51B1C">
        <w:t>“</w:t>
      </w:r>
      <w:r w:rsidR="002F1493">
        <w:t>r</w:t>
      </w:r>
      <w:r w:rsidR="00FF16A1" w:rsidRPr="00D51B1C">
        <w:t>educe the risk</w:t>
      </w:r>
      <w:r w:rsidR="002F1493">
        <w:t xml:space="preserve"> to the UK and its interests overseas from </w:t>
      </w:r>
      <w:r w:rsidR="002F1493">
        <w:lastRenderedPageBreak/>
        <w:t>terrorism”</w:t>
      </w:r>
      <w:r w:rsidR="003F7913" w:rsidRPr="00D51B1C">
        <w:t>.</w:t>
      </w:r>
      <w:r w:rsidR="002F1493">
        <w:rPr>
          <w:rStyle w:val="FootnoteReference"/>
        </w:rPr>
        <w:footnoteReference w:id="36"/>
      </w:r>
      <w:r w:rsidR="00FF16A1" w:rsidRPr="00D51B1C">
        <w:t xml:space="preserve"> </w:t>
      </w:r>
      <w:r w:rsidR="005F69E1" w:rsidRPr="00D51B1C">
        <w:t>The latest version of Prevent</w:t>
      </w:r>
      <w:r w:rsidR="002F1493">
        <w:rPr>
          <w:rStyle w:val="FootnoteReference"/>
        </w:rPr>
        <w:footnoteReference w:id="37"/>
      </w:r>
      <w:r w:rsidR="005F69E1" w:rsidRPr="00D51B1C">
        <w:t xml:space="preserve">, published </w:t>
      </w:r>
      <w:r w:rsidR="004418C1" w:rsidRPr="00D51B1C">
        <w:t xml:space="preserve">by the Coalition Government </w:t>
      </w:r>
      <w:r w:rsidR="002F1493">
        <w:t xml:space="preserve">in </w:t>
      </w:r>
      <w:r w:rsidR="00567FE0" w:rsidRPr="00D51B1C">
        <w:t>2011</w:t>
      </w:r>
      <w:r w:rsidR="004418C1" w:rsidRPr="00D51B1C">
        <w:t xml:space="preserve">, </w:t>
      </w:r>
      <w:r w:rsidR="005F69E1" w:rsidRPr="00D51B1C">
        <w:t>has</w:t>
      </w:r>
      <w:r w:rsidR="00567FE0" w:rsidRPr="00D51B1C">
        <w:t xml:space="preserve"> three stated objectives</w:t>
      </w:r>
      <w:r w:rsidR="005F69E1" w:rsidRPr="00D51B1C">
        <w:t>:</w:t>
      </w:r>
      <w:r w:rsidR="002F1493">
        <w:t xml:space="preserve"> first,</w:t>
      </w:r>
      <w:r w:rsidR="00567FE0" w:rsidRPr="00D51B1C">
        <w:t xml:space="preserve"> </w:t>
      </w:r>
      <w:r w:rsidR="005F69E1" w:rsidRPr="00D51B1C">
        <w:t xml:space="preserve">to </w:t>
      </w:r>
      <w:r w:rsidR="002F1493">
        <w:t>“</w:t>
      </w:r>
      <w:r w:rsidR="00567FE0" w:rsidRPr="00D51B1C">
        <w:t xml:space="preserve">respond to the ideological challenge of terrorism and the threat faced </w:t>
      </w:r>
      <w:r w:rsidR="002F1493">
        <w:t xml:space="preserve">from those who promote it”; second, </w:t>
      </w:r>
      <w:r w:rsidR="005F69E1" w:rsidRPr="00D51B1C">
        <w:t>to</w:t>
      </w:r>
      <w:r w:rsidR="002F1493">
        <w:t xml:space="preserve"> “</w:t>
      </w:r>
      <w:r w:rsidR="00567FE0" w:rsidRPr="00D51B1C">
        <w:t>prevent people from being drawn into terrorism and ensure that they are given appropriat</w:t>
      </w:r>
      <w:r w:rsidR="002F1493">
        <w:t>e advice and support”; and third</w:t>
      </w:r>
      <w:r w:rsidR="00567FE0" w:rsidRPr="00D51B1C">
        <w:t xml:space="preserve"> </w:t>
      </w:r>
      <w:r w:rsidR="005F69E1" w:rsidRPr="00D51B1C">
        <w:t xml:space="preserve">to </w:t>
      </w:r>
      <w:r w:rsidR="002F1493">
        <w:t>“</w:t>
      </w:r>
      <w:r w:rsidR="00567FE0" w:rsidRPr="00D51B1C">
        <w:t>work with sectors and institutions where th</w:t>
      </w:r>
      <w:r w:rsidR="002F1493">
        <w:t>ere are risks of radicalisation”</w:t>
      </w:r>
      <w:r w:rsidR="002F1493">
        <w:rPr>
          <w:rStyle w:val="FootnoteReference"/>
        </w:rPr>
        <w:footnoteReference w:id="38"/>
      </w:r>
      <w:r w:rsidR="00567FE0" w:rsidRPr="00D51B1C">
        <w:t>.</w:t>
      </w:r>
      <w:r w:rsidR="00AD784A" w:rsidRPr="00D51B1C">
        <w:t xml:space="preserve"> </w:t>
      </w:r>
      <w:r w:rsidR="00814B0D">
        <w:rPr>
          <w:rFonts w:eastAsia="Calibri"/>
        </w:rPr>
        <w:t xml:space="preserve">According to the Government, Prevent </w:t>
      </w:r>
      <w:r w:rsidR="009E64E5" w:rsidRPr="00D51B1C">
        <w:rPr>
          <w:rFonts w:eastAsia="Calibri"/>
        </w:rPr>
        <w:t xml:space="preserve">is designed to </w:t>
      </w:r>
      <w:r w:rsidR="005E4A96" w:rsidRPr="00D51B1C">
        <w:rPr>
          <w:rFonts w:eastAsia="Calibri"/>
        </w:rPr>
        <w:t>address not only terrorism but also “</w:t>
      </w:r>
      <w:r w:rsidR="009E64E5" w:rsidRPr="00D51B1C">
        <w:rPr>
          <w:rFonts w:eastAsia="Calibri"/>
        </w:rPr>
        <w:t>non-violent</w:t>
      </w:r>
      <w:r w:rsidR="005E4A96" w:rsidRPr="00D51B1C">
        <w:rPr>
          <w:rFonts w:eastAsia="Calibri"/>
        </w:rPr>
        <w:t xml:space="preserve"> extremism”,</w:t>
      </w:r>
      <w:r w:rsidR="007D5BF3">
        <w:rPr>
          <w:rFonts w:eastAsia="Calibri"/>
        </w:rPr>
        <w:t xml:space="preserve"> which “</w:t>
      </w:r>
      <w:r w:rsidR="007D5BF3">
        <w:t>can create an atmosphere conducive to terrorism and can popularise views which terrorists exploit</w:t>
      </w:r>
      <w:r w:rsidR="009E64E5" w:rsidRPr="00D51B1C">
        <w:t>.”</w:t>
      </w:r>
      <w:r w:rsidR="007D5BF3">
        <w:rPr>
          <w:rStyle w:val="FootnoteReference"/>
        </w:rPr>
        <w:footnoteReference w:id="39"/>
      </w:r>
      <w:r w:rsidR="009E64E5" w:rsidRPr="00D51B1C">
        <w:t xml:space="preserve"> P</w:t>
      </w:r>
      <w:r w:rsidR="00890148" w:rsidRPr="00D51B1C">
        <w:t>reventing people becoming drawn into terrorism requires the challenge of “extremist ideas” and “intervening to stop people moving from extremist (albeit legal) groups in</w:t>
      </w:r>
      <w:r w:rsidR="007D5BF3">
        <w:t>to terrorist-related activity.”</w:t>
      </w:r>
      <w:r w:rsidR="007D5BF3">
        <w:rPr>
          <w:rStyle w:val="FootnoteReference"/>
        </w:rPr>
        <w:footnoteReference w:id="40"/>
      </w:r>
    </w:p>
    <w:p w:rsidR="004A5EDC" w:rsidRDefault="004A5EDC" w:rsidP="00D51B1C">
      <w:pPr>
        <w:spacing w:after="0" w:line="240" w:lineRule="auto"/>
        <w:jc w:val="both"/>
      </w:pPr>
    </w:p>
    <w:p w:rsidR="00076C04" w:rsidRPr="00D51B1C" w:rsidRDefault="00A57CB1" w:rsidP="00D51B1C">
      <w:pPr>
        <w:spacing w:after="0" w:line="240" w:lineRule="auto"/>
        <w:jc w:val="both"/>
      </w:pPr>
      <w:r w:rsidRPr="00D51B1C">
        <w:rPr>
          <w:rFonts w:eastAsia="Calibri"/>
        </w:rPr>
        <w:t xml:space="preserve">Universities have been </w:t>
      </w:r>
      <w:r w:rsidR="00811BE2" w:rsidRPr="00D51B1C">
        <w:rPr>
          <w:rFonts w:eastAsia="Calibri"/>
        </w:rPr>
        <w:t xml:space="preserve">singled out by the Government as a </w:t>
      </w:r>
      <w:r w:rsidR="00FE2C82" w:rsidRPr="00D51B1C">
        <w:rPr>
          <w:rFonts w:eastAsia="Calibri"/>
        </w:rPr>
        <w:t>key focal point in the</w:t>
      </w:r>
      <w:r w:rsidR="00AD2EDD" w:rsidRPr="00D51B1C">
        <w:rPr>
          <w:rFonts w:eastAsia="Calibri"/>
        </w:rPr>
        <w:t xml:space="preserve"> propagation of “extremism”</w:t>
      </w:r>
      <w:r w:rsidRPr="00D51B1C">
        <w:rPr>
          <w:rFonts w:eastAsia="Calibri"/>
        </w:rPr>
        <w:t xml:space="preserve">. </w:t>
      </w:r>
      <w:r w:rsidR="00D109E5" w:rsidRPr="00D51B1C">
        <w:t xml:space="preserve">The 2011 Prevent policy claimed that over </w:t>
      </w:r>
      <w:r w:rsidR="00C10877">
        <w:t>thirty per cent</w:t>
      </w:r>
      <w:r w:rsidR="00D109E5" w:rsidRPr="00D51B1C">
        <w:t xml:space="preserve"> of people convicted of Al Qaeda-related terrorist offences in the UK between 1999 and 2009 had previously attended university or a </w:t>
      </w:r>
      <w:r w:rsidR="00FE2C82" w:rsidRPr="00D51B1C">
        <w:t>HE</w:t>
      </w:r>
      <w:r w:rsidR="00D109E5" w:rsidRPr="00D51B1C">
        <w:t xml:space="preserve"> institution.</w:t>
      </w:r>
      <w:r w:rsidR="00152A23">
        <w:rPr>
          <w:rStyle w:val="FootnoteReference"/>
        </w:rPr>
        <w:footnoteReference w:id="41"/>
      </w:r>
      <w:r w:rsidR="00D109E5" w:rsidRPr="00D51B1C">
        <w:t xml:space="preserve"> Despite that this figure is significantly lower than the UK average </w:t>
      </w:r>
      <w:r w:rsidR="00BD01CC" w:rsidRPr="00D51B1C">
        <w:t xml:space="preserve">of </w:t>
      </w:r>
      <w:proofErr w:type="gramStart"/>
      <w:r w:rsidR="00BD01CC" w:rsidRPr="00D51B1C">
        <w:t>47</w:t>
      </w:r>
      <w:r w:rsidR="00C10877">
        <w:t xml:space="preserve">  per</w:t>
      </w:r>
      <w:proofErr w:type="gramEnd"/>
      <w:r w:rsidR="00C10877">
        <w:t xml:space="preserve"> cent</w:t>
      </w:r>
      <w:r w:rsidR="00BD01CC" w:rsidRPr="00D51B1C">
        <w:rPr>
          <w:rStyle w:val="FootnoteReference"/>
        </w:rPr>
        <w:footnoteReference w:id="42"/>
      </w:r>
      <w:r w:rsidR="00D109E5" w:rsidRPr="00D51B1C">
        <w:t>, the Government appeared to draw a causal l</w:t>
      </w:r>
      <w:r w:rsidR="00AD2EDD" w:rsidRPr="00D51B1C">
        <w:t xml:space="preserve">ink between </w:t>
      </w:r>
      <w:r w:rsidR="00C72929">
        <w:t>HE</w:t>
      </w:r>
      <w:r w:rsidR="00D109E5" w:rsidRPr="00D51B1C">
        <w:t xml:space="preserve"> and terrorist atrocities, claiming that a number of convicted terrorists were influenced by “extremist ideology” whist studying at university. Although the Government provided no evidence to support this claim, it cited the </w:t>
      </w:r>
      <w:r w:rsidR="00DB3590" w:rsidRPr="00D51B1C">
        <w:t>case</w:t>
      </w:r>
      <w:r w:rsidR="00D109E5" w:rsidRPr="00D51B1C">
        <w:t xml:space="preserve"> of </w:t>
      </w:r>
      <w:r w:rsidR="00BD01CC" w:rsidRPr="00D51B1C">
        <w:t xml:space="preserve">Umar Farouk </w:t>
      </w:r>
      <w:proofErr w:type="spellStart"/>
      <w:r w:rsidR="00BD01CC" w:rsidRPr="00D51B1C">
        <w:t>Abdulmutallab</w:t>
      </w:r>
      <w:proofErr w:type="spellEnd"/>
      <w:r w:rsidR="00BD01CC" w:rsidRPr="00D51B1C">
        <w:t xml:space="preserve">, </w:t>
      </w:r>
      <w:r w:rsidR="00D109E5" w:rsidRPr="00D51B1C">
        <w:t>convicted in the US of the attempted bombing of an aircraft in</w:t>
      </w:r>
      <w:r w:rsidR="00BD01CC" w:rsidRPr="00D51B1C">
        <w:t xml:space="preserve"> 2009 who had </w:t>
      </w:r>
      <w:r w:rsidR="00A400F7" w:rsidRPr="00D51B1C">
        <w:t>previously studied at</w:t>
      </w:r>
      <w:r w:rsidR="00BD01CC" w:rsidRPr="00D51B1C">
        <w:t xml:space="preserve"> University College London.</w:t>
      </w:r>
      <w:r w:rsidR="00BD01CC" w:rsidRPr="00D51B1C">
        <w:rPr>
          <w:rStyle w:val="FootnoteReference"/>
        </w:rPr>
        <w:footnoteReference w:id="43"/>
      </w:r>
      <w:r w:rsidR="006C5B37" w:rsidRPr="00D51B1C">
        <w:t xml:space="preserve"> </w:t>
      </w:r>
      <w:r w:rsidR="00AD4D35" w:rsidRPr="00D51B1C">
        <w:t>T</w:t>
      </w:r>
      <w:r w:rsidR="00D109E5" w:rsidRPr="00D51B1C">
        <w:t>he policy recognised the importance of universities</w:t>
      </w:r>
      <w:r w:rsidR="00462298" w:rsidRPr="00D51B1C">
        <w:t xml:space="preserve"> and colleges</w:t>
      </w:r>
      <w:r w:rsidR="00D109E5" w:rsidRPr="00D51B1C">
        <w:t xml:space="preserve"> in promoting and facilitating the exchange of opinions and facilitating debate, </w:t>
      </w:r>
      <w:r w:rsidR="00AD4D35" w:rsidRPr="00D51B1C">
        <w:t xml:space="preserve">but </w:t>
      </w:r>
      <w:r w:rsidR="00D109E5" w:rsidRPr="00D51B1C">
        <w:t>went on to stress</w:t>
      </w:r>
      <w:r w:rsidR="006C5B37" w:rsidRPr="00D51B1C">
        <w:t xml:space="preserve"> </w:t>
      </w:r>
      <w:r w:rsidR="00D109E5" w:rsidRPr="00D51B1C">
        <w:t xml:space="preserve">the “legal and moral obligation” on </w:t>
      </w:r>
      <w:r w:rsidR="00462298" w:rsidRPr="00D51B1C">
        <w:t>HE and FE institutions</w:t>
      </w:r>
      <w:r w:rsidR="00D109E5" w:rsidRPr="00D51B1C">
        <w:t xml:space="preserve"> “to ensure that the place of work and study is a tolerant, welcoming and safe environment”.</w:t>
      </w:r>
      <w:r w:rsidR="00005B33">
        <w:rPr>
          <w:rStyle w:val="FootnoteReference"/>
        </w:rPr>
        <w:footnoteReference w:id="44"/>
      </w:r>
      <w:r w:rsidR="00D109E5" w:rsidRPr="00D51B1C">
        <w:t xml:space="preserve"> </w:t>
      </w:r>
      <w:r w:rsidR="00EC1B20" w:rsidRPr="00D51B1C">
        <w:t>M</w:t>
      </w:r>
      <w:r w:rsidR="002D406A" w:rsidRPr="00D51B1C">
        <w:t xml:space="preserve">aking </w:t>
      </w:r>
      <w:r w:rsidR="00EC1B20" w:rsidRPr="00D51B1C">
        <w:t xml:space="preserve">passing </w:t>
      </w:r>
      <w:r w:rsidR="000F2F52" w:rsidRPr="00D51B1C">
        <w:t xml:space="preserve">reference to the </w:t>
      </w:r>
      <w:r w:rsidR="00076C04" w:rsidRPr="00D51B1C">
        <w:t>importance of academic f</w:t>
      </w:r>
      <w:r w:rsidR="00EC1B20" w:rsidRPr="00D51B1C">
        <w:t xml:space="preserve">reedom in </w:t>
      </w:r>
      <w:r w:rsidR="0041264D" w:rsidRPr="00D51B1C">
        <w:t>further and higher education</w:t>
      </w:r>
      <w:r w:rsidR="00EC1B20" w:rsidRPr="00D51B1C">
        <w:t>,</w:t>
      </w:r>
      <w:r w:rsidR="00076C04" w:rsidRPr="00D51B1C">
        <w:t xml:space="preserve"> the </w:t>
      </w:r>
      <w:r w:rsidR="000F2F52" w:rsidRPr="00D51B1C">
        <w:t xml:space="preserve">message to </w:t>
      </w:r>
      <w:r w:rsidR="00337D1D" w:rsidRPr="00D51B1C">
        <w:t>s</w:t>
      </w:r>
      <w:r w:rsidR="000F2F52" w:rsidRPr="00D51B1C">
        <w:t xml:space="preserve">ector </w:t>
      </w:r>
      <w:r w:rsidR="00076C04" w:rsidRPr="00D51B1C">
        <w:t>was clear:</w:t>
      </w:r>
    </w:p>
    <w:p w:rsidR="00AA73CE" w:rsidRDefault="00AA73CE" w:rsidP="00D51B1C">
      <w:pPr>
        <w:spacing w:after="0" w:line="240" w:lineRule="auto"/>
        <w:ind w:left="720"/>
        <w:jc w:val="both"/>
      </w:pPr>
    </w:p>
    <w:p w:rsidR="00567FE0" w:rsidRPr="00D51B1C" w:rsidRDefault="00076C04" w:rsidP="00AA73CE">
      <w:pPr>
        <w:spacing w:after="0" w:line="240" w:lineRule="auto"/>
        <w:ind w:left="720" w:right="720"/>
        <w:jc w:val="both"/>
        <w:rPr>
          <w:rFonts w:eastAsia="Calibri"/>
        </w:rPr>
      </w:pPr>
      <w:r w:rsidRPr="00D51B1C">
        <w:t>Universities and colleges – and, to some extent, university societies and student groups – have a clear and unambiguous role to play in helping to safeguard vulnerable young people from radicalisation and recruitment by terrorist organisations.</w:t>
      </w:r>
    </w:p>
    <w:p w:rsidR="00EA2558" w:rsidRPr="00D51B1C" w:rsidRDefault="00EA2558" w:rsidP="00D51B1C">
      <w:pPr>
        <w:spacing w:after="0" w:line="240" w:lineRule="auto"/>
        <w:jc w:val="both"/>
        <w:rPr>
          <w:rFonts w:eastAsia="Calibri"/>
        </w:rPr>
      </w:pPr>
    </w:p>
    <w:p w:rsidR="0088682F" w:rsidRPr="00D51B1C" w:rsidRDefault="00D05821" w:rsidP="00D51B1C">
      <w:pPr>
        <w:spacing w:after="0" w:line="240" w:lineRule="auto"/>
        <w:jc w:val="both"/>
        <w:rPr>
          <w:rFonts w:eastAsia="Calibri"/>
        </w:rPr>
      </w:pPr>
      <w:r w:rsidRPr="00D51B1C">
        <w:rPr>
          <w:rFonts w:eastAsia="Calibri"/>
        </w:rPr>
        <w:t xml:space="preserve">Government guidance accompanying the </w:t>
      </w:r>
      <w:r w:rsidR="005F69E1" w:rsidRPr="00D51B1C">
        <w:rPr>
          <w:rFonts w:eastAsia="Calibri"/>
        </w:rPr>
        <w:t>CTSA 2015</w:t>
      </w:r>
      <w:r w:rsidRPr="00D51B1C">
        <w:rPr>
          <w:rFonts w:eastAsia="Calibri"/>
        </w:rPr>
        <w:t xml:space="preserve"> </w:t>
      </w:r>
      <w:r w:rsidR="00DA0F2E" w:rsidRPr="00D51B1C">
        <w:rPr>
          <w:rFonts w:eastAsia="Calibri"/>
        </w:rPr>
        <w:t xml:space="preserve">sets out a number of </w:t>
      </w:r>
      <w:r w:rsidR="003A14EC" w:rsidRPr="00D51B1C">
        <w:rPr>
          <w:rFonts w:eastAsia="Calibri"/>
        </w:rPr>
        <w:t xml:space="preserve">far-reaching </w:t>
      </w:r>
      <w:r w:rsidR="00DA0F2E" w:rsidRPr="00D51B1C">
        <w:rPr>
          <w:rFonts w:eastAsia="Calibri"/>
        </w:rPr>
        <w:t xml:space="preserve">obligations on universities to ensure that the </w:t>
      </w:r>
      <w:r w:rsidR="00F97123" w:rsidRPr="00D51B1C">
        <w:rPr>
          <w:rFonts w:eastAsia="Calibri"/>
        </w:rPr>
        <w:t xml:space="preserve">Prevent </w:t>
      </w:r>
      <w:r w:rsidR="00DA0F2E" w:rsidRPr="00D51B1C">
        <w:rPr>
          <w:rFonts w:eastAsia="Calibri"/>
        </w:rPr>
        <w:t>duty is met.</w:t>
      </w:r>
      <w:r w:rsidR="009E6121" w:rsidRPr="00D51B1C">
        <w:rPr>
          <w:rStyle w:val="FootnoteReference"/>
          <w:rFonts w:eastAsia="Calibri"/>
        </w:rPr>
        <w:footnoteReference w:id="45"/>
      </w:r>
      <w:r w:rsidR="00DA0F2E" w:rsidRPr="00D51B1C">
        <w:rPr>
          <w:rFonts w:eastAsia="Calibri"/>
        </w:rPr>
        <w:t xml:space="preserve"> This includes a requirement</w:t>
      </w:r>
      <w:r w:rsidRPr="00D51B1C">
        <w:rPr>
          <w:rFonts w:eastAsia="Calibri"/>
        </w:rPr>
        <w:t xml:space="preserve"> that there are adequa</w:t>
      </w:r>
      <w:r w:rsidR="003A14EC" w:rsidRPr="00D51B1C">
        <w:rPr>
          <w:rFonts w:eastAsia="Calibri"/>
        </w:rPr>
        <w:t>te risk assessments in place to regulate external speakers,</w:t>
      </w:r>
      <w:r w:rsidRPr="00D51B1C">
        <w:rPr>
          <w:rFonts w:eastAsia="Calibri"/>
        </w:rPr>
        <w:t xml:space="preserve"> </w:t>
      </w:r>
      <w:r w:rsidR="003A14EC" w:rsidRPr="00D51B1C">
        <w:rPr>
          <w:rFonts w:eastAsia="Calibri"/>
        </w:rPr>
        <w:t xml:space="preserve">challenge </w:t>
      </w:r>
      <w:r w:rsidR="008F7406" w:rsidRPr="00D51B1C">
        <w:rPr>
          <w:rFonts w:eastAsia="Calibri"/>
        </w:rPr>
        <w:t>“</w:t>
      </w:r>
      <w:r w:rsidRPr="00D51B1C">
        <w:rPr>
          <w:rFonts w:eastAsia="Calibri"/>
        </w:rPr>
        <w:t>extremist views</w:t>
      </w:r>
      <w:r w:rsidR="008F7406" w:rsidRPr="00D51B1C">
        <w:rPr>
          <w:rFonts w:eastAsia="Calibri"/>
        </w:rPr>
        <w:t>”</w:t>
      </w:r>
      <w:r w:rsidR="003A14EC" w:rsidRPr="00D51B1C">
        <w:rPr>
          <w:rFonts w:eastAsia="Calibri"/>
        </w:rPr>
        <w:t xml:space="preserve"> and </w:t>
      </w:r>
      <w:r w:rsidRPr="00D51B1C">
        <w:rPr>
          <w:rFonts w:eastAsia="Calibri"/>
        </w:rPr>
        <w:t>assess where and how students might be at risk of being drawn into terro</w:t>
      </w:r>
      <w:r w:rsidR="003A14EC" w:rsidRPr="00D51B1C">
        <w:rPr>
          <w:rFonts w:eastAsia="Calibri"/>
        </w:rPr>
        <w:t xml:space="preserve">rism and non-violent extremism. </w:t>
      </w:r>
      <w:r w:rsidRPr="00D51B1C">
        <w:rPr>
          <w:rFonts w:eastAsia="Calibri"/>
        </w:rPr>
        <w:t>Universities should also have “robust procedures” in place for sharing information</w:t>
      </w:r>
      <w:r w:rsidR="004E775E" w:rsidRPr="00D51B1C">
        <w:rPr>
          <w:rFonts w:eastAsia="Calibri"/>
        </w:rPr>
        <w:t>,</w:t>
      </w:r>
      <w:r w:rsidRPr="00D51B1C">
        <w:rPr>
          <w:rFonts w:eastAsia="Calibri"/>
        </w:rPr>
        <w:t xml:space="preserve"> </w:t>
      </w:r>
      <w:r w:rsidR="00DA0F2E" w:rsidRPr="00D51B1C">
        <w:rPr>
          <w:rFonts w:eastAsia="Calibri"/>
        </w:rPr>
        <w:t xml:space="preserve">both </w:t>
      </w:r>
      <w:r w:rsidRPr="00D51B1C">
        <w:rPr>
          <w:rFonts w:eastAsia="Calibri"/>
        </w:rPr>
        <w:lastRenderedPageBreak/>
        <w:t>internally and externally</w:t>
      </w:r>
      <w:r w:rsidR="004E775E" w:rsidRPr="00D51B1C">
        <w:rPr>
          <w:rFonts w:eastAsia="Calibri"/>
        </w:rPr>
        <w:t>,</w:t>
      </w:r>
      <w:r w:rsidRPr="00D51B1C">
        <w:rPr>
          <w:rFonts w:eastAsia="Calibri"/>
        </w:rPr>
        <w:t xml:space="preserve"> about “vulnerable individuals” and develop a “clear Prevent referral process with a single point of contact which is known to all staff and students.”</w:t>
      </w:r>
      <w:r w:rsidR="00DA0F2E" w:rsidRPr="00D51B1C">
        <w:rPr>
          <w:rFonts w:eastAsia="Calibri"/>
        </w:rPr>
        <w:t xml:space="preserve"> </w:t>
      </w:r>
      <w:r w:rsidR="000A146E" w:rsidRPr="00D51B1C">
        <w:rPr>
          <w:rFonts w:eastAsia="Calibri"/>
        </w:rPr>
        <w:t>R</w:t>
      </w:r>
      <w:r w:rsidR="003A14EC" w:rsidRPr="00D51B1C">
        <w:rPr>
          <w:rFonts w:eastAsia="Calibri"/>
        </w:rPr>
        <w:t xml:space="preserve">elevant university staff should be required to undertake “Prevent awareness training”, and </w:t>
      </w:r>
      <w:r w:rsidR="00DA0F2E" w:rsidRPr="00D51B1C">
        <w:rPr>
          <w:rFonts w:eastAsia="Calibri"/>
        </w:rPr>
        <w:t xml:space="preserve">policies and procedures </w:t>
      </w:r>
      <w:r w:rsidR="003A14EC" w:rsidRPr="00D51B1C">
        <w:rPr>
          <w:rFonts w:eastAsia="Calibri"/>
        </w:rPr>
        <w:t xml:space="preserve">should be in place </w:t>
      </w:r>
      <w:r w:rsidR="00DA0F2E" w:rsidRPr="00D51B1C">
        <w:rPr>
          <w:rFonts w:eastAsia="Calibri"/>
        </w:rPr>
        <w:t>for students and staff working on “sensitive or extremism-related research”</w:t>
      </w:r>
      <w:r w:rsidR="003A14EC" w:rsidRPr="00D51B1C">
        <w:rPr>
          <w:rFonts w:eastAsia="Calibri"/>
        </w:rPr>
        <w:t xml:space="preserve">, which includes </w:t>
      </w:r>
      <w:r w:rsidR="0057472E" w:rsidRPr="00D51B1C">
        <w:rPr>
          <w:rFonts w:eastAsia="Calibri"/>
        </w:rPr>
        <w:t>identifying and addressing issues w</w:t>
      </w:r>
      <w:r w:rsidR="00DA0F2E" w:rsidRPr="00D51B1C">
        <w:rPr>
          <w:rFonts w:eastAsia="Calibri"/>
        </w:rPr>
        <w:t>here online materials are accessed for “non-research purposes”.</w:t>
      </w:r>
      <w:r w:rsidR="005F5282" w:rsidRPr="00D51B1C">
        <w:rPr>
          <w:rFonts w:eastAsia="Calibri"/>
        </w:rPr>
        <w:t xml:space="preserve"> Finally, universities should have clear policies which set out “activities that are or are not allowed to take place on campus</w:t>
      </w:r>
      <w:r w:rsidR="004E775E" w:rsidRPr="00D51B1C">
        <w:rPr>
          <w:rFonts w:eastAsia="Calibri"/>
        </w:rPr>
        <w:t>”</w:t>
      </w:r>
      <w:r w:rsidR="005F5282" w:rsidRPr="00D51B1C">
        <w:rPr>
          <w:rFonts w:eastAsia="Calibri"/>
        </w:rPr>
        <w:t>, including setting out “what is expected from the student unions and societies in relation to Prevent.”</w:t>
      </w:r>
      <w:r w:rsidR="0088682F" w:rsidRPr="00D51B1C">
        <w:rPr>
          <w:rFonts w:eastAsia="Calibri"/>
        </w:rPr>
        <w:t xml:space="preserve"> </w:t>
      </w:r>
      <w:r w:rsidR="003353F1" w:rsidRPr="00D51B1C">
        <w:rPr>
          <w:rFonts w:eastAsia="Calibri"/>
        </w:rPr>
        <w:t>Universities are required to have regard to this guidance in carrying out the Prevent duty</w:t>
      </w:r>
      <w:r w:rsidR="00325E0F" w:rsidRPr="00D51B1C">
        <w:rPr>
          <w:rStyle w:val="FootnoteReference"/>
          <w:rFonts w:eastAsia="Calibri"/>
        </w:rPr>
        <w:footnoteReference w:id="46"/>
      </w:r>
      <w:r w:rsidR="003353F1" w:rsidRPr="00D51B1C">
        <w:rPr>
          <w:rFonts w:eastAsia="Calibri"/>
        </w:rPr>
        <w:t xml:space="preserve">, and the Home Secretary has the power to issue directions to </w:t>
      </w:r>
      <w:r w:rsidR="00325E0F" w:rsidRPr="00D51B1C">
        <w:rPr>
          <w:rFonts w:eastAsia="Calibri"/>
        </w:rPr>
        <w:t>a university</w:t>
      </w:r>
      <w:r w:rsidR="003353F1" w:rsidRPr="00D51B1C">
        <w:rPr>
          <w:rFonts w:eastAsia="Calibri"/>
        </w:rPr>
        <w:t xml:space="preserve"> for the purpose of enforcing the duty</w:t>
      </w:r>
      <w:r w:rsidR="00325E0F" w:rsidRPr="00D51B1C">
        <w:rPr>
          <w:rStyle w:val="FootnoteReference"/>
          <w:rFonts w:eastAsia="Calibri"/>
        </w:rPr>
        <w:footnoteReference w:id="47"/>
      </w:r>
      <w:r w:rsidR="003353F1" w:rsidRPr="00D51B1C">
        <w:rPr>
          <w:rFonts w:eastAsia="Calibri"/>
        </w:rPr>
        <w:t>. Failure to discharge the duty can result in the Secretary of State seeking a mandatory order from the court which may, ultimately, hold the u</w:t>
      </w:r>
      <w:r w:rsidR="00325E0F" w:rsidRPr="00D51B1C">
        <w:rPr>
          <w:rFonts w:eastAsia="Calibri"/>
        </w:rPr>
        <w:t>niversity in contempt of court.</w:t>
      </w:r>
      <w:r w:rsidR="00325E0F" w:rsidRPr="00D51B1C">
        <w:rPr>
          <w:rStyle w:val="FootnoteReference"/>
          <w:rFonts w:eastAsia="Calibri"/>
        </w:rPr>
        <w:footnoteReference w:id="48"/>
      </w:r>
    </w:p>
    <w:p w:rsidR="0088682F" w:rsidRPr="00D51B1C" w:rsidRDefault="0088682F" w:rsidP="00D51B1C">
      <w:pPr>
        <w:spacing w:after="0" w:line="240" w:lineRule="auto"/>
        <w:jc w:val="both"/>
        <w:rPr>
          <w:rFonts w:eastAsia="Calibri"/>
        </w:rPr>
      </w:pPr>
    </w:p>
    <w:p w:rsidR="0084097D" w:rsidRDefault="00C2033A" w:rsidP="00D51B1C">
      <w:pPr>
        <w:spacing w:after="0" w:line="240" w:lineRule="auto"/>
        <w:jc w:val="both"/>
        <w:rPr>
          <w:rFonts w:eastAsia="Calibri"/>
        </w:rPr>
      </w:pPr>
      <w:r>
        <w:t xml:space="preserve">Since the legislation was enacted, the provisions </w:t>
      </w:r>
      <w:r w:rsidR="00470577">
        <w:t xml:space="preserve">have </w:t>
      </w:r>
      <w:r>
        <w:t>provoke</w:t>
      </w:r>
      <w:r w:rsidR="00470577">
        <w:t>d widespread</w:t>
      </w:r>
      <w:r>
        <w:t xml:space="preserve"> condemnation. During a visit to the UK in 2016, the UN Special Rapporteur on the rights to freedom of </w:t>
      </w:r>
      <w:r w:rsidRPr="00144BD4">
        <w:rPr>
          <w:rFonts w:eastAsia="Calibri"/>
        </w:rPr>
        <w:t>peaceful assembly and association found that the strategy had “created unease and uncertainty around what can be legitimately discussed in public” and risked “dividing, stigmatising and alienating segments of the population”.</w:t>
      </w:r>
      <w:r>
        <w:rPr>
          <w:rStyle w:val="FootnoteReference"/>
          <w:rFonts w:eastAsia="Calibri"/>
        </w:rPr>
        <w:footnoteReference w:id="49"/>
      </w:r>
      <w:r>
        <w:rPr>
          <w:rFonts w:eastAsia="Calibri"/>
        </w:rPr>
        <w:t xml:space="preserve"> </w:t>
      </w:r>
      <w:r w:rsidRPr="00144BD4">
        <w:rPr>
          <w:rFonts w:eastAsia="Calibri"/>
        </w:rPr>
        <w:t xml:space="preserve">A report published in October 2016 by the Open Society Justice Initiative found that the </w:t>
      </w:r>
      <w:r w:rsidR="0084097D">
        <w:rPr>
          <w:rFonts w:eastAsia="Calibri"/>
        </w:rPr>
        <w:t xml:space="preserve">strategy </w:t>
      </w:r>
      <w:r w:rsidRPr="00144BD4">
        <w:rPr>
          <w:rFonts w:eastAsia="Calibri"/>
        </w:rPr>
        <w:t>“creates a serious risk of human rights violations” and is potentially counterproductive.</w:t>
      </w:r>
      <w:r>
        <w:rPr>
          <w:rStyle w:val="FootnoteReference"/>
          <w:rFonts w:eastAsia="Calibri"/>
        </w:rPr>
        <w:footnoteReference w:id="50"/>
      </w:r>
      <w:r>
        <w:rPr>
          <w:rFonts w:eastAsia="Calibri"/>
        </w:rPr>
        <w:t xml:space="preserve"> </w:t>
      </w:r>
      <w:r w:rsidR="0084097D">
        <w:rPr>
          <w:rFonts w:eastAsia="Calibri"/>
        </w:rPr>
        <w:t>Despite these concerns, the Government is reported to be considering a major expansion of Prevent as part of an overall “refresh” of the Government’s “deradicalization” strategy</w:t>
      </w:r>
      <w:r w:rsidR="0084097D">
        <w:rPr>
          <w:rStyle w:val="FootnoteReference"/>
          <w:rFonts w:eastAsia="Calibri"/>
        </w:rPr>
        <w:footnoteReference w:id="51"/>
      </w:r>
    </w:p>
    <w:p w:rsidR="0084097D" w:rsidRDefault="0084097D" w:rsidP="00D51B1C">
      <w:pPr>
        <w:spacing w:after="0" w:line="240" w:lineRule="auto"/>
        <w:jc w:val="both"/>
        <w:rPr>
          <w:rFonts w:eastAsia="Calibri"/>
        </w:rPr>
      </w:pPr>
    </w:p>
    <w:p w:rsidR="00F823E4" w:rsidRPr="00D51B1C" w:rsidRDefault="003353F1" w:rsidP="00D51B1C">
      <w:pPr>
        <w:spacing w:after="0" w:line="240" w:lineRule="auto"/>
        <w:jc w:val="both"/>
        <w:rPr>
          <w:rFonts w:eastAsia="Calibri"/>
        </w:rPr>
      </w:pPr>
      <w:r w:rsidRPr="00D51B1C">
        <w:rPr>
          <w:rFonts w:eastAsia="Calibri"/>
        </w:rPr>
        <w:t xml:space="preserve">These </w:t>
      </w:r>
      <w:r w:rsidR="0084097D">
        <w:rPr>
          <w:rFonts w:eastAsia="Calibri"/>
        </w:rPr>
        <w:t>developments</w:t>
      </w:r>
      <w:r w:rsidR="00F823E4" w:rsidRPr="00D51B1C">
        <w:rPr>
          <w:rFonts w:eastAsia="Calibri"/>
        </w:rPr>
        <w:t xml:space="preserve"> have significant implications for staff and students in UK HE. Although Section 31 of the </w:t>
      </w:r>
      <w:r w:rsidR="0023694A" w:rsidRPr="00D51B1C">
        <w:rPr>
          <w:rFonts w:eastAsia="Calibri"/>
        </w:rPr>
        <w:t>CTSA 2015</w:t>
      </w:r>
      <w:r w:rsidR="00F823E4" w:rsidRPr="00D51B1C">
        <w:rPr>
          <w:rFonts w:eastAsia="Calibri"/>
        </w:rPr>
        <w:t xml:space="preserve"> requires that the Prevent duty is balanced against a need to have “</w:t>
      </w:r>
      <w:proofErr w:type="gramStart"/>
      <w:r w:rsidR="00F823E4" w:rsidRPr="00D51B1C">
        <w:rPr>
          <w:rFonts w:eastAsia="Calibri"/>
        </w:rPr>
        <w:t>particular regard</w:t>
      </w:r>
      <w:proofErr w:type="gramEnd"/>
      <w:r w:rsidR="00F823E4" w:rsidRPr="00D51B1C">
        <w:rPr>
          <w:rFonts w:eastAsia="Calibri"/>
        </w:rPr>
        <w:t xml:space="preserve"> to the duty to ensure freedom of speech” and “to the importance of academic freedom”, no further guidance is given to as to how this balance should be struck.</w:t>
      </w:r>
      <w:r w:rsidR="000022DD">
        <w:rPr>
          <w:rFonts w:eastAsia="Calibri"/>
        </w:rPr>
        <w:t xml:space="preserve"> It is no surprise, therefore, that some education providers have had difficulty understanding and implementing the duty</w:t>
      </w:r>
      <w:r w:rsidR="00F71781">
        <w:rPr>
          <w:rFonts w:eastAsia="Calibri"/>
        </w:rPr>
        <w:t>.</w:t>
      </w:r>
      <w:r w:rsidR="000022DD">
        <w:rPr>
          <w:rStyle w:val="FootnoteReference"/>
          <w:rFonts w:eastAsia="Calibri"/>
        </w:rPr>
        <w:footnoteReference w:id="52"/>
      </w:r>
      <w:r w:rsidR="00F71781">
        <w:rPr>
          <w:rFonts w:eastAsia="Calibri"/>
        </w:rPr>
        <w:t xml:space="preserve"> </w:t>
      </w:r>
      <w:r w:rsidR="00D90A37" w:rsidRPr="00D51B1C">
        <w:rPr>
          <w:rFonts w:eastAsia="Calibri"/>
        </w:rPr>
        <w:t xml:space="preserve">The remainder of this </w:t>
      </w:r>
      <w:r w:rsidR="00372C7C">
        <w:rPr>
          <w:rFonts w:eastAsia="Calibri"/>
        </w:rPr>
        <w:t>article</w:t>
      </w:r>
      <w:r w:rsidR="00D90A37" w:rsidRPr="00D51B1C">
        <w:rPr>
          <w:rFonts w:eastAsia="Calibri"/>
        </w:rPr>
        <w:t xml:space="preserve"> will consider the implications of the </w:t>
      </w:r>
      <w:r w:rsidR="003F7913" w:rsidRPr="00D51B1C">
        <w:rPr>
          <w:rFonts w:eastAsia="Calibri"/>
        </w:rPr>
        <w:t xml:space="preserve">Prevent </w:t>
      </w:r>
      <w:r w:rsidR="00D90A37" w:rsidRPr="00D51B1C">
        <w:rPr>
          <w:rFonts w:eastAsia="Calibri"/>
        </w:rPr>
        <w:t>duty for HE teaching practice.</w:t>
      </w:r>
    </w:p>
    <w:p w:rsidR="00F823E4" w:rsidRPr="00D51B1C" w:rsidRDefault="00F823E4" w:rsidP="00D51B1C">
      <w:pPr>
        <w:spacing w:after="0" w:line="240" w:lineRule="auto"/>
        <w:jc w:val="both"/>
        <w:rPr>
          <w:rFonts w:eastAsia="Calibri"/>
        </w:rPr>
      </w:pPr>
    </w:p>
    <w:p w:rsidR="00314773" w:rsidRDefault="001A45C8" w:rsidP="00D51B1C">
      <w:pPr>
        <w:spacing w:after="0" w:line="240" w:lineRule="auto"/>
        <w:jc w:val="both"/>
        <w:rPr>
          <w:b/>
        </w:rPr>
      </w:pPr>
      <w:r w:rsidRPr="00D51B1C">
        <w:rPr>
          <w:rFonts w:eastAsia="Calibri"/>
          <w:b/>
        </w:rPr>
        <w:t>T</w:t>
      </w:r>
      <w:r w:rsidR="00F32907">
        <w:rPr>
          <w:rFonts w:eastAsia="Calibri"/>
          <w:b/>
        </w:rPr>
        <w:t>eaching t</w:t>
      </w:r>
      <w:r w:rsidRPr="00D51B1C">
        <w:rPr>
          <w:rFonts w:eastAsia="Calibri"/>
          <w:b/>
        </w:rPr>
        <w:t>errorism</w:t>
      </w:r>
      <w:r w:rsidRPr="00D51B1C">
        <w:rPr>
          <w:b/>
        </w:rPr>
        <w:t xml:space="preserve">: </w:t>
      </w:r>
      <w:r w:rsidR="00F32907">
        <w:rPr>
          <w:b/>
        </w:rPr>
        <w:t>i</w:t>
      </w:r>
      <w:r w:rsidR="0059088B" w:rsidRPr="00D51B1C">
        <w:rPr>
          <w:b/>
        </w:rPr>
        <w:t xml:space="preserve">mplications for </w:t>
      </w:r>
      <w:r w:rsidR="00F32907">
        <w:rPr>
          <w:b/>
        </w:rPr>
        <w:t>t</w:t>
      </w:r>
      <w:r w:rsidRPr="00D51B1C">
        <w:rPr>
          <w:b/>
        </w:rPr>
        <w:t xml:space="preserve">eaching </w:t>
      </w:r>
      <w:r w:rsidR="00F32907">
        <w:rPr>
          <w:b/>
        </w:rPr>
        <w:t>p</w:t>
      </w:r>
      <w:r w:rsidRPr="00D51B1C">
        <w:rPr>
          <w:b/>
        </w:rPr>
        <w:t>ractice</w:t>
      </w:r>
    </w:p>
    <w:p w:rsidR="00DC62A7" w:rsidRPr="00D51B1C" w:rsidRDefault="00DC62A7" w:rsidP="00D51B1C">
      <w:pPr>
        <w:spacing w:after="0" w:line="240" w:lineRule="auto"/>
        <w:jc w:val="both"/>
        <w:rPr>
          <w:b/>
        </w:rPr>
      </w:pPr>
    </w:p>
    <w:p w:rsidR="000B3890" w:rsidRPr="00F32907" w:rsidRDefault="00F32907" w:rsidP="00F32907">
      <w:pPr>
        <w:spacing w:after="0" w:line="240" w:lineRule="auto"/>
        <w:ind w:firstLine="720"/>
        <w:jc w:val="both"/>
        <w:rPr>
          <w:b/>
          <w:i/>
        </w:rPr>
      </w:pPr>
      <w:r>
        <w:rPr>
          <w:b/>
          <w:i/>
        </w:rPr>
        <w:t>Targeting ‘extremism’ - stifling d</w:t>
      </w:r>
      <w:r w:rsidR="00646EC8" w:rsidRPr="00F32907">
        <w:rPr>
          <w:b/>
          <w:i/>
        </w:rPr>
        <w:t>ebate</w:t>
      </w:r>
      <w:r w:rsidR="002C32FC" w:rsidRPr="00F32907">
        <w:rPr>
          <w:b/>
          <w:i/>
        </w:rPr>
        <w:t xml:space="preserve"> </w:t>
      </w:r>
    </w:p>
    <w:p w:rsidR="00DC62A7" w:rsidRPr="00D51B1C" w:rsidRDefault="00DC62A7" w:rsidP="00D51B1C">
      <w:pPr>
        <w:spacing w:after="0" w:line="240" w:lineRule="auto"/>
        <w:jc w:val="both"/>
        <w:rPr>
          <w:i/>
        </w:rPr>
      </w:pPr>
    </w:p>
    <w:p w:rsidR="00C72929" w:rsidRDefault="000D0BA7" w:rsidP="00D51B1C">
      <w:pPr>
        <w:spacing w:after="0" w:line="240" w:lineRule="auto"/>
        <w:jc w:val="both"/>
        <w:rPr>
          <w:rFonts w:eastAsia="Calibri"/>
        </w:rPr>
      </w:pPr>
      <w:r w:rsidRPr="00D51B1C">
        <w:t xml:space="preserve">There is a clear danger that the Prevent duty will have the effect of stifling debate and critical expression among university staff and students. </w:t>
      </w:r>
      <w:r w:rsidR="0081225B" w:rsidRPr="00D51B1C">
        <w:t xml:space="preserve">Prevent is grounded in a </w:t>
      </w:r>
      <w:r w:rsidR="00A0788B">
        <w:t>‘conveyor belt’</w:t>
      </w:r>
      <w:r w:rsidR="0067797A" w:rsidRPr="00D51B1C">
        <w:t xml:space="preserve"> </w:t>
      </w:r>
      <w:r w:rsidR="0081225B" w:rsidRPr="00D51B1C">
        <w:t>model of radicalisation, which assumes that ‘</w:t>
      </w:r>
      <w:r w:rsidR="0067797A" w:rsidRPr="00D51B1C">
        <w:t>non-violent extremism</w:t>
      </w:r>
      <w:r w:rsidR="0081225B" w:rsidRPr="00D51B1C">
        <w:t>’ is a precursor to terrorist violence</w:t>
      </w:r>
      <w:r w:rsidR="0067797A" w:rsidRPr="00D51B1C">
        <w:t>.</w:t>
      </w:r>
      <w:r w:rsidRPr="00D51B1C">
        <w:rPr>
          <w:rStyle w:val="FootnoteReference"/>
        </w:rPr>
        <w:footnoteReference w:id="53"/>
      </w:r>
      <w:r w:rsidR="0081225B" w:rsidRPr="00D51B1C">
        <w:t xml:space="preserve"> The </w:t>
      </w:r>
      <w:r w:rsidR="0081225B" w:rsidRPr="00D51B1C">
        <w:lastRenderedPageBreak/>
        <w:t>Prevent strategy explains that individuals who have been radicalised to the point of involvement in terrorism have often previously gone through a “prior extremist phase”</w:t>
      </w:r>
      <w:r w:rsidR="00C3277F">
        <w:rPr>
          <w:rStyle w:val="FootnoteReference"/>
        </w:rPr>
        <w:footnoteReference w:id="54"/>
      </w:r>
      <w:r w:rsidR="0081225B" w:rsidRPr="00D51B1C">
        <w:t xml:space="preserve">, which the strategy ultimately seeks to disrupt. </w:t>
      </w:r>
      <w:r w:rsidR="00E0230F" w:rsidRPr="00D51B1C">
        <w:t>The term ‘extremism’ has no legislative definition but has been</w:t>
      </w:r>
      <w:r w:rsidR="00A0788B">
        <w:t xml:space="preserve"> defined by the Government as “v</w:t>
      </w:r>
      <w:r w:rsidR="00E0230F" w:rsidRPr="00D51B1C">
        <w:t>ocal or active opposition to fundamental British values, including democracy, the rule of law, individual liberty and mutual respect and tolerance of different faiths and beliefs.”</w:t>
      </w:r>
      <w:r w:rsidR="00A95E7B" w:rsidRPr="00D51B1C">
        <w:rPr>
          <w:rStyle w:val="FootnoteReference"/>
        </w:rPr>
        <w:footnoteReference w:id="55"/>
      </w:r>
      <w:r w:rsidR="00E0230F" w:rsidRPr="00D51B1C">
        <w:t xml:space="preserve"> </w:t>
      </w:r>
      <w:r w:rsidR="00E0230F" w:rsidRPr="00D51B1C">
        <w:rPr>
          <w:rFonts w:eastAsia="Calibri"/>
        </w:rPr>
        <w:t xml:space="preserve">This ambiguous definition </w:t>
      </w:r>
      <w:r w:rsidR="00106340" w:rsidRPr="00D51B1C">
        <w:rPr>
          <w:rFonts w:eastAsia="Calibri"/>
        </w:rPr>
        <w:t>inherently</w:t>
      </w:r>
      <w:r w:rsidR="00E0230F" w:rsidRPr="00D51B1C">
        <w:rPr>
          <w:rFonts w:eastAsia="Calibri"/>
        </w:rPr>
        <w:t xml:space="preserve"> includes the expression of political views which do not involve any invocation or support for violence. </w:t>
      </w:r>
      <w:r w:rsidR="00687B86" w:rsidRPr="00D51B1C">
        <w:rPr>
          <w:rFonts w:eastAsia="Calibri"/>
        </w:rPr>
        <w:t xml:space="preserve">In </w:t>
      </w:r>
      <w:r w:rsidR="008F1008">
        <w:rPr>
          <w:rFonts w:eastAsia="Calibri"/>
        </w:rPr>
        <w:t xml:space="preserve">December 2015 it was reported that </w:t>
      </w:r>
      <w:r w:rsidR="00687B86" w:rsidRPr="00D51B1C">
        <w:rPr>
          <w:rFonts w:eastAsia="Calibri"/>
        </w:rPr>
        <w:t>police officers at a Prevent training event cited environmentalist activists and anti-fracking protesters as examples of potential ‘extremists’.</w:t>
      </w:r>
      <w:r w:rsidR="00324019" w:rsidRPr="00D51B1C">
        <w:rPr>
          <w:rStyle w:val="FootnoteReference"/>
          <w:rFonts w:eastAsia="Calibri"/>
        </w:rPr>
        <w:footnoteReference w:id="56"/>
      </w:r>
      <w:r w:rsidR="00687B86" w:rsidRPr="00D51B1C">
        <w:rPr>
          <w:rFonts w:eastAsia="Calibri"/>
        </w:rPr>
        <w:t xml:space="preserve"> </w:t>
      </w:r>
      <w:r w:rsidR="0067797A" w:rsidRPr="00D51B1C">
        <w:rPr>
          <w:rFonts w:eastAsia="Calibri"/>
        </w:rPr>
        <w:t xml:space="preserve">The </w:t>
      </w:r>
      <w:r w:rsidR="002D0789" w:rsidRPr="00D51B1C">
        <w:rPr>
          <w:rFonts w:eastAsia="Calibri"/>
        </w:rPr>
        <w:t xml:space="preserve">broad definition of ‘extremism’ </w:t>
      </w:r>
      <w:proofErr w:type="gramStart"/>
      <w:r w:rsidR="002D0789" w:rsidRPr="00D51B1C">
        <w:rPr>
          <w:rFonts w:eastAsia="Calibri"/>
        </w:rPr>
        <w:t>opens up</w:t>
      </w:r>
      <w:proofErr w:type="gramEnd"/>
      <w:r w:rsidR="002D0789" w:rsidRPr="00D51B1C">
        <w:rPr>
          <w:rFonts w:eastAsia="Calibri"/>
        </w:rPr>
        <w:t xml:space="preserve"> the possibility </w:t>
      </w:r>
      <w:r w:rsidR="0067797A" w:rsidRPr="00D51B1C">
        <w:rPr>
          <w:rFonts w:eastAsia="Calibri"/>
        </w:rPr>
        <w:t xml:space="preserve">that Prevent could be used </w:t>
      </w:r>
      <w:r w:rsidR="00002884" w:rsidRPr="00D51B1C">
        <w:rPr>
          <w:rFonts w:eastAsia="Calibri"/>
        </w:rPr>
        <w:t>to target</w:t>
      </w:r>
      <w:r w:rsidR="0067797A" w:rsidRPr="00D51B1C">
        <w:rPr>
          <w:rFonts w:eastAsia="Calibri"/>
        </w:rPr>
        <w:t xml:space="preserve"> legitimate political dissent</w:t>
      </w:r>
      <w:r w:rsidR="006A14A6" w:rsidRPr="00D51B1C">
        <w:rPr>
          <w:rFonts w:eastAsia="Calibri"/>
        </w:rPr>
        <w:t>, threatening the “intellectual space</w:t>
      </w:r>
      <w:r w:rsidR="00D6332F" w:rsidRPr="00D51B1C">
        <w:rPr>
          <w:rFonts w:eastAsia="Calibri"/>
        </w:rPr>
        <w:t>”</w:t>
      </w:r>
      <w:r w:rsidR="00FC234E" w:rsidRPr="00D51B1C">
        <w:rPr>
          <w:rFonts w:eastAsia="Calibri"/>
        </w:rPr>
        <w:t xml:space="preserve"> required for academic enrichment.</w:t>
      </w:r>
      <w:r w:rsidR="00D6332F" w:rsidRPr="00D51B1C">
        <w:rPr>
          <w:rFonts w:eastAsia="Calibri"/>
        </w:rPr>
        <w:t xml:space="preserve"> </w:t>
      </w:r>
    </w:p>
    <w:p w:rsidR="00C72929" w:rsidRDefault="00C72929" w:rsidP="00D51B1C">
      <w:pPr>
        <w:spacing w:after="0" w:line="240" w:lineRule="auto"/>
        <w:jc w:val="both"/>
        <w:rPr>
          <w:rFonts w:eastAsia="Calibri"/>
        </w:rPr>
      </w:pPr>
    </w:p>
    <w:p w:rsidR="004350BC" w:rsidRDefault="00C72929" w:rsidP="00D51B1C">
      <w:pPr>
        <w:spacing w:after="0" w:line="240" w:lineRule="auto"/>
        <w:jc w:val="both"/>
      </w:pPr>
      <w:r>
        <w:rPr>
          <w:rFonts w:eastAsia="Calibri"/>
        </w:rPr>
        <w:t xml:space="preserve">These definitions have </w:t>
      </w:r>
      <w:proofErr w:type="gramStart"/>
      <w:r w:rsidR="000F5B85" w:rsidRPr="00D51B1C">
        <w:t>p</w:t>
      </w:r>
      <w:r w:rsidR="00895A4F" w:rsidRPr="00D51B1C">
        <w:t>articular implications</w:t>
      </w:r>
      <w:proofErr w:type="gramEnd"/>
      <w:r w:rsidR="00895A4F" w:rsidRPr="00D51B1C">
        <w:t xml:space="preserve"> for academics</w:t>
      </w:r>
      <w:r w:rsidR="000F5B85" w:rsidRPr="00D51B1C">
        <w:t xml:space="preserve"> who, like the present author, are involved in the </w:t>
      </w:r>
      <w:r w:rsidR="007F16F3" w:rsidRPr="00D51B1C">
        <w:t>development</w:t>
      </w:r>
      <w:r w:rsidR="00895A4F" w:rsidRPr="00D51B1C">
        <w:t xml:space="preserve"> and delivery</w:t>
      </w:r>
      <w:r w:rsidR="000F5B85" w:rsidRPr="00D51B1C">
        <w:t xml:space="preserve"> of </w:t>
      </w:r>
      <w:r w:rsidR="005B2B17">
        <w:t xml:space="preserve">the growing number of undergraduate and postgraduate </w:t>
      </w:r>
      <w:r w:rsidR="000B58CC">
        <w:t xml:space="preserve">law </w:t>
      </w:r>
      <w:r w:rsidR="000F5B85" w:rsidRPr="00D51B1C">
        <w:t xml:space="preserve">modules which focus explicitly on ‘terrorism’ </w:t>
      </w:r>
      <w:r w:rsidR="00F96AFE">
        <w:t xml:space="preserve">and ‘counter terrorism’ </w:t>
      </w:r>
      <w:r w:rsidR="000F5B85" w:rsidRPr="00D51B1C">
        <w:t>as a focus of inquiry.</w:t>
      </w:r>
      <w:r w:rsidR="000F5B85" w:rsidRPr="00D51B1C">
        <w:rPr>
          <w:rStyle w:val="FootnoteReference"/>
        </w:rPr>
        <w:footnoteReference w:id="57"/>
      </w:r>
      <w:r w:rsidR="000F5B85" w:rsidRPr="00D51B1C">
        <w:t xml:space="preserve"> </w:t>
      </w:r>
      <w:r w:rsidR="004350BC" w:rsidRPr="00D51B1C">
        <w:t xml:space="preserve">Such teaching </w:t>
      </w:r>
      <w:r w:rsidR="00F4108D" w:rsidRPr="00D51B1C">
        <w:t>can involve</w:t>
      </w:r>
      <w:r w:rsidR="000F5B85" w:rsidRPr="00D51B1C">
        <w:t xml:space="preserve"> a</w:t>
      </w:r>
      <w:r w:rsidR="00895A4F" w:rsidRPr="00D51B1C">
        <w:t xml:space="preserve">sking pertinent questions about the nature of ‘terrorism’ and the legitimacy of official counter terrorism responses. </w:t>
      </w:r>
      <w:r w:rsidR="00852D10" w:rsidRPr="00D51B1C">
        <w:t xml:space="preserve">It </w:t>
      </w:r>
      <w:r w:rsidR="00F4108D" w:rsidRPr="00D51B1C">
        <w:t xml:space="preserve">can </w:t>
      </w:r>
      <w:r w:rsidR="00CB70F1" w:rsidRPr="00D51B1C">
        <w:t xml:space="preserve">require students to </w:t>
      </w:r>
      <w:r w:rsidR="00852D10" w:rsidRPr="00D51B1C">
        <w:t>analyse and d</w:t>
      </w:r>
      <w:r w:rsidR="005B7190" w:rsidRPr="00D51B1C">
        <w:t>iscuss</w:t>
      </w:r>
      <w:r w:rsidR="00852D10" w:rsidRPr="00D51B1C">
        <w:t xml:space="preserve"> </w:t>
      </w:r>
      <w:r w:rsidR="00895A4F" w:rsidRPr="00D51B1C">
        <w:t xml:space="preserve">the effectiveness and proportionality of official responses to terrorist violence, such as extended pre-charge detention, shoot to kill and military led responses.  </w:t>
      </w:r>
      <w:r w:rsidR="00A135CB" w:rsidRPr="00D51B1C">
        <w:t>It</w:t>
      </w:r>
      <w:r w:rsidR="00F4108D" w:rsidRPr="00D51B1C">
        <w:t xml:space="preserve"> can introduce </w:t>
      </w:r>
      <w:r w:rsidR="00A135CB" w:rsidRPr="00D51B1C">
        <w:t xml:space="preserve">students to ideas which challenge </w:t>
      </w:r>
      <w:r w:rsidR="00895A4F" w:rsidRPr="00D51B1C">
        <w:t xml:space="preserve">existing orthodoxies and state-led definitions of terrorism. </w:t>
      </w:r>
      <w:r w:rsidR="00A135CB" w:rsidRPr="00D51B1C">
        <w:t xml:space="preserve">This could include, for example, </w:t>
      </w:r>
      <w:r w:rsidR="005B7190" w:rsidRPr="00D51B1C">
        <w:t>researching and debating the</w:t>
      </w:r>
      <w:r w:rsidR="00A135CB" w:rsidRPr="00D51B1C">
        <w:t xml:space="preserve"> concept of </w:t>
      </w:r>
      <w:r w:rsidR="00895A4F" w:rsidRPr="00D51B1C">
        <w:t xml:space="preserve">‘state terrorism’, including </w:t>
      </w:r>
      <w:r w:rsidR="00A135CB" w:rsidRPr="00D51B1C">
        <w:t>arguments that the British state and</w:t>
      </w:r>
      <w:r w:rsidR="005B7190" w:rsidRPr="00D51B1C">
        <w:t xml:space="preserve"> its allies have been</w:t>
      </w:r>
      <w:r w:rsidR="00A135CB" w:rsidRPr="00D51B1C">
        <w:t xml:space="preserve"> </w:t>
      </w:r>
      <w:r w:rsidR="004350BC" w:rsidRPr="00D51B1C">
        <w:t>both</w:t>
      </w:r>
      <w:r w:rsidR="00A135CB" w:rsidRPr="00D51B1C">
        <w:t xml:space="preserve"> complicit </w:t>
      </w:r>
      <w:r w:rsidR="004350BC" w:rsidRPr="00D51B1C">
        <w:t xml:space="preserve">and directly involved </w:t>
      </w:r>
      <w:r w:rsidR="00895A4F" w:rsidRPr="00D51B1C">
        <w:t>in acts of terrorism.</w:t>
      </w:r>
      <w:r w:rsidR="004350BC" w:rsidRPr="00D51B1C">
        <w:t xml:space="preserve"> </w:t>
      </w:r>
      <w:r w:rsidR="000351BB" w:rsidRPr="00D51B1C">
        <w:t xml:space="preserve">It can </w:t>
      </w:r>
      <w:r w:rsidR="001C23C1" w:rsidRPr="00D51B1C">
        <w:t xml:space="preserve">also </w:t>
      </w:r>
      <w:r w:rsidR="000351BB" w:rsidRPr="00D51B1C">
        <w:t xml:space="preserve">involve subjecting the Prevent duty itself to academic scrutiny, taking into account the experiences of those who have found themselves under official suspicion. </w:t>
      </w:r>
      <w:r w:rsidR="00335FAF">
        <w:t xml:space="preserve">Such topics are also frequently integrated into ‘core’ law teaching, including Public Law, Criminal Law and Law and Society modules. </w:t>
      </w:r>
      <w:r w:rsidR="004350BC" w:rsidRPr="00D51B1C">
        <w:t>This material does not sit comfortably with the nebulous definitions of ‘extremism’ and ‘British values’.</w:t>
      </w:r>
      <w:r w:rsidR="00335FAF">
        <w:t xml:space="preserve"> </w:t>
      </w:r>
    </w:p>
    <w:p w:rsidR="00335FAF" w:rsidRPr="00D51B1C" w:rsidRDefault="00335FAF" w:rsidP="00D51B1C">
      <w:pPr>
        <w:spacing w:after="0" w:line="240" w:lineRule="auto"/>
        <w:jc w:val="both"/>
      </w:pPr>
    </w:p>
    <w:p w:rsidR="000F5B85" w:rsidRPr="00F32907" w:rsidRDefault="00F32907" w:rsidP="00F32907">
      <w:pPr>
        <w:spacing w:after="0" w:line="240" w:lineRule="auto"/>
        <w:ind w:firstLine="720"/>
        <w:jc w:val="both"/>
        <w:rPr>
          <w:b/>
          <w:i/>
        </w:rPr>
      </w:pPr>
      <w:r>
        <w:rPr>
          <w:b/>
          <w:i/>
        </w:rPr>
        <w:t>Racial and religious p</w:t>
      </w:r>
      <w:r w:rsidR="004350BC" w:rsidRPr="00F32907">
        <w:rPr>
          <w:b/>
          <w:i/>
        </w:rPr>
        <w:t xml:space="preserve">rofiling </w:t>
      </w:r>
    </w:p>
    <w:p w:rsidR="00DC62A7" w:rsidRPr="00D51B1C" w:rsidRDefault="00DC62A7" w:rsidP="00D51B1C">
      <w:pPr>
        <w:spacing w:after="0" w:line="240" w:lineRule="auto"/>
        <w:jc w:val="both"/>
        <w:rPr>
          <w:i/>
        </w:rPr>
      </w:pPr>
    </w:p>
    <w:p w:rsidR="003825D6" w:rsidRDefault="004350BC" w:rsidP="00D51B1C">
      <w:pPr>
        <w:spacing w:after="0" w:line="240" w:lineRule="auto"/>
        <w:jc w:val="both"/>
      </w:pPr>
      <w:r w:rsidRPr="00D51B1C">
        <w:t>Since its inception</w:t>
      </w:r>
      <w:r w:rsidR="00AE2D2C" w:rsidRPr="00D51B1C">
        <w:t>,</w:t>
      </w:r>
      <w:r w:rsidRPr="00D51B1C">
        <w:t xml:space="preserve"> the Prevent strategy has </w:t>
      </w:r>
      <w:r w:rsidR="00AE2D2C" w:rsidRPr="00D51B1C">
        <w:t xml:space="preserve">been </w:t>
      </w:r>
      <w:r w:rsidR="00F96AFE">
        <w:t>targeted</w:t>
      </w:r>
      <w:r w:rsidR="00AE2D2C" w:rsidRPr="00D51B1C">
        <w:t xml:space="preserve"> </w:t>
      </w:r>
      <w:r w:rsidR="00F96AFE">
        <w:t>disproportionately at</w:t>
      </w:r>
      <w:r w:rsidR="00AE2D2C" w:rsidRPr="00D51B1C">
        <w:t xml:space="preserve"> Britain’s </w:t>
      </w:r>
      <w:r w:rsidRPr="00D51B1C">
        <w:t>Muslim</w:t>
      </w:r>
      <w:r w:rsidR="00AE2D2C" w:rsidRPr="00D51B1C">
        <w:t xml:space="preserve"> communities</w:t>
      </w:r>
      <w:r w:rsidR="0083498A" w:rsidRPr="00D51B1C">
        <w:t>.</w:t>
      </w:r>
      <w:bookmarkStart w:id="8" w:name="_Ref448152436"/>
      <w:r w:rsidR="00576630">
        <w:rPr>
          <w:rStyle w:val="FootnoteReference"/>
        </w:rPr>
        <w:footnoteReference w:id="58"/>
      </w:r>
      <w:bookmarkEnd w:id="8"/>
      <w:r w:rsidR="00722DF3" w:rsidRPr="00D51B1C">
        <w:t xml:space="preserve"> </w:t>
      </w:r>
      <w:r w:rsidR="00007FD2" w:rsidRPr="00D51B1C">
        <w:t xml:space="preserve">In 2009 Sir Norman </w:t>
      </w:r>
      <w:proofErr w:type="spellStart"/>
      <w:r w:rsidR="00007FD2" w:rsidRPr="00D51B1C">
        <w:t>Bettison</w:t>
      </w:r>
      <w:proofErr w:type="spellEnd"/>
      <w:r w:rsidR="00007FD2" w:rsidRPr="00D51B1C">
        <w:t>, former A</w:t>
      </w:r>
      <w:r w:rsidR="00DC1B99">
        <w:t xml:space="preserve">ssociation of Chief Police Officers (ACPO) </w:t>
      </w:r>
      <w:r w:rsidR="00007FD2" w:rsidRPr="00D51B1C">
        <w:t>Lead for Preventing Violent Extremism, stated that sin</w:t>
      </w:r>
      <w:r w:rsidR="00A0788B">
        <w:t>ce the threat to the UK was of “Al Qaeda inspired terrorism”</w:t>
      </w:r>
      <w:r w:rsidR="00007FD2" w:rsidRPr="00D51B1C">
        <w:t>, terrorists in the UK “are, by definition, all of the Muslim faith”.</w:t>
      </w:r>
      <w:r w:rsidR="00A0788B">
        <w:rPr>
          <w:rStyle w:val="FootnoteReference"/>
        </w:rPr>
        <w:footnoteReference w:id="59"/>
      </w:r>
      <w:r w:rsidR="0083498A" w:rsidRPr="00D51B1C">
        <w:t xml:space="preserve"> </w:t>
      </w:r>
      <w:r w:rsidR="00EE46C6" w:rsidRPr="00D51B1C">
        <w:t>Although the latest Prevent strategy makes reference to other forms of political violence, including “extreme right-wing terrorism”, it makes clear that Al Qaeda and other groups influenced by “violent Islamism” remain “</w:t>
      </w:r>
      <w:r w:rsidR="00344517">
        <w:t>t</w:t>
      </w:r>
      <w:r w:rsidR="00EE46C6" w:rsidRPr="00D51B1C">
        <w:t>he most significant terrorist threat we face”.</w:t>
      </w:r>
      <w:r w:rsidR="00EE46C6">
        <w:rPr>
          <w:rStyle w:val="FootnoteReference"/>
        </w:rPr>
        <w:footnoteReference w:id="60"/>
      </w:r>
      <w:r w:rsidR="00EE46C6" w:rsidRPr="00D51B1C">
        <w:t xml:space="preserve"> </w:t>
      </w:r>
      <w:r w:rsidR="0030737F" w:rsidRPr="00D51B1C">
        <w:t>This focus has influenced the way in which Prevent interventions have been operationalised.</w:t>
      </w:r>
      <w:r w:rsidR="0030737F">
        <w:t xml:space="preserve"> </w:t>
      </w:r>
      <w:r w:rsidR="0083498A" w:rsidRPr="00D51B1C">
        <w:t>A study published by the Institute of Race Relations in 2009 found that local authorities were being allocated Prevent funding in direct proportion to the number of Muslim people living in the area.</w:t>
      </w:r>
      <w:r w:rsidR="00A0788B">
        <w:rPr>
          <w:rStyle w:val="FootnoteReference"/>
        </w:rPr>
        <w:footnoteReference w:id="61"/>
      </w:r>
      <w:r w:rsidR="0083498A" w:rsidRPr="00D51B1C">
        <w:t xml:space="preserve"> </w:t>
      </w:r>
      <w:r w:rsidR="0030737F">
        <w:t>Moreover</w:t>
      </w:r>
      <w:r w:rsidR="00C0108A" w:rsidRPr="00D51B1C">
        <w:t>, d</w:t>
      </w:r>
      <w:r w:rsidR="000E4075" w:rsidRPr="00D51B1C">
        <w:t xml:space="preserve">espite making up less than 5 </w:t>
      </w:r>
      <w:r w:rsidR="00C10877">
        <w:t>per cent</w:t>
      </w:r>
      <w:r w:rsidR="000E4075" w:rsidRPr="00D51B1C">
        <w:t xml:space="preserve"> of the overall </w:t>
      </w:r>
      <w:r w:rsidR="000E4075" w:rsidRPr="00D51B1C">
        <w:lastRenderedPageBreak/>
        <w:t xml:space="preserve">population, </w:t>
      </w:r>
      <w:r w:rsidR="00DD0DC6" w:rsidRPr="00D51B1C">
        <w:t xml:space="preserve">Muslims made up </w:t>
      </w:r>
      <w:r w:rsidR="009A3D8D" w:rsidRPr="00D51B1C">
        <w:t xml:space="preserve">some </w:t>
      </w:r>
      <w:r w:rsidR="003825D6">
        <w:t>67</w:t>
      </w:r>
      <w:r w:rsidR="00DD0DC6" w:rsidRPr="00D51B1C">
        <w:t xml:space="preserve"> </w:t>
      </w:r>
      <w:r w:rsidR="00C10877">
        <w:t>per cent</w:t>
      </w:r>
      <w:r w:rsidR="00DD0DC6" w:rsidRPr="00D51B1C">
        <w:t xml:space="preserve"> of those referred to </w:t>
      </w:r>
      <w:r w:rsidR="005F3617">
        <w:t>the Prevent</w:t>
      </w:r>
      <w:r w:rsidR="00DD0DC6" w:rsidRPr="00D51B1C">
        <w:t xml:space="preserve"> anti-radicalisation programme, Channel, between 2007 and 2010</w:t>
      </w:r>
      <w:r w:rsidR="000E4075" w:rsidRPr="00D51B1C">
        <w:t>.</w:t>
      </w:r>
      <w:r w:rsidR="003825D6">
        <w:rPr>
          <w:rStyle w:val="FootnoteReference"/>
        </w:rPr>
        <w:footnoteReference w:id="62"/>
      </w:r>
      <w:r w:rsidR="00145756">
        <w:t xml:space="preserve"> </w:t>
      </w:r>
    </w:p>
    <w:p w:rsidR="004963ED" w:rsidRDefault="004963ED" w:rsidP="00D51B1C">
      <w:pPr>
        <w:spacing w:after="0" w:line="240" w:lineRule="auto"/>
        <w:jc w:val="both"/>
      </w:pPr>
    </w:p>
    <w:p w:rsidR="007306B8" w:rsidRPr="00D51B1C" w:rsidRDefault="007306B8" w:rsidP="00D51B1C">
      <w:pPr>
        <w:spacing w:after="0" w:line="240" w:lineRule="auto"/>
        <w:jc w:val="both"/>
      </w:pPr>
      <w:r w:rsidRPr="00D51B1C">
        <w:t xml:space="preserve">The official suspicion Prevent places on Muslims, and the explicit focus on the university as a source of radicalisation, has </w:t>
      </w:r>
      <w:r w:rsidR="001D08BA" w:rsidRPr="00D51B1C">
        <w:t>had damaging</w:t>
      </w:r>
      <w:r w:rsidRPr="00D51B1C">
        <w:t xml:space="preserve"> consequences for Muslim students. In </w:t>
      </w:r>
      <w:r w:rsidR="00084A33" w:rsidRPr="00D51B1C">
        <w:t>2008,</w:t>
      </w:r>
      <w:r w:rsidRPr="00D51B1C">
        <w:t xml:space="preserve"> a </w:t>
      </w:r>
      <w:r w:rsidR="00112F6D" w:rsidRPr="00D51B1C">
        <w:t xml:space="preserve">Muslim </w:t>
      </w:r>
      <w:r w:rsidRPr="00D51B1C">
        <w:t>student</w:t>
      </w:r>
      <w:r w:rsidR="00084A33" w:rsidRPr="00D51B1C">
        <w:t xml:space="preserve"> and a staff member </w:t>
      </w:r>
      <w:r w:rsidRPr="00D51B1C">
        <w:t xml:space="preserve">at </w:t>
      </w:r>
      <w:r w:rsidR="00084A33" w:rsidRPr="00D51B1C">
        <w:t>the University of Nottingham were</w:t>
      </w:r>
      <w:r w:rsidRPr="00D51B1C">
        <w:t xml:space="preserve"> detained under the Terrorism Act</w:t>
      </w:r>
      <w:r w:rsidR="00084A33" w:rsidRPr="00D51B1C">
        <w:t xml:space="preserve"> 2000 after the police were alerted by university staff to the presence of an ‘Al Qaeda Training Manual’ on a university computer. The document, freely available on the US government websites, was used for research about terrorism in the context of a university course.</w:t>
      </w:r>
      <w:r w:rsidR="00112F6D" w:rsidRPr="00D51B1C">
        <w:rPr>
          <w:rStyle w:val="FootnoteReference"/>
        </w:rPr>
        <w:footnoteReference w:id="63"/>
      </w:r>
      <w:r w:rsidR="00112F6D" w:rsidRPr="00D51B1C">
        <w:t xml:space="preserve"> More recently, a </w:t>
      </w:r>
      <w:r w:rsidR="00142708" w:rsidRPr="00D51B1C">
        <w:t xml:space="preserve">Muslim </w:t>
      </w:r>
      <w:r w:rsidR="00112F6D" w:rsidRPr="00D51B1C">
        <w:t>postgraduate counter terrorism student at Staffordshire University was questioned by university administrators about his views on terrorism and extremism after he was spotted reading a textbook entitled ‘Terrorism Studies’ in the University library.</w:t>
      </w:r>
      <w:r w:rsidR="00112F6D" w:rsidRPr="00D51B1C">
        <w:rPr>
          <w:rStyle w:val="FootnoteReference"/>
        </w:rPr>
        <w:footnoteReference w:id="64"/>
      </w:r>
      <w:r w:rsidR="00112F6D" w:rsidRPr="00D51B1C">
        <w:t xml:space="preserve"> Predictably, these incidents have had lasting effects on the students </w:t>
      </w:r>
      <w:r w:rsidR="001E5E68" w:rsidRPr="00D51B1C">
        <w:t>in question</w:t>
      </w:r>
      <w:r w:rsidR="001D08BA" w:rsidRPr="00D51B1C">
        <w:t>.</w:t>
      </w:r>
      <w:r w:rsidR="00112F6D" w:rsidRPr="00D51B1C">
        <w:t xml:space="preserve"> </w:t>
      </w:r>
      <w:r w:rsidR="001D08BA" w:rsidRPr="00D51B1C">
        <w:t xml:space="preserve">There is </w:t>
      </w:r>
      <w:r w:rsidR="001E5E68" w:rsidRPr="00D51B1C">
        <w:t xml:space="preserve">also </w:t>
      </w:r>
      <w:r w:rsidR="001D08BA" w:rsidRPr="00D51B1C">
        <w:t xml:space="preserve">a real danger that these examples will </w:t>
      </w:r>
      <w:r w:rsidR="00112F6D" w:rsidRPr="00D51B1C">
        <w:t xml:space="preserve">create a climate of fear </w:t>
      </w:r>
      <w:r w:rsidR="001D08BA" w:rsidRPr="00D51B1C">
        <w:t xml:space="preserve">and self-censorship </w:t>
      </w:r>
      <w:r w:rsidR="00112F6D" w:rsidRPr="00D51B1C">
        <w:t xml:space="preserve">among the Muslim </w:t>
      </w:r>
      <w:r w:rsidR="001D08BA" w:rsidRPr="00D51B1C">
        <w:t xml:space="preserve">staff and </w:t>
      </w:r>
      <w:r w:rsidR="00112F6D" w:rsidRPr="00D51B1C">
        <w:t>student population as a whole</w:t>
      </w:r>
      <w:r w:rsidR="001E5E68" w:rsidRPr="00D51B1C">
        <w:t xml:space="preserve">. Muslim students may become reluctant to select modules and conduct research projects which require engaging in materials which may provoke suspicion. Academic staff members may </w:t>
      </w:r>
      <w:r w:rsidR="004E43F0" w:rsidRPr="00D51B1C">
        <w:t>avoid</w:t>
      </w:r>
      <w:r w:rsidR="001E5E68" w:rsidRPr="00D51B1C">
        <w:t xml:space="preserve"> </w:t>
      </w:r>
      <w:r w:rsidR="004E43F0" w:rsidRPr="00D51B1C">
        <w:t>introducing</w:t>
      </w:r>
      <w:r w:rsidR="00034E01" w:rsidRPr="00D51B1C">
        <w:t xml:space="preserve"> </w:t>
      </w:r>
      <w:r w:rsidR="001E5E68" w:rsidRPr="00D51B1C">
        <w:t xml:space="preserve">topics which </w:t>
      </w:r>
      <w:r w:rsidR="005F3617">
        <w:t xml:space="preserve">could </w:t>
      </w:r>
      <w:r w:rsidR="001E5E68" w:rsidRPr="00D51B1C">
        <w:t xml:space="preserve">put students at risk of falling foul of the </w:t>
      </w:r>
      <w:r w:rsidR="000351BB" w:rsidRPr="00D51B1C">
        <w:t xml:space="preserve">Prevent </w:t>
      </w:r>
      <w:r w:rsidR="001E5E68" w:rsidRPr="00D51B1C">
        <w:t xml:space="preserve">duty. </w:t>
      </w:r>
      <w:r w:rsidR="003D4FE3">
        <w:t>University ethics committees</w:t>
      </w:r>
      <w:r w:rsidR="00B50981">
        <w:t xml:space="preserve"> could become increasingly reluctant to support research projects which might potentially come into conflict with Prevent obligations. </w:t>
      </w:r>
      <w:r w:rsidR="001E5E68" w:rsidRPr="00D51B1C">
        <w:t xml:space="preserve">Although the </w:t>
      </w:r>
      <w:r w:rsidR="005F3617">
        <w:t>full impact</w:t>
      </w:r>
      <w:r w:rsidR="000351BB" w:rsidRPr="00D51B1C">
        <w:t xml:space="preserve"> of the CTSA 2015 remain</w:t>
      </w:r>
      <w:r w:rsidR="005F3617">
        <w:t>s</w:t>
      </w:r>
      <w:r w:rsidR="000351BB" w:rsidRPr="00D51B1C">
        <w:t xml:space="preserve"> to be seen</w:t>
      </w:r>
      <w:r w:rsidR="001E5E68" w:rsidRPr="00D51B1C">
        <w:t xml:space="preserve">, the potential for it to have destructive impact </w:t>
      </w:r>
      <w:r w:rsidR="001D08BA" w:rsidRPr="00D51B1C">
        <w:t>on the academic freedom</w:t>
      </w:r>
      <w:r w:rsidR="0047059A" w:rsidRPr="00D51B1C">
        <w:t xml:space="preserve"> of </w:t>
      </w:r>
      <w:r w:rsidR="00463875" w:rsidRPr="00D51B1C">
        <w:t>staff and students</w:t>
      </w:r>
      <w:r w:rsidR="001D08BA" w:rsidRPr="00D51B1C">
        <w:t xml:space="preserve"> </w:t>
      </w:r>
      <w:r w:rsidR="001E5E68" w:rsidRPr="00D51B1C">
        <w:t>is significant</w:t>
      </w:r>
      <w:r w:rsidR="001D08BA" w:rsidRPr="00D51B1C">
        <w:t>.</w:t>
      </w:r>
    </w:p>
    <w:p w:rsidR="00084A33" w:rsidRPr="00D51B1C" w:rsidRDefault="00084A33" w:rsidP="00D51B1C">
      <w:pPr>
        <w:spacing w:after="0" w:line="240" w:lineRule="auto"/>
        <w:jc w:val="both"/>
      </w:pPr>
    </w:p>
    <w:p w:rsidR="005D5C8A" w:rsidRDefault="005D5C8A" w:rsidP="00F32907">
      <w:pPr>
        <w:spacing w:after="0" w:line="240" w:lineRule="auto"/>
        <w:ind w:firstLine="720"/>
        <w:jc w:val="both"/>
        <w:rPr>
          <w:b/>
        </w:rPr>
      </w:pPr>
      <w:r w:rsidRPr="00D51B1C">
        <w:rPr>
          <w:b/>
        </w:rPr>
        <w:t>Defending</w:t>
      </w:r>
      <w:r w:rsidR="0091650F" w:rsidRPr="00D51B1C">
        <w:rPr>
          <w:b/>
        </w:rPr>
        <w:t xml:space="preserve"> </w:t>
      </w:r>
      <w:r w:rsidR="00F32907">
        <w:rPr>
          <w:b/>
        </w:rPr>
        <w:t>academic f</w:t>
      </w:r>
      <w:r w:rsidR="0091650F" w:rsidRPr="00D51B1C">
        <w:rPr>
          <w:b/>
        </w:rPr>
        <w:t>reedom</w:t>
      </w:r>
    </w:p>
    <w:p w:rsidR="00DC62A7" w:rsidRPr="00D51B1C" w:rsidRDefault="00DC62A7" w:rsidP="00D51B1C">
      <w:pPr>
        <w:spacing w:after="0" w:line="240" w:lineRule="auto"/>
        <w:jc w:val="both"/>
        <w:rPr>
          <w:b/>
        </w:rPr>
      </w:pPr>
    </w:p>
    <w:p w:rsidR="00463875" w:rsidRDefault="000351BB" w:rsidP="00D51B1C">
      <w:pPr>
        <w:spacing w:after="0" w:line="240" w:lineRule="auto"/>
        <w:jc w:val="both"/>
      </w:pPr>
      <w:r w:rsidRPr="00D51B1C">
        <w:t xml:space="preserve">Despite </w:t>
      </w:r>
      <w:r w:rsidR="00463875" w:rsidRPr="00D51B1C">
        <w:t xml:space="preserve">the threats posed by the CTSA 2015, </w:t>
      </w:r>
      <w:r w:rsidRPr="00D51B1C">
        <w:t>there are steps</w:t>
      </w:r>
      <w:r w:rsidR="00671A8F" w:rsidRPr="00D51B1C">
        <w:t xml:space="preserve"> </w:t>
      </w:r>
      <w:r w:rsidR="00D831C1" w:rsidRPr="00D51B1C">
        <w:t>that</w:t>
      </w:r>
      <w:r w:rsidRPr="00D51B1C">
        <w:t xml:space="preserve"> </w:t>
      </w:r>
      <w:r w:rsidR="00463875" w:rsidRPr="00D51B1C">
        <w:t xml:space="preserve">those involved in the delivery of HE teaching can take </w:t>
      </w:r>
      <w:r w:rsidRPr="00D51B1C">
        <w:t xml:space="preserve">to defend academic freedom. </w:t>
      </w:r>
      <w:r w:rsidR="007A2FEE" w:rsidRPr="00D51B1C">
        <w:t>The following suggestions focus on</w:t>
      </w:r>
      <w:r w:rsidR="00463875" w:rsidRPr="00D51B1C">
        <w:t xml:space="preserve"> the </w:t>
      </w:r>
      <w:r w:rsidR="007A2FEE" w:rsidRPr="00D51B1C">
        <w:t xml:space="preserve">monitoring and </w:t>
      </w:r>
      <w:r w:rsidR="00463875" w:rsidRPr="00D51B1C">
        <w:t xml:space="preserve">implementation of </w:t>
      </w:r>
      <w:r w:rsidR="007A2FEE" w:rsidRPr="00D51B1C">
        <w:t xml:space="preserve">the </w:t>
      </w:r>
      <w:r w:rsidR="00463875" w:rsidRPr="00D51B1C">
        <w:t xml:space="preserve">Prevent </w:t>
      </w:r>
      <w:r w:rsidR="007A2FEE" w:rsidRPr="00D51B1C">
        <w:t xml:space="preserve">duty </w:t>
      </w:r>
      <w:r w:rsidR="00463875" w:rsidRPr="00D51B1C">
        <w:t>at three levels: the (</w:t>
      </w:r>
      <w:proofErr w:type="spellStart"/>
      <w:r w:rsidR="00463875" w:rsidRPr="00D51B1C">
        <w:t>i</w:t>
      </w:r>
      <w:proofErr w:type="spellEnd"/>
      <w:r w:rsidR="00463875" w:rsidRPr="00D51B1C">
        <w:t>) university level; (ii) the departmental level; (iii) the level of individual staff members.</w:t>
      </w:r>
    </w:p>
    <w:p w:rsidR="00DC62A7" w:rsidRPr="00D51B1C" w:rsidRDefault="00DC62A7" w:rsidP="00D51B1C">
      <w:pPr>
        <w:spacing w:after="0" w:line="240" w:lineRule="auto"/>
        <w:jc w:val="both"/>
      </w:pPr>
    </w:p>
    <w:p w:rsidR="005B0FD6" w:rsidRDefault="00463875" w:rsidP="005B0FD6">
      <w:pPr>
        <w:spacing w:after="0" w:line="240" w:lineRule="auto"/>
        <w:jc w:val="both"/>
        <w:rPr>
          <w:rFonts w:eastAsia="Calibri"/>
        </w:rPr>
      </w:pPr>
      <w:r w:rsidRPr="00D51B1C">
        <w:t>First, t</w:t>
      </w:r>
      <w:r w:rsidR="00AE139B" w:rsidRPr="00D51B1C">
        <w:t xml:space="preserve">here is a need to closely monitor the implementation of the Prevent duty at the university level. </w:t>
      </w:r>
      <w:r w:rsidR="00A8165C" w:rsidRPr="00D51B1C">
        <w:t>At the time of writing, u</w:t>
      </w:r>
      <w:r w:rsidR="007A2FEE" w:rsidRPr="00D51B1C">
        <w:t xml:space="preserve">niversities across the UK are in the process of finalising </w:t>
      </w:r>
      <w:r w:rsidR="004963ED">
        <w:t xml:space="preserve">and publishing </w:t>
      </w:r>
      <w:r w:rsidR="007A2FEE" w:rsidRPr="00D51B1C">
        <w:t xml:space="preserve">local Prevent policies in line with the new duty. </w:t>
      </w:r>
      <w:r w:rsidR="004D5F7A">
        <w:rPr>
          <w:rFonts w:eastAsia="Calibri"/>
        </w:rPr>
        <w:t>A</w:t>
      </w:r>
      <w:r w:rsidR="004D5F7A" w:rsidRPr="00D51B1C">
        <w:rPr>
          <w:rFonts w:eastAsia="Calibri"/>
        </w:rPr>
        <w:t xml:space="preserve">s the recent experience of the Tier 4 </w:t>
      </w:r>
      <w:r w:rsidR="00387A5B">
        <w:rPr>
          <w:rFonts w:eastAsia="Calibri"/>
        </w:rPr>
        <w:t xml:space="preserve">immigration </w:t>
      </w:r>
      <w:r w:rsidR="004D5F7A" w:rsidRPr="00D51B1C">
        <w:rPr>
          <w:rFonts w:eastAsia="Calibri"/>
        </w:rPr>
        <w:t>regulations demonstrates</w:t>
      </w:r>
      <w:r w:rsidR="004D5F7A" w:rsidRPr="00D51B1C">
        <w:rPr>
          <w:rStyle w:val="FootnoteReference"/>
          <w:rFonts w:eastAsia="Calibri"/>
        </w:rPr>
        <w:footnoteReference w:id="65"/>
      </w:r>
      <w:r w:rsidR="004D5F7A" w:rsidRPr="00D51B1C">
        <w:rPr>
          <w:rFonts w:eastAsia="Calibri"/>
        </w:rPr>
        <w:t xml:space="preserve">, there is a danger that universities will go above and beyond the legal requirements in </w:t>
      </w:r>
      <w:r w:rsidR="004D5F7A">
        <w:rPr>
          <w:rFonts w:eastAsia="Calibri"/>
        </w:rPr>
        <w:t xml:space="preserve">order to demonstrate compliance. </w:t>
      </w:r>
      <w:r w:rsidR="005B0FD6" w:rsidRPr="005B0FD6">
        <w:rPr>
          <w:rFonts w:eastAsia="Calibri"/>
        </w:rPr>
        <w:t>In January 2017, reports emerged that Kings College London had warned students and staff that their emails were being “monitored and recorded” as part of the University’s Prevent policy.</w:t>
      </w:r>
      <w:r w:rsidR="004D61C4">
        <w:rPr>
          <w:rStyle w:val="FootnoteReference"/>
          <w:rFonts w:eastAsia="Calibri"/>
        </w:rPr>
        <w:footnoteReference w:id="66"/>
      </w:r>
      <w:r w:rsidR="005B0FD6" w:rsidRPr="005B0FD6">
        <w:rPr>
          <w:rFonts w:eastAsia="Calibri"/>
        </w:rPr>
        <w:t xml:space="preserve"> Although the University subsequently claimed that the university were not “actively” monitoring emails, </w:t>
      </w:r>
      <w:r w:rsidR="00F80BC4">
        <w:rPr>
          <w:rFonts w:eastAsia="Calibri"/>
        </w:rPr>
        <w:t xml:space="preserve">that reports such as this are likely to exacerbate a </w:t>
      </w:r>
      <w:r w:rsidR="005B0FD6" w:rsidRPr="005B0FD6">
        <w:rPr>
          <w:rFonts w:eastAsia="Calibri"/>
        </w:rPr>
        <w:lastRenderedPageBreak/>
        <w:t>climate of fear and self-censorship, particularly among Muslim students and staff who are most likely to bear the brunt of harmful Prevent interventions.</w:t>
      </w:r>
    </w:p>
    <w:p w:rsidR="005B0FD6" w:rsidRPr="005B0FD6" w:rsidRDefault="005B0FD6" w:rsidP="005B0FD6">
      <w:pPr>
        <w:spacing w:after="0" w:line="240" w:lineRule="auto"/>
        <w:jc w:val="both"/>
        <w:rPr>
          <w:rFonts w:eastAsia="Calibri"/>
        </w:rPr>
      </w:pPr>
    </w:p>
    <w:p w:rsidR="00314773" w:rsidRDefault="007A2FEE" w:rsidP="00D51B1C">
      <w:pPr>
        <w:spacing w:after="0" w:line="240" w:lineRule="auto"/>
        <w:jc w:val="both"/>
      </w:pPr>
      <w:r w:rsidRPr="005B0FD6">
        <w:rPr>
          <w:rFonts w:eastAsia="Calibri"/>
        </w:rPr>
        <w:t xml:space="preserve">Staff working in HE institutions should </w:t>
      </w:r>
      <w:r w:rsidR="005B0FD6" w:rsidRPr="005B0FD6">
        <w:rPr>
          <w:rFonts w:eastAsia="Calibri"/>
        </w:rPr>
        <w:t xml:space="preserve">therefore </w:t>
      </w:r>
      <w:r w:rsidRPr="005B0FD6">
        <w:rPr>
          <w:rFonts w:eastAsia="Calibri"/>
        </w:rPr>
        <w:t>closely scrutinise these loca</w:t>
      </w:r>
      <w:r w:rsidR="00A8165C" w:rsidRPr="005B0FD6">
        <w:rPr>
          <w:rFonts w:eastAsia="Calibri"/>
        </w:rPr>
        <w:t>l policies and ensure that they</w:t>
      </w:r>
      <w:r w:rsidRPr="005B0FD6">
        <w:rPr>
          <w:rFonts w:eastAsia="Calibri"/>
        </w:rPr>
        <w:t xml:space="preserve"> do not go beyond what is required under the</w:t>
      </w:r>
      <w:r w:rsidRPr="00D51B1C">
        <w:t xml:space="preserve"> legislation. </w:t>
      </w:r>
      <w:r w:rsidR="000351BB" w:rsidRPr="00D51B1C">
        <w:t>For example,</w:t>
      </w:r>
      <w:r w:rsidR="00A8165C" w:rsidRPr="00D51B1C">
        <w:t xml:space="preserve"> a requirement that </w:t>
      </w:r>
      <w:r w:rsidR="00A8165C" w:rsidRPr="00D51B1C">
        <w:rPr>
          <w:rFonts w:eastAsia="Calibri"/>
        </w:rPr>
        <w:t xml:space="preserve">policies and procedures are in place </w:t>
      </w:r>
      <w:r w:rsidR="0057472E" w:rsidRPr="00D51B1C">
        <w:t xml:space="preserve">relating to the use of IT equipment </w:t>
      </w:r>
      <w:r w:rsidR="000351BB" w:rsidRPr="00D51B1C">
        <w:t xml:space="preserve">does not </w:t>
      </w:r>
      <w:r w:rsidR="00387A5B">
        <w:t>equate to</w:t>
      </w:r>
      <w:r w:rsidR="0057472E" w:rsidRPr="00D51B1C">
        <w:t xml:space="preserve"> a </w:t>
      </w:r>
      <w:r w:rsidR="000351BB" w:rsidRPr="00D51B1C">
        <w:t>require</w:t>
      </w:r>
      <w:r w:rsidR="0057472E" w:rsidRPr="00D51B1C">
        <w:t>ment</w:t>
      </w:r>
      <w:r w:rsidR="000351BB" w:rsidRPr="00D51B1C">
        <w:t xml:space="preserve"> that universities monitor </w:t>
      </w:r>
      <w:r w:rsidR="0057472E" w:rsidRPr="00D51B1C">
        <w:t>the</w:t>
      </w:r>
      <w:r w:rsidR="000351BB" w:rsidRPr="00D51B1C">
        <w:t xml:space="preserve"> </w:t>
      </w:r>
      <w:r w:rsidR="0057472E" w:rsidRPr="00D51B1C">
        <w:t xml:space="preserve">internet usage and </w:t>
      </w:r>
      <w:r w:rsidR="000351BB" w:rsidRPr="00D51B1C">
        <w:t>electronic communications</w:t>
      </w:r>
      <w:r w:rsidR="0057472E" w:rsidRPr="00D51B1C">
        <w:t xml:space="preserve"> of staff and students</w:t>
      </w:r>
      <w:r w:rsidR="000351BB" w:rsidRPr="00D51B1C">
        <w:t xml:space="preserve">. Similarly, </w:t>
      </w:r>
      <w:r w:rsidR="00A8165C" w:rsidRPr="00D51B1C">
        <w:t xml:space="preserve">a requirement that </w:t>
      </w:r>
      <w:r w:rsidR="00A8165C" w:rsidRPr="00D51B1C">
        <w:rPr>
          <w:rFonts w:eastAsia="Calibri"/>
        </w:rPr>
        <w:t xml:space="preserve">policies and procedures are in place for students and staff working on “sensitive or extremism-related research” </w:t>
      </w:r>
      <w:r w:rsidR="000351BB" w:rsidRPr="00D51B1C">
        <w:t xml:space="preserve">does not </w:t>
      </w:r>
      <w:r w:rsidR="00387A5B">
        <w:t xml:space="preserve">necessitate a requirement </w:t>
      </w:r>
      <w:r w:rsidR="000351BB" w:rsidRPr="00D51B1C">
        <w:t xml:space="preserve">that </w:t>
      </w:r>
      <w:r w:rsidR="00733C9B" w:rsidRPr="00D51B1C">
        <w:t>staff members</w:t>
      </w:r>
      <w:r w:rsidR="00A8165C" w:rsidRPr="00D51B1C">
        <w:t xml:space="preserve"> </w:t>
      </w:r>
      <w:r w:rsidR="000351BB" w:rsidRPr="00D51B1C">
        <w:t xml:space="preserve">submit reading lists </w:t>
      </w:r>
      <w:r w:rsidR="00A8165C" w:rsidRPr="00D51B1C">
        <w:t>to university management</w:t>
      </w:r>
      <w:r w:rsidR="000351BB" w:rsidRPr="00D51B1C">
        <w:t xml:space="preserve"> </w:t>
      </w:r>
      <w:r w:rsidR="00A8165C" w:rsidRPr="00D51B1C">
        <w:t xml:space="preserve">for </w:t>
      </w:r>
      <w:r w:rsidR="004D6823" w:rsidRPr="00D51B1C">
        <w:t xml:space="preserve">notification or </w:t>
      </w:r>
      <w:r w:rsidR="00A8165C" w:rsidRPr="00D51B1C">
        <w:t xml:space="preserve">approval </w:t>
      </w:r>
      <w:r w:rsidR="000351BB" w:rsidRPr="00D51B1C">
        <w:t xml:space="preserve">(which </w:t>
      </w:r>
      <w:r w:rsidR="00A8165C" w:rsidRPr="00D51B1C">
        <w:t xml:space="preserve">could </w:t>
      </w:r>
      <w:r w:rsidR="000351BB" w:rsidRPr="00D51B1C">
        <w:t xml:space="preserve">suggest that </w:t>
      </w:r>
      <w:r w:rsidR="00A8165C" w:rsidRPr="00D51B1C">
        <w:t>material accessed beyond recommended reading lists is legitimate grounds for suspicion</w:t>
      </w:r>
      <w:r w:rsidR="000351BB" w:rsidRPr="00D51B1C">
        <w:t>).</w:t>
      </w:r>
      <w:r w:rsidR="00AE139B" w:rsidRPr="00D51B1C">
        <w:t xml:space="preserve"> </w:t>
      </w:r>
      <w:r w:rsidRPr="00D51B1C">
        <w:t xml:space="preserve">Second, </w:t>
      </w:r>
      <w:proofErr w:type="gramStart"/>
      <w:r w:rsidR="00727685" w:rsidRPr="00D51B1C">
        <w:t>in order to</w:t>
      </w:r>
      <w:proofErr w:type="gramEnd"/>
      <w:r w:rsidR="00727685" w:rsidRPr="00D51B1C">
        <w:t xml:space="preserve"> mediate the harmful racialised effects of the Prevent duty, </w:t>
      </w:r>
      <w:r w:rsidR="00AD12CD" w:rsidRPr="00D51B1C">
        <w:t xml:space="preserve">universities should carry out risk assessments on the impact of the </w:t>
      </w:r>
      <w:r w:rsidR="00AC2976" w:rsidRPr="00D51B1C">
        <w:t xml:space="preserve">local prevent policies </w:t>
      </w:r>
      <w:r w:rsidR="00AD12CD" w:rsidRPr="00D51B1C">
        <w:t>on BME staff and students, in consultation with the local students’ union and campus trade unions. U</w:t>
      </w:r>
      <w:r w:rsidRPr="00D51B1C">
        <w:t>niversity departments should ensure that all staff</w:t>
      </w:r>
      <w:r w:rsidR="00AE139B" w:rsidRPr="00D51B1C">
        <w:t xml:space="preserve"> </w:t>
      </w:r>
      <w:r w:rsidR="00727685" w:rsidRPr="00D51B1C">
        <w:t xml:space="preserve">responsible for the implementation of Prevent </w:t>
      </w:r>
      <w:r w:rsidR="008D32A7" w:rsidRPr="00D51B1C">
        <w:t xml:space="preserve">undertake anti-racist training. The </w:t>
      </w:r>
      <w:r w:rsidR="00727685" w:rsidRPr="00D51B1C">
        <w:t>subject</w:t>
      </w:r>
      <w:r w:rsidR="00AE139B" w:rsidRPr="00D51B1C">
        <w:t xml:space="preserve"> choices of students from BME backgrounds</w:t>
      </w:r>
      <w:r w:rsidR="008D32A7" w:rsidRPr="00D51B1C">
        <w:t xml:space="preserve"> should be closely monitored</w:t>
      </w:r>
      <w:r w:rsidR="00727685" w:rsidRPr="00D51B1C">
        <w:t xml:space="preserve"> in order to ascertain whether </w:t>
      </w:r>
      <w:r w:rsidR="009E104A" w:rsidRPr="00D51B1C">
        <w:t>there appear</w:t>
      </w:r>
      <w:r w:rsidR="00727685" w:rsidRPr="00D51B1C">
        <w:t xml:space="preserve"> to be any change</w:t>
      </w:r>
      <w:r w:rsidR="009E104A" w:rsidRPr="00D51B1C">
        <w:t>s</w:t>
      </w:r>
      <w:r w:rsidR="00727685" w:rsidRPr="00D51B1C">
        <w:t xml:space="preserve"> in the progression of BME students following the implementation of the duty.</w:t>
      </w:r>
      <w:r w:rsidR="00AE139B" w:rsidRPr="00D51B1C">
        <w:t xml:space="preserve"> </w:t>
      </w:r>
      <w:r w:rsidR="00B24557" w:rsidRPr="00D51B1C">
        <w:t>At an individual level, s</w:t>
      </w:r>
      <w:r w:rsidR="00AE139B" w:rsidRPr="00D51B1C">
        <w:t xml:space="preserve">taff members involved in </w:t>
      </w:r>
      <w:r w:rsidR="004D6823" w:rsidRPr="00D51B1C">
        <w:t xml:space="preserve">the delivery of </w:t>
      </w:r>
      <w:r w:rsidR="00AE139B" w:rsidRPr="00D51B1C">
        <w:t xml:space="preserve">teaching should </w:t>
      </w:r>
      <w:r w:rsidR="00375BDD">
        <w:t xml:space="preserve">attempt to create </w:t>
      </w:r>
      <w:r w:rsidR="00AE139B" w:rsidRPr="00D51B1C">
        <w:t xml:space="preserve">a safe space for open discussion and debate </w:t>
      </w:r>
      <w:proofErr w:type="gramStart"/>
      <w:r w:rsidR="00AE139B" w:rsidRPr="00D51B1C">
        <w:t>in order to</w:t>
      </w:r>
      <w:proofErr w:type="gramEnd"/>
      <w:r w:rsidR="00AE139B" w:rsidRPr="00D51B1C">
        <w:t xml:space="preserve"> </w:t>
      </w:r>
      <w:r w:rsidR="002C2AD5" w:rsidRPr="00D51B1C">
        <w:t>resist</w:t>
      </w:r>
      <w:r w:rsidR="00AE139B" w:rsidRPr="00D51B1C">
        <w:t xml:space="preserve"> the harmful chilling effects </w:t>
      </w:r>
      <w:r w:rsidR="00727685" w:rsidRPr="00D51B1C">
        <w:t>of</w:t>
      </w:r>
      <w:r w:rsidR="00AE139B" w:rsidRPr="00D51B1C">
        <w:t xml:space="preserve"> Prevent. This could include, for example,</w:t>
      </w:r>
      <w:r w:rsidR="00727685" w:rsidRPr="00D51B1C">
        <w:t xml:space="preserve"> integrating a discussion of academic freedom at the </w:t>
      </w:r>
      <w:r w:rsidR="00AE139B" w:rsidRPr="00D51B1C">
        <w:t xml:space="preserve">beginning of a module </w:t>
      </w:r>
      <w:r w:rsidR="00727685" w:rsidRPr="00D51B1C">
        <w:t>which makes clear that</w:t>
      </w:r>
      <w:r w:rsidR="00AE139B" w:rsidRPr="00D51B1C">
        <w:t xml:space="preserve"> respectful debate and discussion</w:t>
      </w:r>
      <w:r w:rsidR="004D6823" w:rsidRPr="00D51B1C">
        <w:t>,</w:t>
      </w:r>
      <w:r w:rsidR="00727685" w:rsidRPr="00D51B1C">
        <w:t xml:space="preserve"> and</w:t>
      </w:r>
      <w:r w:rsidR="00AE139B" w:rsidRPr="00D51B1C">
        <w:t xml:space="preserve"> </w:t>
      </w:r>
      <w:r w:rsidR="00727685" w:rsidRPr="00D51B1C">
        <w:t>independent research beyond the set reading</w:t>
      </w:r>
      <w:r w:rsidR="00AE60AD" w:rsidRPr="00D51B1C">
        <w:t>,</w:t>
      </w:r>
      <w:r w:rsidR="00727685" w:rsidRPr="00D51B1C">
        <w:t xml:space="preserve"> is actively encouraged</w:t>
      </w:r>
      <w:r w:rsidR="00314773" w:rsidRPr="00D51B1C">
        <w:t xml:space="preserve">. </w:t>
      </w:r>
      <w:r w:rsidR="00587562">
        <w:t xml:space="preserve">Students </w:t>
      </w:r>
      <w:r w:rsidR="00CC6928">
        <w:t>should also be</w:t>
      </w:r>
      <w:r w:rsidR="00587562">
        <w:t xml:space="preserve"> encouraged to discuss and debate the Prevent strategy</w:t>
      </w:r>
      <w:r w:rsidR="003E6F8B">
        <w:t xml:space="preserve"> in seminars and workshops</w:t>
      </w:r>
      <w:r w:rsidR="00CC6928">
        <w:t>,</w:t>
      </w:r>
      <w:r w:rsidR="003E6F8B">
        <w:t xml:space="preserve"> </w:t>
      </w:r>
      <w:r w:rsidR="00587562">
        <w:t xml:space="preserve">and interrogate the definitions of ‘extremism’ and ‘British values’ upon which the policy is based. This would require staff to introduce competing academic perspectives on Prevent </w:t>
      </w:r>
      <w:proofErr w:type="gramStart"/>
      <w:r w:rsidR="00587562">
        <w:t>in order to</w:t>
      </w:r>
      <w:proofErr w:type="gramEnd"/>
      <w:r w:rsidR="00587562">
        <w:t xml:space="preserve"> </w:t>
      </w:r>
      <w:r w:rsidR="003E6F8B">
        <w:t xml:space="preserve">encourage students to express their </w:t>
      </w:r>
      <w:r w:rsidR="00CC6928">
        <w:t xml:space="preserve">own </w:t>
      </w:r>
      <w:r w:rsidR="003E6F8B">
        <w:t xml:space="preserve">viewpoints and share experiences. </w:t>
      </w:r>
      <w:r w:rsidR="00AE60AD" w:rsidRPr="00D51B1C">
        <w:t>Such</w:t>
      </w:r>
      <w:r w:rsidR="001C0885" w:rsidRPr="00D51B1C">
        <w:t xml:space="preserve"> measures, although</w:t>
      </w:r>
      <w:r w:rsidR="00AE60AD" w:rsidRPr="00D51B1C">
        <w:t xml:space="preserve"> limited, could go some way in </w:t>
      </w:r>
      <w:r w:rsidR="000E6CB5" w:rsidRPr="00D51B1C">
        <w:t>defending</w:t>
      </w:r>
      <w:r w:rsidR="00AE60AD" w:rsidRPr="00D51B1C">
        <w:t xml:space="preserve"> the academic freedom of staff and students </w:t>
      </w:r>
      <w:r w:rsidR="00DC144F" w:rsidRPr="00D51B1C">
        <w:t>and prevent</w:t>
      </w:r>
      <w:r w:rsidR="00AE60AD" w:rsidRPr="00D51B1C">
        <w:t xml:space="preserve"> </w:t>
      </w:r>
      <w:r w:rsidR="008B7480" w:rsidRPr="00D51B1C">
        <w:t>the type of</w:t>
      </w:r>
      <w:r w:rsidR="00AE60AD" w:rsidRPr="00D51B1C">
        <w:t xml:space="preserve"> overreaction seen in universities following the introduction of the Tier 4 regulations.</w:t>
      </w:r>
    </w:p>
    <w:p w:rsidR="00DC62A7" w:rsidRPr="00D51B1C" w:rsidRDefault="00DC62A7" w:rsidP="00D51B1C">
      <w:pPr>
        <w:spacing w:after="0" w:line="240" w:lineRule="auto"/>
        <w:jc w:val="both"/>
      </w:pPr>
    </w:p>
    <w:p w:rsidR="004D6823" w:rsidRDefault="004D6823" w:rsidP="00D51B1C">
      <w:pPr>
        <w:spacing w:after="0" w:line="240" w:lineRule="auto"/>
        <w:jc w:val="both"/>
        <w:rPr>
          <w:b/>
        </w:rPr>
      </w:pPr>
      <w:r w:rsidRPr="00D51B1C">
        <w:rPr>
          <w:b/>
        </w:rPr>
        <w:t>Conclusion</w:t>
      </w:r>
    </w:p>
    <w:p w:rsidR="00DC62A7" w:rsidRPr="00D51B1C" w:rsidRDefault="00DC62A7" w:rsidP="00D51B1C">
      <w:pPr>
        <w:spacing w:after="0" w:line="240" w:lineRule="auto"/>
        <w:jc w:val="both"/>
        <w:rPr>
          <w:b/>
        </w:rPr>
      </w:pPr>
    </w:p>
    <w:p w:rsidR="001A45C8" w:rsidRPr="00D51B1C" w:rsidRDefault="004D6823" w:rsidP="00D51B1C">
      <w:pPr>
        <w:spacing w:after="0" w:line="240" w:lineRule="auto"/>
        <w:jc w:val="both"/>
        <w:rPr>
          <w:b/>
        </w:rPr>
      </w:pPr>
      <w:r w:rsidRPr="00D51B1C">
        <w:t xml:space="preserve">Academic freedom is a fundamental </w:t>
      </w:r>
      <w:r w:rsidR="00AD12CD" w:rsidRPr="00D51B1C">
        <w:t xml:space="preserve">foundation </w:t>
      </w:r>
      <w:r w:rsidRPr="00D51B1C">
        <w:t xml:space="preserve">of </w:t>
      </w:r>
      <w:r w:rsidR="00671A8F" w:rsidRPr="00D51B1C">
        <w:t>HE</w:t>
      </w:r>
      <w:r w:rsidRPr="00D51B1C">
        <w:t xml:space="preserve">. </w:t>
      </w:r>
      <w:r w:rsidR="00AD12CD" w:rsidRPr="00D51B1C">
        <w:t xml:space="preserve">The benefits </w:t>
      </w:r>
      <w:r w:rsidRPr="00D51B1C">
        <w:t>are felt by staff</w:t>
      </w:r>
      <w:r w:rsidR="00AD12CD" w:rsidRPr="00D51B1C">
        <w:t>,</w:t>
      </w:r>
      <w:r w:rsidRPr="00D51B1C">
        <w:t xml:space="preserve"> students</w:t>
      </w:r>
      <w:r w:rsidR="00AD12CD" w:rsidRPr="00D51B1C">
        <w:t xml:space="preserve"> and wider society</w:t>
      </w:r>
      <w:r w:rsidRPr="00D51B1C">
        <w:t xml:space="preserve">, and </w:t>
      </w:r>
      <w:r w:rsidR="00AD12CD" w:rsidRPr="00D51B1C">
        <w:t xml:space="preserve">such protections </w:t>
      </w:r>
      <w:r w:rsidR="0077465C" w:rsidRPr="00D51B1C">
        <w:t xml:space="preserve">are </w:t>
      </w:r>
      <w:r w:rsidRPr="00D51B1C">
        <w:t xml:space="preserve">essential for a </w:t>
      </w:r>
      <w:r w:rsidR="00AD12CD" w:rsidRPr="00D51B1C">
        <w:t>well-</w:t>
      </w:r>
      <w:r w:rsidRPr="00D51B1C">
        <w:t xml:space="preserve">functioning democracy. The CTSA 2015 represents one of the most significant threats to academic freedom in recent years. Although the </w:t>
      </w:r>
      <w:r w:rsidR="00AD12CD" w:rsidRPr="00D51B1C">
        <w:t xml:space="preserve">real </w:t>
      </w:r>
      <w:r w:rsidRPr="00D51B1C">
        <w:t xml:space="preserve">impact of the duty remains to be seen, the evidence to date of the implementation of the Prevent strategy </w:t>
      </w:r>
      <w:proofErr w:type="gramStart"/>
      <w:r w:rsidRPr="00D51B1C">
        <w:t>as a whole should</w:t>
      </w:r>
      <w:proofErr w:type="gramEnd"/>
      <w:r w:rsidRPr="00D51B1C">
        <w:t xml:space="preserve"> </w:t>
      </w:r>
      <w:r w:rsidR="00AD12CD" w:rsidRPr="00D51B1C">
        <w:t xml:space="preserve">be </w:t>
      </w:r>
      <w:r w:rsidRPr="00D51B1C">
        <w:t>cause</w:t>
      </w:r>
      <w:r w:rsidR="00AD12CD" w:rsidRPr="00D51B1C">
        <w:t xml:space="preserve"> for</w:t>
      </w:r>
      <w:r w:rsidRPr="00D51B1C">
        <w:t xml:space="preserve"> alarm across the HE sector. </w:t>
      </w:r>
      <w:r w:rsidR="001C170A">
        <w:t xml:space="preserve">These developments are </w:t>
      </w:r>
      <w:r w:rsidR="00F96AFE">
        <w:t>likely</w:t>
      </w:r>
      <w:r w:rsidR="001C170A">
        <w:t xml:space="preserve"> to have a</w:t>
      </w:r>
      <w:r w:rsidR="00F96AFE">
        <w:t xml:space="preserve"> </w:t>
      </w:r>
      <w:r w:rsidR="001C170A">
        <w:t xml:space="preserve">direct impact on UK law schools, were </w:t>
      </w:r>
      <w:r w:rsidR="00F96AFE">
        <w:t>‘</w:t>
      </w:r>
      <w:r w:rsidR="001C170A">
        <w:t>terrorism</w:t>
      </w:r>
      <w:r w:rsidR="00F96AFE">
        <w:t>’</w:t>
      </w:r>
      <w:r w:rsidR="001C170A">
        <w:t xml:space="preserve"> and </w:t>
      </w:r>
      <w:r w:rsidR="00F96AFE">
        <w:t>‘</w:t>
      </w:r>
      <w:r w:rsidR="001C170A">
        <w:t>counter terrorism</w:t>
      </w:r>
      <w:r w:rsidR="00F96AFE">
        <w:t>’</w:t>
      </w:r>
      <w:r w:rsidR="001C170A">
        <w:t xml:space="preserve"> are increasingly embedded into undergraduate and postgraduate curriculums</w:t>
      </w:r>
      <w:r w:rsidR="003D4FE3">
        <w:t xml:space="preserve"> and a growing number of postgraduate research students are investigating these issues</w:t>
      </w:r>
      <w:r w:rsidR="005570B0">
        <w:t xml:space="preserve"> directly</w:t>
      </w:r>
      <w:r w:rsidR="001C170A">
        <w:t xml:space="preserve">. </w:t>
      </w:r>
      <w:r w:rsidR="00AD12CD" w:rsidRPr="00D51B1C">
        <w:t xml:space="preserve">Although, as the above discussion </w:t>
      </w:r>
      <w:r w:rsidR="00653724" w:rsidRPr="00D51B1C">
        <w:t>has attempted to demonstrate</w:t>
      </w:r>
      <w:r w:rsidR="00AD12CD" w:rsidRPr="00D51B1C">
        <w:t xml:space="preserve">, </w:t>
      </w:r>
      <w:r w:rsidRPr="00D51B1C">
        <w:t>there are s</w:t>
      </w:r>
      <w:r w:rsidR="00AD12CD" w:rsidRPr="00D51B1C">
        <w:t>teps</w:t>
      </w:r>
      <w:r w:rsidRPr="00D51B1C">
        <w:t xml:space="preserve"> </w:t>
      </w:r>
      <w:r w:rsidR="00653724" w:rsidRPr="00D51B1C">
        <w:t>academic</w:t>
      </w:r>
      <w:r w:rsidRPr="00D51B1C">
        <w:t xml:space="preserve"> sta</w:t>
      </w:r>
      <w:r w:rsidR="00653724" w:rsidRPr="00D51B1C">
        <w:t>ff can take to ensure that the</w:t>
      </w:r>
      <w:r w:rsidRPr="00D51B1C">
        <w:t xml:space="preserve"> damaging effects</w:t>
      </w:r>
      <w:r w:rsidR="00653724" w:rsidRPr="00D51B1C">
        <w:t xml:space="preserve"> of the Prevent duty</w:t>
      </w:r>
      <w:r w:rsidRPr="00D51B1C">
        <w:t xml:space="preserve"> </w:t>
      </w:r>
      <w:r w:rsidR="00AD12CD" w:rsidRPr="00D51B1C">
        <w:t>are</w:t>
      </w:r>
      <w:r w:rsidRPr="00D51B1C">
        <w:t xml:space="preserve"> mediated as much as possible, ultimately </w:t>
      </w:r>
      <w:r w:rsidR="00AD12CD" w:rsidRPr="00D51B1C">
        <w:t xml:space="preserve">a strategy </w:t>
      </w:r>
      <w:r w:rsidR="006838DF" w:rsidRPr="00D51B1C">
        <w:t xml:space="preserve">that is </w:t>
      </w:r>
      <w:r w:rsidR="008A4137" w:rsidRPr="00D51B1C">
        <w:t>based on unsound</w:t>
      </w:r>
      <w:r w:rsidRPr="00D51B1C">
        <w:t xml:space="preserve"> </w:t>
      </w:r>
      <w:r w:rsidR="008A4137" w:rsidRPr="00D51B1C">
        <w:t>evidence</w:t>
      </w:r>
      <w:r w:rsidRPr="00D51B1C">
        <w:t xml:space="preserve">, </w:t>
      </w:r>
      <w:r w:rsidR="00A53706" w:rsidRPr="00D51B1C">
        <w:t>encourages</w:t>
      </w:r>
      <w:r w:rsidR="001F53DB" w:rsidRPr="00D51B1C">
        <w:t xml:space="preserve"> racial and religious profiling</w:t>
      </w:r>
      <w:r w:rsidRPr="00D51B1C">
        <w:t xml:space="preserve"> </w:t>
      </w:r>
      <w:r w:rsidR="00D74353" w:rsidRPr="00D51B1C">
        <w:t xml:space="preserve">and which undermines </w:t>
      </w:r>
      <w:r w:rsidR="001F53DB" w:rsidRPr="00D51B1C">
        <w:t xml:space="preserve">the </w:t>
      </w:r>
      <w:r w:rsidR="00D74353" w:rsidRPr="00D51B1C">
        <w:t xml:space="preserve">academic freedom </w:t>
      </w:r>
      <w:r w:rsidR="001F53DB" w:rsidRPr="00D51B1C">
        <w:t xml:space="preserve">of staff and students </w:t>
      </w:r>
      <w:r w:rsidR="00653724" w:rsidRPr="00D51B1C">
        <w:t xml:space="preserve">should have </w:t>
      </w:r>
      <w:r w:rsidRPr="00D51B1C">
        <w:t>no</w:t>
      </w:r>
      <w:r w:rsidR="00AD12CD" w:rsidRPr="00D51B1C">
        <w:t xml:space="preserve"> </w:t>
      </w:r>
      <w:r w:rsidRPr="00D51B1C">
        <w:t xml:space="preserve">place in </w:t>
      </w:r>
      <w:r w:rsidR="00D74353" w:rsidRPr="00D51B1C">
        <w:t>HE.</w:t>
      </w:r>
      <w:r w:rsidR="005121E5">
        <w:t xml:space="preserve"> </w:t>
      </w:r>
    </w:p>
    <w:sectPr w:rsidR="001A45C8" w:rsidRPr="00D51B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328" w:rsidRDefault="00BB6328" w:rsidP="000D6531">
      <w:pPr>
        <w:spacing w:after="0" w:line="240" w:lineRule="auto"/>
      </w:pPr>
      <w:r>
        <w:separator/>
      </w:r>
    </w:p>
  </w:endnote>
  <w:endnote w:type="continuationSeparator" w:id="0">
    <w:p w:rsidR="00BB6328" w:rsidRDefault="00BB6328" w:rsidP="000D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GotMdITC-Heavy">
    <w:panose1 w:val="00000000000000000000"/>
    <w:charset w:val="00"/>
    <w:family w:val="auto"/>
    <w:notTrueType/>
    <w:pitch w:val="default"/>
    <w:sig w:usb0="00000003" w:usb1="00000000" w:usb2="00000000" w:usb3="00000000" w:csb0="00000001" w:csb1="00000000"/>
  </w:font>
  <w:font w:name="AdvTime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043102"/>
      <w:docPartObj>
        <w:docPartGallery w:val="Page Numbers (Bottom of Page)"/>
        <w:docPartUnique/>
      </w:docPartObj>
    </w:sdtPr>
    <w:sdtEndPr>
      <w:rPr>
        <w:noProof/>
      </w:rPr>
    </w:sdtEndPr>
    <w:sdtContent>
      <w:p w:rsidR="00D43BBC" w:rsidRDefault="00D43BBC">
        <w:pPr>
          <w:pStyle w:val="Footer"/>
          <w:jc w:val="center"/>
        </w:pPr>
        <w:r>
          <w:fldChar w:fldCharType="begin"/>
        </w:r>
        <w:r>
          <w:instrText xml:space="preserve"> PAGE   \* MERGEFORMAT </w:instrText>
        </w:r>
        <w:r>
          <w:fldChar w:fldCharType="separate"/>
        </w:r>
        <w:r w:rsidR="00EC06D4">
          <w:rPr>
            <w:noProof/>
          </w:rPr>
          <w:t>9</w:t>
        </w:r>
        <w:r>
          <w:rPr>
            <w:noProof/>
          </w:rPr>
          <w:fldChar w:fldCharType="end"/>
        </w:r>
      </w:p>
    </w:sdtContent>
  </w:sdt>
  <w:p w:rsidR="00D43BBC" w:rsidRDefault="00D43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328" w:rsidRDefault="00BB6328" w:rsidP="000D6531">
      <w:pPr>
        <w:spacing w:after="0" w:line="240" w:lineRule="auto"/>
      </w:pPr>
      <w:r>
        <w:separator/>
      </w:r>
    </w:p>
  </w:footnote>
  <w:footnote w:type="continuationSeparator" w:id="0">
    <w:p w:rsidR="00BB6328" w:rsidRDefault="00BB6328" w:rsidP="000D6531">
      <w:pPr>
        <w:spacing w:after="0" w:line="240" w:lineRule="auto"/>
      </w:pPr>
      <w:r>
        <w:continuationSeparator/>
      </w:r>
    </w:p>
  </w:footnote>
  <w:footnote w:id="1">
    <w:p w:rsidR="00140AE5" w:rsidRDefault="00140AE5" w:rsidP="00140AE5">
      <w:pPr>
        <w:pStyle w:val="FootnoteText"/>
      </w:pPr>
      <w:r>
        <w:rPr>
          <w:rStyle w:val="FootnoteReference"/>
        </w:rPr>
        <w:footnoteRef/>
      </w:r>
      <w:r>
        <w:t xml:space="preserve"> CTSA 2015, s.26(1).</w:t>
      </w:r>
    </w:p>
  </w:footnote>
  <w:footnote w:id="2">
    <w:p w:rsidR="00140AE5" w:rsidRPr="00D51B1C" w:rsidRDefault="00140AE5" w:rsidP="00140AE5">
      <w:pPr>
        <w:pStyle w:val="FootnoteText"/>
      </w:pPr>
      <w:r>
        <w:rPr>
          <w:rStyle w:val="FootnoteReference"/>
        </w:rPr>
        <w:footnoteRef/>
      </w:r>
      <w:r>
        <w:t xml:space="preserve"> HM Government, </w:t>
      </w:r>
      <w:r>
        <w:rPr>
          <w:i/>
        </w:rPr>
        <w:t>CONTEST: The United Kingdom’s Strategy for Countering Terrorism</w:t>
      </w:r>
      <w:r>
        <w:t xml:space="preserve"> (London, HMSO, 2011).</w:t>
      </w:r>
    </w:p>
  </w:footnote>
  <w:footnote w:id="3">
    <w:p w:rsidR="00140AE5" w:rsidRPr="00D51B1C" w:rsidRDefault="00140AE5" w:rsidP="00140AE5">
      <w:pPr>
        <w:pStyle w:val="FootnoteText"/>
      </w:pPr>
      <w:r>
        <w:rPr>
          <w:rStyle w:val="FootnoteReference"/>
        </w:rPr>
        <w:footnoteRef/>
      </w:r>
      <w:r>
        <w:t xml:space="preserve"> HM Government, </w:t>
      </w:r>
      <w:r>
        <w:rPr>
          <w:i/>
        </w:rPr>
        <w:t>Prevent Strategy</w:t>
      </w:r>
      <w:r>
        <w:t xml:space="preserve"> (London, HMSO, 2011), p. 39.</w:t>
      </w:r>
    </w:p>
  </w:footnote>
  <w:footnote w:id="4">
    <w:p w:rsidR="00140AE5" w:rsidRPr="00EC048D" w:rsidRDefault="00140AE5" w:rsidP="00140AE5">
      <w:pPr>
        <w:pStyle w:val="FootnoteText"/>
      </w:pPr>
      <w:r>
        <w:rPr>
          <w:rStyle w:val="FootnoteReference"/>
        </w:rPr>
        <w:footnoteRef/>
      </w:r>
      <w:r>
        <w:t xml:space="preserve"> UCU, </w:t>
      </w:r>
      <w:r>
        <w:rPr>
          <w:i/>
        </w:rPr>
        <w:t xml:space="preserve">The Prevent Duty: A Guide for Branches and Members </w:t>
      </w:r>
      <w:r>
        <w:t xml:space="preserve">(UCU, 2015). Available at </w:t>
      </w:r>
      <w:hyperlink r:id="rId1" w:history="1">
        <w:r w:rsidRPr="000578B0">
          <w:rPr>
            <w:rStyle w:val="Hyperlink"/>
          </w:rPr>
          <w:t>https://www.ucu.org.uk/media/7370/The-prevent-duty-guidance-for-branches-Dec-15/pdf/ucu_preventdutyguidance_dec15.pdf</w:t>
        </w:r>
      </w:hyperlink>
      <w:r>
        <w:t xml:space="preserve"> (accessed 8 April 2016).</w:t>
      </w:r>
    </w:p>
  </w:footnote>
  <w:footnote w:id="5">
    <w:p w:rsidR="00140AE5" w:rsidRPr="000D5465" w:rsidRDefault="00140AE5" w:rsidP="00140AE5">
      <w:pPr>
        <w:pStyle w:val="FootnoteText"/>
      </w:pPr>
      <w:r>
        <w:rPr>
          <w:rStyle w:val="FootnoteReference"/>
        </w:rPr>
        <w:footnoteRef/>
      </w:r>
      <w:r>
        <w:t xml:space="preserve"> </w:t>
      </w:r>
      <w:r>
        <w:rPr>
          <w:i/>
        </w:rPr>
        <w:t>Ibid</w:t>
      </w:r>
      <w:r>
        <w:t>.</w:t>
      </w:r>
    </w:p>
  </w:footnote>
  <w:footnote w:id="6">
    <w:p w:rsidR="00140AE5" w:rsidRPr="00EC048D" w:rsidRDefault="00140AE5" w:rsidP="00140AE5">
      <w:pPr>
        <w:pStyle w:val="FootnoteText"/>
      </w:pPr>
      <w:r>
        <w:rPr>
          <w:rStyle w:val="FootnoteReference"/>
        </w:rPr>
        <w:footnoteRef/>
      </w:r>
      <w:r>
        <w:t xml:space="preserve"> NUS Black Students (2015) </w:t>
      </w:r>
      <w:r w:rsidRPr="00EC048D">
        <w:rPr>
          <w:i/>
        </w:rPr>
        <w:t>Preventing Prevent Handbook</w:t>
      </w:r>
      <w:r>
        <w:rPr>
          <w:i/>
        </w:rPr>
        <w:t xml:space="preserve"> </w:t>
      </w:r>
      <w:r>
        <w:t>(NUS,</w:t>
      </w:r>
      <w:r>
        <w:rPr>
          <w:i/>
        </w:rPr>
        <w:t xml:space="preserve"> </w:t>
      </w:r>
      <w:r w:rsidRPr="00140AE5">
        <w:t>2015</w:t>
      </w:r>
      <w:r>
        <w:t xml:space="preserve">). Available at </w:t>
      </w:r>
      <w:hyperlink r:id="rId2" w:history="1">
        <w:r w:rsidRPr="000578B0">
          <w:rPr>
            <w:rStyle w:val="Hyperlink"/>
          </w:rPr>
          <w:t>http://www.nusconnect.org.uk/resources/preventing-prevent-handbook</w:t>
        </w:r>
      </w:hyperlink>
      <w:r>
        <w:t xml:space="preserve"> (accessed 8 April 2016).</w:t>
      </w:r>
    </w:p>
  </w:footnote>
  <w:footnote w:id="7">
    <w:p w:rsidR="00D860B6" w:rsidRPr="00E13287" w:rsidRDefault="00D860B6" w:rsidP="00E13287">
      <w:pPr>
        <w:autoSpaceDE w:val="0"/>
        <w:autoSpaceDN w:val="0"/>
        <w:adjustRightInd w:val="0"/>
        <w:spacing w:after="0" w:line="240" w:lineRule="auto"/>
        <w:rPr>
          <w:rFonts w:cs="AdvTimes"/>
        </w:rPr>
      </w:pPr>
      <w:r>
        <w:rPr>
          <w:rStyle w:val="FootnoteReference"/>
        </w:rPr>
        <w:footnoteRef/>
      </w:r>
      <w:r>
        <w:t xml:space="preserve"> </w:t>
      </w:r>
      <w:r w:rsidR="00767D9B" w:rsidRPr="00767D9B">
        <w:rPr>
          <w:sz w:val="20"/>
          <w:szCs w:val="20"/>
        </w:rPr>
        <w:t>See t</w:t>
      </w:r>
      <w:r w:rsidR="00767D9B" w:rsidRPr="00677FD2">
        <w:rPr>
          <w:sz w:val="20"/>
          <w:szCs w:val="20"/>
        </w:rPr>
        <w:t>he National Committee of Inquiry into</w:t>
      </w:r>
      <w:r w:rsidR="00767D9B" w:rsidRPr="00767D9B">
        <w:rPr>
          <w:sz w:val="20"/>
          <w:szCs w:val="20"/>
        </w:rPr>
        <w:t> </w:t>
      </w:r>
      <w:r w:rsidR="00767D9B" w:rsidRPr="00677FD2">
        <w:rPr>
          <w:sz w:val="20"/>
          <w:szCs w:val="20"/>
        </w:rPr>
        <w:t>Higher Education</w:t>
      </w:r>
      <w:r w:rsidR="00140AE5">
        <w:rPr>
          <w:sz w:val="20"/>
          <w:szCs w:val="20"/>
        </w:rPr>
        <w:t xml:space="preserve">, </w:t>
      </w:r>
      <w:r w:rsidR="00767D9B">
        <w:rPr>
          <w:i/>
          <w:sz w:val="20"/>
          <w:szCs w:val="20"/>
        </w:rPr>
        <w:t>Higher Education in the Learning S</w:t>
      </w:r>
      <w:r w:rsidR="00767D9B" w:rsidRPr="00677FD2">
        <w:rPr>
          <w:i/>
          <w:sz w:val="20"/>
          <w:szCs w:val="20"/>
        </w:rPr>
        <w:t>ociety</w:t>
      </w:r>
      <w:r w:rsidR="00767D9B" w:rsidRPr="00767D9B">
        <w:rPr>
          <w:i/>
          <w:sz w:val="20"/>
          <w:szCs w:val="20"/>
        </w:rPr>
        <w:t xml:space="preserve"> </w:t>
      </w:r>
      <w:r w:rsidR="00767D9B" w:rsidRPr="00767D9B">
        <w:rPr>
          <w:sz w:val="20"/>
          <w:szCs w:val="20"/>
        </w:rPr>
        <w:t>(‘The Dearing Report’)</w:t>
      </w:r>
      <w:r w:rsidR="00140AE5">
        <w:rPr>
          <w:sz w:val="20"/>
          <w:szCs w:val="20"/>
        </w:rPr>
        <w:t xml:space="preserve"> (London,</w:t>
      </w:r>
      <w:r w:rsidR="00767D9B">
        <w:rPr>
          <w:sz w:val="20"/>
          <w:szCs w:val="20"/>
        </w:rPr>
        <w:t xml:space="preserve"> HMSO, </w:t>
      </w:r>
      <w:r w:rsidR="00140AE5">
        <w:rPr>
          <w:sz w:val="20"/>
          <w:szCs w:val="20"/>
        </w:rPr>
        <w:t xml:space="preserve">1997), </w:t>
      </w:r>
      <w:r w:rsidR="00767D9B">
        <w:rPr>
          <w:sz w:val="20"/>
          <w:szCs w:val="20"/>
        </w:rPr>
        <w:t>para. 3.41.</w:t>
      </w:r>
    </w:p>
  </w:footnote>
  <w:footnote w:id="8">
    <w:p w:rsidR="00852BEA" w:rsidRPr="00852BEA" w:rsidRDefault="00852BEA">
      <w:pPr>
        <w:pStyle w:val="FootnoteText"/>
      </w:pPr>
      <w:r>
        <w:rPr>
          <w:rStyle w:val="FootnoteReference"/>
        </w:rPr>
        <w:footnoteRef/>
      </w:r>
      <w:r>
        <w:t xml:space="preserve"> </w:t>
      </w:r>
      <w:r>
        <w:rPr>
          <w:i/>
        </w:rPr>
        <w:t>Ibid</w:t>
      </w:r>
      <w:r>
        <w:t>., para. 1.1.</w:t>
      </w:r>
    </w:p>
  </w:footnote>
  <w:footnote w:id="9">
    <w:p w:rsidR="00820674" w:rsidRDefault="00820674">
      <w:pPr>
        <w:pStyle w:val="FootnoteText"/>
      </w:pPr>
      <w:r>
        <w:rPr>
          <w:rStyle w:val="FootnoteReference"/>
        </w:rPr>
        <w:footnoteRef/>
      </w:r>
      <w:r>
        <w:t xml:space="preserve"> </w:t>
      </w:r>
      <w:r w:rsidR="00BE1166">
        <w:t>S. Jasper</w:t>
      </w:r>
      <w:r w:rsidR="00140AE5">
        <w:t>, “</w:t>
      </w:r>
      <w:r w:rsidR="001C2932">
        <w:t>Britain's Education Reform Act: A Lesson in Academic Freedom and Tenure</w:t>
      </w:r>
      <w:r w:rsidR="00140AE5">
        <w:t>” (1990) 16(3)</w:t>
      </w:r>
      <w:r w:rsidR="001C2932">
        <w:t xml:space="preserve"> </w:t>
      </w:r>
      <w:r w:rsidR="001C2932" w:rsidRPr="00677FD2">
        <w:rPr>
          <w:i/>
        </w:rPr>
        <w:t>Journal of College and University Law</w:t>
      </w:r>
      <w:r w:rsidR="00140AE5">
        <w:t xml:space="preserve"> 449</w:t>
      </w:r>
      <w:r w:rsidR="001C2932">
        <w:t>, p.451.</w:t>
      </w:r>
    </w:p>
  </w:footnote>
  <w:footnote w:id="10">
    <w:p w:rsidR="002C5BCA" w:rsidRPr="002C5BCA" w:rsidRDefault="002C5BCA" w:rsidP="002C5BCA">
      <w:pPr>
        <w:pStyle w:val="FootnoteText"/>
        <w:rPr>
          <w:i/>
        </w:rPr>
      </w:pPr>
      <w:r>
        <w:rPr>
          <w:rStyle w:val="FootnoteReference"/>
        </w:rPr>
        <w:footnoteRef/>
      </w:r>
      <w:r>
        <w:t xml:space="preserve"> </w:t>
      </w:r>
      <w:r w:rsidR="00BE1166">
        <w:t xml:space="preserve">T. </w:t>
      </w:r>
      <w:proofErr w:type="spellStart"/>
      <w:r w:rsidR="00BE1166">
        <w:t>Karran</w:t>
      </w:r>
      <w:proofErr w:type="spellEnd"/>
      <w:r w:rsidR="00BE1166">
        <w:t>,</w:t>
      </w:r>
      <w:r w:rsidR="00140AE5">
        <w:t xml:space="preserve"> “</w:t>
      </w:r>
      <w:r w:rsidRPr="002C5BCA">
        <w:t>Academic Freedom in Europe: A P</w:t>
      </w:r>
      <w:r w:rsidR="00140AE5">
        <w:t xml:space="preserve">reliminary Comparative Analysis” (2007) 20(3) </w:t>
      </w:r>
      <w:r w:rsidRPr="002C5BCA">
        <w:rPr>
          <w:i/>
        </w:rPr>
        <w:t>Higher</w:t>
      </w:r>
    </w:p>
    <w:p w:rsidR="002C5BCA" w:rsidRDefault="002C5BCA" w:rsidP="002C5BCA">
      <w:pPr>
        <w:pStyle w:val="FootnoteText"/>
      </w:pPr>
      <w:r w:rsidRPr="002C5BCA">
        <w:rPr>
          <w:i/>
        </w:rPr>
        <w:t>Education Policy</w:t>
      </w:r>
      <w:r w:rsidRPr="002C5BCA">
        <w:t xml:space="preserve"> </w:t>
      </w:r>
      <w:r w:rsidR="00140AE5">
        <w:t>289.</w:t>
      </w:r>
    </w:p>
  </w:footnote>
  <w:footnote w:id="11">
    <w:p w:rsidR="00023803" w:rsidRPr="00023803" w:rsidRDefault="00023803">
      <w:pPr>
        <w:pStyle w:val="FootnoteText"/>
      </w:pPr>
      <w:r>
        <w:rPr>
          <w:rStyle w:val="FootnoteReference"/>
        </w:rPr>
        <w:footnoteRef/>
      </w:r>
      <w:r>
        <w:t xml:space="preserve"> </w:t>
      </w:r>
      <w:r w:rsidRPr="00023803">
        <w:t>Article 13</w:t>
      </w:r>
      <w:r w:rsidR="00F8422A">
        <w:t>.</w:t>
      </w:r>
    </w:p>
  </w:footnote>
  <w:footnote w:id="12">
    <w:p w:rsidR="00A93E11" w:rsidRDefault="00A93E11" w:rsidP="00A93E11">
      <w:pPr>
        <w:pStyle w:val="FootnoteText"/>
      </w:pPr>
      <w:r>
        <w:rPr>
          <w:rStyle w:val="FootnoteReference"/>
        </w:rPr>
        <w:footnoteRef/>
      </w:r>
      <w:r w:rsidR="00BE1166">
        <w:t xml:space="preserve"> U. Felt,</w:t>
      </w:r>
      <w:r w:rsidR="00140AE5">
        <w:t xml:space="preserve"> </w:t>
      </w:r>
      <w:r>
        <w:rPr>
          <w:i/>
        </w:rPr>
        <w:t>University Autonomy in Europe: Changing Paradigms i</w:t>
      </w:r>
      <w:r w:rsidRPr="00023803">
        <w:rPr>
          <w:i/>
        </w:rPr>
        <w:t>n Higher Education Policy</w:t>
      </w:r>
      <w:r w:rsidR="00140AE5">
        <w:rPr>
          <w:i/>
        </w:rPr>
        <w:t xml:space="preserve"> </w:t>
      </w:r>
      <w:r w:rsidR="00140AE5" w:rsidRPr="00140AE5">
        <w:t>(</w:t>
      </w:r>
      <w:r w:rsidR="00BE1166">
        <w:t>Bologna,</w:t>
      </w:r>
      <w:r>
        <w:t xml:space="preserve"> </w:t>
      </w:r>
      <w:proofErr w:type="spellStart"/>
      <w:r>
        <w:t>Bononia</w:t>
      </w:r>
      <w:proofErr w:type="spellEnd"/>
      <w:r w:rsidR="00BE1166">
        <w:t xml:space="preserve"> </w:t>
      </w:r>
      <w:r>
        <w:t xml:space="preserve">University Press, </w:t>
      </w:r>
      <w:r w:rsidR="00BE1166">
        <w:t xml:space="preserve">2002), </w:t>
      </w:r>
      <w:r>
        <w:t>p.</w:t>
      </w:r>
      <w:r w:rsidR="00BE1166">
        <w:t xml:space="preserve"> </w:t>
      </w:r>
      <w:r>
        <w:t>15.</w:t>
      </w:r>
    </w:p>
  </w:footnote>
  <w:footnote w:id="13">
    <w:p w:rsidR="009E14D4" w:rsidRDefault="009E14D4">
      <w:pPr>
        <w:pStyle w:val="FootnoteText"/>
      </w:pPr>
      <w:r>
        <w:rPr>
          <w:rStyle w:val="FootnoteReference"/>
        </w:rPr>
        <w:footnoteRef/>
      </w:r>
      <w:r>
        <w:t xml:space="preserve"> Section 202(2).</w:t>
      </w:r>
    </w:p>
  </w:footnote>
  <w:footnote w:id="14">
    <w:p w:rsidR="009E14D4" w:rsidRPr="009E14D4" w:rsidRDefault="009E14D4">
      <w:pPr>
        <w:pStyle w:val="FootnoteText"/>
      </w:pPr>
      <w:r>
        <w:rPr>
          <w:rStyle w:val="FootnoteReference"/>
        </w:rPr>
        <w:footnoteRef/>
      </w:r>
      <w:r>
        <w:t xml:space="preserve"> </w:t>
      </w:r>
      <w:r w:rsidR="00BE1166">
        <w:t xml:space="preserve">T. </w:t>
      </w:r>
      <w:proofErr w:type="spellStart"/>
      <w:r>
        <w:t>Karran</w:t>
      </w:r>
      <w:proofErr w:type="spellEnd"/>
      <w:r>
        <w:t xml:space="preserve">, </w:t>
      </w:r>
      <w:r>
        <w:rPr>
          <w:i/>
        </w:rPr>
        <w:t>supra</w:t>
      </w:r>
      <w:r>
        <w:t>, n.</w:t>
      </w:r>
      <w:r>
        <w:fldChar w:fldCharType="begin"/>
      </w:r>
      <w:r>
        <w:instrText xml:space="preserve"> NOTEREF _Ref447895681 \h </w:instrText>
      </w:r>
      <w:r>
        <w:fldChar w:fldCharType="separate"/>
      </w:r>
      <w:r w:rsidR="00F7200E">
        <w:t>10</w:t>
      </w:r>
      <w:r>
        <w:fldChar w:fldCharType="end"/>
      </w:r>
      <w:r w:rsidR="00F8422A">
        <w:t>.</w:t>
      </w:r>
    </w:p>
  </w:footnote>
  <w:footnote w:id="15">
    <w:p w:rsidR="00545F5A" w:rsidRPr="009E14D4" w:rsidRDefault="00545F5A">
      <w:pPr>
        <w:pStyle w:val="FootnoteText"/>
        <w:rPr>
          <w:i/>
        </w:rPr>
      </w:pPr>
      <w:r>
        <w:rPr>
          <w:rStyle w:val="FootnoteReference"/>
        </w:rPr>
        <w:footnoteRef/>
      </w:r>
      <w:r w:rsidR="009E14D4">
        <w:t xml:space="preserve"> </w:t>
      </w:r>
      <w:r w:rsidR="009E14D4">
        <w:rPr>
          <w:i/>
        </w:rPr>
        <w:t xml:space="preserve">Ibid. </w:t>
      </w:r>
    </w:p>
  </w:footnote>
  <w:footnote w:id="16">
    <w:p w:rsidR="009E14D4" w:rsidRDefault="009E14D4">
      <w:pPr>
        <w:pStyle w:val="FootnoteText"/>
      </w:pPr>
      <w:r>
        <w:rPr>
          <w:rStyle w:val="FootnoteReference"/>
        </w:rPr>
        <w:footnoteRef/>
      </w:r>
      <w:r>
        <w:t xml:space="preserve"> </w:t>
      </w:r>
      <w:r w:rsidR="00BE1166">
        <w:t>S. Court,</w:t>
      </w:r>
      <w:r>
        <w:t xml:space="preserve"> </w:t>
      </w:r>
      <w:r w:rsidR="00BE1166">
        <w:t>“</w:t>
      </w:r>
      <w:r>
        <w:t>Academic tenure and employment in the UK</w:t>
      </w:r>
      <w:r w:rsidR="00BE1166">
        <w:t>” (1998) 41(4)</w:t>
      </w:r>
      <w:r>
        <w:t xml:space="preserve"> </w:t>
      </w:r>
      <w:r w:rsidRPr="009E14D4">
        <w:rPr>
          <w:i/>
        </w:rPr>
        <w:t>Sociological Perspectives</w:t>
      </w:r>
      <w:r>
        <w:t xml:space="preserve"> 767, p. 774.</w:t>
      </w:r>
    </w:p>
  </w:footnote>
  <w:footnote w:id="17">
    <w:p w:rsidR="00491274" w:rsidRPr="00F8422A" w:rsidRDefault="00491274" w:rsidP="00BE1166">
      <w:pPr>
        <w:pStyle w:val="FootnoteText"/>
      </w:pPr>
      <w:r>
        <w:rPr>
          <w:rStyle w:val="FootnoteReference"/>
        </w:rPr>
        <w:footnoteRef/>
      </w:r>
      <w:r>
        <w:t xml:space="preserve"> </w:t>
      </w:r>
      <w:r w:rsidR="00BE1166" w:rsidRPr="00BE1166">
        <w:t xml:space="preserve">T. </w:t>
      </w:r>
      <w:proofErr w:type="spellStart"/>
      <w:r w:rsidR="00BE1166" w:rsidRPr="00BE1166">
        <w:t>Karran</w:t>
      </w:r>
      <w:proofErr w:type="spellEnd"/>
      <w:r w:rsidR="00BE1166" w:rsidRPr="00BE1166">
        <w:t xml:space="preserve">, </w:t>
      </w:r>
      <w:r w:rsidR="009E14D4" w:rsidRPr="00BE1166">
        <w:rPr>
          <w:i/>
        </w:rPr>
        <w:t>supra</w:t>
      </w:r>
      <w:r w:rsidR="00F8422A">
        <w:t>, n.</w:t>
      </w:r>
      <w:r w:rsidR="00F8422A">
        <w:fldChar w:fldCharType="begin"/>
      </w:r>
      <w:r w:rsidR="00F8422A">
        <w:instrText xml:space="preserve"> NOTEREF _Ref447895681 \h </w:instrText>
      </w:r>
      <w:r w:rsidR="00F8422A">
        <w:fldChar w:fldCharType="separate"/>
      </w:r>
      <w:r w:rsidR="00F7200E">
        <w:t>10</w:t>
      </w:r>
      <w:r w:rsidR="00F8422A">
        <w:fldChar w:fldCharType="end"/>
      </w:r>
      <w:r w:rsidR="00F8422A">
        <w:t>.</w:t>
      </w:r>
    </w:p>
  </w:footnote>
  <w:footnote w:id="18">
    <w:p w:rsidR="00491274" w:rsidRDefault="00491274">
      <w:pPr>
        <w:pStyle w:val="FootnoteText"/>
      </w:pPr>
      <w:r>
        <w:rPr>
          <w:rStyle w:val="FootnoteReference"/>
        </w:rPr>
        <w:footnoteRef/>
      </w:r>
      <w:r>
        <w:t xml:space="preserve"> </w:t>
      </w:r>
      <w:r w:rsidR="00BE1166">
        <w:t xml:space="preserve">See </w:t>
      </w:r>
      <w:hyperlink r:id="rId3" w:history="1">
        <w:r w:rsidR="00BE1166" w:rsidRPr="000578B0">
          <w:rPr>
            <w:rStyle w:val="Hyperlink"/>
          </w:rPr>
          <w:t>https://www.ucu.org.uk/academicfreedom</w:t>
        </w:r>
      </w:hyperlink>
      <w:r w:rsidR="00BE1166">
        <w:t xml:space="preserve"> (a</w:t>
      </w:r>
      <w:r w:rsidR="001D6943">
        <w:t>ccessed 8 April 2016</w:t>
      </w:r>
      <w:r w:rsidR="00BE1166">
        <w:t>)</w:t>
      </w:r>
      <w:r w:rsidR="001D6943">
        <w:t>.</w:t>
      </w:r>
    </w:p>
  </w:footnote>
  <w:footnote w:id="19">
    <w:p w:rsidR="007C4E76" w:rsidRDefault="007C4E76" w:rsidP="007C4E76">
      <w:pPr>
        <w:pStyle w:val="FootnoteText"/>
      </w:pPr>
      <w:r w:rsidRPr="00F95976">
        <w:rPr>
          <w:rStyle w:val="FootnoteReference"/>
        </w:rPr>
        <w:footnoteRef/>
      </w:r>
      <w:r w:rsidRPr="00F95976">
        <w:t xml:space="preserve"> </w:t>
      </w:r>
      <w:r w:rsidR="00BE1166">
        <w:t>S. Bergan,</w:t>
      </w:r>
      <w:r w:rsidR="009B5E1F" w:rsidRPr="00F95976">
        <w:t xml:space="preserve"> ‘Institutional autonomy between myth and responsibility</w:t>
      </w:r>
      <w:r w:rsidR="00E51985" w:rsidRPr="00F95976">
        <w:t>’</w:t>
      </w:r>
      <w:r w:rsidR="009B5E1F" w:rsidRPr="00F95976">
        <w:t xml:space="preserve">, in </w:t>
      </w:r>
      <w:r w:rsidR="009B5E1F" w:rsidRPr="00F95976">
        <w:rPr>
          <w:i/>
        </w:rPr>
        <w:t>Autonomy and Responsibility: The University’s Obligations for the 21</w:t>
      </w:r>
      <w:r w:rsidR="009B5E1F" w:rsidRPr="00F95976">
        <w:rPr>
          <w:i/>
          <w:vertAlign w:val="superscript"/>
        </w:rPr>
        <w:t>st</w:t>
      </w:r>
      <w:r w:rsidR="00BE1166">
        <w:rPr>
          <w:i/>
        </w:rPr>
        <w:t xml:space="preserve"> Century </w:t>
      </w:r>
      <w:r w:rsidR="00BE1166">
        <w:t>(</w:t>
      </w:r>
      <w:r w:rsidR="009B5E1F" w:rsidRPr="00F95976">
        <w:t>Bologna</w:t>
      </w:r>
      <w:r w:rsidR="00E51985" w:rsidRPr="00F95976">
        <w:t>:</w:t>
      </w:r>
      <w:r w:rsidR="009B5E1F" w:rsidRPr="00F95976">
        <w:t xml:space="preserve"> </w:t>
      </w:r>
      <w:proofErr w:type="spellStart"/>
      <w:r w:rsidR="009B5E1F" w:rsidRPr="00F95976">
        <w:t>Bononia</w:t>
      </w:r>
      <w:proofErr w:type="spellEnd"/>
      <w:r w:rsidR="009B5E1F" w:rsidRPr="00F95976">
        <w:t xml:space="preserve"> University Press</w:t>
      </w:r>
      <w:r w:rsidR="00BE1166">
        <w:t>)</w:t>
      </w:r>
      <w:r w:rsidR="009B5E1F" w:rsidRPr="00F95976">
        <w:t>, pp.49-67</w:t>
      </w:r>
      <w:r w:rsidR="00E51985" w:rsidRPr="00F95976">
        <w:t xml:space="preserve">, </w:t>
      </w:r>
      <w:r w:rsidR="009B5E1F" w:rsidRPr="00F95976">
        <w:t>p.49</w:t>
      </w:r>
      <w:r w:rsidR="00F95976" w:rsidRPr="00F95976">
        <w:t>.</w:t>
      </w:r>
    </w:p>
  </w:footnote>
  <w:footnote w:id="20">
    <w:p w:rsidR="007C4E76" w:rsidRDefault="007C4E76" w:rsidP="007C4E76">
      <w:pPr>
        <w:pStyle w:val="FootnoteText"/>
      </w:pPr>
      <w:r>
        <w:rPr>
          <w:rStyle w:val="FootnoteReference"/>
        </w:rPr>
        <w:footnoteRef/>
      </w:r>
      <w:r>
        <w:t xml:space="preserve"> </w:t>
      </w:r>
      <w:r w:rsidR="00BE1166">
        <w:t xml:space="preserve">T. </w:t>
      </w:r>
      <w:proofErr w:type="spellStart"/>
      <w:proofErr w:type="gramStart"/>
      <w:r w:rsidR="00F95976">
        <w:t>Karran</w:t>
      </w:r>
      <w:proofErr w:type="spellEnd"/>
      <w:r w:rsidR="00F95976">
        <w:t xml:space="preserve">  ‘</w:t>
      </w:r>
      <w:proofErr w:type="gramEnd"/>
      <w:r w:rsidR="00F95976" w:rsidRPr="00297808">
        <w:t>The Future of Higher Education: Policy, Pedagogy and the Student Experience</w:t>
      </w:r>
      <w:r w:rsidR="00F95976" w:rsidRPr="00F95976">
        <w:t xml:space="preserve">’, in Bell, L., </w:t>
      </w:r>
      <w:proofErr w:type="spellStart"/>
      <w:r w:rsidR="00F95976" w:rsidRPr="00F95976">
        <w:t>Ne</w:t>
      </w:r>
      <w:r w:rsidR="00F95976">
        <w:t>ary</w:t>
      </w:r>
      <w:proofErr w:type="spellEnd"/>
      <w:r w:rsidR="00F95976">
        <w:t>, M.</w:t>
      </w:r>
      <w:r w:rsidR="00FF60AC">
        <w:t xml:space="preserve"> </w:t>
      </w:r>
      <w:r w:rsidR="00F95976">
        <w:t xml:space="preserve">and Stevenson, H. (Eds.) </w:t>
      </w:r>
      <w:r w:rsidR="00F95976" w:rsidRPr="00F95976">
        <w:rPr>
          <w:i/>
        </w:rPr>
        <w:t>The Future of Higher Education: Policy, Peda</w:t>
      </w:r>
      <w:r w:rsidR="00BE1166">
        <w:rPr>
          <w:i/>
        </w:rPr>
        <w:t xml:space="preserve">gogy and the Student Experience </w:t>
      </w:r>
      <w:r w:rsidR="00BE1166">
        <w:t>(</w:t>
      </w:r>
      <w:r w:rsidR="00F95976">
        <w:t>London: Continuum</w:t>
      </w:r>
      <w:r w:rsidR="00BE1166">
        <w:t>)</w:t>
      </w:r>
      <w:r w:rsidR="00F95976">
        <w:t>, pp. 17-29, p.23.</w:t>
      </w:r>
    </w:p>
  </w:footnote>
  <w:footnote w:id="21">
    <w:p w:rsidR="0028596A" w:rsidRDefault="0028596A">
      <w:pPr>
        <w:pStyle w:val="FootnoteText"/>
      </w:pPr>
      <w:r>
        <w:rPr>
          <w:rStyle w:val="FootnoteReference"/>
        </w:rPr>
        <w:footnoteRef/>
      </w:r>
      <w:r>
        <w:t xml:space="preserve"> </w:t>
      </w:r>
      <w:r w:rsidR="00BE1166">
        <w:t xml:space="preserve">F. </w:t>
      </w:r>
      <w:r w:rsidR="007E443F">
        <w:t xml:space="preserve">Rochford, </w:t>
      </w:r>
      <w:r w:rsidR="00BE1166">
        <w:t>“</w:t>
      </w:r>
      <w:r w:rsidR="007E443F">
        <w:t>Academic Freedom as Insubordination: The Legalisation of the Academy</w:t>
      </w:r>
      <w:r w:rsidR="00BE1166">
        <w:t>” (2003) 15(4)</w:t>
      </w:r>
      <w:r w:rsidR="007E443F">
        <w:t xml:space="preserve"> </w:t>
      </w:r>
      <w:r w:rsidR="007E443F" w:rsidRPr="00297808">
        <w:rPr>
          <w:i/>
        </w:rPr>
        <w:t>Education and the Law</w:t>
      </w:r>
      <w:r w:rsidR="007E443F">
        <w:t xml:space="preserve"> </w:t>
      </w:r>
      <w:r w:rsidR="00BE1166">
        <w:t>249</w:t>
      </w:r>
      <w:r w:rsidR="007E443F">
        <w:t>, p. 259.</w:t>
      </w:r>
    </w:p>
  </w:footnote>
  <w:footnote w:id="22">
    <w:p w:rsidR="00D258F9" w:rsidRDefault="00D258F9">
      <w:pPr>
        <w:pStyle w:val="FootnoteText"/>
      </w:pPr>
      <w:r>
        <w:rPr>
          <w:rStyle w:val="FootnoteReference"/>
        </w:rPr>
        <w:footnoteRef/>
      </w:r>
      <w:r>
        <w:t xml:space="preserve"> </w:t>
      </w:r>
      <w:r w:rsidR="00BE1166">
        <w:t>B. Macfarlane</w:t>
      </w:r>
      <w:r>
        <w:t xml:space="preserve"> </w:t>
      </w:r>
      <w:r>
        <w:rPr>
          <w:i/>
        </w:rPr>
        <w:t xml:space="preserve">Teaching </w:t>
      </w:r>
      <w:proofErr w:type="gramStart"/>
      <w:r>
        <w:rPr>
          <w:i/>
        </w:rPr>
        <w:t>With</w:t>
      </w:r>
      <w:proofErr w:type="gramEnd"/>
      <w:r>
        <w:rPr>
          <w:i/>
        </w:rPr>
        <w:t xml:space="preserve"> Integrity: The Ethics of Higher Education Practice</w:t>
      </w:r>
      <w:r>
        <w:t xml:space="preserve"> </w:t>
      </w:r>
      <w:r w:rsidR="00BE1166">
        <w:t>(</w:t>
      </w:r>
      <w:r>
        <w:t>London</w:t>
      </w:r>
      <w:r w:rsidR="00BE1166">
        <w:t>,</w:t>
      </w:r>
      <w:r w:rsidR="00045DCF">
        <w:t xml:space="preserve"> </w:t>
      </w:r>
      <w:r>
        <w:t>Routledge</w:t>
      </w:r>
      <w:r w:rsidR="00BE1166">
        <w:t>,2004)</w:t>
      </w:r>
      <w:r>
        <w:t>.</w:t>
      </w:r>
    </w:p>
  </w:footnote>
  <w:footnote w:id="23">
    <w:p w:rsidR="00955C6F" w:rsidRDefault="00955C6F">
      <w:pPr>
        <w:pStyle w:val="FootnoteText"/>
      </w:pPr>
      <w:r>
        <w:rPr>
          <w:rStyle w:val="FootnoteReference"/>
        </w:rPr>
        <w:footnoteRef/>
      </w:r>
      <w:r>
        <w:t xml:space="preserve"> </w:t>
      </w:r>
      <w:r w:rsidR="00D258F9">
        <w:rPr>
          <w:rFonts w:cs="AdvTimes"/>
          <w:i/>
        </w:rPr>
        <w:t>Ibid</w:t>
      </w:r>
      <w:r w:rsidR="00D258F9">
        <w:rPr>
          <w:rFonts w:cs="AdvTimes"/>
        </w:rPr>
        <w:t>.</w:t>
      </w:r>
      <w:r w:rsidRPr="00477ED6">
        <w:rPr>
          <w:rFonts w:cs="AdvTimes"/>
        </w:rPr>
        <w:t>, p.24</w:t>
      </w:r>
    </w:p>
  </w:footnote>
  <w:footnote w:id="24">
    <w:p w:rsidR="00D258F9" w:rsidRPr="00D258F9" w:rsidRDefault="00D258F9">
      <w:pPr>
        <w:pStyle w:val="FootnoteText"/>
      </w:pPr>
      <w:r>
        <w:rPr>
          <w:rStyle w:val="FootnoteReference"/>
        </w:rPr>
        <w:footnoteRef/>
      </w:r>
      <w:r>
        <w:t xml:space="preserve"> The Dearing Report, </w:t>
      </w:r>
      <w:r>
        <w:rPr>
          <w:i/>
        </w:rPr>
        <w:t>supra</w:t>
      </w:r>
      <w:r>
        <w:t>, n.</w:t>
      </w:r>
      <w:r>
        <w:fldChar w:fldCharType="begin"/>
      </w:r>
      <w:r>
        <w:instrText xml:space="preserve"> NOTEREF _Ref447897463 \h </w:instrText>
      </w:r>
      <w:r>
        <w:fldChar w:fldCharType="separate"/>
      </w:r>
      <w:r w:rsidR="00F7200E">
        <w:t>7</w:t>
      </w:r>
      <w:r>
        <w:fldChar w:fldCharType="end"/>
      </w:r>
      <w:r>
        <w:t>, para. 5.39.</w:t>
      </w:r>
    </w:p>
  </w:footnote>
  <w:footnote w:id="25">
    <w:p w:rsidR="00955C6F" w:rsidRPr="00ED3FB5" w:rsidRDefault="00955C6F">
      <w:pPr>
        <w:pStyle w:val="FootnoteText"/>
        <w:rPr>
          <w:highlight w:val="yellow"/>
        </w:rPr>
      </w:pPr>
      <w:r>
        <w:rPr>
          <w:rStyle w:val="FootnoteReference"/>
        </w:rPr>
        <w:footnoteRef/>
      </w:r>
      <w:r>
        <w:t xml:space="preserve"> </w:t>
      </w:r>
      <w:r w:rsidR="00BE1166">
        <w:t xml:space="preserve">J. </w:t>
      </w:r>
      <w:r w:rsidR="00FF60AC">
        <w:t>Nelson</w:t>
      </w:r>
      <w:r w:rsidR="00BE1166">
        <w:t xml:space="preserve">, </w:t>
      </w:r>
      <w:r w:rsidR="00FF60AC">
        <w:t xml:space="preserve">‘The significance and rationale for academic freedom’, in Ochoa, A. </w:t>
      </w:r>
      <w:r w:rsidR="00FF60AC" w:rsidRPr="00FF60AC">
        <w:rPr>
          <w:i/>
        </w:rPr>
        <w:t xml:space="preserve">Academic Freedom </w:t>
      </w:r>
      <w:r w:rsidR="00FF60AC">
        <w:rPr>
          <w:i/>
        </w:rPr>
        <w:t>to Teach a</w:t>
      </w:r>
      <w:r w:rsidR="00FF60AC" w:rsidRPr="00FF60AC">
        <w:rPr>
          <w:i/>
        </w:rPr>
        <w:t>nd Learn: Every Teacher’s Issue</w:t>
      </w:r>
      <w:r w:rsidR="00BE1166">
        <w:t xml:space="preserve"> (Washington D. C.,</w:t>
      </w:r>
      <w:r w:rsidR="00FF60AC">
        <w:t xml:space="preserve"> National Educational Association</w:t>
      </w:r>
      <w:r w:rsidR="00BE1166">
        <w:t>, 1990), pp.21-30.</w:t>
      </w:r>
      <w:r w:rsidR="00BE1166" w:rsidRPr="00ED3FB5">
        <w:rPr>
          <w:highlight w:val="yellow"/>
        </w:rPr>
        <w:t xml:space="preserve"> </w:t>
      </w:r>
    </w:p>
  </w:footnote>
  <w:footnote w:id="26">
    <w:p w:rsidR="00FF60AC" w:rsidRPr="00045DCF" w:rsidRDefault="00FF60AC">
      <w:pPr>
        <w:pStyle w:val="FootnoteText"/>
      </w:pPr>
      <w:r>
        <w:rPr>
          <w:rStyle w:val="FootnoteReference"/>
        </w:rPr>
        <w:footnoteRef/>
      </w:r>
      <w:r>
        <w:t xml:space="preserve"> Nelson, C. and Watt, S. (1999) </w:t>
      </w:r>
      <w:r>
        <w:rPr>
          <w:i/>
        </w:rPr>
        <w:t>Academic Keywords</w:t>
      </w:r>
      <w:r w:rsidR="00045DCF">
        <w:t>. London: Routledge, p. 22.</w:t>
      </w:r>
    </w:p>
  </w:footnote>
  <w:footnote w:id="27">
    <w:p w:rsidR="00045DCF" w:rsidRDefault="00045DCF">
      <w:pPr>
        <w:pStyle w:val="FootnoteText"/>
      </w:pPr>
      <w:r>
        <w:rPr>
          <w:rStyle w:val="FootnoteReference"/>
        </w:rPr>
        <w:footnoteRef/>
      </w:r>
      <w:r>
        <w:t xml:space="preserve"> </w:t>
      </w:r>
      <w:r w:rsidR="00363415">
        <w:t xml:space="preserve">J. </w:t>
      </w:r>
      <w:r w:rsidR="00025099">
        <w:t>Bowden F.</w:t>
      </w:r>
      <w:r>
        <w:t xml:space="preserve"> </w:t>
      </w:r>
      <w:proofErr w:type="spellStart"/>
      <w:r>
        <w:t>Marton</w:t>
      </w:r>
      <w:proofErr w:type="spellEnd"/>
      <w:r w:rsidR="00025099">
        <w:t>,</w:t>
      </w:r>
      <w:r>
        <w:t xml:space="preserve"> </w:t>
      </w:r>
      <w:r>
        <w:rPr>
          <w:i/>
        </w:rPr>
        <w:t>The University of Learning: Beyond Quality and Competence in Higher Education</w:t>
      </w:r>
      <w:r w:rsidR="00025099">
        <w:t xml:space="preserve"> (</w:t>
      </w:r>
      <w:r>
        <w:t>London</w:t>
      </w:r>
      <w:r w:rsidR="00025099">
        <w:t>,</w:t>
      </w:r>
      <w:r>
        <w:t xml:space="preserve"> Kogan Page</w:t>
      </w:r>
      <w:r w:rsidR="00025099">
        <w:t>, 1998)</w:t>
      </w:r>
      <w:r>
        <w:t>, p. 5.</w:t>
      </w:r>
    </w:p>
  </w:footnote>
  <w:footnote w:id="28">
    <w:p w:rsidR="00955C6F" w:rsidRPr="00ED3FB5" w:rsidRDefault="00955C6F">
      <w:pPr>
        <w:pStyle w:val="FootnoteText"/>
        <w:rPr>
          <w:highlight w:val="yellow"/>
        </w:rPr>
      </w:pPr>
      <w:r w:rsidRPr="001308FD">
        <w:rPr>
          <w:rStyle w:val="FootnoteReference"/>
        </w:rPr>
        <w:footnoteRef/>
      </w:r>
      <w:r w:rsidRPr="001308FD">
        <w:t xml:space="preserve"> </w:t>
      </w:r>
      <w:r w:rsidR="00025099">
        <w:t xml:space="preserve">B. </w:t>
      </w:r>
      <w:proofErr w:type="spellStart"/>
      <w:r w:rsidR="001308FD" w:rsidRPr="001308FD">
        <w:t>Stierer</w:t>
      </w:r>
      <w:proofErr w:type="spellEnd"/>
      <w:r w:rsidR="00025099">
        <w:t>,</w:t>
      </w:r>
      <w:r w:rsidR="001308FD" w:rsidRPr="001308FD">
        <w:t xml:space="preserve"> ‘Learning to Write About Teaching: Understanding the Writing Demands of Lecturer Development Programmes in Higher Education</w:t>
      </w:r>
      <w:r w:rsidR="001308FD">
        <w:t xml:space="preserve">’. In Murray, R. (Ed.) </w:t>
      </w:r>
      <w:r w:rsidR="001308FD" w:rsidRPr="001308FD">
        <w:rPr>
          <w:i/>
        </w:rPr>
        <w:t>The Scholarship of Teaching and Learning in Higher Education</w:t>
      </w:r>
      <w:r w:rsidR="00025099">
        <w:t xml:space="preserve"> (</w:t>
      </w:r>
      <w:r w:rsidR="001308FD">
        <w:t>Maidenhead</w:t>
      </w:r>
      <w:r w:rsidR="00025099">
        <w:t>,</w:t>
      </w:r>
      <w:r w:rsidR="001308FD">
        <w:t xml:space="preserve"> McGraw Hill/Open University Press</w:t>
      </w:r>
      <w:r w:rsidR="00025099">
        <w:t>, 2008)</w:t>
      </w:r>
      <w:r w:rsidR="001308FD">
        <w:t>, pp. 34-45., pp. 37-39.</w:t>
      </w:r>
    </w:p>
  </w:footnote>
  <w:footnote w:id="29">
    <w:p w:rsidR="0074226D" w:rsidRPr="001308FD" w:rsidRDefault="0074226D">
      <w:pPr>
        <w:pStyle w:val="FootnoteText"/>
      </w:pPr>
      <w:r w:rsidRPr="001308FD">
        <w:rPr>
          <w:rStyle w:val="FootnoteReference"/>
        </w:rPr>
        <w:footnoteRef/>
      </w:r>
      <w:r w:rsidRPr="001308FD">
        <w:t xml:space="preserve"> </w:t>
      </w:r>
      <w:r w:rsidR="00025099">
        <w:t xml:space="preserve">E. </w:t>
      </w:r>
      <w:r w:rsidR="00025099">
        <w:rPr>
          <w:rFonts w:cs="FranklinGotMdITC-Heavy"/>
          <w:bCs/>
        </w:rPr>
        <w:t>Boyer, E</w:t>
      </w:r>
      <w:r w:rsidR="001308FD" w:rsidRPr="001308FD">
        <w:rPr>
          <w:rFonts w:cs="FranklinGotMdITC-Heavy"/>
          <w:bCs/>
        </w:rPr>
        <w:t> </w:t>
      </w:r>
      <w:r w:rsidR="001308FD" w:rsidRPr="001308FD">
        <w:rPr>
          <w:rFonts w:cs="FranklinGotMdITC-Heavy"/>
          <w:bCs/>
          <w:i/>
        </w:rPr>
        <w:t>Scholarship R</w:t>
      </w:r>
      <w:r w:rsidRPr="001308FD">
        <w:rPr>
          <w:rFonts w:cs="FranklinGotMdITC-Heavy"/>
          <w:bCs/>
          <w:i/>
        </w:rPr>
        <w:t>econsidered</w:t>
      </w:r>
      <w:r w:rsidR="001308FD" w:rsidRPr="001308FD">
        <w:rPr>
          <w:rFonts w:cs="FranklinGotMdITC-Heavy"/>
          <w:bCs/>
          <w:i/>
        </w:rPr>
        <w:t>: Priorities of the Professoriate</w:t>
      </w:r>
      <w:r w:rsidR="00025099">
        <w:rPr>
          <w:rFonts w:cs="FranklinGotMdITC-Heavy"/>
          <w:bCs/>
        </w:rPr>
        <w:t xml:space="preserve"> (</w:t>
      </w:r>
      <w:r w:rsidR="001308FD" w:rsidRPr="001308FD">
        <w:rPr>
          <w:rFonts w:cs="FranklinGotMdITC-Heavy"/>
          <w:bCs/>
        </w:rPr>
        <w:t xml:space="preserve">San Francisco, </w:t>
      </w:r>
      <w:r w:rsidR="00025099">
        <w:rPr>
          <w:rFonts w:cs="FranklinGotMdITC-Heavy"/>
          <w:bCs/>
        </w:rPr>
        <w:t>CA,</w:t>
      </w:r>
      <w:r w:rsidR="001308FD" w:rsidRPr="001308FD">
        <w:rPr>
          <w:rFonts w:cs="FranklinGotMdITC-Heavy"/>
          <w:bCs/>
        </w:rPr>
        <w:t xml:space="preserve"> Jossey Bass</w:t>
      </w:r>
      <w:r w:rsidRPr="001308FD">
        <w:rPr>
          <w:rFonts w:cs="FranklinGotMdITC-Heavy"/>
          <w:bCs/>
        </w:rPr>
        <w:t xml:space="preserve">, </w:t>
      </w:r>
      <w:r w:rsidR="00025099">
        <w:rPr>
          <w:rFonts w:cs="FranklinGotMdITC-Heavy"/>
          <w:bCs/>
        </w:rPr>
        <w:t xml:space="preserve">1990), </w:t>
      </w:r>
      <w:r w:rsidRPr="001308FD">
        <w:rPr>
          <w:rFonts w:cs="FranklinGotMdITC-Heavy"/>
          <w:bCs/>
        </w:rPr>
        <w:t>p.</w:t>
      </w:r>
      <w:r w:rsidR="00025099">
        <w:rPr>
          <w:rFonts w:cs="FranklinGotMdITC-Heavy"/>
          <w:bCs/>
        </w:rPr>
        <w:t xml:space="preserve"> </w:t>
      </w:r>
      <w:r w:rsidRPr="001308FD">
        <w:rPr>
          <w:rFonts w:cs="FranklinGotMdITC-Heavy"/>
          <w:bCs/>
        </w:rPr>
        <w:t>24</w:t>
      </w:r>
    </w:p>
  </w:footnote>
  <w:footnote w:id="30">
    <w:p w:rsidR="0074226D" w:rsidRPr="00ED3FB5" w:rsidRDefault="0074226D">
      <w:pPr>
        <w:pStyle w:val="FootnoteText"/>
        <w:rPr>
          <w:highlight w:val="yellow"/>
        </w:rPr>
      </w:pPr>
      <w:r w:rsidRPr="00250B1C">
        <w:rPr>
          <w:rStyle w:val="FootnoteReference"/>
        </w:rPr>
        <w:footnoteRef/>
      </w:r>
      <w:r w:rsidRPr="00250B1C">
        <w:t xml:space="preserve"> </w:t>
      </w:r>
      <w:r w:rsidR="001308FD" w:rsidRPr="00250B1C">
        <w:t xml:space="preserve">See e.g. </w:t>
      </w:r>
      <w:hyperlink r:id="rId4" w:history="1">
        <w:r w:rsidR="00025099" w:rsidRPr="000578B0">
          <w:rPr>
            <w:rStyle w:val="Hyperlink"/>
          </w:rPr>
          <w:t>https://www.heacademy.ac.uk/heav/research-informed-teaching</w:t>
        </w:r>
      </w:hyperlink>
      <w:r w:rsidR="00025099">
        <w:t xml:space="preserve"> (a</w:t>
      </w:r>
      <w:r w:rsidR="001308FD">
        <w:t>ccessed 11 April 2016</w:t>
      </w:r>
      <w:r w:rsidR="00025099">
        <w:t>)</w:t>
      </w:r>
      <w:r w:rsidR="001308FD">
        <w:t>.</w:t>
      </w:r>
    </w:p>
  </w:footnote>
  <w:footnote w:id="31">
    <w:p w:rsidR="000F0DC9" w:rsidRPr="00ED3FB5" w:rsidRDefault="000F0DC9" w:rsidP="000F0DC9">
      <w:pPr>
        <w:autoSpaceDE w:val="0"/>
        <w:autoSpaceDN w:val="0"/>
        <w:adjustRightInd w:val="0"/>
        <w:spacing w:after="0" w:line="240" w:lineRule="auto"/>
        <w:rPr>
          <w:rFonts w:cs="AdvTimes"/>
          <w:highlight w:val="yellow"/>
        </w:rPr>
      </w:pPr>
      <w:r w:rsidRPr="00250B1C">
        <w:rPr>
          <w:rStyle w:val="FootnoteReference"/>
        </w:rPr>
        <w:footnoteRef/>
      </w:r>
      <w:r w:rsidRPr="00250B1C">
        <w:t xml:space="preserve"> </w:t>
      </w:r>
      <w:r w:rsidRPr="00250B1C">
        <w:rPr>
          <w:rFonts w:cs="FranklinGotMdITC-Heavy"/>
          <w:bCs/>
          <w:sz w:val="20"/>
          <w:szCs w:val="20"/>
        </w:rPr>
        <w:t>House of Commons Business, Innovation and Skills Committee</w:t>
      </w:r>
      <w:r w:rsidR="00250B1C" w:rsidRPr="00250B1C">
        <w:rPr>
          <w:rFonts w:cs="FranklinGotMdITC-Heavy"/>
          <w:bCs/>
          <w:sz w:val="20"/>
          <w:szCs w:val="20"/>
        </w:rPr>
        <w:t xml:space="preserve">, </w:t>
      </w:r>
      <w:r w:rsidRPr="00250B1C">
        <w:rPr>
          <w:rFonts w:cs="FranklinGotMdITC-Heavy"/>
          <w:bCs/>
          <w:i/>
          <w:sz w:val="20"/>
          <w:szCs w:val="20"/>
        </w:rPr>
        <w:t>The Teaching E</w:t>
      </w:r>
      <w:r w:rsidR="00250B1C" w:rsidRPr="00250B1C">
        <w:rPr>
          <w:rFonts w:cs="FranklinGotMdITC-Heavy"/>
          <w:bCs/>
          <w:i/>
          <w:sz w:val="20"/>
          <w:szCs w:val="20"/>
        </w:rPr>
        <w:t>xcellence Framework: Assessing Q</w:t>
      </w:r>
      <w:r w:rsidRPr="00250B1C">
        <w:rPr>
          <w:rFonts w:cs="FranklinGotMdITC-Heavy"/>
          <w:bCs/>
          <w:i/>
          <w:sz w:val="20"/>
          <w:szCs w:val="20"/>
        </w:rPr>
        <w:t>uality in Higher Education</w:t>
      </w:r>
      <w:r w:rsidR="00250B1C" w:rsidRPr="00250B1C">
        <w:rPr>
          <w:rFonts w:cs="FranklinGotMdITC-Heavy"/>
          <w:bCs/>
          <w:sz w:val="20"/>
          <w:szCs w:val="20"/>
        </w:rPr>
        <w:t>,</w:t>
      </w:r>
      <w:r w:rsidRPr="00250B1C">
        <w:rPr>
          <w:rFonts w:cs="FranklinGotMdITC-Heavy"/>
          <w:bCs/>
          <w:sz w:val="20"/>
          <w:szCs w:val="20"/>
        </w:rPr>
        <w:t xml:space="preserve"> Third Report of Session 2015–16</w:t>
      </w:r>
      <w:r w:rsidR="00025099">
        <w:rPr>
          <w:rFonts w:cs="FranklinGotMdITC-Heavy"/>
          <w:bCs/>
          <w:sz w:val="20"/>
          <w:szCs w:val="20"/>
        </w:rPr>
        <w:t xml:space="preserve"> (London, HMSO, 2016), p</w:t>
      </w:r>
      <w:r w:rsidR="00250B1C" w:rsidRPr="00250B1C">
        <w:rPr>
          <w:rFonts w:cs="FranklinGotMdITC-Heavy"/>
          <w:bCs/>
          <w:sz w:val="20"/>
          <w:szCs w:val="20"/>
        </w:rPr>
        <w:t>. 21.</w:t>
      </w:r>
    </w:p>
  </w:footnote>
  <w:footnote w:id="32">
    <w:p w:rsidR="00D43BBC" w:rsidRPr="00250B1C" w:rsidRDefault="00D43BBC" w:rsidP="00D43BBC">
      <w:pPr>
        <w:pStyle w:val="FootnoteText"/>
        <w:rPr>
          <w:rFonts w:cs="FranklinGotMdITC-Heavy"/>
          <w:bCs/>
        </w:rPr>
      </w:pPr>
      <w:r w:rsidRPr="00250B1C">
        <w:rPr>
          <w:rStyle w:val="FootnoteReference"/>
        </w:rPr>
        <w:footnoteRef/>
      </w:r>
      <w:r w:rsidRPr="00250B1C">
        <w:t xml:space="preserve"> </w:t>
      </w:r>
      <w:r w:rsidR="00025099">
        <w:t xml:space="preserve">R. </w:t>
      </w:r>
      <w:r w:rsidR="00025099">
        <w:rPr>
          <w:rFonts w:cs="FranklinGotMdITC-Heavy"/>
          <w:bCs/>
        </w:rPr>
        <w:t>Barnett,</w:t>
      </w:r>
      <w:r w:rsidRPr="00250B1C">
        <w:rPr>
          <w:rFonts w:cs="FranklinGotMdITC-Heavy"/>
          <w:bCs/>
        </w:rPr>
        <w:t xml:space="preserve"> </w:t>
      </w:r>
      <w:r w:rsidRPr="00025099">
        <w:rPr>
          <w:rFonts w:cs="FranklinGotMdITC-Heavy"/>
          <w:bCs/>
          <w:i/>
        </w:rPr>
        <w:t>The Limits of Competence: Knowledge, Higher Education and Society</w:t>
      </w:r>
      <w:r w:rsidR="00025099">
        <w:rPr>
          <w:rFonts w:cs="FranklinGotMdITC-Heavy"/>
          <w:bCs/>
          <w:i/>
        </w:rPr>
        <w:t xml:space="preserve"> </w:t>
      </w:r>
      <w:r w:rsidR="00025099">
        <w:rPr>
          <w:rFonts w:cs="FranklinGotMdITC-Heavy"/>
          <w:bCs/>
        </w:rPr>
        <w:t>(</w:t>
      </w:r>
      <w:r w:rsidRPr="00250B1C">
        <w:rPr>
          <w:rFonts w:cs="FranklinGotMdITC-Heavy"/>
          <w:bCs/>
        </w:rPr>
        <w:t>Bu</w:t>
      </w:r>
      <w:r w:rsidR="00025099">
        <w:rPr>
          <w:rFonts w:cs="FranklinGotMdITC-Heavy"/>
          <w:bCs/>
        </w:rPr>
        <w:t>ckingham,</w:t>
      </w:r>
      <w:r>
        <w:rPr>
          <w:rFonts w:cs="FranklinGotMdITC-Heavy"/>
          <w:bCs/>
        </w:rPr>
        <w:t xml:space="preserve"> Open University Press</w:t>
      </w:r>
      <w:r w:rsidRPr="00250B1C">
        <w:rPr>
          <w:rFonts w:cs="FranklinGotMdITC-Heavy"/>
          <w:bCs/>
        </w:rPr>
        <w:t>,</w:t>
      </w:r>
      <w:r w:rsidR="00025099">
        <w:rPr>
          <w:rFonts w:cs="FranklinGotMdITC-Heavy"/>
          <w:bCs/>
        </w:rPr>
        <w:t xml:space="preserve"> 1994),</w:t>
      </w:r>
      <w:r w:rsidRPr="00250B1C">
        <w:rPr>
          <w:rFonts w:cs="FranklinGotMdITC-Heavy"/>
          <w:bCs/>
        </w:rPr>
        <w:t xml:space="preserve"> p. 119.</w:t>
      </w:r>
    </w:p>
  </w:footnote>
  <w:footnote w:id="33">
    <w:p w:rsidR="00814F8E" w:rsidRDefault="00814F8E">
      <w:pPr>
        <w:pStyle w:val="FootnoteText"/>
      </w:pPr>
      <w:r>
        <w:rPr>
          <w:rStyle w:val="FootnoteReference"/>
        </w:rPr>
        <w:footnoteRef/>
      </w:r>
      <w:r>
        <w:t xml:space="preserve"> CTSA 2015, s.26(1).</w:t>
      </w:r>
    </w:p>
  </w:footnote>
  <w:footnote w:id="34">
    <w:p w:rsidR="002F1493" w:rsidRPr="00814F8E" w:rsidRDefault="002F1493" w:rsidP="002F1493">
      <w:pPr>
        <w:pStyle w:val="FootnoteText"/>
      </w:pPr>
      <w:r>
        <w:rPr>
          <w:rStyle w:val="FootnoteReference"/>
        </w:rPr>
        <w:footnoteRef/>
      </w:r>
      <w:r w:rsidR="00025099">
        <w:t xml:space="preserve"> HM Government,</w:t>
      </w:r>
      <w:r>
        <w:t xml:space="preserve"> </w:t>
      </w:r>
      <w:r>
        <w:rPr>
          <w:i/>
        </w:rPr>
        <w:t>Prevent Strategy</w:t>
      </w:r>
      <w:r w:rsidR="00025099">
        <w:t>, Cm 8092 (London, HMSO, 2011).</w:t>
      </w:r>
    </w:p>
  </w:footnote>
  <w:footnote w:id="35">
    <w:p w:rsidR="00814F8E" w:rsidRDefault="00814F8E">
      <w:pPr>
        <w:pStyle w:val="FootnoteText"/>
      </w:pPr>
      <w:r>
        <w:rPr>
          <w:rStyle w:val="FootnoteReference"/>
        </w:rPr>
        <w:footnoteRef/>
      </w:r>
      <w:r>
        <w:t xml:space="preserve"> </w:t>
      </w:r>
      <w:r w:rsidRPr="002F1493">
        <w:t>HM Government</w:t>
      </w:r>
      <w:r w:rsidR="00025099">
        <w:t xml:space="preserve">, </w:t>
      </w:r>
      <w:r w:rsidRPr="002F1493">
        <w:rPr>
          <w:i/>
        </w:rPr>
        <w:t>Prevent Duty Guidance: A Consultation</w:t>
      </w:r>
      <w:r w:rsidR="00025099">
        <w:t xml:space="preserve"> (London,</w:t>
      </w:r>
      <w:r w:rsidRPr="002F1493">
        <w:t xml:space="preserve"> HMSO,</w:t>
      </w:r>
      <w:r w:rsidR="00025099">
        <w:t xml:space="preserve"> 2014)</w:t>
      </w:r>
      <w:r w:rsidRPr="002F1493">
        <w:t xml:space="preserve"> p. 9.</w:t>
      </w:r>
    </w:p>
  </w:footnote>
  <w:footnote w:id="36">
    <w:p w:rsidR="002F1493" w:rsidRDefault="002F1493">
      <w:pPr>
        <w:pStyle w:val="FootnoteText"/>
      </w:pPr>
      <w:r>
        <w:rPr>
          <w:rStyle w:val="FootnoteReference"/>
        </w:rPr>
        <w:footnoteRef/>
      </w:r>
      <w:r>
        <w:t xml:space="preserve"> </w:t>
      </w:r>
      <w:r w:rsidR="00025099">
        <w:t xml:space="preserve">HM Government, </w:t>
      </w:r>
      <w:r w:rsidR="00025099">
        <w:rPr>
          <w:i/>
        </w:rPr>
        <w:t>CONTEST: The United Kingdom’s Strategy for Countering Terrorism</w:t>
      </w:r>
      <w:r w:rsidR="00025099">
        <w:t xml:space="preserve"> (London, HMSO, 2011),</w:t>
      </w:r>
      <w:r>
        <w:t xml:space="preserve"> p.3.</w:t>
      </w:r>
    </w:p>
  </w:footnote>
  <w:footnote w:id="37">
    <w:p w:rsidR="002F1493" w:rsidRPr="002F1493" w:rsidRDefault="002F1493" w:rsidP="002F1493">
      <w:pPr>
        <w:pStyle w:val="FootnoteText"/>
      </w:pPr>
      <w:r>
        <w:rPr>
          <w:rStyle w:val="FootnoteReference"/>
        </w:rPr>
        <w:footnoteRef/>
      </w:r>
      <w:r>
        <w:t xml:space="preserve"> </w:t>
      </w:r>
      <w:r w:rsidR="000B58CC">
        <w:t>HM Government, 2011</w:t>
      </w:r>
      <w:r w:rsidR="00152A23">
        <w:t>, s</w:t>
      </w:r>
      <w:r>
        <w:rPr>
          <w:i/>
        </w:rPr>
        <w:t>upra</w:t>
      </w:r>
      <w:r>
        <w:t>, n.</w:t>
      </w:r>
      <w:r>
        <w:fldChar w:fldCharType="begin"/>
      </w:r>
      <w:r>
        <w:instrText xml:space="preserve"> NOTEREF _Ref448148641 \h </w:instrText>
      </w:r>
      <w:r>
        <w:fldChar w:fldCharType="separate"/>
      </w:r>
      <w:r w:rsidR="00F7200E">
        <w:t>34</w:t>
      </w:r>
      <w:r>
        <w:fldChar w:fldCharType="end"/>
      </w:r>
      <w:r>
        <w:t>.</w:t>
      </w:r>
    </w:p>
  </w:footnote>
  <w:footnote w:id="38">
    <w:p w:rsidR="002F1493" w:rsidRPr="002F1493" w:rsidRDefault="002F1493">
      <w:pPr>
        <w:pStyle w:val="FootnoteText"/>
      </w:pPr>
      <w:r>
        <w:rPr>
          <w:rStyle w:val="FootnoteReference"/>
        </w:rPr>
        <w:footnoteRef/>
      </w:r>
      <w:r>
        <w:t xml:space="preserve"> </w:t>
      </w:r>
      <w:r>
        <w:rPr>
          <w:i/>
        </w:rPr>
        <w:t>Ibid</w:t>
      </w:r>
      <w:r>
        <w:t>, p.1.</w:t>
      </w:r>
    </w:p>
  </w:footnote>
  <w:footnote w:id="39">
    <w:p w:rsidR="007D5BF3" w:rsidRPr="007D5BF3" w:rsidRDefault="007D5BF3">
      <w:pPr>
        <w:pStyle w:val="FootnoteText"/>
      </w:pPr>
      <w:r>
        <w:rPr>
          <w:rStyle w:val="FootnoteReference"/>
        </w:rPr>
        <w:footnoteRef/>
      </w:r>
      <w:r w:rsidR="000B58CC">
        <w:t xml:space="preserve"> HM Government, 2014,</w:t>
      </w:r>
      <w:r>
        <w:t xml:space="preserve"> </w:t>
      </w:r>
      <w:r>
        <w:rPr>
          <w:i/>
        </w:rPr>
        <w:t>supra</w:t>
      </w:r>
      <w:r>
        <w:t>, n.</w:t>
      </w:r>
      <w:r>
        <w:fldChar w:fldCharType="begin"/>
      </w:r>
      <w:r>
        <w:instrText xml:space="preserve"> NOTEREF _Ref448148866 \h </w:instrText>
      </w:r>
      <w:r>
        <w:fldChar w:fldCharType="separate"/>
      </w:r>
      <w:r w:rsidR="00F7200E">
        <w:t>35</w:t>
      </w:r>
      <w:r>
        <w:fldChar w:fldCharType="end"/>
      </w:r>
      <w:r>
        <w:t>, p. 9.</w:t>
      </w:r>
    </w:p>
  </w:footnote>
  <w:footnote w:id="40">
    <w:p w:rsidR="007D5BF3" w:rsidRPr="007D5BF3" w:rsidRDefault="007D5BF3">
      <w:pPr>
        <w:pStyle w:val="FootnoteText"/>
      </w:pPr>
      <w:r>
        <w:rPr>
          <w:rStyle w:val="FootnoteReference"/>
        </w:rPr>
        <w:footnoteRef/>
      </w:r>
      <w:r>
        <w:t xml:space="preserve"> </w:t>
      </w:r>
      <w:r>
        <w:rPr>
          <w:i/>
        </w:rPr>
        <w:t>Ibid</w:t>
      </w:r>
      <w:r w:rsidR="00152A23">
        <w:t>, pp.17-18.</w:t>
      </w:r>
    </w:p>
  </w:footnote>
  <w:footnote w:id="41">
    <w:p w:rsidR="00152A23" w:rsidRPr="00152A23" w:rsidRDefault="00152A23">
      <w:pPr>
        <w:pStyle w:val="FootnoteText"/>
      </w:pPr>
      <w:r>
        <w:rPr>
          <w:rStyle w:val="FootnoteReference"/>
        </w:rPr>
        <w:footnoteRef/>
      </w:r>
      <w:r w:rsidR="000B58CC">
        <w:t xml:space="preserve"> HM Government, 2011, s</w:t>
      </w:r>
      <w:r w:rsidR="000B58CC">
        <w:rPr>
          <w:i/>
        </w:rPr>
        <w:t>upra</w:t>
      </w:r>
      <w:r w:rsidR="000B58CC">
        <w:t>, n.</w:t>
      </w:r>
      <w:r w:rsidR="000B58CC">
        <w:fldChar w:fldCharType="begin"/>
      </w:r>
      <w:r w:rsidR="000B58CC">
        <w:instrText xml:space="preserve"> NOTEREF _Ref448148641 \h </w:instrText>
      </w:r>
      <w:r w:rsidR="000B58CC">
        <w:fldChar w:fldCharType="separate"/>
      </w:r>
      <w:r w:rsidR="000B58CC">
        <w:t>34</w:t>
      </w:r>
      <w:r w:rsidR="000B58CC">
        <w:fldChar w:fldCharType="end"/>
      </w:r>
      <w:r>
        <w:t>, p.72.</w:t>
      </w:r>
    </w:p>
  </w:footnote>
  <w:footnote w:id="42">
    <w:p w:rsidR="00BD01CC" w:rsidRPr="00BD01CC" w:rsidRDefault="00BD01CC" w:rsidP="00C92BB5">
      <w:pPr>
        <w:spacing w:before="60" w:after="60"/>
        <w:rPr>
          <w:sz w:val="23"/>
          <w:szCs w:val="23"/>
        </w:rPr>
      </w:pPr>
      <w:r>
        <w:rPr>
          <w:rStyle w:val="FootnoteReference"/>
        </w:rPr>
        <w:footnoteRef/>
      </w:r>
      <w:r>
        <w:t xml:space="preserve"> </w:t>
      </w:r>
      <w:r w:rsidRPr="00C92BB5">
        <w:rPr>
          <w:sz w:val="20"/>
          <w:szCs w:val="20"/>
        </w:rPr>
        <w:t>Statistics published by the Department of Business, Innovation and Skills suggest that the highe</w:t>
      </w:r>
      <w:r w:rsidR="00C92BB5" w:rsidRPr="00C92BB5">
        <w:rPr>
          <w:sz w:val="20"/>
          <w:szCs w:val="20"/>
        </w:rPr>
        <w:t xml:space="preserve">r education participation rate (i.e. </w:t>
      </w:r>
      <w:r w:rsidRPr="00C92BB5">
        <w:rPr>
          <w:sz w:val="20"/>
          <w:szCs w:val="20"/>
        </w:rPr>
        <w:t xml:space="preserve">the </w:t>
      </w:r>
      <w:r w:rsidR="00C10877">
        <w:rPr>
          <w:sz w:val="20"/>
          <w:szCs w:val="20"/>
        </w:rPr>
        <w:t xml:space="preserve">per </w:t>
      </w:r>
      <w:proofErr w:type="spellStart"/>
      <w:r w:rsidR="00C10877">
        <w:rPr>
          <w:sz w:val="20"/>
          <w:szCs w:val="20"/>
        </w:rPr>
        <w:t>cent</w:t>
      </w:r>
      <w:r w:rsidRPr="00C92BB5">
        <w:rPr>
          <w:sz w:val="20"/>
          <w:szCs w:val="20"/>
        </w:rPr>
        <w:t>age</w:t>
      </w:r>
      <w:proofErr w:type="spellEnd"/>
      <w:r w:rsidRPr="00C92BB5">
        <w:rPr>
          <w:sz w:val="20"/>
          <w:szCs w:val="20"/>
        </w:rPr>
        <w:t xml:space="preserve"> of English 17 to 30 year-olds who attend a </w:t>
      </w:r>
      <w:r w:rsidR="00C92BB5" w:rsidRPr="00C92BB5">
        <w:rPr>
          <w:sz w:val="20"/>
          <w:szCs w:val="20"/>
        </w:rPr>
        <w:t>UK university for the first time)</w:t>
      </w:r>
      <w:r w:rsidRPr="00C92BB5">
        <w:rPr>
          <w:sz w:val="20"/>
          <w:szCs w:val="20"/>
        </w:rPr>
        <w:t xml:space="preserve"> </w:t>
      </w:r>
      <w:r w:rsidR="00C92BB5" w:rsidRPr="00C92BB5">
        <w:rPr>
          <w:sz w:val="20"/>
          <w:szCs w:val="20"/>
        </w:rPr>
        <w:t xml:space="preserve">was </w:t>
      </w:r>
      <w:proofErr w:type="gramStart"/>
      <w:r w:rsidR="00C92BB5" w:rsidRPr="00C92BB5">
        <w:rPr>
          <w:sz w:val="20"/>
          <w:szCs w:val="20"/>
        </w:rPr>
        <w:t>47</w:t>
      </w:r>
      <w:r w:rsidR="00C10877">
        <w:rPr>
          <w:sz w:val="20"/>
          <w:szCs w:val="20"/>
        </w:rPr>
        <w:t xml:space="preserve">  per</w:t>
      </w:r>
      <w:proofErr w:type="gramEnd"/>
      <w:r w:rsidR="00C10877">
        <w:rPr>
          <w:sz w:val="20"/>
          <w:szCs w:val="20"/>
        </w:rPr>
        <w:t xml:space="preserve"> cent</w:t>
      </w:r>
      <w:r w:rsidR="00C92BB5" w:rsidRPr="00C92BB5">
        <w:rPr>
          <w:sz w:val="20"/>
          <w:szCs w:val="20"/>
        </w:rPr>
        <w:t xml:space="preserve"> in</w:t>
      </w:r>
      <w:r w:rsidR="000B58CC">
        <w:rPr>
          <w:sz w:val="20"/>
          <w:szCs w:val="20"/>
        </w:rPr>
        <w:t xml:space="preserve"> 2013/14. See </w:t>
      </w:r>
      <w:hyperlink r:id="rId5" w:history="1">
        <w:r w:rsidR="000B58CC" w:rsidRPr="000578B0">
          <w:rPr>
            <w:rStyle w:val="Hyperlink"/>
            <w:sz w:val="20"/>
            <w:szCs w:val="20"/>
          </w:rPr>
          <w:t>https://www.gov.uk/government/uploads/system/uploads/attachment_data/file/458034/HEIPR_PUBLICATION_2013-14.pdf</w:t>
        </w:r>
      </w:hyperlink>
      <w:r w:rsidR="000B58CC">
        <w:rPr>
          <w:sz w:val="20"/>
          <w:szCs w:val="20"/>
        </w:rPr>
        <w:t xml:space="preserve"> (a</w:t>
      </w:r>
      <w:r w:rsidR="00C92BB5">
        <w:rPr>
          <w:sz w:val="20"/>
          <w:szCs w:val="20"/>
        </w:rPr>
        <w:t>ccessed 11 April 2016</w:t>
      </w:r>
      <w:r w:rsidR="000B58CC">
        <w:rPr>
          <w:sz w:val="20"/>
          <w:szCs w:val="20"/>
        </w:rPr>
        <w:t>)</w:t>
      </w:r>
      <w:r w:rsidR="00C92BB5">
        <w:rPr>
          <w:sz w:val="20"/>
          <w:szCs w:val="20"/>
        </w:rPr>
        <w:t>.</w:t>
      </w:r>
    </w:p>
  </w:footnote>
  <w:footnote w:id="43">
    <w:p w:rsidR="00BD01CC" w:rsidRDefault="00BD01CC">
      <w:pPr>
        <w:pStyle w:val="FootnoteText"/>
      </w:pPr>
      <w:r>
        <w:rPr>
          <w:rStyle w:val="FootnoteReference"/>
        </w:rPr>
        <w:footnoteRef/>
      </w:r>
      <w:r>
        <w:t xml:space="preserve"> </w:t>
      </w:r>
      <w:r w:rsidR="000B58CC">
        <w:t>HM Government, 2011, s</w:t>
      </w:r>
      <w:r w:rsidR="000B58CC">
        <w:rPr>
          <w:i/>
        </w:rPr>
        <w:t>upra</w:t>
      </w:r>
      <w:r w:rsidR="000B58CC">
        <w:t>, n.</w:t>
      </w:r>
      <w:r w:rsidR="000B58CC">
        <w:fldChar w:fldCharType="begin"/>
      </w:r>
      <w:r w:rsidR="000B58CC">
        <w:instrText xml:space="preserve"> NOTEREF _Ref448148641 \h </w:instrText>
      </w:r>
      <w:r w:rsidR="000B58CC">
        <w:fldChar w:fldCharType="separate"/>
      </w:r>
      <w:r w:rsidR="000B58CC">
        <w:t>34</w:t>
      </w:r>
      <w:r w:rsidR="000B58CC">
        <w:fldChar w:fldCharType="end"/>
      </w:r>
      <w:r w:rsidR="00005B33">
        <w:rPr>
          <w:i/>
        </w:rPr>
        <w:t xml:space="preserve">, </w:t>
      </w:r>
      <w:r w:rsidR="00005B33" w:rsidRPr="00005B33">
        <w:t>p.73.</w:t>
      </w:r>
      <w:r w:rsidR="00005B33">
        <w:rPr>
          <w:i/>
        </w:rPr>
        <w:t xml:space="preserve"> </w:t>
      </w:r>
      <w:r w:rsidR="000B58CC">
        <w:t xml:space="preserve">See </w:t>
      </w:r>
      <w:hyperlink r:id="rId6" w:history="1">
        <w:r w:rsidR="000B58CC" w:rsidRPr="000578B0">
          <w:rPr>
            <w:rStyle w:val="Hyperlink"/>
          </w:rPr>
          <w:t>http://www.telegraph.co.uk/news/worldnews/middleeast/yemen/6906669/Detroit-bomber-British-university-complicit-in-radicalisation.html</w:t>
        </w:r>
      </w:hyperlink>
      <w:r w:rsidR="000B58CC">
        <w:t xml:space="preserve"> (a</w:t>
      </w:r>
      <w:r w:rsidR="00005B33">
        <w:t>ccessed 11 April 2016</w:t>
      </w:r>
      <w:r w:rsidR="000B58CC">
        <w:t>)</w:t>
      </w:r>
      <w:r w:rsidR="00005B33">
        <w:t>.</w:t>
      </w:r>
    </w:p>
  </w:footnote>
  <w:footnote w:id="44">
    <w:p w:rsidR="00005B33" w:rsidRPr="00005B33" w:rsidRDefault="00005B33">
      <w:pPr>
        <w:pStyle w:val="FootnoteText"/>
      </w:pPr>
      <w:r>
        <w:rPr>
          <w:rStyle w:val="FootnoteReference"/>
        </w:rPr>
        <w:footnoteRef/>
      </w:r>
      <w:r>
        <w:t xml:space="preserve"> </w:t>
      </w:r>
      <w:r>
        <w:rPr>
          <w:i/>
        </w:rPr>
        <w:t>Ibid</w:t>
      </w:r>
      <w:r>
        <w:t>., p.72.</w:t>
      </w:r>
    </w:p>
  </w:footnote>
  <w:footnote w:id="45">
    <w:p w:rsidR="009E6121" w:rsidRPr="00005B33" w:rsidRDefault="009E6121">
      <w:pPr>
        <w:pStyle w:val="FootnoteText"/>
      </w:pPr>
      <w:r>
        <w:rPr>
          <w:rStyle w:val="FootnoteReference"/>
        </w:rPr>
        <w:footnoteRef/>
      </w:r>
      <w:r w:rsidR="00005B33">
        <w:t xml:space="preserve"> HM Government</w:t>
      </w:r>
      <w:r w:rsidR="000B58CC">
        <w:t>,</w:t>
      </w:r>
      <w:r w:rsidR="00005B33">
        <w:t xml:space="preserve"> </w:t>
      </w:r>
      <w:r w:rsidR="00005B33">
        <w:rPr>
          <w:i/>
        </w:rPr>
        <w:t>Prevent Duty Guidance: For Higher Education Institutions in England and Wales</w:t>
      </w:r>
      <w:r w:rsidR="00005B33">
        <w:t xml:space="preserve"> (</w:t>
      </w:r>
      <w:proofErr w:type="gramStart"/>
      <w:r w:rsidR="00005B33">
        <w:t>London</w:t>
      </w:r>
      <w:r w:rsidR="000B58CC">
        <w:t xml:space="preserve">, </w:t>
      </w:r>
      <w:r w:rsidR="00005B33">
        <w:t xml:space="preserve"> HMSO</w:t>
      </w:r>
      <w:proofErr w:type="gramEnd"/>
      <w:r w:rsidR="000B58CC">
        <w:t>, 2015</w:t>
      </w:r>
      <w:r w:rsidR="00005B33">
        <w:t>).</w:t>
      </w:r>
    </w:p>
  </w:footnote>
  <w:footnote w:id="46">
    <w:p w:rsidR="00325E0F" w:rsidRDefault="00325E0F">
      <w:pPr>
        <w:pStyle w:val="FootnoteText"/>
      </w:pPr>
      <w:r>
        <w:rPr>
          <w:rStyle w:val="FootnoteReference"/>
        </w:rPr>
        <w:footnoteRef/>
      </w:r>
      <w:r w:rsidR="00BA72C2">
        <w:t xml:space="preserve"> CTSA 2015, s.</w:t>
      </w:r>
      <w:r w:rsidR="00005B33">
        <w:t>2</w:t>
      </w:r>
      <w:r>
        <w:t>9</w:t>
      </w:r>
      <w:r w:rsidR="00005B33">
        <w:t>.</w:t>
      </w:r>
    </w:p>
  </w:footnote>
  <w:footnote w:id="47">
    <w:p w:rsidR="00325E0F" w:rsidRDefault="00325E0F">
      <w:pPr>
        <w:pStyle w:val="FootnoteText"/>
      </w:pPr>
      <w:r>
        <w:rPr>
          <w:rStyle w:val="FootnoteReference"/>
        </w:rPr>
        <w:footnoteRef/>
      </w:r>
      <w:r w:rsidR="00BA72C2">
        <w:t xml:space="preserve"> CTSA 2015, s.</w:t>
      </w:r>
      <w:r>
        <w:t>33(1)</w:t>
      </w:r>
      <w:r w:rsidR="00BA72C2">
        <w:t>.</w:t>
      </w:r>
    </w:p>
  </w:footnote>
  <w:footnote w:id="48">
    <w:p w:rsidR="00325E0F" w:rsidRDefault="00325E0F">
      <w:pPr>
        <w:pStyle w:val="FootnoteText"/>
      </w:pPr>
      <w:r>
        <w:rPr>
          <w:rStyle w:val="FootnoteReference"/>
        </w:rPr>
        <w:footnoteRef/>
      </w:r>
      <w:r>
        <w:t xml:space="preserve"> </w:t>
      </w:r>
      <w:r w:rsidR="00BA72C2">
        <w:t>CTSA 2015, s.33(2).</w:t>
      </w:r>
    </w:p>
  </w:footnote>
  <w:footnote w:id="49">
    <w:p w:rsidR="00C2033A" w:rsidRDefault="00C2033A" w:rsidP="00C2033A">
      <w:pPr>
        <w:pStyle w:val="FootnoteText"/>
      </w:pPr>
      <w:r w:rsidRPr="009B01DE">
        <w:rPr>
          <w:rStyle w:val="FootnoteReference"/>
        </w:rPr>
        <w:footnoteRef/>
      </w:r>
      <w:r>
        <w:t xml:space="preserve"> </w:t>
      </w:r>
      <w:proofErr w:type="spellStart"/>
      <w:r>
        <w:t>Kiai</w:t>
      </w:r>
      <w:proofErr w:type="spellEnd"/>
      <w:r>
        <w:t>, M. ‘</w:t>
      </w:r>
      <w:r w:rsidRPr="009B01DE">
        <w:t xml:space="preserve">Statement by the United Nations Special Rapporteur on the rights to freedom of peaceful assembly and of association </w:t>
      </w:r>
      <w:proofErr w:type="gramStart"/>
      <w:r w:rsidRPr="009B01DE">
        <w:t>at the conclusion of</w:t>
      </w:r>
      <w:proofErr w:type="gramEnd"/>
      <w:r w:rsidRPr="009B01DE">
        <w:t xml:space="preserve"> his second visit to the United Kingdom</w:t>
      </w:r>
      <w:r>
        <w:t>’</w:t>
      </w:r>
      <w:r w:rsidRPr="006B7856">
        <w:t xml:space="preserve">, </w:t>
      </w:r>
      <w:r>
        <w:t xml:space="preserve">2016. Available at </w:t>
      </w:r>
      <w:hyperlink r:id="rId7">
        <w:r w:rsidRPr="006B7856">
          <w:t>http://freeassembly.net/news/statement-united-kingdom-follow-up/</w:t>
        </w:r>
      </w:hyperlink>
      <w:r>
        <w:t xml:space="preserve"> (accessed 18 April 2017).</w:t>
      </w:r>
      <w:hyperlink r:id="rId8"/>
    </w:p>
  </w:footnote>
  <w:footnote w:id="50">
    <w:p w:rsidR="00C2033A" w:rsidRPr="005C609F" w:rsidRDefault="00C2033A" w:rsidP="00C2033A">
      <w:pPr>
        <w:pStyle w:val="FootnoteText"/>
      </w:pPr>
      <w:r>
        <w:rPr>
          <w:rStyle w:val="FootnoteReference"/>
        </w:rPr>
        <w:footnoteRef/>
      </w:r>
      <w:r>
        <w:t xml:space="preserve"> Open Society Justice Initiative, </w:t>
      </w:r>
      <w:r>
        <w:rPr>
          <w:i/>
        </w:rPr>
        <w:t>Eroding Trust: The UK’s Prevent Counter-Extremism Strategy in Health and Education</w:t>
      </w:r>
      <w:r>
        <w:t xml:space="preserve"> (London: Open Society Foundations).</w:t>
      </w:r>
    </w:p>
  </w:footnote>
  <w:footnote w:id="51">
    <w:p w:rsidR="0084097D" w:rsidRDefault="0084097D">
      <w:pPr>
        <w:pStyle w:val="FootnoteText"/>
      </w:pPr>
      <w:r>
        <w:rPr>
          <w:rStyle w:val="FootnoteReference"/>
        </w:rPr>
        <w:footnoteRef/>
      </w:r>
      <w:r>
        <w:t xml:space="preserve"> A. Travis, ‘UK Counter Terrorism Strategy Back in Focus After London Attack’</w:t>
      </w:r>
      <w:r w:rsidR="003825D6">
        <w:t>,</w:t>
      </w:r>
      <w:r>
        <w:t xml:space="preserve"> </w:t>
      </w:r>
      <w:r>
        <w:rPr>
          <w:i/>
        </w:rPr>
        <w:t>Guardian</w:t>
      </w:r>
      <w:r>
        <w:t xml:space="preserve">, 2017, available at </w:t>
      </w:r>
      <w:proofErr w:type="gramStart"/>
      <w:r w:rsidRPr="0084097D">
        <w:rPr>
          <w:rStyle w:val="Hyperlink"/>
        </w:rPr>
        <w:t>https://www.theguardian.com/politics/2017/mar/23/uk-counter-terrorism-strategy-back-in-focus-after-london-attack</w:t>
      </w:r>
      <w:r w:rsidRPr="0084097D">
        <w:t xml:space="preserve"> </w:t>
      </w:r>
      <w:r>
        <w:t xml:space="preserve"> (</w:t>
      </w:r>
      <w:proofErr w:type="gramEnd"/>
      <w:r>
        <w:t>accessed 18 April 2017).</w:t>
      </w:r>
    </w:p>
  </w:footnote>
  <w:footnote w:id="52">
    <w:p w:rsidR="000022DD" w:rsidRPr="00A95018" w:rsidRDefault="000022DD">
      <w:pPr>
        <w:pStyle w:val="FootnoteText"/>
        <w:rPr>
          <w:i/>
        </w:rPr>
      </w:pPr>
      <w:r>
        <w:rPr>
          <w:rStyle w:val="FootnoteReference"/>
        </w:rPr>
        <w:footnoteRef/>
      </w:r>
      <w:r>
        <w:t xml:space="preserve"> UCU, </w:t>
      </w:r>
      <w:r w:rsidR="00A95018">
        <w:t xml:space="preserve">‘UCU Response to Ofsted Report on the Prevent Duty in Further Education’, 2016. Available at </w:t>
      </w:r>
      <w:hyperlink r:id="rId9" w:history="1">
        <w:r w:rsidR="00A95018" w:rsidRPr="001A098B">
          <w:rPr>
            <w:rStyle w:val="Hyperlink"/>
          </w:rPr>
          <w:t>https://www.ucu.org.uk/article/8369/UCU-response-to-Ofsted-report-on-the-Prevent-duty-in-further-education</w:t>
        </w:r>
      </w:hyperlink>
      <w:r w:rsidR="00A95018">
        <w:t xml:space="preserve"> (accessed 18 April 2017).</w:t>
      </w:r>
    </w:p>
  </w:footnote>
  <w:footnote w:id="53">
    <w:p w:rsidR="000D0BA7" w:rsidRPr="00805D74" w:rsidRDefault="000D0BA7">
      <w:pPr>
        <w:pStyle w:val="FootnoteText"/>
      </w:pPr>
      <w:r>
        <w:rPr>
          <w:rStyle w:val="FootnoteReference"/>
        </w:rPr>
        <w:footnoteRef/>
      </w:r>
      <w:r w:rsidR="00805D74">
        <w:t xml:space="preserve"> For a critique of the ‘conveyer belt’ model, see </w:t>
      </w:r>
      <w:r w:rsidR="000B58CC">
        <w:t xml:space="preserve">A. </w:t>
      </w:r>
      <w:proofErr w:type="spellStart"/>
      <w:r w:rsidR="00805D74">
        <w:t>Kundnani</w:t>
      </w:r>
      <w:proofErr w:type="spellEnd"/>
      <w:r w:rsidR="000B58CC">
        <w:t>,</w:t>
      </w:r>
      <w:r w:rsidR="00805D74">
        <w:t xml:space="preserve"> </w:t>
      </w:r>
      <w:r w:rsidR="00805D74">
        <w:rPr>
          <w:i/>
        </w:rPr>
        <w:t>A Decade Lost: Rethinking Radicalisation and Extremism</w:t>
      </w:r>
      <w:r w:rsidR="000B58CC">
        <w:t xml:space="preserve"> (London, Institute of Race Relations, 2015).</w:t>
      </w:r>
    </w:p>
  </w:footnote>
  <w:footnote w:id="54">
    <w:p w:rsidR="00C3277F" w:rsidRPr="00C3277F" w:rsidRDefault="00C3277F">
      <w:pPr>
        <w:pStyle w:val="FootnoteText"/>
      </w:pPr>
      <w:r>
        <w:rPr>
          <w:rStyle w:val="FootnoteReference"/>
        </w:rPr>
        <w:footnoteRef/>
      </w:r>
      <w:r w:rsidR="000B58CC">
        <w:t xml:space="preserve"> HM Government, 2011</w:t>
      </w:r>
      <w:r>
        <w:t xml:space="preserve">, </w:t>
      </w:r>
      <w:r>
        <w:rPr>
          <w:i/>
        </w:rPr>
        <w:t>supra</w:t>
      </w:r>
      <w:r>
        <w:t>, n.</w:t>
      </w:r>
      <w:r>
        <w:fldChar w:fldCharType="begin"/>
      </w:r>
      <w:r>
        <w:instrText xml:space="preserve"> NOTEREF _Ref448148641 \h </w:instrText>
      </w:r>
      <w:r>
        <w:fldChar w:fldCharType="separate"/>
      </w:r>
      <w:r w:rsidR="00F7200E">
        <w:t>34</w:t>
      </w:r>
      <w:r>
        <w:fldChar w:fldCharType="end"/>
      </w:r>
      <w:r>
        <w:t>, p. 20.</w:t>
      </w:r>
    </w:p>
  </w:footnote>
  <w:footnote w:id="55">
    <w:p w:rsidR="00A95E7B" w:rsidRDefault="00A95E7B" w:rsidP="00A95E7B">
      <w:pPr>
        <w:pStyle w:val="FootnoteText"/>
      </w:pPr>
      <w:r>
        <w:rPr>
          <w:rStyle w:val="FootnoteReference"/>
        </w:rPr>
        <w:footnoteRef/>
      </w:r>
      <w:r w:rsidR="000B58CC">
        <w:t xml:space="preserve"> HM Government, 2011</w:t>
      </w:r>
      <w:r>
        <w:t xml:space="preserve">, </w:t>
      </w:r>
      <w:r>
        <w:rPr>
          <w:i/>
        </w:rPr>
        <w:t>supra</w:t>
      </w:r>
      <w:r>
        <w:t>, n.</w:t>
      </w:r>
      <w:r>
        <w:fldChar w:fldCharType="begin"/>
      </w:r>
      <w:r>
        <w:instrText xml:space="preserve"> NOTEREF _Ref448148641 \h </w:instrText>
      </w:r>
      <w:r>
        <w:fldChar w:fldCharType="separate"/>
      </w:r>
      <w:r w:rsidR="00F7200E">
        <w:t>34</w:t>
      </w:r>
      <w:r>
        <w:fldChar w:fldCharType="end"/>
      </w:r>
      <w:r>
        <w:t>, p. 107.</w:t>
      </w:r>
    </w:p>
  </w:footnote>
  <w:footnote w:id="56">
    <w:p w:rsidR="00324019" w:rsidRPr="00A95E7B" w:rsidRDefault="00324019">
      <w:pPr>
        <w:pStyle w:val="FootnoteText"/>
      </w:pPr>
      <w:r>
        <w:rPr>
          <w:rStyle w:val="FootnoteReference"/>
        </w:rPr>
        <w:footnoteRef/>
      </w:r>
      <w:r w:rsidR="00A95E7B">
        <w:t xml:space="preserve"> </w:t>
      </w:r>
      <w:proofErr w:type="spellStart"/>
      <w:r w:rsidR="000B58CC">
        <w:t>Netpol</w:t>
      </w:r>
      <w:proofErr w:type="spellEnd"/>
      <w:r w:rsidR="000B58CC">
        <w:t>,</w:t>
      </w:r>
      <w:r w:rsidR="008F1008">
        <w:t xml:space="preserve"> ‘Is Prevent the Least Transparent Public Programme </w:t>
      </w:r>
      <w:proofErr w:type="gramStart"/>
      <w:r w:rsidR="008F1008">
        <w:t>In</w:t>
      </w:r>
      <w:proofErr w:type="gramEnd"/>
      <w:r w:rsidR="008F1008">
        <w:t xml:space="preserve"> Britain?’</w:t>
      </w:r>
      <w:r w:rsidR="000B58CC">
        <w:t xml:space="preserve">, 2015. Available at </w:t>
      </w:r>
      <w:hyperlink r:id="rId10" w:history="1">
        <w:r w:rsidR="000B58CC" w:rsidRPr="000578B0">
          <w:rPr>
            <w:rStyle w:val="Hyperlink"/>
          </w:rPr>
          <w:t>https://netpol.org/2015/12/14/no-transparency-prevent/</w:t>
        </w:r>
      </w:hyperlink>
      <w:r w:rsidR="000B58CC">
        <w:t xml:space="preserve"> (a</w:t>
      </w:r>
      <w:r w:rsidR="008F1008">
        <w:t xml:space="preserve">ccessed </w:t>
      </w:r>
      <w:r w:rsidR="00A95E7B">
        <w:t>11 April 2016</w:t>
      </w:r>
      <w:r w:rsidR="000B58CC">
        <w:t>)</w:t>
      </w:r>
      <w:r w:rsidR="00A95E7B">
        <w:t>.</w:t>
      </w:r>
    </w:p>
  </w:footnote>
  <w:footnote w:id="57">
    <w:p w:rsidR="000F5B85" w:rsidRDefault="000F5B85" w:rsidP="000F5B85">
      <w:pPr>
        <w:pStyle w:val="FootnoteText"/>
      </w:pPr>
      <w:r>
        <w:rPr>
          <w:rStyle w:val="FootnoteReference"/>
        </w:rPr>
        <w:footnoteRef/>
      </w:r>
      <w:r>
        <w:t xml:space="preserve"> The author is module leader on a Year 2 optional ‘Counter Terrorism’ module on the LLB Law programme.</w:t>
      </w:r>
    </w:p>
  </w:footnote>
  <w:footnote w:id="58">
    <w:p w:rsidR="00576630" w:rsidRPr="000C2034" w:rsidRDefault="00576630">
      <w:pPr>
        <w:pStyle w:val="FootnoteText"/>
      </w:pPr>
      <w:r>
        <w:rPr>
          <w:rStyle w:val="FootnoteReference"/>
        </w:rPr>
        <w:footnoteRef/>
      </w:r>
      <w:r>
        <w:t xml:space="preserve"> See </w:t>
      </w:r>
      <w:r w:rsidR="001D214A">
        <w:t xml:space="preserve">A. </w:t>
      </w:r>
      <w:proofErr w:type="spellStart"/>
      <w:r w:rsidR="001D214A">
        <w:t>Kundnani</w:t>
      </w:r>
      <w:proofErr w:type="spellEnd"/>
      <w:r w:rsidR="001D214A">
        <w:t>,</w:t>
      </w:r>
      <w:r w:rsidR="000C2034">
        <w:t xml:space="preserve"> </w:t>
      </w:r>
      <w:proofErr w:type="gramStart"/>
      <w:r w:rsidR="000C2034">
        <w:rPr>
          <w:i/>
        </w:rPr>
        <w:t>Spooked!:</w:t>
      </w:r>
      <w:proofErr w:type="gramEnd"/>
      <w:r w:rsidR="000C2034">
        <w:rPr>
          <w:i/>
        </w:rPr>
        <w:t xml:space="preserve"> How Not to Prevent Violent Extremism</w:t>
      </w:r>
      <w:r w:rsidR="001D214A">
        <w:t xml:space="preserve"> (London,</w:t>
      </w:r>
      <w:r w:rsidR="000C2034">
        <w:t xml:space="preserve"> Institute for Race Relations</w:t>
      </w:r>
      <w:r w:rsidR="001D214A">
        <w:t>, 2009)</w:t>
      </w:r>
      <w:r w:rsidR="000C2034">
        <w:t>.</w:t>
      </w:r>
    </w:p>
  </w:footnote>
  <w:footnote w:id="59">
    <w:p w:rsidR="00A0788B" w:rsidRDefault="00A0788B">
      <w:pPr>
        <w:pStyle w:val="FootnoteText"/>
      </w:pPr>
      <w:r>
        <w:rPr>
          <w:rStyle w:val="FootnoteReference"/>
        </w:rPr>
        <w:footnoteRef/>
      </w:r>
      <w:r>
        <w:t xml:space="preserve"> </w:t>
      </w:r>
      <w:r w:rsidR="00345CD3">
        <w:t xml:space="preserve">N. </w:t>
      </w:r>
      <w:proofErr w:type="spellStart"/>
      <w:r w:rsidR="00345CD3">
        <w:t>Bettison</w:t>
      </w:r>
      <w:proofErr w:type="spellEnd"/>
      <w:r w:rsidR="00345CD3">
        <w:t>, “</w:t>
      </w:r>
      <w:r>
        <w:t>Preventing Viole</w:t>
      </w:r>
      <w:r w:rsidR="00345CD3">
        <w:t>nt Extremism: A Police Response”</w:t>
      </w:r>
      <w:r>
        <w:t xml:space="preserve"> </w:t>
      </w:r>
      <w:r w:rsidR="00345CD3">
        <w:t xml:space="preserve">(2009) 3(2) </w:t>
      </w:r>
      <w:r w:rsidRPr="00A0788B">
        <w:rPr>
          <w:i/>
        </w:rPr>
        <w:t>Policing</w:t>
      </w:r>
      <w:r>
        <w:t xml:space="preserve"> </w:t>
      </w:r>
      <w:r w:rsidR="00345CD3">
        <w:t>128,</w:t>
      </w:r>
      <w:r>
        <w:t xml:space="preserve"> p. 131.</w:t>
      </w:r>
    </w:p>
  </w:footnote>
  <w:footnote w:id="60">
    <w:p w:rsidR="00EE46C6" w:rsidRDefault="00EE46C6">
      <w:pPr>
        <w:pStyle w:val="FootnoteText"/>
      </w:pPr>
      <w:r>
        <w:rPr>
          <w:rStyle w:val="FootnoteReference"/>
        </w:rPr>
        <w:footnoteRef/>
      </w:r>
      <w:r>
        <w:t xml:space="preserve"> </w:t>
      </w:r>
      <w:r w:rsidR="00345CD3">
        <w:t>HM Government, 2011</w:t>
      </w:r>
      <w:r w:rsidR="009A4A31">
        <w:t xml:space="preserve">, </w:t>
      </w:r>
      <w:r w:rsidR="009A4A31">
        <w:rPr>
          <w:i/>
        </w:rPr>
        <w:t>supra</w:t>
      </w:r>
      <w:r w:rsidR="009A4A31">
        <w:t>, n.</w:t>
      </w:r>
      <w:r w:rsidR="009A4A31">
        <w:fldChar w:fldCharType="begin"/>
      </w:r>
      <w:r w:rsidR="009A4A31">
        <w:instrText xml:space="preserve"> NOTEREF _Ref448148641 \h </w:instrText>
      </w:r>
      <w:r w:rsidR="009A4A31">
        <w:fldChar w:fldCharType="separate"/>
      </w:r>
      <w:r w:rsidR="009A4A31">
        <w:t>34</w:t>
      </w:r>
      <w:r w:rsidR="009A4A31">
        <w:fldChar w:fldCharType="end"/>
      </w:r>
      <w:r w:rsidR="009A4A31">
        <w:t>, p. 13.</w:t>
      </w:r>
    </w:p>
  </w:footnote>
  <w:footnote w:id="61">
    <w:p w:rsidR="00A0788B" w:rsidRPr="00A0788B" w:rsidRDefault="00A0788B">
      <w:pPr>
        <w:pStyle w:val="FootnoteText"/>
      </w:pPr>
      <w:r>
        <w:rPr>
          <w:rStyle w:val="FootnoteReference"/>
        </w:rPr>
        <w:footnoteRef/>
      </w:r>
      <w:r>
        <w:t xml:space="preserve"> </w:t>
      </w:r>
      <w:r w:rsidR="00345CD3">
        <w:t xml:space="preserve">A. </w:t>
      </w:r>
      <w:proofErr w:type="spellStart"/>
      <w:r w:rsidR="00345CD3">
        <w:t>Kundnani</w:t>
      </w:r>
      <w:proofErr w:type="spellEnd"/>
      <w:r w:rsidR="00345CD3">
        <w:t>, 2009</w:t>
      </w:r>
      <w:r>
        <w:t xml:space="preserve">, </w:t>
      </w:r>
      <w:r>
        <w:rPr>
          <w:i/>
        </w:rPr>
        <w:t>supra</w:t>
      </w:r>
      <w:r>
        <w:t>, n.</w:t>
      </w:r>
      <w:r w:rsidR="00345CD3">
        <w:t xml:space="preserve"> </w:t>
      </w:r>
      <w:r>
        <w:fldChar w:fldCharType="begin"/>
      </w:r>
      <w:r>
        <w:instrText xml:space="preserve"> NOTEREF _Ref448152436 \h </w:instrText>
      </w:r>
      <w:r>
        <w:fldChar w:fldCharType="separate"/>
      </w:r>
      <w:r>
        <w:t>54</w:t>
      </w:r>
      <w:r>
        <w:fldChar w:fldCharType="end"/>
      </w:r>
      <w:r>
        <w:t>.</w:t>
      </w:r>
    </w:p>
  </w:footnote>
  <w:footnote w:id="62">
    <w:p w:rsidR="003825D6" w:rsidRPr="003825D6" w:rsidRDefault="003825D6">
      <w:pPr>
        <w:pStyle w:val="FootnoteText"/>
      </w:pPr>
      <w:r>
        <w:rPr>
          <w:rStyle w:val="FootnoteReference"/>
        </w:rPr>
        <w:footnoteRef/>
      </w:r>
      <w:r>
        <w:t xml:space="preserve"> F. </w:t>
      </w:r>
      <w:proofErr w:type="spellStart"/>
      <w:r>
        <w:t>Qurashi</w:t>
      </w:r>
      <w:proofErr w:type="spellEnd"/>
      <w:r>
        <w:t xml:space="preserve">, ‘Prevent Gives People Permission to Hate Muslims – It Has No Place </w:t>
      </w:r>
      <w:proofErr w:type="gramStart"/>
      <w:r>
        <w:t>In</w:t>
      </w:r>
      <w:proofErr w:type="gramEnd"/>
      <w:r>
        <w:t xml:space="preserve"> Schools’, </w:t>
      </w:r>
      <w:r>
        <w:rPr>
          <w:i/>
        </w:rPr>
        <w:t>Guardian</w:t>
      </w:r>
      <w:r>
        <w:t>, 2016. Available at &lt;</w:t>
      </w:r>
      <w:r w:rsidRPr="003825D6">
        <w:t xml:space="preserve"> </w:t>
      </w:r>
      <w:hyperlink r:id="rId11" w:history="1">
        <w:r w:rsidRPr="001A098B">
          <w:rPr>
            <w:rStyle w:val="Hyperlink"/>
          </w:rPr>
          <w:t>https://www.theguardian.com/commentisfree/2016/apr/04/prevent-hate-muslims-schools-terrorism-teachers-reject</w:t>
        </w:r>
      </w:hyperlink>
      <w:r>
        <w:t>&gt; (accessed 18 April 2017).</w:t>
      </w:r>
    </w:p>
  </w:footnote>
  <w:footnote w:id="63">
    <w:p w:rsidR="00112F6D" w:rsidRDefault="00112F6D">
      <w:pPr>
        <w:pStyle w:val="FootnoteText"/>
      </w:pPr>
      <w:r>
        <w:rPr>
          <w:rStyle w:val="FootnoteReference"/>
        </w:rPr>
        <w:footnoteRef/>
      </w:r>
      <w:r>
        <w:t xml:space="preserve"> </w:t>
      </w:r>
      <w:r w:rsidR="00345CD3">
        <w:t>M. Townsend,</w:t>
      </w:r>
      <w:r w:rsidR="000C2034">
        <w:t xml:space="preserve"> </w:t>
      </w:r>
      <w:r w:rsidR="00345CD3">
        <w:t>“</w:t>
      </w:r>
      <w:r w:rsidR="000C2034">
        <w:t>P</w:t>
      </w:r>
      <w:r>
        <w:t xml:space="preserve">olice </w:t>
      </w:r>
      <w:r w:rsidR="000C2034">
        <w:t>‘Made U</w:t>
      </w:r>
      <w:r>
        <w:t>p</w:t>
      </w:r>
      <w:r w:rsidR="000C2034">
        <w:t>’ E</w:t>
      </w:r>
      <w:r>
        <w:t xml:space="preserve">vidence about Muslim </w:t>
      </w:r>
      <w:r w:rsidR="000C2034">
        <w:t>S</w:t>
      </w:r>
      <w:r>
        <w:t>tudent</w:t>
      </w:r>
      <w:r w:rsidR="00345CD3">
        <w:t>”</w:t>
      </w:r>
      <w:r w:rsidR="000C2034">
        <w:t xml:space="preserve">, </w:t>
      </w:r>
      <w:r w:rsidR="000C2034">
        <w:rPr>
          <w:i/>
        </w:rPr>
        <w:t>Guardian</w:t>
      </w:r>
      <w:r w:rsidR="000C2034">
        <w:t xml:space="preserve">, </w:t>
      </w:r>
      <w:r w:rsidR="00345CD3">
        <w:t xml:space="preserve">2012, </w:t>
      </w:r>
      <w:r w:rsidR="000C2034">
        <w:t>available at &lt;</w:t>
      </w:r>
      <w:r w:rsidR="000C2034" w:rsidRPr="000C2034">
        <w:t>http://www.theguardian.com/uk/2012/jul/14/police-evidence-muslim-student-rizwaan-sabir</w:t>
      </w:r>
      <w:r w:rsidR="000C2034">
        <w:t>&gt;. Accessed 11 April 2016.</w:t>
      </w:r>
    </w:p>
  </w:footnote>
  <w:footnote w:id="64">
    <w:p w:rsidR="00112F6D" w:rsidRPr="000C2034" w:rsidRDefault="00112F6D">
      <w:pPr>
        <w:pStyle w:val="FootnoteText"/>
      </w:pPr>
      <w:r>
        <w:rPr>
          <w:rStyle w:val="FootnoteReference"/>
        </w:rPr>
        <w:footnoteRef/>
      </w:r>
      <w:r>
        <w:t xml:space="preserve"> </w:t>
      </w:r>
      <w:r w:rsidR="00345CD3">
        <w:t xml:space="preserve">R. Ramesh </w:t>
      </w:r>
      <w:r w:rsidR="000C2034">
        <w:t>and</w:t>
      </w:r>
      <w:r w:rsidR="00345CD3">
        <w:t xml:space="preserve"> J. Halliday,</w:t>
      </w:r>
      <w:r w:rsidR="000C2034">
        <w:t xml:space="preserve"> ‘Student Accused of Being a Terrorist for Reading a Book on Terrorism’, </w:t>
      </w:r>
      <w:r w:rsidR="000C2034">
        <w:rPr>
          <w:i/>
        </w:rPr>
        <w:t>Guardian</w:t>
      </w:r>
      <w:r w:rsidR="000C2034">
        <w:t xml:space="preserve">, </w:t>
      </w:r>
      <w:r w:rsidR="00345CD3">
        <w:t xml:space="preserve">2015, </w:t>
      </w:r>
      <w:r w:rsidR="000C2034">
        <w:t xml:space="preserve">available at </w:t>
      </w:r>
      <w:hyperlink r:id="rId12" w:history="1">
        <w:r w:rsidR="00345CD3" w:rsidRPr="000578B0">
          <w:rPr>
            <w:rStyle w:val="Hyperlink"/>
          </w:rPr>
          <w:t>http://www.theguardian.com/education/2015/sep/24/student-accused-being-terrorist-reading-book-terrorism</w:t>
        </w:r>
      </w:hyperlink>
      <w:r w:rsidR="00345CD3">
        <w:t xml:space="preserve"> (a</w:t>
      </w:r>
      <w:r w:rsidR="000C2034">
        <w:t>ccessed 11 April 2016</w:t>
      </w:r>
      <w:r w:rsidR="00345CD3">
        <w:t>)</w:t>
      </w:r>
      <w:r w:rsidR="000C2034">
        <w:t>.</w:t>
      </w:r>
    </w:p>
  </w:footnote>
  <w:footnote w:id="65">
    <w:p w:rsidR="004D5F7A" w:rsidRPr="000C2034" w:rsidRDefault="004D5F7A" w:rsidP="004D5F7A">
      <w:pPr>
        <w:pStyle w:val="FootnoteText"/>
      </w:pPr>
      <w:r>
        <w:rPr>
          <w:rStyle w:val="FootnoteReference"/>
        </w:rPr>
        <w:footnoteRef/>
      </w:r>
      <w:r w:rsidR="000C2034">
        <w:t xml:space="preserve"> </w:t>
      </w:r>
      <w:r w:rsidR="00F56634">
        <w:t xml:space="preserve">S. </w:t>
      </w:r>
      <w:r w:rsidR="000C2034">
        <w:t>Poynting</w:t>
      </w:r>
      <w:r w:rsidR="00F56634">
        <w:t xml:space="preserve"> and A. Singleton </w:t>
      </w:r>
      <w:r w:rsidR="000C2034">
        <w:t xml:space="preserve">‘You Look Foreign: Bring Your Passport, It’s What the UKBA Would Want’, </w:t>
      </w:r>
      <w:r w:rsidR="000C2034" w:rsidRPr="000C2034">
        <w:rPr>
          <w:i/>
        </w:rPr>
        <w:t>Times</w:t>
      </w:r>
      <w:r w:rsidR="00F56634">
        <w:rPr>
          <w:i/>
        </w:rPr>
        <w:t xml:space="preserve"> Higher Education, </w:t>
      </w:r>
      <w:r w:rsidR="00F56634">
        <w:t xml:space="preserve">2012, available at </w:t>
      </w:r>
      <w:hyperlink r:id="rId13" w:history="1">
        <w:r w:rsidR="00F56634" w:rsidRPr="000578B0">
          <w:rPr>
            <w:rStyle w:val="Hyperlink"/>
          </w:rPr>
          <w:t>https://www.timeshighereducation.com/news/you-look-foreign-bring-your-passport-its-what-the-ukba-would-want/421367.article</w:t>
        </w:r>
      </w:hyperlink>
      <w:r w:rsidR="00F56634">
        <w:t xml:space="preserve"> (accessed 11 April 2016).</w:t>
      </w:r>
    </w:p>
  </w:footnote>
  <w:footnote w:id="66">
    <w:p w:rsidR="004D61C4" w:rsidRDefault="004D61C4" w:rsidP="004D61C4">
      <w:pPr>
        <w:pStyle w:val="FootnoteText"/>
      </w:pPr>
      <w:r>
        <w:rPr>
          <w:rStyle w:val="FootnoteReference"/>
        </w:rPr>
        <w:footnoteRef/>
      </w:r>
      <w:r>
        <w:t xml:space="preserve"> S. </w:t>
      </w:r>
      <w:proofErr w:type="spellStart"/>
      <w:r>
        <w:t>Weale</w:t>
      </w:r>
      <w:proofErr w:type="spellEnd"/>
      <w:r>
        <w:t xml:space="preserve">, “London University Tells Students Their Emails May be Monitored”, </w:t>
      </w:r>
      <w:r>
        <w:rPr>
          <w:i/>
        </w:rPr>
        <w:t>Guardian</w:t>
      </w:r>
      <w:r>
        <w:t>, 2017, available at &lt;</w:t>
      </w:r>
      <w:r w:rsidRPr="004D61C4">
        <w:t>https://www.theguardian.com/uk-news/2017/jan/20/university-warns-students-emails-may-be-monitored-kings-college-london-prevent</w:t>
      </w:r>
      <w:r>
        <w:t>&gt;. Accessed 18 April 2017.</w:t>
      </w:r>
    </w:p>
    <w:p w:rsidR="004D61C4" w:rsidRDefault="004D61C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7A6F"/>
    <w:multiLevelType w:val="multilevel"/>
    <w:tmpl w:val="740A47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31375D2"/>
    <w:multiLevelType w:val="multilevel"/>
    <w:tmpl w:val="B8D6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009C0"/>
    <w:multiLevelType w:val="multilevel"/>
    <w:tmpl w:val="77BC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36ECC"/>
    <w:multiLevelType w:val="hybridMultilevel"/>
    <w:tmpl w:val="B11295D0"/>
    <w:lvl w:ilvl="0" w:tplc="13A065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BD46BB"/>
    <w:multiLevelType w:val="hybridMultilevel"/>
    <w:tmpl w:val="8482F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C7"/>
    <w:rsid w:val="00000236"/>
    <w:rsid w:val="000022DD"/>
    <w:rsid w:val="00002884"/>
    <w:rsid w:val="0000499D"/>
    <w:rsid w:val="00005B33"/>
    <w:rsid w:val="00007FD2"/>
    <w:rsid w:val="0002295C"/>
    <w:rsid w:val="00023803"/>
    <w:rsid w:val="00023851"/>
    <w:rsid w:val="00025099"/>
    <w:rsid w:val="00030712"/>
    <w:rsid w:val="00030AE3"/>
    <w:rsid w:val="00034E01"/>
    <w:rsid w:val="000351BB"/>
    <w:rsid w:val="0004479C"/>
    <w:rsid w:val="00045DCF"/>
    <w:rsid w:val="00047273"/>
    <w:rsid w:val="00065397"/>
    <w:rsid w:val="00076C04"/>
    <w:rsid w:val="0008242F"/>
    <w:rsid w:val="00084A33"/>
    <w:rsid w:val="000874F9"/>
    <w:rsid w:val="000878A7"/>
    <w:rsid w:val="00095F6D"/>
    <w:rsid w:val="0009732D"/>
    <w:rsid w:val="000A146E"/>
    <w:rsid w:val="000B3890"/>
    <w:rsid w:val="000B58CC"/>
    <w:rsid w:val="000B7605"/>
    <w:rsid w:val="000C2034"/>
    <w:rsid w:val="000D0BA7"/>
    <w:rsid w:val="000D2C5E"/>
    <w:rsid w:val="000D5465"/>
    <w:rsid w:val="000D6531"/>
    <w:rsid w:val="000E4075"/>
    <w:rsid w:val="000E62AA"/>
    <w:rsid w:val="000E6CB5"/>
    <w:rsid w:val="000F0DC9"/>
    <w:rsid w:val="000F2F52"/>
    <w:rsid w:val="000F4A7D"/>
    <w:rsid w:val="000F5B85"/>
    <w:rsid w:val="001005B2"/>
    <w:rsid w:val="00106340"/>
    <w:rsid w:val="00112F6D"/>
    <w:rsid w:val="00121E97"/>
    <w:rsid w:val="001308FD"/>
    <w:rsid w:val="00140AE5"/>
    <w:rsid w:val="00142069"/>
    <w:rsid w:val="00142708"/>
    <w:rsid w:val="00144BD4"/>
    <w:rsid w:val="00145756"/>
    <w:rsid w:val="00152A23"/>
    <w:rsid w:val="00153C30"/>
    <w:rsid w:val="00154C56"/>
    <w:rsid w:val="001635F6"/>
    <w:rsid w:val="0017254B"/>
    <w:rsid w:val="00174A29"/>
    <w:rsid w:val="00182D8B"/>
    <w:rsid w:val="00185648"/>
    <w:rsid w:val="00197F98"/>
    <w:rsid w:val="001A0D15"/>
    <w:rsid w:val="001A303F"/>
    <w:rsid w:val="001A45C8"/>
    <w:rsid w:val="001B334D"/>
    <w:rsid w:val="001C0885"/>
    <w:rsid w:val="001C170A"/>
    <w:rsid w:val="001C23C1"/>
    <w:rsid w:val="001C2932"/>
    <w:rsid w:val="001C63C1"/>
    <w:rsid w:val="001D08BA"/>
    <w:rsid w:val="001D214A"/>
    <w:rsid w:val="001D6943"/>
    <w:rsid w:val="001D7E30"/>
    <w:rsid w:val="001E4B79"/>
    <w:rsid w:val="001E5E68"/>
    <w:rsid w:val="001F0ECD"/>
    <w:rsid w:val="001F53DB"/>
    <w:rsid w:val="0020009F"/>
    <w:rsid w:val="00203E16"/>
    <w:rsid w:val="00206DE8"/>
    <w:rsid w:val="0023694A"/>
    <w:rsid w:val="002404F1"/>
    <w:rsid w:val="0024799D"/>
    <w:rsid w:val="00250B1C"/>
    <w:rsid w:val="00250F5D"/>
    <w:rsid w:val="00252A16"/>
    <w:rsid w:val="00271ACD"/>
    <w:rsid w:val="002844E1"/>
    <w:rsid w:val="00285749"/>
    <w:rsid w:val="0028596A"/>
    <w:rsid w:val="00287261"/>
    <w:rsid w:val="00295B00"/>
    <w:rsid w:val="002A11F5"/>
    <w:rsid w:val="002B48EC"/>
    <w:rsid w:val="002C2AD5"/>
    <w:rsid w:val="002C2EAD"/>
    <w:rsid w:val="002C32FC"/>
    <w:rsid w:val="002C3301"/>
    <w:rsid w:val="002C5BCA"/>
    <w:rsid w:val="002D0789"/>
    <w:rsid w:val="002D406A"/>
    <w:rsid w:val="002D5557"/>
    <w:rsid w:val="002D76CE"/>
    <w:rsid w:val="002F1493"/>
    <w:rsid w:val="002F1B4E"/>
    <w:rsid w:val="002F78EF"/>
    <w:rsid w:val="00300EDA"/>
    <w:rsid w:val="00303E9E"/>
    <w:rsid w:val="0030737F"/>
    <w:rsid w:val="00314773"/>
    <w:rsid w:val="003179CD"/>
    <w:rsid w:val="00324019"/>
    <w:rsid w:val="00325E0F"/>
    <w:rsid w:val="00327170"/>
    <w:rsid w:val="0032778B"/>
    <w:rsid w:val="0033475E"/>
    <w:rsid w:val="003353F1"/>
    <w:rsid w:val="00335FAF"/>
    <w:rsid w:val="00337D1D"/>
    <w:rsid w:val="00340174"/>
    <w:rsid w:val="00340421"/>
    <w:rsid w:val="00344517"/>
    <w:rsid w:val="00345CD3"/>
    <w:rsid w:val="00352139"/>
    <w:rsid w:val="00352EF3"/>
    <w:rsid w:val="00361AE0"/>
    <w:rsid w:val="00363415"/>
    <w:rsid w:val="003679EA"/>
    <w:rsid w:val="00372B9C"/>
    <w:rsid w:val="00372C7C"/>
    <w:rsid w:val="00375BDD"/>
    <w:rsid w:val="0037736A"/>
    <w:rsid w:val="003825D6"/>
    <w:rsid w:val="00387A5B"/>
    <w:rsid w:val="003967C6"/>
    <w:rsid w:val="003A0E5F"/>
    <w:rsid w:val="003A14EC"/>
    <w:rsid w:val="003B36D3"/>
    <w:rsid w:val="003C477C"/>
    <w:rsid w:val="003C4949"/>
    <w:rsid w:val="003C520F"/>
    <w:rsid w:val="003D0920"/>
    <w:rsid w:val="003D4FE3"/>
    <w:rsid w:val="003D6C51"/>
    <w:rsid w:val="003D71A6"/>
    <w:rsid w:val="003E6F8B"/>
    <w:rsid w:val="003F29E2"/>
    <w:rsid w:val="003F7913"/>
    <w:rsid w:val="0040228D"/>
    <w:rsid w:val="00407559"/>
    <w:rsid w:val="0041264D"/>
    <w:rsid w:val="0041657E"/>
    <w:rsid w:val="0042697D"/>
    <w:rsid w:val="004350BC"/>
    <w:rsid w:val="004418C1"/>
    <w:rsid w:val="00444ECE"/>
    <w:rsid w:val="00462298"/>
    <w:rsid w:val="00463875"/>
    <w:rsid w:val="00467518"/>
    <w:rsid w:val="00470577"/>
    <w:rsid w:val="0047059A"/>
    <w:rsid w:val="00477ED6"/>
    <w:rsid w:val="00486531"/>
    <w:rsid w:val="00491274"/>
    <w:rsid w:val="004922CF"/>
    <w:rsid w:val="004963ED"/>
    <w:rsid w:val="004A4F2F"/>
    <w:rsid w:val="004A5EDC"/>
    <w:rsid w:val="004B18C2"/>
    <w:rsid w:val="004B7386"/>
    <w:rsid w:val="004B7A77"/>
    <w:rsid w:val="004D13D6"/>
    <w:rsid w:val="004D5F7A"/>
    <w:rsid w:val="004D61C4"/>
    <w:rsid w:val="004D6823"/>
    <w:rsid w:val="004E43F0"/>
    <w:rsid w:val="004E7726"/>
    <w:rsid w:val="004E775E"/>
    <w:rsid w:val="004F45D7"/>
    <w:rsid w:val="005121E5"/>
    <w:rsid w:val="00515B86"/>
    <w:rsid w:val="005237EF"/>
    <w:rsid w:val="0052765F"/>
    <w:rsid w:val="00533007"/>
    <w:rsid w:val="00545F5A"/>
    <w:rsid w:val="00547892"/>
    <w:rsid w:val="00547938"/>
    <w:rsid w:val="0055175F"/>
    <w:rsid w:val="005570B0"/>
    <w:rsid w:val="005604FF"/>
    <w:rsid w:val="00567FE0"/>
    <w:rsid w:val="0057472E"/>
    <w:rsid w:val="00576630"/>
    <w:rsid w:val="0058079C"/>
    <w:rsid w:val="00587217"/>
    <w:rsid w:val="00587562"/>
    <w:rsid w:val="0059088B"/>
    <w:rsid w:val="005A505F"/>
    <w:rsid w:val="005B0FD6"/>
    <w:rsid w:val="005B2B17"/>
    <w:rsid w:val="005B7190"/>
    <w:rsid w:val="005C01A8"/>
    <w:rsid w:val="005C609F"/>
    <w:rsid w:val="005D5C8A"/>
    <w:rsid w:val="005E4A96"/>
    <w:rsid w:val="005F3617"/>
    <w:rsid w:val="005F5282"/>
    <w:rsid w:val="005F6942"/>
    <w:rsid w:val="005F69E1"/>
    <w:rsid w:val="00601BE6"/>
    <w:rsid w:val="006128C2"/>
    <w:rsid w:val="00631432"/>
    <w:rsid w:val="00640B28"/>
    <w:rsid w:val="00641127"/>
    <w:rsid w:val="00646EC8"/>
    <w:rsid w:val="00647BC2"/>
    <w:rsid w:val="00653724"/>
    <w:rsid w:val="00671A8F"/>
    <w:rsid w:val="0067797A"/>
    <w:rsid w:val="00682E91"/>
    <w:rsid w:val="006838DF"/>
    <w:rsid w:val="00687B86"/>
    <w:rsid w:val="0069396F"/>
    <w:rsid w:val="00695A83"/>
    <w:rsid w:val="006A14A6"/>
    <w:rsid w:val="006B3675"/>
    <w:rsid w:val="006B7856"/>
    <w:rsid w:val="006C5B37"/>
    <w:rsid w:val="006C79B1"/>
    <w:rsid w:val="006D3057"/>
    <w:rsid w:val="006E01CD"/>
    <w:rsid w:val="006E07D0"/>
    <w:rsid w:val="006E32D6"/>
    <w:rsid w:val="006F09BD"/>
    <w:rsid w:val="006F2A5E"/>
    <w:rsid w:val="00705D2F"/>
    <w:rsid w:val="00711351"/>
    <w:rsid w:val="00715A76"/>
    <w:rsid w:val="007203EE"/>
    <w:rsid w:val="0072268C"/>
    <w:rsid w:val="00722DF3"/>
    <w:rsid w:val="00723FCC"/>
    <w:rsid w:val="00725D37"/>
    <w:rsid w:val="00727685"/>
    <w:rsid w:val="007278F2"/>
    <w:rsid w:val="007306B8"/>
    <w:rsid w:val="0073379A"/>
    <w:rsid w:val="00733C9B"/>
    <w:rsid w:val="007400C9"/>
    <w:rsid w:val="0074226D"/>
    <w:rsid w:val="00742B1B"/>
    <w:rsid w:val="0076054F"/>
    <w:rsid w:val="00760D27"/>
    <w:rsid w:val="007615B9"/>
    <w:rsid w:val="00764BE1"/>
    <w:rsid w:val="007672D7"/>
    <w:rsid w:val="00767D9B"/>
    <w:rsid w:val="0077465C"/>
    <w:rsid w:val="00777027"/>
    <w:rsid w:val="00777716"/>
    <w:rsid w:val="007835AD"/>
    <w:rsid w:val="007954A0"/>
    <w:rsid w:val="007A2FEE"/>
    <w:rsid w:val="007A44C4"/>
    <w:rsid w:val="007A68CC"/>
    <w:rsid w:val="007B0428"/>
    <w:rsid w:val="007B13B9"/>
    <w:rsid w:val="007C289F"/>
    <w:rsid w:val="007C4E76"/>
    <w:rsid w:val="007C695F"/>
    <w:rsid w:val="007D1406"/>
    <w:rsid w:val="007D4686"/>
    <w:rsid w:val="007D5BF3"/>
    <w:rsid w:val="007E443F"/>
    <w:rsid w:val="007F16F3"/>
    <w:rsid w:val="007F79F9"/>
    <w:rsid w:val="00805BDD"/>
    <w:rsid w:val="00805D74"/>
    <w:rsid w:val="00811BE2"/>
    <w:rsid w:val="0081225B"/>
    <w:rsid w:val="00813B1A"/>
    <w:rsid w:val="00814B0D"/>
    <w:rsid w:val="00814F8E"/>
    <w:rsid w:val="00815BCA"/>
    <w:rsid w:val="00820674"/>
    <w:rsid w:val="00823FE6"/>
    <w:rsid w:val="00827511"/>
    <w:rsid w:val="0083498A"/>
    <w:rsid w:val="008364E1"/>
    <w:rsid w:val="0084097D"/>
    <w:rsid w:val="00845E2C"/>
    <w:rsid w:val="00846667"/>
    <w:rsid w:val="0085134D"/>
    <w:rsid w:val="00852BEA"/>
    <w:rsid w:val="00852D10"/>
    <w:rsid w:val="0085466F"/>
    <w:rsid w:val="00863408"/>
    <w:rsid w:val="00873795"/>
    <w:rsid w:val="00875144"/>
    <w:rsid w:val="008827DC"/>
    <w:rsid w:val="0088682F"/>
    <w:rsid w:val="00890148"/>
    <w:rsid w:val="00890DFE"/>
    <w:rsid w:val="00894621"/>
    <w:rsid w:val="00895A4F"/>
    <w:rsid w:val="008A4137"/>
    <w:rsid w:val="008B004C"/>
    <w:rsid w:val="008B4670"/>
    <w:rsid w:val="008B7480"/>
    <w:rsid w:val="008C3F81"/>
    <w:rsid w:val="008C769A"/>
    <w:rsid w:val="008D04F2"/>
    <w:rsid w:val="008D0F05"/>
    <w:rsid w:val="008D32A7"/>
    <w:rsid w:val="008E2182"/>
    <w:rsid w:val="008F0C7A"/>
    <w:rsid w:val="008F1008"/>
    <w:rsid w:val="008F7406"/>
    <w:rsid w:val="00905339"/>
    <w:rsid w:val="00905A9A"/>
    <w:rsid w:val="0091200C"/>
    <w:rsid w:val="0091650F"/>
    <w:rsid w:val="00922580"/>
    <w:rsid w:val="009525D3"/>
    <w:rsid w:val="00952627"/>
    <w:rsid w:val="009531FB"/>
    <w:rsid w:val="00955C6F"/>
    <w:rsid w:val="00962B2D"/>
    <w:rsid w:val="00984806"/>
    <w:rsid w:val="0099397C"/>
    <w:rsid w:val="00997EDC"/>
    <w:rsid w:val="009A0EAF"/>
    <w:rsid w:val="009A3D8D"/>
    <w:rsid w:val="009A4A31"/>
    <w:rsid w:val="009A7190"/>
    <w:rsid w:val="009A7C18"/>
    <w:rsid w:val="009B01DE"/>
    <w:rsid w:val="009B5E1F"/>
    <w:rsid w:val="009B7C94"/>
    <w:rsid w:val="009C1454"/>
    <w:rsid w:val="009D6BBA"/>
    <w:rsid w:val="009E0151"/>
    <w:rsid w:val="009E104A"/>
    <w:rsid w:val="009E14D4"/>
    <w:rsid w:val="009E6121"/>
    <w:rsid w:val="009E61D7"/>
    <w:rsid w:val="009E64E5"/>
    <w:rsid w:val="009F0699"/>
    <w:rsid w:val="009F60D5"/>
    <w:rsid w:val="00A0788B"/>
    <w:rsid w:val="00A130C7"/>
    <w:rsid w:val="00A135CB"/>
    <w:rsid w:val="00A140DC"/>
    <w:rsid w:val="00A16C7C"/>
    <w:rsid w:val="00A33564"/>
    <w:rsid w:val="00A400F7"/>
    <w:rsid w:val="00A42494"/>
    <w:rsid w:val="00A53706"/>
    <w:rsid w:val="00A55DB0"/>
    <w:rsid w:val="00A57CB1"/>
    <w:rsid w:val="00A627C4"/>
    <w:rsid w:val="00A727B8"/>
    <w:rsid w:val="00A8165C"/>
    <w:rsid w:val="00A93E11"/>
    <w:rsid w:val="00A95018"/>
    <w:rsid w:val="00A95E7B"/>
    <w:rsid w:val="00AA5BB6"/>
    <w:rsid w:val="00AA73CE"/>
    <w:rsid w:val="00AB4C55"/>
    <w:rsid w:val="00AC110F"/>
    <w:rsid w:val="00AC2976"/>
    <w:rsid w:val="00AD12CD"/>
    <w:rsid w:val="00AD2EDD"/>
    <w:rsid w:val="00AD41DB"/>
    <w:rsid w:val="00AD4D35"/>
    <w:rsid w:val="00AD784A"/>
    <w:rsid w:val="00AE139B"/>
    <w:rsid w:val="00AE2D2C"/>
    <w:rsid w:val="00AE60AD"/>
    <w:rsid w:val="00B127A4"/>
    <w:rsid w:val="00B203F4"/>
    <w:rsid w:val="00B24557"/>
    <w:rsid w:val="00B41E4C"/>
    <w:rsid w:val="00B50981"/>
    <w:rsid w:val="00B53B86"/>
    <w:rsid w:val="00B633BA"/>
    <w:rsid w:val="00B65E54"/>
    <w:rsid w:val="00B71A2C"/>
    <w:rsid w:val="00B73F10"/>
    <w:rsid w:val="00B86581"/>
    <w:rsid w:val="00BA72C2"/>
    <w:rsid w:val="00BB6328"/>
    <w:rsid w:val="00BC4B02"/>
    <w:rsid w:val="00BC545C"/>
    <w:rsid w:val="00BD01CC"/>
    <w:rsid w:val="00BD2392"/>
    <w:rsid w:val="00BD241E"/>
    <w:rsid w:val="00BD3D70"/>
    <w:rsid w:val="00BD7B11"/>
    <w:rsid w:val="00BE1166"/>
    <w:rsid w:val="00BE41A6"/>
    <w:rsid w:val="00BE5848"/>
    <w:rsid w:val="00BF1BDD"/>
    <w:rsid w:val="00BF3784"/>
    <w:rsid w:val="00C0108A"/>
    <w:rsid w:val="00C05F60"/>
    <w:rsid w:val="00C062AE"/>
    <w:rsid w:val="00C10877"/>
    <w:rsid w:val="00C10994"/>
    <w:rsid w:val="00C163FE"/>
    <w:rsid w:val="00C2033A"/>
    <w:rsid w:val="00C268DB"/>
    <w:rsid w:val="00C3128F"/>
    <w:rsid w:val="00C3277F"/>
    <w:rsid w:val="00C5369A"/>
    <w:rsid w:val="00C56A03"/>
    <w:rsid w:val="00C6253B"/>
    <w:rsid w:val="00C63D64"/>
    <w:rsid w:val="00C670A5"/>
    <w:rsid w:val="00C6743E"/>
    <w:rsid w:val="00C72929"/>
    <w:rsid w:val="00C92BB5"/>
    <w:rsid w:val="00C97098"/>
    <w:rsid w:val="00CB2287"/>
    <w:rsid w:val="00CB70F1"/>
    <w:rsid w:val="00CC6928"/>
    <w:rsid w:val="00CC7648"/>
    <w:rsid w:val="00CD2206"/>
    <w:rsid w:val="00CE112B"/>
    <w:rsid w:val="00CE71AF"/>
    <w:rsid w:val="00CF0254"/>
    <w:rsid w:val="00CF2772"/>
    <w:rsid w:val="00CF31FF"/>
    <w:rsid w:val="00D002B5"/>
    <w:rsid w:val="00D00E29"/>
    <w:rsid w:val="00D05702"/>
    <w:rsid w:val="00D05821"/>
    <w:rsid w:val="00D06222"/>
    <w:rsid w:val="00D109E5"/>
    <w:rsid w:val="00D258F9"/>
    <w:rsid w:val="00D43BBC"/>
    <w:rsid w:val="00D51B1C"/>
    <w:rsid w:val="00D602B5"/>
    <w:rsid w:val="00D6332F"/>
    <w:rsid w:val="00D65782"/>
    <w:rsid w:val="00D74353"/>
    <w:rsid w:val="00D7778E"/>
    <w:rsid w:val="00D831C1"/>
    <w:rsid w:val="00D860B6"/>
    <w:rsid w:val="00D90A37"/>
    <w:rsid w:val="00D92AE2"/>
    <w:rsid w:val="00DA0F2E"/>
    <w:rsid w:val="00DA2AC0"/>
    <w:rsid w:val="00DB3590"/>
    <w:rsid w:val="00DC144F"/>
    <w:rsid w:val="00DC1B99"/>
    <w:rsid w:val="00DC4153"/>
    <w:rsid w:val="00DC62A7"/>
    <w:rsid w:val="00DC72C3"/>
    <w:rsid w:val="00DD0DC6"/>
    <w:rsid w:val="00DE24D7"/>
    <w:rsid w:val="00DF1B01"/>
    <w:rsid w:val="00DF360C"/>
    <w:rsid w:val="00E01397"/>
    <w:rsid w:val="00E0230F"/>
    <w:rsid w:val="00E13287"/>
    <w:rsid w:val="00E138D0"/>
    <w:rsid w:val="00E21DED"/>
    <w:rsid w:val="00E31FDE"/>
    <w:rsid w:val="00E32064"/>
    <w:rsid w:val="00E345E4"/>
    <w:rsid w:val="00E37F40"/>
    <w:rsid w:val="00E51985"/>
    <w:rsid w:val="00E5683A"/>
    <w:rsid w:val="00E803B7"/>
    <w:rsid w:val="00E81721"/>
    <w:rsid w:val="00EA2558"/>
    <w:rsid w:val="00EC048D"/>
    <w:rsid w:val="00EC06D4"/>
    <w:rsid w:val="00EC1916"/>
    <w:rsid w:val="00EC1B20"/>
    <w:rsid w:val="00ED3FB5"/>
    <w:rsid w:val="00EE3662"/>
    <w:rsid w:val="00EE46C6"/>
    <w:rsid w:val="00F32907"/>
    <w:rsid w:val="00F37E7F"/>
    <w:rsid w:val="00F4108D"/>
    <w:rsid w:val="00F41A69"/>
    <w:rsid w:val="00F426B5"/>
    <w:rsid w:val="00F44EAD"/>
    <w:rsid w:val="00F5044D"/>
    <w:rsid w:val="00F56634"/>
    <w:rsid w:val="00F609E2"/>
    <w:rsid w:val="00F71781"/>
    <w:rsid w:val="00F7200E"/>
    <w:rsid w:val="00F80BC4"/>
    <w:rsid w:val="00F823E4"/>
    <w:rsid w:val="00F8300B"/>
    <w:rsid w:val="00F83612"/>
    <w:rsid w:val="00F83645"/>
    <w:rsid w:val="00F8422A"/>
    <w:rsid w:val="00F864EC"/>
    <w:rsid w:val="00F87391"/>
    <w:rsid w:val="00F9474E"/>
    <w:rsid w:val="00F953B9"/>
    <w:rsid w:val="00F95976"/>
    <w:rsid w:val="00F96AFE"/>
    <w:rsid w:val="00F97123"/>
    <w:rsid w:val="00FC234E"/>
    <w:rsid w:val="00FE2C82"/>
    <w:rsid w:val="00FE4DD7"/>
    <w:rsid w:val="00FE75E3"/>
    <w:rsid w:val="00FF13C2"/>
    <w:rsid w:val="00FF16A1"/>
    <w:rsid w:val="00FF1738"/>
    <w:rsid w:val="00FF4A8C"/>
    <w:rsid w:val="00FF6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D24F"/>
  <w15:chartTrackingRefBased/>
  <w15:docId w15:val="{2AA6B856-6533-4070-A2E0-94DB17CE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0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773"/>
    <w:pPr>
      <w:ind w:left="720"/>
      <w:contextualSpacing/>
    </w:pPr>
  </w:style>
  <w:style w:type="paragraph" w:styleId="FootnoteText">
    <w:name w:val="footnote text"/>
    <w:basedOn w:val="Normal"/>
    <w:link w:val="FootnoteTextChar"/>
    <w:uiPriority w:val="99"/>
    <w:semiHidden/>
    <w:unhideWhenUsed/>
    <w:rsid w:val="000D65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6531"/>
    <w:rPr>
      <w:sz w:val="20"/>
      <w:szCs w:val="20"/>
    </w:rPr>
  </w:style>
  <w:style w:type="character" w:styleId="FootnoteReference">
    <w:name w:val="footnote reference"/>
    <w:basedOn w:val="DefaultParagraphFont"/>
    <w:uiPriority w:val="99"/>
    <w:semiHidden/>
    <w:unhideWhenUsed/>
    <w:rsid w:val="000D6531"/>
    <w:rPr>
      <w:vertAlign w:val="superscript"/>
    </w:rPr>
  </w:style>
  <w:style w:type="paragraph" w:styleId="NormalWeb">
    <w:name w:val="Normal (Web)"/>
    <w:basedOn w:val="Normal"/>
    <w:uiPriority w:val="99"/>
    <w:unhideWhenUsed/>
    <w:rsid w:val="00030A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07559"/>
  </w:style>
  <w:style w:type="paragraph" w:customStyle="1" w:styleId="Default">
    <w:name w:val="Default"/>
    <w:rsid w:val="00682E91"/>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3353F1"/>
    <w:rPr>
      <w:color w:val="0000FF"/>
      <w:u w:val="single"/>
    </w:rPr>
  </w:style>
  <w:style w:type="character" w:styleId="Emphasis">
    <w:name w:val="Emphasis"/>
    <w:basedOn w:val="DefaultParagraphFont"/>
    <w:uiPriority w:val="20"/>
    <w:qFormat/>
    <w:rsid w:val="000F5B85"/>
    <w:rPr>
      <w:i/>
      <w:iCs/>
    </w:rPr>
  </w:style>
  <w:style w:type="character" w:styleId="Strong">
    <w:name w:val="Strong"/>
    <w:basedOn w:val="DefaultParagraphFont"/>
    <w:uiPriority w:val="22"/>
    <w:qFormat/>
    <w:rsid w:val="00687B86"/>
    <w:rPr>
      <w:b/>
      <w:bCs/>
    </w:rPr>
  </w:style>
  <w:style w:type="paragraph" w:styleId="BalloonText">
    <w:name w:val="Balloon Text"/>
    <w:basedOn w:val="Normal"/>
    <w:link w:val="BalloonTextChar"/>
    <w:uiPriority w:val="99"/>
    <w:semiHidden/>
    <w:unhideWhenUsed/>
    <w:rsid w:val="00F72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00E"/>
    <w:rPr>
      <w:rFonts w:ascii="Segoe UI" w:hAnsi="Segoe UI" w:cs="Segoe UI"/>
      <w:sz w:val="18"/>
      <w:szCs w:val="18"/>
    </w:rPr>
  </w:style>
  <w:style w:type="paragraph" w:styleId="Header">
    <w:name w:val="header"/>
    <w:basedOn w:val="Normal"/>
    <w:link w:val="HeaderChar"/>
    <w:uiPriority w:val="99"/>
    <w:unhideWhenUsed/>
    <w:rsid w:val="00D4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BBC"/>
  </w:style>
  <w:style w:type="paragraph" w:styleId="Footer">
    <w:name w:val="footer"/>
    <w:basedOn w:val="Normal"/>
    <w:link w:val="FooterChar"/>
    <w:uiPriority w:val="99"/>
    <w:unhideWhenUsed/>
    <w:rsid w:val="00D4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BBC"/>
  </w:style>
  <w:style w:type="character" w:customStyle="1" w:styleId="entryauthor">
    <w:name w:val="entryauthor"/>
    <w:basedOn w:val="DefaultParagraphFont"/>
    <w:rsid w:val="00F83645"/>
  </w:style>
  <w:style w:type="character" w:customStyle="1" w:styleId="journalname">
    <w:name w:val="journalname"/>
    <w:basedOn w:val="DefaultParagraphFont"/>
    <w:rsid w:val="00F83645"/>
  </w:style>
  <w:style w:type="character" w:customStyle="1" w:styleId="volume">
    <w:name w:val="volume"/>
    <w:basedOn w:val="DefaultParagraphFont"/>
    <w:rsid w:val="00F83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2811">
      <w:bodyDiv w:val="1"/>
      <w:marLeft w:val="0"/>
      <w:marRight w:val="0"/>
      <w:marTop w:val="0"/>
      <w:marBottom w:val="0"/>
      <w:divBdr>
        <w:top w:val="none" w:sz="0" w:space="0" w:color="auto"/>
        <w:left w:val="none" w:sz="0" w:space="0" w:color="auto"/>
        <w:bottom w:val="none" w:sz="0" w:space="0" w:color="auto"/>
        <w:right w:val="none" w:sz="0" w:space="0" w:color="auto"/>
      </w:divBdr>
      <w:divsChild>
        <w:div w:id="1088312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79020">
      <w:bodyDiv w:val="1"/>
      <w:marLeft w:val="0"/>
      <w:marRight w:val="0"/>
      <w:marTop w:val="0"/>
      <w:marBottom w:val="0"/>
      <w:divBdr>
        <w:top w:val="none" w:sz="0" w:space="0" w:color="auto"/>
        <w:left w:val="none" w:sz="0" w:space="0" w:color="auto"/>
        <w:bottom w:val="none" w:sz="0" w:space="0" w:color="auto"/>
        <w:right w:val="none" w:sz="0" w:space="0" w:color="auto"/>
      </w:divBdr>
      <w:divsChild>
        <w:div w:id="1386680169">
          <w:marLeft w:val="-225"/>
          <w:marRight w:val="0"/>
          <w:marTop w:val="0"/>
          <w:marBottom w:val="0"/>
          <w:divBdr>
            <w:top w:val="none" w:sz="0" w:space="0" w:color="auto"/>
            <w:left w:val="none" w:sz="0" w:space="0" w:color="auto"/>
            <w:bottom w:val="none" w:sz="0" w:space="0" w:color="auto"/>
            <w:right w:val="none" w:sz="0" w:space="0" w:color="auto"/>
          </w:divBdr>
          <w:divsChild>
            <w:div w:id="1931616651">
              <w:marLeft w:val="0"/>
              <w:marRight w:val="0"/>
              <w:marTop w:val="0"/>
              <w:marBottom w:val="0"/>
              <w:divBdr>
                <w:top w:val="none" w:sz="0" w:space="0" w:color="auto"/>
                <w:left w:val="none" w:sz="0" w:space="0" w:color="auto"/>
                <w:bottom w:val="none" w:sz="0" w:space="0" w:color="auto"/>
                <w:right w:val="none" w:sz="0" w:space="0" w:color="auto"/>
              </w:divBdr>
            </w:div>
          </w:divsChild>
        </w:div>
        <w:div w:id="1349792281">
          <w:marLeft w:val="-225"/>
          <w:marRight w:val="0"/>
          <w:marTop w:val="150"/>
          <w:marBottom w:val="0"/>
          <w:divBdr>
            <w:top w:val="none" w:sz="0" w:space="0" w:color="auto"/>
            <w:left w:val="none" w:sz="0" w:space="0" w:color="auto"/>
            <w:bottom w:val="none" w:sz="0" w:space="0" w:color="auto"/>
            <w:right w:val="none" w:sz="0" w:space="0" w:color="auto"/>
          </w:divBdr>
          <w:divsChild>
            <w:div w:id="1855225802">
              <w:marLeft w:val="0"/>
              <w:marRight w:val="0"/>
              <w:marTop w:val="0"/>
              <w:marBottom w:val="0"/>
              <w:divBdr>
                <w:top w:val="none" w:sz="0" w:space="0" w:color="auto"/>
                <w:left w:val="none" w:sz="0" w:space="0" w:color="auto"/>
                <w:bottom w:val="none" w:sz="0" w:space="0" w:color="auto"/>
                <w:right w:val="none" w:sz="0" w:space="0" w:color="auto"/>
              </w:divBdr>
              <w:divsChild>
                <w:div w:id="684941608">
                  <w:marLeft w:val="0"/>
                  <w:marRight w:val="0"/>
                  <w:marTop w:val="0"/>
                  <w:marBottom w:val="0"/>
                  <w:divBdr>
                    <w:top w:val="single" w:sz="6" w:space="1" w:color="B3B3B3"/>
                    <w:left w:val="single" w:sz="6" w:space="1" w:color="B3B3B3"/>
                    <w:bottom w:val="single" w:sz="6" w:space="1" w:color="B3B3B3"/>
                    <w:right w:val="single" w:sz="6" w:space="1" w:color="B3B3B3"/>
                  </w:divBdr>
                </w:div>
              </w:divsChild>
            </w:div>
            <w:div w:id="1492067219">
              <w:marLeft w:val="0"/>
              <w:marRight w:val="0"/>
              <w:marTop w:val="0"/>
              <w:marBottom w:val="0"/>
              <w:divBdr>
                <w:top w:val="none" w:sz="0" w:space="0" w:color="auto"/>
                <w:left w:val="none" w:sz="0" w:space="0" w:color="auto"/>
                <w:bottom w:val="none" w:sz="0" w:space="0" w:color="auto"/>
                <w:right w:val="none" w:sz="0" w:space="0" w:color="auto"/>
              </w:divBdr>
              <w:divsChild>
                <w:div w:id="6370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95677">
      <w:bodyDiv w:val="1"/>
      <w:marLeft w:val="0"/>
      <w:marRight w:val="0"/>
      <w:marTop w:val="0"/>
      <w:marBottom w:val="0"/>
      <w:divBdr>
        <w:top w:val="none" w:sz="0" w:space="0" w:color="auto"/>
        <w:left w:val="none" w:sz="0" w:space="0" w:color="auto"/>
        <w:bottom w:val="none" w:sz="0" w:space="0" w:color="auto"/>
        <w:right w:val="none" w:sz="0" w:space="0" w:color="auto"/>
      </w:divBdr>
    </w:div>
    <w:div w:id="608662081">
      <w:bodyDiv w:val="1"/>
      <w:marLeft w:val="0"/>
      <w:marRight w:val="0"/>
      <w:marTop w:val="0"/>
      <w:marBottom w:val="0"/>
      <w:divBdr>
        <w:top w:val="none" w:sz="0" w:space="0" w:color="auto"/>
        <w:left w:val="none" w:sz="0" w:space="0" w:color="auto"/>
        <w:bottom w:val="none" w:sz="0" w:space="0" w:color="auto"/>
        <w:right w:val="none" w:sz="0" w:space="0" w:color="auto"/>
      </w:divBdr>
    </w:div>
    <w:div w:id="738794199">
      <w:bodyDiv w:val="1"/>
      <w:marLeft w:val="0"/>
      <w:marRight w:val="0"/>
      <w:marTop w:val="0"/>
      <w:marBottom w:val="0"/>
      <w:divBdr>
        <w:top w:val="none" w:sz="0" w:space="0" w:color="auto"/>
        <w:left w:val="none" w:sz="0" w:space="0" w:color="auto"/>
        <w:bottom w:val="none" w:sz="0" w:space="0" w:color="auto"/>
        <w:right w:val="none" w:sz="0" w:space="0" w:color="auto"/>
      </w:divBdr>
    </w:div>
    <w:div w:id="1177841876">
      <w:bodyDiv w:val="1"/>
      <w:marLeft w:val="0"/>
      <w:marRight w:val="0"/>
      <w:marTop w:val="0"/>
      <w:marBottom w:val="0"/>
      <w:divBdr>
        <w:top w:val="none" w:sz="0" w:space="0" w:color="auto"/>
        <w:left w:val="none" w:sz="0" w:space="0" w:color="auto"/>
        <w:bottom w:val="none" w:sz="0" w:space="0" w:color="auto"/>
        <w:right w:val="none" w:sz="0" w:space="0" w:color="auto"/>
      </w:divBdr>
    </w:div>
    <w:div w:id="1239973078">
      <w:bodyDiv w:val="1"/>
      <w:marLeft w:val="0"/>
      <w:marRight w:val="0"/>
      <w:marTop w:val="0"/>
      <w:marBottom w:val="0"/>
      <w:divBdr>
        <w:top w:val="none" w:sz="0" w:space="0" w:color="auto"/>
        <w:left w:val="none" w:sz="0" w:space="0" w:color="auto"/>
        <w:bottom w:val="none" w:sz="0" w:space="0" w:color="auto"/>
        <w:right w:val="none" w:sz="0" w:space="0" w:color="auto"/>
      </w:divBdr>
    </w:div>
    <w:div w:id="1438793552">
      <w:bodyDiv w:val="1"/>
      <w:marLeft w:val="0"/>
      <w:marRight w:val="0"/>
      <w:marTop w:val="0"/>
      <w:marBottom w:val="0"/>
      <w:divBdr>
        <w:top w:val="none" w:sz="0" w:space="0" w:color="auto"/>
        <w:left w:val="none" w:sz="0" w:space="0" w:color="auto"/>
        <w:bottom w:val="none" w:sz="0" w:space="0" w:color="auto"/>
        <w:right w:val="none" w:sz="0" w:space="0" w:color="auto"/>
      </w:divBdr>
    </w:div>
    <w:div w:id="1571227786">
      <w:bodyDiv w:val="1"/>
      <w:marLeft w:val="0"/>
      <w:marRight w:val="0"/>
      <w:marTop w:val="0"/>
      <w:marBottom w:val="0"/>
      <w:divBdr>
        <w:top w:val="none" w:sz="0" w:space="0" w:color="auto"/>
        <w:left w:val="none" w:sz="0" w:space="0" w:color="auto"/>
        <w:bottom w:val="none" w:sz="0" w:space="0" w:color="auto"/>
        <w:right w:val="none" w:sz="0" w:space="0" w:color="auto"/>
      </w:divBdr>
    </w:div>
    <w:div w:id="1883208777">
      <w:bodyDiv w:val="1"/>
      <w:marLeft w:val="0"/>
      <w:marRight w:val="0"/>
      <w:marTop w:val="0"/>
      <w:marBottom w:val="0"/>
      <w:divBdr>
        <w:top w:val="none" w:sz="0" w:space="0" w:color="auto"/>
        <w:left w:val="none" w:sz="0" w:space="0" w:color="auto"/>
        <w:bottom w:val="none" w:sz="0" w:space="0" w:color="auto"/>
        <w:right w:val="none" w:sz="0" w:space="0" w:color="auto"/>
      </w:divBdr>
    </w:div>
    <w:div w:id="1928538122">
      <w:bodyDiv w:val="1"/>
      <w:marLeft w:val="0"/>
      <w:marRight w:val="0"/>
      <w:marTop w:val="0"/>
      <w:marBottom w:val="0"/>
      <w:divBdr>
        <w:top w:val="none" w:sz="0" w:space="0" w:color="auto"/>
        <w:left w:val="none" w:sz="0" w:space="0" w:color="auto"/>
        <w:bottom w:val="none" w:sz="0" w:space="0" w:color="auto"/>
        <w:right w:val="none" w:sz="0" w:space="0" w:color="auto"/>
      </w:divBdr>
    </w:div>
    <w:div w:id="1987782249">
      <w:bodyDiv w:val="1"/>
      <w:marLeft w:val="0"/>
      <w:marRight w:val="0"/>
      <w:marTop w:val="0"/>
      <w:marBottom w:val="0"/>
      <w:divBdr>
        <w:top w:val="none" w:sz="0" w:space="0" w:color="auto"/>
        <w:left w:val="none" w:sz="0" w:space="0" w:color="auto"/>
        <w:bottom w:val="none" w:sz="0" w:space="0" w:color="auto"/>
        <w:right w:val="none" w:sz="0" w:space="0" w:color="auto"/>
      </w:divBdr>
    </w:div>
    <w:div w:id="1997226256">
      <w:bodyDiv w:val="1"/>
      <w:marLeft w:val="0"/>
      <w:marRight w:val="0"/>
      <w:marTop w:val="0"/>
      <w:marBottom w:val="0"/>
      <w:divBdr>
        <w:top w:val="none" w:sz="0" w:space="0" w:color="auto"/>
        <w:left w:val="none" w:sz="0" w:space="0" w:color="auto"/>
        <w:bottom w:val="none" w:sz="0" w:space="0" w:color="auto"/>
        <w:right w:val="none" w:sz="0" w:space="0" w:color="auto"/>
      </w:divBdr>
      <w:divsChild>
        <w:div w:id="1579561644">
          <w:marLeft w:val="0"/>
          <w:marRight w:val="0"/>
          <w:marTop w:val="0"/>
          <w:marBottom w:val="75"/>
          <w:divBdr>
            <w:top w:val="none" w:sz="0" w:space="0" w:color="auto"/>
            <w:left w:val="none" w:sz="0" w:space="0" w:color="auto"/>
            <w:bottom w:val="none" w:sz="0" w:space="0" w:color="auto"/>
            <w:right w:val="none" w:sz="0" w:space="0" w:color="auto"/>
          </w:divBdr>
        </w:div>
        <w:div w:id="155996714">
          <w:marLeft w:val="0"/>
          <w:marRight w:val="0"/>
          <w:marTop w:val="0"/>
          <w:marBottom w:val="0"/>
          <w:divBdr>
            <w:top w:val="none" w:sz="0" w:space="0" w:color="auto"/>
            <w:left w:val="none" w:sz="0" w:space="0" w:color="auto"/>
            <w:bottom w:val="none" w:sz="0" w:space="0" w:color="auto"/>
            <w:right w:val="none" w:sz="0" w:space="0" w:color="auto"/>
          </w:divBdr>
        </w:div>
        <w:div w:id="701445767">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toc/ralt20/5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freeassembly.net/news/statement-united-kingdom-follow-up/" TargetMode="External"/><Relationship Id="rId13" Type="http://schemas.openxmlformats.org/officeDocument/2006/relationships/hyperlink" Target="https://www.timeshighereducation.com/news/you-look-foreign-bring-your-passport-its-what-the-ukba-would-want/421367.article" TargetMode="External"/><Relationship Id="rId3" Type="http://schemas.openxmlformats.org/officeDocument/2006/relationships/hyperlink" Target="https://www.ucu.org.uk/academicfreedom" TargetMode="External"/><Relationship Id="rId7" Type="http://schemas.openxmlformats.org/officeDocument/2006/relationships/hyperlink" Target="http://freeassembly.net/news/statement-united-kingdom-follow-up/" TargetMode="External"/><Relationship Id="rId12" Type="http://schemas.openxmlformats.org/officeDocument/2006/relationships/hyperlink" Target="http://www.theguardian.com/education/2015/sep/24/student-accused-being-terrorist-reading-book-terrorism" TargetMode="External"/><Relationship Id="rId2" Type="http://schemas.openxmlformats.org/officeDocument/2006/relationships/hyperlink" Target="http://www.nusconnect.org.uk/resources/preventing-prevent-handbook" TargetMode="External"/><Relationship Id="rId1" Type="http://schemas.openxmlformats.org/officeDocument/2006/relationships/hyperlink" Target="https://www.ucu.org.uk/media/7370/The-prevent-duty-guidance-for-branches-Dec-15/pdf/ucu_preventdutyguidance_dec15.pdf" TargetMode="External"/><Relationship Id="rId6" Type="http://schemas.openxmlformats.org/officeDocument/2006/relationships/hyperlink" Target="http://www.telegraph.co.uk/news/worldnews/middleeast/yemen/6906669/Detroit-bomber-British-university-complicit-in-radicalisation.html" TargetMode="External"/><Relationship Id="rId11" Type="http://schemas.openxmlformats.org/officeDocument/2006/relationships/hyperlink" Target="https://www.theguardian.com/commentisfree/2016/apr/04/prevent-hate-muslims-schools-terrorism-teachers-reject" TargetMode="External"/><Relationship Id="rId5" Type="http://schemas.openxmlformats.org/officeDocument/2006/relationships/hyperlink" Target="https://www.gov.uk/government/uploads/system/uploads/attachment_data/file/458034/HEIPR_PUBLICATION_2013-14.pdf" TargetMode="External"/><Relationship Id="rId10" Type="http://schemas.openxmlformats.org/officeDocument/2006/relationships/hyperlink" Target="https://netpol.org/2015/12/14/no-transparency-prevent/" TargetMode="External"/><Relationship Id="rId4" Type="http://schemas.openxmlformats.org/officeDocument/2006/relationships/hyperlink" Target="https://www.heacademy.ac.uk/heav/research-informed-teaching" TargetMode="External"/><Relationship Id="rId9" Type="http://schemas.openxmlformats.org/officeDocument/2006/relationships/hyperlink" Target="https://www.ucu.org.uk/article/8369/UCU-response-to-Ofsted-report-on-the-Prevent-duty-in-furth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DCFEC-86D0-44DB-B5A4-DC1749F1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4045</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4</cp:revision>
  <cp:lastPrinted>2016-04-11T14:12:00Z</cp:lastPrinted>
  <dcterms:created xsi:type="dcterms:W3CDTF">2018-01-26T17:40:00Z</dcterms:created>
  <dcterms:modified xsi:type="dcterms:W3CDTF">2018-01-26T17:43:00Z</dcterms:modified>
</cp:coreProperties>
</file>