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D24B" w14:textId="77777777" w:rsidR="00432716" w:rsidRPr="007A1581" w:rsidRDefault="00D82642" w:rsidP="00920EE2">
      <w:pPr>
        <w:pStyle w:val="Heading1"/>
        <w:rPr>
          <w:color w:val="auto"/>
        </w:rPr>
      </w:pPr>
      <w:r w:rsidRPr="007A1581">
        <w:rPr>
          <w:color w:val="auto"/>
        </w:rPr>
        <w:t xml:space="preserve">Which costs matter? </w:t>
      </w:r>
      <w:r w:rsidR="00FA442F" w:rsidRPr="007A1581">
        <w:rPr>
          <w:color w:val="auto"/>
        </w:rPr>
        <w:t>C</w:t>
      </w:r>
      <w:r w:rsidRPr="007A1581">
        <w:rPr>
          <w:color w:val="auto"/>
        </w:rPr>
        <w:t>osts included in economic evaluation and their impact on decision</w:t>
      </w:r>
      <w:r w:rsidR="00FA442F" w:rsidRPr="007A1581">
        <w:rPr>
          <w:color w:val="auto"/>
        </w:rPr>
        <w:t xml:space="preserve"> uncertainty</w:t>
      </w:r>
      <w:r w:rsidRPr="007A1581">
        <w:rPr>
          <w:color w:val="auto"/>
        </w:rPr>
        <w:t xml:space="preserve"> f</w:t>
      </w:r>
      <w:r w:rsidR="002B1638" w:rsidRPr="007A1581">
        <w:rPr>
          <w:color w:val="auto"/>
        </w:rPr>
        <w:t>or</w:t>
      </w:r>
      <w:r w:rsidRPr="007A1581">
        <w:rPr>
          <w:color w:val="auto"/>
        </w:rPr>
        <w:t xml:space="preserve"> </w:t>
      </w:r>
      <w:r w:rsidR="002B1638" w:rsidRPr="007A1581">
        <w:rPr>
          <w:color w:val="auto"/>
        </w:rPr>
        <w:t>stable coronary artery disease</w:t>
      </w:r>
    </w:p>
    <w:p w14:paraId="025643A4" w14:textId="77777777" w:rsidR="000F3808" w:rsidRPr="00A91D43" w:rsidRDefault="000F3808" w:rsidP="000F3808">
      <w:pPr>
        <w:rPr>
          <w:rFonts w:ascii="Calibri Light" w:hAnsi="Calibri Light"/>
        </w:rPr>
      </w:pPr>
    </w:p>
    <w:p w14:paraId="426DAD7D" w14:textId="77777777" w:rsidR="00ED4E21" w:rsidRPr="00A91D43" w:rsidRDefault="001637B4" w:rsidP="002B1638">
      <w:pPr>
        <w:rPr>
          <w:rFonts w:ascii="Calibri Light" w:hAnsi="Calibri Light"/>
        </w:rPr>
      </w:pPr>
      <w:r w:rsidRPr="00A91D43">
        <w:rPr>
          <w:rFonts w:ascii="Calibri Light" w:hAnsi="Calibri Light"/>
        </w:rPr>
        <w:t xml:space="preserve">James Lomas, </w:t>
      </w:r>
      <w:proofErr w:type="spellStart"/>
      <w:r w:rsidRPr="00A91D43">
        <w:rPr>
          <w:rFonts w:ascii="Calibri Light" w:hAnsi="Calibri Light"/>
        </w:rPr>
        <w:t>Miqdad</w:t>
      </w:r>
      <w:proofErr w:type="spellEnd"/>
      <w:r w:rsidRPr="00A91D43">
        <w:rPr>
          <w:rFonts w:ascii="Calibri Light" w:hAnsi="Calibri Light"/>
        </w:rPr>
        <w:t xml:space="preserve"> </w:t>
      </w:r>
      <w:proofErr w:type="spellStart"/>
      <w:r w:rsidRPr="00A91D43">
        <w:rPr>
          <w:rFonts w:ascii="Calibri Light" w:hAnsi="Calibri Light"/>
        </w:rPr>
        <w:t>Asaria</w:t>
      </w:r>
      <w:proofErr w:type="spellEnd"/>
      <w:r w:rsidRPr="00A91D43">
        <w:rPr>
          <w:rFonts w:ascii="Calibri Light" w:hAnsi="Calibri Light"/>
        </w:rPr>
        <w:t xml:space="preserve">, Laura </w:t>
      </w:r>
      <w:proofErr w:type="spellStart"/>
      <w:r w:rsidRPr="00A91D43">
        <w:rPr>
          <w:rFonts w:ascii="Calibri Light" w:hAnsi="Calibri Light"/>
        </w:rPr>
        <w:t>Bojke</w:t>
      </w:r>
      <w:proofErr w:type="spellEnd"/>
      <w:r w:rsidRPr="00A91D43">
        <w:rPr>
          <w:rFonts w:ascii="Calibri Light" w:hAnsi="Calibri Light"/>
        </w:rPr>
        <w:t>, Chris</w:t>
      </w:r>
      <w:r w:rsidR="002B1638" w:rsidRPr="00A91D43">
        <w:rPr>
          <w:rFonts w:ascii="Calibri Light" w:hAnsi="Calibri Light"/>
        </w:rPr>
        <w:t xml:space="preserve"> P</w:t>
      </w:r>
      <w:r w:rsidRPr="00A91D43">
        <w:rPr>
          <w:rFonts w:ascii="Calibri Light" w:hAnsi="Calibri Light"/>
        </w:rPr>
        <w:t xml:space="preserve"> Gale</w:t>
      </w:r>
      <w:r w:rsidR="007A2255" w:rsidRPr="00A91D43">
        <w:rPr>
          <w:rFonts w:ascii="Calibri Light" w:hAnsi="Calibri Light"/>
        </w:rPr>
        <w:t>,</w:t>
      </w:r>
      <w:r w:rsidR="002B1638" w:rsidRPr="00A91D43">
        <w:rPr>
          <w:rFonts w:ascii="Calibri Light" w:hAnsi="Calibri Light"/>
        </w:rPr>
        <w:t xml:space="preserve"> </w:t>
      </w:r>
      <w:r w:rsidR="000B5C4D" w:rsidRPr="00A91D43">
        <w:rPr>
          <w:rFonts w:ascii="Calibri Light" w:hAnsi="Calibri Light"/>
        </w:rPr>
        <w:t>Gerry Richardson, Simon Walker</w:t>
      </w:r>
    </w:p>
    <w:p w14:paraId="04A5761F" w14:textId="77777777" w:rsidR="002B1638" w:rsidRPr="00A91D43" w:rsidRDefault="002B1638" w:rsidP="002B1638">
      <w:pPr>
        <w:rPr>
          <w:rFonts w:ascii="Calibri Light" w:hAnsi="Calibri Light"/>
        </w:rPr>
      </w:pPr>
    </w:p>
    <w:p w14:paraId="5AB14858" w14:textId="77777777" w:rsidR="002B1638" w:rsidRPr="00A91D43" w:rsidRDefault="002B1638" w:rsidP="002B1638">
      <w:pPr>
        <w:rPr>
          <w:rFonts w:ascii="Calibri Light" w:hAnsi="Calibri Light"/>
        </w:rPr>
      </w:pPr>
    </w:p>
    <w:p w14:paraId="5E3143F0" w14:textId="77777777" w:rsidR="002B1638" w:rsidRPr="00A91D43" w:rsidRDefault="000B5C4D" w:rsidP="002B1638">
      <w:pPr>
        <w:rPr>
          <w:rFonts w:ascii="Calibri Light" w:hAnsi="Calibri Light"/>
        </w:rPr>
      </w:pPr>
      <w:r w:rsidRPr="00A91D43">
        <w:rPr>
          <w:rFonts w:ascii="Calibri Light" w:hAnsi="Calibri Light"/>
        </w:rPr>
        <w:t>J Lomas, Research Fellow, Centre for Health Economics, University of York, York, United Kingdom</w:t>
      </w:r>
    </w:p>
    <w:p w14:paraId="23084494" w14:textId="77777777" w:rsidR="000B5C4D" w:rsidRPr="00A91D43" w:rsidRDefault="000B5C4D" w:rsidP="000B5C4D">
      <w:pPr>
        <w:rPr>
          <w:rFonts w:ascii="Calibri Light" w:hAnsi="Calibri Light"/>
        </w:rPr>
      </w:pPr>
      <w:r w:rsidRPr="00A91D43">
        <w:rPr>
          <w:rFonts w:ascii="Calibri Light" w:hAnsi="Calibri Light"/>
        </w:rPr>
        <w:t xml:space="preserve">M </w:t>
      </w:r>
      <w:proofErr w:type="spellStart"/>
      <w:r w:rsidRPr="00A91D43">
        <w:rPr>
          <w:rFonts w:ascii="Calibri Light" w:hAnsi="Calibri Light"/>
        </w:rPr>
        <w:t>Asaria</w:t>
      </w:r>
      <w:proofErr w:type="spellEnd"/>
      <w:r w:rsidRPr="00A91D43">
        <w:rPr>
          <w:rFonts w:ascii="Calibri Light" w:hAnsi="Calibri Light"/>
        </w:rPr>
        <w:t>, Research Fellow, Centre for Health Economics, University of York, York, United Kingdom</w:t>
      </w:r>
    </w:p>
    <w:p w14:paraId="0F3B94F2" w14:textId="77777777" w:rsidR="000B5C4D" w:rsidRPr="00A91D43" w:rsidRDefault="000B5C4D" w:rsidP="000B5C4D">
      <w:pPr>
        <w:rPr>
          <w:rFonts w:ascii="Calibri Light" w:hAnsi="Calibri Light"/>
        </w:rPr>
      </w:pPr>
      <w:r w:rsidRPr="00A91D43">
        <w:rPr>
          <w:rFonts w:ascii="Calibri Light" w:hAnsi="Calibri Light"/>
        </w:rPr>
        <w:t xml:space="preserve">L </w:t>
      </w:r>
      <w:proofErr w:type="spellStart"/>
      <w:r w:rsidRPr="00A91D43">
        <w:rPr>
          <w:rFonts w:ascii="Calibri Light" w:hAnsi="Calibri Light"/>
        </w:rPr>
        <w:t>Bojke</w:t>
      </w:r>
      <w:proofErr w:type="spellEnd"/>
      <w:r w:rsidRPr="00A91D43">
        <w:rPr>
          <w:rFonts w:ascii="Calibri Light" w:hAnsi="Calibri Light"/>
        </w:rPr>
        <w:t>, Senior Research Fellow, Centre for Health Economics, University of York, York, United Kingdom</w:t>
      </w:r>
    </w:p>
    <w:p w14:paraId="7BCDBDB6" w14:textId="77777777" w:rsidR="002B1638" w:rsidRPr="00A91D43" w:rsidRDefault="000B5C4D" w:rsidP="002B1638">
      <w:pPr>
        <w:rPr>
          <w:rFonts w:ascii="Calibri Light" w:hAnsi="Calibri Light"/>
        </w:rPr>
      </w:pPr>
      <w:r w:rsidRPr="00A91D43">
        <w:rPr>
          <w:rFonts w:ascii="Calibri Light" w:hAnsi="Calibri Light"/>
        </w:rPr>
        <w:t xml:space="preserve">C P Gale, </w:t>
      </w:r>
      <w:r w:rsidR="002B1638" w:rsidRPr="00A91D43">
        <w:rPr>
          <w:rFonts w:ascii="Calibri Light" w:hAnsi="Calibri Light"/>
        </w:rPr>
        <w:t>Professor of Cardiovascular Medicine, Honorary Consultant Cardiologist, MRC Bioinformatics Centre, LICAMM, University of Leeds, Leeds, UK</w:t>
      </w:r>
    </w:p>
    <w:p w14:paraId="1EF3D8FE" w14:textId="4319120C" w:rsidR="000B5C4D" w:rsidRPr="00A91D43" w:rsidRDefault="000B5C4D" w:rsidP="000B5C4D">
      <w:pPr>
        <w:rPr>
          <w:rFonts w:ascii="Calibri Light" w:hAnsi="Calibri Light"/>
        </w:rPr>
      </w:pPr>
      <w:r w:rsidRPr="00A91D43">
        <w:rPr>
          <w:rFonts w:ascii="Calibri Light" w:hAnsi="Calibri Light"/>
        </w:rPr>
        <w:t xml:space="preserve">G Richardson, </w:t>
      </w:r>
      <w:r w:rsidR="00CF48FB">
        <w:rPr>
          <w:rFonts w:ascii="Calibri Light" w:hAnsi="Calibri Light"/>
        </w:rPr>
        <w:t>Professor</w:t>
      </w:r>
      <w:r w:rsidRPr="00A91D43">
        <w:rPr>
          <w:rFonts w:ascii="Calibri Light" w:hAnsi="Calibri Light"/>
        </w:rPr>
        <w:t>, Centre for Health Economics, University of York, York, United Kingdom</w:t>
      </w:r>
    </w:p>
    <w:p w14:paraId="0BD85514" w14:textId="77777777" w:rsidR="000B5C4D" w:rsidRPr="00A91D43" w:rsidRDefault="000B5C4D" w:rsidP="000B5C4D">
      <w:pPr>
        <w:rPr>
          <w:rFonts w:ascii="Calibri Light" w:hAnsi="Calibri Light"/>
        </w:rPr>
      </w:pPr>
      <w:r w:rsidRPr="00A91D43">
        <w:rPr>
          <w:rFonts w:ascii="Calibri Light" w:hAnsi="Calibri Light"/>
        </w:rPr>
        <w:t>S Walker, Research Fellow, Centre for Health Economics, University of York, York, United Kingdom</w:t>
      </w:r>
    </w:p>
    <w:p w14:paraId="05449AB7" w14:textId="77777777" w:rsidR="000B5C4D" w:rsidRPr="00A91D43" w:rsidRDefault="000B5C4D" w:rsidP="000B5C4D">
      <w:pPr>
        <w:rPr>
          <w:rFonts w:ascii="Calibri Light" w:hAnsi="Calibri Light"/>
        </w:rPr>
      </w:pPr>
    </w:p>
    <w:p w14:paraId="33F005AB" w14:textId="77777777" w:rsidR="000B5C4D" w:rsidRPr="00A91D43" w:rsidRDefault="000B5C4D" w:rsidP="000B5C4D">
      <w:pPr>
        <w:rPr>
          <w:rFonts w:ascii="Calibri Light" w:hAnsi="Calibri Light"/>
        </w:rPr>
      </w:pPr>
      <w:r w:rsidRPr="00A91D43">
        <w:rPr>
          <w:rFonts w:ascii="Calibri Light" w:hAnsi="Calibri Light"/>
        </w:rPr>
        <w:t xml:space="preserve">Correspondence to: J Lomas james.lomas@york.ac.uk </w:t>
      </w:r>
    </w:p>
    <w:p w14:paraId="1A164AE3" w14:textId="77777777" w:rsidR="002B1638" w:rsidRPr="00A91D43" w:rsidRDefault="002B1638" w:rsidP="002B1638">
      <w:pPr>
        <w:rPr>
          <w:rFonts w:ascii="Calibri Light" w:hAnsi="Calibri Light"/>
        </w:rPr>
      </w:pPr>
    </w:p>
    <w:p w14:paraId="6443B12B" w14:textId="77777777" w:rsidR="002B1638" w:rsidRPr="00A91D43" w:rsidRDefault="002B1638" w:rsidP="002B1638">
      <w:pPr>
        <w:rPr>
          <w:rFonts w:ascii="Calibri Light" w:hAnsi="Calibri Light"/>
        </w:rPr>
      </w:pPr>
    </w:p>
    <w:p w14:paraId="13F09C22" w14:textId="77777777" w:rsidR="002B1638" w:rsidRPr="00A91D43" w:rsidRDefault="002B1638" w:rsidP="002B1638">
      <w:pPr>
        <w:rPr>
          <w:rFonts w:ascii="Calibri Light" w:hAnsi="Calibri Light"/>
        </w:rPr>
      </w:pPr>
    </w:p>
    <w:p w14:paraId="10A29235" w14:textId="77777777" w:rsidR="002B1638" w:rsidRPr="00A91D43" w:rsidRDefault="002B1638" w:rsidP="002B1638">
      <w:pPr>
        <w:rPr>
          <w:rFonts w:ascii="Calibri Light" w:hAnsi="Calibri Light"/>
        </w:rPr>
      </w:pPr>
    </w:p>
    <w:p w14:paraId="47CFA42A" w14:textId="77777777" w:rsidR="00D10733" w:rsidRDefault="00D10733" w:rsidP="00D10733">
      <w:pPr>
        <w:pStyle w:val="Heading2"/>
      </w:pPr>
      <w:r>
        <w:br w:type="page"/>
      </w:r>
      <w:r>
        <w:lastRenderedPageBreak/>
        <w:t>Abstract</w:t>
      </w:r>
    </w:p>
    <w:p w14:paraId="03D9BFD8" w14:textId="77777777" w:rsidR="00D10733" w:rsidRDefault="00D10733" w:rsidP="00D10733">
      <w:r>
        <w:t>Background:</w:t>
      </w:r>
    </w:p>
    <w:p w14:paraId="53A17A1D" w14:textId="77777777" w:rsidR="00D10733" w:rsidRDefault="00D10733" w:rsidP="00D10733">
      <w:r>
        <w:t>Variation exists in the resource categories included in economic evaluations, and NICE guidance suggests the inclusion only of costs related to the index condition or intervention. However, there is a growing consensus that all health care costs should be included in economic evaluations for Health Technology Assessments (HTAs), particularly those related to extended years of life.</w:t>
      </w:r>
    </w:p>
    <w:p w14:paraId="74D690A9" w14:textId="77777777" w:rsidR="00D10733" w:rsidRDefault="00D10733" w:rsidP="00D10733">
      <w:r>
        <w:t>Design:</w:t>
      </w:r>
    </w:p>
    <w:p w14:paraId="66789356" w14:textId="77777777" w:rsidR="00D10733" w:rsidRDefault="00D10733" w:rsidP="00D10733">
      <w:r>
        <w:t>We aimed to quantify the impact of a range of cost categories on the adoption decision about a hypothetical intervention, and uncertainty around that decision, for stable coronary artery disease based on a dataset comprising 94 966 patients. Three costing scenarios were considered: coronary heart disease (CHD) costs only, cardiovascular disease (CVD) costs and all costs. The first two illustrate different interpretations of what might be regarded as related costs.</w:t>
      </w:r>
    </w:p>
    <w:p w14:paraId="3AB93251" w14:textId="77777777" w:rsidR="00D10733" w:rsidRDefault="00D10733" w:rsidP="00D10733">
      <w:r>
        <w:t>Results:</w:t>
      </w:r>
    </w:p>
    <w:p w14:paraId="6DCC32BA" w14:textId="77777777" w:rsidR="00D10733" w:rsidRDefault="00D10733" w:rsidP="00D10733">
      <w:r>
        <w:t>Employing a twenty year time horizon, the highest mean expected incremental cost was when all costs were included (£2 468) and the lowest when CVD costs only were included (£2 377). The probability of the treatment being cost-effective, estimating health opportunity costs using a ratio of £30 000 per QALY, was different for each of the CHD (70%) costs, CVD costs (73%) and all costs (56%) scenarios.</w:t>
      </w:r>
    </w:p>
    <w:p w14:paraId="4DC2F996" w14:textId="77777777" w:rsidR="00D10733" w:rsidRDefault="00D10733" w:rsidP="00D10733">
      <w:r>
        <w:t>Limitations:</w:t>
      </w:r>
    </w:p>
    <w:p w14:paraId="4BEDDE9C" w14:textId="77777777" w:rsidR="00D10733" w:rsidRDefault="00D10733" w:rsidP="00D10733">
      <w:r>
        <w:t>The results concern a hypothetical intervention and are illustrative only, as such they cannot necessarily be generalised to all interventions and diseases.</w:t>
      </w:r>
    </w:p>
    <w:p w14:paraId="7F81EED2" w14:textId="77777777" w:rsidR="00D10733" w:rsidRDefault="00D10733" w:rsidP="00D10733">
      <w:r>
        <w:t>Conclusions:</w:t>
      </w:r>
    </w:p>
    <w:p w14:paraId="36B3DA90" w14:textId="0A5ACD25" w:rsidR="001962EE" w:rsidRDefault="00D10733" w:rsidP="00D10733">
      <w:r>
        <w:t>Cost categories included in an economic evaluation of stable coronary artery disease impact on estimates of</w:t>
      </w:r>
      <w:r w:rsidR="008E2DD6">
        <w:t xml:space="preserve"> both</w:t>
      </w:r>
      <w:r>
        <w:t xml:space="preserve"> cost-effectiveness and decision uncertainty. With an aging and comorbid population, the inclusion of all healthcare costs may have important ramifications for the selection of healthcare provision on economic grounds.</w:t>
      </w:r>
    </w:p>
    <w:p w14:paraId="2CD48BEC" w14:textId="77777777" w:rsidR="001962EE" w:rsidRDefault="001962EE" w:rsidP="001962EE">
      <w:pPr>
        <w:pStyle w:val="Heading2"/>
      </w:pPr>
      <w:r>
        <w:t>Key points</w:t>
      </w:r>
    </w:p>
    <w:p w14:paraId="7108ACC1" w14:textId="77777777" w:rsidR="001962EE" w:rsidRDefault="001962EE" w:rsidP="001962EE">
      <w:r>
        <w:t>Variation exists in the resource categories included in economic evaluations, and NICE guidance suggests the inclusion only of costs related to the index condition or intervention.</w:t>
      </w:r>
    </w:p>
    <w:p w14:paraId="74D86803" w14:textId="77777777" w:rsidR="001962EE" w:rsidRDefault="001962EE" w:rsidP="001962EE"/>
    <w:p w14:paraId="2D1B3DB1" w14:textId="77777777" w:rsidR="000C5F75" w:rsidRDefault="001962EE" w:rsidP="001962EE">
      <w:r>
        <w:t xml:space="preserve">Cost categories included in an economic evaluation of stable coronary artery disease significantly impact on estimates of cost-effectiveness and decision uncertainty. </w:t>
      </w:r>
      <w:r w:rsidR="000C5F75">
        <w:br w:type="page"/>
      </w:r>
    </w:p>
    <w:p w14:paraId="091A79DC" w14:textId="77777777" w:rsidR="0030713F" w:rsidRDefault="001962EE" w:rsidP="0030713F">
      <w:pPr>
        <w:pStyle w:val="Heading2"/>
      </w:pPr>
      <w:r>
        <w:t xml:space="preserve">1. </w:t>
      </w:r>
      <w:r w:rsidR="0030713F" w:rsidRPr="00235A41">
        <w:t>Introduction</w:t>
      </w:r>
    </w:p>
    <w:p w14:paraId="57C19622" w14:textId="1B21279A" w:rsidR="00A22721" w:rsidRPr="00A91D43" w:rsidRDefault="005C5BF8" w:rsidP="00E32D62">
      <w:pPr>
        <w:rPr>
          <w:rFonts w:ascii="Calibri Light" w:hAnsi="Calibri Light"/>
        </w:rPr>
      </w:pPr>
      <w:r w:rsidRPr="00A91D43">
        <w:rPr>
          <w:rFonts w:ascii="Calibri Light" w:hAnsi="Calibri Light"/>
        </w:rPr>
        <w:t>Interventions in patients</w:t>
      </w:r>
      <w:r w:rsidR="00A53DE5" w:rsidRPr="00A91D43">
        <w:rPr>
          <w:rFonts w:ascii="Calibri Light" w:hAnsi="Calibri Light"/>
        </w:rPr>
        <w:t xml:space="preserve"> </w:t>
      </w:r>
      <w:r w:rsidRPr="00A91D43">
        <w:rPr>
          <w:rFonts w:ascii="Calibri Light" w:hAnsi="Calibri Light"/>
        </w:rPr>
        <w:t>with coronary heart disease (CHD) or at risk of CHD present significant costs to the NHS, may reduce the risks of CHD events such</w:t>
      </w:r>
      <w:r w:rsidR="004B3126" w:rsidRPr="00A91D43">
        <w:rPr>
          <w:rFonts w:ascii="Calibri Light" w:hAnsi="Calibri Light"/>
        </w:rPr>
        <w:t xml:space="preserve"> as acute myocardial infarction</w:t>
      </w:r>
      <w:r w:rsidR="00C35D4A">
        <w:rPr>
          <w:rFonts w:ascii="Calibri Light" w:hAnsi="Calibri Light"/>
        </w:rPr>
        <w:t xml:space="preserve"> (MI)</w:t>
      </w:r>
      <w:r w:rsidR="00A22721" w:rsidRPr="00A91D43">
        <w:rPr>
          <w:rFonts w:ascii="Calibri Light" w:hAnsi="Calibri Light"/>
        </w:rPr>
        <w:t>, may reduce the risk of other (non-CHD) health events</w:t>
      </w:r>
      <w:r w:rsidRPr="00A91D43">
        <w:rPr>
          <w:rFonts w:ascii="Calibri Light" w:hAnsi="Calibri Light"/>
        </w:rPr>
        <w:t xml:space="preserve"> and</w:t>
      </w:r>
      <w:r w:rsidR="00A22721" w:rsidRPr="00A91D43">
        <w:rPr>
          <w:rFonts w:ascii="Calibri Light" w:hAnsi="Calibri Light"/>
        </w:rPr>
        <w:t xml:space="preserve"> can</w:t>
      </w:r>
      <w:r w:rsidRPr="00A91D43">
        <w:rPr>
          <w:rFonts w:ascii="Calibri Light" w:hAnsi="Calibri Light"/>
        </w:rPr>
        <w:t xml:space="preserve"> potentially improve survival patients</w:t>
      </w:r>
      <w:r w:rsidR="00A22721"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"Hawkes", "given" : "Nigel", "non-dropping-particle" : "", "parse-names" : false, "suffix" : "" } ], "container-title" : "BMJ", "id" : "ITEM-1", "issued" : { "date-parts" : [ [ "2017" ] ] }, "title" : "NICE guidelines could put 12 million UK adults on statins", "type" : "article-journal", "volume" : "358" }, "uris" : [ "http://www.mendeley.com/documents/?uuid=fdeb61f6-f978-3b67-b2cb-0a1fdd2816ec" ] }, { "id" : "ITEM-2", "itemData" : { "author" : [ { "dropping-particle" : "", "family" : "NICE", "given" : "", "non-dropping-particle" : "", "parse-names" : false, "suffix" : "" } ], "id" : "ITEM-2", "issued" : { "date-parts" : [ [ "2017" ] ] }, "publisher" : "NICE", "title" : "Transcatheter aortic valve implantation for aortic stenosis", "type" : "article-journal" }, "uris" : [ "http://www.mendeley.com/documents/?uuid=fec3b66f-7cc9-3232-903c-9eacbfb33d24" ] } ], "mendeley" : { "formattedCitation" : "(1,2)", "plainTextFormattedCitation" : "(1,2)", "previouslyFormattedCitation" : "(1,2)" }, "properties" : {  }, "schema" : "https://github.com/citation-style-language/schema/raw/master/csl-citation.json" }</w:instrText>
      </w:r>
      <w:r w:rsidR="00CF09D0" w:rsidRPr="00A91D43">
        <w:rPr>
          <w:rFonts w:ascii="Calibri Light" w:hAnsi="Calibri Light"/>
        </w:rPr>
        <w:fldChar w:fldCharType="separate"/>
      </w:r>
      <w:r w:rsidR="007A1581" w:rsidRPr="00A91D43">
        <w:rPr>
          <w:rFonts w:ascii="Calibri Light" w:hAnsi="Calibri Light"/>
          <w:noProof/>
        </w:rPr>
        <w:t>(1,2)</w:t>
      </w:r>
      <w:r w:rsidR="00CF09D0" w:rsidRPr="00A91D43">
        <w:rPr>
          <w:rFonts w:ascii="Calibri Light" w:hAnsi="Calibri Light"/>
        </w:rPr>
        <w:fldChar w:fldCharType="end"/>
      </w:r>
      <w:r w:rsidRPr="00A91D43">
        <w:rPr>
          <w:rFonts w:ascii="Calibri Light" w:hAnsi="Calibri Light"/>
        </w:rPr>
        <w:t xml:space="preserve">. One example is </w:t>
      </w:r>
      <w:r w:rsidR="004B4819" w:rsidRPr="00A91D43">
        <w:rPr>
          <w:rFonts w:ascii="Calibri Light" w:hAnsi="Calibri Light"/>
        </w:rPr>
        <w:t xml:space="preserve">the prescription of statins as </w:t>
      </w:r>
      <w:r w:rsidRPr="00A91D43">
        <w:rPr>
          <w:rFonts w:ascii="Calibri Light" w:hAnsi="Calibri Light"/>
        </w:rPr>
        <w:t>primary prevention,</w:t>
      </w:r>
      <w:r w:rsidR="00E32D62" w:rsidRPr="00A91D43">
        <w:rPr>
          <w:rFonts w:ascii="Calibri Light" w:hAnsi="Calibri Light"/>
        </w:rPr>
        <w:t xml:space="preserve"> for </w:t>
      </w:r>
      <w:r w:rsidR="008C1AB6">
        <w:rPr>
          <w:rFonts w:ascii="Calibri Light" w:hAnsi="Calibri Light"/>
        </w:rPr>
        <w:t>CHD</w:t>
      </w:r>
      <w:r w:rsidRPr="00A91D43">
        <w:rPr>
          <w:rFonts w:ascii="Calibri Light" w:hAnsi="Calibri Light"/>
        </w:rPr>
        <w:t xml:space="preserve"> which has attracted controversy due to the potential high up-front cost</w:t>
      </w:r>
      <w:r w:rsidR="00E32D62" w:rsidRPr="00A91D43">
        <w:rPr>
          <w:rFonts w:ascii="Calibri Light" w:hAnsi="Calibri Light"/>
        </w:rPr>
        <w:t>, but potential overall net saving</w:t>
      </w:r>
      <w:r w:rsidRPr="00A91D43">
        <w:rPr>
          <w:rFonts w:ascii="Calibri Light" w:hAnsi="Calibri Light"/>
        </w:rPr>
        <w:t xml:space="preserve"> due to reduced future </w:t>
      </w:r>
      <w:r w:rsidR="008C1AB6">
        <w:rPr>
          <w:rFonts w:ascii="Calibri Light" w:hAnsi="Calibri Light"/>
        </w:rPr>
        <w:t>CHD</w:t>
      </w:r>
      <w:r w:rsidRPr="00A91D43">
        <w:rPr>
          <w:rFonts w:ascii="Calibri Light" w:hAnsi="Calibri Light"/>
        </w:rPr>
        <w:t xml:space="preserve"> costs</w:t>
      </w:r>
      <w:r w:rsidR="008C1AB6">
        <w:rPr>
          <w:rFonts w:ascii="Calibri Light" w:hAnsi="Calibri Light"/>
        </w:rPr>
        <w:t xml:space="preserve"> as well as wider cardiovascular disease (CVD) costs such as strokes avoided</w:t>
      </w:r>
      <w:r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"Hawkes", "given" : "Nigel", "non-dropping-particle" : "", "parse-names" : false, "suffix" : "" } ], "container-title" : "BMJ", "id" : "ITEM-1", "issued" : { "date-parts" : [ [ "2017" ] ] }, "title" : "NICE guidelines could put 12 million UK adults on statins", "type" : "article-journal", "volume" : "358" }, "uris" : [ "http://www.mendeley.com/documents/?uuid=fdeb61f6-f978-3b67-b2cb-0a1fdd2816ec" ] } ], "mendeley" : { "formattedCitation" : "(1)", "plainTextFormattedCitation" : "(1)", "previouslyFormattedCitation" : "(1)" }, "properties" : {  }, "schema" : "https://github.com/citation-style-language/schema/raw/master/csl-citation.json" }</w:instrText>
      </w:r>
      <w:r w:rsidR="00CF09D0" w:rsidRPr="00A91D43">
        <w:rPr>
          <w:rFonts w:ascii="Calibri Light" w:hAnsi="Calibri Light"/>
        </w:rPr>
        <w:fldChar w:fldCharType="separate"/>
      </w:r>
      <w:r w:rsidR="007A1581" w:rsidRPr="00A91D43">
        <w:rPr>
          <w:rFonts w:ascii="Calibri Light" w:hAnsi="Calibri Light"/>
          <w:noProof/>
        </w:rPr>
        <w:t>(1)</w:t>
      </w:r>
      <w:r w:rsidR="00CF09D0" w:rsidRPr="00A91D43">
        <w:rPr>
          <w:rFonts w:ascii="Calibri Light" w:hAnsi="Calibri Light"/>
        </w:rPr>
        <w:fldChar w:fldCharType="end"/>
      </w:r>
      <w:r w:rsidRPr="00A91D43">
        <w:rPr>
          <w:rFonts w:ascii="Calibri Light" w:hAnsi="Calibri Light"/>
        </w:rPr>
        <w:t xml:space="preserve">. </w:t>
      </w:r>
      <w:r w:rsidR="00426FDA" w:rsidRPr="00A91D43">
        <w:rPr>
          <w:rFonts w:ascii="Calibri Light" w:hAnsi="Calibri Light"/>
        </w:rPr>
        <w:t>Yet, t</w:t>
      </w:r>
      <w:r w:rsidRPr="00A91D43">
        <w:rPr>
          <w:rFonts w:ascii="Calibri Light" w:hAnsi="Calibri Light"/>
        </w:rPr>
        <w:t xml:space="preserve">he statins may also increase life expectancy and costs </w:t>
      </w:r>
      <w:r w:rsidR="00A22721" w:rsidRPr="00A91D43">
        <w:rPr>
          <w:rFonts w:ascii="Calibri Light" w:hAnsi="Calibri Light"/>
        </w:rPr>
        <w:t>will</w:t>
      </w:r>
      <w:r w:rsidRPr="00A91D43">
        <w:rPr>
          <w:rFonts w:ascii="Calibri Light" w:hAnsi="Calibri Light"/>
        </w:rPr>
        <w:t xml:space="preserve"> be incurred by the NHS during these extended years of life</w:t>
      </w:r>
      <w:r w:rsidR="007A1581" w:rsidRPr="00A91D43">
        <w:rPr>
          <w:rFonts w:ascii="Calibri Light" w:hAnsi="Calibri Light"/>
        </w:rPr>
        <w:t xml:space="preserve"> </w:t>
      </w:r>
      <w:r w:rsidR="007A1581" w:rsidRPr="00A91D43">
        <w:rPr>
          <w:rFonts w:ascii="Calibri Light" w:hAnsi="Calibri Light"/>
        </w:rPr>
        <w:fldChar w:fldCharType="begin" w:fldLock="1"/>
      </w:r>
      <w:r w:rsidR="000866A8">
        <w:rPr>
          <w:rFonts w:ascii="Calibri Light" w:hAnsi="Calibri Light"/>
        </w:rPr>
        <w:instrText>ADDIN CSL_CITATION { "citationItems" : [ { "id" : "ITEM-1", "itemData" : { "DOI" : "10.1002/hec.3366", "author" : [ { "dropping-particle" : "", "family" : "Morton", "given" : "Alec", "non-dropping-particle" : "", "parse-names" : false, "suffix" : "" }, { "dropping-particle" : "", "family" : "Adler", "given" : "Amanda I.", "non-dropping-particle" : "", "parse-names" : false, "suffix" : "" }, { "dropping-particle" : "", "family" : "Bell", "given" : "David", "non-dropping-particle" : "", "parse-names" : false, "suffix" : "" }, { "dropping-particle" : "", "family" : "Briggs", "given" : "Andrew", "non-dropping-particle" : "", "parse-names" : false, "suffix" : "" }, { "dropping-particle" : "", "family" : "Brouwer", "given" : "Werner", "non-dropping-particle" : "", "parse-names" : false, "suffix" : "" }, { "dropping-particle" : "", "family" : "Claxton", "given" : "Karl", "non-dropping-particle" : "", "parse-names" : false, "suffix" : "" }, { "dropping-particle" : "", "family" : "Craig", "given" : "Neil", "non-dropping-particle" : "", "parse-names" : false, "suffix" : "" }, { "dropping-particle" : "", "family" : "Fischer", "given" : "Alastair", "non-dropping-particle" : "", "parse-names" : false, "suffix" : "" }, { "dropping-particle" : "", "family" : "McGregor", "given" : "Peter", "non-dropping-particle" : "", "parse-names" : false, "suffix" : "" }, { "dropping-particle" : "", "family" : "Baal", "given" : "Pieter", "non-dropping-particle" : "van", "parse-names" : false, "suffix" : "" } ], "container-title" : "Health Economics", "id" : "ITEM-1", "issue" : "8", "issued" : { "date-parts" : [ [ "2016", "8" ] ] }, "page" : "933-938", "title" : "Unrelated Future Costs and Unrelated Future Benefits: Reflections on NICE Guide to the Methods of Technology Appraisal", "type" : "article-journal", "volume" : "25" }, "uris" : [ "http://www.mendeley.com/documents/?uuid=1e50ccaf-9fc8-3254-ba46-0214fb0ef792" ] }, { "id" : "ITEM-2", "itemData" : { "DOI" : "10.1002/hec.3138", "ISSN" : "10579230", "author" : [ { "dropping-particle" : "", "family" : "Baal", "given" : "Pieter", "non-dropping-particle" : "van", "parse-names" : false, "suffix" : "" }, { "dropping-particle" : "", "family" : "Meltzer", "given" : "David", "non-dropping-particle" : "", "parse-names" : false, "suffix" : "" }, { "dropping-particle" : "", "family" : "Brouwer", "given" : "Werner", "non-dropping-particle" : "", "parse-names" : false, "suffix" : "" } ], "container-title" : "Health Economics", "id" : "ITEM-2", "issue" : "2", "issued" : { "date-parts" : [ [ "2016", "2" ] ] }, "page" : "237-248", "title" : "Future Costs, Fixed Healthcare Budgets, and the Decision Rules of Cost-Effectiveness Analysis", "type" : "article-journal", "volume" : "25" }, "uris" : [ "http://www.mendeley.com/documents/?uuid=603b2b55-aa71-3405-a78d-438de75f8884" ] } ], "mendeley" : { "formattedCitation" : "(3,4)", "plainTextFormattedCitation" : "(3,4)", "previouslyFormattedCitation" : "(3,4)" }, "properties" : {  }, "schema" : "https://github.com/citation-style-language/schema/raw/master/csl-citation.json" }</w:instrText>
      </w:r>
      <w:r w:rsidR="007A1581" w:rsidRPr="00A91D43">
        <w:rPr>
          <w:rFonts w:ascii="Calibri Light" w:hAnsi="Calibri Light"/>
        </w:rPr>
        <w:fldChar w:fldCharType="separate"/>
      </w:r>
      <w:r w:rsidR="007A1581" w:rsidRPr="00A91D43">
        <w:rPr>
          <w:rFonts w:ascii="Calibri Light" w:hAnsi="Calibri Light"/>
          <w:noProof/>
        </w:rPr>
        <w:t>(3,4)</w:t>
      </w:r>
      <w:r w:rsidR="007A1581" w:rsidRPr="00A91D43">
        <w:rPr>
          <w:rFonts w:ascii="Calibri Light" w:hAnsi="Calibri Light"/>
        </w:rPr>
        <w:fldChar w:fldCharType="end"/>
      </w:r>
      <w:r w:rsidRPr="00A91D43">
        <w:rPr>
          <w:rFonts w:ascii="Calibri Light" w:hAnsi="Calibri Light"/>
        </w:rPr>
        <w:t>.</w:t>
      </w:r>
    </w:p>
    <w:p w14:paraId="38A96C72" w14:textId="32B37FBB" w:rsidR="002A4475" w:rsidRPr="00A91D43" w:rsidRDefault="002A4475" w:rsidP="002A4475">
      <w:pPr>
        <w:rPr>
          <w:rFonts w:ascii="Calibri Light" w:hAnsi="Calibri Light"/>
        </w:rPr>
      </w:pPr>
      <w:r w:rsidRPr="00A91D43">
        <w:rPr>
          <w:rFonts w:ascii="Calibri Light" w:hAnsi="Calibri Light"/>
        </w:rPr>
        <w:t xml:space="preserve">In an economic evaluation the </w:t>
      </w:r>
      <w:r w:rsidR="00490388" w:rsidRPr="00A91D43">
        <w:rPr>
          <w:rFonts w:ascii="Calibri Light" w:hAnsi="Calibri Light"/>
        </w:rPr>
        <w:t xml:space="preserve">incremental </w:t>
      </w:r>
      <w:r w:rsidRPr="00A91D43">
        <w:rPr>
          <w:rFonts w:ascii="Calibri Light" w:hAnsi="Calibri Light"/>
        </w:rPr>
        <w:t>costs incur</w:t>
      </w:r>
      <w:r w:rsidR="0026301E" w:rsidRPr="00A91D43">
        <w:rPr>
          <w:rFonts w:ascii="Calibri Light" w:hAnsi="Calibri Light"/>
        </w:rPr>
        <w:t>red by a new intervention</w:t>
      </w:r>
      <w:r w:rsidRPr="00A91D43">
        <w:rPr>
          <w:rFonts w:ascii="Calibri Light" w:hAnsi="Calibri Light"/>
        </w:rPr>
        <w:t xml:space="preserve"> and </w:t>
      </w:r>
      <w:r w:rsidR="0026301E" w:rsidRPr="00A91D43">
        <w:rPr>
          <w:rFonts w:ascii="Calibri Light" w:hAnsi="Calibri Light"/>
        </w:rPr>
        <w:t xml:space="preserve">the </w:t>
      </w:r>
      <w:r w:rsidRPr="00A91D43">
        <w:rPr>
          <w:rFonts w:ascii="Calibri Light" w:hAnsi="Calibri Light"/>
        </w:rPr>
        <w:t xml:space="preserve">health benefit </w:t>
      </w:r>
      <w:r w:rsidR="0026301E" w:rsidRPr="00A91D43">
        <w:rPr>
          <w:rFonts w:ascii="Calibri Light" w:hAnsi="Calibri Light"/>
        </w:rPr>
        <w:t xml:space="preserve">it generates </w:t>
      </w:r>
      <w:r w:rsidR="005C6AD8" w:rsidRPr="00A91D43">
        <w:rPr>
          <w:rFonts w:ascii="Calibri Light" w:hAnsi="Calibri Light"/>
        </w:rPr>
        <w:t>are</w:t>
      </w:r>
      <w:r w:rsidRPr="00A91D43">
        <w:rPr>
          <w:rFonts w:ascii="Calibri Light" w:hAnsi="Calibri Light"/>
        </w:rPr>
        <w:t xml:space="preserve"> compared to the health benefit of activities that </w:t>
      </w:r>
      <w:r w:rsidR="00732D77" w:rsidRPr="00A91D43">
        <w:rPr>
          <w:rFonts w:ascii="Calibri Light" w:hAnsi="Calibri Light"/>
        </w:rPr>
        <w:t xml:space="preserve">could </w:t>
      </w:r>
      <w:r w:rsidRPr="00A91D43">
        <w:rPr>
          <w:rFonts w:ascii="Calibri Light" w:hAnsi="Calibri Light"/>
        </w:rPr>
        <w:t xml:space="preserve">have </w:t>
      </w:r>
      <w:r w:rsidR="00732D77" w:rsidRPr="00A91D43">
        <w:rPr>
          <w:rFonts w:ascii="Calibri Light" w:hAnsi="Calibri Light"/>
        </w:rPr>
        <w:t>been funded with the same resources</w:t>
      </w:r>
      <w:r w:rsidR="005C6AD8" w:rsidRPr="00A91D43">
        <w:rPr>
          <w:rFonts w:ascii="Calibri Light" w:hAnsi="Calibri Light"/>
        </w:rPr>
        <w:t xml:space="preserve"> elsewhere</w:t>
      </w:r>
      <w:r w:rsidR="000F3808"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"Drummond", "given" : "MF", "non-dropping-particle" : "", "parse-names" : false, "suffix" : "" }, { "dropping-particle" : "", "family" : "Sculpher", "given" : "MJ", "non-dropping-particle" : "", "parse-names" : false, "suffix" : "" }, { "dropping-particle" : "", "family" : "Claxton", "given" : "K", "non-dropping-particle" : "", "parse-names" : false, "suffix" : "" }, { "dropping-particle" : "", "family" : "Stoddart", "given" : "GL", "non-dropping-particle" : "", "parse-names" : false, "suffix" : "" }, { "dropping-particle" : "", "family" : "Torrance", "given" : "GW", "non-dropping-particle" : "", "parse-names" : false, "suffix" : "" } ], "id" : "ITEM-1", "issued" : { "date-parts" : [ [ "2015" ] ] }, "title" : "Methods for the Economic Evaluation of Health Care Programmes", "type" : "book" }, "uris" : [ "http://www.mendeley.com/documents/?uuid=490baf64-5a5f-45d8-ae1b-361ec2ae9785" ] } ], "mendeley" : { "formattedCitation" : "(5)", "plainTextFormattedCitation" : "(5)", "previouslyFormattedCitation" : "(5)" }, "properties" : {  }, "schema" : "https://github.com/citation-style-language/schema/raw/master/csl-citation.json" }</w:instrText>
      </w:r>
      <w:r w:rsidR="00CF09D0" w:rsidRPr="00A91D43">
        <w:rPr>
          <w:rFonts w:ascii="Calibri Light" w:hAnsi="Calibri Light"/>
        </w:rPr>
        <w:fldChar w:fldCharType="separate"/>
      </w:r>
      <w:r w:rsidR="007A1581" w:rsidRPr="00A91D43">
        <w:rPr>
          <w:rFonts w:ascii="Calibri Light" w:hAnsi="Calibri Light"/>
          <w:noProof/>
        </w:rPr>
        <w:t>(5)</w:t>
      </w:r>
      <w:r w:rsidR="00CF09D0" w:rsidRPr="00A91D43">
        <w:rPr>
          <w:rFonts w:ascii="Calibri Light" w:hAnsi="Calibri Light"/>
        </w:rPr>
        <w:fldChar w:fldCharType="end"/>
      </w:r>
      <w:r w:rsidRPr="00A91D43">
        <w:rPr>
          <w:rFonts w:ascii="Calibri Light" w:hAnsi="Calibri Light"/>
        </w:rPr>
        <w:t>. There is extensive debate, however, around what</w:t>
      </w:r>
      <w:r w:rsidR="00732D77" w:rsidRPr="00A91D43">
        <w:rPr>
          <w:rFonts w:ascii="Calibri Light" w:hAnsi="Calibri Light"/>
        </w:rPr>
        <w:t xml:space="preserve"> types of</w:t>
      </w:r>
      <w:r w:rsidRPr="00A91D43">
        <w:rPr>
          <w:rFonts w:ascii="Calibri Light" w:hAnsi="Calibri Light"/>
        </w:rPr>
        <w:t xml:space="preserve"> costs should be included in estimating the </w:t>
      </w:r>
      <w:r w:rsidR="00490388" w:rsidRPr="00A91D43">
        <w:rPr>
          <w:rFonts w:ascii="Calibri Light" w:hAnsi="Calibri Light"/>
        </w:rPr>
        <w:t xml:space="preserve">incremental </w:t>
      </w:r>
      <w:r w:rsidRPr="00A91D43">
        <w:rPr>
          <w:rFonts w:ascii="Calibri Light" w:hAnsi="Calibri Light"/>
        </w:rPr>
        <w:t xml:space="preserve">costs of a new intervention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"10.4337/9780857938138.00062", "author" : [ { "dropping-particle" : "", "family" : "Meltzer", "given" : "David", "non-dropping-particle" : "", "parse-names" : false, "suffix" : "" } ], "container-title" : "The Elgar Companion to Health Economics, Second Edition", "id" : "ITEM-1", "issued" : { "date-parts" : [ [ "2012" ] ] }, "publisher" : "Edward Elgar Publishing", "title" : "Future Costs in Medical Cost-effectiveness Analysis", "type" : "chapter" }, "uris" : [ "http://www.mendeley.com/documents/?uuid=490ea741-c7b7-3c03-9546-7257a6f30ad6" ] }, { "id" : "ITEM-2", "itemData" : { "DOI" : "10.1136/BMJ.J5096", "ISSN" : "1756-1833", "PMID" : "29127081", "abstract" : "More health would result from including all future care costs in decisions to approve interventions, write Pieter van Baal and colleagues . Sarah Davis worries that always including unrelated costs might lead to unfair distribution of care, including among people with incurable illness\n\nWhen developing guidance on the use of new technologies in the NHS, the National Institute for Health and Care Excellence (NICE) recommends considering their cost effectiveness. NICE deems an intervention cost effective if its \u201chealth benefits are greater than the opportunity costs of programmes displaced to fund the new technology, in the context of a fixed NHS budget. In other words, the general consequences for the wider group of patients in the NHS are considered alongside the effects for those patients who may directly benefit from the technology.\u201d1\n\nCurrently, NICE explicitly states that future medical costs incurred that are not directly related to the intervention in question should be excluded from economic analyses. But NICE should change its definition to include consideration of these costs.2\n\n### What are unrelated medical costs?\n\nMedical interventions that prolong a patient\u2019s life often create additional consumption of medical goods and services in years that would not have been lived without the intervention. Some of this consumption is directly related to the intervention. For example, after a successful heart transplantation, the costs of visiting the cardiologist in the years gained are considered to be related. These costs are typically included in economic analyses. But other medical costs in added years are not directly related to the intervention. The costs of dementia care in added years after the same heart transplantation would be an example of such future unrelated costs.\n\nDutch guidelines have been revised and now advise inclusion.3 New US guidance also recommends inclusion \u2026", "author" : [ { "dropping-particle" : "", "family" : "Baal", "given" : "Pieter", "non-dropping-particle" : "van", "parse-names" : false, "suffix" : "" }, { "dropping-particle" : "", "family" : "Morton", "given" : "Alec", "non-dropping-particle" : "", "parse-names" : false, "suffix" : "" }, { "dropping-particle" : "", "family" : "Brouwer", "given" : "Werner", "non-dropping-particle" : "", "parse-names" : false, "suffix" : "" }, { "dropping-particle" : "", "family" : "Meltzer", "given" : "David", "non-dropping-particle" : "", "parse-names" : false, "suffix" : "" }, { "dropping-particle" : "", "family" : "Davis", "given" : "Sarah", "non-dropping-particle" : "", "parse-names" : false, "suffix" : "" } ], "container-title" : "BMJ (Clinical research ed.)", "id" : "ITEM-2", "issued" : { "date-parts" : [ [ "2017", "11", "10" ] ] }, "page" : "j5096", "publisher" : "British Medical Journal Publishing Group", "title" : "Should cost effectiveness analyses for NICE always consider future unrelated medical costs?", "type" : "article-journal", "volume" : "359" }, "uris" : [ "http://www.mendeley.com/documents/?uuid=3c2f2294-27b0-375f-b0bf-19fccc73fc49" ] } ], "mendeley" : { "formattedCitation" : "(6,7)", "plainTextFormattedCitation" : "(6,7)", "previouslyFormattedCitation" : "(6,7)" }, "properties" : {  }, "schema" : "https://github.com/citation-style-language/schema/raw/master/csl-citation.json" }</w:instrText>
      </w:r>
      <w:r w:rsidR="00CF09D0" w:rsidRPr="00A91D43">
        <w:rPr>
          <w:rFonts w:ascii="Calibri Light" w:hAnsi="Calibri Light"/>
        </w:rPr>
        <w:fldChar w:fldCharType="separate"/>
      </w:r>
      <w:r w:rsidR="00A37CC8" w:rsidRPr="00A37CC8">
        <w:rPr>
          <w:rFonts w:ascii="Calibri Light" w:hAnsi="Calibri Light"/>
          <w:noProof/>
        </w:rPr>
        <w:t>(6,7)</w:t>
      </w:r>
      <w:r w:rsidR="00CF09D0" w:rsidRPr="00A91D43">
        <w:rPr>
          <w:rFonts w:ascii="Calibri Light" w:hAnsi="Calibri Light"/>
        </w:rPr>
        <w:fldChar w:fldCharType="end"/>
      </w:r>
      <w:r w:rsidR="000F3808" w:rsidRPr="00A91D43">
        <w:rPr>
          <w:rFonts w:ascii="Calibri Light" w:hAnsi="Calibri Light"/>
        </w:rPr>
        <w:t xml:space="preserve"> </w:t>
      </w:r>
      <w:r w:rsidR="005C6AD8" w:rsidRPr="00A91D43">
        <w:rPr>
          <w:rFonts w:ascii="Calibri Light" w:hAnsi="Calibri Light"/>
        </w:rPr>
        <w:t xml:space="preserve">and what costs are included </w:t>
      </w:r>
      <w:r w:rsidR="00A62EBB" w:rsidRPr="00A91D43">
        <w:rPr>
          <w:rFonts w:ascii="Calibri Light" w:hAnsi="Calibri Light"/>
        </w:rPr>
        <w:t>can have material impacts on the</w:t>
      </w:r>
      <w:r w:rsidR="007B0D58" w:rsidRPr="00A91D43">
        <w:rPr>
          <w:rFonts w:ascii="Calibri Light" w:hAnsi="Calibri Light"/>
        </w:rPr>
        <w:t xml:space="preserve"> </w:t>
      </w:r>
      <w:r w:rsidR="005C6AD8" w:rsidRPr="00A91D43">
        <w:rPr>
          <w:rFonts w:ascii="Calibri Light" w:hAnsi="Calibri Light"/>
        </w:rPr>
        <w:t xml:space="preserve">expected cost-effectiveness </w:t>
      </w:r>
      <w:r w:rsidR="007B0D58" w:rsidRPr="00A91D43">
        <w:rPr>
          <w:rFonts w:ascii="Calibri Light" w:hAnsi="Calibri Light"/>
        </w:rPr>
        <w:t xml:space="preserve">and </w:t>
      </w:r>
      <w:r w:rsidR="00014CD4" w:rsidRPr="00A91D43">
        <w:rPr>
          <w:rFonts w:ascii="Calibri Light" w:hAnsi="Calibri Light"/>
        </w:rPr>
        <w:t>the</w:t>
      </w:r>
      <w:r w:rsidR="005C6AD8" w:rsidRPr="00A91D43">
        <w:rPr>
          <w:rFonts w:ascii="Calibri Light" w:hAnsi="Calibri Light"/>
        </w:rPr>
        <w:t xml:space="preserve"> associated </w:t>
      </w:r>
      <w:r w:rsidR="007B0D58" w:rsidRPr="00A91D43">
        <w:rPr>
          <w:rFonts w:ascii="Calibri Light" w:hAnsi="Calibri Light"/>
        </w:rPr>
        <w:t>uncertainty.</w:t>
      </w:r>
      <w:r w:rsidR="00732D77" w:rsidRPr="00A91D43">
        <w:rPr>
          <w:rFonts w:ascii="Calibri Light" w:hAnsi="Calibri Light"/>
        </w:rPr>
        <w:t xml:space="preserve"> Th</w:t>
      </w:r>
      <w:r w:rsidR="005C6AD8" w:rsidRPr="00A91D43">
        <w:rPr>
          <w:rFonts w:ascii="Calibri Light" w:hAnsi="Calibri Light"/>
        </w:rPr>
        <w:t xml:space="preserve">is </w:t>
      </w:r>
      <w:r w:rsidR="00732D77" w:rsidRPr="00A91D43">
        <w:rPr>
          <w:rFonts w:ascii="Calibri Light" w:hAnsi="Calibri Light"/>
        </w:rPr>
        <w:t xml:space="preserve">can affect </w:t>
      </w:r>
      <w:r w:rsidR="005C6AD8" w:rsidRPr="00A91D43">
        <w:rPr>
          <w:rFonts w:ascii="Calibri Light" w:hAnsi="Calibri Light"/>
        </w:rPr>
        <w:t xml:space="preserve">the </w:t>
      </w:r>
      <w:r w:rsidR="00E11937" w:rsidRPr="00A91D43">
        <w:rPr>
          <w:rFonts w:ascii="Calibri Light" w:hAnsi="Calibri Light"/>
        </w:rPr>
        <w:t>decisions</w:t>
      </w:r>
      <w:r w:rsidR="005C6AD8" w:rsidRPr="00A91D43">
        <w:rPr>
          <w:rFonts w:ascii="Calibri Light" w:hAnsi="Calibri Light"/>
        </w:rPr>
        <w:t xml:space="preserve"> </w:t>
      </w:r>
      <w:r w:rsidR="00E11937" w:rsidRPr="00A91D43">
        <w:rPr>
          <w:rFonts w:ascii="Calibri Light" w:hAnsi="Calibri Light"/>
        </w:rPr>
        <w:t xml:space="preserve">reached by </w:t>
      </w:r>
      <w:r w:rsidR="00732D77" w:rsidRPr="00A91D43">
        <w:rPr>
          <w:rFonts w:ascii="Calibri Light" w:hAnsi="Calibri Light"/>
        </w:rPr>
        <w:t xml:space="preserve">policy </w:t>
      </w:r>
      <w:r w:rsidR="005C6AD8" w:rsidRPr="00A91D43">
        <w:rPr>
          <w:rFonts w:ascii="Calibri Light" w:hAnsi="Calibri Light"/>
        </w:rPr>
        <w:t xml:space="preserve">makers, </w:t>
      </w:r>
      <w:r w:rsidR="00014CD4" w:rsidRPr="00A91D43">
        <w:rPr>
          <w:rFonts w:ascii="Calibri Light" w:hAnsi="Calibri Light"/>
        </w:rPr>
        <w:t>e</w:t>
      </w:r>
      <w:r w:rsidR="005C6AD8" w:rsidRPr="00A91D43">
        <w:rPr>
          <w:rFonts w:ascii="Calibri Light" w:hAnsi="Calibri Light"/>
        </w:rPr>
        <w:t>.</w:t>
      </w:r>
      <w:r w:rsidR="00014CD4" w:rsidRPr="00A91D43">
        <w:rPr>
          <w:rFonts w:ascii="Calibri Light" w:hAnsi="Calibri Light"/>
        </w:rPr>
        <w:t>g</w:t>
      </w:r>
      <w:r w:rsidR="005C6AD8" w:rsidRPr="00A91D43">
        <w:rPr>
          <w:rFonts w:ascii="Calibri Light" w:hAnsi="Calibri Light"/>
        </w:rPr>
        <w:t xml:space="preserve">. </w:t>
      </w:r>
      <w:r w:rsidR="00732D77" w:rsidRPr="00A91D43">
        <w:rPr>
          <w:rFonts w:ascii="Calibri Light" w:hAnsi="Calibri Light"/>
        </w:rPr>
        <w:t xml:space="preserve"> whether to approve or reject the new intervention</w:t>
      </w:r>
      <w:r w:rsidR="00014CD4" w:rsidRPr="00A91D43">
        <w:rPr>
          <w:rFonts w:ascii="Calibri Light" w:hAnsi="Calibri Light"/>
        </w:rPr>
        <w:t xml:space="preserve"> unconditionally</w:t>
      </w:r>
      <w:r w:rsidR="00732D77" w:rsidRPr="00A91D43">
        <w:rPr>
          <w:rFonts w:ascii="Calibri Light" w:hAnsi="Calibri Light"/>
        </w:rPr>
        <w:t xml:space="preserve">, or whether to recommend </w:t>
      </w:r>
      <w:r w:rsidR="00014CD4" w:rsidRPr="00A91D43">
        <w:rPr>
          <w:rFonts w:ascii="Calibri Light" w:hAnsi="Calibri Light"/>
        </w:rPr>
        <w:t xml:space="preserve">an alternative coverage decision such as </w:t>
      </w:r>
      <w:r w:rsidR="00732D77" w:rsidRPr="00A91D43">
        <w:rPr>
          <w:rFonts w:ascii="Calibri Light" w:hAnsi="Calibri Light"/>
        </w:rPr>
        <w:t>coverage with evidence development</w:t>
      </w:r>
      <w:r w:rsidR="000F3808"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"10.1016/j.jval.2011.12.013", "ISSN" : "10983015", "PMID" : "22583469", "abstract" : "BACKGROUND Until recently, purchasers' options regarding whether to pay for the use of medical technologies have been binary in nature: a treatment is either covered or not. Policies, however, have emerged that expand the decision options, for example, linking coverage to evidence development, an option increasingly used for treatments with limited/uncertain evidence. There has been little effort to reconcile the features of technologies with the available decision options. METHODS We described a framework within which different decision options can be evaluated. We distinguished two sources of value in terms of health: the value of the technology per se and the value of reducing decision uncertainty. The costs of reversing decisions were also considered. FINDINGS Purchasers should weigh the expected benefits of coverage against the possibility that the decision may need to be reversed and the chance that adoption will hinder evidence generation. Based on the purchaser's range of authority over access, research, and price and on the characteristics of the technology with regard to reversibility and evidence, different decisions may be appropriate. The framework clarified the assessments needed to establish the appropriateness of different decisions. A taxonomy of coverage decisions was suggested. CONCLUSIONS A range of decision options may facilitate paying for the use of promising medical technologies despite their uncertain evidence. It is important that the option be chosen on the basis of not only the expected value of a technology but also the value of further research, the anticipated effect of coverage on further research, and the costs associated with reversing the decision.", "author" : [ { "dropping-particle" : "", "family" : "Walker", "given" : "Simon", "non-dropping-particle" : "", "parse-names" : false, "suffix" : "" }, { "dropping-particle" : "", "family" : "Sculpher", "given" : "Mark", "non-dropping-particle" : "", "parse-names" : false, "suffix" : "" }, { "dropping-particle" : "", "family" : "Claxton", "given" : "Karl", "non-dropping-particle" : "", "parse-names" : false, "suffix" : "" }, { "dropping-particle" : "", "family" : "Palmer", "given" : "Steve", "non-dropping-particle" : "", "parse-names" : false, "suffix" : "" } ], "container-title" : "Value in Health", "id" : "ITEM-1", "issue" : "3", "issued" : { "date-parts" : [ [ "2012", "5" ] ] }, "page" : "570-579", "title" : "Coverage with Evidence Development, Only in Research, Risk Sharing, or Patient Access Scheme? A Framework for Coverage Decisions", "type" : "article-journal", "volume" : "15" }, "uris" : [ "http://www.mendeley.com/documents/?uuid=fab7c6ab-f4a4-3edf-9e53-6ead3ccdf222" ] }, { "id" : "ITEM-2", "itemData" : { "DOI" : "10.3310/hta16460", "ISSN" : "2046-4924", "PMID" : "23177626", "abstract" : "BACKGROUND: The general issue of balancing the value of evidence about the performance of a technology and the value of access to a technology can be seen as central to a number of policy questions. Establishing the key principles of what assessments are needed, as well as how they should be made, will enable them to be addressed in an explicit and transparent manner.\n\nOBJECTIVES: The aims of this research are to (1) establish the key principles of what assessments are needed to inform an 'only in research' (OIR) or 'approval with research' (AWR) recommendation, (2) evaluate previous National Institute for Health and Clinical Evidence (NICE) guidance in which OIR or AWR recommendations were made or considered and (3) evaluate a range of alternative options to establish criteria, additional information and/or analysis that could be made available to inform the assessments needed.\n\nDATA SOURCES: All NICE draft and final guidance up to January 2010 was considered in the review of NICE technology appraisal guidance. Four case studies were used to evaluate the range of options of what information and analysis could be made available to inform the assessment required. These were based on a reanalysis of existing health technology appraisals for NICE or the Health Technology Assessment programme.\n\nREVIEW METHODS: A critical review of policies, practice and literature was undertaken using traditional systematic searching based on initial search terms informed by key publications. An iterative approach was adopted using 'pearl growing' evaluated through capture-recapture methods. In addition, grey literature, policy documents and other sources, such as special interest groups and the expertise of the Advisory Group for the project, were used to contribute to this process.\n\nRESULTS: A series of recommendations, or options, for NICE to consider were developed with the involvement of key stakeholders. These establish the key principles and associated criteria that might guide OIR and AWR recommendations and identify what, if any, additional information or analysis might be included in the technology appraisal process, including how such recommendations might be more likely to be implemented through publically funded and sponsored research. To meet these aims the research is broadly structured as follows. A critical review of policy, practice and literature in this area informs the development of a coherent conceptual framework to establish the key principles and th\u2026", "author" : [ { "dropping-particle" : "", "family" : "Claxton", "given" : "K", "non-dropping-particle" : "", "parse-names" : false, "suffix" : "" }, { "dropping-particle" : "", "family" : "Palmer", "given" : "S", "non-dropping-particle" : "", "parse-names" : false, "suffix" : "" }, { "dropping-particle" : "", "family" : "Longworth", "given" : "L", "non-dropping-particle" : "", "parse-names" : false, "suffix" : "" }, { "dropping-particle" : "", "family" : "Bojke", "given" : "L", "non-dropping-particle" : "", "parse-names" : false, "suffix" : "" }, { "dropping-particle" : "", "family" : "Griffin", "given" : "S", "non-dropping-particle" : "", "parse-names" : false, "suffix" : "" }, { "dropping-particle" : "", "family" : "McKenna", "given" : "C", "non-dropping-particle" : "", "parse-names" : false, "suffix" : "" }, { "dropping-particle" : "", "family" : "Soares", "given" : "M", "non-dropping-particle" : "", "parse-names" : false, "suffix" : "" }, { "dropping-particle" : "", "family" : "Spackman", "given" : "E", "non-dropping-particle" : "", "parse-names" : false, "suffix" : "" }, { "dropping-particle" : "", "family" : "Youn", "given" : "J", "non-dropping-particle" : "", "parse-names" : false, "suffix" : "" } ], "container-title" : "Health technology assessment (Winchester, England)", "id" : "ITEM-2", "issue" : "46", "issued" : { "date-parts" : [ [ "2012", "1" ] ] }, "page" : "1-323", "title" : "Informing a decision framework for when NICE should recommend the use of health technologies only in the context of an appropriately designed programme of evidence development.", "type" : "article-journal", "volume" : "16" }, "uris" : [ "http://www.mendeley.com/documents/?uuid=8abf905e-1222-4ce1-bdeb-99aadbf8001f" ] }, { "id" : "ITEM-3", "itemData" : { "DOI" : "10.1016/j.jval.2016.03.2003", "ISSN" : "10983015", "PMID" : "27712718", "abstract" : "BACKGROUND The value of evidence about the performance of a technology and the value of access to a technology are central to policy decisions regarding coverage with, without, or only in research and managed entry (or risk-sharing) agreements. OBJECTIVES We aim to outline the key principles of what assessments are needed to inform \"only in research\" (OIR) or \"approval with research\" (AWR) recommendations, in addition to approval or rejection. METHODS We developed a comprehensive algorithm to inform the sequence of assessments and judgments that lead to different types of guidance: OIR, AWR, Approve, or Reject. This algorithm identifies the order in which assessments might be made, how similar guidance might be arrived at through different combinations of considerations, and when guidance might change. RESULTS The key principles are whether the technology is expected to be cost-effective; whether the technology has significant irrecoverable costs; whether additional research is needed; whether research is possible with approval and whether there are opportunity costs that once committed by approval cannot be recovered; and whether there are effective price reductions. Determining expected cost-effectiveness is only a first step. In addition to AWR for technologies expected to be cost-effective and OIR for those not expected to be cost-effective, there are other important circumstances when OIR should be considered. CONCLUSIONS These principles demonstrate that cost-effectiveness is a necessary but not sufficient condition for approval. Even when research is possible with approval, OIR may be appropriate when a technology is expected to be cost-effective due to significant irrecoverable costs.", "author" : [ { "dropping-particle" : "", "family" : "Claxton", "given" : "K", "non-dropping-particle" : "", "parse-names" : false, "suffix" : "" }, { "dropping-particle" : "", "family" : "Palmer", "given" : "Stephen", "non-dropping-particle" : "", "parse-names" : false, "suffix" : "" }, { "dropping-particle" : "", "family" : "Longworth", "given" : "Louise", "non-dropping-particle" : "", "parse-names" : false, "suffix" : "" }, { "dropping-particle" : "", "family" : "Bojke", "given" : "Laura", "non-dropping-particle" : "", "parse-names" : false, "suffix" : "" }, { "dropping-particle" : "", "family" : "Griffin", "given" : "Susan", "non-dropping-particle" : "", "parse-names" : false, "suffix" : "" }, { "dropping-particle" : "", "family" : "Soares", "given" : "Marta", "non-dropping-particle" : "", "parse-names" : false, "suffix" : "" }, { "dropping-particle" : "", "family" : "Spackman", "given" : "Eldon", "non-dropping-particle" : "", "parse-names" : false, "suffix" : "" }, { "dropping-particle" : "", "family" : "Rothery", "given" : "Claire", "non-dropping-particle" : "", "parse-names" : false, "suffix" : "" } ], "container-title" : "Value in Health", "id" : "ITEM-3", "issue" : "6", "issued" : { "date-parts" : [ [ "2016", "9" ] ] }, "page" : "885-891", "title" : "A Comprehensive Algorithm for Approval of Health Technologies With, Without, or Only in Research: The Key Principles for Informing Coverage Decisions", "type" : "article-journal", "volume" : "19" }, "uris" : [ "http://www.mendeley.com/documents/?uuid=76a48ea2-cca5-3484-9aa8-1df19f2dc88a" ] } ], "mendeley" : { "formattedCitation" : "(8\u201310)", "plainTextFormattedCitation" : "(8\u201310)", "previouslyFormattedCitation" : "(8\u201310)" }, "properties" : {  }, "schema" : "https://github.com/citation-style-language/schema/raw/master/csl-citation.json" }</w:instrText>
      </w:r>
      <w:r w:rsidR="00CF09D0" w:rsidRPr="00A91D43">
        <w:rPr>
          <w:rFonts w:ascii="Calibri Light" w:hAnsi="Calibri Light"/>
        </w:rPr>
        <w:fldChar w:fldCharType="separate"/>
      </w:r>
      <w:r w:rsidR="00A37CC8" w:rsidRPr="00A37CC8">
        <w:rPr>
          <w:rFonts w:ascii="Calibri Light" w:hAnsi="Calibri Light"/>
          <w:noProof/>
        </w:rPr>
        <w:t>(8–10)</w:t>
      </w:r>
      <w:r w:rsidR="00CF09D0" w:rsidRPr="00A91D43">
        <w:rPr>
          <w:rFonts w:ascii="Calibri Light" w:hAnsi="Calibri Light"/>
        </w:rPr>
        <w:fldChar w:fldCharType="end"/>
      </w:r>
      <w:r w:rsidR="00732D77" w:rsidRPr="00A91D43">
        <w:rPr>
          <w:rFonts w:ascii="Calibri Light" w:hAnsi="Calibri Light"/>
        </w:rPr>
        <w:t xml:space="preserve">. </w:t>
      </w:r>
      <w:r w:rsidR="007B0D58" w:rsidRPr="00A91D43">
        <w:rPr>
          <w:rFonts w:ascii="Calibri Light" w:hAnsi="Calibri Light"/>
        </w:rPr>
        <w:t xml:space="preserve">This paper </w:t>
      </w:r>
      <w:r w:rsidR="0013767A" w:rsidRPr="00A91D43">
        <w:rPr>
          <w:rFonts w:ascii="Calibri Light" w:hAnsi="Calibri Light"/>
        </w:rPr>
        <w:t>considers</w:t>
      </w:r>
      <w:r w:rsidR="007B0D58" w:rsidRPr="00A91D43">
        <w:rPr>
          <w:rFonts w:ascii="Calibri Light" w:hAnsi="Calibri Light"/>
        </w:rPr>
        <w:t xml:space="preserve"> the importance of the</w:t>
      </w:r>
      <w:r w:rsidR="0013767A" w:rsidRPr="00A91D43">
        <w:rPr>
          <w:rFonts w:ascii="Calibri Light" w:hAnsi="Calibri Light"/>
        </w:rPr>
        <w:t xml:space="preserve"> choice of costs to include using</w:t>
      </w:r>
      <w:r w:rsidR="007B0D58" w:rsidRPr="00A91D43">
        <w:rPr>
          <w:rFonts w:ascii="Calibri Light" w:hAnsi="Calibri Light"/>
        </w:rPr>
        <w:t xml:space="preserve"> a hypothetical intervention that reduces the risk of </w:t>
      </w:r>
      <w:r w:rsidR="004B3126" w:rsidRPr="00A91D43">
        <w:rPr>
          <w:rFonts w:ascii="Calibri Light" w:hAnsi="Calibri Light"/>
        </w:rPr>
        <w:t>CVD events in patients with stable coronary artery disease</w:t>
      </w:r>
      <w:r w:rsidR="008C1AB6">
        <w:rPr>
          <w:rFonts w:ascii="Calibri Light" w:hAnsi="Calibri Light"/>
        </w:rPr>
        <w:t xml:space="preserve"> (SCAD)</w:t>
      </w:r>
      <w:r w:rsidR="007B0D58" w:rsidRPr="00A91D43">
        <w:rPr>
          <w:rFonts w:ascii="Calibri Light" w:hAnsi="Calibri Light"/>
        </w:rPr>
        <w:t>.</w:t>
      </w:r>
    </w:p>
    <w:p w14:paraId="56B21FF0" w14:textId="3C1EC129" w:rsidR="00A73F64" w:rsidRPr="00A91D43" w:rsidRDefault="002A4475" w:rsidP="002A4475">
      <w:pPr>
        <w:rPr>
          <w:rFonts w:ascii="Calibri Light" w:hAnsi="Calibri Light"/>
          <w:noProof/>
        </w:rPr>
      </w:pPr>
      <w:r w:rsidRPr="00A91D43">
        <w:rPr>
          <w:rFonts w:ascii="Calibri Light" w:hAnsi="Calibri Light"/>
        </w:rPr>
        <w:t>The debate considers two types of costs: related and unrelated.</w:t>
      </w:r>
      <w:r w:rsidR="007A1581" w:rsidRPr="00A91D43">
        <w:rPr>
          <w:rFonts w:ascii="Calibri Light" w:hAnsi="Calibri Light"/>
        </w:rPr>
        <w:t xml:space="preserve"> Garber and Phelps </w:t>
      </w:r>
      <w:r w:rsidR="007A1581" w:rsidRPr="00A91D43">
        <w:rPr>
          <w:rFonts w:ascii="Calibri Light" w:hAnsi="Calibri Light"/>
        </w:rPr>
        <w:fldChar w:fldCharType="begin" w:fldLock="1"/>
      </w:r>
      <w:r w:rsidR="000866A8">
        <w:rPr>
          <w:rFonts w:ascii="Calibri Light" w:hAnsi="Calibri Light"/>
        </w:rPr>
        <w:instrText>ADDIN CSL_CITATION { "citationItems" : [ { "id" : "ITEM-1", "itemData" : { "DOI" : "10.1016/j.jhealeco.2008.05.002", "ISSN" : "01676296", "author" : [ { "dropping-particle" : "", "family" : "Garber", "given" : "Alan M.", "non-dropping-particle" : "", "parse-names" : false, "suffix" : "" }, { "dropping-particle" : "", "family" : "Phelps", "given" : "Charles E.", "non-dropping-particle" : "", "parse-names" : false, "suffix" : "" } ], "container-title" : "Journal of Health Economics", "id" : "ITEM-1", "issue" : "4", "issued" : { "date-parts" : [ [ "2008", "7" ] ] }, "page" : "819-821", "title" : "Future costs and the future of cost-effectiveness analysis", "type" : "article-journal", "volume" : "27" }, "uris" : [ "http://www.mendeley.com/documents/?uuid=c27b4440-cd45-33a9-ab1d-1b6f4af74989" ] } ], "mendeley" : { "formattedCitation" : "(11)", "plainTextFormattedCitation" : "(11)", "previouslyFormattedCitation" : "(11)" }, "properties" : {  }, "schema" : "https://github.com/citation-style-language/schema/raw/master/csl-citation.json" }</w:instrText>
      </w:r>
      <w:r w:rsidR="007A1581" w:rsidRPr="00A91D43">
        <w:rPr>
          <w:rFonts w:ascii="Calibri Light" w:hAnsi="Calibri Light"/>
        </w:rPr>
        <w:fldChar w:fldCharType="separate"/>
      </w:r>
      <w:r w:rsidR="00A37CC8" w:rsidRPr="00A37CC8">
        <w:rPr>
          <w:rFonts w:ascii="Calibri Light" w:hAnsi="Calibri Light"/>
          <w:noProof/>
        </w:rPr>
        <w:t>(11)</w:t>
      </w:r>
      <w:r w:rsidR="007A1581" w:rsidRPr="00A91D43">
        <w:rPr>
          <w:rFonts w:ascii="Calibri Light" w:hAnsi="Calibri Light"/>
        </w:rPr>
        <w:fldChar w:fldCharType="end"/>
      </w:r>
      <w:r w:rsidRPr="00A91D43">
        <w:rPr>
          <w:rFonts w:ascii="Calibri Light" w:hAnsi="Calibri Light"/>
        </w:rPr>
        <w:t xml:space="preserve"> define unrelated costs as those that are independent of the intervention under consideration, and in cases where treatments extend </w:t>
      </w:r>
      <w:r w:rsidR="005C6AD8" w:rsidRPr="00A91D43">
        <w:rPr>
          <w:rFonts w:ascii="Calibri Light" w:hAnsi="Calibri Light"/>
        </w:rPr>
        <w:t>life;</w:t>
      </w:r>
      <w:r w:rsidRPr="00A91D43">
        <w:rPr>
          <w:rFonts w:ascii="Calibri Light" w:hAnsi="Calibri Light"/>
        </w:rPr>
        <w:t xml:space="preserve"> costs are defined as unrelated if they are independent of treatment </w:t>
      </w:r>
      <w:r w:rsidR="005C6AD8" w:rsidRPr="00A91D43">
        <w:rPr>
          <w:rFonts w:ascii="Calibri Light" w:hAnsi="Calibri Light"/>
        </w:rPr>
        <w:t xml:space="preserve">but </w:t>
      </w:r>
      <w:r w:rsidRPr="00A91D43">
        <w:rPr>
          <w:rFonts w:ascii="Calibri Light" w:hAnsi="Calibri Light"/>
        </w:rPr>
        <w:t>conditional on survival. Conversely, all other costs that are not independent are defined as related.</w:t>
      </w:r>
      <w:r w:rsidR="009F5AB4" w:rsidRPr="00A91D43">
        <w:rPr>
          <w:rFonts w:ascii="Calibri Light" w:hAnsi="Calibri Light"/>
        </w:rPr>
        <w:t xml:space="preserve"> NICE guidance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"NICE", "given" : "", "non-dropping-particle" : "", "parse-names" : false, "suffix" : "" } ], "id" : "ITEM-1", "issued" : { "date-parts" : [ [ "2013" ] ] }, "publisher" : "NICE", "title" : "Guide to the methods of technology appraisal", "type" : "article-journal" }, "uris" : [ "http://www.mendeley.com/documents/?uuid=22209b25-c91e-3859-93cd-d5237eb46bff" ] } ], "mendeley" : { "formattedCitation" : "(12)", "plainTextFormattedCitation" : "(12)", "previouslyFormattedCitation" : "(12)" }, "properties" : {  }, "schema" : "https://github.com/citation-style-language/schema/raw/master/csl-citation.json" }</w:instrText>
      </w:r>
      <w:r w:rsidR="00CF09D0" w:rsidRPr="00A91D43">
        <w:rPr>
          <w:rFonts w:ascii="Calibri Light" w:hAnsi="Calibri Light"/>
        </w:rPr>
        <w:fldChar w:fldCharType="separate"/>
      </w:r>
      <w:r w:rsidR="00A37CC8" w:rsidRPr="00A37CC8">
        <w:rPr>
          <w:rFonts w:ascii="Calibri Light" w:hAnsi="Calibri Light"/>
          <w:noProof/>
        </w:rPr>
        <w:t>(12)</w:t>
      </w:r>
      <w:r w:rsidR="00CF09D0" w:rsidRPr="00A91D43">
        <w:rPr>
          <w:rFonts w:ascii="Calibri Light" w:hAnsi="Calibri Light"/>
        </w:rPr>
        <w:fldChar w:fldCharType="end"/>
      </w:r>
      <w:r w:rsidR="009F5AB4" w:rsidRPr="00A91D43">
        <w:rPr>
          <w:rFonts w:ascii="Calibri Light" w:hAnsi="Calibri Light"/>
        </w:rPr>
        <w:t xml:space="preserve"> explicitly makes the recommendation that “costs that are considered to be unrelated to the condition or technology of interest should </w:t>
      </w:r>
      <w:r w:rsidR="009F5AB4" w:rsidRPr="00320781">
        <w:rPr>
          <w:rFonts w:ascii="Calibri Light" w:hAnsi="Calibri Light" w:cs="Calibri Light"/>
        </w:rPr>
        <w:t>be excluded”.</w:t>
      </w:r>
      <w:r w:rsidR="009F5AB4" w:rsidRPr="00320781">
        <w:rPr>
          <w:rStyle w:val="FootnoteReference"/>
          <w:rFonts w:ascii="Calibri Light" w:hAnsi="Calibri Light" w:cs="Calibri Light"/>
        </w:rPr>
        <w:footnoteReference w:id="2"/>
      </w:r>
      <w:r w:rsidR="007B0D58" w:rsidRPr="00320781">
        <w:rPr>
          <w:rFonts w:ascii="Calibri Light" w:hAnsi="Calibri Light" w:cs="Calibri Light"/>
        </w:rPr>
        <w:t xml:space="preserve"> </w:t>
      </w:r>
      <w:r w:rsidR="00320781" w:rsidRPr="00723D47">
        <w:rPr>
          <w:rFonts w:ascii="Calibri Light" w:hAnsi="Calibri Light" w:cs="Calibri Light"/>
        </w:rPr>
        <w:t xml:space="preserve">A posited theoretical justification for this </w:t>
      </w:r>
      <w:r w:rsidR="008318EF">
        <w:rPr>
          <w:rFonts w:ascii="Calibri Light" w:hAnsi="Calibri Light" w:cs="Calibri Light"/>
        </w:rPr>
        <w:t>recommendation</w:t>
      </w:r>
      <w:r w:rsidR="00320781" w:rsidRPr="00723D47">
        <w:rPr>
          <w:rFonts w:ascii="Calibri Light" w:hAnsi="Calibri Light" w:cs="Calibri Light"/>
        </w:rPr>
        <w:t xml:space="preserve"> is that the aim of economic evaluation is to judge each intervention on its own ‘merits’</w:t>
      </w:r>
      <w:r w:rsidR="00320781">
        <w:rPr>
          <w:rFonts w:ascii="Calibri Light" w:hAnsi="Calibri Light" w:cs="Calibri Light"/>
        </w:rPr>
        <w:t xml:space="preserve"> </w:t>
      </w:r>
      <w:r w:rsidR="00320781">
        <w:rPr>
          <w:rFonts w:ascii="Calibri Light" w:hAnsi="Calibri Light" w:cs="Calibri Light"/>
        </w:rPr>
        <w:fldChar w:fldCharType="begin" w:fldLock="1"/>
      </w:r>
      <w:r w:rsidR="000866A8">
        <w:rPr>
          <w:rFonts w:ascii="Calibri Light" w:hAnsi="Calibri Light" w:cs="Calibri Light"/>
        </w:rPr>
        <w:instrText>ADDIN CSL_CITATION { "citationItems" : [ { "id" : "ITEM-1", "itemData" : { "ISBN" : "0815776314", "abstract" : "Vaccination -- Screening -- Lifestyle -- Evaluating Prevention: Some Results and a Framework for Future Studies.", "author" : [ { "dropping-particle" : "", "family" : "Russell", "given" : "Louise B.", "non-dropping-particle" : "", "parse-names" : false, "suffix" : "" } ], "id" : "ITEM-1", "issued" : { "date-parts" : [ [ "1986" ] ] }, "number-of-pages" : "134", "publisher" : "Brookings Institution", "title" : "Is prevention better than cure?", "type" : "book" }, "uris" : [ "http://www.mendeley.com/documents/?uuid=87ad5544-8a26-3593-ad5c-20aad70c26dc" ] } ], "mendeley" : { "formattedCitation" : "(13)", "plainTextFormattedCitation" : "(13)", "previouslyFormattedCitation" : "(13)" }, "properties" : {  }, "schema" : "https://github.com/citation-style-language/schema/raw/master/csl-citation.json" }</w:instrText>
      </w:r>
      <w:r w:rsidR="00320781">
        <w:rPr>
          <w:rFonts w:ascii="Calibri Light" w:hAnsi="Calibri Light" w:cs="Calibri Light"/>
        </w:rPr>
        <w:fldChar w:fldCharType="separate"/>
      </w:r>
      <w:r w:rsidR="00320781" w:rsidRPr="00320781">
        <w:rPr>
          <w:rFonts w:ascii="Calibri Light" w:hAnsi="Calibri Light" w:cs="Calibri Light"/>
          <w:noProof/>
        </w:rPr>
        <w:t>(13)</w:t>
      </w:r>
      <w:r w:rsidR="00320781">
        <w:rPr>
          <w:rFonts w:ascii="Calibri Light" w:hAnsi="Calibri Light" w:cs="Calibri Light"/>
        </w:rPr>
        <w:fldChar w:fldCharType="end"/>
      </w:r>
      <w:r w:rsidR="00320781">
        <w:rPr>
          <w:rFonts w:ascii="Calibri Light" w:hAnsi="Calibri Light" w:cs="Calibri Light"/>
        </w:rPr>
        <w:t>.</w:t>
      </w:r>
      <w:r w:rsidR="00320781" w:rsidRPr="00723D47">
        <w:rPr>
          <w:rFonts w:ascii="Calibri Light" w:hAnsi="Calibri Light" w:cs="Calibri Light"/>
        </w:rPr>
        <w:t xml:space="preserve"> </w:t>
      </w:r>
      <w:r w:rsidR="008318EF">
        <w:rPr>
          <w:rFonts w:ascii="Calibri Light" w:hAnsi="Calibri Light" w:cs="Calibri Light"/>
        </w:rPr>
        <w:t>For example, it is argued that the</w:t>
      </w:r>
      <w:r w:rsidR="00320781" w:rsidRPr="00723D47">
        <w:rPr>
          <w:rFonts w:ascii="Calibri Light" w:hAnsi="Calibri Light" w:cs="Calibri Light"/>
        </w:rPr>
        <w:t xml:space="preserve"> inclusion of future unrelated costs can </w:t>
      </w:r>
      <w:r w:rsidR="008318EF">
        <w:rPr>
          <w:rFonts w:ascii="Calibri Light" w:hAnsi="Calibri Light" w:cs="Calibri Light"/>
        </w:rPr>
        <w:t>increase the likelihood of</w:t>
      </w:r>
      <w:r w:rsidR="00320781" w:rsidRPr="00723D47">
        <w:rPr>
          <w:rFonts w:ascii="Calibri Light" w:hAnsi="Calibri Light" w:cs="Calibri Light"/>
        </w:rPr>
        <w:t xml:space="preserve"> a life extending technology be</w:t>
      </w:r>
      <w:r w:rsidR="008318EF">
        <w:rPr>
          <w:rFonts w:ascii="Calibri Light" w:hAnsi="Calibri Light" w:cs="Calibri Light"/>
        </w:rPr>
        <w:t>ing</w:t>
      </w:r>
      <w:r w:rsidR="00320781" w:rsidRPr="00723D47">
        <w:rPr>
          <w:rFonts w:ascii="Calibri Light" w:hAnsi="Calibri Light" w:cs="Calibri Light"/>
        </w:rPr>
        <w:t xml:space="preserve"> judge</w:t>
      </w:r>
      <w:r w:rsidR="008318EF">
        <w:rPr>
          <w:rFonts w:ascii="Calibri Light" w:hAnsi="Calibri Light" w:cs="Calibri Light"/>
        </w:rPr>
        <w:t>d</w:t>
      </w:r>
      <w:r w:rsidR="00320781" w:rsidRPr="00723D47">
        <w:rPr>
          <w:rFonts w:ascii="Calibri Light" w:hAnsi="Calibri Light" w:cs="Calibri Light"/>
        </w:rPr>
        <w:t xml:space="preserve"> to</w:t>
      </w:r>
      <w:r w:rsidR="008318EF">
        <w:rPr>
          <w:rFonts w:ascii="Calibri Light" w:hAnsi="Calibri Light" w:cs="Calibri Light"/>
        </w:rPr>
        <w:t xml:space="preserve"> not</w:t>
      </w:r>
      <w:r w:rsidR="00320781" w:rsidRPr="00723D47">
        <w:rPr>
          <w:rFonts w:ascii="Calibri Light" w:hAnsi="Calibri Light" w:cs="Calibri Light"/>
        </w:rPr>
        <w:t xml:space="preserve"> be cost-effective even at zero price</w:t>
      </w:r>
      <w:r w:rsidR="008318EF">
        <w:rPr>
          <w:rFonts w:ascii="Calibri Light" w:hAnsi="Calibri Light" w:cs="Calibri Light"/>
        </w:rPr>
        <w:t>, which may seem counter-intuitive</w:t>
      </w:r>
      <w:r w:rsidR="00320781" w:rsidRPr="00723D47">
        <w:rPr>
          <w:rFonts w:ascii="Calibri Light" w:hAnsi="Calibri Light" w:cs="Calibri Light"/>
        </w:rPr>
        <w:t xml:space="preserve"> </w:t>
      </w:r>
      <w:r w:rsidR="00320781">
        <w:rPr>
          <w:rFonts w:ascii="Calibri Light" w:hAnsi="Calibri Light" w:cs="Calibri Light"/>
        </w:rPr>
        <w:fldChar w:fldCharType="begin" w:fldLock="1"/>
      </w:r>
      <w:r w:rsidR="000866A8">
        <w:rPr>
          <w:rFonts w:ascii="Calibri Light" w:hAnsi="Calibri Light" w:cs="Calibri Light"/>
        </w:rPr>
        <w:instrText>ADDIN CSL_CITATION { "citationItems" : [ { "id" : "ITEM-1", "itemData" : { "author" : [ { "dropping-particle" : "", "family" : "Davis", "given" : "Sarah", "non-dropping-particle" : "", "parse-names" : false, "suffix" : "" }, { "dropping-particle" : "", "family" : "Akehurst", "given" : "Ron", "non-dropping-particle" : "", "parse-names" : false, "suffix" : "" } ], "container-title" : "Value and Outcomes Spotlight", "id" : "ITEM-1", "issued" : { "date-parts" : [ [ "2016" ] ] }, "page" : "6-8", "title" : "How Do We Evaluate Technologies That Are Not Cost Effective at Zero Price?", "type" : "article-journal", "volume" : "359" }, "uris" : [ "http://www.mendeley.com/documents/?uuid=e0fdd954-8cce-3460-b87d-bc871a3ee507" ] }, { "id" : "ITEM-2", "itemData" : { "DOI" : "10.1136/BMJ.J5096", "ISSN" : "1756-1833", "PMID" : "29127081", "abstract" : "More health would result from including all future care costs in decisions to approve interventions, write Pieter van Baal and colleagues . Sarah Davis worries that always including unrelated costs might lead to unfair distribution of care, including among people with incurable illness\n\nWhen developing guidance on the use of new technologies in the NHS, the National Institute for Health and Care Excellence (NICE) recommends considering their cost effectiveness. NICE deems an intervention cost effective if its \u201chealth benefits are greater than the opportunity costs of programmes displaced to fund the new technology, in the context of a fixed NHS budget. In other words, the general consequences for the wider group of patients in the NHS are considered alongside the effects for those patients who may directly benefit from the technology.\u201d1\n\nCurrently, NICE explicitly states that future medical costs incurred that are not directly related to the intervention in question should be excluded from economic analyses. But NICE should change its definition to include consideration of these costs.2\n\n### What are unrelated medical costs?\n\nMedical interventions that prolong a patient\u2019s life often create additional consumption of medical goods and services in years that would not have been lived without the intervention. Some of this consumption is directly related to the intervention. For example, after a successful heart transplantation, the costs of visiting the cardiologist in the years gained are considered to be related. These costs are typically included in economic analyses. But other medical costs in added years are not directly related to the intervention. The costs of dementia care in added years after the same heart transplantation would be an example of such future unrelated costs.\n\nDutch guidelines have been revised and now advise inclusion.3 New US guidance also recommends inclusion \u2026", "author" : [ { "dropping-particle" : "", "family" : "Baal", "given" : "Pieter", "non-dropping-particle" : "van", "parse-names" : false, "suffix" : "" }, { "dropping-particle" : "", "family" : "Morton", "given" : "Alec", "non-dropping-particle" : "", "parse-names" : false, "suffix" : "" }, { "dropping-particle" : "", "family" : "Brouwer", "given" : "Werner", "non-dropping-particle" : "", "parse-names" : false, "suffix" : "" }, { "dropping-particle" : "", "family" : "Meltzer", "given" : "David", "non-dropping-particle" : "", "parse-names" : false, "suffix" : "" }, { "dropping-particle" : "", "family" : "Davis", "given" : "Sarah", "non-dropping-particle" : "", "parse-names" : false, "suffix" : "" } ], "container-title" : "BMJ (Clinical research ed.)", "id" : "ITEM-2", "issued" : { "date-parts" : [ [ "2017", "11", "10" ] ] }, "page" : "j5096", "publisher" : "British Medical Journal Publishing Group", "title" : "Should cost effectiveness analyses for NICE always consider future unrelated medical costs?", "type" : "article-journal", "volume" : "359" }, "uris" : [ "http://www.mendeley.com/documents/?uuid=3c2f2294-27b0-375f-b0bf-19fccc73fc49" ] } ], "mendeley" : { "formattedCitation" : "(7,14)", "plainTextFormattedCitation" : "(7,14)", "previouslyFormattedCitation" : "(7,14)" }, "properties" : {  }, "schema" : "https://github.com/citation-style-language/schema/raw/master/csl-citation.json" }</w:instrText>
      </w:r>
      <w:r w:rsidR="00320781">
        <w:rPr>
          <w:rFonts w:ascii="Calibri Light" w:hAnsi="Calibri Light" w:cs="Calibri Light"/>
        </w:rPr>
        <w:fldChar w:fldCharType="separate"/>
      </w:r>
      <w:r w:rsidR="008318EF" w:rsidRPr="008318EF">
        <w:rPr>
          <w:rFonts w:ascii="Calibri Light" w:hAnsi="Calibri Light" w:cs="Calibri Light"/>
          <w:noProof/>
        </w:rPr>
        <w:t>(7,14)</w:t>
      </w:r>
      <w:r w:rsidR="00320781">
        <w:rPr>
          <w:rFonts w:ascii="Calibri Light" w:hAnsi="Calibri Light" w:cs="Calibri Light"/>
        </w:rPr>
        <w:fldChar w:fldCharType="end"/>
      </w:r>
      <w:r w:rsidR="00320781" w:rsidRPr="00723D47">
        <w:rPr>
          <w:rFonts w:ascii="Calibri Light" w:hAnsi="Calibri Light" w:cs="Calibri Light"/>
        </w:rPr>
        <w:t>.</w:t>
      </w:r>
      <w:r w:rsidR="00320781" w:rsidRPr="00320781">
        <w:rPr>
          <w:rFonts w:ascii="Calibri Light" w:hAnsi="Calibri Light" w:cs="Calibri Light"/>
        </w:rPr>
        <w:t xml:space="preserve"> </w:t>
      </w:r>
      <w:r w:rsidR="00E11937" w:rsidRPr="00320781">
        <w:rPr>
          <w:rFonts w:ascii="Calibri Light" w:hAnsi="Calibri Light" w:cs="Calibri Light"/>
        </w:rPr>
        <w:t>T</w:t>
      </w:r>
      <w:r w:rsidR="007B0D58" w:rsidRPr="00320781">
        <w:rPr>
          <w:rFonts w:ascii="Calibri Light" w:hAnsi="Calibri Light" w:cs="Calibri Light"/>
        </w:rPr>
        <w:t>he second US Panel</w:t>
      </w:r>
      <w:r w:rsidR="00E11937" w:rsidRPr="00320781">
        <w:rPr>
          <w:rFonts w:ascii="Calibri Light" w:hAnsi="Calibri Light" w:cs="Calibri Light"/>
        </w:rPr>
        <w:t xml:space="preserve"> on Cost-effectiveness in Health and Medicine</w:t>
      </w:r>
      <w:r w:rsidR="007B0D58" w:rsidRPr="00320781">
        <w:rPr>
          <w:rFonts w:ascii="Calibri Light" w:hAnsi="Calibri Light" w:cs="Calibri Light"/>
        </w:rPr>
        <w:t xml:space="preserve">, however, </w:t>
      </w:r>
      <w:r w:rsidR="003C3C56" w:rsidRPr="00320781">
        <w:rPr>
          <w:rFonts w:ascii="Calibri Light" w:hAnsi="Calibri Light" w:cs="Calibri Light"/>
        </w:rPr>
        <w:t>recommends</w:t>
      </w:r>
      <w:r w:rsidR="007B0D58" w:rsidRPr="00A91D43">
        <w:rPr>
          <w:rFonts w:ascii="Calibri Light" w:hAnsi="Calibri Light"/>
        </w:rPr>
        <w:t xml:space="preserve"> that all current and future, related and unrelated health care costs should be included in </w:t>
      </w:r>
      <w:r w:rsidR="005C6AD8" w:rsidRPr="00A91D43">
        <w:rPr>
          <w:rFonts w:ascii="Calibri Light" w:hAnsi="Calibri Light"/>
        </w:rPr>
        <w:t xml:space="preserve">cost-effectiveness </w:t>
      </w:r>
      <w:r w:rsidR="007B0D58" w:rsidRPr="00A91D43">
        <w:rPr>
          <w:rFonts w:ascii="Calibri Light" w:hAnsi="Calibri Light"/>
        </w:rPr>
        <w:t>analysis</w:t>
      </w:r>
      <w:r w:rsidR="005C6AD8" w:rsidRPr="00A91D43">
        <w:rPr>
          <w:rFonts w:ascii="Calibri Light" w:hAnsi="Calibri Light"/>
        </w:rPr>
        <w:t xml:space="preserve">. This </w:t>
      </w:r>
      <w:r w:rsidR="007B0D58" w:rsidRPr="00A91D43">
        <w:rPr>
          <w:rFonts w:ascii="Calibri Light" w:hAnsi="Calibri Light"/>
        </w:rPr>
        <w:t>reflect</w:t>
      </w:r>
      <w:r w:rsidR="005C6AD8" w:rsidRPr="00A91D43">
        <w:rPr>
          <w:rFonts w:ascii="Calibri Light" w:hAnsi="Calibri Light"/>
        </w:rPr>
        <w:t xml:space="preserve">s </w:t>
      </w:r>
      <w:r w:rsidR="007B0D58" w:rsidRPr="00A91D43">
        <w:rPr>
          <w:rFonts w:ascii="Calibri Light" w:hAnsi="Calibri Light"/>
        </w:rPr>
        <w:t>a growing consensus that all health care costs should be included, particularly in extended years of life</w:t>
      </w:r>
      <w:r w:rsidR="00FB1BF1"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"10.1002/hec.3366", "author" : [ { "dropping-particle" : "", "family" : "Morton", "given" : "Alec", "non-dropping-particle" : "", "parse-names" : false, "suffix" : "" }, { "dropping-particle" : "", "family" : "Adler", "given" : "Amanda I.", "non-dropping-particle" : "", "parse-names" : false, "suffix" : "" }, { "dropping-particle" : "", "family" : "Bell", "given" : "David", "non-dropping-particle" : "", "parse-names" : false, "suffix" : "" }, { "dropping-particle" : "", "family" : "Briggs", "given" : "Andrew", "non-dropping-particle" : "", "parse-names" : false, "suffix" : "" }, { "dropping-particle" : "", "family" : "Brouwer", "given" : "Werner", "non-dropping-particle" : "", "parse-names" : false, "suffix" : "" }, { "dropping-particle" : "", "family" : "Claxton", "given" : "Karl", "non-dropping-particle" : "", "parse-names" : false, "suffix" : "" }, { "dropping-particle" : "", "family" : "Craig", "given" : "Neil", "non-dropping-particle" : "", "parse-names" : false, "suffix" : "" }, { "dropping-particle" : "", "family" : "Fischer", "given" : "Alastair", "non-dropping-particle" : "", "parse-names" : false, "suffix" : "" }, { "dropping-particle" : "", "family" : "McGregor", "given" : "Peter", "non-dropping-particle" : "", "parse-names" : false, "suffix" : "" }, { "dropping-particle" : "", "family" : "Baal", "given" : "Pieter", "non-dropping-particle" : "van", "parse-names" : false, "suffix" : "" } ], "container-title" : "Health Economics", "id" : "ITEM-1", "issue" : "8", "issued" : { "date-parts" : [ [ "2016", "8" ] ] }, "page" : "933-938", "title" : "Unrelated Future Costs and Unrelated Future Benefits: Reflections on NICE Guide to the Methods of Technology Appraisal", "type" : "article-journal", "volume" : "25" }, "uris" : [ "http://www.mendeley.com/documents/?uuid=1e50ccaf-9fc8-3254-ba46-0214fb0ef792" ] }, { "id" : "ITEM-2", "itemData" : { "DOI" : "10.1001/jama.2016.12195", "ISSN" : "0098-7484", "PMID" : "27623463", "abstract" : "IMPORTANCE Since publication of the report by the Panel on Cost-Effectiveness in Health and Medicine in 1996, researchers have advanced the methods of cost-effectiveness analysis, and policy makers have experimented with its application. The need to deliver health care efficiently and the importance of using analytic techniques to understand the clinical and economic consequences of strategies to improve health have increased in recent years. OBJECTIVE To review the state of the field and provide recommendations to improve the quality of cost-effectiveness analyses. The intended audiences include researchers, government policy makers, public health officials, health care administrators, payers, businesses, clinicians, patients, and consumers. DESIGN In 2012, the Second Panel on Cost-Effectiveness in Health and Medicine was formed and included 2 co-chairs, 13 members, and 3 additional members of a leadership group. These members were selected on the basis of their experience in the field to provide broad expertise in the design, conduct, and use of cost-effectiveness analyses. Over the next 3.5 years, the panel developed recommendations by consensus. These recommendations were then reviewed by invited external reviewers and through a public posting process. FINDINGS The concept of a \"reference case\" and a set of standard methodological practices that all cost-effectiveness analyses should follow to improve quality and comparability are recommended. All cost-effectiveness analyses should report 2 reference case analyses: one based on a health care sector perspective and another based on a societal perspective. The use of an \"impact inventory,\" which is a structured table that contains consequences (both inside and outside the formal health care sector), intended to clarify the scope and boundaries of the 2 reference case analyses is also recommended. This special communication reviews these recommendations and others concerning the estimation of the consequences of interventions, the valuation of health outcomes, and the reporting of cost-effectiveness analyses. CONCLUSIONS AND RELEVANCE The Second Panel reviewed the current status of the field of cost-effectiveness analysis and developed a new set of recommendations. Major changes include the recommendation to perform analyses from 2 reference case perspectives and to provide an impact inventory to clarify included consequences.", "author" : [ { "dropping-particle" : "", "family" : "Sanders", "given" : "Gillian D.", "non-dropping-particle" : "", "parse-names" : false, "suffix" : "" }, { "dropping-particle" : "", "family" : "Neumann", "given" : "Peter J.", "non-dropping-particle" : "", "parse-names" : false, "suffix" : "" }, { "dropping-particle" : "", "family" : "Basu", "given" : "Anirban", "non-dropping-particle" : "", "parse-names" : false, "suffix" : "" }, { "dropping-particle" : "", "family" : "Brock", "given" : "Dan W.", "non-dropping-particle" : "", "parse-names" : false, "suffix" : "" }, { "dropping-particle" : "", "family" : "Feeny", "given" : "David", "non-dropping-particle" : "", "parse-names" : false, "suffix" : "" }, { "dropping-particle" : "", "family" : "Krahn", "given" : "Murray", "non-dropping-particle" : "", "parse-names" : false, "suffix" : "" }, { "dropping-particle" : "", "family" : "Kuntz", "given" : "Karen M.", "non-dropping-particle" : "", "parse-names" : false, "suffix" : "" }, { "dropping-particle" : "", "family" : "Meltzer", "given" : "David O.", "non-dropping-particle" : "", "parse-names" : false, "suffix" : "" }, { "dropping-particle" : "", "family" : "Owens", "given" : "Douglas K.", "non-dropping-particle" : "", "parse-names" : false, "suffix" : "" }, { "dropping-particle" : "", "family" : "Prosser", "given" : "Lisa A.", "non-dropping-particle" : "", "parse-names" : false, "suffix" : "" }, { "dropping-particle" : "", "family" : "Salomon", "given" : "Joshua A.", "non-dropping-particle" : "", "parse-names" : false, "suffix" : "" }, { "dropping-particle" : "", "family" : "Sculpher", "given" : "Mark J.", "non-dropping-particle" : "", "parse-names" : false, "suffix" : "" }, { "dropping-particle" : "", "family" : "Trikalinos", "given" : "Thomas A.", "non-dropping-particle" : "", "parse-names" : false, "suffix" : "" }, { "dropping-particle" : "", "family" : "Russell", "given" : "Louise B.", "non-dropping-particle" : "", "parse-names" : false, "suffix" : "" }, { "dropping-particle" : "", "family" : "Siegel", "given" : "Joanna E.", "non-dropping-particle" : "", "parse-names" : false, "suffix" : "" }, { "dropping-particle" : "", "family" : "Ganiats", "given" : "Theodore G.", "non-dropping-particle" : "", "parse-names" : false, "suffix" : "" } ], "container-title" : "JAMA", "id" : "ITEM-2", "issue" : "10", "issued" : { "date-parts" : [ [ "2016", "9", "13" ] ] }, "page" : "1093", "title" : "Recommendations for Conduct, Methodological Practices, and Reporting of Cost-effectiveness Analyses", "type" : "article-journal", "volume" : "316" }, "uris" : [ "http://www.mendeley.com/documents/?uuid=96c0e2e0-369b-3ce9-9c40-9d773eb69c0b" ] } ], "mendeley" : { "formattedCitation" : "(3,15)", "plainTextFormattedCitation" : "(3,15)", "previouslyFormattedCitation" : "(3,15)" }, "properties" : {  }, "schema" : "https://github.com/citation-style-language/schema/raw/master/csl-citation.json" }</w:instrText>
      </w:r>
      <w:r w:rsidR="00CF09D0" w:rsidRPr="00A91D43">
        <w:rPr>
          <w:rFonts w:ascii="Calibri Light" w:hAnsi="Calibri Light"/>
        </w:rPr>
        <w:fldChar w:fldCharType="separate"/>
      </w:r>
      <w:r w:rsidR="00320781" w:rsidRPr="00320781">
        <w:rPr>
          <w:rFonts w:ascii="Calibri Light" w:hAnsi="Calibri Light"/>
          <w:noProof/>
        </w:rPr>
        <w:t>(3,15)</w:t>
      </w:r>
      <w:r w:rsidR="00CF09D0" w:rsidRPr="00A91D43">
        <w:rPr>
          <w:rFonts w:ascii="Calibri Light" w:hAnsi="Calibri Light"/>
        </w:rPr>
        <w:fldChar w:fldCharType="end"/>
      </w:r>
      <w:r w:rsidR="007B0D58" w:rsidRPr="00A91D43">
        <w:rPr>
          <w:rFonts w:ascii="Calibri Light" w:hAnsi="Calibri Light"/>
        </w:rPr>
        <w:t>.</w:t>
      </w:r>
      <w:r w:rsidR="00A37CC8">
        <w:rPr>
          <w:rFonts w:ascii="Calibri Light" w:hAnsi="Calibri Light"/>
        </w:rPr>
        <w:t xml:space="preserve"> Indeed, the guidelines employed in the Netherlands</w:t>
      </w:r>
      <w:r w:rsidR="00723D47">
        <w:rPr>
          <w:rFonts w:ascii="Calibri Light" w:hAnsi="Calibri Light"/>
        </w:rPr>
        <w:t xml:space="preserve"> and by LFN in Sweden </w:t>
      </w:r>
      <w:r w:rsidR="00723D47" w:rsidRPr="00A91D43">
        <w:rPr>
          <w:rFonts w:ascii="Calibri Light" w:hAnsi="Calibri Light"/>
        </w:rPr>
        <w:fldChar w:fldCharType="begin" w:fldLock="1"/>
      </w:r>
      <w:r w:rsidR="000866A8">
        <w:rPr>
          <w:rFonts w:ascii="Calibri Light" w:hAnsi="Calibri Light"/>
        </w:rPr>
        <w:instrText>ADDIN CSL_CITATION { "citationItems" : [ { "id" : "ITEM-1", "itemData" : { "abstract" : "The Pharmaceutical Benefits Board has published the following general guidelines for economic evaluations submitted with applications for the inclusion of a medicine in the pharmaceutical reimbursement scheme, according to paragraph 15 (2002:160) of the law on pharmaceutical reimbursement. 1. Overview These guidelines are aimed at companies intending to apply for the inclusion of a drug in the pharmaceutical reimbursement scheme and who, in connection with their application, enclose a health economic evaluation. For the Pharmaceutical Benefits Board the guidelines constitute a preferred approach to drawing up a health economic analysis. The majority of the points presented below can also be valuable in the planning and conducting of health economic evaluation studies with a view towards a pending application. The guidelines should not be interpreted as a manual rather as a support tool when drawing up applications and studies. In certain situations, there may be good reason to deviate from the guidelines on certain issues. When assessing an application, the Pharmaceutical Benefits Board will take account of the particular conditions that enabled an applicant to apply these guidelines. 2. Which costs and revenues should be included? The health economic analysis should be done from a social economic perspective. Amongst other things, this means that all relevant costs and revenues for treatment and ill health, irrespective of the payee (county council, local authority, state, patient, relation) should be considered. The information must describe the situation in Sweden. 3. Choice of an alternative for comparison The costs and health effects of using the drug in question should be compared with the most appropriate alternative treatment in Sweden (e.g. the most used). This could be drug treatment, another treatment or no treatment at all. In making calculations, the reference point should be practice applicable in Swedish medical treatment. If existing randomised clinical trials do not offer a relevant treatment alternative for Swedish conditions, the analysis should be supplemented by a model calculation. The calculations carried out should be shown so that the assumptions and procedure are evident.", "author" : [ { "dropping-particle" : "", "family" : "LFN", "given" : "", "non-dropping-particle" : "", "parse-names" : false, "suffix" : "" } ], "id" : "ITEM-1", "issued" : { "date-parts" : [ [ "2003" ] ] }, "title" : "General guidelines for economic evaluations from the Pharmaceutical Benefits Board", "type" : "article-journal" }, "uris" : [ "http://www.mendeley.com/documents/?uuid=d6ff5d4c-4ad0-335c-888f-2c0cf30e139e" ] } ], "mendeley" : { "formattedCitation" : "(16)", "plainTextFormattedCitation" : "(16)", "previouslyFormattedCitation" : "(16)" }, "properties" : {  }, "schema" : "https://github.com/citation-style-language/schema/raw/master/csl-citation.json" }</w:instrText>
      </w:r>
      <w:r w:rsidR="00723D47" w:rsidRPr="00A91D43">
        <w:rPr>
          <w:rFonts w:ascii="Calibri Light" w:hAnsi="Calibri Light"/>
        </w:rPr>
        <w:fldChar w:fldCharType="separate"/>
      </w:r>
      <w:r w:rsidR="00F00831" w:rsidRPr="00F00831">
        <w:rPr>
          <w:rFonts w:ascii="Calibri Light" w:hAnsi="Calibri Light"/>
          <w:noProof/>
        </w:rPr>
        <w:t>(16)</w:t>
      </w:r>
      <w:r w:rsidR="00723D47" w:rsidRPr="00A91D43">
        <w:rPr>
          <w:rFonts w:ascii="Calibri Light" w:hAnsi="Calibri Light"/>
        </w:rPr>
        <w:fldChar w:fldCharType="end"/>
      </w:r>
      <w:r w:rsidR="00A37CC8">
        <w:rPr>
          <w:rFonts w:ascii="Calibri Light" w:hAnsi="Calibri Light"/>
        </w:rPr>
        <w:t xml:space="preserve"> also recommend the inclusion of future unrelated costs </w:t>
      </w:r>
      <w:r w:rsidR="00A37CC8">
        <w:rPr>
          <w:rFonts w:ascii="Calibri Light" w:hAnsi="Calibri Light"/>
        </w:rPr>
        <w:fldChar w:fldCharType="begin" w:fldLock="1"/>
      </w:r>
      <w:r w:rsidR="000866A8">
        <w:rPr>
          <w:rFonts w:ascii="Calibri Light" w:hAnsi="Calibri Light"/>
        </w:rPr>
        <w:instrText>ADDIN CSL_CITATION { "citationItems" : [ { "id" : "ITEM-1", "itemData" : { "URL" : "https://www.zorginstituutnederland.nl/publicaties/publicatie/2016/02/29/richtlijn-voor-het-uitvoeren-van-economische-evaluaties-in-de-gezondheidszorg", "accessed" : { "date-parts" : [ [ "2017", "11", "16" ] ] }, "author" : [ { "dropping-particle" : "", "family" : "Zorginstituut Nederland", "given" : "", "non-dropping-particle" : "", "parse-names" : false, "suffix" : "" } ], "id" : "ITEM-1", "issued" : { "date-parts" : [ [ "2015" ] ] }, "title" : "Richtlijn voor het uitvoeren van economische evaluaties in de gezondheidszorg", "type" : "webpage" }, "uris" : [ "http://www.mendeley.com/documents/?uuid=ec34c8a3-f6a5-3101-8126-12b9839a0c97" ] } ], "mendeley" : { "formattedCitation" : "(17)", "plainTextFormattedCitation" : "(17)", "previouslyFormattedCitation" : "(17)" }, "properties" : {  }, "schema" : "https://github.com/citation-style-language/schema/raw/master/csl-citation.json" }</w:instrText>
      </w:r>
      <w:r w:rsidR="00A37CC8">
        <w:rPr>
          <w:rFonts w:ascii="Calibri Light" w:hAnsi="Calibri Light"/>
        </w:rPr>
        <w:fldChar w:fldCharType="separate"/>
      </w:r>
      <w:r w:rsidR="00F00831" w:rsidRPr="00F00831">
        <w:rPr>
          <w:rFonts w:ascii="Calibri Light" w:hAnsi="Calibri Light"/>
          <w:noProof/>
        </w:rPr>
        <w:t>(17)</w:t>
      </w:r>
      <w:r w:rsidR="00A37CC8">
        <w:rPr>
          <w:rFonts w:ascii="Calibri Light" w:hAnsi="Calibri Light"/>
        </w:rPr>
        <w:fldChar w:fldCharType="end"/>
      </w:r>
      <w:r w:rsidR="00A37CC8">
        <w:rPr>
          <w:rFonts w:ascii="Calibri Light" w:hAnsi="Calibri Light"/>
        </w:rPr>
        <w:t>.</w:t>
      </w:r>
      <w:r w:rsidR="00723D47">
        <w:rPr>
          <w:rStyle w:val="FootnoteReference"/>
          <w:rFonts w:ascii="Calibri Light" w:hAnsi="Calibri Light"/>
        </w:rPr>
        <w:footnoteReference w:id="3"/>
      </w:r>
    </w:p>
    <w:p w14:paraId="0A8021D1" w14:textId="3C92178C" w:rsidR="007A0CB0" w:rsidRDefault="00A62EBB" w:rsidP="002A4475">
      <w:pPr>
        <w:rPr>
          <w:rFonts w:ascii="Calibri Light" w:hAnsi="Calibri Light"/>
        </w:rPr>
      </w:pPr>
      <w:r w:rsidRPr="00A91D43">
        <w:rPr>
          <w:rFonts w:ascii="Calibri Light" w:hAnsi="Calibri Light"/>
        </w:rPr>
        <w:t xml:space="preserve">In practice, whether costs are related or unrelated is based on a judgement of whether they are plausibly related to either the condition or the intervention being considered. This </w:t>
      </w:r>
      <w:r w:rsidR="00621A05" w:rsidRPr="00A91D43">
        <w:rPr>
          <w:rFonts w:ascii="Calibri Light" w:hAnsi="Calibri Light"/>
        </w:rPr>
        <w:t xml:space="preserve">is a </w:t>
      </w:r>
      <w:r w:rsidRPr="00A91D43">
        <w:rPr>
          <w:rFonts w:ascii="Calibri Light" w:hAnsi="Calibri Light"/>
        </w:rPr>
        <w:t xml:space="preserve">subjective </w:t>
      </w:r>
      <w:r w:rsidR="00621A05" w:rsidRPr="00A91D43">
        <w:rPr>
          <w:rFonts w:ascii="Calibri Light" w:hAnsi="Calibri Light"/>
        </w:rPr>
        <w:t xml:space="preserve">assessment </w:t>
      </w:r>
      <w:r w:rsidRPr="00A91D43">
        <w:rPr>
          <w:rFonts w:ascii="Calibri Light" w:hAnsi="Calibri Light"/>
        </w:rPr>
        <w:t xml:space="preserve">and </w:t>
      </w:r>
      <w:r w:rsidR="003C3C56" w:rsidRPr="00A91D43">
        <w:rPr>
          <w:rFonts w:ascii="Calibri Light" w:hAnsi="Calibri Light"/>
        </w:rPr>
        <w:t>is</w:t>
      </w:r>
      <w:r w:rsidRPr="00A91D43">
        <w:rPr>
          <w:rFonts w:ascii="Calibri Light" w:hAnsi="Calibri Light"/>
        </w:rPr>
        <w:t xml:space="preserve"> argued to result in analyses that impose arbitrary restrictions on the costs that are considered relevant</w:t>
      </w:r>
      <w:r w:rsidR="009C4233"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"10.1002/hec.1181", "ISSN" : "10579230", "author" : [ { "dropping-particle" : "", "family" : "Baal", "given" : "Pieter H. M.", "non-dropping-particle" : "van", "parse-names" : false, "suffix" : "" }, { "dropping-particle" : "", "family" : "Feenstra", "given" : "Talitha L.", "non-dropping-particle" : "", "parse-names" : false, "suffix" : "" }, { "dropping-particle" : "", "family" : "Hoogenveen", "given" : "Rudolf T.", "non-dropping-particle" : "", "parse-names" : false, "suffix" : "" }, { "dropping-particle" : "", "family" : "Ardine de Wit", "given" : "G.", "non-dropping-particle" : "", "parse-names" : false, "suffix" : "" }, { "dropping-particle" : "", "family" : "Brouwer", "given" : "Werner B. F.", "non-dropping-particle" : "", "parse-names" : false, "suffix" : "" } ], "container-title" : "Health Economics", "id" : "ITEM-1", "issue" : "4", "issued" : { "date-parts" : [ [ "2007", "4", "1" ] ] }, "page" : "421-433", "publisher" : "John Wiley &amp; Sons, Ltd.", "title" : "Unrelated medical care in life years gained and the cost utility of primary prevention: in search of a \u2018perfect\u2019 cost\u2013utility ratio", "type" : "article-journal", "volume" : "16" }, "uris" : [ "http://www.mendeley.com/documents/?uuid=5ea74a33-9f19-3938-b6d9-84accc476bff" ] } ], "mendeley" : { "formattedCitation" : "(18)", "plainTextFormattedCitation" : "(18)", "previouslyFormattedCitation" : "(18)" }, "properties" : {  }, "schema" : "https://github.com/citation-style-language/schema/raw/master/csl-citation.json" }</w:instrText>
      </w:r>
      <w:r w:rsidR="00CF09D0" w:rsidRPr="00A91D43">
        <w:rPr>
          <w:rFonts w:ascii="Calibri Light" w:hAnsi="Calibri Light"/>
        </w:rPr>
        <w:fldChar w:fldCharType="separate"/>
      </w:r>
      <w:r w:rsidR="00320781" w:rsidRPr="00320781">
        <w:rPr>
          <w:rFonts w:ascii="Calibri Light" w:hAnsi="Calibri Light"/>
          <w:noProof/>
        </w:rPr>
        <w:t>(18)</w:t>
      </w:r>
      <w:r w:rsidR="00CF09D0" w:rsidRPr="00A91D43">
        <w:rPr>
          <w:rFonts w:ascii="Calibri Light" w:hAnsi="Calibri Light"/>
        </w:rPr>
        <w:fldChar w:fldCharType="end"/>
      </w:r>
      <w:r w:rsidRPr="00A91D43">
        <w:rPr>
          <w:rFonts w:ascii="Calibri Light" w:hAnsi="Calibri Light"/>
        </w:rPr>
        <w:t>. Further</w:t>
      </w:r>
      <w:r w:rsidR="00BD799D" w:rsidRPr="00A91D43">
        <w:rPr>
          <w:rFonts w:ascii="Calibri Light" w:hAnsi="Calibri Light"/>
        </w:rPr>
        <w:t>,</w:t>
      </w:r>
      <w:r w:rsidR="0013767A" w:rsidRPr="00A91D43">
        <w:rPr>
          <w:rFonts w:ascii="Calibri Light" w:hAnsi="Calibri Light"/>
        </w:rPr>
        <w:t xml:space="preserve"> it is not always clear which</w:t>
      </w:r>
      <w:r w:rsidRPr="00A91D43">
        <w:rPr>
          <w:rFonts w:ascii="Calibri Light" w:hAnsi="Calibri Light"/>
        </w:rPr>
        <w:t xml:space="preserve"> costs are related and which are unrelated to the condition or intervention. One such example is the case of acute myocardial </w:t>
      </w:r>
      <w:r w:rsidRPr="00A91D43">
        <w:rPr>
          <w:rFonts w:ascii="Calibri Light" w:hAnsi="Calibri Light"/>
        </w:rPr>
        <w:lastRenderedPageBreak/>
        <w:t>infarction and</w:t>
      </w:r>
      <w:r w:rsidR="003C3C56" w:rsidRPr="00A91D43">
        <w:rPr>
          <w:rFonts w:ascii="Calibri Light" w:hAnsi="Calibri Light"/>
        </w:rPr>
        <w:t>,</w:t>
      </w:r>
      <w:r w:rsidRPr="00A91D43">
        <w:rPr>
          <w:rFonts w:ascii="Calibri Light" w:hAnsi="Calibri Light"/>
        </w:rPr>
        <w:t xml:space="preserve"> in particular</w:t>
      </w:r>
      <w:r w:rsidR="003C3C56" w:rsidRPr="00A91D43">
        <w:rPr>
          <w:rFonts w:ascii="Calibri Light" w:hAnsi="Calibri Light"/>
        </w:rPr>
        <w:t>,</w:t>
      </w:r>
      <w:r w:rsidRPr="00A91D43">
        <w:rPr>
          <w:rFonts w:ascii="Calibri Light" w:hAnsi="Calibri Light"/>
        </w:rPr>
        <w:t xml:space="preserve"> how it affects</w:t>
      </w:r>
      <w:r w:rsidR="00BD799D" w:rsidRPr="00A91D43">
        <w:rPr>
          <w:rFonts w:ascii="Calibri Light" w:hAnsi="Calibri Light"/>
        </w:rPr>
        <w:t xml:space="preserve"> survivors in terms of</w:t>
      </w:r>
      <w:r w:rsidRPr="00A91D43">
        <w:rPr>
          <w:rFonts w:ascii="Calibri Light" w:hAnsi="Calibri Light"/>
        </w:rPr>
        <w:t xml:space="preserve"> life expectancy and</w:t>
      </w:r>
      <w:r w:rsidR="00621A05" w:rsidRPr="00A91D43">
        <w:rPr>
          <w:rFonts w:ascii="Calibri Light" w:hAnsi="Calibri Light"/>
        </w:rPr>
        <w:t xml:space="preserve"> the</w:t>
      </w:r>
      <w:r w:rsidRPr="00A91D43">
        <w:rPr>
          <w:rFonts w:ascii="Calibri Light" w:hAnsi="Calibri Light"/>
        </w:rPr>
        <w:t xml:space="preserve"> likelihood </w:t>
      </w:r>
      <w:r w:rsidR="00621A05" w:rsidRPr="00A91D43">
        <w:rPr>
          <w:rFonts w:ascii="Calibri Light" w:hAnsi="Calibri Light"/>
        </w:rPr>
        <w:t xml:space="preserve">of </w:t>
      </w:r>
      <w:r w:rsidRPr="00A91D43">
        <w:rPr>
          <w:rFonts w:ascii="Calibri Light" w:hAnsi="Calibri Light"/>
        </w:rPr>
        <w:t>experienc</w:t>
      </w:r>
      <w:r w:rsidR="00621A05" w:rsidRPr="00A91D43">
        <w:rPr>
          <w:rFonts w:ascii="Calibri Light" w:hAnsi="Calibri Light"/>
        </w:rPr>
        <w:t>ing</w:t>
      </w:r>
      <w:r w:rsidRPr="00A91D43">
        <w:rPr>
          <w:rFonts w:ascii="Calibri Light" w:hAnsi="Calibri Light"/>
        </w:rPr>
        <w:t xml:space="preserve"> health events or diseases</w:t>
      </w:r>
      <w:r w:rsidR="00621A05" w:rsidRPr="00A91D43">
        <w:rPr>
          <w:rFonts w:ascii="Calibri Light" w:hAnsi="Calibri Light"/>
        </w:rPr>
        <w:t xml:space="preserve"> in later life</w:t>
      </w:r>
      <w:r w:rsidR="004B3126" w:rsidRPr="00A91D43">
        <w:rPr>
          <w:rFonts w:ascii="Calibri Light" w:hAnsi="Calibri Light"/>
        </w:rPr>
        <w:t xml:space="preserve"> (20.72% of patients with SCAD are myocardial infarction survivors in the CALIBER dataset </w:t>
      </w:r>
      <w:r w:rsidR="004B3126" w:rsidRPr="00A91D43">
        <w:rPr>
          <w:rFonts w:ascii="Calibri Light" w:hAnsi="Calibri Light"/>
        </w:rPr>
        <w:fldChar w:fldCharType="begin" w:fldLock="1"/>
      </w:r>
      <w:r w:rsidR="000866A8">
        <w:rPr>
          <w:rFonts w:ascii="Calibri Light" w:hAnsi="Calibri Light"/>
        </w:rPr>
        <w:instrText>ADDIN CSL_CITATION { "citationItems" : [ { "id" : "ITEM-1", "itemData" : { "DOI" : "10.1093/eurheartj/eht533", "ISSN" : "1522-9645", "author" : [ { "dropping-particle" : "", "family" : "Rapsomaniki", "given" : "Eleni", "non-dropping-particle" : "", "parse-names" : false, "suffix" : "" }, { "dropping-particle" : "", "family" : "Shah", "given" : "Anoop", "non-dropping-particle" : "", "parse-names" : false, "suffix" : "" }, { "dropping-particle" : "", "family" : "Perel", "given" : "Pablo", "non-dropping-particle" : "", "parse-names" : false, "suffix" : "" }, { "dropping-particle" : "", "family" : "Denaxas", "given" : "Spiros", "non-dropping-particle" : "", "parse-names" : false, "suffix" : "" }, { "dropping-particle" : "", "family" : "George", "given" : "Julie", "non-dropping-particle" : "", "parse-names" : false, "suffix" : "" }, { "dropping-particle" : "", "family" : "Nicholas", "given" : "Owen", "non-dropping-particle" : "", "parse-names" : false, "suffix" : "" }, { "dropping-particle" : "", "family" : "Udumyan", "given" : "Ruzan", "non-dropping-particle" : "", "parse-names" : false, "suffix" : "" }, { "dropping-particle" : "", "family" : "Feder", "given" : "Gene Solomon", "non-dropping-particle" : "", "parse-names" : false, "suffix" : "" }, { "dropping-particle" : "", "family" : "Hingorani", "given" : "Aroon D.", "non-dropping-particle" : "", "parse-names" : false, "suffix" : "" }, { "dropping-particle" : "", "family" : "Timmis", "given" : "Adam", "non-dropping-particle" : "", "parse-names" : false, "suffix" : "" }, { "dropping-particle" : "", "family" : "Smeeth", "given" : "Liam", "non-dropping-particle" : "", "parse-names" : false, "suffix" : "" }, { "dropping-particle" : "", "family" : "Hemingway", "given" : "Harry", "non-dropping-particle" : "", "parse-names" : false, "suffix" : "" } ], "container-title" : "European Heart Journal", "id" : "ITEM-1", "issue" : "13", "issued" : { "date-parts" : [ [ "2014", "4", "1" ] ] }, "page" : "844-852", "publisher" : "Oxford University Press", "title" : "Prognostic models for stable coronary artery disease based on electronic health record cohort of 102 023 patients", "type" : "article-journal", "volume" : "35" }, "uris" : [ "http://www.mendeley.com/documents/?uuid=7a9535e3-294c-39df-8b4c-025948c1cd09" ] } ], "mendeley" : { "formattedCitation" : "(19)", "plainTextFormattedCitation" : "(19)", "previouslyFormattedCitation" : "(19)" }, "properties" : {  }, "schema" : "https://github.com/citation-style-language/schema/raw/master/csl-citation.json" }</w:instrText>
      </w:r>
      <w:r w:rsidR="004B3126" w:rsidRPr="00A91D43">
        <w:rPr>
          <w:rFonts w:ascii="Calibri Light" w:hAnsi="Calibri Light"/>
        </w:rPr>
        <w:fldChar w:fldCharType="separate"/>
      </w:r>
      <w:r w:rsidR="00320781" w:rsidRPr="00320781">
        <w:rPr>
          <w:rFonts w:ascii="Calibri Light" w:hAnsi="Calibri Light"/>
          <w:noProof/>
        </w:rPr>
        <w:t>(19)</w:t>
      </w:r>
      <w:r w:rsidR="004B3126" w:rsidRPr="00A91D43">
        <w:rPr>
          <w:rFonts w:ascii="Calibri Light" w:hAnsi="Calibri Light"/>
        </w:rPr>
        <w:fldChar w:fldCharType="end"/>
      </w:r>
      <w:r w:rsidR="004B3126" w:rsidRPr="00A91D43">
        <w:rPr>
          <w:rFonts w:ascii="Calibri Light" w:hAnsi="Calibri Light"/>
        </w:rPr>
        <w:t>)</w:t>
      </w:r>
      <w:r w:rsidRPr="00A91D43">
        <w:rPr>
          <w:rFonts w:ascii="Calibri Light" w:hAnsi="Calibri Light"/>
        </w:rPr>
        <w:t>.</w:t>
      </w:r>
      <w:r w:rsidR="00BD799D" w:rsidRPr="00A91D43">
        <w:rPr>
          <w:rFonts w:ascii="Calibri Light" w:hAnsi="Calibri Light"/>
        </w:rPr>
        <w:t xml:space="preserve"> </w:t>
      </w:r>
      <w:r w:rsidR="00C35D4A">
        <w:rPr>
          <w:rFonts w:ascii="Calibri Light" w:hAnsi="Calibri Light"/>
        </w:rPr>
        <w:t>MI</w:t>
      </w:r>
      <w:r w:rsidRPr="00A91D43">
        <w:rPr>
          <w:rFonts w:ascii="Calibri Light" w:hAnsi="Calibri Light"/>
        </w:rPr>
        <w:t xml:space="preserve"> survivorship </w:t>
      </w:r>
      <w:r w:rsidR="00621A05" w:rsidRPr="00A91D43">
        <w:rPr>
          <w:rFonts w:ascii="Calibri Light" w:hAnsi="Calibri Light"/>
        </w:rPr>
        <w:t xml:space="preserve">is </w:t>
      </w:r>
      <w:r w:rsidRPr="00A91D43">
        <w:rPr>
          <w:rFonts w:ascii="Calibri Light" w:hAnsi="Calibri Light"/>
        </w:rPr>
        <w:t>increasing</w:t>
      </w:r>
      <w:r w:rsidR="00621A05" w:rsidRPr="00A91D43">
        <w:rPr>
          <w:rFonts w:ascii="Calibri Light" w:hAnsi="Calibri Light"/>
        </w:rPr>
        <w:t xml:space="preserve"> </w:t>
      </w:r>
      <w:r w:rsidRPr="00A91D43">
        <w:rPr>
          <w:rFonts w:ascii="Calibri Light" w:hAnsi="Calibri Light"/>
        </w:rPr>
        <w:t>due to the availability of effective treatments</w:t>
      </w:r>
      <w:r w:rsidR="00A53DE5" w:rsidRPr="00A91D43">
        <w:rPr>
          <w:rFonts w:ascii="Calibri Light" w:hAnsi="Calibri Light"/>
        </w:rPr>
        <w:t xml:space="preserve">, </w:t>
      </w:r>
      <w:r w:rsidR="004B3126" w:rsidRPr="00A91D43">
        <w:rPr>
          <w:rFonts w:ascii="Calibri Light" w:hAnsi="Calibri Light"/>
        </w:rPr>
        <w:t>for example</w:t>
      </w:r>
      <w:r w:rsidRPr="00A91D43">
        <w:rPr>
          <w:rFonts w:ascii="Calibri Light" w:hAnsi="Calibri Light"/>
        </w:rPr>
        <w:t xml:space="preserve"> in England in 2010, on average 27.32% of </w:t>
      </w:r>
      <w:r w:rsidR="00C35D4A">
        <w:rPr>
          <w:rFonts w:ascii="Calibri Light" w:hAnsi="Calibri Light"/>
        </w:rPr>
        <w:t>MI</w:t>
      </w:r>
      <w:r w:rsidRPr="00A91D43">
        <w:rPr>
          <w:rFonts w:ascii="Calibri Light" w:hAnsi="Calibri Light"/>
        </w:rPr>
        <w:t xml:space="preserve"> cases that were admitted to hospital died within 30 days, where the corresponding 2002 proportion was 37.18%</w:t>
      </w:r>
      <w:r w:rsidR="0095797D"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"Townsend", "given" : "N", "non-dropping-particle" : "", "parse-names" : false, "suffix" : "" }, { "dropping-particle" : "", "family" : "Wickramasinghe", "given" : "K", "non-dropping-particle" : "", "parse-names" : false, "suffix" : "" }, { "dropping-particle" : "", "family" : "Bhatnagar", "given" : "P", "non-dropping-particle" : "", "parse-names" : false, "suffix" : "" }, { "dropping-particle" : "", "family" : "Smolina", "given" : "K", "non-dropping-particle" : "", "parse-names" : false, "suffix" : "" }, { "dropping-particle" : "", "family" : "Nichols", "given" : "M", "non-dropping-particle" : "", "parse-names" : false, "suffix" : "" }, { "dropping-particle" : "", "family" : "Leal", "given" : "J", "non-dropping-particle" : "", "parse-names" : false, "suffix" : "" }, { "dropping-particle" : "", "family" : "Luengo-Fernandez", "given" : "R", "non-dropping-particle" : "", "parse-names" : false, "suffix" : "" }, { "dropping-particle" : "", "family" : "Rayner", "given" : "M", "non-dropping-particle" : "", "parse-names" : false, "suffix" : "" } ], "container-title" : "British Heart Foundation: London", "id" : "ITEM-1", "issued" : { "date-parts" : [ [ "2012" ] ] }, "title" : "Coronary heart disease statistics A compendium of health statistics 2012 edition", "type" : "article-journal" }, "uris" : [ "http://www.mendeley.com/documents/?uuid=8533a808-288f-4ff4-8f08-0a8b8e4b8644" ] } ], "mendeley" : { "formattedCitation" : "(20)", "plainTextFormattedCitation" : "(20)", "previouslyFormattedCitation" : "(20)" }, "properties" : {  }, "schema" : "https://github.com/citation-style-language/schema/raw/master/csl-citation.json" }</w:instrText>
      </w:r>
      <w:r w:rsidR="00CF09D0" w:rsidRPr="00A91D43">
        <w:rPr>
          <w:rFonts w:ascii="Calibri Light" w:hAnsi="Calibri Light"/>
        </w:rPr>
        <w:fldChar w:fldCharType="separate"/>
      </w:r>
      <w:r w:rsidR="00320781" w:rsidRPr="00320781">
        <w:rPr>
          <w:rFonts w:ascii="Calibri Light" w:hAnsi="Calibri Light"/>
          <w:noProof/>
        </w:rPr>
        <w:t>(20)</w:t>
      </w:r>
      <w:r w:rsidR="00CF09D0" w:rsidRPr="00A91D43">
        <w:rPr>
          <w:rFonts w:ascii="Calibri Light" w:hAnsi="Calibri Light"/>
        </w:rPr>
        <w:fldChar w:fldCharType="end"/>
      </w:r>
      <w:r w:rsidR="00BD799D" w:rsidRPr="00A91D43">
        <w:rPr>
          <w:rFonts w:ascii="Calibri Light" w:hAnsi="Calibri Light"/>
        </w:rPr>
        <w:t>.</w:t>
      </w:r>
    </w:p>
    <w:p w14:paraId="709E0A6B" w14:textId="6BFBB321" w:rsidR="0038437B" w:rsidRPr="00A91D43" w:rsidRDefault="00662B54" w:rsidP="002A4475">
      <w:pPr>
        <w:rPr>
          <w:rFonts w:ascii="Calibri Light" w:hAnsi="Calibri Light"/>
        </w:rPr>
      </w:pPr>
      <w:r w:rsidRPr="00A91D43">
        <w:rPr>
          <w:rFonts w:ascii="Calibri Light" w:hAnsi="Calibri Light"/>
        </w:rPr>
        <w:t xml:space="preserve">A review of published economic evaluations of the treatment of </w:t>
      </w:r>
      <w:r w:rsidR="00C35D4A">
        <w:rPr>
          <w:rFonts w:ascii="Calibri Light" w:hAnsi="Calibri Light"/>
        </w:rPr>
        <w:t>MI</w:t>
      </w:r>
      <w:r w:rsidRPr="00A91D43">
        <w:rPr>
          <w:rFonts w:ascii="Calibri Light" w:hAnsi="Calibri Light"/>
        </w:rPr>
        <w:t xml:space="preserve"> f</w:t>
      </w:r>
      <w:r w:rsidR="003C3C56" w:rsidRPr="00A91D43">
        <w:rPr>
          <w:rFonts w:ascii="Calibri Light" w:hAnsi="Calibri Light"/>
        </w:rPr>
        <w:t>i</w:t>
      </w:r>
      <w:r w:rsidRPr="00A91D43">
        <w:rPr>
          <w:rFonts w:ascii="Calibri Light" w:hAnsi="Calibri Light"/>
        </w:rPr>
        <w:t>nd</w:t>
      </w:r>
      <w:r w:rsidR="003C3C56" w:rsidRPr="00A91D43">
        <w:rPr>
          <w:rFonts w:ascii="Calibri Light" w:hAnsi="Calibri Light"/>
        </w:rPr>
        <w:t>s</w:t>
      </w:r>
      <w:r w:rsidRPr="00A91D43">
        <w:rPr>
          <w:rFonts w:ascii="Calibri Light" w:hAnsi="Calibri Light"/>
        </w:rPr>
        <w:t xml:space="preserve"> considerable variation in the types of costs included</w:t>
      </w:r>
      <w:r w:rsidR="00621A05" w:rsidRPr="00A91D43">
        <w:rPr>
          <w:rFonts w:ascii="Calibri Light" w:hAnsi="Calibri Light"/>
        </w:rPr>
        <w:t>,</w:t>
      </w:r>
      <w:r w:rsidRPr="00A91D43">
        <w:rPr>
          <w:rFonts w:ascii="Calibri Light" w:hAnsi="Calibri Light"/>
        </w:rPr>
        <w:t xml:space="preserve"> reflecting both the subjectivity in determining relevance and variation in recommendations among guidelines. </w:t>
      </w:r>
      <w:r w:rsidR="00621A05" w:rsidRPr="00A91D43">
        <w:rPr>
          <w:rFonts w:ascii="Calibri Light" w:hAnsi="Calibri Light"/>
        </w:rPr>
        <w:t>Nineteen</w:t>
      </w:r>
      <w:r w:rsidRPr="00A91D43">
        <w:rPr>
          <w:rFonts w:ascii="Calibri Light" w:hAnsi="Calibri Light"/>
        </w:rPr>
        <w:t xml:space="preserve"> economic evaluations published since 2006</w:t>
      </w:r>
      <w:r w:rsidR="003C3C56" w:rsidRPr="00A91D43">
        <w:rPr>
          <w:rFonts w:ascii="Calibri Light" w:hAnsi="Calibri Light"/>
        </w:rPr>
        <w:t xml:space="preserve"> a</w:t>
      </w:r>
      <w:r w:rsidRPr="00A91D43">
        <w:rPr>
          <w:rFonts w:ascii="Calibri Light" w:hAnsi="Calibri Light"/>
        </w:rPr>
        <w:t>re categorised according to the cost categories included: CHD costs on</w:t>
      </w:r>
      <w:r w:rsidR="00A22721" w:rsidRPr="00A91D43">
        <w:rPr>
          <w:rFonts w:ascii="Calibri Light" w:hAnsi="Calibri Light"/>
        </w:rPr>
        <w:t xml:space="preserve">ly, </w:t>
      </w:r>
      <w:r w:rsidR="00B2710D">
        <w:rPr>
          <w:rFonts w:ascii="Calibri Light" w:hAnsi="Calibri Light"/>
        </w:rPr>
        <w:t>CVD</w:t>
      </w:r>
      <w:r w:rsidRPr="00A91D43">
        <w:rPr>
          <w:rFonts w:ascii="Calibri Light" w:hAnsi="Calibri Light"/>
        </w:rPr>
        <w:t xml:space="preserve"> costs only or all costs</w:t>
      </w:r>
      <w:r w:rsidR="003C3C56" w:rsidRPr="00A91D43">
        <w:rPr>
          <w:rFonts w:ascii="Calibri Light" w:hAnsi="Calibri Light"/>
        </w:rPr>
        <w:t xml:space="preserve"> (see Appendix)</w:t>
      </w:r>
      <w:r w:rsidRPr="00A91D43">
        <w:rPr>
          <w:rFonts w:ascii="Calibri Light" w:hAnsi="Calibri Light"/>
        </w:rPr>
        <w:t>.</w:t>
      </w:r>
      <w:r w:rsidR="003C3C56" w:rsidRPr="00A91D43">
        <w:rPr>
          <w:rFonts w:ascii="Calibri Light" w:hAnsi="Calibri Light"/>
        </w:rPr>
        <w:t xml:space="preserve"> </w:t>
      </w:r>
      <w:r w:rsidR="008A2605" w:rsidRPr="00A91D43">
        <w:rPr>
          <w:rFonts w:ascii="Calibri Light" w:hAnsi="Calibri Light"/>
        </w:rPr>
        <w:t xml:space="preserve"> CHD costs form the smallest cost category, including costs exclusively related to CHD, for example, costs attributable to MI. </w:t>
      </w:r>
      <w:r w:rsidR="00F43118" w:rsidRPr="00A91D43">
        <w:rPr>
          <w:rFonts w:ascii="Calibri Light" w:hAnsi="Calibri Light"/>
        </w:rPr>
        <w:t>CVD costs include</w:t>
      </w:r>
      <w:r w:rsidR="00D30A86" w:rsidRPr="00A91D43">
        <w:rPr>
          <w:rFonts w:ascii="Calibri Light" w:hAnsi="Calibri Light"/>
        </w:rPr>
        <w:t xml:space="preserve"> not only</w:t>
      </w:r>
      <w:r w:rsidR="008A2605" w:rsidRPr="00A91D43">
        <w:rPr>
          <w:rFonts w:ascii="Calibri Light" w:hAnsi="Calibri Light"/>
        </w:rPr>
        <w:t xml:space="preserve"> all costs attributable to</w:t>
      </w:r>
      <w:r w:rsidR="00F43118" w:rsidRPr="00A91D43">
        <w:rPr>
          <w:rFonts w:ascii="Calibri Light" w:hAnsi="Calibri Light"/>
        </w:rPr>
        <w:t xml:space="preserve"> CHD, but all costs related to the cardiovascular system</w:t>
      </w:r>
      <w:r w:rsidR="00D30A86" w:rsidRPr="00A91D43">
        <w:rPr>
          <w:rFonts w:ascii="Calibri Light" w:hAnsi="Calibri Light"/>
        </w:rPr>
        <w:t xml:space="preserve"> more broadly</w:t>
      </w:r>
      <w:r w:rsidR="00F43118" w:rsidRPr="00A91D43">
        <w:rPr>
          <w:rFonts w:ascii="Calibri Light" w:hAnsi="Calibri Light"/>
        </w:rPr>
        <w:t xml:space="preserve">, e.g. ischaemic and </w:t>
      </w:r>
      <w:r w:rsidR="008A2605" w:rsidRPr="00A91D43">
        <w:rPr>
          <w:rFonts w:ascii="Calibri Light" w:hAnsi="Calibri Light"/>
        </w:rPr>
        <w:t>haemorrhagic stroke</w:t>
      </w:r>
      <w:r w:rsidR="00F43118" w:rsidRPr="00A91D43">
        <w:rPr>
          <w:rFonts w:ascii="Calibri Light" w:hAnsi="Calibri Light"/>
        </w:rPr>
        <w:t>.</w:t>
      </w:r>
      <w:r w:rsidR="001D3F03" w:rsidRPr="00A91D43">
        <w:rPr>
          <w:rFonts w:ascii="Calibri Light" w:hAnsi="Calibri Light"/>
        </w:rPr>
        <w:t xml:space="preserve"> The CHD costs category is therefore a subset of the CVD costs category. These categories are both subsets of the all costs category, where all costs are included regardless of to which health </w:t>
      </w:r>
      <w:r w:rsidR="00A722E9">
        <w:rPr>
          <w:rFonts w:ascii="Calibri Light" w:hAnsi="Calibri Light"/>
        </w:rPr>
        <w:t xml:space="preserve">conditions </w:t>
      </w:r>
      <w:r w:rsidR="001D3F03" w:rsidRPr="00A91D43">
        <w:rPr>
          <w:rFonts w:ascii="Calibri Light" w:hAnsi="Calibri Light"/>
        </w:rPr>
        <w:t>they are attributable, e.g.</w:t>
      </w:r>
      <w:r w:rsidR="00907052">
        <w:rPr>
          <w:rFonts w:ascii="Calibri Light" w:hAnsi="Calibri Light"/>
        </w:rPr>
        <w:t xml:space="preserve"> therefore include CVD and non-CVD</w:t>
      </w:r>
      <w:r w:rsidR="001D3F03" w:rsidRPr="00A91D43">
        <w:rPr>
          <w:rFonts w:ascii="Calibri Light" w:hAnsi="Calibri Light"/>
        </w:rPr>
        <w:t xml:space="preserve"> costs</w:t>
      </w:r>
      <w:r w:rsidR="00907052">
        <w:rPr>
          <w:rFonts w:ascii="Calibri Light" w:hAnsi="Calibri Light"/>
        </w:rPr>
        <w:t xml:space="preserve"> such as those</w:t>
      </w:r>
      <w:r w:rsidR="001D3F03" w:rsidRPr="00A91D43">
        <w:rPr>
          <w:rFonts w:ascii="Calibri Light" w:hAnsi="Calibri Light"/>
        </w:rPr>
        <w:t xml:space="preserve"> attributable to cancer.</w:t>
      </w:r>
      <w:r w:rsidR="00F43118" w:rsidRPr="00A91D43">
        <w:rPr>
          <w:rFonts w:ascii="Calibri Light" w:hAnsi="Calibri Light"/>
        </w:rPr>
        <w:t xml:space="preserve"> </w:t>
      </w:r>
      <w:r w:rsidRPr="00A91D43">
        <w:rPr>
          <w:rFonts w:ascii="Calibri Light" w:hAnsi="Calibri Light"/>
        </w:rPr>
        <w:t xml:space="preserve">Of the </w:t>
      </w:r>
      <w:r w:rsidR="001D3F03" w:rsidRPr="00A91D43">
        <w:rPr>
          <w:rFonts w:ascii="Calibri Light" w:hAnsi="Calibri Light"/>
        </w:rPr>
        <w:t>nineteen studies five</w:t>
      </w:r>
      <w:r w:rsidRPr="00A91D43">
        <w:rPr>
          <w:rFonts w:ascii="Calibri Light" w:hAnsi="Calibri Light"/>
        </w:rPr>
        <w:t xml:space="preserve"> were found to </w:t>
      </w:r>
      <w:r w:rsidR="001D3F03" w:rsidRPr="00A91D43">
        <w:rPr>
          <w:rFonts w:ascii="Calibri Light" w:hAnsi="Calibri Light"/>
        </w:rPr>
        <w:t>include CHD costs only, eight CVD costs only and six</w:t>
      </w:r>
      <w:r w:rsidRPr="00A91D43">
        <w:rPr>
          <w:rFonts w:ascii="Calibri Light" w:hAnsi="Calibri Light"/>
        </w:rPr>
        <w:t xml:space="preserve"> evaluations included all costs. </w:t>
      </w:r>
      <w:r w:rsidR="009A0BCE">
        <w:rPr>
          <w:rFonts w:ascii="Calibri Light" w:hAnsi="Calibri Light"/>
        </w:rPr>
        <w:t>The main difference between studies including CVD costs rather than CHD costs was that costs from stroke events were included. Studies considering related costs only tended to be those that were trial-based analyses</w:t>
      </w:r>
      <w:r w:rsidR="00A66029">
        <w:rPr>
          <w:rFonts w:ascii="Calibri Light" w:hAnsi="Calibri Light"/>
        </w:rPr>
        <w:t>,</w:t>
      </w:r>
      <w:r w:rsidR="009A0BCE">
        <w:rPr>
          <w:rFonts w:ascii="Calibri Light" w:hAnsi="Calibri Light"/>
        </w:rPr>
        <w:t xml:space="preserve"> where </w:t>
      </w:r>
      <w:r w:rsidR="00E76736">
        <w:rPr>
          <w:rFonts w:ascii="Calibri Light" w:hAnsi="Calibri Light"/>
        </w:rPr>
        <w:t>only CHD/CVD-related</w:t>
      </w:r>
      <w:r w:rsidR="009A0BCE">
        <w:rPr>
          <w:rFonts w:ascii="Calibri Light" w:hAnsi="Calibri Light"/>
        </w:rPr>
        <w:t xml:space="preserve"> data was recorded</w:t>
      </w:r>
      <w:r w:rsidR="00A66029">
        <w:rPr>
          <w:rFonts w:ascii="Calibri Light" w:hAnsi="Calibri Light"/>
        </w:rPr>
        <w:t>,</w:t>
      </w:r>
      <w:r w:rsidR="009A0BCE">
        <w:rPr>
          <w:rFonts w:ascii="Calibri Light" w:hAnsi="Calibri Light"/>
        </w:rPr>
        <w:t xml:space="preserve"> or model-based approaches including only CHD or CVD events. One observational data study considered only CVD costs where the ana</w:t>
      </w:r>
      <w:r w:rsidR="007A0CB0">
        <w:rPr>
          <w:rFonts w:ascii="Calibri Light" w:hAnsi="Calibri Light"/>
        </w:rPr>
        <w:t>lysis was performed on a</w:t>
      </w:r>
      <w:r w:rsidR="009A0BCE">
        <w:rPr>
          <w:rFonts w:ascii="Calibri Light" w:hAnsi="Calibri Light"/>
        </w:rPr>
        <w:t xml:space="preserve"> dataset with detailed information</w:t>
      </w:r>
      <w:r w:rsidR="00E76736">
        <w:rPr>
          <w:rFonts w:ascii="Calibri Light" w:hAnsi="Calibri Light"/>
        </w:rPr>
        <w:t xml:space="preserve"> collected</w:t>
      </w:r>
      <w:r w:rsidR="009A0BCE">
        <w:rPr>
          <w:rFonts w:ascii="Calibri Light" w:hAnsi="Calibri Light"/>
        </w:rPr>
        <w:t xml:space="preserve"> on only a select number of CVD endpoints</w:t>
      </w:r>
      <w:r w:rsidR="00B136D8">
        <w:rPr>
          <w:rFonts w:ascii="Calibri Light" w:hAnsi="Calibri Light"/>
        </w:rPr>
        <w:t xml:space="preserve"> </w:t>
      </w:r>
      <w:r w:rsidR="007A0CB0">
        <w:rPr>
          <w:rFonts w:ascii="Calibri Light" w:hAnsi="Calibri Light"/>
        </w:rPr>
        <w:fldChar w:fldCharType="begin" w:fldLock="1"/>
      </w:r>
      <w:r w:rsidR="000866A8">
        <w:rPr>
          <w:rFonts w:ascii="Calibri Light" w:hAnsi="Calibri Light"/>
        </w:rPr>
        <w:instrText>ADDIN CSL_CITATION { "citationItems" : [ { "id" : "ITEM-1", "itemData" : { "DOI" : "10.1136/hrt.2009.167130", "ISSN" : "1355-6037", "PMID" : "19508972", "abstract" : "OBJECTIVE To estimate the cost-effectiveness of primary angioplasty compared with thrombolysis for acute ST elevation myocardial infarction. Design Cost analysis of UK observational database, incorporated into decision analytical model. METHODS Patients receiving treatment within a comprehensive angioplasty service were compared with control patients receiving thrombolysis-based care. The treatment costs and delays to treatment of thrombolysis and angioplasty were estimated. These estimates were then incorporated into an existing model of cost-effectiveness that synthesises evidence from 22 randomised trials to estimate health outcomes measured by quality-adjusted life years (QALYs). Main outcome measures Costs from a health service perspective and outcomes measured as quality adjusted. RESULTS The mean cost of the initial treatment was 3509 pounds for thrombolysis at control sites, 5176 pounds for angioplasty in usual working hours at National Infarct Angioplasty Project sites and an additional 245 pounds if undertaken out of hours. Angioplasty-based care had an incremental cost of 4520 pounds per QALY gained and 0.9 probability of being cost-effective at a threshold of 20,000 pounds per QALY gained. This probability was &gt;0.95 if patients were directly admitted to the cardiac catheter laboratory, 0.75 if admitted via the emergency department or coronary care unit and 0.38 if transferred to the angioplasty centre from another hospital. CONCLUSIONS Overall, primary angioplasty-based care is highly likely to be cost-effective at an assumed threshold of 20,000 pounds per QALY gained. It is more likely to be cost-effective if patients are admitted directly to the cardiac catheter laboratory rather than via other hospital departments, or if transferred from another hospital.", "author" : [ { "dropping-particle" : "", "family" : "Wailoo", "given" : "A.", "non-dropping-particle" : "", "parse-names" : false, "suffix" : "" }, { "dropping-particle" : "", "family" : "Goodacre", "given" : "S.", "non-dropping-particle" : "", "parse-names" : false, "suffix" : "" }, { "dropping-particle" : "", "family" : "Sampson", "given" : "F.", "non-dropping-particle" : "", "parse-names" : false, "suffix" : "" }, { "dropping-particle" : "", "family" : "Alava", "given" : "M. H.", "non-dropping-particle" : "", "parse-names" : false, "suffix" : "" }, { "dropping-particle" : "", "family" : "Asseburg", "given" : "C.", "non-dropping-particle" : "", "parse-names" : false, "suffix" : "" }, { "dropping-particle" : "", "family" : "Palmer", "given" : "S.", "non-dropping-particle" : "", "parse-names" : false, "suffix" : "" }, { "dropping-particle" : "", "family" : "Sculpher", "given" : "M.", "non-dropping-particle" : "", "parse-names" : false, "suffix" : "" }, { "dropping-particle" : "", "family" : "Abrams", "given" : "K.", "non-dropping-particle" : "", "parse-names" : false, "suffix" : "" }, { "dropping-particle" : "", "family" : "Belder", "given" : "M.", "non-dropping-particle" : "de", "parse-names" : false, "suffix" : "" }, { "dropping-particle" : "", "family" : "Gray", "given" : "H.", "non-dropping-particle" : "", "parse-names" : false, "suffix" : "" } ], "container-title" : "Heart", "id" : "ITEM-1", "issue" : "9", "issued" : { "date-parts" : [ [ "2010", "5", "1" ] ] }, "page" : "668-672", "title" : "Primary angioplasty versus thrombolysis for acute ST-elevation myocardial infarction: an economic analysis of the National Infarct Angioplasty project", "type" : "article-journal", "volume" : "96" }, "uris" : [ "http://www.mendeley.com/documents/?uuid=1895d612-e120-3d77-b650-5ddf91838f70" ] } ], "mendeley" : { "formattedCitation" : "(21)", "plainTextFormattedCitation" : "(21)", "previouslyFormattedCitation" : "(21)" }, "properties" : {  }, "schema" : "https://github.com/citation-style-language/schema/raw/master/csl-citation.json" }</w:instrText>
      </w:r>
      <w:r w:rsidR="007A0CB0">
        <w:rPr>
          <w:rFonts w:ascii="Calibri Light" w:hAnsi="Calibri Light"/>
        </w:rPr>
        <w:fldChar w:fldCharType="separate"/>
      </w:r>
      <w:r w:rsidR="007A0CB0" w:rsidRPr="007A0CB0">
        <w:rPr>
          <w:rFonts w:ascii="Calibri Light" w:hAnsi="Calibri Light"/>
          <w:noProof/>
        </w:rPr>
        <w:t>(21)</w:t>
      </w:r>
      <w:r w:rsidR="007A0CB0">
        <w:rPr>
          <w:rFonts w:ascii="Calibri Light" w:hAnsi="Calibri Light"/>
        </w:rPr>
        <w:fldChar w:fldCharType="end"/>
      </w:r>
      <w:r w:rsidR="009A0BCE">
        <w:rPr>
          <w:rFonts w:ascii="Calibri Light" w:hAnsi="Calibri Light"/>
        </w:rPr>
        <w:t xml:space="preserve">. </w:t>
      </w:r>
      <w:r w:rsidR="00E76736">
        <w:rPr>
          <w:rFonts w:ascii="Calibri Light" w:hAnsi="Calibri Light"/>
        </w:rPr>
        <w:t>Of those studies that incorporated non-CVD costs, i</w:t>
      </w:r>
      <w:r w:rsidR="009A0BCE">
        <w:rPr>
          <w:rFonts w:ascii="Calibri Light" w:hAnsi="Calibri Light"/>
        </w:rPr>
        <w:t xml:space="preserve">t is informative to consider </w:t>
      </w:r>
      <w:r w:rsidR="00B136D8">
        <w:rPr>
          <w:rFonts w:ascii="Calibri Light" w:hAnsi="Calibri Light"/>
        </w:rPr>
        <w:t>the different approaches taken</w:t>
      </w:r>
      <w:r w:rsidR="009A0BCE">
        <w:rPr>
          <w:rFonts w:ascii="Calibri Light" w:hAnsi="Calibri Light"/>
        </w:rPr>
        <w:t xml:space="preserve">. </w:t>
      </w:r>
      <w:r w:rsidR="00B136D8">
        <w:rPr>
          <w:rFonts w:ascii="Calibri Light" w:hAnsi="Calibri Light"/>
        </w:rPr>
        <w:t>One study was based on a trial</w:t>
      </w:r>
      <w:r w:rsidR="009A0BCE">
        <w:rPr>
          <w:rFonts w:ascii="Calibri Light" w:hAnsi="Calibri Light"/>
        </w:rPr>
        <w:t xml:space="preserve"> that</w:t>
      </w:r>
      <w:r w:rsidR="00B136D8">
        <w:rPr>
          <w:rFonts w:ascii="Calibri Light" w:hAnsi="Calibri Light"/>
        </w:rPr>
        <w:t xml:space="preserve"> had</w:t>
      </w:r>
      <w:r w:rsidR="009A0BCE">
        <w:rPr>
          <w:rFonts w:ascii="Calibri Light" w:hAnsi="Calibri Light"/>
        </w:rPr>
        <w:t xml:space="preserve"> collected a wide range of</w:t>
      </w:r>
      <w:r w:rsidR="00B136D8">
        <w:rPr>
          <w:rFonts w:ascii="Calibri Light" w:hAnsi="Calibri Light"/>
        </w:rPr>
        <w:t xml:space="preserve"> types of</w:t>
      </w:r>
      <w:r w:rsidR="009A0BCE">
        <w:rPr>
          <w:rFonts w:ascii="Calibri Light" w:hAnsi="Calibri Light"/>
        </w:rPr>
        <w:t xml:space="preserve"> resource use</w:t>
      </w:r>
      <w:r w:rsidR="007A0CB0">
        <w:rPr>
          <w:rFonts w:ascii="Calibri Light" w:hAnsi="Calibri Light"/>
        </w:rPr>
        <w:t xml:space="preserve"> </w:t>
      </w:r>
      <w:r w:rsidR="007A0CB0">
        <w:rPr>
          <w:rFonts w:ascii="Calibri Light" w:hAnsi="Calibri Light"/>
        </w:rPr>
        <w:fldChar w:fldCharType="begin" w:fldLock="1"/>
      </w:r>
      <w:r w:rsidR="000866A8">
        <w:rPr>
          <w:rFonts w:ascii="Calibri Light" w:hAnsi="Calibri Light"/>
        </w:rPr>
        <w:instrText>ADDIN CSL_CITATION { "citationItems" : [ { "id" : "ITEM-1", "itemData" : { "DOI" : "10.1111/j.1553-2712.2011.01068.x", "ISSN" : "10696563", "PMID" : "21569168", "abstract" : "OBJECTIVES Chest pain due to suspected myocardial infarction (MI) is responsible for many hospital admissions and consumes substantial health care resources. The Randomized Assessment of Treatment using Panel Assay of Cardiac markers (RATPAC) trial showed that diagnostic assessment using a point-of-care (POC) cardiac biomarker panel consisting of CK-MB, myoglobin, and troponin increased the proportion of patients successfully discharged after emergency department (ED) assessment. In this economic analysis, the authors aimed to determine whether POC biomarker panel assessment reduced health care costs and was likely to be cost-effective. METHODS The RATPAC trial was a multicenter individual patient randomized controlled trial comparing diagnostic assessment using a POC biomarker panel (CK-MB, myoglobin, and troponin, measured at baseline and 90 minutes) to standard care without the POC panel in patients attending six EDs with acute chest pain due to suspected MI (n = 2,243). Individual patient resource use data were collected from all participants up to 3 months after hospital attendance using self-completed questionnaires at 1 and 3 months and case note review. ED staff and POC testing costs were estimated through a microcosting study of 246 participants. Resource use was valued using national unit costs. Health utility was measured using the EQ-5D self-completed questionnaire, mailed at 1 and 3 months. Quality-adjusted life-years (QALYs) were calculated by the trapezium rule using the EQ-5D tariff values at all follow-up points. Mean costs per patient were compared between the two treatment groups. Cost-effectiveness was estimated in terms of probability of dominance and incremental cost per QALY. RESULTS Point-of-care panel assessment was associated with higher ED costs, coronary care costs, and cardiac intervention costs, but lower general inpatient costs. Mean costs per patient were \u00a31217.14 (standard deviation [SD] \u00b1 3164.93), or $1,987.14 (SD \u00b1$4,939.25), with POC versus \u00a31005.91 (SD \u00b1\u00a31907.55), or $1,568.64 (SD \u00b1$2,975.78), with standard care (p = 0.056). Mean QALYs were 0.158 (SD \u00b1 0.052) versus 0.161 (SD \u00b1 0.056; p = 0.250). The probability of standard care being dominant (i.e., cheaper and more effective) was 0.888, while the probability of the POC panel being dominant was 0.004. These probabilities were not markedly altered by sensitivity analysis varying the costs of the POC panel and excluding intensive care costs. CONCLUSIONS Point-of-care\u2026", "author" : [ { "dropping-particle" : "", "family" : "Fitzgerald", "given" : "Patrick", "non-dropping-particle" : "", "parse-names" : false, "suffix" : "" }, { "dropping-particle" : "", "family" : "Goodacre", "given" : "Steve W.", "non-dropping-particle" : "", "parse-names" : false, "suffix" : "" }, { "dropping-particle" : "", "family" : "Cross", "given" : "Elizabeth", "non-dropping-particle" : "", "parse-names" : false, "suffix" : "" }, { "dropping-particle" : "", "family" : "Dixon", "given" : "Simon", "non-dropping-particle" : "", "parse-names" : false, "suffix" : "" } ], "container-title" : "Academic Emergency Medicine", "id" : "ITEM-1", "issue" : "5", "issued" : { "date-parts" : [ [ "2011", "5" ] ] }, "page" : "488-495", "title" : "Cost-effectiveness of Point-of-care Biomarker Assessment for Suspected Myocardial Infarction: The Randomized Assessment of Treatment Using Panel Assay of Cardiac Markers (RATPAC) Trial", "type" : "article-journal", "volume" : "18" }, "uris" : [ "http://www.mendeley.com/documents/?uuid=a306c9f6-e815-3708-b1f3-e498ba89c322" ] } ], "mendeley" : { "formattedCitation" : "(22)", "plainTextFormattedCitation" : "(22)", "previouslyFormattedCitation" : "(22)" }, "properties" : {  }, "schema" : "https://github.com/citation-style-language/schema/raw/master/csl-citation.json" }</w:instrText>
      </w:r>
      <w:r w:rsidR="007A0CB0">
        <w:rPr>
          <w:rFonts w:ascii="Calibri Light" w:hAnsi="Calibri Light"/>
        </w:rPr>
        <w:fldChar w:fldCharType="separate"/>
      </w:r>
      <w:r w:rsidR="007A0CB0" w:rsidRPr="007A0CB0">
        <w:rPr>
          <w:rFonts w:ascii="Calibri Light" w:hAnsi="Calibri Light"/>
          <w:noProof/>
        </w:rPr>
        <w:t>(22)</w:t>
      </w:r>
      <w:r w:rsidR="007A0CB0">
        <w:rPr>
          <w:rFonts w:ascii="Calibri Light" w:hAnsi="Calibri Light"/>
        </w:rPr>
        <w:fldChar w:fldCharType="end"/>
      </w:r>
      <w:r w:rsidR="00B136D8">
        <w:rPr>
          <w:rFonts w:ascii="Calibri Light" w:hAnsi="Calibri Light"/>
        </w:rPr>
        <w:t>.</w:t>
      </w:r>
      <w:r w:rsidR="00B136D8">
        <w:rPr>
          <w:rStyle w:val="FootnoteReference"/>
          <w:rFonts w:ascii="Calibri Light" w:hAnsi="Calibri Light"/>
        </w:rPr>
        <w:footnoteReference w:id="4"/>
      </w:r>
      <w:r w:rsidR="00B136D8">
        <w:rPr>
          <w:rFonts w:ascii="Calibri Light" w:hAnsi="Calibri Light"/>
        </w:rPr>
        <w:t xml:space="preserve"> Model-based analyses used a number of different approaches</w:t>
      </w:r>
      <w:r w:rsidR="00A66029">
        <w:rPr>
          <w:rFonts w:ascii="Calibri Light" w:hAnsi="Calibri Light"/>
        </w:rPr>
        <w:t xml:space="preserve">: </w:t>
      </w:r>
      <w:r w:rsidR="00B136D8">
        <w:rPr>
          <w:rFonts w:ascii="Calibri Light" w:hAnsi="Calibri Light"/>
        </w:rPr>
        <w:t xml:space="preserve">national averages </w:t>
      </w:r>
      <w:r w:rsidR="007A0CB0">
        <w:rPr>
          <w:rFonts w:ascii="Calibri Light" w:hAnsi="Calibri Light"/>
        </w:rPr>
        <w:fldChar w:fldCharType="begin" w:fldLock="1"/>
      </w:r>
      <w:r w:rsidR="000866A8">
        <w:rPr>
          <w:rFonts w:ascii="Calibri Light" w:hAnsi="Calibri Light"/>
        </w:rPr>
        <w:instrText>ADDIN CSL_CITATION { "citationItems" : [ { "id" : "ITEM-1", "itemData" : { "ISSN" : "1916-7075", "PMID" : "19960133", "abstract" : "OBJECTIVE To evaluate the cost-effectiveness of enoxaparin versus unfractionated heparin in conjunction with fibrinolysis in ST elevation myocardial infarction patients within Canada. DESIGN Based on the Enoxaparin and Thrombolysis Reperfusion for Acute Myocardial Infarction Treatment - Thrombolysis in Myocardial Infarction (ExTRACT-TIMI) 25 trial, a model was created to analyze the cost-effectiveness of enoxaparin compared with unfractionated heparin in conjunction with fibrinolysis among ST elevation myocardial infarction patients within Canada. Clinical outcomes were derived from published results of the main trial. Resource use costs were first assessed based on United States Diagnosis-Related Group values for hospitalizations and Current Procedural Terminology codes for outpatient visits and tests. Both were then converted using Canadian local costs. Survival and life expectancy were estimated from Framingham survival data. The incremental cost-effectiveness ratio was expressed as cost per life year gained. RESULTS Through 30 days after random assignment, the primary composite end point favoured the enoxaparin group over the unfractionated heparin group (death or recurrent myocardial infarction rate 9.9% versus 12.0%, P&lt;0.001), and was associated with a modest increased cost of $169.50 ($8,757.00 versus $8,587.50, respectively). Life years gained as a result of treatment with enoxaparin was increased by 0.11 years (P&lt;0.05). Enoxaparin was found to be cost-effective, as indicated by an incremental cost-effectiveness ratio of $4,930 with a 99% probability of costing less than $20,000. CONCLUSIONS Although associated with modest increased direct medication costs, enoxaparin following fibrinolysis improved the clinical efficacy in STEMI patients and increased the life years gained.", "author" : [ { "dropping-particle" : "", "family" : "Welsh", "given" : "Rober C", "non-dropping-particle" : "", "parse-names" : false, "suffix" : "" }, { "dropping-particle" : "", "family" : "Sauriol", "given" : "Luc", "non-dropping-particle" : "", "parse-names" : false, "suffix" : "" }, { "dropping-particle" : "", "family" : "Zhang", "given" : "Zugui", "non-dropping-particle" : "", "parse-names" : false, "suffix" : "" }, { "dropping-particle" : "", "family" : "Kolm", "given" : "Paul", "non-dropping-particle" : "", "parse-names" : false, "suffix" : "" }, { "dropping-particle" : "", "family" : "Weintraub", "given" : "Willian S", "non-dropping-particle" : "", "parse-names" : false, "suffix" : "" }, { "dropping-particle" : "", "family" : "Theroux", "given" : "Pierre", "non-dropping-particle" : "", "parse-names" : false, "suffix" : "" } ], "container-title" : "The Canadian journal of cardiology", "id" : "ITEM-1", "issue" : "12", "issued" : { "date-parts" : [ [ "2009", "12" ] ] }, "page" : "e399-405", "title" : "Cost-effectiveness of enoxaparin compared with unfractionated heparin in ST elevation myocardial infarction patients undergoing pharmacological reperfusion: a Canadian analysis of the Enoxaparin and Thrombolysis Reperfusion for Acute Myocardial Infarction Treatment - Thrombolysis in Myocardial Infarction (ExTRACT-TIMI) 25 trial.", "type" : "article-journal", "volume" : "25" }, "uris" : [ "http://www.mendeley.com/documents/?uuid=a48e6ab2-51a8-3aba-92b0-082939f417df" ] } ], "mendeley" : { "formattedCitation" : "(23)", "plainTextFormattedCitation" : "(23)", "previouslyFormattedCitation" : "(23)" }, "properties" : {  }, "schema" : "https://github.com/citation-style-language/schema/raw/master/csl-citation.json" }</w:instrText>
      </w:r>
      <w:r w:rsidR="007A0CB0">
        <w:rPr>
          <w:rFonts w:ascii="Calibri Light" w:hAnsi="Calibri Light"/>
        </w:rPr>
        <w:fldChar w:fldCharType="separate"/>
      </w:r>
      <w:r w:rsidR="007A0CB0" w:rsidRPr="007A0CB0">
        <w:rPr>
          <w:rFonts w:ascii="Calibri Light" w:hAnsi="Calibri Light"/>
          <w:noProof/>
        </w:rPr>
        <w:t>(23)</w:t>
      </w:r>
      <w:r w:rsidR="007A0CB0">
        <w:rPr>
          <w:rFonts w:ascii="Calibri Light" w:hAnsi="Calibri Light"/>
        </w:rPr>
        <w:fldChar w:fldCharType="end"/>
      </w:r>
      <w:r w:rsidR="00A66029">
        <w:rPr>
          <w:rFonts w:ascii="Calibri Light" w:hAnsi="Calibri Light"/>
        </w:rPr>
        <w:t xml:space="preserve">, </w:t>
      </w:r>
      <w:r w:rsidR="00B136D8">
        <w:rPr>
          <w:rFonts w:ascii="Calibri Light" w:hAnsi="Calibri Light"/>
        </w:rPr>
        <w:t>age-specific costs from risk adjustment studies</w:t>
      </w:r>
      <w:r w:rsidR="007A0CB0">
        <w:rPr>
          <w:rFonts w:ascii="Calibri Light" w:hAnsi="Calibri Light"/>
        </w:rPr>
        <w:t xml:space="preserve"> </w:t>
      </w:r>
      <w:r w:rsidR="007A0CB0">
        <w:rPr>
          <w:rFonts w:ascii="Calibri Light" w:hAnsi="Calibri Light"/>
        </w:rPr>
        <w:fldChar w:fldCharType="begin" w:fldLock="1"/>
      </w:r>
      <w:r w:rsidR="000866A8">
        <w:rPr>
          <w:rFonts w:ascii="Calibri Light" w:hAnsi="Calibri Light"/>
        </w:rPr>
        <w:instrText>ADDIN CSL_CITATION { "citationItems" : [ { "id" : "ITEM-1", "itemData" : { "DOI" : "10.1161/CIRCULATIONAHA.107.735605", "ISSN" : "0009-7322", "PMID" : "18285564", "abstract" : "BACKGROUND Effective therapies for the secondary prevention of coronary heart disease-related events are significantly underused, and attempts to improve adherence have often yielded disappointing results. Elimination of patient out-of-pocket costs may be an effective strategy to enhance medication use. We sought to estimate the incremental cost-effectiveness of providing full coverage for aspirin, beta-blockers, angiotensin-converting enzyme inhibitors or angiotensin receptor blockers, and statins (combination pharmacotherapy) to individuals enrolled in the Medicare drug benefit program after acute myocardial infarction. METHODS AND RESULTS We created a Markov cost-effectiveness model to estimate the incremental cost-effectiveness of providing Medicare beneficiaries with full coverage for combination pharmacotherapy compared with current coverage under the Medicare Part D program. Our analysis was conducted from the societal perspective and considered a lifetime time horizon. In a sensitivity analysis, we repeated our analysis from the perspective of Medicare. In the model, post-myocardial infarction Medicare beneficiaries who received usual prescription drug coverage under the Part D program lived an average of 8.21 quality-adjusted life-years after their initial event, incurring coronary heart disease-related medical costs of $114,000. Those who received prescription drug coverage without deductibles or copayments lived an average of 8.56 quality-adjusted life-years and incurred $111,600 in coronary heart disease-related costs. Compared with current prescription drug coverage, full coverage for post-myocardial infarction secondary prevention therapies would result in greater functional life expectancy (0.35 quality-adjusted life-year) and less resource use ($2500). From the perspective of Medicare, full drug coverage was highly cost-effective ($7182/quality-adjusted life-year) but not cost saving. CONCLUSIONS Our analysis suggests that providing full coverage for combination therapy to post-myocardial infarction Medicare beneficiaries would save both lives and money from the societal perspective.", "author" : [ { "dropping-particle" : "", "family" : "Choudhry", "given" : "N. K.", "non-dropping-particle" : "", "parse-names" : false, "suffix" : "" }, { "dropping-particle" : "", "family" : "Patrick", "given" : "A. R.", "non-dropping-particle" : "", "parse-names" : false, "suffix" : "" }, { "dropping-particle" : "", "family" : "Antman", "given" : "E. M.", "non-dropping-particle" : "", "parse-names" : false, "suffix" : "" }, { "dropping-particle" : "", "family" : "Avorn", "given" : "J.", "non-dropping-particle" : "", "parse-names" : false, "suffix" : "" }, { "dropping-particle" : "", "family" : "Shrank", "given" : "W. H.", "non-dropping-particle" : "", "parse-names" : false, "suffix" : "" } ], "container-title" : "Circulation", "id" : "ITEM-1", "issue" : "10", "issued" : { "date-parts" : [ [ "2008", "3", "11" ] ] }, "page" : "1261-1268", "title" : "Cost-Effectiveness of Providing Full Drug Coverage to Increase Medication Adherence in Post-Myocardial Infarction Medicare Beneficiaries", "type" : "article-journal", "volume" : "117" }, "uris" : [ "http://www.mendeley.com/documents/?uuid=b752e203-af3c-3fe1-acf5-7de283c5b5fe" ] }, { "id" : "ITEM-2", "itemData" : { "DOI" : "10.1001/archinternmed.2010.479", "ISSN" : "0003-9926", "PMID" : "21220659", "abstract" : "BACKGROUND As many as 70% of smokers with acute myocardial infarction (AMI) continue to smoke after hospital discharge despite high rates of inpatient smoking cessation counseling. Supportive contact after discharge improves quit rates but is rarely used. METHODS Using data from a meta-analysis of randomized trials of smoking cessation interventions and other published sources, we developed a Monte Carlo model to project health and economic outcomes for a hypothetical US cohort of 327,600 smokers hospitalized with AMI. We compared routine care, consisting of advice to quit smoking, with counseling with supportive follow-up, consisting of routine care and follow-up telephone calls from a nurse after discharge. Primary outcomes were number of smokers, AMIs, and deaths averted; health care and productivity costs; cost per quitter; and cost per quality-adjusted life-year. RESULTS Implementation of smoking cessation counseling with follow-up contact for the 2010 cohort of hospitalized smokers would create 50,230 new quitters, cost $27.3 million in nurse wages and materials, and prevent 1380 nonfatal AMIs and 7860 deaths. During a 10-year period, it would save $22.1 million in reduced hospitalizations but increase health care costs by $166.4 million, primarily through increased longevity. Productivity costs from premature death would fall by $1.99 billion and nonmedical expenditures would increase by $928 million, for a net positive value to society of $894 million. The program would cost $540 per quitter considering only intervention costs. Cost-effectiveness would be $5050 per quality-adjusted life-year. Results were sensitive to the utility and incidence of nonfatal AMI and the potential effect of pharmacotherapies. CONCLUSION Smoking cessation counseling with supportive contact after discharge is potentially cost-effective and may reduce the incidence of smoking and its associated adverse health events and social costs.", "author" : [ { "dropping-particle" : "", "family" : "Ladapo", "given" : "Joseph A.", "non-dropping-particle" : "", "parse-names" : false, "suffix" : "" }, { "dropping-particle" : "", "family" : "Jaffer", "given" : "Farouc A.", "non-dropping-particle" : "", "parse-names" : false, "suffix" : "" }, { "dropping-particle" : "", "family" : "Weinstein", "given" : "Milton C.", "non-dropping-particle" : "", "parse-names" : false, "suffix" : "" }, { "dropping-particle" : "", "family" : "Froelicher", "given" : "Erika Sivarajan", "non-dropping-particle" : "", "parse-names" : false, "suffix" : "" } ], "container-title" : "Archives of Internal Medicine", "id" : "ITEM-2", "issue" : "1", "issued" : { "date-parts" : [ [ "2011", "1", "10" ] ] }, "page" : "39-45", "title" : "Projected Cost-effectiveness of Smoking Cessation Interventions in Patients Hospitalized With Myocardial Infarction", "type" : "article-journal", "volume" : "171" }, "uris" : [ "http://www.mendeley.com/documents/?uuid=7e9ebc97-4dcd-33b6-b870-8f61acd7b287" ] } ], "mendeley" : { "formattedCitation" : "(24,25)", "plainTextFormattedCitation" : "(24,25)", "previouslyFormattedCitation" : "(24,25)" }, "properties" : {  }, "schema" : "https://github.com/citation-style-language/schema/raw/master/csl-citation.json" }</w:instrText>
      </w:r>
      <w:r w:rsidR="007A0CB0">
        <w:rPr>
          <w:rFonts w:ascii="Calibri Light" w:hAnsi="Calibri Light"/>
        </w:rPr>
        <w:fldChar w:fldCharType="separate"/>
      </w:r>
      <w:r w:rsidR="007A0CB0" w:rsidRPr="007A0CB0">
        <w:rPr>
          <w:rFonts w:ascii="Calibri Light" w:hAnsi="Calibri Light"/>
          <w:noProof/>
        </w:rPr>
        <w:t>(24,25)</w:t>
      </w:r>
      <w:r w:rsidR="007A0CB0">
        <w:rPr>
          <w:rFonts w:ascii="Calibri Light" w:hAnsi="Calibri Light"/>
        </w:rPr>
        <w:fldChar w:fldCharType="end"/>
      </w:r>
      <w:r w:rsidR="00B136D8">
        <w:rPr>
          <w:rFonts w:ascii="Calibri Light" w:hAnsi="Calibri Light"/>
        </w:rPr>
        <w:t xml:space="preserve">, </w:t>
      </w:r>
      <w:r w:rsidR="00907052">
        <w:rPr>
          <w:rFonts w:ascii="Calibri Light" w:hAnsi="Calibri Light"/>
        </w:rPr>
        <w:t xml:space="preserve">estimates of lifetime costs obtained </w:t>
      </w:r>
      <w:r w:rsidR="00B136D8">
        <w:rPr>
          <w:rFonts w:ascii="Calibri Light" w:hAnsi="Calibri Light"/>
        </w:rPr>
        <w:t>d</w:t>
      </w:r>
      <w:r w:rsidR="00907052">
        <w:rPr>
          <w:rFonts w:ascii="Calibri Light" w:hAnsi="Calibri Light"/>
        </w:rPr>
        <w:t>ata from registry data</w:t>
      </w:r>
      <w:r w:rsidR="00B136D8">
        <w:rPr>
          <w:rFonts w:ascii="Calibri Light" w:hAnsi="Calibri Light"/>
        </w:rPr>
        <w:t xml:space="preserve"> and use of expert opinion </w:t>
      </w:r>
      <w:r w:rsidR="007A0CB0">
        <w:rPr>
          <w:rFonts w:ascii="Calibri Light" w:hAnsi="Calibri Light"/>
        </w:rPr>
        <w:fldChar w:fldCharType="begin" w:fldLock="1"/>
      </w:r>
      <w:r w:rsidR="000866A8">
        <w:rPr>
          <w:rFonts w:ascii="Calibri Light" w:hAnsi="Calibri Light"/>
        </w:rPr>
        <w:instrText>ADDIN CSL_CITATION { "citationItems" : [ { "id" : "ITEM-1", "itemData" : { "DOI" : "10.1016/j.clinthera.2007.06.020", "ISSN" : "01492918", "PMID" : "17692733", "abstract" : "BACKGROUND Several health economic studies have shown that the use of clopidogrel is cost-effective to prevent ischemic events in non-ST-segment elevation myocardial infarction (NSTEMI) and unstable angina. OBJECTIVE This study was designed to assess the cost-effectiveness of clopidogrel in short- and long-term treatment of ST-segment elevation myocardial infarction (STEMI) with the use of data from 2 trials in Sweden, Germany, and France: CLARITY (Clopidogrel as Adjunctive Reperfusion Therapy) and COMMIT (Clopidogrel and Metoprolol in Myocardial Infarction Trial). METHODS A combined decision tree and Markov model was constructed. Because existing evidence indicates similar long-term outcomes after STEMI and NSTEMI, data from the long-term NSTEMI CURE trial (Clopidogrel in Unstable Angina to Prevent Recurrent Events) were combined with 1-month data from CLARITY and COMMIT to model the effect of treatment up to 1 year. The risks of death, myocardial infarction, and stroke in an untreated population and long-term survival after all events were derived from the Swedish Hospital Discharge and Cause of Death register. The model was run separately for the 2 STEMI trials. A payer perspective was chosen for the comparative analysis, focusing on direct medical costs. Costs were derived from published sources and were converted to 2005 euros. Effectiveness was measured as the number of life-years gained (LYG) from clopidogrel treatment. RESULTS In a patient cohort with the same characteristics and event rates as in the CLARITY population, treatment with clopidogrel for up to 1 year resulted in 0.144 LYG. In Sweden and France, this strategy was dominant with estimated cost savings of euro 111 and euro 367, respectively. In Germany, clopidogrel treatment had an incremental cost-effectiveness ratio (ICER) of euro 92/LYG. Data from the COMMIT study showed that clopidogrel treatment resulted in 0.194 LYG at an incremental cost of euro 538 in Sweden, euro 798 in Germany, and euro 545 in France. The corresponding ICERs were euro 2772/LYG, euro 4144/LYG, and euro 2786/LYG, respectively. CONCLUSIONS Treatment of these STEMI patients with clopidogrel appeared to be cost-effective in all 3 European countries studied. Predicted ICERs were below generally accepted threshold values.", "author" : [ { "dropping-particle" : "", "family" : "Berg", "given" : "Jenny", "non-dropping-particle" : "", "parse-names" : false, "suffix" : "" }, { "dropping-particle" : "", "family" : "Lindgren", "given" : "Peter", "non-dropping-particle" : "", "parse-names" : false, "suffix" : "" }, { "dropping-particle" : "", "family" : "Spiesser", "given" : "Julie", "non-dropping-particle" : "", "parse-names" : false, "suffix" : "" }, { "dropping-particle" : "", "family" : "Parry", "given" : "David", "non-dropping-particle" : "", "parse-names" : false, "suffix" : "" }, { "dropping-particle" : "", "family" : "J\u00f6nsson", "given" : "Bengt", "non-dropping-particle" : "", "parse-names" : false, "suffix" : "" } ], "container-title" : "Clinical Therapeutics", "id" : "ITEM-1", "issue" : "6", "issued" : { "date-parts" : [ [ "2007", "6" ] ] }, "page" : "1184-1202", "title" : "Cost-effectiveness of clopidogrel in myocardial infarction with ST-segment elevation: A European model based on the CLARITY and COMMIT trials", "type" : "article-journal", "volume" : "29" }, "uris" : [ "http://www.mendeley.com/documents/?uuid=7d1bb043-87ec-316a-af33-c4296ef5a6d1" ] } ], "mendeley" : { "formattedCitation" : "(26)", "plainTextFormattedCitation" : "(26)", "previouslyFormattedCitation" : "(26)" }, "properties" : {  }, "schema" : "https://github.com/citation-style-language/schema/raw/master/csl-citation.json" }</w:instrText>
      </w:r>
      <w:r w:rsidR="007A0CB0">
        <w:rPr>
          <w:rFonts w:ascii="Calibri Light" w:hAnsi="Calibri Light"/>
        </w:rPr>
        <w:fldChar w:fldCharType="separate"/>
      </w:r>
      <w:r w:rsidR="007A0CB0" w:rsidRPr="007A0CB0">
        <w:rPr>
          <w:rFonts w:ascii="Calibri Light" w:hAnsi="Calibri Light"/>
          <w:noProof/>
        </w:rPr>
        <w:t>(26)</w:t>
      </w:r>
      <w:r w:rsidR="007A0CB0">
        <w:rPr>
          <w:rFonts w:ascii="Calibri Light" w:hAnsi="Calibri Light"/>
        </w:rPr>
        <w:fldChar w:fldCharType="end"/>
      </w:r>
      <w:r w:rsidR="00B136D8">
        <w:rPr>
          <w:rFonts w:ascii="Calibri Light" w:hAnsi="Calibri Light"/>
        </w:rPr>
        <w:t>.</w:t>
      </w:r>
      <w:r w:rsidR="00E76736">
        <w:rPr>
          <w:rFonts w:ascii="Calibri Light" w:hAnsi="Calibri Light"/>
        </w:rPr>
        <w:t xml:space="preserve"> Finally, for</w:t>
      </w:r>
      <w:r w:rsidR="00A66029">
        <w:rPr>
          <w:rFonts w:ascii="Calibri Light" w:hAnsi="Calibri Light"/>
        </w:rPr>
        <w:t xml:space="preserve"> on</w:t>
      </w:r>
      <w:r w:rsidR="00CF48FB">
        <w:rPr>
          <w:rFonts w:ascii="Calibri Light" w:hAnsi="Calibri Light"/>
        </w:rPr>
        <w:t>e</w:t>
      </w:r>
      <w:r w:rsidR="00A66029">
        <w:rPr>
          <w:rFonts w:ascii="Calibri Light" w:hAnsi="Calibri Light"/>
        </w:rPr>
        <w:t xml:space="preserve"> study undertaking </w:t>
      </w:r>
      <w:r w:rsidR="00E76736">
        <w:rPr>
          <w:rFonts w:ascii="Calibri Light" w:hAnsi="Calibri Light"/>
        </w:rPr>
        <w:t>an analysis of observational data, all costs were included in the analysis as the default but a sensitivity analysis was undertaken where only costs with ischaemic heart diseases ICD code were included</w:t>
      </w:r>
      <w:r w:rsidR="007A0CB0">
        <w:rPr>
          <w:rFonts w:ascii="Calibri Light" w:hAnsi="Calibri Light"/>
        </w:rPr>
        <w:t xml:space="preserve"> </w:t>
      </w:r>
      <w:r w:rsidR="007A0CB0">
        <w:rPr>
          <w:rFonts w:ascii="Calibri Light" w:hAnsi="Calibri Light"/>
        </w:rPr>
        <w:fldChar w:fldCharType="begin" w:fldLock="1"/>
      </w:r>
      <w:r w:rsidR="000866A8">
        <w:rPr>
          <w:rFonts w:ascii="Calibri Light" w:hAnsi="Calibri Light"/>
        </w:rPr>
        <w:instrText>ADDIN CSL_CITATION { "citationItems" : [ { "id" : "ITEM-1", "itemData" : { "DOI" : "10.2165/11597340-000000000-00000", "ISSN" : "1175-5652", "PMID" : "22574616", "abstract" : "BACKGROUND The high number of patients with acute myocardial infarction (AMI) has facilitated greater research, resulting in the development of innovative medical devices. So far, results from economic evaluations that compared drug-eluting stents (DES) and bare-metal stents (BMS) have not shown clear evidence that one intervention is more cost effective than the other. OBJECTIVE The aim of this study was to measure the cost effectiveness of DES compared with BMS in routine care. METHODS We used administrative data from a large German sickness fund to compare the costs and effectiveness of DES and BMS in patients with AMI. Patients with hospital admission after AMI in 2004 and 2005 were followed up for 1 year after hospital discharge. The cost of treatment and survival after 365 days were compared for patients treated with DES and BMS. We adjusted for covariates defined according to the Ontario Acute Myocardial Infarction Mortality Prediction Rules using propensity score matching. After matching, we calculated incremental cost-effectiveness ratios (ICERs) by (i) using sample means based on bootstrapping procedures and (ii) estimating generalized linear mixed models for costs and survival. RESULTS After propensity score matching, the sample included 719 patients treated with DES and 719 patients treated with BMS. A comparison of sample means resulted in average costs of \u20ac 12 714 and \u20ac 11 714 for DES and BMS, respectively, in 2005 German euros. Difference in 365-day survival was not statistically significant (700 patients with DES and 701 with BMS). The ICER of DES versus BMS was -\u20ac 718 709 per life saved. Bootstrapping resulted in DES being dominated by BMS in 54.5% of replications and DES being a dominant strategy in 2.7% of replications. Results from regression models and sensitivity analyses confirm these results. CONCLUSION Treatment with DES after admission with AMI is less cost effective than treatment with BMS. Our results are in line with other cost-effectiveness analyses that used administrative data, i.e. under routine care conditions. However, our results do not preclude that DES may be cost effective in specific patient subgroups.", "author" : [ { "dropping-particle" : "", "family" : "B\u00e4umler", "given" : "Michael", "non-dropping-particle" : "", "parse-names" : false, "suffix" : "" }, { "dropping-particle" : "", "family" : "Stargardt", "given" : "Tom", "non-dropping-particle" : "", "parse-names" : false, "suffix" : "" }, { "dropping-particle" : "", "family" : "Schrey\u00f6gg", "given" : "Jonas", "non-dropping-particle" : "", "parse-names" : false, "suffix" : "" }, { "dropping-particle" : "", "family" : "Busse", "given" : "Reinhard", "non-dropping-particle" : "", "parse-names" : false, "suffix" : "" } ], "container-title" : "Applied Health Economics and Health Policy", "id" : "ITEM-1", "issue" : "4", "issued" : { "date-parts" : [ [ "2012", "7", "1" ] ] }, "page" : "235-248", "title" : "Cost Effectiveness of Drug-Eluting Stents in Acute Myocardial Infarction Patients in Germany", "type" : "article-journal", "volume" : "10" }, "uris" : [ "http://www.mendeley.com/documents/?uuid=77e7676e-3913-31c3-9d1a-c8708b7cd140" ] } ], "mendeley" : { "formattedCitation" : "(27)", "plainTextFormattedCitation" : "(27)", "previouslyFormattedCitation" : "(27)" }, "properties" : {  }, "schema" : "https://github.com/citation-style-language/schema/raw/master/csl-citation.json" }</w:instrText>
      </w:r>
      <w:r w:rsidR="007A0CB0">
        <w:rPr>
          <w:rFonts w:ascii="Calibri Light" w:hAnsi="Calibri Light"/>
        </w:rPr>
        <w:fldChar w:fldCharType="separate"/>
      </w:r>
      <w:r w:rsidR="007A0CB0" w:rsidRPr="007A0CB0">
        <w:rPr>
          <w:rFonts w:ascii="Calibri Light" w:hAnsi="Calibri Light"/>
          <w:noProof/>
        </w:rPr>
        <w:t>(27)</w:t>
      </w:r>
      <w:r w:rsidR="007A0CB0">
        <w:rPr>
          <w:rFonts w:ascii="Calibri Light" w:hAnsi="Calibri Light"/>
        </w:rPr>
        <w:fldChar w:fldCharType="end"/>
      </w:r>
      <w:r w:rsidR="00E76736">
        <w:rPr>
          <w:rFonts w:ascii="Calibri Light" w:hAnsi="Calibri Light"/>
        </w:rPr>
        <w:t>.</w:t>
      </w:r>
    </w:p>
    <w:p w14:paraId="7A028D40" w14:textId="655B725D" w:rsidR="0038437B" w:rsidRPr="00A91D43" w:rsidRDefault="00A42E62" w:rsidP="002A4475">
      <w:pPr>
        <w:rPr>
          <w:rFonts w:ascii="Calibri Light" w:hAnsi="Calibri Light"/>
        </w:rPr>
      </w:pPr>
      <w:r w:rsidRPr="00A91D43">
        <w:rPr>
          <w:rFonts w:ascii="Calibri Light" w:hAnsi="Calibri Light"/>
        </w:rPr>
        <w:t>Given the variation in practice by analysts in</w:t>
      </w:r>
      <w:r w:rsidR="00933114" w:rsidRPr="00A91D43">
        <w:rPr>
          <w:rFonts w:ascii="Calibri Light" w:hAnsi="Calibri Light"/>
        </w:rPr>
        <w:t xml:space="preserve"> conducting economic evaluations of</w:t>
      </w:r>
      <w:r w:rsidRPr="00A91D43">
        <w:rPr>
          <w:rFonts w:ascii="Calibri Light" w:hAnsi="Calibri Light"/>
        </w:rPr>
        <w:t xml:space="preserve"> </w:t>
      </w:r>
      <w:r w:rsidR="00B9796A">
        <w:rPr>
          <w:rFonts w:ascii="Calibri Light" w:hAnsi="Calibri Light"/>
        </w:rPr>
        <w:t>MI</w:t>
      </w:r>
      <w:r w:rsidR="00933114" w:rsidRPr="00A91D43">
        <w:rPr>
          <w:rFonts w:ascii="Calibri Light" w:hAnsi="Calibri Light"/>
        </w:rPr>
        <w:t xml:space="preserve"> treatment</w:t>
      </w:r>
      <w:r w:rsidRPr="00A91D43">
        <w:rPr>
          <w:rFonts w:ascii="Calibri Light" w:hAnsi="Calibri Light"/>
        </w:rPr>
        <w:t xml:space="preserve"> and the difficulty in distinguishing </w:t>
      </w:r>
      <w:r w:rsidR="00933114" w:rsidRPr="00A91D43">
        <w:rPr>
          <w:rFonts w:ascii="Calibri Light" w:hAnsi="Calibri Light"/>
        </w:rPr>
        <w:t>what</w:t>
      </w:r>
      <w:r w:rsidRPr="00A91D43">
        <w:rPr>
          <w:rFonts w:ascii="Calibri Light" w:hAnsi="Calibri Light"/>
        </w:rPr>
        <w:t xml:space="preserve"> costs are related from those that are not</w:t>
      </w:r>
      <w:r w:rsidR="003A2DE7" w:rsidRPr="00A91D43">
        <w:rPr>
          <w:rFonts w:ascii="Calibri Light" w:hAnsi="Calibri Light"/>
        </w:rPr>
        <w:t xml:space="preserve">, </w:t>
      </w:r>
      <w:r w:rsidR="00D052FC" w:rsidRPr="00A91D43">
        <w:rPr>
          <w:rFonts w:ascii="Calibri Light" w:hAnsi="Calibri Light"/>
        </w:rPr>
        <w:t xml:space="preserve">it is important to consider </w:t>
      </w:r>
      <w:r w:rsidR="003A2DE7" w:rsidRPr="00A91D43">
        <w:rPr>
          <w:rFonts w:ascii="Calibri Light" w:hAnsi="Calibri Light"/>
        </w:rPr>
        <w:t xml:space="preserve">the implications </w:t>
      </w:r>
      <w:r w:rsidR="00C05DDE" w:rsidRPr="00A91D43">
        <w:rPr>
          <w:rFonts w:ascii="Calibri Light" w:hAnsi="Calibri Light"/>
        </w:rPr>
        <w:t xml:space="preserve">of </w:t>
      </w:r>
      <w:r w:rsidR="003A2DE7" w:rsidRPr="00A91D43">
        <w:rPr>
          <w:rFonts w:ascii="Calibri Light" w:hAnsi="Calibri Light"/>
        </w:rPr>
        <w:t xml:space="preserve">which costs </w:t>
      </w:r>
      <w:r w:rsidR="00D052FC" w:rsidRPr="00A91D43">
        <w:rPr>
          <w:rFonts w:ascii="Calibri Light" w:hAnsi="Calibri Light"/>
        </w:rPr>
        <w:t xml:space="preserve">are included </w:t>
      </w:r>
      <w:r w:rsidR="003A2DE7" w:rsidRPr="00A91D43">
        <w:rPr>
          <w:rFonts w:ascii="Calibri Light" w:hAnsi="Calibri Light"/>
        </w:rPr>
        <w:t xml:space="preserve">in an economic evaluation. </w:t>
      </w:r>
      <w:r w:rsidR="0038437B" w:rsidRPr="00A91D43">
        <w:rPr>
          <w:rFonts w:ascii="Calibri Light" w:hAnsi="Calibri Light"/>
        </w:rPr>
        <w:t>In this paper a</w:t>
      </w:r>
      <w:r w:rsidR="001D3F03" w:rsidRPr="00A91D43">
        <w:rPr>
          <w:rFonts w:ascii="Calibri Light" w:hAnsi="Calibri Light"/>
        </w:rPr>
        <w:t xml:space="preserve"> recently published 'real world'</w:t>
      </w:r>
      <w:r w:rsidR="0038437B" w:rsidRPr="00A91D43">
        <w:rPr>
          <w:rFonts w:ascii="Calibri Light" w:hAnsi="Calibri Light"/>
        </w:rPr>
        <w:t xml:space="preserve"> cost-effectiveness model</w:t>
      </w:r>
      <w:r w:rsidR="001D3F03" w:rsidRPr="00A91D43">
        <w:rPr>
          <w:rFonts w:ascii="Calibri Light" w:hAnsi="Calibri Light"/>
        </w:rPr>
        <w:t xml:space="preserve"> is used to consider </w:t>
      </w:r>
      <w:r w:rsidRPr="00A91D43">
        <w:rPr>
          <w:rFonts w:ascii="Calibri Light" w:hAnsi="Calibri Light"/>
        </w:rPr>
        <w:t>a hypothetical intervention</w:t>
      </w:r>
      <w:r w:rsidR="001D3F03" w:rsidRPr="00A91D43">
        <w:rPr>
          <w:rFonts w:ascii="Calibri Light" w:hAnsi="Calibri Light"/>
        </w:rPr>
        <w:t xml:space="preserve"> </w:t>
      </w:r>
      <w:r w:rsidRPr="00A91D43">
        <w:rPr>
          <w:rFonts w:ascii="Calibri Light" w:hAnsi="Calibri Light"/>
        </w:rPr>
        <w:t xml:space="preserve">that reduces the risk of </w:t>
      </w:r>
      <w:r w:rsidR="004B3126" w:rsidRPr="00A91D43">
        <w:rPr>
          <w:rFonts w:ascii="Calibri Light" w:hAnsi="Calibri Light"/>
        </w:rPr>
        <w:t>CVD health events</w:t>
      </w:r>
      <w:r w:rsidRPr="00A91D43">
        <w:rPr>
          <w:rFonts w:ascii="Calibri Light" w:hAnsi="Calibri Light"/>
        </w:rPr>
        <w:t xml:space="preserve"> for</w:t>
      </w:r>
      <w:r w:rsidR="0038437B" w:rsidRPr="00A91D43">
        <w:rPr>
          <w:rFonts w:ascii="Calibri Light" w:hAnsi="Calibri Light"/>
        </w:rPr>
        <w:t xml:space="preserve"> patients with </w:t>
      </w:r>
      <w:r w:rsidR="001D3F03" w:rsidRPr="00A91D43">
        <w:rPr>
          <w:rFonts w:ascii="Calibri Light" w:hAnsi="Calibri Light"/>
        </w:rPr>
        <w:t>SCAD</w:t>
      </w:r>
      <w:r w:rsidR="00D052FC" w:rsidRPr="00A91D43">
        <w:rPr>
          <w:rFonts w:ascii="Calibri Light" w:hAnsi="Calibri Light"/>
        </w:rPr>
        <w:t xml:space="preserve"> </w:t>
      </w:r>
      <w:r w:rsidR="0038437B" w:rsidRPr="00A91D43">
        <w:rPr>
          <w:rFonts w:ascii="Calibri Light" w:hAnsi="Calibri Light"/>
        </w:rPr>
        <w:t xml:space="preserve">to </w:t>
      </w:r>
      <w:r w:rsidR="001D3F03" w:rsidRPr="00A91D43">
        <w:rPr>
          <w:rFonts w:ascii="Calibri Light" w:hAnsi="Calibri Light"/>
        </w:rPr>
        <w:t>investigate</w:t>
      </w:r>
      <w:r w:rsidR="0038437B" w:rsidRPr="00A91D43">
        <w:rPr>
          <w:rFonts w:ascii="Calibri Light" w:hAnsi="Calibri Light"/>
        </w:rPr>
        <w:t xml:space="preserve"> the impact</w:t>
      </w:r>
      <w:r w:rsidR="001D3F03" w:rsidRPr="00A91D43">
        <w:rPr>
          <w:rFonts w:ascii="Calibri Light" w:hAnsi="Calibri Light"/>
        </w:rPr>
        <w:t xml:space="preserve"> of</w:t>
      </w:r>
      <w:r w:rsidR="0038437B" w:rsidRPr="00A91D43">
        <w:rPr>
          <w:rFonts w:ascii="Calibri Light" w:hAnsi="Calibri Light"/>
        </w:rPr>
        <w:t xml:space="preserve"> </w:t>
      </w:r>
      <w:r w:rsidR="00D052FC" w:rsidRPr="00A91D43">
        <w:rPr>
          <w:rFonts w:ascii="Calibri Light" w:hAnsi="Calibri Light"/>
        </w:rPr>
        <w:t xml:space="preserve">including different cost categories </w:t>
      </w:r>
      <w:r w:rsidR="0038437B" w:rsidRPr="00A91D43">
        <w:rPr>
          <w:rFonts w:ascii="Calibri Light" w:hAnsi="Calibri Light"/>
        </w:rPr>
        <w:t xml:space="preserve">on </w:t>
      </w:r>
      <w:r w:rsidR="00D052FC" w:rsidRPr="00A91D43">
        <w:rPr>
          <w:rFonts w:ascii="Calibri Light" w:hAnsi="Calibri Light"/>
        </w:rPr>
        <w:t>expected cost-effectiveness and decision uncertainty</w:t>
      </w:r>
      <w:r w:rsidR="0038437B" w:rsidRPr="00A91D43">
        <w:rPr>
          <w:rFonts w:ascii="Calibri Light" w:hAnsi="Calibri Light"/>
        </w:rPr>
        <w:t xml:space="preserve">. </w:t>
      </w:r>
      <w:r w:rsidR="00D052FC" w:rsidRPr="00A91D43">
        <w:rPr>
          <w:rFonts w:ascii="Calibri Light" w:hAnsi="Calibri Light"/>
        </w:rPr>
        <w:t xml:space="preserve">This analysis represents </w:t>
      </w:r>
      <w:r w:rsidR="0038437B" w:rsidRPr="00A91D43">
        <w:rPr>
          <w:rFonts w:ascii="Calibri Light" w:hAnsi="Calibri Light"/>
        </w:rPr>
        <w:t xml:space="preserve">the first </w:t>
      </w:r>
      <w:r w:rsidR="00D052FC" w:rsidRPr="00A91D43">
        <w:rPr>
          <w:rFonts w:ascii="Calibri Light" w:hAnsi="Calibri Light"/>
        </w:rPr>
        <w:t xml:space="preserve">attempt </w:t>
      </w:r>
      <w:r w:rsidR="0038437B" w:rsidRPr="00A91D43">
        <w:rPr>
          <w:rFonts w:ascii="Calibri Light" w:hAnsi="Calibri Light"/>
        </w:rPr>
        <w:t>to consider the implications of collecting broader cost data not only in terms of addressing concerns around the expected incremental costs, but</w:t>
      </w:r>
      <w:r w:rsidRPr="00A91D43">
        <w:rPr>
          <w:rFonts w:ascii="Calibri Light" w:hAnsi="Calibri Light"/>
        </w:rPr>
        <w:t xml:space="preserve"> also</w:t>
      </w:r>
      <w:r w:rsidR="0038437B" w:rsidRPr="00A91D43">
        <w:rPr>
          <w:rFonts w:ascii="Calibri Light" w:hAnsi="Calibri Light"/>
        </w:rPr>
        <w:t xml:space="preserve"> in terms of </w:t>
      </w:r>
      <w:r w:rsidR="00D052FC" w:rsidRPr="00A91D43">
        <w:rPr>
          <w:rFonts w:ascii="Calibri Light" w:hAnsi="Calibri Light"/>
        </w:rPr>
        <w:t>any</w:t>
      </w:r>
      <w:r w:rsidR="00D30A86" w:rsidRPr="00A91D43">
        <w:rPr>
          <w:rFonts w:ascii="Calibri Light" w:hAnsi="Calibri Light"/>
        </w:rPr>
        <w:t xml:space="preserve"> impacts upon the</w:t>
      </w:r>
      <w:r w:rsidR="00D052FC" w:rsidRPr="00A91D43">
        <w:rPr>
          <w:rFonts w:ascii="Calibri Light" w:hAnsi="Calibri Light"/>
        </w:rPr>
        <w:t xml:space="preserve"> </w:t>
      </w:r>
      <w:r w:rsidR="0038437B" w:rsidRPr="00A91D43">
        <w:rPr>
          <w:rFonts w:ascii="Calibri Light" w:hAnsi="Calibri Light"/>
        </w:rPr>
        <w:t>associated decision</w:t>
      </w:r>
      <w:r w:rsidR="00C05DDE" w:rsidRPr="00A91D43">
        <w:rPr>
          <w:rFonts w:ascii="Calibri Light" w:hAnsi="Calibri Light"/>
        </w:rPr>
        <w:t xml:space="preserve"> uncertainty</w:t>
      </w:r>
      <w:r w:rsidR="00D052FC" w:rsidRPr="00A91D43">
        <w:rPr>
          <w:rFonts w:ascii="Calibri Light" w:hAnsi="Calibri Light"/>
        </w:rPr>
        <w:t>.</w:t>
      </w:r>
      <w:r w:rsidR="0038437B" w:rsidRPr="00A91D43">
        <w:rPr>
          <w:rFonts w:ascii="Calibri Light" w:hAnsi="Calibri Light"/>
        </w:rPr>
        <w:t xml:space="preserve"> </w:t>
      </w:r>
    </w:p>
    <w:p w14:paraId="4EF1BD1F" w14:textId="77777777" w:rsidR="0030713F" w:rsidRPr="00235A41" w:rsidRDefault="001962EE" w:rsidP="003A2DE7">
      <w:pPr>
        <w:pStyle w:val="Heading2"/>
      </w:pPr>
      <w:r>
        <w:t xml:space="preserve">2. </w:t>
      </w:r>
      <w:r w:rsidR="003A2DE7" w:rsidRPr="00235A41">
        <w:t>Methods</w:t>
      </w:r>
    </w:p>
    <w:p w14:paraId="2AF12541" w14:textId="43F51B5A" w:rsidR="00660B9B" w:rsidRPr="00A91D43" w:rsidRDefault="00B21CC3" w:rsidP="0030713F">
      <w:pPr>
        <w:rPr>
          <w:rFonts w:ascii="Calibri Light" w:hAnsi="Calibri Light"/>
        </w:rPr>
      </w:pPr>
      <w:r w:rsidRPr="00A91D43">
        <w:rPr>
          <w:rFonts w:ascii="Calibri Light" w:hAnsi="Calibri Light"/>
        </w:rPr>
        <w:t>In order to</w:t>
      </w:r>
      <w:r w:rsidR="00B9796A">
        <w:rPr>
          <w:rFonts w:ascii="Calibri Light" w:hAnsi="Calibri Light"/>
        </w:rPr>
        <w:t xml:space="preserve"> illustrate and</w:t>
      </w:r>
      <w:r w:rsidRPr="00A91D43">
        <w:rPr>
          <w:rFonts w:ascii="Calibri Light" w:hAnsi="Calibri Light"/>
        </w:rPr>
        <w:t xml:space="preserve"> </w:t>
      </w:r>
      <w:r w:rsidR="00212C0E" w:rsidRPr="00A91D43">
        <w:rPr>
          <w:rFonts w:ascii="Calibri Light" w:hAnsi="Calibri Light"/>
        </w:rPr>
        <w:t>quantify</w:t>
      </w:r>
      <w:r w:rsidRPr="00A91D43">
        <w:rPr>
          <w:rFonts w:ascii="Calibri Light" w:hAnsi="Calibri Light"/>
        </w:rPr>
        <w:t xml:space="preserve"> the importance</w:t>
      </w:r>
      <w:r w:rsidR="00DD20D2" w:rsidRPr="00A91D43">
        <w:rPr>
          <w:rFonts w:ascii="Calibri Light" w:hAnsi="Calibri Light"/>
        </w:rPr>
        <w:t>, in terms of incremental cost and decision uncertainty,</w:t>
      </w:r>
      <w:r w:rsidRPr="00A91D43">
        <w:rPr>
          <w:rFonts w:ascii="Calibri Light" w:hAnsi="Calibri Light"/>
        </w:rPr>
        <w:t xml:space="preserve"> of the analyst’s decision around which cost categories </w:t>
      </w:r>
      <w:r w:rsidR="00DD20D2" w:rsidRPr="00A91D43">
        <w:rPr>
          <w:rFonts w:ascii="Calibri Light" w:hAnsi="Calibri Light"/>
        </w:rPr>
        <w:t xml:space="preserve">to include, three different </w:t>
      </w:r>
      <w:r w:rsidR="00DD20D2" w:rsidRPr="00A91D43">
        <w:rPr>
          <w:rFonts w:ascii="Calibri Light" w:hAnsi="Calibri Light"/>
        </w:rPr>
        <w:lastRenderedPageBreak/>
        <w:t xml:space="preserve">scenarios </w:t>
      </w:r>
      <w:r w:rsidR="00D052FC" w:rsidRPr="00A91D43">
        <w:rPr>
          <w:rFonts w:ascii="Calibri Light" w:hAnsi="Calibri Light"/>
        </w:rPr>
        <w:t xml:space="preserve">are specified </w:t>
      </w:r>
      <w:r w:rsidR="00DD20D2" w:rsidRPr="00A91D43">
        <w:rPr>
          <w:rFonts w:ascii="Calibri Light" w:hAnsi="Calibri Light"/>
        </w:rPr>
        <w:t>using the CALIBER model</w:t>
      </w:r>
      <w:r w:rsidR="00CF5DB8"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"10.1136/heartjnl-2015-308850", "ISSN" : "1355-6037", "author" : [ { "dropping-particle" : "", "family" : "Asaria", "given" : "Miqdad", "non-dropping-particle" : "", "parse-names" : false, "suffix" : "" }, { "dropping-particle" : "", "family" : "Walker", "given" : "Simon", "non-dropping-particle" : "", "parse-names" : false, "suffix" : "" }, { "dropping-particle" : "", "family" : "Palmer", "given" : "Stephen", "non-dropping-particle" : "", "parse-names" : false, "suffix" : "" }, { "dropping-particle" : "", "family" : "Gale", "given" : "Chris P", "non-dropping-particle" : "", "parse-names" : false, "suffix" : "" }, { "dropping-particle" : "", "family" : "Shah", "given" : "Anoop D", "non-dropping-particle" : "", "parse-names" : false, "suffix" : "" }, { "dropping-particle" : "", "family" : "Abrams", "given" : "Keith R", "non-dropping-particle" : "", "parse-names" : false, "suffix" : "" }, { "dropping-particle" : "", "family" : "Crowther", "given" : "Michael", "non-dropping-particle" : "", "parse-names" : false, "suffix" : "" }, { "dropping-particle" : "", "family" : "Manca", "given" : "Andrea", "non-dropping-particle" : "", "parse-names" : false, "suffix" : "" }, { "dropping-particle" : "", "family" : "Timmis", "given" : "Adam", "non-dropping-particle" : "", "parse-names" : false, "suffix" : "" }, { "dropping-particle" : "", "family" : "Hemingway", "given" : "Harry", "non-dropping-particle" : "", "parse-names" : false, "suffix" : "" }, { "dropping-particle" : "", "family" : "Sculpher", "given" : "Mark", "non-dropping-particle" : "", "parse-names" : false, "suffix" : "" } ], "container-title" : "Heart", "id" : "ITEM-1", "issue" : "10", "issued" : { "date-parts" : [ [ "2016", "5", "15" ] ] }, "page" : "755-762", "title" : "Using electronic health records to predict costs and outcomes in stable coronary artery disease", "type" : "article-journal", "volume" : "102" }, "uris" : [ "http://www.mendeley.com/documents/?uuid=1160c96a-8ba6-3301-a6c5-24b7279b79de" ] } ], "mendeley" : { "formattedCitation" : "(28)", "plainTextFormattedCitation" : "(28)", "previouslyFormattedCitation" : "(28)" }, "properties" : {  }, "schema" : "https://github.com/citation-style-language/schema/raw/master/csl-citation.json" }</w:instrText>
      </w:r>
      <w:r w:rsidR="00CF09D0" w:rsidRPr="00A91D43">
        <w:rPr>
          <w:rFonts w:ascii="Calibri Light" w:hAnsi="Calibri Light"/>
        </w:rPr>
        <w:fldChar w:fldCharType="separate"/>
      </w:r>
      <w:r w:rsidR="007A0CB0" w:rsidRPr="007A0CB0">
        <w:rPr>
          <w:rFonts w:ascii="Calibri Light" w:hAnsi="Calibri Light"/>
          <w:noProof/>
        </w:rPr>
        <w:t>(28)</w:t>
      </w:r>
      <w:r w:rsidR="00CF09D0" w:rsidRPr="00A91D43">
        <w:rPr>
          <w:rFonts w:ascii="Calibri Light" w:hAnsi="Calibri Light"/>
        </w:rPr>
        <w:fldChar w:fldCharType="end"/>
      </w:r>
      <w:r w:rsidR="00D052FC" w:rsidRPr="00A91D43">
        <w:rPr>
          <w:rFonts w:ascii="Calibri Light" w:hAnsi="Calibri Light"/>
        </w:rPr>
        <w:t xml:space="preserve">. </w:t>
      </w:r>
      <w:r w:rsidR="00DD20D2" w:rsidRPr="00A91D43">
        <w:rPr>
          <w:rFonts w:ascii="Calibri Light" w:hAnsi="Calibri Light"/>
        </w:rPr>
        <w:t>The three scenarios pertain to the range of costs that are included in each analysis: CHD costs only, CVD costs or all costs.</w:t>
      </w:r>
      <w:r w:rsidR="00212C0E" w:rsidRPr="00A91D43">
        <w:rPr>
          <w:rFonts w:ascii="Calibri Light" w:hAnsi="Calibri Light"/>
        </w:rPr>
        <w:t xml:space="preserve"> </w:t>
      </w:r>
      <w:r w:rsidR="00EE49FE">
        <w:rPr>
          <w:rFonts w:ascii="Calibri Light" w:hAnsi="Calibri Light"/>
        </w:rPr>
        <w:t>Full details of the model are presented elsewhere (</w:t>
      </w:r>
      <w:r w:rsidR="00EE49FE" w:rsidRPr="00A91D43">
        <w:rPr>
          <w:rFonts w:ascii="Calibri Light" w:hAnsi="Calibri Light"/>
        </w:rPr>
        <w:fldChar w:fldCharType="begin" w:fldLock="1"/>
      </w:r>
      <w:r w:rsidR="000866A8">
        <w:rPr>
          <w:rFonts w:ascii="Calibri Light" w:hAnsi="Calibri Light"/>
        </w:rPr>
        <w:instrText>ADDIN CSL_CITATION { "citationItems" : [ { "id" : "ITEM-1", "itemData" : { "DOI" : "10.1136/heartjnl-2015-308850", "ISSN" : "1355-6037", "author" : [ { "dropping-particle" : "", "family" : "Asaria", "given" : "Miqdad", "non-dropping-particle" : "", "parse-names" : false, "suffix" : "" }, { "dropping-particle" : "", "family" : "Walker", "given" : "Simon", "non-dropping-particle" : "", "parse-names" : false, "suffix" : "" }, { "dropping-particle" : "", "family" : "Palmer", "given" : "Stephen", "non-dropping-particle" : "", "parse-names" : false, "suffix" : "" }, { "dropping-particle" : "", "family" : "Gale", "given" : "Chris P", "non-dropping-particle" : "", "parse-names" : false, "suffix" : "" }, { "dropping-particle" : "", "family" : "Shah", "given" : "Anoop D", "non-dropping-particle" : "", "parse-names" : false, "suffix" : "" }, { "dropping-particle" : "", "family" : "Abrams", "given" : "Keith R", "non-dropping-particle" : "", "parse-names" : false, "suffix" : "" }, { "dropping-particle" : "", "family" : "Crowther", "given" : "Michael", "non-dropping-particle" : "", "parse-names" : false, "suffix" : "" }, { "dropping-particle" : "", "family" : "Manca", "given" : "Andrea", "non-dropping-particle" : "", "parse-names" : false, "suffix" : "" }, { "dropping-particle" : "", "family" : "Timmis", "given" : "Adam", "non-dropping-particle" : "", "parse-names" : false, "suffix" : "" }, { "dropping-particle" : "", "family" : "Hemingway", "given" : "Harry", "non-dropping-particle" : "", "parse-names" : false, "suffix" : "" }, { "dropping-particle" : "", "family" : "Sculpher", "given" : "Mark", "non-dropping-particle" : "", "parse-names" : false, "suffix" : "" } ], "container-title" : "Heart", "id" : "ITEM-1", "issue" : "10", "issued" : { "date-parts" : [ [ "2016", "5", "15" ] ] }, "page" : "755-762", "title" : "Using electronic health records to predict costs and outcomes in stable coronary artery disease", "type" : "article-journal", "volume" : "102" }, "uris" : [ "http://www.mendeley.com/documents/?uuid=1160c96a-8ba6-3301-a6c5-24b7279b79de" ] } ], "mendeley" : { "formattedCitation" : "(28)", "plainTextFormattedCitation" : "(28)", "previouslyFormattedCitation" : "(28)" }, "properties" : {  }, "schema" : "https://github.com/citation-style-language/schema/raw/master/csl-citation.json" }</w:instrText>
      </w:r>
      <w:r w:rsidR="00EE49FE" w:rsidRPr="00A91D43">
        <w:rPr>
          <w:rFonts w:ascii="Calibri Light" w:hAnsi="Calibri Light"/>
        </w:rPr>
        <w:fldChar w:fldCharType="separate"/>
      </w:r>
      <w:r w:rsidR="00EE49FE" w:rsidRPr="007A0CB0">
        <w:rPr>
          <w:rFonts w:ascii="Calibri Light" w:hAnsi="Calibri Light"/>
          <w:noProof/>
        </w:rPr>
        <w:t>(28)</w:t>
      </w:r>
      <w:r w:rsidR="00EE49FE" w:rsidRPr="00A91D43">
        <w:rPr>
          <w:rFonts w:ascii="Calibri Light" w:hAnsi="Calibri Light"/>
        </w:rPr>
        <w:fldChar w:fldCharType="end"/>
      </w:r>
      <w:r w:rsidR="00EE49FE">
        <w:rPr>
          <w:rFonts w:ascii="Calibri Light" w:hAnsi="Calibri Light"/>
        </w:rPr>
        <w:t xml:space="preserve"> but briefly t</w:t>
      </w:r>
      <w:r w:rsidR="00212C0E" w:rsidRPr="00A91D43">
        <w:rPr>
          <w:rFonts w:ascii="Calibri Light" w:hAnsi="Calibri Light"/>
        </w:rPr>
        <w:t>he CALIBER model</w:t>
      </w:r>
      <w:r w:rsidR="005A482E" w:rsidRPr="00A91D43">
        <w:rPr>
          <w:rFonts w:ascii="Calibri Light" w:hAnsi="Calibri Light"/>
        </w:rPr>
        <w:t xml:space="preserve"> employs a set of risk equations</w:t>
      </w:r>
      <w:r w:rsidR="00BC04C4" w:rsidRPr="00A91D43">
        <w:rPr>
          <w:rFonts w:ascii="Calibri Light" w:hAnsi="Calibri Light"/>
        </w:rPr>
        <w:t xml:space="preserve"> </w:t>
      </w:r>
      <w:r w:rsidR="00933114" w:rsidRPr="00A91D43">
        <w:rPr>
          <w:rFonts w:ascii="Calibri Light" w:hAnsi="Calibri Light"/>
        </w:rPr>
        <w:t>estimating probabilities of</w:t>
      </w:r>
      <w:r w:rsidR="00BC04C4" w:rsidRPr="00A91D43">
        <w:rPr>
          <w:rFonts w:ascii="Calibri Light" w:hAnsi="Calibri Light"/>
        </w:rPr>
        <w:t xml:space="preserve"> subsequent</w:t>
      </w:r>
      <w:r w:rsidR="004B4819" w:rsidRPr="00A91D43">
        <w:rPr>
          <w:rFonts w:ascii="Calibri Light" w:hAnsi="Calibri Light"/>
        </w:rPr>
        <w:t xml:space="preserve"> </w:t>
      </w:r>
      <w:r w:rsidR="00BC30CF">
        <w:rPr>
          <w:rFonts w:ascii="Calibri Light" w:hAnsi="Calibri Light"/>
        </w:rPr>
        <w:t>MI</w:t>
      </w:r>
      <w:r w:rsidR="00BC04C4" w:rsidRPr="00A91D43">
        <w:rPr>
          <w:rFonts w:ascii="Calibri Light" w:hAnsi="Calibri Light"/>
        </w:rPr>
        <w:t>, ischaemic and haemorrhagic stroke and mortality that are</w:t>
      </w:r>
      <w:r w:rsidR="005A482E" w:rsidRPr="00A91D43">
        <w:rPr>
          <w:rFonts w:ascii="Calibri Light" w:hAnsi="Calibri Light"/>
        </w:rPr>
        <w:t xml:space="preserve"> structured as a Markov model to model disease progression</w:t>
      </w:r>
      <w:r w:rsidR="00BC04C4" w:rsidRPr="00A91D43">
        <w:rPr>
          <w:rFonts w:ascii="Calibri Light" w:hAnsi="Calibri Light"/>
        </w:rPr>
        <w:t xml:space="preserve"> in a secondary prevention of CHD context</w:t>
      </w:r>
      <w:r w:rsidR="00993106"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"10.1136/heartjnl-2015-308850", "ISSN" : "1355-6037", "author" : [ { "dropping-particle" : "", "family" : "Asaria", "given" : "Miqdad", "non-dropping-particle" : "", "parse-names" : false, "suffix" : "" }, { "dropping-particle" : "", "family" : "Walker", "given" : "Simon", "non-dropping-particle" : "", "parse-names" : false, "suffix" : "" }, { "dropping-particle" : "", "family" : "Palmer", "given" : "Stephen", "non-dropping-particle" : "", "parse-names" : false, "suffix" : "" }, { "dropping-particle" : "", "family" : "Gale", "given" : "Chris P", "non-dropping-particle" : "", "parse-names" : false, "suffix" : "" }, { "dropping-particle" : "", "family" : "Shah", "given" : "Anoop D", "non-dropping-particle" : "", "parse-names" : false, "suffix" : "" }, { "dropping-particle" : "", "family" : "Abrams", "given" : "Keith R", "non-dropping-particle" : "", "parse-names" : false, "suffix" : "" }, { "dropping-particle" : "", "family" : "Crowther", "given" : "Michael", "non-dropping-particle" : "", "parse-names" : false, "suffix" : "" }, { "dropping-particle" : "", "family" : "Manca", "given" : "Andrea", "non-dropping-particle" : "", "parse-names" : false, "suffix" : "" }, { "dropping-particle" : "", "family" : "Timmis", "given" : "Adam", "non-dropping-particle" : "", "parse-names" : false, "suffix" : "" }, { "dropping-particle" : "", "family" : "Hemingway", "given" : "Harry", "non-dropping-particle" : "", "parse-names" : false, "suffix" : "" }, { "dropping-particle" : "", "family" : "Sculpher", "given" : "Mark", "non-dropping-particle" : "", "parse-names" : false, "suffix" : "" } ], "container-title" : "Heart", "id" : "ITEM-1", "issue" : "10", "issued" : { "date-parts" : [ [ "2016", "5", "15" ] ] }, "page" : "755-762", "title" : "Using electronic health records to predict costs and outcomes in stable coronary artery disease", "type" : "article-journal", "volume" : "102" }, "uris" : [ "http://www.mendeley.com/documents/?uuid=1160c96a-8ba6-3301-a6c5-24b7279b79de" ] } ], "mendeley" : { "formattedCitation" : "(28)", "plainTextFormattedCitation" : "(28)", "previouslyFormattedCitation" : "(28)" }, "properties" : {  }, "schema" : "https://github.com/citation-style-language/schema/raw/master/csl-citation.json" }</w:instrText>
      </w:r>
      <w:r w:rsidR="00CF09D0" w:rsidRPr="00A91D43">
        <w:rPr>
          <w:rFonts w:ascii="Calibri Light" w:hAnsi="Calibri Light"/>
        </w:rPr>
        <w:fldChar w:fldCharType="separate"/>
      </w:r>
      <w:r w:rsidR="007A0CB0" w:rsidRPr="007A0CB0">
        <w:rPr>
          <w:rFonts w:ascii="Calibri Light" w:hAnsi="Calibri Light"/>
          <w:noProof/>
        </w:rPr>
        <w:t>(28)</w:t>
      </w:r>
      <w:r w:rsidR="00CF09D0" w:rsidRPr="00A91D43">
        <w:rPr>
          <w:rFonts w:ascii="Calibri Light" w:hAnsi="Calibri Light"/>
        </w:rPr>
        <w:fldChar w:fldCharType="end"/>
      </w:r>
      <w:r w:rsidR="005A482E" w:rsidRPr="00A91D43">
        <w:rPr>
          <w:rFonts w:ascii="Calibri Light" w:hAnsi="Calibri Light"/>
        </w:rPr>
        <w:t>. These equations are estimated using</w:t>
      </w:r>
      <w:r w:rsidR="00D7778C" w:rsidRPr="00A91D43">
        <w:rPr>
          <w:rFonts w:ascii="Calibri Light" w:hAnsi="Calibri Light"/>
        </w:rPr>
        <w:t xml:space="preserve"> data from four data sources</w:t>
      </w:r>
      <w:r w:rsidR="00EE49FE" w:rsidRPr="00EE49FE">
        <w:rPr>
          <w:rFonts w:ascii="Calibri Light" w:hAnsi="Calibri Light"/>
        </w:rPr>
        <w:t xml:space="preserve"> </w:t>
      </w:r>
      <w:r w:rsidR="00EE49FE">
        <w:rPr>
          <w:rFonts w:ascii="Calibri Light" w:hAnsi="Calibri Light"/>
        </w:rPr>
        <w:t xml:space="preserve">(detailed </w:t>
      </w:r>
      <w:r w:rsidR="00EE49FE" w:rsidRPr="00A91D43">
        <w:rPr>
          <w:rFonts w:ascii="Calibri Light" w:hAnsi="Calibri Light"/>
        </w:rPr>
        <w:t xml:space="preserve">in </w:t>
      </w:r>
      <w:r w:rsidR="00EE49FE" w:rsidRPr="00A91D43">
        <w:rPr>
          <w:rFonts w:ascii="Calibri Light" w:hAnsi="Calibri Light"/>
        </w:rPr>
        <w:fldChar w:fldCharType="begin" w:fldLock="1"/>
      </w:r>
      <w:r w:rsidR="000866A8">
        <w:rPr>
          <w:rFonts w:ascii="Calibri Light" w:hAnsi="Calibri Light"/>
        </w:rPr>
        <w:instrText>ADDIN CSL_CITATION { "citationItems" : [ { "id" : "ITEM-1", "itemData" : { "DOI" : "10.1093/ije/dys188", "ISSN" : "0300-5771", "author" : [ { "dropping-particle" : "", "family" : "Denaxas", "given" : "S. C.", "non-dropping-particle" : "", "parse-names" : false, "suffix" : "" }, { "dropping-particle" : "", "family" : "George", "given" : "J.", "non-dropping-particle" : "", "parse-names" : false, "suffix" : "" }, { "dropping-particle" : "", "family" : "Herrett", "given" : "E.", "non-dropping-particle" : "", "parse-names" : false, "suffix" : "" }, { "dropping-particle" : "", "family" : "Shah", "given" : "A. D.", "non-dropping-particle" : "", "parse-names" : false, "suffix" : "" }, { "dropping-particle" : "", "family" : "Kalra", "given" : "D.", "non-dropping-particle" : "", "parse-names" : false, "suffix" : "" }, { "dropping-particle" : "", "family" : "Hingorani", "given" : "A. D.", "non-dropping-particle" : "", "parse-names" : false, "suffix" : "" }, { "dropping-particle" : "", "family" : "Kivimaki", "given" : "M.", "non-dropping-particle" : "", "parse-names" : false, "suffix" : "" }, { "dropping-particle" : "", "family" : "Timmis", "given" : "A. D.", "non-dropping-particle" : "", "parse-names" : false, "suffix" : "" }, { "dropping-particle" : "", "family" : "Smeeth", "given" : "L.", "non-dropping-particle" : "", "parse-names" : false, "suffix" : "" }, { "dropping-particle" : "", "family" : "Hemingway", "given" : "H.", "non-dropping-particle" : "", "parse-names" : false, "suffix" : "" } ], "container-title" : "International Journal of Epidemiology", "id" : "ITEM-1", "issue" : "6", "issued" : { "date-parts" : [ [ "2012", "12", "1" ] ] }, "page" : "1625-1638", "publisher" : "Routledge, London", "title" : "Data Resource Profile: Cardiovascular disease research using linked bespoke studies and electronic health records (CALIBER)", "type" : "article-journal", "volume" : "41" }, "uris" : [ "http://www.mendeley.com/documents/?uuid=962a6407-e800-3e5e-b53f-bd0df5c381c2" ] } ], "mendeley" : { "formattedCitation" : "(29)", "plainTextFormattedCitation" : "(29)", "previouslyFormattedCitation" : "(29)" }, "properties" : {  }, "schema" : "https://github.com/citation-style-language/schema/raw/master/csl-citation.json" }</w:instrText>
      </w:r>
      <w:r w:rsidR="00EE49FE" w:rsidRPr="00A91D43">
        <w:rPr>
          <w:rFonts w:ascii="Calibri Light" w:hAnsi="Calibri Light"/>
        </w:rPr>
        <w:fldChar w:fldCharType="separate"/>
      </w:r>
      <w:r w:rsidR="00EE49FE" w:rsidRPr="007A0CB0">
        <w:rPr>
          <w:rFonts w:ascii="Calibri Light" w:hAnsi="Calibri Light"/>
          <w:noProof/>
        </w:rPr>
        <w:t>(29)</w:t>
      </w:r>
      <w:r w:rsidR="00EE49FE" w:rsidRPr="00A91D43">
        <w:rPr>
          <w:rFonts w:ascii="Calibri Light" w:hAnsi="Calibri Light"/>
        </w:rPr>
        <w:fldChar w:fldCharType="end"/>
      </w:r>
      <w:r w:rsidR="00EE49FE">
        <w:rPr>
          <w:rFonts w:ascii="Calibri Light" w:hAnsi="Calibri Light"/>
        </w:rPr>
        <w:t>)</w:t>
      </w:r>
      <w:r w:rsidR="00D7778C" w:rsidRPr="00A91D43">
        <w:rPr>
          <w:rFonts w:ascii="Calibri Light" w:hAnsi="Calibri Light"/>
        </w:rPr>
        <w:t>: Clinical Practice Research Database (CPRD), Myocardial Ischaemia National Audit Project (MINAP) registry, Hospital Episode Statistics (HES) and the Office for National Statistics (ONS)</w:t>
      </w:r>
      <w:r w:rsidR="00CF5DB8"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"10.1093/ije/dys188", "ISSN" : "0300-5771", "author" : [ { "dropping-particle" : "", "family" : "Denaxas", "given" : "S. C.", "non-dropping-particle" : "", "parse-names" : false, "suffix" : "" }, { "dropping-particle" : "", "family" : "George", "given" : "J.", "non-dropping-particle" : "", "parse-names" : false, "suffix" : "" }, { "dropping-particle" : "", "family" : "Herrett", "given" : "E.", "non-dropping-particle" : "", "parse-names" : false, "suffix" : "" }, { "dropping-particle" : "", "family" : "Shah", "given" : "A. D.", "non-dropping-particle" : "", "parse-names" : false, "suffix" : "" }, { "dropping-particle" : "", "family" : "Kalra", "given" : "D.", "non-dropping-particle" : "", "parse-names" : false, "suffix" : "" }, { "dropping-particle" : "", "family" : "Hingorani", "given" : "A. D.", "non-dropping-particle" : "", "parse-names" : false, "suffix" : "" }, { "dropping-particle" : "", "family" : "Kivimaki", "given" : "M.", "non-dropping-particle" : "", "parse-names" : false, "suffix" : "" }, { "dropping-particle" : "", "family" : "Timmis", "given" : "A. D.", "non-dropping-particle" : "", "parse-names" : false, "suffix" : "" }, { "dropping-particle" : "", "family" : "Smeeth", "given" : "L.", "non-dropping-particle" : "", "parse-names" : false, "suffix" : "" }, { "dropping-particle" : "", "family" : "Hemingway", "given" : "H.", "non-dropping-particle" : "", "parse-names" : false, "suffix" : "" } ], "container-title" : "International Journal of Epidemiology", "id" : "ITEM-1", "issue" : "6", "issued" : { "date-parts" : [ [ "2012", "12", "1" ] ] }, "page" : "1625-1638", "publisher" : "Routledge, London", "title" : "Data Resource Profile: Cardiovascular disease research using linked bespoke studies and electronic health records (CALIBER)", "type" : "article-journal", "volume" : "41" }, "uris" : [ "http://www.mendeley.com/documents/?uuid=962a6407-e800-3e5e-b53f-bd0df5c381c2" ] } ], "mendeley" : { "formattedCitation" : "(29)", "plainTextFormattedCitation" : "(29)", "previouslyFormattedCitation" : "(29)" }, "properties" : {  }, "schema" : "https://github.com/citation-style-language/schema/raw/master/csl-citation.json" }</w:instrText>
      </w:r>
      <w:r w:rsidR="00CF09D0" w:rsidRPr="00A91D43">
        <w:rPr>
          <w:rFonts w:ascii="Calibri Light" w:hAnsi="Calibri Light"/>
        </w:rPr>
        <w:fldChar w:fldCharType="separate"/>
      </w:r>
      <w:r w:rsidR="007A0CB0" w:rsidRPr="007A0CB0">
        <w:rPr>
          <w:rFonts w:ascii="Calibri Light" w:hAnsi="Calibri Light"/>
          <w:noProof/>
        </w:rPr>
        <w:t>(29)</w:t>
      </w:r>
      <w:r w:rsidR="00CF09D0" w:rsidRPr="00A91D43">
        <w:rPr>
          <w:rFonts w:ascii="Calibri Light" w:hAnsi="Calibri Light"/>
        </w:rPr>
        <w:fldChar w:fldCharType="end"/>
      </w:r>
      <w:r w:rsidR="006410A7" w:rsidRPr="00A91D43">
        <w:rPr>
          <w:rFonts w:ascii="Calibri Light" w:hAnsi="Calibri Light"/>
        </w:rPr>
        <w:t>.</w:t>
      </w:r>
      <w:r w:rsidR="004E39D9">
        <w:rPr>
          <w:rStyle w:val="FootnoteReference"/>
          <w:rFonts w:ascii="Calibri Light" w:hAnsi="Calibri Light"/>
        </w:rPr>
        <w:footnoteReference w:id="5"/>
      </w:r>
      <w:r w:rsidR="008E3E2A" w:rsidRPr="00A91D43">
        <w:rPr>
          <w:rFonts w:ascii="Calibri Light" w:hAnsi="Calibri Light"/>
        </w:rPr>
        <w:t xml:space="preserve"> It is assumed that a hypothetical treatment</w:t>
      </w:r>
      <w:r w:rsidR="004E39D9">
        <w:rPr>
          <w:rFonts w:ascii="Calibri Light" w:hAnsi="Calibri Light"/>
        </w:rPr>
        <w:t>, administered to patients in the SCAD health state at a cost of £250 per year,</w:t>
      </w:r>
      <w:r w:rsidR="008E3E2A" w:rsidRPr="00A91D43">
        <w:rPr>
          <w:rFonts w:ascii="Calibri Light" w:hAnsi="Calibri Light"/>
        </w:rPr>
        <w:t xml:space="preserve"> reduces the probability of potentially fatal cardiovascular health events</w:t>
      </w:r>
      <w:r w:rsidR="00EE49FE">
        <w:rPr>
          <w:rFonts w:ascii="Calibri Light" w:hAnsi="Calibri Light"/>
        </w:rPr>
        <w:t>,</w:t>
      </w:r>
      <w:r w:rsidR="00F46AA2">
        <w:rPr>
          <w:rFonts w:ascii="Calibri Light" w:hAnsi="Calibri Light"/>
        </w:rPr>
        <w:t xml:space="preserve"> compared to </w:t>
      </w:r>
      <w:r w:rsidR="00DF1186">
        <w:rPr>
          <w:rFonts w:ascii="Calibri Light" w:hAnsi="Calibri Light"/>
        </w:rPr>
        <w:t>a stand</w:t>
      </w:r>
      <w:r w:rsidR="00907052">
        <w:rPr>
          <w:rFonts w:ascii="Calibri Light" w:hAnsi="Calibri Light"/>
        </w:rPr>
        <w:t>ard</w:t>
      </w:r>
      <w:r w:rsidR="00DF1186">
        <w:rPr>
          <w:rFonts w:ascii="Calibri Light" w:hAnsi="Calibri Light"/>
        </w:rPr>
        <w:t xml:space="preserve"> care</w:t>
      </w:r>
      <w:r w:rsidR="00F46AA2">
        <w:rPr>
          <w:rFonts w:ascii="Calibri Light" w:hAnsi="Calibri Light"/>
        </w:rPr>
        <w:t xml:space="preserve"> control group</w:t>
      </w:r>
      <w:r w:rsidR="00EE49FE">
        <w:rPr>
          <w:rFonts w:ascii="Calibri Light" w:hAnsi="Calibri Light"/>
        </w:rPr>
        <w:t>,</w:t>
      </w:r>
      <w:r w:rsidR="008E3E2A" w:rsidRPr="00A91D43">
        <w:rPr>
          <w:rFonts w:ascii="Calibri Light" w:hAnsi="Calibri Light"/>
        </w:rPr>
        <w:t xml:space="preserve"> with a relative risk of 0.8</w:t>
      </w:r>
      <w:r w:rsidR="008E3E2A" w:rsidRPr="006A00C7">
        <w:rPr>
          <w:rFonts w:ascii="Calibri Light" w:hAnsi="Calibri Light"/>
        </w:rPr>
        <w:t>.</w:t>
      </w:r>
      <w:r w:rsidR="00D509E8" w:rsidRPr="006A00C7">
        <w:rPr>
          <w:rFonts w:ascii="Calibri Light" w:hAnsi="Calibri Light"/>
        </w:rPr>
        <w:t xml:space="preserve"> The patient cohort modelled is assumed to be in the 5</w:t>
      </w:r>
      <w:r w:rsidR="00D509E8" w:rsidRPr="006A00C7">
        <w:rPr>
          <w:rFonts w:ascii="Calibri Light" w:hAnsi="Calibri Light"/>
          <w:vertAlign w:val="superscript"/>
        </w:rPr>
        <w:t>th</w:t>
      </w:r>
      <w:r w:rsidR="00D509E8" w:rsidRPr="006A00C7">
        <w:rPr>
          <w:rFonts w:ascii="Calibri Light" w:hAnsi="Calibri Light"/>
        </w:rPr>
        <w:t xml:space="preserve"> decile of 5 year risk of composite CVD first event</w:t>
      </w:r>
      <w:r w:rsidR="008E3E2A" w:rsidRPr="00A91D43">
        <w:rPr>
          <w:rFonts w:ascii="Calibri Light" w:hAnsi="Calibri Light"/>
        </w:rPr>
        <w:t>.</w:t>
      </w:r>
    </w:p>
    <w:p w14:paraId="002F0409" w14:textId="1FAE846D" w:rsidR="0030713F" w:rsidRPr="00A91D43" w:rsidRDefault="007F3E41" w:rsidP="0030713F">
      <w:pPr>
        <w:rPr>
          <w:rFonts w:ascii="Calibri Light" w:hAnsi="Calibri Light"/>
        </w:rPr>
      </w:pPr>
      <w:r w:rsidRPr="00A91D43">
        <w:rPr>
          <w:rFonts w:ascii="Calibri Light" w:hAnsi="Calibri Light"/>
        </w:rPr>
        <w:t>T</w:t>
      </w:r>
      <w:r w:rsidR="00660B9B" w:rsidRPr="00A91D43">
        <w:rPr>
          <w:rFonts w:ascii="Calibri Light" w:hAnsi="Calibri Light"/>
        </w:rPr>
        <w:t xml:space="preserve">he model is evaluated probabilistically with 999 iterations run in total. </w:t>
      </w:r>
      <w:proofErr w:type="gramStart"/>
      <w:r w:rsidR="00660B9B" w:rsidRPr="00A91D43">
        <w:rPr>
          <w:rFonts w:ascii="Calibri Light" w:hAnsi="Calibri Light"/>
        </w:rPr>
        <w:t>For each iteration</w:t>
      </w:r>
      <w:proofErr w:type="gramEnd"/>
      <w:r w:rsidR="00660B9B" w:rsidRPr="00A91D43">
        <w:rPr>
          <w:rFonts w:ascii="Calibri Light" w:hAnsi="Calibri Light"/>
        </w:rPr>
        <w:t xml:space="preserve"> </w:t>
      </w:r>
      <w:r w:rsidRPr="00A91D43">
        <w:rPr>
          <w:rFonts w:ascii="Calibri Light" w:hAnsi="Calibri Light"/>
        </w:rPr>
        <w:t xml:space="preserve">of the model </w:t>
      </w:r>
      <w:r w:rsidR="00933114" w:rsidRPr="00A91D43">
        <w:rPr>
          <w:rFonts w:ascii="Calibri Light" w:hAnsi="Calibri Light"/>
        </w:rPr>
        <w:t xml:space="preserve">eight </w:t>
      </w:r>
      <w:r w:rsidR="00660B9B" w:rsidRPr="00A91D43">
        <w:rPr>
          <w:rFonts w:ascii="Calibri Light" w:hAnsi="Calibri Light"/>
        </w:rPr>
        <w:t>key results are recorded: QALYs associated with the intervention and control groups and costs associated with the intervention and control groups</w:t>
      </w:r>
      <w:r w:rsidRPr="00A91D43">
        <w:rPr>
          <w:rFonts w:ascii="Calibri Light" w:hAnsi="Calibri Light"/>
        </w:rPr>
        <w:t>,</w:t>
      </w:r>
      <w:r w:rsidR="00660B9B" w:rsidRPr="00A91D43">
        <w:rPr>
          <w:rFonts w:ascii="Calibri Light" w:hAnsi="Calibri Light"/>
        </w:rPr>
        <w:t xml:space="preserve"> according to thre</w:t>
      </w:r>
      <w:r w:rsidR="0060156C" w:rsidRPr="00A91D43">
        <w:rPr>
          <w:rFonts w:ascii="Calibri Light" w:hAnsi="Calibri Light"/>
        </w:rPr>
        <w:t xml:space="preserve">e different costing scenarios. </w:t>
      </w:r>
      <w:r w:rsidR="00660B9B" w:rsidRPr="00A91D43">
        <w:rPr>
          <w:rFonts w:ascii="Calibri Light" w:hAnsi="Calibri Light"/>
        </w:rPr>
        <w:t>Two of the three scenarios represent plausible approaches to including only related costs as per the NICE guidance on this issue</w:t>
      </w:r>
      <w:r w:rsidR="00005E12">
        <w:rPr>
          <w:rFonts w:ascii="Calibri Light" w:hAnsi="Calibri Light"/>
        </w:rPr>
        <w:t>, one of which narrow and the other slightly broader</w:t>
      </w:r>
      <w:r w:rsidR="00660B9B" w:rsidRPr="00A91D43">
        <w:rPr>
          <w:rFonts w:ascii="Calibri Light" w:hAnsi="Calibri Light"/>
        </w:rPr>
        <w:t xml:space="preserve">. In CHD costs only and CVD </w:t>
      </w:r>
      <w:proofErr w:type="gramStart"/>
      <w:r w:rsidR="00660B9B" w:rsidRPr="00A91D43">
        <w:rPr>
          <w:rFonts w:ascii="Calibri Light" w:hAnsi="Calibri Light"/>
        </w:rPr>
        <w:t>costs</w:t>
      </w:r>
      <w:proofErr w:type="gramEnd"/>
      <w:r w:rsidR="00660B9B" w:rsidRPr="00A91D43">
        <w:rPr>
          <w:rFonts w:ascii="Calibri Light" w:hAnsi="Calibri Light"/>
        </w:rPr>
        <w:t xml:space="preserve"> only</w:t>
      </w:r>
      <w:r w:rsidR="00DF1186">
        <w:rPr>
          <w:rFonts w:ascii="Calibri Light" w:hAnsi="Calibri Light"/>
        </w:rPr>
        <w:t xml:space="preserve"> scenarios</w:t>
      </w:r>
      <w:r w:rsidR="00660B9B" w:rsidRPr="00A91D43">
        <w:rPr>
          <w:rFonts w:ascii="Calibri Light" w:hAnsi="Calibri Light"/>
        </w:rPr>
        <w:t xml:space="preserve">, only </w:t>
      </w:r>
      <w:r w:rsidR="00F02191" w:rsidRPr="00A91D43">
        <w:rPr>
          <w:rFonts w:ascii="Calibri Light" w:hAnsi="Calibri Light"/>
        </w:rPr>
        <w:t>health care</w:t>
      </w:r>
      <w:r w:rsidR="00660B9B" w:rsidRPr="00A91D43">
        <w:rPr>
          <w:rFonts w:ascii="Calibri Light" w:hAnsi="Calibri Light"/>
        </w:rPr>
        <w:t xml:space="preserve"> costs that are identifiable as CHD and CVD through the ICD-10 codes of the recorded Health Resource Group (HRG) are included.</w:t>
      </w:r>
      <w:r w:rsidR="00005E12">
        <w:rPr>
          <w:rStyle w:val="FootnoteReference"/>
          <w:rFonts w:ascii="Calibri Light" w:hAnsi="Calibri Light"/>
        </w:rPr>
        <w:footnoteReference w:id="6"/>
      </w:r>
      <w:r w:rsidR="00660B9B" w:rsidRPr="00A91D43">
        <w:rPr>
          <w:rFonts w:ascii="Calibri Light" w:hAnsi="Calibri Light"/>
        </w:rPr>
        <w:t xml:space="preserve"> The third scenario includes all </w:t>
      </w:r>
      <w:r w:rsidR="00F02191" w:rsidRPr="00A91D43">
        <w:rPr>
          <w:rFonts w:ascii="Calibri Light" w:hAnsi="Calibri Light"/>
        </w:rPr>
        <w:t>health care</w:t>
      </w:r>
      <w:r w:rsidR="00660B9B" w:rsidRPr="00A91D43">
        <w:rPr>
          <w:rFonts w:ascii="Calibri Light" w:hAnsi="Calibri Light"/>
        </w:rPr>
        <w:t xml:space="preserve"> costs and so represents an approach where no distinction is drawn in terms of related and unrelated costs.</w:t>
      </w:r>
      <w:r w:rsidR="00F06435" w:rsidRPr="00A91D43">
        <w:rPr>
          <w:rFonts w:ascii="Calibri Light" w:hAnsi="Calibri Light"/>
        </w:rPr>
        <w:t xml:space="preserve"> </w:t>
      </w:r>
      <w:r w:rsidRPr="00CF48FB">
        <w:rPr>
          <w:rFonts w:ascii="Calibri Light" w:hAnsi="Calibri Light"/>
        </w:rPr>
        <w:t>In all scenarios, i</w:t>
      </w:r>
      <w:r w:rsidR="00641005" w:rsidRPr="00CF48FB">
        <w:rPr>
          <w:rFonts w:ascii="Calibri Light" w:hAnsi="Calibri Light"/>
        </w:rPr>
        <w:t>ncremental d</w:t>
      </w:r>
      <w:r w:rsidR="00993106" w:rsidRPr="00CF48FB">
        <w:rPr>
          <w:rFonts w:ascii="Calibri Light" w:hAnsi="Calibri Light"/>
        </w:rPr>
        <w:t xml:space="preserve">iscounted </w:t>
      </w:r>
      <w:r w:rsidR="00641005" w:rsidRPr="00CF48FB">
        <w:rPr>
          <w:rFonts w:ascii="Calibri Light" w:hAnsi="Calibri Light"/>
        </w:rPr>
        <w:t xml:space="preserve">costs and QALYs are evaluated at </w:t>
      </w:r>
      <w:r w:rsidR="00F00831" w:rsidRPr="00CF48FB">
        <w:rPr>
          <w:rFonts w:ascii="Calibri Light" w:hAnsi="Calibri Light"/>
        </w:rPr>
        <w:t>a time horizon of 20 years</w:t>
      </w:r>
      <w:r w:rsidR="00660B9B" w:rsidRPr="00CF48FB">
        <w:rPr>
          <w:rFonts w:ascii="Calibri Light" w:hAnsi="Calibri Light"/>
        </w:rPr>
        <w:t xml:space="preserve"> (</w:t>
      </w:r>
      <w:r w:rsidRPr="00CF48FB">
        <w:rPr>
          <w:rFonts w:ascii="Calibri Light" w:hAnsi="Calibri Light"/>
        </w:rPr>
        <w:t xml:space="preserve">equivalent to </w:t>
      </w:r>
      <w:r w:rsidR="00660B9B" w:rsidRPr="00CF48FB">
        <w:rPr>
          <w:rFonts w:ascii="Calibri Light" w:hAnsi="Calibri Light"/>
        </w:rPr>
        <w:t>a lifetime time horizon given the starting age of the cohort</w:t>
      </w:r>
      <w:r w:rsidR="00FC02B0" w:rsidRPr="00CF48FB">
        <w:rPr>
          <w:rFonts w:ascii="Calibri Light" w:hAnsi="Calibri Light"/>
        </w:rPr>
        <w:t xml:space="preserve">, mean age at cohort entry was </w:t>
      </w:r>
      <w:r w:rsidR="00D509E8" w:rsidRPr="006A00C7">
        <w:rPr>
          <w:rFonts w:ascii="Calibri Light" w:hAnsi="Calibri Light"/>
        </w:rPr>
        <w:t>65</w:t>
      </w:r>
      <w:r w:rsidR="00FC02B0" w:rsidRPr="00CF48FB">
        <w:rPr>
          <w:rFonts w:ascii="Calibri Light" w:hAnsi="Calibri Light"/>
        </w:rPr>
        <w:t xml:space="preserve"> years for males and </w:t>
      </w:r>
      <w:r w:rsidR="00D509E8" w:rsidRPr="006A00C7">
        <w:rPr>
          <w:rFonts w:ascii="Calibri Light" w:hAnsi="Calibri Light"/>
        </w:rPr>
        <w:t>73</w:t>
      </w:r>
      <w:r w:rsidR="00FC02B0" w:rsidRPr="00CF48FB">
        <w:rPr>
          <w:rFonts w:ascii="Calibri Light" w:hAnsi="Calibri Light"/>
        </w:rPr>
        <w:t xml:space="preserve"> years for females, where lifetime time horizon is the recommended choice for treatments that will impact on mortality </w:t>
      </w:r>
      <w:r w:rsidR="00FC02B0" w:rsidRPr="00CF48FB">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"Drummond", "given" : "MF", "non-dropping-particle" : "", "parse-names" : false, "suffix" : "" }, { "dropping-particle" : "", "family" : "Sculpher", "given" : "MJ", "non-dropping-particle" : "", "parse-names" : false, "suffix" : "" }, { "dropping-particle" : "", "family" : "Claxton", "given" : "K", "non-dropping-particle" : "", "parse-names" : false, "suffix" : "" }, { "dropping-particle" : "", "family" : "Stoddart", "given" : "GL", "non-dropping-particle" : "", "parse-names" : false, "suffix" : "" }, { "dropping-particle" : "", "family" : "Torrance", "given" : "GW", "non-dropping-particle" : "", "parse-names" : false, "suffix" : "" } ], "id" : "ITEM-1", "issued" : { "date-parts" : [ [ "2015" ] ] }, "title" : "Methods for the Economic Evaluation of Health Care Programmes", "type" : "book" }, "uris" : [ "http://www.mendeley.com/documents/?uuid=490baf64-5a5f-45d8-ae1b-361ec2ae9785" ] } ], "mendeley" : { "formattedCitation" : "(5)", "plainTextFormattedCitation" : "(5)", "previouslyFormattedCitation" : "(5)" }, "properties" : {  }, "schema" : "https://github.com/citation-style-language/schema/raw/master/csl-citation.json" }</w:instrText>
      </w:r>
      <w:r w:rsidR="00FC02B0" w:rsidRPr="00CF48FB">
        <w:rPr>
          <w:rFonts w:ascii="Calibri Light" w:hAnsi="Calibri Light"/>
        </w:rPr>
        <w:fldChar w:fldCharType="separate"/>
      </w:r>
      <w:r w:rsidR="00FC02B0" w:rsidRPr="00CF48FB">
        <w:rPr>
          <w:rFonts w:ascii="Calibri Light" w:hAnsi="Calibri Light"/>
          <w:noProof/>
        </w:rPr>
        <w:t>(5)</w:t>
      </w:r>
      <w:r w:rsidR="00FC02B0" w:rsidRPr="00CF48FB">
        <w:rPr>
          <w:rFonts w:ascii="Calibri Light" w:hAnsi="Calibri Light"/>
        </w:rPr>
        <w:fldChar w:fldCharType="end"/>
      </w:r>
      <w:r w:rsidR="00660B9B" w:rsidRPr="00CF48FB">
        <w:rPr>
          <w:rFonts w:ascii="Calibri Light" w:hAnsi="Calibri Light"/>
        </w:rPr>
        <w:t>)</w:t>
      </w:r>
      <w:r w:rsidR="00641005" w:rsidRPr="00CF48FB">
        <w:rPr>
          <w:rFonts w:ascii="Calibri Light" w:hAnsi="Calibri Light"/>
        </w:rPr>
        <w:t xml:space="preserve"> using an annual discount rate of 3.5% for both costs and QALYs, and net heal</w:t>
      </w:r>
      <w:r w:rsidR="00C37257" w:rsidRPr="00CF48FB">
        <w:rPr>
          <w:rFonts w:ascii="Calibri Light" w:hAnsi="Calibri Light"/>
        </w:rPr>
        <w:t xml:space="preserve">th benefit calculated using £30 </w:t>
      </w:r>
      <w:r w:rsidR="00641005" w:rsidRPr="00CF48FB">
        <w:rPr>
          <w:rFonts w:ascii="Calibri Light" w:hAnsi="Calibri Light"/>
        </w:rPr>
        <w:t>000 per QALY</w:t>
      </w:r>
      <w:r w:rsidR="006E6360" w:rsidRPr="00CF48FB">
        <w:rPr>
          <w:rFonts w:ascii="Calibri Light" w:hAnsi="Calibri Light"/>
        </w:rPr>
        <w:t xml:space="preserve"> </w:t>
      </w:r>
      <w:r w:rsidR="006E6360" w:rsidRPr="00CF48FB">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"NICE", "given" : "", "non-dropping-particle" : "", "parse-names" : false, "suffix" : "" } ], "id" : "ITEM-1", "issued" : { "date-parts" : [ [ "2013" ] ] }, "publisher" : "NICE", "title" : "Guide to the methods of technology appraisal", "type" : "article-journal" }, "uris" : [ "http://www.mendeley.com/documents/?uuid=22209b25-c91e-3859-93cd-d5237eb46bff" ] } ], "mendeley" : { "formattedCitation" : "(12)", "plainTextFormattedCitation" : "(12)", "previouslyFormattedCitation" : "(12)" }, "properties" : {  }, "schema" : "https://github.com/citation-style-language/schema/raw/master/csl-citation.json" }</w:instrText>
      </w:r>
      <w:r w:rsidR="006E6360" w:rsidRPr="00CF48FB">
        <w:rPr>
          <w:rFonts w:ascii="Calibri Light" w:hAnsi="Calibri Light"/>
        </w:rPr>
        <w:fldChar w:fldCharType="separate"/>
      </w:r>
      <w:r w:rsidR="00A37CC8" w:rsidRPr="00CF48FB">
        <w:rPr>
          <w:rFonts w:ascii="Calibri Light" w:hAnsi="Calibri Light"/>
          <w:noProof/>
        </w:rPr>
        <w:t>(12)</w:t>
      </w:r>
      <w:r w:rsidR="006E6360" w:rsidRPr="00CF48FB">
        <w:rPr>
          <w:rFonts w:ascii="Calibri Light" w:hAnsi="Calibri Light"/>
        </w:rPr>
        <w:fldChar w:fldCharType="end"/>
      </w:r>
      <w:r w:rsidR="00641005" w:rsidRPr="00CF48FB">
        <w:rPr>
          <w:rFonts w:ascii="Calibri Light" w:hAnsi="Calibri Light"/>
        </w:rPr>
        <w:t>.</w:t>
      </w:r>
      <w:r w:rsidR="00A34CEE">
        <w:rPr>
          <w:rFonts w:ascii="Calibri Light" w:hAnsi="Calibri Light"/>
        </w:rPr>
        <w:t xml:space="preserve"> It is not possible within this model to separate out the implications of including different cost categories into effects from unrelated costs in extended years of life and those in years of life not extended by the intervention as the treatment has both morbidity and mortality impacts. However, the relative size of the effect of extended years of life will be smaller with shorter time horizons and so we present some results to show the effect of time horizon on cost-effectiveness and decision uncertainty.</w:t>
      </w:r>
    </w:p>
    <w:p w14:paraId="26BA8372" w14:textId="77777777" w:rsidR="007A7549" w:rsidRDefault="001962EE" w:rsidP="00933114">
      <w:pPr>
        <w:pStyle w:val="Heading2"/>
      </w:pPr>
      <w:r>
        <w:t xml:space="preserve">3. </w:t>
      </w:r>
      <w:r w:rsidR="0030713F" w:rsidRPr="00235A41">
        <w:t>Results</w:t>
      </w:r>
    </w:p>
    <w:p w14:paraId="5C516C67" w14:textId="77777777" w:rsidR="0030713F" w:rsidRPr="00A91D43" w:rsidRDefault="007F3E41" w:rsidP="0030713F">
      <w:pPr>
        <w:rPr>
          <w:rFonts w:ascii="Calibri Light" w:hAnsi="Calibri Light"/>
        </w:rPr>
      </w:pPr>
      <w:r w:rsidRPr="00A91D43">
        <w:rPr>
          <w:rFonts w:ascii="Calibri Light" w:hAnsi="Calibri Light"/>
        </w:rPr>
        <w:t>Cost r</w:t>
      </w:r>
      <w:r w:rsidR="000F1B6E" w:rsidRPr="00A91D43">
        <w:rPr>
          <w:rFonts w:ascii="Calibri Light" w:hAnsi="Calibri Light"/>
        </w:rPr>
        <w:t xml:space="preserve">esults </w:t>
      </w:r>
      <w:r w:rsidRPr="00A91D43">
        <w:rPr>
          <w:rFonts w:ascii="Calibri Light" w:hAnsi="Calibri Light"/>
        </w:rPr>
        <w:t>are first considered in isolation</w:t>
      </w:r>
      <w:r w:rsidR="000F1B6E" w:rsidRPr="00A91D43">
        <w:rPr>
          <w:rFonts w:ascii="Calibri Light" w:hAnsi="Calibri Light"/>
        </w:rPr>
        <w:t>. The mean costs in the treated and control groups are presented along with summary statistics of the incremental costs illustrating the effect of the three different scenarios on the location and dispersion of the distribution of estimated incremental costs</w:t>
      </w:r>
      <w:r w:rsidR="008E3E2A" w:rsidRPr="00A91D43">
        <w:rPr>
          <w:rFonts w:ascii="Calibri Light" w:hAnsi="Calibri Light"/>
        </w:rPr>
        <w:t xml:space="preserve"> in</w:t>
      </w:r>
      <w:r w:rsidR="00954B9B" w:rsidRPr="00A91D43">
        <w:rPr>
          <w:rFonts w:ascii="Calibri Light" w:hAnsi="Calibri Light"/>
        </w:rPr>
        <w:t xml:space="preserve"> </w:t>
      </w:r>
      <w:r w:rsidR="00CF09D0" w:rsidRPr="00A91D43">
        <w:rPr>
          <w:rFonts w:ascii="Calibri Light" w:hAnsi="Calibri Light"/>
        </w:rPr>
        <w:fldChar w:fldCharType="begin"/>
      </w:r>
      <w:r w:rsidR="00954B9B" w:rsidRPr="00A91D43">
        <w:rPr>
          <w:rFonts w:ascii="Calibri Light" w:hAnsi="Calibri Light"/>
        </w:rPr>
        <w:instrText xml:space="preserve"> REF _Ref464829321 \h </w:instrText>
      </w:r>
      <w:r w:rsidR="00CF09D0" w:rsidRPr="00A91D43">
        <w:rPr>
          <w:rFonts w:ascii="Calibri Light" w:hAnsi="Calibri Light"/>
        </w:rPr>
      </w:r>
      <w:r w:rsidR="00CF09D0" w:rsidRPr="00A91D43">
        <w:rPr>
          <w:rFonts w:ascii="Calibri Light" w:hAnsi="Calibri Light"/>
        </w:rPr>
        <w:fldChar w:fldCharType="separate"/>
      </w:r>
      <w:r w:rsidR="00E7708E" w:rsidRPr="00A91D43">
        <w:rPr>
          <w:rFonts w:ascii="Calibri Light" w:hAnsi="Calibri Light"/>
        </w:rPr>
        <w:t xml:space="preserve">Table </w:t>
      </w:r>
      <w:r w:rsidR="00E7708E">
        <w:rPr>
          <w:rFonts w:ascii="Calibri Light" w:hAnsi="Calibri Light"/>
          <w:noProof/>
        </w:rPr>
        <w:t>1</w:t>
      </w:r>
      <w:r w:rsidR="00CF09D0" w:rsidRPr="00A91D43">
        <w:rPr>
          <w:rFonts w:ascii="Calibri Light" w:hAnsi="Calibri Light"/>
        </w:rPr>
        <w:fldChar w:fldCharType="end"/>
      </w:r>
      <w:r w:rsidR="000F1B6E" w:rsidRPr="00A91D43">
        <w:rPr>
          <w:rFonts w:ascii="Calibri Light" w:hAnsi="Calibri Light"/>
        </w:rPr>
        <w:t>.</w:t>
      </w:r>
    </w:p>
    <w:p w14:paraId="3AB8984A" w14:textId="736AAFA6" w:rsidR="000F1B6E" w:rsidRPr="00A91D43" w:rsidRDefault="00D24F6F" w:rsidP="000F1B6E">
      <w:pPr>
        <w:pStyle w:val="Caption"/>
        <w:keepNext/>
        <w:rPr>
          <w:rFonts w:ascii="Calibri Light" w:hAnsi="Calibri Light"/>
        </w:rPr>
      </w:pPr>
      <w:bookmarkStart w:id="0" w:name="_Ref464829321"/>
      <w:r>
        <w:rPr>
          <w:rFonts w:ascii="Calibri Light" w:hAnsi="Calibri Light"/>
        </w:rPr>
        <w:br w:type="page"/>
      </w:r>
      <w:r w:rsidR="000F1B6E" w:rsidRPr="00A91D43">
        <w:rPr>
          <w:rFonts w:ascii="Calibri Light" w:hAnsi="Calibri Light"/>
        </w:rPr>
        <w:lastRenderedPageBreak/>
        <w:t xml:space="preserve">Table </w:t>
      </w:r>
      <w:r w:rsidR="00CF09D0" w:rsidRPr="00A91D43">
        <w:rPr>
          <w:rFonts w:ascii="Calibri Light" w:hAnsi="Calibri Light"/>
        </w:rPr>
        <w:fldChar w:fldCharType="begin"/>
      </w:r>
      <w:r w:rsidR="000F1B6E" w:rsidRPr="00A91D43">
        <w:rPr>
          <w:rFonts w:ascii="Calibri Light" w:hAnsi="Calibri Light"/>
        </w:rPr>
        <w:instrText xml:space="preserve"> SEQ Table \* ARABIC </w:instrText>
      </w:r>
      <w:r w:rsidR="00CF09D0" w:rsidRPr="00A91D43">
        <w:rPr>
          <w:rFonts w:ascii="Calibri Light" w:hAnsi="Calibri Light"/>
        </w:rPr>
        <w:fldChar w:fldCharType="separate"/>
      </w:r>
      <w:r w:rsidR="00E7708E">
        <w:rPr>
          <w:rFonts w:ascii="Calibri Light" w:hAnsi="Calibri Light"/>
          <w:noProof/>
        </w:rPr>
        <w:t>1</w:t>
      </w:r>
      <w:r w:rsidR="00CF09D0" w:rsidRPr="00A91D43">
        <w:rPr>
          <w:rFonts w:ascii="Calibri Light" w:hAnsi="Calibri Light"/>
        </w:rPr>
        <w:fldChar w:fldCharType="end"/>
      </w:r>
      <w:bookmarkEnd w:id="0"/>
      <w:r w:rsidR="000F1B6E" w:rsidRPr="00A91D43">
        <w:rPr>
          <w:rFonts w:ascii="Calibri Light" w:hAnsi="Calibri Light"/>
        </w:rPr>
        <w:t xml:space="preserve"> - Summary statistics of costs and incremental costs</w:t>
      </w:r>
      <w:r w:rsidR="0066080A">
        <w:rPr>
          <w:rFonts w:ascii="Calibri Light" w:hAnsi="Calibri Light"/>
        </w:rPr>
        <w:t xml:space="preserve"> at a time horizon of 20 years</w:t>
      </w:r>
      <w:r w:rsidR="000866A8">
        <w:rPr>
          <w:rFonts w:ascii="Calibri Light" w:hAnsi="Calibri Light"/>
        </w:rPr>
        <w:t xml:space="preserve"> (CHD – coronary heart disease, CVD – cardiovascular disease)</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069"/>
        <w:gridCol w:w="2069"/>
        <w:gridCol w:w="2069"/>
      </w:tblGrid>
      <w:tr w:rsidR="00651167" w:rsidRPr="000D6386" w14:paraId="5700F964" w14:textId="77777777" w:rsidTr="00EE2C0B">
        <w:tc>
          <w:tcPr>
            <w:tcW w:w="2845" w:type="dxa"/>
            <w:tcBorders>
              <w:top w:val="single" w:sz="4" w:space="0" w:color="auto"/>
            </w:tcBorders>
            <w:shd w:val="clear" w:color="auto" w:fill="auto"/>
          </w:tcPr>
          <w:p w14:paraId="56B725CC" w14:textId="77777777" w:rsidR="00651167" w:rsidRPr="000D6386" w:rsidRDefault="00651167" w:rsidP="00EE2C0B">
            <w:pPr>
              <w:spacing w:after="0" w:line="240" w:lineRule="auto"/>
              <w:rPr>
                <w:rFonts w:ascii="Calibri Light" w:hAnsi="Calibri Light" w:cs="Times New Roman"/>
              </w:rPr>
            </w:pPr>
          </w:p>
        </w:tc>
        <w:tc>
          <w:tcPr>
            <w:tcW w:w="6207" w:type="dxa"/>
            <w:gridSpan w:val="3"/>
            <w:tcBorders>
              <w:top w:val="single" w:sz="4" w:space="0" w:color="auto"/>
            </w:tcBorders>
            <w:shd w:val="clear" w:color="auto" w:fill="auto"/>
          </w:tcPr>
          <w:p w14:paraId="4B31F7EC" w14:textId="77777777" w:rsidR="00651167" w:rsidRPr="000D6386" w:rsidRDefault="00651167" w:rsidP="00EE2C0B">
            <w:pPr>
              <w:spacing w:after="0" w:line="240" w:lineRule="auto"/>
              <w:jc w:val="center"/>
              <w:rPr>
                <w:rFonts w:ascii="Calibri Light" w:hAnsi="Calibri Light" w:cs="Times New Roman"/>
                <w:b/>
              </w:rPr>
            </w:pPr>
            <w:r w:rsidRPr="000D6386">
              <w:rPr>
                <w:rFonts w:ascii="Calibri Light" w:hAnsi="Calibri Light" w:cs="Times New Roman"/>
                <w:b/>
              </w:rPr>
              <w:t>Resource categories included</w:t>
            </w:r>
          </w:p>
        </w:tc>
      </w:tr>
      <w:tr w:rsidR="00651167" w:rsidRPr="000D6386" w14:paraId="0AA44396" w14:textId="77777777" w:rsidTr="00EE2C0B">
        <w:tc>
          <w:tcPr>
            <w:tcW w:w="2845" w:type="dxa"/>
            <w:tcBorders>
              <w:top w:val="single" w:sz="4" w:space="0" w:color="auto"/>
            </w:tcBorders>
            <w:shd w:val="clear" w:color="auto" w:fill="auto"/>
          </w:tcPr>
          <w:p w14:paraId="5B6C574E"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tcBorders>
            <w:shd w:val="clear" w:color="auto" w:fill="auto"/>
          </w:tcPr>
          <w:p w14:paraId="665E2D57"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CHD</w:t>
            </w:r>
          </w:p>
        </w:tc>
        <w:tc>
          <w:tcPr>
            <w:tcW w:w="2069" w:type="dxa"/>
            <w:tcBorders>
              <w:top w:val="single" w:sz="4" w:space="0" w:color="auto"/>
            </w:tcBorders>
            <w:shd w:val="clear" w:color="auto" w:fill="auto"/>
          </w:tcPr>
          <w:p w14:paraId="45FE52EC"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CVD</w:t>
            </w:r>
          </w:p>
        </w:tc>
        <w:tc>
          <w:tcPr>
            <w:tcW w:w="2069" w:type="dxa"/>
            <w:tcBorders>
              <w:top w:val="single" w:sz="4" w:space="0" w:color="auto"/>
            </w:tcBorders>
            <w:shd w:val="clear" w:color="auto" w:fill="auto"/>
          </w:tcPr>
          <w:p w14:paraId="48C00C4A"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All</w:t>
            </w:r>
          </w:p>
        </w:tc>
      </w:tr>
      <w:tr w:rsidR="00651167" w:rsidRPr="000D6386" w14:paraId="7DD0F5AF" w14:textId="77777777" w:rsidTr="00EE2C0B">
        <w:tc>
          <w:tcPr>
            <w:tcW w:w="2845" w:type="dxa"/>
            <w:shd w:val="clear" w:color="auto" w:fill="auto"/>
          </w:tcPr>
          <w:p w14:paraId="5AC176A8"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Mean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p>
        </w:tc>
        <w:tc>
          <w:tcPr>
            <w:tcW w:w="2069" w:type="dxa"/>
            <w:shd w:val="clear" w:color="auto" w:fill="auto"/>
          </w:tcPr>
          <w:p w14:paraId="4AF1E877"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£29 117</w:t>
            </w:r>
          </w:p>
        </w:tc>
        <w:tc>
          <w:tcPr>
            <w:tcW w:w="2069" w:type="dxa"/>
            <w:shd w:val="clear" w:color="auto" w:fill="auto"/>
          </w:tcPr>
          <w:p w14:paraId="3D700A7A"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£36 310</w:t>
            </w:r>
          </w:p>
        </w:tc>
        <w:tc>
          <w:tcPr>
            <w:tcW w:w="2069" w:type="dxa"/>
            <w:shd w:val="clear" w:color="auto" w:fill="auto"/>
          </w:tcPr>
          <w:p w14:paraId="0E4EBDB8"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£50 202</w:t>
            </w:r>
          </w:p>
        </w:tc>
      </w:tr>
      <w:tr w:rsidR="00651167" w:rsidRPr="000D6386" w14:paraId="5086432B" w14:textId="77777777" w:rsidTr="00EE2C0B">
        <w:tc>
          <w:tcPr>
            <w:tcW w:w="2845" w:type="dxa"/>
            <w:shd w:val="clear" w:color="auto" w:fill="auto"/>
          </w:tcPr>
          <w:p w14:paraId="546E4378"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Mean c</w:t>
            </w:r>
            <w:r w:rsidRPr="000D6386">
              <w:rPr>
                <w:rFonts w:ascii="Calibri Light" w:hAnsi="Calibri Light" w:cs="Times New Roman"/>
                <w:b/>
                <w:vertAlign w:val="subscript"/>
              </w:rPr>
              <w:t>c</w:t>
            </w:r>
          </w:p>
        </w:tc>
        <w:tc>
          <w:tcPr>
            <w:tcW w:w="2069" w:type="dxa"/>
            <w:shd w:val="clear" w:color="auto" w:fill="auto"/>
          </w:tcPr>
          <w:p w14:paraId="251F270A"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£26 721</w:t>
            </w:r>
          </w:p>
        </w:tc>
        <w:tc>
          <w:tcPr>
            <w:tcW w:w="2069" w:type="dxa"/>
            <w:shd w:val="clear" w:color="auto" w:fill="auto"/>
          </w:tcPr>
          <w:p w14:paraId="3729794F"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£33 934</w:t>
            </w:r>
          </w:p>
        </w:tc>
        <w:tc>
          <w:tcPr>
            <w:tcW w:w="2069" w:type="dxa"/>
            <w:shd w:val="clear" w:color="auto" w:fill="auto"/>
          </w:tcPr>
          <w:p w14:paraId="4D1F9AE6"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£47 734</w:t>
            </w:r>
          </w:p>
        </w:tc>
      </w:tr>
      <w:tr w:rsidR="00651167" w:rsidRPr="000D6386" w14:paraId="1D99BCCB" w14:textId="77777777" w:rsidTr="00EE2C0B">
        <w:tc>
          <w:tcPr>
            <w:tcW w:w="2845" w:type="dxa"/>
            <w:tcBorders>
              <w:bottom w:val="single" w:sz="4" w:space="0" w:color="auto"/>
            </w:tcBorders>
            <w:shd w:val="clear" w:color="auto" w:fill="auto"/>
          </w:tcPr>
          <w:p w14:paraId="49CBABC0"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Mean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bottom w:val="single" w:sz="4" w:space="0" w:color="auto"/>
            </w:tcBorders>
            <w:shd w:val="clear" w:color="auto" w:fill="auto"/>
          </w:tcPr>
          <w:p w14:paraId="2588CA81"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£2 396</w:t>
            </w:r>
          </w:p>
        </w:tc>
        <w:tc>
          <w:tcPr>
            <w:tcW w:w="2069" w:type="dxa"/>
            <w:tcBorders>
              <w:bottom w:val="single" w:sz="4" w:space="0" w:color="auto"/>
            </w:tcBorders>
            <w:shd w:val="clear" w:color="auto" w:fill="auto"/>
          </w:tcPr>
          <w:p w14:paraId="0BCD83F8"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£2 377</w:t>
            </w:r>
          </w:p>
        </w:tc>
        <w:tc>
          <w:tcPr>
            <w:tcW w:w="2069" w:type="dxa"/>
            <w:tcBorders>
              <w:bottom w:val="single" w:sz="4" w:space="0" w:color="auto"/>
            </w:tcBorders>
            <w:shd w:val="clear" w:color="auto" w:fill="auto"/>
          </w:tcPr>
          <w:p w14:paraId="664C710C"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£2 468</w:t>
            </w:r>
          </w:p>
        </w:tc>
      </w:tr>
      <w:tr w:rsidR="00651167" w:rsidRPr="000D6386" w14:paraId="170BC33F" w14:textId="77777777" w:rsidTr="00EE2C0B">
        <w:tc>
          <w:tcPr>
            <w:tcW w:w="2845" w:type="dxa"/>
            <w:tcBorders>
              <w:top w:val="single" w:sz="4" w:space="0" w:color="auto"/>
              <w:left w:val="single" w:sz="4" w:space="0" w:color="auto"/>
              <w:bottom w:val="single" w:sz="4" w:space="0" w:color="auto"/>
              <w:right w:val="nil"/>
            </w:tcBorders>
            <w:shd w:val="clear" w:color="auto" w:fill="auto"/>
          </w:tcPr>
          <w:p w14:paraId="2DEC6CA6" w14:textId="77777777" w:rsidR="00651167" w:rsidRPr="000D6386" w:rsidRDefault="00651167" w:rsidP="00EE2C0B">
            <w:pPr>
              <w:spacing w:after="0" w:line="240" w:lineRule="auto"/>
              <w:rPr>
                <w:rFonts w:ascii="Calibri Light" w:hAnsi="Calibri Light" w:cs="Times New Roman"/>
                <w:b/>
              </w:rPr>
            </w:pPr>
          </w:p>
        </w:tc>
        <w:tc>
          <w:tcPr>
            <w:tcW w:w="2069" w:type="dxa"/>
            <w:tcBorders>
              <w:top w:val="single" w:sz="4" w:space="0" w:color="auto"/>
              <w:left w:val="nil"/>
              <w:bottom w:val="single" w:sz="4" w:space="0" w:color="auto"/>
              <w:right w:val="nil"/>
            </w:tcBorders>
            <w:shd w:val="clear" w:color="auto" w:fill="auto"/>
          </w:tcPr>
          <w:p w14:paraId="6210D8EC"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nil"/>
            </w:tcBorders>
            <w:shd w:val="clear" w:color="auto" w:fill="auto"/>
          </w:tcPr>
          <w:p w14:paraId="3B5EAD8D"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single" w:sz="4" w:space="0" w:color="auto"/>
            </w:tcBorders>
            <w:shd w:val="clear" w:color="auto" w:fill="auto"/>
          </w:tcPr>
          <w:p w14:paraId="3A34CF91" w14:textId="77777777" w:rsidR="00651167" w:rsidRPr="000D6386" w:rsidRDefault="00651167" w:rsidP="00EE2C0B">
            <w:pPr>
              <w:spacing w:after="0" w:line="240" w:lineRule="auto"/>
              <w:rPr>
                <w:rFonts w:ascii="Calibri Light" w:hAnsi="Calibri Light" w:cs="Times New Roman"/>
              </w:rPr>
            </w:pPr>
          </w:p>
        </w:tc>
      </w:tr>
      <w:tr w:rsidR="00651167" w:rsidRPr="000D6386" w14:paraId="5ABBCB8B" w14:textId="77777777" w:rsidTr="00EE2C0B">
        <w:tc>
          <w:tcPr>
            <w:tcW w:w="2845" w:type="dxa"/>
            <w:tcBorders>
              <w:top w:val="single" w:sz="4" w:space="0" w:color="auto"/>
            </w:tcBorders>
            <w:shd w:val="clear" w:color="auto" w:fill="auto"/>
          </w:tcPr>
          <w:p w14:paraId="394E0BFF"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Min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top w:val="single" w:sz="4" w:space="0" w:color="auto"/>
            </w:tcBorders>
            <w:shd w:val="clear" w:color="auto" w:fill="auto"/>
          </w:tcPr>
          <w:p w14:paraId="022F13C0"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£2 287</w:t>
            </w:r>
          </w:p>
        </w:tc>
        <w:tc>
          <w:tcPr>
            <w:tcW w:w="2069" w:type="dxa"/>
            <w:tcBorders>
              <w:top w:val="single" w:sz="4" w:space="0" w:color="auto"/>
            </w:tcBorders>
            <w:shd w:val="clear" w:color="auto" w:fill="auto"/>
          </w:tcPr>
          <w:p w14:paraId="6315659E"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£2 232</w:t>
            </w:r>
          </w:p>
        </w:tc>
        <w:tc>
          <w:tcPr>
            <w:tcW w:w="2069" w:type="dxa"/>
            <w:tcBorders>
              <w:top w:val="single" w:sz="4" w:space="0" w:color="auto"/>
            </w:tcBorders>
            <w:shd w:val="clear" w:color="auto" w:fill="auto"/>
          </w:tcPr>
          <w:p w14:paraId="46E8596F"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£2 273</w:t>
            </w:r>
          </w:p>
        </w:tc>
      </w:tr>
      <w:tr w:rsidR="00651167" w:rsidRPr="000D6386" w14:paraId="696DD6E7" w14:textId="77777777" w:rsidTr="00EE2C0B">
        <w:tc>
          <w:tcPr>
            <w:tcW w:w="2845" w:type="dxa"/>
            <w:shd w:val="clear" w:color="auto" w:fill="auto"/>
          </w:tcPr>
          <w:p w14:paraId="717C73A0"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Max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shd w:val="clear" w:color="auto" w:fill="auto"/>
          </w:tcPr>
          <w:p w14:paraId="4E6CC30D"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£2 523</w:t>
            </w:r>
          </w:p>
        </w:tc>
        <w:tc>
          <w:tcPr>
            <w:tcW w:w="2069" w:type="dxa"/>
            <w:shd w:val="clear" w:color="auto" w:fill="auto"/>
          </w:tcPr>
          <w:p w14:paraId="3D83A237"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£2 547</w:t>
            </w:r>
          </w:p>
        </w:tc>
        <w:tc>
          <w:tcPr>
            <w:tcW w:w="2069" w:type="dxa"/>
            <w:shd w:val="clear" w:color="auto" w:fill="auto"/>
          </w:tcPr>
          <w:p w14:paraId="7DF2DF4F"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£2 686</w:t>
            </w:r>
          </w:p>
        </w:tc>
      </w:tr>
      <w:tr w:rsidR="00651167" w:rsidRPr="000D6386" w14:paraId="1CBCB6F9" w14:textId="77777777" w:rsidTr="00EE2C0B">
        <w:tc>
          <w:tcPr>
            <w:tcW w:w="2845" w:type="dxa"/>
            <w:tcBorders>
              <w:bottom w:val="single" w:sz="4" w:space="0" w:color="auto"/>
            </w:tcBorders>
            <w:shd w:val="clear" w:color="auto" w:fill="auto"/>
          </w:tcPr>
          <w:p w14:paraId="35DA49D7"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Range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bottom w:val="single" w:sz="4" w:space="0" w:color="auto"/>
            </w:tcBorders>
            <w:shd w:val="clear" w:color="auto" w:fill="auto"/>
          </w:tcPr>
          <w:p w14:paraId="124F827E"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£237</w:t>
            </w:r>
          </w:p>
        </w:tc>
        <w:tc>
          <w:tcPr>
            <w:tcW w:w="2069" w:type="dxa"/>
            <w:tcBorders>
              <w:bottom w:val="single" w:sz="4" w:space="0" w:color="auto"/>
            </w:tcBorders>
            <w:shd w:val="clear" w:color="auto" w:fill="auto"/>
          </w:tcPr>
          <w:p w14:paraId="0F4DD6E5"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£315</w:t>
            </w:r>
          </w:p>
        </w:tc>
        <w:tc>
          <w:tcPr>
            <w:tcW w:w="2069" w:type="dxa"/>
            <w:tcBorders>
              <w:bottom w:val="single" w:sz="4" w:space="0" w:color="auto"/>
            </w:tcBorders>
            <w:shd w:val="clear" w:color="auto" w:fill="auto"/>
          </w:tcPr>
          <w:p w14:paraId="3839CEBB"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£414</w:t>
            </w:r>
          </w:p>
        </w:tc>
      </w:tr>
      <w:tr w:rsidR="00651167" w:rsidRPr="000D6386" w14:paraId="6685D3CF" w14:textId="77777777" w:rsidTr="00EE2C0B">
        <w:tc>
          <w:tcPr>
            <w:tcW w:w="2845" w:type="dxa"/>
            <w:tcBorders>
              <w:top w:val="single" w:sz="4" w:space="0" w:color="auto"/>
              <w:left w:val="single" w:sz="4" w:space="0" w:color="auto"/>
              <w:bottom w:val="single" w:sz="4" w:space="0" w:color="auto"/>
              <w:right w:val="nil"/>
            </w:tcBorders>
            <w:shd w:val="clear" w:color="auto" w:fill="auto"/>
          </w:tcPr>
          <w:p w14:paraId="0EC43C89" w14:textId="77777777" w:rsidR="00651167" w:rsidRPr="000D6386" w:rsidRDefault="00651167" w:rsidP="00EE2C0B">
            <w:pPr>
              <w:spacing w:after="0" w:line="240" w:lineRule="auto"/>
              <w:rPr>
                <w:rFonts w:ascii="Calibri Light" w:hAnsi="Calibri Light" w:cs="Times New Roman"/>
                <w:b/>
              </w:rPr>
            </w:pPr>
          </w:p>
        </w:tc>
        <w:tc>
          <w:tcPr>
            <w:tcW w:w="2069" w:type="dxa"/>
            <w:tcBorders>
              <w:top w:val="single" w:sz="4" w:space="0" w:color="auto"/>
              <w:left w:val="nil"/>
              <w:bottom w:val="single" w:sz="4" w:space="0" w:color="auto"/>
              <w:right w:val="nil"/>
            </w:tcBorders>
            <w:shd w:val="clear" w:color="auto" w:fill="auto"/>
          </w:tcPr>
          <w:p w14:paraId="19531197"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nil"/>
            </w:tcBorders>
            <w:shd w:val="clear" w:color="auto" w:fill="auto"/>
          </w:tcPr>
          <w:p w14:paraId="22D67BB7"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single" w:sz="4" w:space="0" w:color="auto"/>
            </w:tcBorders>
            <w:shd w:val="clear" w:color="auto" w:fill="auto"/>
          </w:tcPr>
          <w:p w14:paraId="1954D541" w14:textId="77777777" w:rsidR="00651167" w:rsidRPr="000D6386" w:rsidRDefault="00651167" w:rsidP="00EE2C0B">
            <w:pPr>
              <w:spacing w:after="0" w:line="240" w:lineRule="auto"/>
              <w:rPr>
                <w:rFonts w:ascii="Calibri Light" w:hAnsi="Calibri Light" w:cs="Times New Roman"/>
              </w:rPr>
            </w:pPr>
          </w:p>
        </w:tc>
      </w:tr>
      <w:tr w:rsidR="00651167" w:rsidRPr="000D6386" w14:paraId="315A5B26" w14:textId="77777777" w:rsidTr="00EE2C0B">
        <w:tc>
          <w:tcPr>
            <w:tcW w:w="2845" w:type="dxa"/>
            <w:tcBorders>
              <w:top w:val="single" w:sz="4" w:space="0" w:color="auto"/>
              <w:bottom w:val="single" w:sz="4" w:space="0" w:color="auto"/>
            </w:tcBorders>
            <w:shd w:val="clear" w:color="auto" w:fill="auto"/>
          </w:tcPr>
          <w:p w14:paraId="371BAB0E"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Standard deviation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top w:val="single" w:sz="4" w:space="0" w:color="auto"/>
              <w:bottom w:val="single" w:sz="4" w:space="0" w:color="auto"/>
            </w:tcBorders>
            <w:shd w:val="clear" w:color="auto" w:fill="auto"/>
          </w:tcPr>
          <w:p w14:paraId="3B7DFF6B"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£39</w:t>
            </w:r>
          </w:p>
        </w:tc>
        <w:tc>
          <w:tcPr>
            <w:tcW w:w="2069" w:type="dxa"/>
            <w:tcBorders>
              <w:top w:val="single" w:sz="4" w:space="0" w:color="auto"/>
              <w:bottom w:val="single" w:sz="4" w:space="0" w:color="auto"/>
            </w:tcBorders>
            <w:shd w:val="clear" w:color="auto" w:fill="auto"/>
          </w:tcPr>
          <w:p w14:paraId="6BBC82B6"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£53</w:t>
            </w:r>
          </w:p>
        </w:tc>
        <w:tc>
          <w:tcPr>
            <w:tcW w:w="2069" w:type="dxa"/>
            <w:tcBorders>
              <w:top w:val="single" w:sz="4" w:space="0" w:color="auto"/>
              <w:bottom w:val="single" w:sz="4" w:space="0" w:color="auto"/>
            </w:tcBorders>
            <w:shd w:val="clear" w:color="auto" w:fill="auto"/>
          </w:tcPr>
          <w:p w14:paraId="39EF6DF6"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£69</w:t>
            </w:r>
          </w:p>
        </w:tc>
      </w:tr>
      <w:tr w:rsidR="00651167" w:rsidRPr="000D6386" w14:paraId="127DB44E" w14:textId="77777777" w:rsidTr="00EE2C0B">
        <w:tc>
          <w:tcPr>
            <w:tcW w:w="2845" w:type="dxa"/>
            <w:tcBorders>
              <w:top w:val="single" w:sz="4" w:space="0" w:color="auto"/>
              <w:left w:val="single" w:sz="4" w:space="0" w:color="auto"/>
              <w:bottom w:val="single" w:sz="4" w:space="0" w:color="auto"/>
              <w:right w:val="nil"/>
            </w:tcBorders>
            <w:shd w:val="clear" w:color="auto" w:fill="auto"/>
          </w:tcPr>
          <w:p w14:paraId="7267800B" w14:textId="77777777" w:rsidR="00651167" w:rsidRPr="000D6386" w:rsidRDefault="00651167" w:rsidP="00EE2C0B">
            <w:pPr>
              <w:spacing w:after="0" w:line="240" w:lineRule="auto"/>
              <w:rPr>
                <w:rFonts w:ascii="Calibri Light" w:hAnsi="Calibri Light" w:cs="Times New Roman"/>
                <w:b/>
              </w:rPr>
            </w:pPr>
          </w:p>
        </w:tc>
        <w:tc>
          <w:tcPr>
            <w:tcW w:w="2069" w:type="dxa"/>
            <w:tcBorders>
              <w:top w:val="single" w:sz="4" w:space="0" w:color="auto"/>
              <w:left w:val="nil"/>
              <w:bottom w:val="single" w:sz="4" w:space="0" w:color="auto"/>
              <w:right w:val="nil"/>
            </w:tcBorders>
            <w:shd w:val="clear" w:color="auto" w:fill="auto"/>
          </w:tcPr>
          <w:p w14:paraId="07A80B87"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nil"/>
            </w:tcBorders>
            <w:shd w:val="clear" w:color="auto" w:fill="auto"/>
          </w:tcPr>
          <w:p w14:paraId="54CEF250"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single" w:sz="4" w:space="0" w:color="auto"/>
            </w:tcBorders>
            <w:shd w:val="clear" w:color="auto" w:fill="auto"/>
          </w:tcPr>
          <w:p w14:paraId="2232D0B7" w14:textId="77777777" w:rsidR="00651167" w:rsidRPr="000D6386" w:rsidRDefault="00651167" w:rsidP="00EE2C0B">
            <w:pPr>
              <w:spacing w:after="0" w:line="240" w:lineRule="auto"/>
              <w:rPr>
                <w:rFonts w:ascii="Calibri Light" w:hAnsi="Calibri Light" w:cs="Times New Roman"/>
              </w:rPr>
            </w:pPr>
          </w:p>
        </w:tc>
      </w:tr>
      <w:tr w:rsidR="00651167" w:rsidRPr="000D6386" w14:paraId="6BE75948" w14:textId="77777777" w:rsidTr="00EE2C0B">
        <w:tc>
          <w:tcPr>
            <w:tcW w:w="2845" w:type="dxa"/>
            <w:tcBorders>
              <w:top w:val="single" w:sz="4" w:space="0" w:color="auto"/>
              <w:bottom w:val="single" w:sz="4" w:space="0" w:color="auto"/>
            </w:tcBorders>
            <w:shd w:val="clear" w:color="auto" w:fill="auto"/>
          </w:tcPr>
          <w:p w14:paraId="7B7AD42C"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Median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top w:val="single" w:sz="4" w:space="0" w:color="auto"/>
              <w:bottom w:val="single" w:sz="4" w:space="0" w:color="auto"/>
            </w:tcBorders>
            <w:shd w:val="clear" w:color="auto" w:fill="auto"/>
          </w:tcPr>
          <w:p w14:paraId="322A92E6"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£2 394</w:t>
            </w:r>
          </w:p>
        </w:tc>
        <w:tc>
          <w:tcPr>
            <w:tcW w:w="2069" w:type="dxa"/>
            <w:tcBorders>
              <w:top w:val="single" w:sz="4" w:space="0" w:color="auto"/>
              <w:bottom w:val="single" w:sz="4" w:space="0" w:color="auto"/>
            </w:tcBorders>
            <w:shd w:val="clear" w:color="auto" w:fill="auto"/>
          </w:tcPr>
          <w:p w14:paraId="26523F39"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£2 374</w:t>
            </w:r>
          </w:p>
        </w:tc>
        <w:tc>
          <w:tcPr>
            <w:tcW w:w="2069" w:type="dxa"/>
            <w:tcBorders>
              <w:top w:val="single" w:sz="4" w:space="0" w:color="auto"/>
              <w:bottom w:val="single" w:sz="4" w:space="0" w:color="auto"/>
            </w:tcBorders>
            <w:shd w:val="clear" w:color="auto" w:fill="auto"/>
          </w:tcPr>
          <w:p w14:paraId="3C5033FE"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£2 468</w:t>
            </w:r>
          </w:p>
        </w:tc>
      </w:tr>
      <w:tr w:rsidR="00651167" w:rsidRPr="000D6386" w14:paraId="095FDC9C" w14:textId="77777777" w:rsidTr="00EE2C0B">
        <w:tc>
          <w:tcPr>
            <w:tcW w:w="2845" w:type="dxa"/>
            <w:tcBorders>
              <w:top w:val="single" w:sz="4" w:space="0" w:color="auto"/>
              <w:left w:val="single" w:sz="4" w:space="0" w:color="auto"/>
              <w:bottom w:val="single" w:sz="4" w:space="0" w:color="auto"/>
              <w:right w:val="nil"/>
            </w:tcBorders>
            <w:shd w:val="clear" w:color="auto" w:fill="auto"/>
          </w:tcPr>
          <w:p w14:paraId="25592056" w14:textId="77777777" w:rsidR="00651167" w:rsidRPr="000D6386" w:rsidRDefault="00651167" w:rsidP="00EE2C0B">
            <w:pPr>
              <w:spacing w:after="0" w:line="240" w:lineRule="auto"/>
              <w:rPr>
                <w:rFonts w:ascii="Calibri Light" w:hAnsi="Calibri Light" w:cs="Times New Roman"/>
                <w:b/>
              </w:rPr>
            </w:pPr>
          </w:p>
        </w:tc>
        <w:tc>
          <w:tcPr>
            <w:tcW w:w="2069" w:type="dxa"/>
            <w:tcBorders>
              <w:top w:val="single" w:sz="4" w:space="0" w:color="auto"/>
              <w:left w:val="nil"/>
              <w:bottom w:val="single" w:sz="4" w:space="0" w:color="auto"/>
              <w:right w:val="nil"/>
            </w:tcBorders>
            <w:shd w:val="clear" w:color="auto" w:fill="auto"/>
          </w:tcPr>
          <w:p w14:paraId="673A3C69"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nil"/>
            </w:tcBorders>
            <w:shd w:val="clear" w:color="auto" w:fill="auto"/>
          </w:tcPr>
          <w:p w14:paraId="402C78B0"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single" w:sz="4" w:space="0" w:color="auto"/>
            </w:tcBorders>
            <w:shd w:val="clear" w:color="auto" w:fill="auto"/>
          </w:tcPr>
          <w:p w14:paraId="051ECB09" w14:textId="77777777" w:rsidR="00651167" w:rsidRPr="000D6386" w:rsidRDefault="00651167" w:rsidP="00EE2C0B">
            <w:pPr>
              <w:spacing w:after="0" w:line="240" w:lineRule="auto"/>
              <w:rPr>
                <w:rFonts w:ascii="Calibri Light" w:hAnsi="Calibri Light" w:cs="Times New Roman"/>
              </w:rPr>
            </w:pPr>
          </w:p>
        </w:tc>
      </w:tr>
      <w:tr w:rsidR="00651167" w:rsidRPr="000D6386" w14:paraId="015EA6C8" w14:textId="77777777" w:rsidTr="00EE2C0B">
        <w:tc>
          <w:tcPr>
            <w:tcW w:w="2845" w:type="dxa"/>
            <w:tcBorders>
              <w:top w:val="single" w:sz="4" w:space="0" w:color="auto"/>
            </w:tcBorders>
            <w:shd w:val="clear" w:color="auto" w:fill="auto"/>
          </w:tcPr>
          <w:p w14:paraId="3D9EF2F6"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Q</w:t>
            </w:r>
            <w:r w:rsidRPr="000D6386">
              <w:rPr>
                <w:rFonts w:ascii="Calibri Light" w:hAnsi="Calibri Light" w:cs="Times New Roman"/>
                <w:b/>
                <w:vertAlign w:val="subscript"/>
              </w:rPr>
              <w:t>0.025</w:t>
            </w:r>
            <w:r w:rsidRPr="000D6386">
              <w:rPr>
                <w:rFonts w:ascii="Calibri Light" w:hAnsi="Calibri Light" w:cs="Times New Roman"/>
                <w:b/>
              </w:rPr>
              <w:t xml:space="preserve">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top w:val="single" w:sz="4" w:space="0" w:color="auto"/>
            </w:tcBorders>
            <w:shd w:val="clear" w:color="auto" w:fill="auto"/>
          </w:tcPr>
          <w:p w14:paraId="15DB9A3E"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£2 323</w:t>
            </w:r>
          </w:p>
        </w:tc>
        <w:tc>
          <w:tcPr>
            <w:tcW w:w="2069" w:type="dxa"/>
            <w:tcBorders>
              <w:top w:val="single" w:sz="4" w:space="0" w:color="auto"/>
            </w:tcBorders>
            <w:shd w:val="clear" w:color="auto" w:fill="auto"/>
          </w:tcPr>
          <w:p w14:paraId="24B8EBF4"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£2 281</w:t>
            </w:r>
          </w:p>
        </w:tc>
        <w:tc>
          <w:tcPr>
            <w:tcW w:w="2069" w:type="dxa"/>
            <w:tcBorders>
              <w:top w:val="single" w:sz="4" w:space="0" w:color="auto"/>
            </w:tcBorders>
            <w:shd w:val="clear" w:color="auto" w:fill="auto"/>
          </w:tcPr>
          <w:p w14:paraId="6540C8A7"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£2 343</w:t>
            </w:r>
          </w:p>
        </w:tc>
      </w:tr>
      <w:tr w:rsidR="00651167" w:rsidRPr="000D6386" w14:paraId="3915E1C7" w14:textId="77777777" w:rsidTr="00EE2C0B">
        <w:tc>
          <w:tcPr>
            <w:tcW w:w="2845" w:type="dxa"/>
            <w:tcBorders>
              <w:bottom w:val="single" w:sz="4" w:space="0" w:color="auto"/>
            </w:tcBorders>
            <w:shd w:val="clear" w:color="auto" w:fill="auto"/>
          </w:tcPr>
          <w:p w14:paraId="273100A7"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Q</w:t>
            </w:r>
            <w:r w:rsidRPr="000D6386">
              <w:rPr>
                <w:rFonts w:ascii="Calibri Light" w:hAnsi="Calibri Light" w:cs="Times New Roman"/>
                <w:b/>
                <w:vertAlign w:val="subscript"/>
              </w:rPr>
              <w:t xml:space="preserve">0.975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bottom w:val="single" w:sz="4" w:space="0" w:color="auto"/>
            </w:tcBorders>
            <w:shd w:val="clear" w:color="auto" w:fill="auto"/>
          </w:tcPr>
          <w:p w14:paraId="1DF2D0C7"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£2 471</w:t>
            </w:r>
          </w:p>
        </w:tc>
        <w:tc>
          <w:tcPr>
            <w:tcW w:w="2069" w:type="dxa"/>
            <w:tcBorders>
              <w:bottom w:val="single" w:sz="4" w:space="0" w:color="auto"/>
            </w:tcBorders>
            <w:shd w:val="clear" w:color="auto" w:fill="auto"/>
          </w:tcPr>
          <w:p w14:paraId="07401390"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£2 478</w:t>
            </w:r>
          </w:p>
        </w:tc>
        <w:tc>
          <w:tcPr>
            <w:tcW w:w="2069" w:type="dxa"/>
            <w:tcBorders>
              <w:bottom w:val="single" w:sz="4" w:space="0" w:color="auto"/>
            </w:tcBorders>
            <w:shd w:val="clear" w:color="auto" w:fill="auto"/>
          </w:tcPr>
          <w:p w14:paraId="403B2C0E"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£2 595</w:t>
            </w:r>
          </w:p>
        </w:tc>
      </w:tr>
      <w:tr w:rsidR="00651167" w:rsidRPr="000D6386" w14:paraId="456BC005" w14:textId="77777777" w:rsidTr="00EE2C0B">
        <w:tc>
          <w:tcPr>
            <w:tcW w:w="2845" w:type="dxa"/>
            <w:tcBorders>
              <w:top w:val="single" w:sz="4" w:space="0" w:color="auto"/>
              <w:left w:val="single" w:sz="4" w:space="0" w:color="auto"/>
              <w:bottom w:val="single" w:sz="4" w:space="0" w:color="auto"/>
              <w:right w:val="nil"/>
            </w:tcBorders>
            <w:shd w:val="clear" w:color="auto" w:fill="auto"/>
          </w:tcPr>
          <w:p w14:paraId="17835282" w14:textId="77777777" w:rsidR="00651167" w:rsidRPr="000D6386" w:rsidRDefault="00651167" w:rsidP="00EE2C0B">
            <w:pPr>
              <w:spacing w:after="0" w:line="240" w:lineRule="auto"/>
              <w:rPr>
                <w:rFonts w:ascii="Calibri Light" w:hAnsi="Calibri Light" w:cs="Times New Roman"/>
                <w:b/>
              </w:rPr>
            </w:pPr>
          </w:p>
        </w:tc>
        <w:tc>
          <w:tcPr>
            <w:tcW w:w="2069" w:type="dxa"/>
            <w:tcBorders>
              <w:top w:val="single" w:sz="4" w:space="0" w:color="auto"/>
              <w:left w:val="nil"/>
              <w:bottom w:val="single" w:sz="4" w:space="0" w:color="auto"/>
              <w:right w:val="nil"/>
            </w:tcBorders>
            <w:shd w:val="clear" w:color="auto" w:fill="auto"/>
          </w:tcPr>
          <w:p w14:paraId="2400F615"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nil"/>
            </w:tcBorders>
            <w:shd w:val="clear" w:color="auto" w:fill="auto"/>
          </w:tcPr>
          <w:p w14:paraId="53ED4797" w14:textId="77777777" w:rsidR="00651167" w:rsidRPr="000D6386" w:rsidRDefault="00651167" w:rsidP="00EE2C0B">
            <w:pPr>
              <w:spacing w:after="0" w:line="240" w:lineRule="auto"/>
              <w:rPr>
                <w:rFonts w:ascii="Calibri Light" w:hAnsi="Calibri Light" w:cs="Times New Roman"/>
              </w:rPr>
            </w:pPr>
          </w:p>
        </w:tc>
        <w:tc>
          <w:tcPr>
            <w:tcW w:w="2069" w:type="dxa"/>
            <w:tcBorders>
              <w:top w:val="single" w:sz="4" w:space="0" w:color="auto"/>
              <w:left w:val="nil"/>
              <w:bottom w:val="single" w:sz="4" w:space="0" w:color="auto"/>
              <w:right w:val="single" w:sz="4" w:space="0" w:color="auto"/>
            </w:tcBorders>
            <w:shd w:val="clear" w:color="auto" w:fill="auto"/>
          </w:tcPr>
          <w:p w14:paraId="50E03C07" w14:textId="77777777" w:rsidR="00651167" w:rsidRPr="000D6386" w:rsidRDefault="00651167" w:rsidP="00EE2C0B">
            <w:pPr>
              <w:spacing w:after="0" w:line="240" w:lineRule="auto"/>
              <w:rPr>
                <w:rFonts w:ascii="Calibri Light" w:hAnsi="Calibri Light" w:cs="Times New Roman"/>
              </w:rPr>
            </w:pPr>
          </w:p>
        </w:tc>
      </w:tr>
      <w:tr w:rsidR="00651167" w:rsidRPr="000D6386" w14:paraId="525FA2B4" w14:textId="77777777" w:rsidTr="00EE2C0B">
        <w:tc>
          <w:tcPr>
            <w:tcW w:w="2845" w:type="dxa"/>
            <w:tcBorders>
              <w:top w:val="single" w:sz="4" w:space="0" w:color="auto"/>
            </w:tcBorders>
            <w:shd w:val="clear" w:color="auto" w:fill="auto"/>
          </w:tcPr>
          <w:p w14:paraId="51B253BC"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 xml:space="preserve">95% credibility interval </w:t>
            </w:r>
            <w:proofErr w:type="spellStart"/>
            <w:r w:rsidRPr="000D6386">
              <w:rPr>
                <w:rFonts w:ascii="Calibri Light" w:hAnsi="Calibri Light" w:cs="Times New Roman"/>
                <w:b/>
              </w:rPr>
              <w:t>c</w:t>
            </w:r>
            <w:r w:rsidRPr="000D6386">
              <w:rPr>
                <w:rFonts w:ascii="Calibri Light" w:hAnsi="Calibri Light" w:cs="Times New Roman"/>
                <w:b/>
                <w:vertAlign w:val="subscript"/>
              </w:rPr>
              <w:t>t</w:t>
            </w:r>
            <w:proofErr w:type="spellEnd"/>
            <w:r w:rsidRPr="000D6386">
              <w:rPr>
                <w:rFonts w:ascii="Calibri Light" w:hAnsi="Calibri Light" w:cs="Times New Roman"/>
                <w:b/>
              </w:rPr>
              <w:t xml:space="preserve"> – c</w:t>
            </w:r>
            <w:r w:rsidRPr="000D6386">
              <w:rPr>
                <w:rFonts w:ascii="Calibri Light" w:hAnsi="Calibri Light" w:cs="Times New Roman"/>
                <w:b/>
                <w:vertAlign w:val="subscript"/>
              </w:rPr>
              <w:t>c</w:t>
            </w:r>
          </w:p>
        </w:tc>
        <w:tc>
          <w:tcPr>
            <w:tcW w:w="2069" w:type="dxa"/>
            <w:tcBorders>
              <w:top w:val="single" w:sz="4" w:space="0" w:color="auto"/>
            </w:tcBorders>
            <w:shd w:val="clear" w:color="auto" w:fill="auto"/>
          </w:tcPr>
          <w:p w14:paraId="41433DEC"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£148</w:t>
            </w:r>
          </w:p>
        </w:tc>
        <w:tc>
          <w:tcPr>
            <w:tcW w:w="2069" w:type="dxa"/>
            <w:tcBorders>
              <w:top w:val="single" w:sz="4" w:space="0" w:color="auto"/>
            </w:tcBorders>
            <w:shd w:val="clear" w:color="auto" w:fill="auto"/>
          </w:tcPr>
          <w:p w14:paraId="4BAB4C6B"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£197</w:t>
            </w:r>
          </w:p>
        </w:tc>
        <w:tc>
          <w:tcPr>
            <w:tcW w:w="2069" w:type="dxa"/>
            <w:tcBorders>
              <w:top w:val="single" w:sz="4" w:space="0" w:color="auto"/>
            </w:tcBorders>
            <w:shd w:val="clear" w:color="auto" w:fill="auto"/>
          </w:tcPr>
          <w:p w14:paraId="059F7BDE" w14:textId="77777777" w:rsidR="00651167" w:rsidRPr="000D6386" w:rsidRDefault="00651167" w:rsidP="00EE2C0B">
            <w:pPr>
              <w:spacing w:after="0" w:line="240" w:lineRule="auto"/>
              <w:rPr>
                <w:rFonts w:ascii="Calibri Light" w:hAnsi="Calibri Light" w:cs="Times New Roman"/>
              </w:rPr>
            </w:pPr>
            <w:r w:rsidRPr="000D6386">
              <w:rPr>
                <w:rFonts w:ascii="Calibri Light" w:hAnsi="Calibri Light" w:cs="Times New Roman"/>
              </w:rPr>
              <w:t>£252</w:t>
            </w:r>
          </w:p>
        </w:tc>
      </w:tr>
    </w:tbl>
    <w:p w14:paraId="39F1AFEE" w14:textId="77777777" w:rsidR="00651167" w:rsidRPr="00FC02B0" w:rsidRDefault="00FC02B0" w:rsidP="0030713F">
      <w:pPr>
        <w:rPr>
          <w:rFonts w:ascii="Calibri Light" w:hAnsi="Calibri Light"/>
        </w:rPr>
      </w:pPr>
      <w:proofErr w:type="spellStart"/>
      <w:proofErr w:type="gramStart"/>
      <w:r>
        <w:rPr>
          <w:rFonts w:ascii="Calibri Light" w:hAnsi="Calibri Light"/>
        </w:rPr>
        <w:t>c</w:t>
      </w:r>
      <w:r>
        <w:rPr>
          <w:rFonts w:ascii="Calibri Light" w:hAnsi="Calibri Light"/>
          <w:vertAlign w:val="subscript"/>
        </w:rPr>
        <w:t>t</w:t>
      </w:r>
      <w:proofErr w:type="spellEnd"/>
      <w:proofErr w:type="gramEnd"/>
      <w:r>
        <w:rPr>
          <w:rFonts w:ascii="Calibri Light" w:hAnsi="Calibri Light"/>
        </w:rPr>
        <w:t xml:space="preserve"> is the cost when treated, c</w:t>
      </w:r>
      <w:r>
        <w:rPr>
          <w:rFonts w:ascii="Calibri Light" w:hAnsi="Calibri Light"/>
          <w:vertAlign w:val="subscript"/>
        </w:rPr>
        <w:t>c</w:t>
      </w:r>
      <w:r>
        <w:rPr>
          <w:rFonts w:ascii="Calibri Light" w:hAnsi="Calibri Light"/>
        </w:rPr>
        <w:t xml:space="preserve"> is cost when control and </w:t>
      </w:r>
      <w:proofErr w:type="spellStart"/>
      <w:r>
        <w:rPr>
          <w:rFonts w:ascii="Calibri Light" w:hAnsi="Calibri Light"/>
        </w:rPr>
        <w:t>Q</w:t>
      </w:r>
      <w:r>
        <w:rPr>
          <w:rFonts w:ascii="Calibri Light" w:hAnsi="Calibri Light"/>
          <w:vertAlign w:val="subscript"/>
        </w:rPr>
        <w:t>x</w:t>
      </w:r>
      <w:proofErr w:type="spellEnd"/>
      <w:r>
        <w:rPr>
          <w:rFonts w:ascii="Calibri Light" w:hAnsi="Calibri Light"/>
        </w:rPr>
        <w:t xml:space="preserve"> is the quantile function where Q</w:t>
      </w:r>
      <w:r>
        <w:rPr>
          <w:rFonts w:ascii="Calibri Light" w:hAnsi="Calibri Light"/>
          <w:vertAlign w:val="subscript"/>
        </w:rPr>
        <w:t>0.975</w:t>
      </w:r>
      <w:r>
        <w:rPr>
          <w:rFonts w:ascii="Calibri Light" w:hAnsi="Calibri Light"/>
        </w:rPr>
        <w:t xml:space="preserve"> represents the 97.5th percentile.</w:t>
      </w:r>
    </w:p>
    <w:p w14:paraId="07F6FD74" w14:textId="1F004660" w:rsidR="00940CEE" w:rsidRDefault="008E3E2A" w:rsidP="0045102F">
      <w:pPr>
        <w:rPr>
          <w:noProof/>
          <w:lang w:eastAsia="en-GB"/>
        </w:rPr>
      </w:pPr>
      <w:r w:rsidRPr="00A91D43">
        <w:rPr>
          <w:rFonts w:ascii="Calibri Light" w:hAnsi="Calibri Light"/>
        </w:rPr>
        <w:t>M</w:t>
      </w:r>
      <w:r w:rsidR="00A87F1D" w:rsidRPr="00A91D43">
        <w:rPr>
          <w:rFonts w:ascii="Calibri Light" w:hAnsi="Calibri Light"/>
        </w:rPr>
        <w:t>ean costs</w:t>
      </w:r>
      <w:r w:rsidR="0066080A">
        <w:rPr>
          <w:rFonts w:ascii="Calibri Light" w:hAnsi="Calibri Light"/>
        </w:rPr>
        <w:t xml:space="preserve"> over a 20 year time horizon</w:t>
      </w:r>
      <w:r w:rsidR="00A87F1D" w:rsidRPr="00A91D43">
        <w:rPr>
          <w:rFonts w:ascii="Calibri Light" w:hAnsi="Calibri Light"/>
        </w:rPr>
        <w:t xml:space="preserve"> for both the treated and control groups increase with the inclusion of additional cost categories. </w:t>
      </w:r>
      <w:r w:rsidR="007F3E41" w:rsidRPr="00A91D43">
        <w:rPr>
          <w:rFonts w:ascii="Calibri Light" w:hAnsi="Calibri Light"/>
        </w:rPr>
        <w:t xml:space="preserve">In terms of </w:t>
      </w:r>
      <w:r w:rsidR="00C03C30" w:rsidRPr="00A91D43">
        <w:rPr>
          <w:rFonts w:ascii="Calibri Light" w:hAnsi="Calibri Light"/>
        </w:rPr>
        <w:t xml:space="preserve">incremental costs, </w:t>
      </w:r>
      <w:r w:rsidR="00FF2A1A" w:rsidRPr="00A91D43">
        <w:rPr>
          <w:rFonts w:ascii="Calibri Light" w:hAnsi="Calibri Light"/>
        </w:rPr>
        <w:t xml:space="preserve">including all costs </w:t>
      </w:r>
      <w:r w:rsidR="00D26385" w:rsidRPr="00A91D43">
        <w:rPr>
          <w:rFonts w:ascii="Calibri Light" w:hAnsi="Calibri Light"/>
        </w:rPr>
        <w:t>results in the</w:t>
      </w:r>
      <w:r w:rsidR="00FF2A1A" w:rsidRPr="00A91D43">
        <w:rPr>
          <w:rFonts w:ascii="Calibri Light" w:hAnsi="Calibri Light"/>
        </w:rPr>
        <w:t xml:space="preserve"> highest mean incremental cost. The CVD costs only scenario gives the lowest mean incremental cost. </w:t>
      </w:r>
      <w:r w:rsidR="00B93421" w:rsidRPr="00A91D43">
        <w:rPr>
          <w:rFonts w:ascii="Calibri Light" w:hAnsi="Calibri Light"/>
        </w:rPr>
        <w:t>V</w:t>
      </w:r>
      <w:r w:rsidR="001E0A8E" w:rsidRPr="00A91D43">
        <w:rPr>
          <w:rFonts w:ascii="Calibri Light" w:hAnsi="Calibri Light"/>
        </w:rPr>
        <w:t xml:space="preserve">ariability of </w:t>
      </w:r>
      <w:r w:rsidR="0066080A">
        <w:rPr>
          <w:rFonts w:ascii="Calibri Light" w:hAnsi="Calibri Light"/>
        </w:rPr>
        <w:t xml:space="preserve">incremental </w:t>
      </w:r>
      <w:r w:rsidR="001E0A8E" w:rsidRPr="00A91D43">
        <w:rPr>
          <w:rFonts w:ascii="Calibri Light" w:hAnsi="Calibri Light"/>
        </w:rPr>
        <w:t>costs</w:t>
      </w:r>
      <w:r w:rsidR="00C03C30" w:rsidRPr="00A91D43">
        <w:rPr>
          <w:rFonts w:ascii="Calibri Light" w:hAnsi="Calibri Light"/>
        </w:rPr>
        <w:t xml:space="preserve"> </w:t>
      </w:r>
      <w:r w:rsidR="001E0A8E" w:rsidRPr="00A91D43">
        <w:rPr>
          <w:rFonts w:ascii="Calibri Light" w:hAnsi="Calibri Light"/>
        </w:rPr>
        <w:t>increas</w:t>
      </w:r>
      <w:r w:rsidR="00B93421" w:rsidRPr="00A91D43">
        <w:rPr>
          <w:rFonts w:ascii="Calibri Light" w:hAnsi="Calibri Light"/>
        </w:rPr>
        <w:t>es</w:t>
      </w:r>
      <w:r w:rsidR="001E0A8E" w:rsidRPr="00A91D43">
        <w:rPr>
          <w:rFonts w:ascii="Calibri Light" w:hAnsi="Calibri Light"/>
        </w:rPr>
        <w:t xml:space="preserve"> </w:t>
      </w:r>
      <w:r w:rsidR="00B93421" w:rsidRPr="00A91D43">
        <w:rPr>
          <w:rFonts w:ascii="Calibri Light" w:hAnsi="Calibri Light"/>
        </w:rPr>
        <w:t xml:space="preserve">when </w:t>
      </w:r>
      <w:r w:rsidR="001E0A8E" w:rsidRPr="00A91D43">
        <w:rPr>
          <w:rFonts w:ascii="Calibri Light" w:hAnsi="Calibri Light"/>
        </w:rPr>
        <w:t xml:space="preserve">more cost categories </w:t>
      </w:r>
      <w:r w:rsidR="00B93421" w:rsidRPr="00A91D43">
        <w:rPr>
          <w:rFonts w:ascii="Calibri Light" w:hAnsi="Calibri Light"/>
        </w:rPr>
        <w:t xml:space="preserve">are included </w:t>
      </w:r>
      <w:r w:rsidR="0066080A">
        <w:rPr>
          <w:rFonts w:ascii="Calibri Light" w:hAnsi="Calibri Light"/>
        </w:rPr>
        <w:t>based on the width of</w:t>
      </w:r>
      <w:r w:rsidR="001E0A8E" w:rsidRPr="00A91D43">
        <w:rPr>
          <w:rFonts w:ascii="Calibri Light" w:hAnsi="Calibri Light"/>
        </w:rPr>
        <w:t xml:space="preserve"> the </w:t>
      </w:r>
      <w:r w:rsidR="00801B4E" w:rsidRPr="00A91D43">
        <w:rPr>
          <w:rFonts w:ascii="Calibri Light" w:hAnsi="Calibri Light"/>
        </w:rPr>
        <w:t>95</w:t>
      </w:r>
      <w:r w:rsidR="00954B9B" w:rsidRPr="00A91D43">
        <w:rPr>
          <w:rFonts w:ascii="Calibri Light" w:hAnsi="Calibri Light"/>
        </w:rPr>
        <w:t>% credibility interval</w:t>
      </w:r>
      <w:r w:rsidR="0066080A">
        <w:rPr>
          <w:rFonts w:ascii="Calibri Light" w:hAnsi="Calibri Light"/>
        </w:rPr>
        <w:t>.</w:t>
      </w:r>
      <w:r w:rsidR="001E0A8E" w:rsidRPr="00A91D43">
        <w:rPr>
          <w:rFonts w:ascii="Calibri Light" w:hAnsi="Calibri Light"/>
        </w:rPr>
        <w:t xml:space="preserve"> </w:t>
      </w:r>
      <w:r w:rsidR="004E4FA1" w:rsidRPr="00A91D43">
        <w:rPr>
          <w:rFonts w:ascii="Calibri Light" w:hAnsi="Calibri Light"/>
        </w:rPr>
        <w:t>The</w:t>
      </w:r>
      <w:r w:rsidR="00B93421" w:rsidRPr="00A91D43">
        <w:rPr>
          <w:rFonts w:ascii="Calibri Light" w:hAnsi="Calibri Light"/>
        </w:rPr>
        <w:t xml:space="preserve"> </w:t>
      </w:r>
      <w:r w:rsidR="00120AF5" w:rsidRPr="00A91D43">
        <w:rPr>
          <w:rFonts w:ascii="Calibri Light" w:hAnsi="Calibri Light"/>
        </w:rPr>
        <w:t>distribution</w:t>
      </w:r>
      <w:r w:rsidR="00B93421" w:rsidRPr="00A91D43">
        <w:rPr>
          <w:rFonts w:ascii="Calibri Light" w:hAnsi="Calibri Light"/>
        </w:rPr>
        <w:t xml:space="preserve"> of incremental costs </w:t>
      </w:r>
      <w:r w:rsidR="00120AF5" w:rsidRPr="00A91D43">
        <w:rPr>
          <w:rFonts w:ascii="Calibri Light" w:hAnsi="Calibri Light"/>
        </w:rPr>
        <w:t>is</w:t>
      </w:r>
      <w:r w:rsidR="004E4FA1" w:rsidRPr="00A91D43">
        <w:rPr>
          <w:rFonts w:ascii="Calibri Light" w:hAnsi="Calibri Light"/>
        </w:rPr>
        <w:t xml:space="preserve"> presented in </w:t>
      </w:r>
      <w:r w:rsidR="0045102F">
        <w:rPr>
          <w:rFonts w:ascii="Calibri Light" w:hAnsi="Calibri Light"/>
        </w:rPr>
        <w:t>Figure 1.</w:t>
      </w:r>
      <w:bookmarkStart w:id="1" w:name="_Ref464827832"/>
      <w:bookmarkStart w:id="2" w:name="_Ref488413385"/>
      <w:r w:rsidR="0045102F">
        <w:rPr>
          <w:rFonts w:ascii="Calibri Light" w:hAnsi="Calibri Light"/>
        </w:rPr>
        <w:t xml:space="preserve"> </w:t>
      </w:r>
    </w:p>
    <w:p w14:paraId="5EE17B00" w14:textId="648F27E0" w:rsidR="00D24F6F" w:rsidRDefault="00D24F6F" w:rsidP="0045102F">
      <w:pPr>
        <w:rPr>
          <w:rFonts w:ascii="Calibri Light" w:hAnsi="Calibri Light"/>
          <w:b/>
          <w:sz w:val="18"/>
          <w:szCs w:val="18"/>
        </w:rPr>
      </w:pPr>
      <w:r>
        <w:rPr>
          <w:rFonts w:ascii="Calibri Light" w:hAnsi="Calibri Light"/>
          <w:b/>
          <w:noProof/>
          <w:sz w:val="18"/>
          <w:szCs w:val="18"/>
          <w:lang w:eastAsia="en-GB"/>
        </w:rPr>
        <w:drawing>
          <wp:inline distT="0" distB="0" distL="0" distR="0" wp14:anchorId="17D6565F" wp14:editId="2EA8B956">
            <wp:extent cx="5153891" cy="3358859"/>
            <wp:effectExtent l="0" t="0" r="8890" b="0"/>
            <wp:docPr id="1" name="Picture 1" descr="\\userfs\jrsl500\w2k\TEEHTA\CLAHRC\MI costs\Which costs matter\write up\MDM\RnR2\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fs\jrsl500\w2k\TEEHTA\CLAHRC\MI costs\Which costs matter\write up\MDM\RnR2\Fig 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7957" cy="3361509"/>
                    </a:xfrm>
                    <a:prstGeom prst="rect">
                      <a:avLst/>
                    </a:prstGeom>
                    <a:noFill/>
                    <a:ln>
                      <a:noFill/>
                    </a:ln>
                  </pic:spPr>
                </pic:pic>
              </a:graphicData>
            </a:graphic>
          </wp:inline>
        </w:drawing>
      </w:r>
    </w:p>
    <w:p w14:paraId="29660343" w14:textId="0635045F" w:rsidR="0030713F" w:rsidRPr="000866A8" w:rsidRDefault="001E0A8E" w:rsidP="0045102F">
      <w:pPr>
        <w:rPr>
          <w:rFonts w:ascii="Calibri Light" w:hAnsi="Calibri Light"/>
          <w:b/>
          <w:sz w:val="14"/>
          <w:szCs w:val="18"/>
        </w:rPr>
      </w:pPr>
      <w:r w:rsidRPr="0045102F">
        <w:rPr>
          <w:rFonts w:ascii="Calibri Light" w:hAnsi="Calibri Light"/>
          <w:b/>
          <w:sz w:val="18"/>
          <w:szCs w:val="18"/>
        </w:rPr>
        <w:t xml:space="preserve">Figure </w:t>
      </w:r>
      <w:r w:rsidR="00CF09D0" w:rsidRPr="0045102F">
        <w:rPr>
          <w:rFonts w:ascii="Calibri Light" w:hAnsi="Calibri Light"/>
          <w:b/>
          <w:sz w:val="18"/>
          <w:szCs w:val="18"/>
        </w:rPr>
        <w:fldChar w:fldCharType="begin"/>
      </w:r>
      <w:r w:rsidRPr="0045102F">
        <w:rPr>
          <w:rFonts w:ascii="Calibri Light" w:hAnsi="Calibri Light"/>
          <w:b/>
          <w:sz w:val="18"/>
          <w:szCs w:val="18"/>
        </w:rPr>
        <w:instrText xml:space="preserve"> SEQ Figure \* ARABIC </w:instrText>
      </w:r>
      <w:r w:rsidR="00CF09D0" w:rsidRPr="0045102F">
        <w:rPr>
          <w:rFonts w:ascii="Calibri Light" w:hAnsi="Calibri Light"/>
          <w:b/>
          <w:sz w:val="18"/>
          <w:szCs w:val="18"/>
        </w:rPr>
        <w:fldChar w:fldCharType="separate"/>
      </w:r>
      <w:r w:rsidR="001324FC">
        <w:rPr>
          <w:rFonts w:ascii="Calibri Light" w:hAnsi="Calibri Light"/>
          <w:b/>
          <w:noProof/>
          <w:sz w:val="18"/>
          <w:szCs w:val="18"/>
        </w:rPr>
        <w:t>1</w:t>
      </w:r>
      <w:r w:rsidR="00CF09D0" w:rsidRPr="0045102F">
        <w:rPr>
          <w:rFonts w:ascii="Calibri Light" w:hAnsi="Calibri Light"/>
          <w:b/>
          <w:sz w:val="18"/>
          <w:szCs w:val="18"/>
        </w:rPr>
        <w:fldChar w:fldCharType="end"/>
      </w:r>
      <w:bookmarkEnd w:id="1"/>
      <w:r w:rsidRPr="0045102F">
        <w:rPr>
          <w:rFonts w:ascii="Calibri Light" w:hAnsi="Calibri Light"/>
          <w:b/>
          <w:sz w:val="18"/>
          <w:szCs w:val="18"/>
        </w:rPr>
        <w:t xml:space="preserve"> - Frequency plot of incremental costs under three scenarios</w:t>
      </w:r>
      <w:bookmarkEnd w:id="2"/>
      <w:r w:rsidR="000866A8">
        <w:rPr>
          <w:rFonts w:ascii="Calibri Light" w:hAnsi="Calibri Light"/>
          <w:b/>
          <w:sz w:val="18"/>
          <w:szCs w:val="18"/>
        </w:rPr>
        <w:t xml:space="preserve"> </w:t>
      </w:r>
      <w:r w:rsidR="000866A8" w:rsidRPr="000866A8">
        <w:rPr>
          <w:rFonts w:ascii="Calibri Light" w:hAnsi="Calibri Light"/>
          <w:b/>
          <w:sz w:val="18"/>
        </w:rPr>
        <w:t>(CHD – coronary heart disease, CVD – cardiovascular disease)</w:t>
      </w:r>
      <w:r w:rsidR="000866A8" w:rsidRPr="000866A8">
        <w:rPr>
          <w:rFonts w:ascii="Calibri Light" w:hAnsi="Calibri Light"/>
          <w:b/>
          <w:sz w:val="14"/>
          <w:szCs w:val="18"/>
        </w:rPr>
        <w:t xml:space="preserve"> </w:t>
      </w:r>
    </w:p>
    <w:p w14:paraId="4997FD0D" w14:textId="047CA63A" w:rsidR="001E0A8E" w:rsidRDefault="0021536C" w:rsidP="001E0A8E">
      <w:pPr>
        <w:rPr>
          <w:rFonts w:ascii="Calibri Light" w:hAnsi="Calibri Light"/>
        </w:rPr>
      </w:pPr>
      <w:r>
        <w:rPr>
          <w:rFonts w:ascii="Calibri Light" w:hAnsi="Calibri Light"/>
        </w:rPr>
        <w:lastRenderedPageBreak/>
        <w:t>Figure 1</w:t>
      </w:r>
      <w:r w:rsidR="00954B9B" w:rsidRPr="00A91D43">
        <w:rPr>
          <w:rFonts w:ascii="Calibri Light" w:hAnsi="Calibri Light"/>
        </w:rPr>
        <w:t xml:space="preserve"> </w:t>
      </w:r>
      <w:r w:rsidR="001E0A8E" w:rsidRPr="00A91D43">
        <w:rPr>
          <w:rFonts w:ascii="Calibri Light" w:hAnsi="Calibri Light"/>
        </w:rPr>
        <w:t xml:space="preserve">shows </w:t>
      </w:r>
      <w:r w:rsidR="0066080A">
        <w:rPr>
          <w:rFonts w:ascii="Calibri Light" w:hAnsi="Calibri Light"/>
        </w:rPr>
        <w:t>the distributions of incremental costs under each scenario. M</w:t>
      </w:r>
      <w:r w:rsidR="001E0A8E" w:rsidRPr="00A91D43">
        <w:rPr>
          <w:rFonts w:ascii="Calibri Light" w:hAnsi="Calibri Light"/>
        </w:rPr>
        <w:t xml:space="preserve">ean incremental costs </w:t>
      </w:r>
      <w:r w:rsidR="0066080A">
        <w:rPr>
          <w:rFonts w:ascii="Calibri Light" w:hAnsi="Calibri Light"/>
        </w:rPr>
        <w:t xml:space="preserve">were lowest in the </w:t>
      </w:r>
      <w:r w:rsidR="001E0A8E" w:rsidRPr="00A91D43">
        <w:rPr>
          <w:rFonts w:ascii="Calibri Light" w:hAnsi="Calibri Light"/>
        </w:rPr>
        <w:t xml:space="preserve">CVD costs only scenario, and </w:t>
      </w:r>
      <w:r w:rsidR="0066080A">
        <w:rPr>
          <w:rFonts w:ascii="Calibri Light" w:hAnsi="Calibri Light"/>
        </w:rPr>
        <w:t xml:space="preserve">highest in the </w:t>
      </w:r>
      <w:r w:rsidR="001E0A8E" w:rsidRPr="00A91D43">
        <w:rPr>
          <w:rFonts w:ascii="Calibri Light" w:hAnsi="Calibri Light"/>
        </w:rPr>
        <w:t xml:space="preserve">all costs </w:t>
      </w:r>
      <w:r w:rsidR="001324FC">
        <w:rPr>
          <w:rFonts w:ascii="Calibri Light" w:hAnsi="Calibri Light"/>
        </w:rPr>
        <w:t>scenario</w:t>
      </w:r>
      <w:r w:rsidR="001E0A8E" w:rsidRPr="00A91D43">
        <w:rPr>
          <w:rFonts w:ascii="Calibri Light" w:hAnsi="Calibri Light"/>
        </w:rPr>
        <w:t>. The distributions of incremental costs under scenarios with more cost categories included are considerably</w:t>
      </w:r>
      <w:r w:rsidR="00491027" w:rsidRPr="00A91D43">
        <w:rPr>
          <w:rFonts w:ascii="Calibri Light" w:hAnsi="Calibri Light"/>
        </w:rPr>
        <w:t xml:space="preserve"> wider reflecting greater </w:t>
      </w:r>
      <w:r w:rsidR="009569F5" w:rsidRPr="00A91D43">
        <w:rPr>
          <w:rFonts w:ascii="Calibri Light" w:hAnsi="Calibri Light"/>
        </w:rPr>
        <w:t>variabili</w:t>
      </w:r>
      <w:r w:rsidR="00491027" w:rsidRPr="00A91D43">
        <w:rPr>
          <w:rFonts w:ascii="Calibri Light" w:hAnsi="Calibri Light"/>
        </w:rPr>
        <w:t>ty</w:t>
      </w:r>
      <w:r w:rsidR="001E0A8E" w:rsidRPr="00A91D43">
        <w:rPr>
          <w:rFonts w:ascii="Calibri Light" w:hAnsi="Calibri Light"/>
        </w:rPr>
        <w:t>.</w:t>
      </w:r>
    </w:p>
    <w:p w14:paraId="66D3C226" w14:textId="77777777" w:rsidR="00FC65A9" w:rsidRDefault="00FC65A9" w:rsidP="001E0A8E">
      <w:pPr>
        <w:rPr>
          <w:rFonts w:ascii="Calibri Light" w:hAnsi="Calibri Light"/>
        </w:rPr>
      </w:pPr>
      <w:r>
        <w:rPr>
          <w:rFonts w:ascii="Calibri Light" w:hAnsi="Calibri Light"/>
        </w:rPr>
        <w:t>To investigate the relative effect of unrelated costs in extended years of life compared to those in life years not extended by the intervention, we investigate the distribution of incremental costs for different time horizons up to 20 years</w:t>
      </w:r>
      <w:r w:rsidR="0066080A">
        <w:rPr>
          <w:rFonts w:ascii="Calibri Light" w:hAnsi="Calibri Light"/>
        </w:rPr>
        <w:t>, with changes over time likely to reflect increasing impact of costs in extended years of life</w:t>
      </w:r>
      <w:r>
        <w:rPr>
          <w:rFonts w:ascii="Calibri Light" w:hAnsi="Calibri Light"/>
        </w:rPr>
        <w:t>. These results are summarised in Figure</w:t>
      </w:r>
      <w:r w:rsidR="001324FC">
        <w:rPr>
          <w:rFonts w:ascii="Calibri Light" w:hAnsi="Calibri Light"/>
        </w:rPr>
        <w:t>s</w:t>
      </w:r>
      <w:r>
        <w:rPr>
          <w:rFonts w:ascii="Calibri Light" w:hAnsi="Calibri Light"/>
        </w:rPr>
        <w:t xml:space="preserve"> 2</w:t>
      </w:r>
      <w:r w:rsidR="001324FC">
        <w:rPr>
          <w:rFonts w:ascii="Calibri Light" w:hAnsi="Calibri Light"/>
        </w:rPr>
        <w:t xml:space="preserve"> and 3</w:t>
      </w:r>
      <w:r>
        <w:rPr>
          <w:rFonts w:ascii="Calibri Light" w:hAnsi="Calibri Light"/>
        </w:rPr>
        <w:t>.</w:t>
      </w:r>
    </w:p>
    <w:p w14:paraId="19DAE472" w14:textId="7740EA41" w:rsidR="00D24F6F" w:rsidRDefault="00D24F6F" w:rsidP="001324FC">
      <w:pPr>
        <w:pStyle w:val="Caption"/>
      </w:pPr>
      <w:r>
        <w:rPr>
          <w:noProof/>
          <w:lang w:eastAsia="en-GB"/>
        </w:rPr>
        <w:drawing>
          <wp:inline distT="0" distB="0" distL="0" distR="0" wp14:anchorId="6244278E" wp14:editId="00AA6534">
            <wp:extent cx="5731510" cy="3724866"/>
            <wp:effectExtent l="0" t="0" r="2540" b="9525"/>
            <wp:docPr id="2" name="Picture 2" descr="\\userfs\jrsl500\w2k\TEEHTA\CLAHRC\MI costs\Which costs matter\write up\MDM\RnR2\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fs\jrsl500\w2k\TEEHTA\CLAHRC\MI costs\Which costs matter\write up\MDM\RnR2\Fig 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724866"/>
                    </a:xfrm>
                    <a:prstGeom prst="rect">
                      <a:avLst/>
                    </a:prstGeom>
                    <a:noFill/>
                    <a:ln>
                      <a:noFill/>
                    </a:ln>
                  </pic:spPr>
                </pic:pic>
              </a:graphicData>
            </a:graphic>
          </wp:inline>
        </w:drawing>
      </w:r>
    </w:p>
    <w:p w14:paraId="03BEE892" w14:textId="43A1E4B6" w:rsidR="009147AB" w:rsidRDefault="00484E95" w:rsidP="001324FC">
      <w:pPr>
        <w:pStyle w:val="Caption"/>
      </w:pPr>
      <w:r>
        <w:t xml:space="preserve">Figure </w:t>
      </w:r>
      <w:fldSimple w:instr=" SEQ Figure \* ARABIC ">
        <w:r w:rsidR="001324FC">
          <w:rPr>
            <w:noProof/>
          </w:rPr>
          <w:t>2</w:t>
        </w:r>
      </w:fldSimple>
      <w:r>
        <w:t xml:space="preserve"> -</w:t>
      </w:r>
      <w:r w:rsidR="001324FC">
        <w:t xml:space="preserve"> </w:t>
      </w:r>
      <w:r>
        <w:t>95%</w:t>
      </w:r>
      <w:r w:rsidR="001324FC">
        <w:t xml:space="preserve"> </w:t>
      </w:r>
      <w:r>
        <w:t>credibility interval</w:t>
      </w:r>
      <w:r w:rsidR="00833C67">
        <w:t xml:space="preserve"> (CI)</w:t>
      </w:r>
      <w:r>
        <w:t xml:space="preserve"> against time horizon by costing scenario</w:t>
      </w:r>
      <w:r w:rsidR="000866A8">
        <w:t xml:space="preserve"> </w:t>
      </w:r>
      <w:r w:rsidR="000866A8">
        <w:rPr>
          <w:rFonts w:ascii="Calibri Light" w:hAnsi="Calibri Light"/>
        </w:rPr>
        <w:t>(CHD – coronary heart disease</w:t>
      </w:r>
      <w:r w:rsidR="00833C67">
        <w:rPr>
          <w:rFonts w:ascii="Calibri Light" w:hAnsi="Calibri Light"/>
        </w:rPr>
        <w:t>)</w:t>
      </w:r>
    </w:p>
    <w:p w14:paraId="23F92DA5" w14:textId="4B3F1D4B" w:rsidR="00D24F6F" w:rsidRDefault="00D24F6F" w:rsidP="001324FC">
      <w:pPr>
        <w:pStyle w:val="Caption"/>
      </w:pPr>
      <w:r>
        <w:rPr>
          <w:noProof/>
          <w:lang w:eastAsia="en-GB"/>
        </w:rPr>
        <w:lastRenderedPageBreak/>
        <w:drawing>
          <wp:inline distT="0" distB="0" distL="0" distR="0" wp14:anchorId="3257F135" wp14:editId="3DC8245D">
            <wp:extent cx="5731510" cy="3938599"/>
            <wp:effectExtent l="0" t="0" r="2540" b="5080"/>
            <wp:docPr id="3" name="Picture 3" descr="\\userfs\jrsl500\w2k\TEEHTA\CLAHRC\MI costs\Which costs matter\write up\MDM\RnR2\Fig 3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fs\jrsl500\w2k\TEEHTA\CLAHRC\MI costs\Which costs matter\write up\MDM\RnR2\Fig 3v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938599"/>
                    </a:xfrm>
                    <a:prstGeom prst="rect">
                      <a:avLst/>
                    </a:prstGeom>
                    <a:noFill/>
                    <a:ln>
                      <a:noFill/>
                    </a:ln>
                  </pic:spPr>
                </pic:pic>
              </a:graphicData>
            </a:graphic>
          </wp:inline>
        </w:drawing>
      </w:r>
    </w:p>
    <w:p w14:paraId="14C5CF41" w14:textId="527A65CD" w:rsidR="001324FC" w:rsidRPr="00A91D43" w:rsidRDefault="001324FC" w:rsidP="001324FC">
      <w:pPr>
        <w:pStyle w:val="Caption"/>
        <w:rPr>
          <w:rFonts w:ascii="Calibri Light" w:hAnsi="Calibri Light"/>
        </w:rPr>
      </w:pPr>
      <w:r>
        <w:t xml:space="preserve">Figure </w:t>
      </w:r>
      <w:fldSimple w:instr=" SEQ Figure \* ARABIC ">
        <w:r>
          <w:rPr>
            <w:noProof/>
          </w:rPr>
          <w:t>3</w:t>
        </w:r>
      </w:fldSimple>
      <w:r>
        <w:t xml:space="preserve"> - Width of 95% credibility interval</w:t>
      </w:r>
      <w:r w:rsidR="00833C67">
        <w:t xml:space="preserve"> (CI)</w:t>
      </w:r>
      <w:r>
        <w:t xml:space="preserve"> against time horizon by costing scenario</w:t>
      </w:r>
      <w:r w:rsidR="00833C67">
        <w:t xml:space="preserve"> </w:t>
      </w:r>
      <w:r w:rsidR="00833C67">
        <w:rPr>
          <w:rFonts w:ascii="Calibri Light" w:hAnsi="Calibri Light"/>
        </w:rPr>
        <w:t>(CHD – coronary heart disease)</w:t>
      </w:r>
    </w:p>
    <w:p w14:paraId="1372DD43" w14:textId="3C6C7E57" w:rsidR="009147AB" w:rsidRDefault="001324FC" w:rsidP="001E0A8E">
      <w:pPr>
        <w:rPr>
          <w:rFonts w:ascii="Calibri Light" w:hAnsi="Calibri Light"/>
        </w:rPr>
      </w:pPr>
      <w:r>
        <w:rPr>
          <w:rFonts w:ascii="Calibri Light" w:hAnsi="Calibri Light"/>
        </w:rPr>
        <w:t>Figure 2</w:t>
      </w:r>
      <w:r w:rsidR="001B5DA0">
        <w:rPr>
          <w:rFonts w:ascii="Calibri Light" w:hAnsi="Calibri Light"/>
        </w:rPr>
        <w:t xml:space="preserve"> shows the credibility interval of the incremental costs for two different cost category scenarios (CHD and all costs) against time horizon. It can be seen that with longer time horizons, such as 20 years, the all costs scenario produces higher incremental costs on average. Looking at the shorter time horizons the opposite is found, with incremental costs on average higher under the CHD scenario. Variability, seen from the width of the credibility interval</w:t>
      </w:r>
      <w:r>
        <w:rPr>
          <w:rFonts w:ascii="Calibri Light" w:hAnsi="Calibri Light"/>
        </w:rPr>
        <w:t xml:space="preserve"> shown in Figure 3</w:t>
      </w:r>
      <w:r w:rsidR="001B5DA0">
        <w:rPr>
          <w:rFonts w:ascii="Calibri Light" w:hAnsi="Calibri Light"/>
        </w:rPr>
        <w:t xml:space="preserve">, is higher for the all costs scenario at all time horizons. </w:t>
      </w:r>
      <w:r w:rsidR="00091BE5">
        <w:rPr>
          <w:rFonts w:ascii="Calibri Light" w:hAnsi="Calibri Light"/>
        </w:rPr>
        <w:t>For both scenarios, variability is increasing with time horizon.</w:t>
      </w:r>
    </w:p>
    <w:p w14:paraId="389EFD4D" w14:textId="08F1B7EA" w:rsidR="0053253A" w:rsidRPr="00A91D43" w:rsidRDefault="0053253A" w:rsidP="001E0A8E">
      <w:pPr>
        <w:rPr>
          <w:rFonts w:ascii="Calibri Light" w:hAnsi="Calibri Light"/>
        </w:rPr>
      </w:pPr>
      <w:r w:rsidRPr="00A91D43">
        <w:rPr>
          <w:rFonts w:ascii="Calibri Light" w:hAnsi="Calibri Light"/>
        </w:rPr>
        <w:t xml:space="preserve">It is </w:t>
      </w:r>
      <w:r w:rsidR="00B93421" w:rsidRPr="00A91D43">
        <w:rPr>
          <w:rFonts w:ascii="Calibri Light" w:hAnsi="Calibri Light"/>
        </w:rPr>
        <w:t xml:space="preserve">also </w:t>
      </w:r>
      <w:r w:rsidRPr="00A91D43">
        <w:rPr>
          <w:rFonts w:ascii="Calibri Light" w:hAnsi="Calibri Light"/>
        </w:rPr>
        <w:t xml:space="preserve">useful to </w:t>
      </w:r>
      <w:r w:rsidR="00B130D4" w:rsidRPr="00A91D43">
        <w:rPr>
          <w:rFonts w:ascii="Calibri Light" w:hAnsi="Calibri Light"/>
        </w:rPr>
        <w:t xml:space="preserve">consider </w:t>
      </w:r>
      <w:r w:rsidRPr="00A91D43">
        <w:rPr>
          <w:rFonts w:ascii="Calibri Light" w:hAnsi="Calibri Light"/>
        </w:rPr>
        <w:t xml:space="preserve">the </w:t>
      </w:r>
      <w:r w:rsidR="004A1B05">
        <w:rPr>
          <w:rFonts w:ascii="Calibri Light" w:hAnsi="Calibri Light"/>
        </w:rPr>
        <w:t xml:space="preserve">impact of </w:t>
      </w:r>
      <w:r w:rsidRPr="00A91D43">
        <w:rPr>
          <w:rFonts w:ascii="Calibri Light" w:hAnsi="Calibri Light"/>
        </w:rPr>
        <w:t xml:space="preserve">incremental costs </w:t>
      </w:r>
      <w:r w:rsidR="00B130D4" w:rsidRPr="00A91D43">
        <w:rPr>
          <w:rFonts w:ascii="Calibri Light" w:hAnsi="Calibri Light"/>
        </w:rPr>
        <w:t>on</w:t>
      </w:r>
      <w:r w:rsidRPr="00A91D43">
        <w:rPr>
          <w:rFonts w:ascii="Calibri Light" w:hAnsi="Calibri Light"/>
        </w:rPr>
        <w:t xml:space="preserve"> cost-effectiveness in order to illustrate how the findings above could affect decision-making </w:t>
      </w:r>
      <w:r w:rsidR="006527F9" w:rsidRPr="00A91D43">
        <w:rPr>
          <w:rFonts w:ascii="Calibri Light" w:hAnsi="Calibri Light"/>
        </w:rPr>
        <w:t>and decision uncertainty. In all scenarios the</w:t>
      </w:r>
      <w:r w:rsidR="00A46540" w:rsidRPr="00A91D43">
        <w:rPr>
          <w:rFonts w:ascii="Calibri Light" w:hAnsi="Calibri Light"/>
        </w:rPr>
        <w:t xml:space="preserve"> mean</w:t>
      </w:r>
      <w:r w:rsidR="006527F9" w:rsidRPr="00A91D43">
        <w:rPr>
          <w:rFonts w:ascii="Calibri Light" w:hAnsi="Calibri Light"/>
        </w:rPr>
        <w:t xml:space="preserve"> incremental QALY from treatment is 0.084. These are the denominators in the estimates of the ICERs provided in </w:t>
      </w:r>
      <w:r w:rsidR="00D3129F">
        <w:fldChar w:fldCharType="begin"/>
      </w:r>
      <w:r w:rsidR="00D3129F">
        <w:instrText xml:space="preserve"> REF _Ref464829289 \h  \* MERGEFORMAT </w:instrText>
      </w:r>
      <w:r w:rsidR="00D3129F">
        <w:fldChar w:fldCharType="separate"/>
      </w:r>
      <w:r w:rsidR="00E7708E" w:rsidRPr="00A91D43">
        <w:rPr>
          <w:rFonts w:ascii="Calibri Light" w:hAnsi="Calibri Light"/>
        </w:rPr>
        <w:t xml:space="preserve">Table </w:t>
      </w:r>
      <w:r w:rsidR="00E7708E">
        <w:rPr>
          <w:rFonts w:ascii="Calibri Light" w:hAnsi="Calibri Light"/>
        </w:rPr>
        <w:t>2</w:t>
      </w:r>
      <w:r w:rsidR="00D3129F">
        <w:fldChar w:fldCharType="end"/>
      </w:r>
      <w:r w:rsidR="006527F9" w:rsidRPr="00A91D43">
        <w:rPr>
          <w:rFonts w:ascii="Calibri Light" w:hAnsi="Calibri Light"/>
        </w:rPr>
        <w:t xml:space="preserve">, where the numerators are the mean incremental costs reported in </w:t>
      </w:r>
      <w:r w:rsidR="00D3129F">
        <w:fldChar w:fldCharType="begin"/>
      </w:r>
      <w:r w:rsidR="00D3129F">
        <w:instrText xml:space="preserve"> REF _Ref464829321 \h  \* MERGEFORMAT </w:instrText>
      </w:r>
      <w:r w:rsidR="00D3129F">
        <w:fldChar w:fldCharType="separate"/>
      </w:r>
      <w:r w:rsidR="00E7708E" w:rsidRPr="00A91D43">
        <w:rPr>
          <w:rFonts w:ascii="Calibri Light" w:hAnsi="Calibri Light"/>
        </w:rPr>
        <w:t xml:space="preserve">Table </w:t>
      </w:r>
      <w:r w:rsidR="00E7708E">
        <w:rPr>
          <w:rFonts w:ascii="Calibri Light" w:hAnsi="Calibri Light"/>
        </w:rPr>
        <w:t>1</w:t>
      </w:r>
      <w:r w:rsidR="00D3129F">
        <w:fldChar w:fldCharType="end"/>
      </w:r>
      <w:r w:rsidR="006527F9" w:rsidRPr="00A91D43">
        <w:rPr>
          <w:rFonts w:ascii="Calibri Light" w:hAnsi="Calibri Light"/>
        </w:rPr>
        <w:t>.</w:t>
      </w:r>
    </w:p>
    <w:p w14:paraId="46684206" w14:textId="0DF71DF9" w:rsidR="006527F9" w:rsidRPr="00833C67" w:rsidRDefault="006527F9" w:rsidP="006527F9">
      <w:pPr>
        <w:pStyle w:val="Caption"/>
        <w:keepNext/>
        <w:rPr>
          <w:rFonts w:ascii="Calibri Light" w:hAnsi="Calibri Light"/>
        </w:rPr>
      </w:pPr>
      <w:bookmarkStart w:id="3" w:name="_Ref464829289"/>
      <w:bookmarkStart w:id="4" w:name="_Ref464829284"/>
      <w:r w:rsidRPr="00A91D43">
        <w:rPr>
          <w:rFonts w:ascii="Calibri Light" w:hAnsi="Calibri Light"/>
        </w:rPr>
        <w:t xml:space="preserve">Table </w:t>
      </w:r>
      <w:r w:rsidR="00CF09D0" w:rsidRPr="00A91D43">
        <w:rPr>
          <w:rFonts w:ascii="Calibri Light" w:hAnsi="Calibri Light"/>
        </w:rPr>
        <w:fldChar w:fldCharType="begin"/>
      </w:r>
      <w:r w:rsidRPr="00A91D43">
        <w:rPr>
          <w:rFonts w:ascii="Calibri Light" w:hAnsi="Calibri Light"/>
        </w:rPr>
        <w:instrText xml:space="preserve"> SEQ Table \* ARABIC </w:instrText>
      </w:r>
      <w:r w:rsidR="00CF09D0" w:rsidRPr="00A91D43">
        <w:rPr>
          <w:rFonts w:ascii="Calibri Light" w:hAnsi="Calibri Light"/>
        </w:rPr>
        <w:fldChar w:fldCharType="separate"/>
      </w:r>
      <w:r w:rsidR="00E7708E">
        <w:rPr>
          <w:rFonts w:ascii="Calibri Light" w:hAnsi="Calibri Light"/>
          <w:noProof/>
        </w:rPr>
        <w:t>2</w:t>
      </w:r>
      <w:r w:rsidR="00CF09D0" w:rsidRPr="00A91D43">
        <w:rPr>
          <w:rFonts w:ascii="Calibri Light" w:hAnsi="Calibri Light"/>
        </w:rPr>
        <w:fldChar w:fldCharType="end"/>
      </w:r>
      <w:bookmarkEnd w:id="3"/>
      <w:r w:rsidRPr="00A91D43">
        <w:rPr>
          <w:rFonts w:ascii="Calibri Light" w:hAnsi="Calibri Light"/>
        </w:rPr>
        <w:t xml:space="preserve"> - Estimated ICERs in the different costing </w:t>
      </w:r>
      <w:r w:rsidRPr="00833C67">
        <w:rPr>
          <w:rFonts w:ascii="Calibri Light" w:hAnsi="Calibri Light"/>
        </w:rPr>
        <w:t>scenarios</w:t>
      </w:r>
      <w:bookmarkEnd w:id="4"/>
      <w:r w:rsidR="00833C67" w:rsidRPr="00833C67">
        <w:rPr>
          <w:rFonts w:ascii="Calibri Light" w:hAnsi="Calibri Light"/>
        </w:rPr>
        <w:t xml:space="preserve"> (CHD – coronary heart disease, CVD – cardiovascular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19"/>
        <w:gridCol w:w="2619"/>
        <w:gridCol w:w="2620"/>
      </w:tblGrid>
      <w:tr w:rsidR="00651167" w:rsidRPr="000D6386" w14:paraId="66BC1E76" w14:textId="77777777" w:rsidTr="00EE2C0B">
        <w:tc>
          <w:tcPr>
            <w:tcW w:w="1384" w:type="dxa"/>
            <w:shd w:val="clear" w:color="auto" w:fill="auto"/>
          </w:tcPr>
          <w:p w14:paraId="28B9ABDC" w14:textId="77777777" w:rsidR="00651167" w:rsidRPr="000D6386" w:rsidRDefault="00651167" w:rsidP="00EE2C0B">
            <w:pPr>
              <w:spacing w:after="0" w:line="240" w:lineRule="auto"/>
              <w:jc w:val="center"/>
              <w:rPr>
                <w:rFonts w:ascii="Calibri Light" w:hAnsi="Calibri Light" w:cs="Times New Roman"/>
                <w:b/>
              </w:rPr>
            </w:pPr>
          </w:p>
        </w:tc>
        <w:tc>
          <w:tcPr>
            <w:tcW w:w="7858" w:type="dxa"/>
            <w:gridSpan w:val="3"/>
            <w:shd w:val="clear" w:color="auto" w:fill="auto"/>
          </w:tcPr>
          <w:p w14:paraId="7602DBEE" w14:textId="77777777" w:rsidR="00651167" w:rsidRPr="000D6386" w:rsidRDefault="00651167" w:rsidP="00EE2C0B">
            <w:pPr>
              <w:spacing w:after="0" w:line="240" w:lineRule="auto"/>
              <w:jc w:val="center"/>
              <w:rPr>
                <w:rFonts w:ascii="Calibri Light" w:hAnsi="Calibri Light" w:cs="Times New Roman"/>
                <w:b/>
              </w:rPr>
            </w:pPr>
            <w:r w:rsidRPr="000D6386">
              <w:rPr>
                <w:rFonts w:ascii="Calibri Light" w:hAnsi="Calibri Light" w:cs="Times New Roman"/>
                <w:b/>
              </w:rPr>
              <w:t>Resource categories included</w:t>
            </w:r>
          </w:p>
        </w:tc>
      </w:tr>
      <w:tr w:rsidR="00651167" w:rsidRPr="000D6386" w14:paraId="66843038" w14:textId="77777777" w:rsidTr="00EE2C0B">
        <w:tc>
          <w:tcPr>
            <w:tcW w:w="1384" w:type="dxa"/>
            <w:shd w:val="clear" w:color="auto" w:fill="auto"/>
          </w:tcPr>
          <w:p w14:paraId="59E98F60" w14:textId="77777777" w:rsidR="00651167" w:rsidRPr="000D6386" w:rsidRDefault="00651167" w:rsidP="00EE2C0B">
            <w:pPr>
              <w:spacing w:after="0" w:line="240" w:lineRule="auto"/>
              <w:rPr>
                <w:rFonts w:ascii="Calibri Light" w:hAnsi="Calibri Light" w:cs="Times New Roman"/>
                <w:b/>
              </w:rPr>
            </w:pPr>
          </w:p>
        </w:tc>
        <w:tc>
          <w:tcPr>
            <w:tcW w:w="2619" w:type="dxa"/>
            <w:shd w:val="clear" w:color="auto" w:fill="auto"/>
          </w:tcPr>
          <w:p w14:paraId="702E2F09"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CHD</w:t>
            </w:r>
          </w:p>
        </w:tc>
        <w:tc>
          <w:tcPr>
            <w:tcW w:w="2619" w:type="dxa"/>
            <w:shd w:val="clear" w:color="auto" w:fill="auto"/>
          </w:tcPr>
          <w:p w14:paraId="36CF7251"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CVD</w:t>
            </w:r>
          </w:p>
        </w:tc>
        <w:tc>
          <w:tcPr>
            <w:tcW w:w="2620" w:type="dxa"/>
            <w:shd w:val="clear" w:color="auto" w:fill="auto"/>
          </w:tcPr>
          <w:p w14:paraId="4F61659E" w14:textId="77777777" w:rsidR="00651167" w:rsidRPr="000D6386" w:rsidRDefault="00651167" w:rsidP="00EE2C0B">
            <w:pPr>
              <w:spacing w:after="0" w:line="240" w:lineRule="auto"/>
              <w:rPr>
                <w:rFonts w:ascii="Calibri Light" w:hAnsi="Calibri Light" w:cs="Times New Roman"/>
                <w:b/>
              </w:rPr>
            </w:pPr>
            <w:r w:rsidRPr="000D6386">
              <w:rPr>
                <w:rFonts w:ascii="Calibri Light" w:hAnsi="Calibri Light" w:cs="Times New Roman"/>
                <w:b/>
              </w:rPr>
              <w:t>All</w:t>
            </w:r>
          </w:p>
        </w:tc>
      </w:tr>
      <w:tr w:rsidR="00651167" w:rsidRPr="000D6386" w14:paraId="52C8E8E0" w14:textId="77777777" w:rsidTr="00EE2C0B">
        <w:tc>
          <w:tcPr>
            <w:tcW w:w="1384" w:type="dxa"/>
            <w:shd w:val="clear" w:color="auto" w:fill="auto"/>
          </w:tcPr>
          <w:p w14:paraId="783ABBAB" w14:textId="77777777" w:rsidR="00651167" w:rsidRPr="000D6386" w:rsidRDefault="00651167" w:rsidP="00EE2C0B">
            <w:pPr>
              <w:pStyle w:val="NormalWeb"/>
              <w:spacing w:before="0" w:beforeAutospacing="0" w:after="0" w:afterAutospacing="0" w:line="300" w:lineRule="atLeast"/>
              <w:jc w:val="right"/>
              <w:textAlignment w:val="bottom"/>
              <w:rPr>
                <w:rFonts w:ascii="Calibri Light" w:hAnsi="Calibri Light" w:cs="Arial"/>
                <w:b/>
                <w:color w:val="000000"/>
                <w:kern w:val="24"/>
                <w:sz w:val="22"/>
                <w:szCs w:val="22"/>
              </w:rPr>
            </w:pPr>
            <w:r w:rsidRPr="000D6386">
              <w:rPr>
                <w:rFonts w:ascii="Calibri Light" w:hAnsi="Calibri Light" w:cs="Arial"/>
                <w:b/>
                <w:color w:val="000000"/>
                <w:kern w:val="24"/>
                <w:sz w:val="22"/>
                <w:szCs w:val="22"/>
              </w:rPr>
              <w:t>ICER</w:t>
            </w:r>
          </w:p>
        </w:tc>
        <w:tc>
          <w:tcPr>
            <w:tcW w:w="2619" w:type="dxa"/>
            <w:shd w:val="clear" w:color="auto" w:fill="auto"/>
            <w:vAlign w:val="bottom"/>
          </w:tcPr>
          <w:p w14:paraId="003E7B79" w14:textId="77777777" w:rsidR="00651167" w:rsidRPr="000D6386" w:rsidRDefault="00651167" w:rsidP="00EE2C0B">
            <w:pPr>
              <w:pStyle w:val="NormalWeb"/>
              <w:spacing w:before="0" w:beforeAutospacing="0" w:after="0" w:afterAutospacing="0" w:line="300" w:lineRule="atLeast"/>
              <w:jc w:val="right"/>
              <w:textAlignment w:val="bottom"/>
              <w:rPr>
                <w:rFonts w:ascii="Calibri Light" w:hAnsi="Calibri Light" w:cs="Arial"/>
                <w:sz w:val="22"/>
                <w:szCs w:val="22"/>
              </w:rPr>
            </w:pPr>
            <w:r w:rsidRPr="000D6386">
              <w:rPr>
                <w:rFonts w:ascii="Calibri Light" w:hAnsi="Calibri Light" w:cs="Arial"/>
                <w:color w:val="000000"/>
                <w:kern w:val="24"/>
                <w:sz w:val="22"/>
                <w:szCs w:val="22"/>
              </w:rPr>
              <w:t>£28 626 per QALY</w:t>
            </w:r>
          </w:p>
        </w:tc>
        <w:tc>
          <w:tcPr>
            <w:tcW w:w="2619" w:type="dxa"/>
            <w:shd w:val="clear" w:color="auto" w:fill="auto"/>
            <w:vAlign w:val="bottom"/>
          </w:tcPr>
          <w:p w14:paraId="78137718" w14:textId="77777777" w:rsidR="00651167" w:rsidRPr="000D6386" w:rsidRDefault="00651167" w:rsidP="00EE2C0B">
            <w:pPr>
              <w:pStyle w:val="NormalWeb"/>
              <w:spacing w:before="0" w:beforeAutospacing="0" w:after="0" w:afterAutospacing="0" w:line="300" w:lineRule="atLeast"/>
              <w:jc w:val="right"/>
              <w:textAlignment w:val="bottom"/>
              <w:rPr>
                <w:rFonts w:ascii="Calibri Light" w:hAnsi="Calibri Light" w:cs="Arial"/>
                <w:sz w:val="22"/>
                <w:szCs w:val="22"/>
              </w:rPr>
            </w:pPr>
            <w:r w:rsidRPr="000D6386">
              <w:rPr>
                <w:rFonts w:ascii="Calibri Light" w:hAnsi="Calibri Light" w:cs="Arial"/>
                <w:color w:val="000000"/>
                <w:kern w:val="24"/>
                <w:sz w:val="22"/>
                <w:szCs w:val="22"/>
              </w:rPr>
              <w:t>£28 395 per QALY</w:t>
            </w:r>
          </w:p>
        </w:tc>
        <w:tc>
          <w:tcPr>
            <w:tcW w:w="2620" w:type="dxa"/>
            <w:shd w:val="clear" w:color="auto" w:fill="auto"/>
            <w:vAlign w:val="bottom"/>
          </w:tcPr>
          <w:p w14:paraId="1DCCBF05" w14:textId="77777777" w:rsidR="00651167" w:rsidRPr="000D6386" w:rsidRDefault="00651167" w:rsidP="00EE2C0B">
            <w:pPr>
              <w:pStyle w:val="NormalWeb"/>
              <w:spacing w:before="0" w:beforeAutospacing="0" w:after="0" w:afterAutospacing="0" w:line="300" w:lineRule="atLeast"/>
              <w:jc w:val="right"/>
              <w:textAlignment w:val="bottom"/>
              <w:rPr>
                <w:rFonts w:ascii="Calibri Light" w:hAnsi="Calibri Light" w:cs="Arial"/>
                <w:sz w:val="22"/>
                <w:szCs w:val="22"/>
              </w:rPr>
            </w:pPr>
            <w:r w:rsidRPr="000D6386">
              <w:rPr>
                <w:rFonts w:ascii="Calibri Light" w:hAnsi="Calibri Light" w:cs="Arial"/>
                <w:color w:val="000000"/>
                <w:kern w:val="24"/>
                <w:sz w:val="22"/>
                <w:szCs w:val="22"/>
              </w:rPr>
              <w:t>£29 485 per QALY</w:t>
            </w:r>
          </w:p>
        </w:tc>
      </w:tr>
    </w:tbl>
    <w:p w14:paraId="009AACD9" w14:textId="1C572E52" w:rsidR="0030713F" w:rsidRPr="00A91D43" w:rsidRDefault="006527F9" w:rsidP="00A83780">
      <w:pPr>
        <w:rPr>
          <w:rFonts w:ascii="Calibri Light" w:hAnsi="Calibri Light"/>
        </w:rPr>
      </w:pPr>
      <w:r w:rsidRPr="00A91D43">
        <w:rPr>
          <w:rFonts w:ascii="Calibri Light" w:hAnsi="Calibri Light"/>
        </w:rPr>
        <w:t xml:space="preserve">For illustrative purposes we consider a decision maker who </w:t>
      </w:r>
      <w:r w:rsidR="0041350B">
        <w:rPr>
          <w:rFonts w:ascii="Calibri Light" w:hAnsi="Calibri Light"/>
        </w:rPr>
        <w:t>regards</w:t>
      </w:r>
      <w:r w:rsidR="0041350B" w:rsidRPr="00A91D43">
        <w:rPr>
          <w:rFonts w:ascii="Calibri Light" w:hAnsi="Calibri Light"/>
        </w:rPr>
        <w:t xml:space="preserve"> </w:t>
      </w:r>
      <w:r w:rsidR="00B93421" w:rsidRPr="00A91D43">
        <w:rPr>
          <w:rFonts w:ascii="Calibri Light" w:hAnsi="Calibri Light"/>
        </w:rPr>
        <w:t xml:space="preserve">a treatment </w:t>
      </w:r>
      <w:r w:rsidR="0041350B">
        <w:rPr>
          <w:rFonts w:ascii="Calibri Light" w:hAnsi="Calibri Light"/>
        </w:rPr>
        <w:t>as</w:t>
      </w:r>
      <w:r w:rsidRPr="00A91D43">
        <w:rPr>
          <w:rFonts w:ascii="Calibri Light" w:hAnsi="Calibri Light"/>
        </w:rPr>
        <w:t xml:space="preserve"> cost-effective when the ICER is less than £30</w:t>
      </w:r>
      <w:r w:rsidR="00C37257" w:rsidRPr="00A91D43">
        <w:rPr>
          <w:rFonts w:ascii="Calibri Light" w:hAnsi="Calibri Light"/>
        </w:rPr>
        <w:t xml:space="preserve"> </w:t>
      </w:r>
      <w:r w:rsidRPr="00A91D43">
        <w:rPr>
          <w:rFonts w:ascii="Calibri Light" w:hAnsi="Calibri Light"/>
        </w:rPr>
        <w:t>000 per QALY gained</w:t>
      </w:r>
      <w:r w:rsidR="001324FC">
        <w:rPr>
          <w:rFonts w:ascii="Calibri Light" w:hAnsi="Calibri Light"/>
        </w:rPr>
        <w:t xml:space="preserve"> </w:t>
      </w:r>
      <w:r w:rsidR="001324FC">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"NICE", "given" : "", "non-dropping-particle" : "", "parse-names" : false, "suffix" : "" } ], "id" : "ITEM-1", "issued" : { "date-parts" : [ [ "2013" ] ] }, "publisher" : "NICE", "title" : "Guide to the methods of technology appraisal", "type" : "article-journal" }, "uris" : [ "http://www.mendeley.com/documents/?uuid=22209b25-c91e-3859-93cd-d5237eb46bff" ] } ], "mendeley" : { "formattedCitation" : "(12)", "plainTextFormattedCitation" : "(12)", "previouslyFormattedCitation" : "(12)" }, "properties" : {  }, "schema" : "https://github.com/citation-style-language/schema/raw/master/csl-citation.json" }</w:instrText>
      </w:r>
      <w:r w:rsidR="001324FC">
        <w:rPr>
          <w:rFonts w:ascii="Calibri Light" w:hAnsi="Calibri Light"/>
        </w:rPr>
        <w:fldChar w:fldCharType="separate"/>
      </w:r>
      <w:r w:rsidR="001324FC" w:rsidRPr="001324FC">
        <w:rPr>
          <w:rFonts w:ascii="Calibri Light" w:hAnsi="Calibri Light"/>
          <w:noProof/>
        </w:rPr>
        <w:t>(12)</w:t>
      </w:r>
      <w:r w:rsidR="001324FC">
        <w:rPr>
          <w:rFonts w:ascii="Calibri Light" w:hAnsi="Calibri Light"/>
        </w:rPr>
        <w:fldChar w:fldCharType="end"/>
      </w:r>
      <w:r w:rsidRPr="00A91D43">
        <w:rPr>
          <w:rFonts w:ascii="Calibri Light" w:hAnsi="Calibri Light"/>
        </w:rPr>
        <w:t xml:space="preserve">. </w:t>
      </w:r>
      <w:r w:rsidR="00A83780" w:rsidRPr="00A91D43">
        <w:rPr>
          <w:rFonts w:ascii="Calibri Light" w:hAnsi="Calibri Light"/>
        </w:rPr>
        <w:t xml:space="preserve">Whilst the treatment is expected to be cost-effective </w:t>
      </w:r>
      <w:r w:rsidR="0041350B">
        <w:rPr>
          <w:rFonts w:ascii="Calibri Light" w:hAnsi="Calibri Light"/>
        </w:rPr>
        <w:t>in all scenarios</w:t>
      </w:r>
      <w:r w:rsidR="00C37257" w:rsidRPr="00A91D43">
        <w:rPr>
          <w:rFonts w:ascii="Calibri Light" w:hAnsi="Calibri Light"/>
        </w:rPr>
        <w:t xml:space="preserve"> (all the ICERs are below £30 </w:t>
      </w:r>
      <w:r w:rsidR="00A83780" w:rsidRPr="00A91D43">
        <w:rPr>
          <w:rFonts w:ascii="Calibri Light" w:hAnsi="Calibri Light"/>
        </w:rPr>
        <w:t>000 per QALY), it can be seen that the choice of cost categories that are included</w:t>
      </w:r>
      <w:r w:rsidR="00491027" w:rsidRPr="00A91D43">
        <w:rPr>
          <w:rFonts w:ascii="Calibri Light" w:hAnsi="Calibri Light"/>
        </w:rPr>
        <w:t xml:space="preserve"> is likely to</w:t>
      </w:r>
      <w:r w:rsidR="00A83780" w:rsidRPr="00A91D43">
        <w:rPr>
          <w:rFonts w:ascii="Calibri Light" w:hAnsi="Calibri Light"/>
        </w:rPr>
        <w:t xml:space="preserve"> influence the </w:t>
      </w:r>
      <w:r w:rsidR="00B93421" w:rsidRPr="00A91D43">
        <w:rPr>
          <w:rFonts w:ascii="Calibri Light" w:hAnsi="Calibri Light"/>
        </w:rPr>
        <w:t>degree of</w:t>
      </w:r>
      <w:r w:rsidR="00A83780" w:rsidRPr="00A91D43">
        <w:rPr>
          <w:rFonts w:ascii="Calibri Light" w:hAnsi="Calibri Light"/>
        </w:rPr>
        <w:t xml:space="preserve"> decision uncertainty. </w:t>
      </w:r>
      <w:r w:rsidR="00B130D4" w:rsidRPr="00A91D43">
        <w:rPr>
          <w:rFonts w:ascii="Calibri Light" w:hAnsi="Calibri Light"/>
        </w:rPr>
        <w:t xml:space="preserve">Figure </w:t>
      </w:r>
      <w:r w:rsidR="001324FC">
        <w:rPr>
          <w:rFonts w:ascii="Calibri Light" w:hAnsi="Calibri Light"/>
        </w:rPr>
        <w:t>4</w:t>
      </w:r>
      <w:r w:rsidR="00B130D4" w:rsidRPr="00A91D43">
        <w:rPr>
          <w:rFonts w:ascii="Calibri Light" w:hAnsi="Calibri Light"/>
        </w:rPr>
        <w:t xml:space="preserve"> shows </w:t>
      </w:r>
      <w:r w:rsidR="00A83780" w:rsidRPr="00A91D43">
        <w:rPr>
          <w:rFonts w:ascii="Calibri Light" w:hAnsi="Calibri Light"/>
        </w:rPr>
        <w:t>the distribution</w:t>
      </w:r>
      <w:r w:rsidR="00B130D4" w:rsidRPr="00A91D43">
        <w:rPr>
          <w:rFonts w:ascii="Calibri Light" w:hAnsi="Calibri Light"/>
        </w:rPr>
        <w:t>s</w:t>
      </w:r>
      <w:r w:rsidR="00A83780" w:rsidRPr="00A91D43">
        <w:rPr>
          <w:rFonts w:ascii="Calibri Light" w:hAnsi="Calibri Light"/>
        </w:rPr>
        <w:t xml:space="preserve"> of net health benefits for the treatment. The treatment is cost-effective when the net health benefit is greater than zero</w:t>
      </w:r>
      <w:r w:rsidR="004E4FA1" w:rsidRPr="00A91D43">
        <w:rPr>
          <w:rFonts w:ascii="Calibri Light" w:hAnsi="Calibri Light"/>
        </w:rPr>
        <w:t>.</w:t>
      </w:r>
    </w:p>
    <w:p w14:paraId="48E5C1A5" w14:textId="10C3FEA0" w:rsidR="0030713F" w:rsidRPr="00A91D43" w:rsidRDefault="00D24F6F" w:rsidP="00A83780">
      <w:pPr>
        <w:pStyle w:val="Caption"/>
        <w:rPr>
          <w:rFonts w:ascii="Calibri Light" w:hAnsi="Calibri Light"/>
        </w:rPr>
      </w:pPr>
      <w:bookmarkStart w:id="5" w:name="_Ref464829912"/>
      <w:r>
        <w:rPr>
          <w:noProof/>
          <w:lang w:eastAsia="en-GB"/>
        </w:rPr>
        <w:lastRenderedPageBreak/>
        <w:drawing>
          <wp:inline distT="0" distB="0" distL="0" distR="0" wp14:anchorId="6A8C27FB" wp14:editId="5B7099BC">
            <wp:extent cx="5731510" cy="3733779"/>
            <wp:effectExtent l="0" t="0" r="2540" b="635"/>
            <wp:docPr id="4" name="Picture 4" descr="\\userfs\jrsl500\w2k\TEEHTA\CLAHRC\MI costs\Which costs matter\write up\MDM\RnR2\Fig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fs\jrsl500\w2k\TEEHTA\CLAHRC\MI costs\Which costs matter\write up\MDM\RnR2\Fig 4.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733779"/>
                    </a:xfrm>
                    <a:prstGeom prst="rect">
                      <a:avLst/>
                    </a:prstGeom>
                    <a:noFill/>
                    <a:ln>
                      <a:noFill/>
                    </a:ln>
                  </pic:spPr>
                </pic:pic>
              </a:graphicData>
            </a:graphic>
          </wp:inline>
        </w:drawing>
      </w:r>
      <w:r w:rsidR="00A83780" w:rsidRPr="00A91D43">
        <w:rPr>
          <w:rFonts w:ascii="Calibri Light" w:hAnsi="Calibri Light"/>
        </w:rPr>
        <w:t xml:space="preserve">Figure </w:t>
      </w:r>
      <w:bookmarkEnd w:id="5"/>
      <w:r w:rsidR="001324FC">
        <w:rPr>
          <w:rFonts w:ascii="Calibri Light" w:hAnsi="Calibri Light"/>
        </w:rPr>
        <w:t>4</w:t>
      </w:r>
      <w:r w:rsidR="00FC65A9" w:rsidRPr="00A91D43">
        <w:rPr>
          <w:rFonts w:ascii="Calibri Light" w:hAnsi="Calibri Light"/>
        </w:rPr>
        <w:t xml:space="preserve"> </w:t>
      </w:r>
      <w:r w:rsidR="00A83780" w:rsidRPr="00A91D43">
        <w:rPr>
          <w:rFonts w:ascii="Calibri Light" w:hAnsi="Calibri Light"/>
        </w:rPr>
        <w:t xml:space="preserve">- Frequency plot of net health benefits under three </w:t>
      </w:r>
      <w:r w:rsidR="00B25C00" w:rsidRPr="00833C67">
        <w:rPr>
          <w:rFonts w:ascii="Calibri Light" w:hAnsi="Calibri Light"/>
        </w:rPr>
        <w:t>scenarios</w:t>
      </w:r>
      <w:r w:rsidR="00833C67" w:rsidRPr="00833C67">
        <w:rPr>
          <w:rFonts w:ascii="Calibri Light" w:hAnsi="Calibri Light"/>
        </w:rPr>
        <w:t xml:space="preserve"> (CHD – coronary heart disease, CVD – cardiovascular disease)</w:t>
      </w:r>
    </w:p>
    <w:p w14:paraId="3142B55A" w14:textId="7A92B253" w:rsidR="00FC65A9" w:rsidRPr="00A91D43" w:rsidRDefault="00A46540" w:rsidP="00643CA7">
      <w:pPr>
        <w:rPr>
          <w:rFonts w:ascii="Calibri Light" w:hAnsi="Calibri Light"/>
        </w:rPr>
      </w:pPr>
      <w:r w:rsidRPr="00A91D43">
        <w:rPr>
          <w:rFonts w:ascii="Calibri Light" w:hAnsi="Calibri Light"/>
        </w:rPr>
        <w:t xml:space="preserve">The proportion of iterations with </w:t>
      </w:r>
      <w:r w:rsidR="0041350B">
        <w:rPr>
          <w:rFonts w:ascii="Calibri Light" w:hAnsi="Calibri Light"/>
        </w:rPr>
        <w:t xml:space="preserve">a </w:t>
      </w:r>
      <w:r w:rsidRPr="00A91D43">
        <w:rPr>
          <w:rFonts w:ascii="Calibri Light" w:hAnsi="Calibri Light"/>
        </w:rPr>
        <w:t>positive net health benefit,</w:t>
      </w:r>
      <w:r w:rsidR="00B130D4" w:rsidRPr="00A91D43">
        <w:rPr>
          <w:rFonts w:ascii="Calibri Light" w:hAnsi="Calibri Light"/>
        </w:rPr>
        <w:t xml:space="preserve"> i.e.</w:t>
      </w:r>
      <w:r w:rsidRPr="00A91D43">
        <w:rPr>
          <w:rFonts w:ascii="Calibri Light" w:hAnsi="Calibri Light"/>
        </w:rPr>
        <w:t xml:space="preserve"> the probability of being cost-effective,</w:t>
      </w:r>
      <w:r w:rsidR="00C37257" w:rsidRPr="00A91D43">
        <w:rPr>
          <w:rFonts w:ascii="Calibri Light" w:hAnsi="Calibri Light"/>
        </w:rPr>
        <w:t xml:space="preserve"> varies across the three scenarios: </w:t>
      </w:r>
      <w:r w:rsidRPr="00A91D43">
        <w:rPr>
          <w:rFonts w:ascii="Calibri Light" w:hAnsi="Calibri Light"/>
        </w:rPr>
        <w:t>CHD costs</w:t>
      </w:r>
      <w:r w:rsidR="00C37257" w:rsidRPr="00A91D43">
        <w:rPr>
          <w:rFonts w:ascii="Calibri Light" w:hAnsi="Calibri Light"/>
        </w:rPr>
        <w:t xml:space="preserve"> (70%)</w:t>
      </w:r>
      <w:r w:rsidRPr="00A91D43">
        <w:rPr>
          <w:rFonts w:ascii="Calibri Light" w:hAnsi="Calibri Light"/>
        </w:rPr>
        <w:t>, CVD costs</w:t>
      </w:r>
      <w:r w:rsidR="00C37257" w:rsidRPr="00A91D43">
        <w:rPr>
          <w:rFonts w:ascii="Calibri Light" w:hAnsi="Calibri Light"/>
        </w:rPr>
        <w:t xml:space="preserve"> (73%)</w:t>
      </w:r>
      <w:r w:rsidRPr="00A91D43">
        <w:rPr>
          <w:rFonts w:ascii="Calibri Light" w:hAnsi="Calibri Light"/>
        </w:rPr>
        <w:t xml:space="preserve"> and all costs</w:t>
      </w:r>
      <w:r w:rsidR="00C37257" w:rsidRPr="00A91D43">
        <w:rPr>
          <w:rFonts w:ascii="Calibri Light" w:hAnsi="Calibri Light"/>
        </w:rPr>
        <w:t xml:space="preserve"> (56%)</w:t>
      </w:r>
      <w:r w:rsidRPr="00A91D43">
        <w:rPr>
          <w:rFonts w:ascii="Calibri Light" w:hAnsi="Calibri Light"/>
        </w:rPr>
        <w:t xml:space="preserve">. </w:t>
      </w:r>
      <w:r w:rsidR="00B93421" w:rsidRPr="00A91D43">
        <w:rPr>
          <w:rFonts w:ascii="Calibri Light" w:hAnsi="Calibri Light"/>
        </w:rPr>
        <w:t>T</w:t>
      </w:r>
      <w:r w:rsidRPr="00A91D43">
        <w:rPr>
          <w:rFonts w:ascii="Calibri Light" w:hAnsi="Calibri Light"/>
        </w:rPr>
        <w:t xml:space="preserve">hese percentages reflect </w:t>
      </w:r>
      <w:r w:rsidR="00491027" w:rsidRPr="00A91D43">
        <w:rPr>
          <w:rFonts w:ascii="Calibri Light" w:hAnsi="Calibri Light"/>
        </w:rPr>
        <w:t xml:space="preserve">the distribution of net health benefit in the different scenarios where both the </w:t>
      </w:r>
      <w:r w:rsidR="00AD62FE" w:rsidRPr="00A91D43">
        <w:rPr>
          <w:rFonts w:ascii="Calibri Light" w:hAnsi="Calibri Light"/>
        </w:rPr>
        <w:t>location</w:t>
      </w:r>
      <w:r w:rsidR="00491027" w:rsidRPr="00A91D43">
        <w:rPr>
          <w:rFonts w:ascii="Calibri Light" w:hAnsi="Calibri Light"/>
        </w:rPr>
        <w:t xml:space="preserve"> and </w:t>
      </w:r>
      <w:r w:rsidR="00AD62FE" w:rsidRPr="00A91D43">
        <w:rPr>
          <w:rFonts w:ascii="Calibri Light" w:hAnsi="Calibri Light"/>
        </w:rPr>
        <w:t>dispersion</w:t>
      </w:r>
      <w:r w:rsidR="00491027" w:rsidRPr="00A91D43">
        <w:rPr>
          <w:rFonts w:ascii="Calibri Light" w:hAnsi="Calibri Light"/>
        </w:rPr>
        <w:t xml:space="preserve"> of the distributions is influenced by the choice of cost categories to be included.</w:t>
      </w:r>
    </w:p>
    <w:p w14:paraId="67341DE7" w14:textId="77777777" w:rsidR="0030713F" w:rsidRPr="00235A41" w:rsidRDefault="001962EE" w:rsidP="0030713F">
      <w:pPr>
        <w:pStyle w:val="Heading2"/>
      </w:pPr>
      <w:r>
        <w:t xml:space="preserve">4. </w:t>
      </w:r>
      <w:r w:rsidR="0030713F" w:rsidRPr="00235A41">
        <w:t>Discussion</w:t>
      </w:r>
    </w:p>
    <w:p w14:paraId="556C0973" w14:textId="77777777" w:rsidR="00466226" w:rsidRDefault="00466226" w:rsidP="003A2DE7">
      <w:pPr>
        <w:rPr>
          <w:rFonts w:ascii="Calibri Light" w:hAnsi="Calibri Light"/>
        </w:rPr>
      </w:pPr>
      <w:r>
        <w:rPr>
          <w:rFonts w:ascii="Calibri Light" w:hAnsi="Calibri Light"/>
        </w:rPr>
        <w:t xml:space="preserve">This paper </w:t>
      </w:r>
      <w:r w:rsidR="004A1B05">
        <w:rPr>
          <w:rFonts w:ascii="Calibri Light" w:hAnsi="Calibri Light"/>
        </w:rPr>
        <w:t>assesses the</w:t>
      </w:r>
      <w:r w:rsidRPr="00A91D43">
        <w:rPr>
          <w:rFonts w:ascii="Calibri Light" w:hAnsi="Calibri Light"/>
        </w:rPr>
        <w:t xml:space="preserve"> cost-effectiveness</w:t>
      </w:r>
      <w:r>
        <w:rPr>
          <w:rFonts w:ascii="Calibri Light" w:hAnsi="Calibri Light"/>
        </w:rPr>
        <w:t xml:space="preserve"> of a hypothetical intervention</w:t>
      </w:r>
      <w:r w:rsidR="004A1B05">
        <w:rPr>
          <w:rFonts w:ascii="Calibri Light" w:hAnsi="Calibri Light"/>
        </w:rPr>
        <w:t xml:space="preserve"> using a previously published model based on </w:t>
      </w:r>
      <w:r>
        <w:rPr>
          <w:rFonts w:ascii="Calibri Light" w:hAnsi="Calibri Light"/>
        </w:rPr>
        <w:t xml:space="preserve">'real world' data to </w:t>
      </w:r>
      <w:r w:rsidR="004A1B05">
        <w:rPr>
          <w:rFonts w:ascii="Calibri Light" w:hAnsi="Calibri Light"/>
        </w:rPr>
        <w:t>demonstrate</w:t>
      </w:r>
      <w:r>
        <w:rPr>
          <w:rFonts w:ascii="Calibri Light" w:hAnsi="Calibri Light"/>
        </w:rPr>
        <w:t xml:space="preserve"> that the inclusion of unrelated costs will affect both the mean</w:t>
      </w:r>
      <w:r w:rsidR="004A1B05">
        <w:rPr>
          <w:rFonts w:ascii="Calibri Light" w:hAnsi="Calibri Light"/>
        </w:rPr>
        <w:t xml:space="preserve"> incremental costs,</w:t>
      </w:r>
      <w:r>
        <w:rPr>
          <w:rFonts w:ascii="Calibri Light" w:hAnsi="Calibri Light"/>
        </w:rPr>
        <w:t xml:space="preserve"> ICER and decision uncertainty.</w:t>
      </w:r>
    </w:p>
    <w:p w14:paraId="2CB35526" w14:textId="68AABB73" w:rsidR="003A2DE7" w:rsidRPr="00A91D43" w:rsidRDefault="00B25C00" w:rsidP="003A2DE7">
      <w:pPr>
        <w:rPr>
          <w:rFonts w:ascii="Calibri Light" w:hAnsi="Calibri Light"/>
        </w:rPr>
      </w:pPr>
      <w:r w:rsidRPr="00A91D43">
        <w:rPr>
          <w:rFonts w:ascii="Calibri Light" w:hAnsi="Calibri Light"/>
        </w:rPr>
        <w:t xml:space="preserve">Unambiguously, </w:t>
      </w:r>
      <w:r w:rsidR="003A2DE7" w:rsidRPr="00A91D43">
        <w:rPr>
          <w:rFonts w:ascii="Calibri Light" w:hAnsi="Calibri Light"/>
        </w:rPr>
        <w:t>costs will be greater when more categories are included (give</w:t>
      </w:r>
      <w:r w:rsidR="00235A41" w:rsidRPr="00A91D43">
        <w:rPr>
          <w:rFonts w:ascii="Calibri Light" w:hAnsi="Calibri Light"/>
        </w:rPr>
        <w:t>n</w:t>
      </w:r>
      <w:r w:rsidR="003A2DE7" w:rsidRPr="00A91D43">
        <w:rPr>
          <w:rFonts w:ascii="Calibri Light" w:hAnsi="Calibri Light"/>
        </w:rPr>
        <w:t xml:space="preserve"> costs are </w:t>
      </w:r>
      <w:proofErr w:type="spellStart"/>
      <w:r w:rsidR="003A2DE7" w:rsidRPr="00A91D43">
        <w:rPr>
          <w:rFonts w:ascii="Calibri Light" w:hAnsi="Calibri Light"/>
        </w:rPr>
        <w:t>non negative</w:t>
      </w:r>
      <w:proofErr w:type="spellEnd"/>
      <w:r w:rsidR="003A2DE7" w:rsidRPr="00A91D43">
        <w:rPr>
          <w:rFonts w:ascii="Calibri Light" w:hAnsi="Calibri Light"/>
        </w:rPr>
        <w:t xml:space="preserve">). It is harder to predict how the different </w:t>
      </w:r>
      <w:r w:rsidR="00B93421" w:rsidRPr="00A91D43">
        <w:rPr>
          <w:rFonts w:ascii="Calibri Light" w:hAnsi="Calibri Light"/>
        </w:rPr>
        <w:t xml:space="preserve">cost category </w:t>
      </w:r>
      <w:r w:rsidR="003A2DE7" w:rsidRPr="00A91D43">
        <w:rPr>
          <w:rFonts w:ascii="Calibri Light" w:hAnsi="Calibri Light"/>
        </w:rPr>
        <w:t>scenarios will affect the estimated incremental costs that are required for economic evaluation. The treatment under consideration</w:t>
      </w:r>
      <w:r w:rsidR="00A075F8">
        <w:rPr>
          <w:rFonts w:ascii="Calibri Light" w:hAnsi="Calibri Light"/>
        </w:rPr>
        <w:t xml:space="preserve"> here</w:t>
      </w:r>
      <w:r w:rsidR="003A2DE7" w:rsidRPr="00A91D43">
        <w:rPr>
          <w:rFonts w:ascii="Calibri Light" w:hAnsi="Calibri Light"/>
        </w:rPr>
        <w:t xml:space="preserve"> reduces the risk of cardiovascular events, each with associated CHD, CVD and non-CVD costs, in normal years of life</w:t>
      </w:r>
      <w:r w:rsidR="00B4277A" w:rsidRPr="00A91D43">
        <w:rPr>
          <w:rFonts w:ascii="Calibri Light" w:hAnsi="Calibri Light"/>
        </w:rPr>
        <w:t xml:space="preserve"> (i.e. not extended years of life)</w:t>
      </w:r>
      <w:r w:rsidR="003A2DE7" w:rsidRPr="00A91D43">
        <w:rPr>
          <w:rFonts w:ascii="Calibri Light" w:hAnsi="Calibri Light"/>
        </w:rPr>
        <w:t>. Each of these events is potentially fatal, and so the treatment extends life. This distinction is important when thinking about the overall effect on incremental costs. In normal years of life, including more cost categories increases the magnitude of the cost savings that are brought about by the reduced risk of cardiovascular events.</w:t>
      </w:r>
      <w:r w:rsidR="003A2DE7" w:rsidRPr="00A91D43">
        <w:rPr>
          <w:rStyle w:val="FootnoteReference"/>
          <w:rFonts w:ascii="Calibri Light" w:hAnsi="Calibri Light"/>
        </w:rPr>
        <w:footnoteReference w:id="7"/>
      </w:r>
      <w:r w:rsidR="003A2DE7" w:rsidRPr="00A91D43">
        <w:rPr>
          <w:rFonts w:ascii="Calibri Light" w:hAnsi="Calibri Light"/>
        </w:rPr>
        <w:t xml:space="preserve"> However, including additional cost categories means greater costs in extended years of life resulting from the treatment. As such, these two effects offset one another to some extent.</w:t>
      </w:r>
      <w:r w:rsidR="00B4277A" w:rsidRPr="00A91D43">
        <w:rPr>
          <w:rStyle w:val="FootnoteReference"/>
          <w:rFonts w:ascii="Calibri Light" w:hAnsi="Calibri Light"/>
        </w:rPr>
        <w:footnoteReference w:id="8"/>
      </w:r>
      <w:r w:rsidR="003A2DE7" w:rsidRPr="00A91D43">
        <w:rPr>
          <w:rFonts w:ascii="Calibri Light" w:hAnsi="Calibri Light"/>
        </w:rPr>
        <w:t xml:space="preserve"> Therefore t</w:t>
      </w:r>
      <w:r w:rsidR="00235A41" w:rsidRPr="00A91D43">
        <w:rPr>
          <w:rFonts w:ascii="Calibri Light" w:hAnsi="Calibri Light"/>
        </w:rPr>
        <w:t>he overall effect is ambiguous.</w:t>
      </w:r>
      <w:r w:rsidR="00491027" w:rsidRPr="00A91D43">
        <w:rPr>
          <w:rFonts w:ascii="Calibri Light" w:hAnsi="Calibri Light"/>
        </w:rPr>
        <w:t xml:space="preserve"> Moving from only CHD costs to CVD costs reduces the mean incremental cost, because </w:t>
      </w:r>
      <w:r w:rsidR="00491027" w:rsidRPr="00A91D43">
        <w:rPr>
          <w:rFonts w:ascii="Calibri Light" w:hAnsi="Calibri Light"/>
        </w:rPr>
        <w:lastRenderedPageBreak/>
        <w:t>more cost savings (from reduced strokes</w:t>
      </w:r>
      <w:r w:rsidR="00AD62FE" w:rsidRPr="00A91D43">
        <w:rPr>
          <w:rFonts w:ascii="Calibri Light" w:hAnsi="Calibri Light"/>
        </w:rPr>
        <w:t>, for example</w:t>
      </w:r>
      <w:r w:rsidR="00491027" w:rsidRPr="00A91D43">
        <w:rPr>
          <w:rFonts w:ascii="Calibri Light" w:hAnsi="Calibri Light"/>
        </w:rPr>
        <w:t>) are captured during normal years of life than the additional incremental CVD costs captured in extended years of life resulting from the treatment. However, moving from either CHD costs only or CVD costs only to including all costs increases the incremental costs overall because the extended years of life effect outweighs the effect of capturing more savings during normal years of life.</w:t>
      </w:r>
      <w:r w:rsidR="006C25CD">
        <w:rPr>
          <w:rFonts w:ascii="Calibri Light" w:hAnsi="Calibri Light"/>
        </w:rPr>
        <w:t xml:space="preserve"> Unfortunately, </w:t>
      </w:r>
      <w:r w:rsidR="00A075F8">
        <w:rPr>
          <w:rFonts w:ascii="Calibri Light" w:hAnsi="Calibri Light"/>
        </w:rPr>
        <w:t>given the model used</w:t>
      </w:r>
      <w:r w:rsidR="006C25CD">
        <w:rPr>
          <w:rFonts w:ascii="Calibri Light" w:hAnsi="Calibri Light"/>
        </w:rPr>
        <w:t xml:space="preserve">, it is not possible to separate out these effects and only the joint effect is observable. However, </w:t>
      </w:r>
      <w:r w:rsidR="00A075F8">
        <w:rPr>
          <w:rFonts w:ascii="Calibri Light" w:hAnsi="Calibri Light"/>
        </w:rPr>
        <w:t>by considering</w:t>
      </w:r>
      <w:r w:rsidR="006C25CD">
        <w:rPr>
          <w:rFonts w:ascii="Calibri Light" w:hAnsi="Calibri Light"/>
        </w:rPr>
        <w:t xml:space="preserve"> shorter time horizons</w:t>
      </w:r>
      <w:r w:rsidR="00A075F8">
        <w:rPr>
          <w:rFonts w:ascii="Calibri Light" w:hAnsi="Calibri Light"/>
        </w:rPr>
        <w:t xml:space="preserve"> we can examine the relative impacts of costs in normal and extended years of life</w:t>
      </w:r>
      <w:r w:rsidR="006C25CD">
        <w:rPr>
          <w:rFonts w:ascii="Calibri Light" w:hAnsi="Calibri Light"/>
        </w:rPr>
        <w:t xml:space="preserve">. With a shorter time horizon the effect of </w:t>
      </w:r>
      <w:r w:rsidR="00C33C7D">
        <w:rPr>
          <w:rFonts w:ascii="Calibri Light" w:hAnsi="Calibri Light"/>
        </w:rPr>
        <w:t xml:space="preserve">costs in normal years of life is relatively more influential and so the direction of effect on cost-effectiveness of the ambiguous relationship between </w:t>
      </w:r>
      <w:proofErr w:type="gramStart"/>
      <w:r w:rsidR="00C33C7D">
        <w:rPr>
          <w:rFonts w:ascii="Calibri Light" w:hAnsi="Calibri Light"/>
        </w:rPr>
        <w:t>inclusion</w:t>
      </w:r>
      <w:proofErr w:type="gramEnd"/>
      <w:r w:rsidR="00C33C7D">
        <w:rPr>
          <w:rFonts w:ascii="Calibri Light" w:hAnsi="Calibri Light"/>
        </w:rPr>
        <w:t xml:space="preserve"> of broader cost categories may vary with time horizon. Indeed this is what is seen in our results. At very short time horizons, the incremental costs are on average higher when restrict to CHD costs only compared to including all cost categories.</w:t>
      </w:r>
      <w:r w:rsidR="00774672">
        <w:rPr>
          <w:rFonts w:ascii="Calibri Light" w:hAnsi="Calibri Light"/>
        </w:rPr>
        <w:t xml:space="preserve"> The variability of costs is higher for all costs than it is for CHD costs at all time horizons analysed. This would translate to greater decision uncertainty when including all costs, ceteris paribus, even when using short time horizons.</w:t>
      </w:r>
    </w:p>
    <w:p w14:paraId="76D65A82" w14:textId="77777777" w:rsidR="003A2DE7" w:rsidRPr="00A91D43" w:rsidRDefault="003A2DE7" w:rsidP="00466226">
      <w:pPr>
        <w:rPr>
          <w:rFonts w:ascii="Calibri Light" w:hAnsi="Calibri Light"/>
        </w:rPr>
      </w:pPr>
      <w:r w:rsidRPr="00A91D43">
        <w:rPr>
          <w:rFonts w:ascii="Calibri Light" w:hAnsi="Calibri Light"/>
        </w:rPr>
        <w:t xml:space="preserve">In addition to the effect on mean incremental costs, </w:t>
      </w:r>
      <w:r w:rsidR="00F3166C" w:rsidRPr="00A91D43">
        <w:rPr>
          <w:rFonts w:ascii="Calibri Light" w:hAnsi="Calibri Light"/>
        </w:rPr>
        <w:t>this paper also explores the</w:t>
      </w:r>
      <w:r w:rsidRPr="00A91D43">
        <w:rPr>
          <w:rFonts w:ascii="Calibri Light" w:hAnsi="Calibri Light"/>
        </w:rPr>
        <w:t xml:space="preserve"> effect that the different scenarios have on decision uncertainty. Again, this effect needs to be thought of as two separate underlying processes. The first of these is, when considering a technology that has positive incremental costs and incremental QALYs, the proximity of the mean incremental cost-effectiveness ratio (ICER) to the ‘cost-effectiveness threshold’ being used in the analysis.</w:t>
      </w:r>
      <w:r w:rsidRPr="00A91D43">
        <w:rPr>
          <w:rStyle w:val="FootnoteReference"/>
          <w:rFonts w:ascii="Calibri Light" w:hAnsi="Calibri Light"/>
          <w:vertAlign w:val="baseline"/>
        </w:rPr>
        <w:t xml:space="preserve"> </w:t>
      </w:r>
      <w:r w:rsidRPr="00A91D43">
        <w:rPr>
          <w:rStyle w:val="FootnoteReference"/>
          <w:rFonts w:ascii="Calibri Light" w:hAnsi="Calibri Light"/>
        </w:rPr>
        <w:footnoteReference w:id="9"/>
      </w:r>
      <w:r w:rsidRPr="00A91D43">
        <w:rPr>
          <w:rFonts w:ascii="Calibri Light" w:hAnsi="Calibri Light"/>
        </w:rPr>
        <w:t xml:space="preserve"> When the ICER is close to the ‘cost-effectiveness threshold’, ceteris paribus, then it is more likely that the decision is going to be uncertain. The other factor is the </w:t>
      </w:r>
      <w:r w:rsidR="00AD62FE" w:rsidRPr="00A91D43">
        <w:rPr>
          <w:rFonts w:ascii="Calibri Light" w:hAnsi="Calibri Light"/>
        </w:rPr>
        <w:t>uncertainty</w:t>
      </w:r>
      <w:r w:rsidRPr="00A91D43">
        <w:rPr>
          <w:rFonts w:ascii="Calibri Light" w:hAnsi="Calibri Light"/>
        </w:rPr>
        <w:t xml:space="preserve"> of the estimated </w:t>
      </w:r>
      <w:r w:rsidR="00AD62FE" w:rsidRPr="00A91D43">
        <w:rPr>
          <w:rFonts w:ascii="Calibri Light" w:hAnsi="Calibri Light"/>
        </w:rPr>
        <w:t>ICER (in this case driven by the variability in incremental costs)</w:t>
      </w:r>
      <w:r w:rsidRPr="00A91D43">
        <w:rPr>
          <w:rFonts w:ascii="Calibri Light" w:hAnsi="Calibri Light"/>
        </w:rPr>
        <w:t xml:space="preserve">. The </w:t>
      </w:r>
      <w:r w:rsidR="00AD62FE" w:rsidRPr="00A91D43">
        <w:rPr>
          <w:rFonts w:ascii="Calibri Light" w:hAnsi="Calibri Light"/>
        </w:rPr>
        <w:t>variabili</w:t>
      </w:r>
      <w:r w:rsidR="00C0015D" w:rsidRPr="00A91D43">
        <w:rPr>
          <w:rFonts w:ascii="Calibri Light" w:hAnsi="Calibri Light"/>
        </w:rPr>
        <w:t>ty</w:t>
      </w:r>
      <w:r w:rsidRPr="00A91D43">
        <w:rPr>
          <w:rFonts w:ascii="Calibri Light" w:hAnsi="Calibri Light"/>
        </w:rPr>
        <w:t xml:space="preserve"> of costs (and incremental costs) </w:t>
      </w:r>
      <w:r w:rsidR="00C0015D" w:rsidRPr="00A91D43">
        <w:rPr>
          <w:rFonts w:ascii="Calibri Light" w:hAnsi="Calibri Light"/>
        </w:rPr>
        <w:t>is likely to</w:t>
      </w:r>
      <w:r w:rsidRPr="00A91D43">
        <w:rPr>
          <w:rFonts w:ascii="Calibri Light" w:hAnsi="Calibri Light"/>
        </w:rPr>
        <w:t xml:space="preserve"> increase with the addition of cost categories, </w:t>
      </w:r>
      <w:r w:rsidR="00C0015D" w:rsidRPr="00A91D43">
        <w:rPr>
          <w:rFonts w:ascii="Calibri Light" w:hAnsi="Calibri Light"/>
        </w:rPr>
        <w:t>unless a negative correlation</w:t>
      </w:r>
      <w:r w:rsidR="00602352" w:rsidRPr="00A91D43">
        <w:rPr>
          <w:rFonts w:ascii="Calibri Light" w:hAnsi="Calibri Light"/>
        </w:rPr>
        <w:t xml:space="preserve"> exists</w:t>
      </w:r>
      <w:r w:rsidR="00C0015D" w:rsidRPr="00A91D43">
        <w:rPr>
          <w:rFonts w:ascii="Calibri Light" w:hAnsi="Calibri Light"/>
        </w:rPr>
        <w:t xml:space="preserve"> between </w:t>
      </w:r>
      <w:r w:rsidR="009A3529" w:rsidRPr="00A91D43">
        <w:rPr>
          <w:rFonts w:ascii="Calibri Light" w:hAnsi="Calibri Light"/>
        </w:rPr>
        <w:t>the costs within the narrower category and those</w:t>
      </w:r>
      <w:r w:rsidR="00602352" w:rsidRPr="00A91D43">
        <w:rPr>
          <w:rFonts w:ascii="Calibri Light" w:hAnsi="Calibri Light"/>
        </w:rPr>
        <w:t xml:space="preserve"> only</w:t>
      </w:r>
      <w:r w:rsidR="009A3529" w:rsidRPr="00A91D43">
        <w:rPr>
          <w:rFonts w:ascii="Calibri Light" w:hAnsi="Calibri Light"/>
        </w:rPr>
        <w:t xml:space="preserve"> within the broader category</w:t>
      </w:r>
      <w:r w:rsidR="00C0015D" w:rsidRPr="00A91D43">
        <w:rPr>
          <w:rFonts w:ascii="Calibri Light" w:hAnsi="Calibri Light"/>
        </w:rPr>
        <w:t xml:space="preserve">. </w:t>
      </w:r>
    </w:p>
    <w:p w14:paraId="185B26EA" w14:textId="510666EE" w:rsidR="00072219" w:rsidRPr="00A91D43" w:rsidRDefault="00833C67" w:rsidP="00072219">
      <w:pPr>
        <w:rPr>
          <w:rFonts w:ascii="Calibri Light" w:hAnsi="Calibri Light"/>
        </w:rPr>
      </w:pPr>
      <w:r>
        <w:rPr>
          <w:rFonts w:ascii="Calibri Light" w:hAnsi="Calibri Light"/>
        </w:rPr>
        <w:t>Where there is no extension of life effect from a treatment, i</w:t>
      </w:r>
      <w:r w:rsidR="0091779F" w:rsidRPr="00A91D43">
        <w:rPr>
          <w:rFonts w:ascii="Calibri Light" w:hAnsi="Calibri Light"/>
        </w:rPr>
        <w:t xml:space="preserve">ncluding unrelated costs </w:t>
      </w:r>
      <w:r>
        <w:rPr>
          <w:rFonts w:ascii="Calibri Light" w:hAnsi="Calibri Light"/>
        </w:rPr>
        <w:t>will</w:t>
      </w:r>
      <w:r w:rsidR="00072219" w:rsidRPr="00A91D43">
        <w:rPr>
          <w:rFonts w:ascii="Calibri Light" w:hAnsi="Calibri Light"/>
        </w:rPr>
        <w:t xml:space="preserve"> not affect the mean ICER</w:t>
      </w:r>
      <w:r>
        <w:rPr>
          <w:rFonts w:ascii="Calibri Light" w:hAnsi="Calibri Light"/>
        </w:rPr>
        <w:t>, in expectation,</w:t>
      </w:r>
      <w:r w:rsidR="009A3529" w:rsidRPr="00A91D43">
        <w:rPr>
          <w:rFonts w:ascii="Calibri Light" w:hAnsi="Calibri Light"/>
        </w:rPr>
        <w:t xml:space="preserve"> as these additional costs would be the same </w:t>
      </w:r>
      <w:r w:rsidR="00AD62FE" w:rsidRPr="00A91D43">
        <w:rPr>
          <w:rFonts w:ascii="Calibri Light" w:hAnsi="Calibri Light"/>
        </w:rPr>
        <w:t xml:space="preserve">on average </w:t>
      </w:r>
      <w:r w:rsidR="009A3529" w:rsidRPr="00A91D43">
        <w:rPr>
          <w:rFonts w:ascii="Calibri Light" w:hAnsi="Calibri Light"/>
        </w:rPr>
        <w:t>regardless of treatment received</w:t>
      </w:r>
      <w:r>
        <w:rPr>
          <w:rFonts w:ascii="Calibri Light" w:hAnsi="Calibri Light"/>
        </w:rPr>
        <w:t>. Decision uncertainty, however, will be affected</w:t>
      </w:r>
      <w:r w:rsidR="00072219" w:rsidRPr="00A91D43">
        <w:rPr>
          <w:rFonts w:ascii="Calibri Light" w:hAnsi="Calibri Light"/>
        </w:rPr>
        <w:t xml:space="preserve"> given the variability of costs. As such, under these circumstances, the addition of truly unre</w:t>
      </w:r>
      <w:r w:rsidR="00AE1F4B" w:rsidRPr="00A91D43">
        <w:rPr>
          <w:rFonts w:ascii="Calibri Light" w:hAnsi="Calibri Light"/>
        </w:rPr>
        <w:t>lated costs amounts to adding</w:t>
      </w:r>
      <w:r w:rsidR="00072219" w:rsidRPr="00A91D43">
        <w:rPr>
          <w:rFonts w:ascii="Calibri Light" w:hAnsi="Calibri Light"/>
        </w:rPr>
        <w:t xml:space="preserve"> noise</w:t>
      </w:r>
      <w:r w:rsidR="009A3529" w:rsidRPr="00A91D43">
        <w:rPr>
          <w:rFonts w:ascii="Calibri Light" w:hAnsi="Calibri Light"/>
        </w:rPr>
        <w:t xml:space="preserve"> and increased variability</w:t>
      </w:r>
      <w:r w:rsidR="00072219" w:rsidRPr="00A91D43">
        <w:rPr>
          <w:rFonts w:ascii="Calibri Light" w:hAnsi="Calibri Light"/>
        </w:rPr>
        <w:t xml:space="preserve"> into the model.</w:t>
      </w:r>
    </w:p>
    <w:p w14:paraId="7BF091E1" w14:textId="77777777" w:rsidR="00072219" w:rsidRPr="00A91D43" w:rsidRDefault="009A3529" w:rsidP="00072219">
      <w:pPr>
        <w:rPr>
          <w:rFonts w:ascii="Calibri Light" w:hAnsi="Calibri Light"/>
        </w:rPr>
      </w:pPr>
      <w:r w:rsidRPr="00A91D43">
        <w:rPr>
          <w:rFonts w:ascii="Calibri Light" w:hAnsi="Calibri Light"/>
        </w:rPr>
        <w:t>Adding noise and variability can lead to greater uncertainty and t</w:t>
      </w:r>
      <w:r w:rsidR="00072219" w:rsidRPr="00A91D43">
        <w:rPr>
          <w:rFonts w:ascii="Calibri Light" w:hAnsi="Calibri Light"/>
        </w:rPr>
        <w:t xml:space="preserve">here are two reasons why this might be a concern. The first is that there will be reduced power </w:t>
      </w:r>
      <w:r w:rsidR="00F3166C" w:rsidRPr="00A91D43">
        <w:rPr>
          <w:rFonts w:ascii="Calibri Light" w:hAnsi="Calibri Light"/>
        </w:rPr>
        <w:t>to detect</w:t>
      </w:r>
      <w:r w:rsidR="00072219" w:rsidRPr="00A91D43">
        <w:rPr>
          <w:rFonts w:ascii="Calibri Light" w:hAnsi="Calibri Light"/>
        </w:rPr>
        <w:t xml:space="preserve"> a statistically significant effect</w:t>
      </w:r>
      <w:r w:rsidR="00AD62FE" w:rsidRPr="00A91D43">
        <w:rPr>
          <w:rFonts w:ascii="Calibri Light" w:hAnsi="Calibri Light"/>
        </w:rPr>
        <w:t>, since standard errors will increase</w:t>
      </w:r>
      <w:r w:rsidR="00072219" w:rsidRPr="00A91D43">
        <w:rPr>
          <w:rFonts w:ascii="Calibri Light" w:hAnsi="Calibri Light"/>
        </w:rPr>
        <w:t xml:space="preserve">. The second concern, more prevalent within health economic evaluation, is that the decision uncertainty will be inflated and so </w:t>
      </w:r>
      <w:r w:rsidR="00AE1F4B" w:rsidRPr="00A91D43">
        <w:rPr>
          <w:rFonts w:ascii="Calibri Light" w:hAnsi="Calibri Light"/>
        </w:rPr>
        <w:t>reducing</w:t>
      </w:r>
      <w:r w:rsidR="00072219" w:rsidRPr="00A91D43">
        <w:rPr>
          <w:rFonts w:ascii="Calibri Light" w:hAnsi="Calibri Light"/>
        </w:rPr>
        <w:t xml:space="preserve"> the probability of making the right decision. Of course, the analyst will never know what is tru</w:t>
      </w:r>
      <w:r w:rsidRPr="00A91D43">
        <w:rPr>
          <w:rFonts w:ascii="Calibri Light" w:hAnsi="Calibri Light"/>
        </w:rPr>
        <w:t xml:space="preserve">ly related and truly unrelated </w:t>
      </w:r>
      <w:r w:rsidR="00072219" w:rsidRPr="00A91D43">
        <w:rPr>
          <w:rFonts w:ascii="Calibri Light" w:hAnsi="Calibri Light"/>
        </w:rPr>
        <w:t>and so identifying something as noise,</w:t>
      </w:r>
      <w:r w:rsidRPr="00A91D43">
        <w:rPr>
          <w:rFonts w:ascii="Calibri Light" w:hAnsi="Calibri Light"/>
        </w:rPr>
        <w:t xml:space="preserve"> with certainty, is impossible.</w:t>
      </w:r>
      <w:r w:rsidR="00AE1F4B" w:rsidRPr="00A91D43">
        <w:rPr>
          <w:rFonts w:ascii="Calibri Light" w:hAnsi="Calibri Light"/>
        </w:rPr>
        <w:t xml:space="preserve"> </w:t>
      </w:r>
      <w:r w:rsidR="00F3166C" w:rsidRPr="00A91D43">
        <w:rPr>
          <w:rFonts w:ascii="Calibri Light" w:hAnsi="Calibri Light"/>
        </w:rPr>
        <w:t xml:space="preserve">This is not to say </w:t>
      </w:r>
      <w:r w:rsidR="00AE1F4B" w:rsidRPr="00A91D43">
        <w:rPr>
          <w:rFonts w:ascii="Calibri Light" w:hAnsi="Calibri Light"/>
        </w:rPr>
        <w:t>that unrelated costs should n</w:t>
      </w:r>
      <w:r w:rsidR="004570C0" w:rsidRPr="00A91D43">
        <w:rPr>
          <w:rFonts w:ascii="Calibri Light" w:hAnsi="Calibri Light"/>
        </w:rPr>
        <w:t>ever</w:t>
      </w:r>
      <w:r w:rsidR="00AE1F4B" w:rsidRPr="00A91D43">
        <w:rPr>
          <w:rFonts w:ascii="Calibri Light" w:hAnsi="Calibri Light"/>
        </w:rPr>
        <w:t xml:space="preserve"> be included</w:t>
      </w:r>
      <w:r w:rsidR="004570C0" w:rsidRPr="00A91D43">
        <w:rPr>
          <w:rFonts w:ascii="Calibri Light" w:hAnsi="Calibri Light"/>
        </w:rPr>
        <w:t xml:space="preserve"> because of the potential of introducing noise</w:t>
      </w:r>
      <w:r w:rsidR="00AE1F4B" w:rsidRPr="00A91D43">
        <w:rPr>
          <w:rFonts w:ascii="Calibri Light" w:hAnsi="Calibri Light"/>
        </w:rPr>
        <w:t xml:space="preserve">, but </w:t>
      </w:r>
      <w:r w:rsidR="00F3166C" w:rsidRPr="00A91D43">
        <w:rPr>
          <w:rFonts w:ascii="Calibri Light" w:hAnsi="Calibri Light"/>
        </w:rPr>
        <w:t xml:space="preserve">it is important to consider the implications of </w:t>
      </w:r>
      <w:r w:rsidR="00AE1F4B" w:rsidRPr="00A91D43">
        <w:rPr>
          <w:rFonts w:ascii="Calibri Light" w:hAnsi="Calibri Light"/>
        </w:rPr>
        <w:t>adding in what might be truly unrelated costs, in normal years of life</w:t>
      </w:r>
      <w:r w:rsidR="00F3166C" w:rsidRPr="00A91D43">
        <w:rPr>
          <w:rFonts w:ascii="Calibri Light" w:hAnsi="Calibri Light"/>
        </w:rPr>
        <w:t xml:space="preserve">. This issue </w:t>
      </w:r>
      <w:r w:rsidR="00AE1F4B" w:rsidRPr="00A91D43">
        <w:rPr>
          <w:rFonts w:ascii="Calibri Light" w:hAnsi="Calibri Light"/>
        </w:rPr>
        <w:t>has been overlooked in the literature on this topic to date.</w:t>
      </w:r>
    </w:p>
    <w:p w14:paraId="571971C1" w14:textId="4A8E7AF7" w:rsidR="00072219" w:rsidRPr="00A91D43" w:rsidRDefault="00072219" w:rsidP="002A4475">
      <w:pPr>
        <w:rPr>
          <w:rFonts w:ascii="Calibri Light" w:hAnsi="Calibri Light"/>
        </w:rPr>
      </w:pPr>
      <w:r w:rsidRPr="00A91D43">
        <w:rPr>
          <w:rFonts w:ascii="Calibri Light" w:hAnsi="Calibri Light"/>
        </w:rPr>
        <w:t xml:space="preserve">As discussed above there is reason to </w:t>
      </w:r>
      <w:r w:rsidR="00AE1F4B" w:rsidRPr="00A91D43">
        <w:rPr>
          <w:rFonts w:ascii="Calibri Light" w:hAnsi="Calibri Light"/>
        </w:rPr>
        <w:t>caution against</w:t>
      </w:r>
      <w:r w:rsidRPr="00A91D43">
        <w:rPr>
          <w:rFonts w:ascii="Calibri Light" w:hAnsi="Calibri Light"/>
        </w:rPr>
        <w:t xml:space="preserve"> including unrelated costs</w:t>
      </w:r>
      <w:r w:rsidR="00AE1F4B" w:rsidRPr="00A91D43">
        <w:rPr>
          <w:rFonts w:ascii="Calibri Light" w:hAnsi="Calibri Light"/>
        </w:rPr>
        <w:t xml:space="preserve"> in some cases where there is no (or little) mortality effect</w:t>
      </w:r>
      <w:r w:rsidRPr="00A91D43">
        <w:rPr>
          <w:rFonts w:ascii="Calibri Light" w:hAnsi="Calibri Light"/>
        </w:rPr>
        <w:t xml:space="preserve">. In addition, obtaining data on unrelated costs may not be without cost to the analyst, especially obtaining data that are both very unlikely to be related and are realised many years in the future – although this may be getting less costly with time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"10.1002/hec.3138", "ISSN" : "10579230", "author" : [ { "dropping-particle" : "", "family" : "Baal", "given" : "Pieter", "non-dropping-particle" : "van", "parse-names" : false, "suffix" : "" }, { "dropping-particle" : "", "family" : "Meltzer", "given" : "David", "non-dropping-particle" : "", "parse-names" : false, "suffix" : "" }, { "dropping-particle" : "", "family" : "Brouwer", "given" : "Werner", "non-dropping-particle" : "", "parse-names" : false, "suffix" : "" } ], "container-title" : "Health Economics", "id" : "ITEM-1", "issue" : "2", "issued" : { "date-parts" : [ [ "2016", "2" ] ] }, "page" : "237-248", "title" : "Future Costs, Fixed Healthcare Budgets, and the Decision Rules of Cost-Effectiveness Analysis", "type" : "article-journal", "volume" : "25" }, "uris" : [ "http://www.mendeley.com/documents/?uuid=603b2b55-aa71-3405-a78d-438de75f8884" ] } ], "mendeley" : { "formattedCitation" : "(4)", "plainTextFormattedCitation" : "(4)", "previouslyFormattedCitation" : "(4)" }, "properties" : {  }, "schema" : "https://github.com/citation-style-language/schema/raw/master/csl-citation.json" }</w:instrText>
      </w:r>
      <w:r w:rsidR="00CF09D0" w:rsidRPr="00A91D43">
        <w:rPr>
          <w:rFonts w:ascii="Calibri Light" w:hAnsi="Calibri Light"/>
        </w:rPr>
        <w:fldChar w:fldCharType="separate"/>
      </w:r>
      <w:r w:rsidR="007A1581" w:rsidRPr="00A91D43">
        <w:rPr>
          <w:rFonts w:ascii="Calibri Light" w:hAnsi="Calibri Light"/>
          <w:noProof/>
        </w:rPr>
        <w:t>(4)</w:t>
      </w:r>
      <w:r w:rsidR="00CF09D0" w:rsidRPr="00A91D43">
        <w:rPr>
          <w:rFonts w:ascii="Calibri Light" w:hAnsi="Calibri Light"/>
        </w:rPr>
        <w:fldChar w:fldCharType="end"/>
      </w:r>
      <w:r w:rsidR="00AE1F4B" w:rsidRPr="00A91D43">
        <w:rPr>
          <w:rFonts w:ascii="Calibri Light" w:hAnsi="Calibri Light"/>
        </w:rPr>
        <w:t xml:space="preserve"> with a </w:t>
      </w:r>
      <w:r w:rsidR="00AE1F4B" w:rsidRPr="00A91D43">
        <w:rPr>
          <w:rFonts w:ascii="Calibri Light" w:hAnsi="Calibri Light"/>
        </w:rPr>
        <w:lastRenderedPageBreak/>
        <w:t>growing number of sources exist that can be used to provide data for unrelated costs in extended years of life across a number of different countries</w:t>
      </w:r>
      <w:r w:rsidR="00CF5DB8"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"10.1097/00005650-200006000-00009", "ISSN" : "0025-7079", "author" : [ { "dropping-particle" : "", "family" : "Meltzer", "given" : "David", "non-dropping-particle" : "", "parse-names" : false, "suffix" : "" }, { "dropping-particle" : "", "family" : "Egleston", "given" : "Brian", "non-dropping-particle" : "", "parse-names" : false, "suffix" : "" }, { "dropping-particle" : "", "family" : "Stoffel", "given" : "David", "non-dropping-particle" : "", "parse-names" : false, "suffix" : "" }, { "dropping-particle" : "", "family" : "Dasbach", "given" : "Erik", "non-dropping-particle" : "", "parse-names" : false, "suffix" : "" } ], "container-title" : "Medical Care", "id" : "ITEM-1", "issue" : "6", "issued" : { "date-parts" : [ [ "2000", "6" ] ] }, "page" : "679-685", "title" : "Effect of Future Costs on Cost-Effectiveness of Medical Interventions Among Young Adults", "type" : "article-journal", "volume" : "38" }, "uris" : [ "http://www.mendeley.com/documents/?uuid=47a51d41-af2e-3788-829c-39f6baf87363" ] }, { "id" : "ITEM-2", "itemData" : { "DOI" : "10.1002/hec.790", "ISSN" : "1057-9230", "author" : [ { "dropping-particle" : "", "family" : "Manns", "given" : "Braden", "non-dropping-particle" : "", "parse-names" : false, "suffix" : "" }, { "dropping-particle" : "", "family" : "Meltzer", "given" : "David", "non-dropping-particle" : "", "parse-names" : false, "suffix" : "" }, { "dropping-particle" : "", "family" : "Taub", "given" : "Ken", "non-dropping-particle" : "", "parse-names" : false, "suffix" : "" }, { "dropping-particle" : "", "family" : "Donaldson", "given" : "Cam", "non-dropping-particle" : "", "parse-names" : false, "suffix" : "" } ], "container-title" : "Health Economics", "id" : "ITEM-2", "issue" : "11", "issued" : { "date-parts" : [ [ "2003", "11" ] ] }, "page" : "949-958", "title" : "Illustrating the impact of including future costs in economic evaluations: an application to end-stage renal disease care", "type" : "article-journal", "volume" : "12" }, "uris" : [ "http://www.mendeley.com/documents/?uuid=06c36835-84c4-3e2e-9d61-63e5050dc86d" ] }, { "id" : "ITEM-3", "itemData" : { "DOI" : "10.1007/s10198-010-0280-0", "ISSN" : "1618-7598", "author" : [ { "dropping-particle" : "", "family" : "Kruse", "given" : "Marie", "non-dropping-particle" : "", "parse-names" : false, "suffix" : "" }, { "dropping-particle" : "", "family" : "S\u00f8rensen", "given" : "Jan", "non-dropping-particle" : "", "parse-names" : false, "suffix" : "" }, { "dropping-particle" : "", "family" : "Gyrd-Hansen", "given" : "Dorte", "non-dropping-particle" : "", "parse-names" : false, "suffix" : "" } ], "container-title" : "The European Journal of Health Economics", "id" : "ITEM-3", "issue" : "1", "issued" : { "date-parts" : [ [ "2012", "2", "28" ] ] }, "page" : "63-70", "title" : "Future costs in cost-effectiveness analysis: an empirical assessment", "type" : "article-journal", "volume" : "13" }, "uris" : [ "http://www.mendeley.com/documents/?uuid=5002a3b1-66b1-3df3-b3f8-7e9b129515f4" ] }, { "id" : "ITEM-4", "itemData" : { "DOI" : "10.2165/11586130-000000000-00000", "ISSN" : "1170-7690", "author" : [ { "dropping-particle" : "", "family" : "Baal", "given" : "Pieter H.M.", "non-dropping-particle" : "van", "parse-names" : false, "suffix" : "" }, { "dropping-particle" : "", "family" : "Wong", "given" : "Albert", "non-dropping-particle" : "", "parse-names" : false, "suffix" : "" }, { "dropping-particle" : "", "family" : "Slobbe", "given" : "Laurentius C.J.", "non-dropping-particle" : "", "parse-names" : false, "suffix" : "" }, { "dropping-particle" : "", "family" : "Polder", "given" : "Johan J.", "non-dropping-particle" : "", "parse-names" : false, "suffix" : "" }, { "dropping-particle" : "", "family" : "Brouwer", "given" : "Werner B.F.", "non-dropping-particle" : "", "parse-names" : false, "suffix" : "" }, { "dropping-particle" : "", "family" : "Wit", "given" : "G. Ardine", "non-dropping-particle" : "de", "parse-names" : false, "suffix" : "" } ], "container-title" : "PharmacoEconomics", "id" : "ITEM-4", "issue" : "3", "issued" : { "date-parts" : [ [ "2011", "3" ] ] }, "page" : "175-187", "publisher" : "Springer International Publishing", "title" : "Standardizing the Inclusion of Indirect Medical Costs in Economic Evaluations", "type" : "article-journal", "volume" : "29" }, "uris" : [ "http://www.mendeley.com/documents/?uuid=0c2b87d7-1fca-3dfb-bf26-6bd383c1d7da" ] }, { "id" : "ITEM-5", "itemData" : { "author" : [ { "dropping-particle" : "", "family" : "Asaria", "given" : "Miqdad", "non-dropping-particle" : "", "parse-names" : false, "suffix" : "" } ], "container-title" : "CHE Research Paper", "id" : "ITEM-5", "issue" : "147", "issued" : { "date-parts" : [ [ "2017" ] ] }, "title" : "Health care costs in the English NHS : reference tables for average annual NHS spend by age, sex and deprivation group.", "type" : "article-journal" }, "uris" : [ "http://www.mendeley.com/documents/?uuid=12100547-19f9-3bea-a273-3749bd422606" ] } ], "mendeley" : { "formattedCitation" : "(30\u201334)", "plainTextFormattedCitation" : "(30\u201334)", "previouslyFormattedCitation" : "(30\u201334)" }, "properties" : {  }, "schema" : "https://github.com/citation-style-language/schema/raw/master/csl-citation.json" }</w:instrText>
      </w:r>
      <w:r w:rsidR="00CF09D0" w:rsidRPr="00A91D43">
        <w:rPr>
          <w:rFonts w:ascii="Calibri Light" w:hAnsi="Calibri Light"/>
        </w:rPr>
        <w:fldChar w:fldCharType="separate"/>
      </w:r>
      <w:r w:rsidR="007A0CB0" w:rsidRPr="007A0CB0">
        <w:rPr>
          <w:rFonts w:ascii="Calibri Light" w:hAnsi="Calibri Light"/>
          <w:noProof/>
        </w:rPr>
        <w:t>(30–34)</w:t>
      </w:r>
      <w:r w:rsidR="00CF09D0" w:rsidRPr="00A91D43">
        <w:rPr>
          <w:rFonts w:ascii="Calibri Light" w:hAnsi="Calibri Light"/>
        </w:rPr>
        <w:fldChar w:fldCharType="end"/>
      </w:r>
      <w:r w:rsidRPr="00A91D43">
        <w:rPr>
          <w:rFonts w:ascii="Calibri Light" w:hAnsi="Calibri Light"/>
        </w:rPr>
        <w:t>.</w:t>
      </w:r>
    </w:p>
    <w:p w14:paraId="062DCD1D" w14:textId="03DED19E" w:rsidR="002A4475" w:rsidRPr="00A91D43" w:rsidRDefault="002A4475" w:rsidP="002A4475">
      <w:pPr>
        <w:rPr>
          <w:rFonts w:ascii="Calibri Light" w:hAnsi="Calibri Light"/>
        </w:rPr>
      </w:pPr>
      <w:r w:rsidRPr="00A91D43">
        <w:rPr>
          <w:rFonts w:ascii="Calibri Light" w:hAnsi="Calibri Light"/>
        </w:rPr>
        <w:t xml:space="preserve">Lack of appropriate and robust data will be an issue in many circumstances. Experimental evidence typically does not have a sufficiently long time horizon to identify the occurrence of all future </w:t>
      </w:r>
      <w:r w:rsidR="00DD42E3" w:rsidRPr="00A91D43">
        <w:rPr>
          <w:rFonts w:ascii="Calibri Light" w:hAnsi="Calibri Light"/>
        </w:rPr>
        <w:t xml:space="preserve">related and </w:t>
      </w:r>
      <w:r w:rsidRPr="00A91D43">
        <w:rPr>
          <w:rFonts w:ascii="Calibri Light" w:hAnsi="Calibri Light"/>
        </w:rPr>
        <w:t>unrelated events and their associated costs. As an alternative the use of observational data from administrative sources is becoming increasingly prevalent and is well-suited to estimate parameters with large numbers of observations. Observational data is typically collected over a longer period of time, however by design it is not as robust as randomised trial data</w:t>
      </w:r>
      <w:r w:rsidR="00833C67">
        <w:rPr>
          <w:rFonts w:ascii="Calibri Light" w:hAnsi="Calibri Light"/>
        </w:rPr>
        <w:t xml:space="preserve"> when it comes to </w:t>
      </w:r>
      <w:r w:rsidR="00EF3A87">
        <w:rPr>
          <w:rFonts w:ascii="Calibri Light" w:hAnsi="Calibri Light"/>
        </w:rPr>
        <w:t>estimating the incremental cost caused by treatment</w:t>
      </w:r>
      <w:r w:rsidRPr="00A91D43">
        <w:rPr>
          <w:rFonts w:ascii="Calibri Light" w:hAnsi="Calibri Light"/>
        </w:rPr>
        <w:t>, with potential bias coming from unobserved confounding and selection effects. With both RCT and observational evidence there is the issue of sufficient brea</w:t>
      </w:r>
      <w:r w:rsidR="00CD2388" w:rsidRPr="00A91D43">
        <w:rPr>
          <w:rFonts w:ascii="Calibri Light" w:hAnsi="Calibri Light"/>
        </w:rPr>
        <w:t>d</w:t>
      </w:r>
      <w:r w:rsidRPr="00A91D43">
        <w:rPr>
          <w:rFonts w:ascii="Calibri Light" w:hAnsi="Calibri Light"/>
        </w:rPr>
        <w:t xml:space="preserve">th of study design </w:t>
      </w:r>
      <w:r w:rsidR="00CD2388" w:rsidRPr="00A91D43">
        <w:rPr>
          <w:rFonts w:ascii="Calibri Light" w:hAnsi="Calibri Light"/>
        </w:rPr>
        <w:t>to identify all related and unrelated</w:t>
      </w:r>
      <w:r w:rsidRPr="00A91D43">
        <w:rPr>
          <w:rFonts w:ascii="Calibri Light" w:hAnsi="Calibri Light"/>
        </w:rPr>
        <w:t xml:space="preserve"> costs. By very nature such studies would be unlikely to </w:t>
      </w:r>
      <w:r w:rsidR="00F3166C" w:rsidRPr="00A91D43">
        <w:rPr>
          <w:rFonts w:ascii="Calibri Light" w:hAnsi="Calibri Light"/>
        </w:rPr>
        <w:t xml:space="preserve">be </w:t>
      </w:r>
      <w:r w:rsidRPr="00A91D43">
        <w:rPr>
          <w:rFonts w:ascii="Calibri Light" w:hAnsi="Calibri Light"/>
        </w:rPr>
        <w:t>focussed on collecting events unrelat</w:t>
      </w:r>
      <w:r w:rsidR="00072219" w:rsidRPr="00A91D43">
        <w:rPr>
          <w:rFonts w:ascii="Calibri Light" w:hAnsi="Calibri Light"/>
        </w:rPr>
        <w:t>ed to the primary intervention</w:t>
      </w:r>
      <w:r w:rsidRPr="00A91D43">
        <w:rPr>
          <w:rFonts w:ascii="Calibri Light" w:hAnsi="Calibri Light"/>
        </w:rPr>
        <w:t xml:space="preserve"> and as such data collection would have to be sufficiently flexible or broad to capture all </w:t>
      </w:r>
      <w:r w:rsidR="00CD2388" w:rsidRPr="00A91D43">
        <w:rPr>
          <w:rFonts w:ascii="Calibri Light" w:hAnsi="Calibri Light"/>
        </w:rPr>
        <w:t>costs</w:t>
      </w:r>
      <w:r w:rsidRPr="00A91D43">
        <w:rPr>
          <w:rFonts w:ascii="Calibri Light" w:hAnsi="Calibri Light"/>
        </w:rPr>
        <w:t xml:space="preserve"> (related and unrelated). Routine data sources</w:t>
      </w:r>
      <w:r w:rsidR="00C34228">
        <w:rPr>
          <w:rFonts w:ascii="Calibri Light" w:hAnsi="Calibri Light"/>
        </w:rPr>
        <w:t xml:space="preserve">, such as HES in the UK context, which </w:t>
      </w:r>
      <w:r w:rsidRPr="00A91D43">
        <w:rPr>
          <w:rFonts w:ascii="Calibri Light" w:hAnsi="Calibri Light"/>
        </w:rPr>
        <w:t xml:space="preserve">capture all health care related interventions and hospital </w:t>
      </w:r>
      <w:proofErr w:type="gramStart"/>
      <w:r w:rsidRPr="00A91D43">
        <w:rPr>
          <w:rFonts w:ascii="Calibri Light" w:hAnsi="Calibri Light"/>
        </w:rPr>
        <w:t>visits</w:t>
      </w:r>
      <w:proofErr w:type="gramEnd"/>
      <w:r w:rsidRPr="00A91D43">
        <w:rPr>
          <w:rFonts w:ascii="Calibri Light" w:hAnsi="Calibri Light"/>
        </w:rPr>
        <w:t xml:space="preserve"> are another possibility</w:t>
      </w:r>
      <w:r w:rsidR="00577405">
        <w:rPr>
          <w:rFonts w:ascii="Calibri Light" w:hAnsi="Calibri Light"/>
        </w:rPr>
        <w:t>. HES has recently been used</w:t>
      </w:r>
      <w:r w:rsidR="00C34228">
        <w:rPr>
          <w:rFonts w:ascii="Calibri Light" w:hAnsi="Calibri Light"/>
        </w:rPr>
        <w:t xml:space="preserve"> to compute average costs by age, sex and IMD group </w:t>
      </w:r>
      <w:r w:rsidR="00C34228">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"Asaria", "given" : "Miqdad", "non-dropping-particle" : "", "parse-names" : false, "suffix" : "" } ], "container-title" : "CHE Research Paper", "id" : "ITEM-1", "issue" : "147", "issued" : { "date-parts" : [ [ "2017" ] ] }, "title" : "Health care costs in the English NHS : reference tables for average annual NHS spend by age, sex and deprivation group.", "type" : "article-journal" }, "uris" : [ "http://www.mendeley.com/documents/?uuid=12100547-19f9-3bea-a273-3749bd422606" ] } ], "mendeley" : { "formattedCitation" : "(34)", "plainTextFormattedCitation" : "(34)", "previouslyFormattedCitation" : "(34)" }, "properties" : {  }, "schema" : "https://github.com/citation-style-language/schema/raw/master/csl-citation.json" }</w:instrText>
      </w:r>
      <w:r w:rsidR="00C34228">
        <w:rPr>
          <w:rFonts w:ascii="Calibri Light" w:hAnsi="Calibri Light"/>
        </w:rPr>
        <w:fldChar w:fldCharType="separate"/>
      </w:r>
      <w:r w:rsidR="007A0CB0" w:rsidRPr="007A0CB0">
        <w:rPr>
          <w:rFonts w:ascii="Calibri Light" w:hAnsi="Calibri Light"/>
          <w:noProof/>
        </w:rPr>
        <w:t>(34)</w:t>
      </w:r>
      <w:r w:rsidR="00C34228">
        <w:rPr>
          <w:rFonts w:ascii="Calibri Light" w:hAnsi="Calibri Light"/>
        </w:rPr>
        <w:fldChar w:fldCharType="end"/>
      </w:r>
      <w:r w:rsidR="00C34228">
        <w:rPr>
          <w:rFonts w:ascii="Calibri Light" w:hAnsi="Calibri Light"/>
        </w:rPr>
        <w:t xml:space="preserve">. This source has the potential to be very useful for incorporation into decision models, but there are two limitations that provide scope for future research. The first is that the costs in this paper include both related and unrelated costs, meaning that researchers would need to adapt its results in order to include it alongside related costs in extended years of life estimated as part of the model </w:t>
      </w:r>
      <w:r w:rsidR="00C34228">
        <w:rPr>
          <w:rFonts w:ascii="Calibri Light" w:hAnsi="Calibri Light"/>
        </w:rPr>
        <w:fldChar w:fldCharType="begin" w:fldLock="1"/>
      </w:r>
      <w:r w:rsidR="000866A8">
        <w:rPr>
          <w:rFonts w:ascii="Calibri Light" w:hAnsi="Calibri Light"/>
        </w:rPr>
        <w:instrText>ADDIN CSL_CITATION { "citationItems" : [ { "id" : "ITEM-1", "itemData" : { "DOI" : "10.2165/11586130-000000000-00000", "ISSN" : "1170-7690", "author" : [ { "dropping-particle" : "", "family" : "Baal", "given" : "Pieter H.M.", "non-dropping-particle" : "van", "parse-names" : false, "suffix" : "" }, { "dropping-particle" : "", "family" : "Wong", "given" : "Albert", "non-dropping-particle" : "", "parse-names" : false, "suffix" : "" }, { "dropping-particle" : "", "family" : "Slobbe", "given" : "Laurentius C.J.", "non-dropping-particle" : "", "parse-names" : false, "suffix" : "" }, { "dropping-particle" : "", "family" : "Polder", "given" : "Johan J.", "non-dropping-particle" : "", "parse-names" : false, "suffix" : "" }, { "dropping-particle" : "", "family" : "Brouwer", "given" : "Werner B.F.", "non-dropping-particle" : "", "parse-names" : false, "suffix" : "" }, { "dropping-particle" : "", "family" : "Wit", "given" : "G. Ardine", "non-dropping-particle" : "de", "parse-names" : false, "suffix" : "" } ], "container-title" : "PharmacoEconomics", "id" : "ITEM-1", "issue" : "3", "issued" : { "date-parts" : [ [ "2011", "3" ] ] }, "page" : "175-187", "publisher" : "Springer International Publishing", "title" : "Standardizing the Inclusion of Indirect Medical Costs in Economic Evaluations", "type" : "article-journal", "volume" : "29" }, "uris" : [ "http://www.mendeley.com/documents/?uuid=0c2b87d7-1fca-3dfb-bf26-6bd383c1d7da" ] } ], "mendeley" : { "formattedCitation" : "(33)", "plainTextFormattedCitation" : "(33)", "previouslyFormattedCitation" : "(33)" }, "properties" : {  }, "schema" : "https://github.com/citation-style-language/schema/raw/master/csl-citation.json" }</w:instrText>
      </w:r>
      <w:r w:rsidR="00C34228">
        <w:rPr>
          <w:rFonts w:ascii="Calibri Light" w:hAnsi="Calibri Light"/>
        </w:rPr>
        <w:fldChar w:fldCharType="separate"/>
      </w:r>
      <w:r w:rsidR="007A0CB0" w:rsidRPr="007A0CB0">
        <w:rPr>
          <w:rFonts w:ascii="Calibri Light" w:hAnsi="Calibri Light"/>
          <w:noProof/>
        </w:rPr>
        <w:t>(33)</w:t>
      </w:r>
      <w:r w:rsidR="00C34228">
        <w:rPr>
          <w:rFonts w:ascii="Calibri Light" w:hAnsi="Calibri Light"/>
        </w:rPr>
        <w:fldChar w:fldCharType="end"/>
      </w:r>
      <w:r w:rsidR="00C34228">
        <w:rPr>
          <w:rFonts w:ascii="Calibri Light" w:hAnsi="Calibri Light"/>
        </w:rPr>
        <w:t xml:space="preserve">. The second limitation is that the costs of the patient population at hand may not be well represented by the national average on account of the relationship between costs and co-morbidities. In such circumstances, disentangling the associations between costs and age and morbidities will be required for the precise estimation of parameters capturing unrelated costs. There is already a growing understanding of the causal effect that age has on costs, which has been found to be questionable. In the first instance, age was considered to be a 'red herring' with costs increasing with age due only to a spurious association, with the underlying effect on costs deriving from time until death and not age itself </w:t>
      </w:r>
      <w:r w:rsidR="00C34228">
        <w:rPr>
          <w:rFonts w:ascii="Calibri Light" w:hAnsi="Calibri Light"/>
        </w:rPr>
        <w:fldChar w:fldCharType="begin" w:fldLock="1"/>
      </w:r>
      <w:r w:rsidR="000866A8">
        <w:rPr>
          <w:rFonts w:ascii="Calibri Light" w:hAnsi="Calibri Light"/>
        </w:rPr>
        <w:instrText>ADDIN CSL_CITATION { "citationItems" : [ { "id" : "ITEM-1", "itemData" : { "DOI" : "10.1002/hec.826", "ISSN" : "1057-9230", "PMID" : "15067669", "abstract" : "Zweifel and colleagues have previously proposed that proximity to death is a more important influence on health-care costs than age, suggesting that demographic change per se will not have a large impact on future aggregate health expenditure. However, issues of econometric methodology have led to challenges of the robustness of these findings. This paper revisits the analysis. Using a longitudinal hospital data set from Oxfordshire, England, the two-step Heckman model from the Zweifel study is first replicated, to find that neither age nor proximity to death have a significant effect on hospital costs. Econometric problems with the model are demonstrated, and instead a two-part model shows both age and proximity to death to have significant effects on quarterly hospital costs. Cost predictions, calculated with bootstrapped 95% confidence intervals, further demonstrate that while age may significantly affect quarterly costs, these cost changes are small compared to the tripling of quarterly costs that occurs with approaching death in the last year of life. The analyses show the importance of model selection to properly assess the determinants of health-care expenditures.", "author" : [ { "dropping-particle" : "", "family" : "Seshamani", "given" : "Meena", "non-dropping-particle" : "", "parse-names" : false, "suffix" : "" }, { "dropping-particle" : "", "family" : "Gray", "given" : "Alastair", "non-dropping-particle" : "", "parse-names" : false, "suffix" : "" } ], "container-title" : "Health Economics", "id" : "ITEM-1", "issue" : "4", "issued" : { "date-parts" : [ [ "2004", "4" ] ] }, "page" : "303-314", "title" : "Ageing and health-care expenditure: the red herring argument revisited", "type" : "article-journal", "volume" : "13" }, "uris" : [ "http://www.mendeley.com/documents/?uuid=a70f067b-44d5-3277-9dcd-dc8d3562161f" ] }, { "id" : "ITEM-2", "itemData" : { "DOI" : "10.1016/J.JHEALECO.2003.08.004", "ISSN" : "0167-6296", "author" : [ { "dropping-particle" : "", "family" : "Seshamani", "given" : "Meena", "non-dropping-particle" : "", "parse-names" : false, "suffix" : "" }, { "dropping-particle" : "", "family" : "Gray", "given" : "Alastair", "non-dropping-particle" : "", "parse-names" : false, "suffix" : "" } ], "container-title" : "Journal of Health Economics", "id" : "ITEM-2", "issue" : "2", "issued" : { "date-parts" : [ [ "2004", "3", "1" ] ] }, "page" : "217-235", "publisher" : "North-Holland", "title" : "A longitudinal study of the effects of age and time to death on hospital costs", "type" : "article-journal", "volume" : "23" }, "uris" : [ "http://www.mendeley.com/documents/?uuid=99677733-459d-3c11-b963-95f269c2092e" ] } ], "mendeley" : { "formattedCitation" : "(35,36)", "plainTextFormattedCitation" : "(35,36)", "previouslyFormattedCitation" : "(35,36)" }, "properties" : {  }, "schema" : "https://github.com/citation-style-language/schema/raw/master/csl-citation.json" }</w:instrText>
      </w:r>
      <w:r w:rsidR="00C34228">
        <w:rPr>
          <w:rFonts w:ascii="Calibri Light" w:hAnsi="Calibri Light"/>
        </w:rPr>
        <w:fldChar w:fldCharType="separate"/>
      </w:r>
      <w:r w:rsidR="007A0CB0" w:rsidRPr="007A0CB0">
        <w:rPr>
          <w:rFonts w:ascii="Calibri Light" w:hAnsi="Calibri Light"/>
          <w:noProof/>
        </w:rPr>
        <w:t>(35,36)</w:t>
      </w:r>
      <w:r w:rsidR="00C34228">
        <w:rPr>
          <w:rFonts w:ascii="Calibri Light" w:hAnsi="Calibri Light"/>
        </w:rPr>
        <w:fldChar w:fldCharType="end"/>
      </w:r>
      <w:r w:rsidR="00C34228">
        <w:rPr>
          <w:rFonts w:ascii="Calibri Light" w:hAnsi="Calibri Light"/>
        </w:rPr>
        <w:t xml:space="preserve">. More recently, research has started to question whether indeed this red herring hypothesis is itself a red herring with researchers analysing the effects of morbidity and multi-morbidity on costs in greater depth </w:t>
      </w:r>
      <w:r w:rsidR="00C34228">
        <w:rPr>
          <w:rFonts w:ascii="Calibri Light" w:hAnsi="Calibri Light"/>
        </w:rPr>
        <w:fldChar w:fldCharType="begin" w:fldLock="1"/>
      </w:r>
      <w:r w:rsidR="000866A8">
        <w:rPr>
          <w:rFonts w:ascii="Calibri Light" w:hAnsi="Calibri Light"/>
        </w:rPr>
        <w:instrText>ADDIN CSL_CITATION { "citationItems" : [ { "id" : "ITEM-1", "itemData" : { "author" : [ { "dropping-particle" : "", "family" : "Kasteridis", "given" : "Panos", "non-dropping-particle" : "", "parse-names" : false, "suffix" : "" }, { "dropping-particle" : "", "family" : "Street", "given" : "Andrew", "non-dropping-particle" : "", "parse-names" : false, "suffix" : "" }, { "dropping-particle" : "", "family" : "Dolman", "given" : "Matthew", "non-dropping-particle" : "", "parse-names" : false, "suffix" : "" }, { "dropping-particle" : "", "family" : "Gallier", "given" : "Lesley", "non-dropping-particle" : "", "parse-names" : false, "suffix" : "" }, { "dropping-particle" : "", "family" : "Hudson", "given" : "Kevin", "non-dropping-particle" : "", "parse-names" : false, "suffix" : "" }, { "dropping-particle" : "", "family" : "Martin", "given" : "Jeremy", "non-dropping-particle" : "", "parse-names" : false, "suffix" : "" }, { "dropping-particle" : "", "family" : "Wyer", "given" : "Ian", "non-dropping-particle" : "", "parse-names" : false, "suffix" : "" } ], "id" : "ITEM-1", "issued" : { "date-parts" : [ [ "2014" ] ] }, "title" : "The importance of multimorbidity in explaining utilisation and costs across health and social care settings: evidence from South Somerset's Symphony Project", "type" : "article-journal" }, "uris" : [ "http://www.mendeley.com/documents/?uuid=be15c2ef-1c15-3063-8618-599b2a8caa15" ] }, { "id" : "ITEM-2", "itemData" : { "DOI" : "10.1016/j.jhealeco.2017.11.001", "ISSN" : "01676296", "abstract" : "This paper uses Hospital Episode Statistics, English administrative data, to investigate the growth in admitted patient health care expenditures and the implications of an ageing population. We use two samples of around 40,000 individuals who a) used inpatient health care in the financial year 2005/06 and died by 2011/12 and b) died in 2011/12 and had some hospital utilisation since 2005/06. We use a panel structure to follow individuals over seven years of this administrative data, containing estimates of inpatient health care expenditures (HCE), information regarding individuals\u2019 age, time-to-death (TTD), morbidities at the time of an admission, as well as the hospital provider, year and season of admission. We show that HCE is principally determined by proximity to death rather than age, and that proximity to death is itself a proxy for morbidity.", "author" : [ { "dropping-particle" : "", "family" : "Howdon", "given" : "Daniel", "non-dropping-particle" : "", "parse-names" : false, "suffix" : "" }, { "dropping-particle" : "", "family" : "Rice", "given" : "Nigel", "non-dropping-particle" : "", "parse-names" : false, "suffix" : "" } ], "container-title" : "Journal of Health Economics", "id" : "ITEM-2", "issued" : { "date-parts" : [ [ "2017", "11" ] ] }, "title" : "Health care expenditures, age, proximity to death and morbidity: Implications for an ageing population", "type" : "article-journal" }, "uris" : [ "http://www.mendeley.com/documents/?uuid=41844bd0-ad7e-38d3-ad6a-17369053f061" ] } ], "mendeley" : { "formattedCitation" : "(37,38)", "plainTextFormattedCitation" : "(37,38)", "previouslyFormattedCitation" : "(37,38)" }, "properties" : {  }, "schema" : "https://github.com/citation-style-language/schema/raw/master/csl-citation.json" }</w:instrText>
      </w:r>
      <w:r w:rsidR="00C34228">
        <w:rPr>
          <w:rFonts w:ascii="Calibri Light" w:hAnsi="Calibri Light"/>
        </w:rPr>
        <w:fldChar w:fldCharType="separate"/>
      </w:r>
      <w:r w:rsidR="007A0CB0" w:rsidRPr="007A0CB0">
        <w:rPr>
          <w:rFonts w:ascii="Calibri Light" w:hAnsi="Calibri Light"/>
          <w:noProof/>
        </w:rPr>
        <w:t>(37,38)</w:t>
      </w:r>
      <w:r w:rsidR="00C34228">
        <w:rPr>
          <w:rFonts w:ascii="Calibri Light" w:hAnsi="Calibri Light"/>
        </w:rPr>
        <w:fldChar w:fldCharType="end"/>
      </w:r>
      <w:r w:rsidR="00C34228">
        <w:rPr>
          <w:rFonts w:ascii="Calibri Light" w:hAnsi="Calibri Light"/>
        </w:rPr>
        <w:t>. Despite these limitations and challenges it is likely that, with further research, electronic health records will be increasingly utilised for the incorporation of unrelated costs in extended years of life where this is deemed appropriate.</w:t>
      </w:r>
    </w:p>
    <w:p w14:paraId="26227667" w14:textId="0E4E970C" w:rsidR="002A4475" w:rsidRDefault="002A4475" w:rsidP="000D2319">
      <w:pPr>
        <w:rPr>
          <w:rFonts w:ascii="Calibri Light" w:hAnsi="Calibri Light"/>
        </w:rPr>
      </w:pPr>
      <w:r w:rsidRPr="00A91D43">
        <w:rPr>
          <w:rFonts w:ascii="Calibri Light" w:hAnsi="Calibri Light"/>
        </w:rPr>
        <w:t xml:space="preserve">Even in the absence of observational data; </w:t>
      </w:r>
      <w:r w:rsidR="00F3166C" w:rsidRPr="00A91D43">
        <w:rPr>
          <w:rFonts w:ascii="Calibri Light" w:hAnsi="Calibri Light"/>
        </w:rPr>
        <w:t xml:space="preserve">it is still possible to </w:t>
      </w:r>
      <w:r w:rsidRPr="00A91D43">
        <w:rPr>
          <w:rFonts w:ascii="Calibri Light" w:hAnsi="Calibri Light"/>
        </w:rPr>
        <w:t>place a reasonable estimate on these future unrelated costs parameters. There are methods that can be used to illustrate the potential range values for these parameters, reflecting their degree of uncertainty</w:t>
      </w:r>
      <w:r w:rsidR="00FC5CCB"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"ISSN" : "1057-9230", "PMID" : "10348420", "abstract" : "The aim of this paper is to briefly outline a Bayesian approach to cost-effectiveness analysis (CEA). Historically, frequentists have been cautious of Bayesian methodology, which is often held as synonymous with a subjective approach to statistical analysis. In this paper, the potential overlap between Bayesian and frequentist approaches to CEA is explored--the focus being on the empirical and uninformative prior-based approaches to Bayesian methods rather than the use of subjective beliefs. This approach emphasizes the advantage of a Bayesian interpretation for decision-making while retaining the robustness of the frequentist approach. In particular the use of cost-effectiveness acceptability curves is examined. A traditional frequentist approach is equivalent to a Bayesian approach assuming no prior information, while where there is pre-existing information available from which to construct a prior distribution, an empirical Bayes approach is equivalent to a frequentist approach based on pooling the available data. Cost-effectiveness acceptability curves directly address the decision-making problem in CEA. Although it is argued that their interpretation as the probability that an intervention is cost-effective given the data requires a Bayesian interpretation, this should generate no misgivings for the frequentist.", "author" : [ { "dropping-particle" : "", "family" : "Briggs", "given" : "A H", "non-dropping-particle" : "", "parse-names" : false, "suffix" : "" } ], "container-title" : "Health economics", "id" : "ITEM-1", "issue" : "3", "issued" : { "date-parts" : [ [ "1999", "5" ] ] }, "page" : "257-61", "title" : "A Bayesian approach to stochastic cost-effectiveness analysis.", "type" : "article-journal", "volume" : "8" }, "uris" : [ "http://www.mendeley.com/documents/?uuid=3bfae8d4-f368-39da-8919-b20be2945bdc" ] } ], "mendeley" : { "formattedCitation" : "(39)", "plainTextFormattedCitation" : "(39)", "previouslyFormattedCitation" : "(39)" }, "properties" : {  }, "schema" : "https://github.com/citation-style-language/schema/raw/master/csl-citation.json" }</w:instrText>
      </w:r>
      <w:r w:rsidR="00CF09D0" w:rsidRPr="00A91D43">
        <w:rPr>
          <w:rFonts w:ascii="Calibri Light" w:hAnsi="Calibri Light"/>
        </w:rPr>
        <w:fldChar w:fldCharType="separate"/>
      </w:r>
      <w:r w:rsidR="007A0CB0" w:rsidRPr="007A0CB0">
        <w:rPr>
          <w:rFonts w:ascii="Calibri Light" w:hAnsi="Calibri Light"/>
          <w:noProof/>
        </w:rPr>
        <w:t>(39)</w:t>
      </w:r>
      <w:r w:rsidR="00CF09D0" w:rsidRPr="00A91D43">
        <w:rPr>
          <w:rFonts w:ascii="Calibri Light" w:hAnsi="Calibri Light"/>
        </w:rPr>
        <w:fldChar w:fldCharType="end"/>
      </w:r>
      <w:r w:rsidRPr="00A91D43">
        <w:rPr>
          <w:rFonts w:ascii="Calibri Light" w:hAnsi="Calibri Light"/>
        </w:rPr>
        <w:t>. This can then be used to guide future research priorities</w:t>
      </w:r>
      <w:r w:rsidR="00FC5CCB" w:rsidRPr="00A91D43">
        <w:rPr>
          <w:rFonts w:ascii="Calibri Light" w:hAnsi="Calibri Light"/>
        </w:rPr>
        <w:t xml:space="preserve"> </w:t>
      </w:r>
      <w:r w:rsidR="00CF09D0" w:rsidRPr="00A91D43">
        <w:rPr>
          <w:rFonts w:ascii="Calibri Light" w:hAnsi="Calibri Light"/>
        </w:rPr>
        <w:fldChar w:fldCharType="begin" w:fldLock="1"/>
      </w:r>
      <w:r w:rsidR="000866A8">
        <w:rPr>
          <w:rFonts w:ascii="Calibri Light" w:hAnsi="Calibri Light"/>
        </w:rPr>
        <w:instrText>ADDIN CSL_CITATION { "citationItems" : [ { "id" : "ITEM-1", "itemData" : { "DOI" : "10.1016/S0167-6296(98)00039-3", "ISSN" : "0167-6296", "abstract" : "The literature which considers the statistical properties of cost-effectiveness analysis has focused on estimating the sampling distribution of either an incremental cost-effectiveness ratio or incremental net benefit for classical inference. However, it is argued here that rules of inference are arbitrary and entirely irrelevant to the decisions which clinical and economic evaluations claim to inform. Decisions should be based only on the mean net benefits irrespective of whether differences are statistically significant or fall outside a Bayesian range of equivalence. Failure to make decisions in this way by accepting the arbitrary rules of inference will impose costs which can be measured in terms of resources or health benefits forgone. The distribution of net benefit is only relevant to deciding whether more information is required. A framework for decision making and establishing the value of additional information is presented which is consistent with the decision rules in CEA. This framework can distinguish the simultaneous but conceptually separate steps of deciding which alternatives should be chosen, given existing information, from the question of whether more information should be acquired. It also ensures that the type of information acquired is driven by the objectives of the health care system, is consistent with the budget constraint on service provision and that research is designed efficiently.", "author" : [ { "dropping-particle" : "", "family" : "Claxton", "given" : "Karl", "non-dropping-particle" : "", "parse-names" : false, "suffix" : "" } ], "container-title" : "Journal of Health Economics", "id" : "ITEM-1", "issue" : "3", "issued" : { "date-parts" : [ [ "1999", "6" ] ] }, "page" : "341-364", "title" : "The irrelevance of inference: a decision-making approach to the stochastic evaluation of health care technologies", "type" : "article-journal", "volume" : "18" }, "uris" : [ "http://www.mendeley.com/documents/?uuid=70f6e743-3d5d-485b-acaf-05a17a816b1d" ] } ], "mendeley" : { "formattedCitation" : "(40)", "plainTextFormattedCitation" : "(40)", "previouslyFormattedCitation" : "(40)" }, "properties" : {  }, "schema" : "https://github.com/citation-style-language/schema/raw/master/csl-citation.json" }</w:instrText>
      </w:r>
      <w:r w:rsidR="00CF09D0" w:rsidRPr="00A91D43">
        <w:rPr>
          <w:rFonts w:ascii="Calibri Light" w:hAnsi="Calibri Light"/>
        </w:rPr>
        <w:fldChar w:fldCharType="separate"/>
      </w:r>
      <w:r w:rsidR="007A0CB0" w:rsidRPr="007A0CB0">
        <w:rPr>
          <w:rFonts w:ascii="Calibri Light" w:hAnsi="Calibri Light"/>
          <w:noProof/>
        </w:rPr>
        <w:t>(40)</w:t>
      </w:r>
      <w:r w:rsidR="00CF09D0" w:rsidRPr="00A91D43">
        <w:rPr>
          <w:rFonts w:ascii="Calibri Light" w:hAnsi="Calibri Light"/>
        </w:rPr>
        <w:fldChar w:fldCharType="end"/>
      </w:r>
      <w:r w:rsidRPr="00A91D43">
        <w:rPr>
          <w:rFonts w:ascii="Calibri Light" w:hAnsi="Calibri Light"/>
        </w:rPr>
        <w:t xml:space="preserve">. To inform these uncertain estimates expert elicitation methods could be useful. In some circumstances, even where long term observational data are not available, clinical experts may have experience of observing events occurring in </w:t>
      </w:r>
      <w:r w:rsidR="004B4819" w:rsidRPr="00A91D43">
        <w:rPr>
          <w:rFonts w:ascii="Calibri Light" w:hAnsi="Calibri Light"/>
        </w:rPr>
        <w:t>survivors of acute myocardial infarction</w:t>
      </w:r>
      <w:r w:rsidRPr="00A91D43">
        <w:rPr>
          <w:rFonts w:ascii="Calibri Light" w:hAnsi="Calibri Light"/>
        </w:rPr>
        <w:t xml:space="preserve"> over a long enough </w:t>
      </w:r>
      <w:proofErr w:type="gramStart"/>
      <w:r w:rsidRPr="00A91D43">
        <w:rPr>
          <w:rFonts w:ascii="Calibri Light" w:hAnsi="Calibri Light"/>
        </w:rPr>
        <w:t>period</w:t>
      </w:r>
      <w:proofErr w:type="gramEnd"/>
      <w:r w:rsidRPr="00A91D43">
        <w:rPr>
          <w:rFonts w:ascii="Calibri Light" w:hAnsi="Calibri Light"/>
        </w:rPr>
        <w:t xml:space="preserve">. This clinical experience can be used to generate distributions for these unrelated future costs reflecting a large amount of uncertainty around the estimates. All things considered, lack of data is certainly a challenge but this seems more of a practical obstacle to overcome (if these data are potentially influential to the decision) rather than a reason for exclusion.  </w:t>
      </w:r>
    </w:p>
    <w:p w14:paraId="13250EFC" w14:textId="77777777" w:rsidR="0050257B" w:rsidRDefault="0050257B" w:rsidP="00D0693D">
      <w:pPr>
        <w:pStyle w:val="Heading3"/>
        <w:rPr>
          <w:lang w:val="en-GB"/>
        </w:rPr>
      </w:pPr>
      <w:r>
        <w:t>Limitations</w:t>
      </w:r>
    </w:p>
    <w:p w14:paraId="0FBC8A8E" w14:textId="439C70D6" w:rsidR="0050257B" w:rsidRPr="00D0693D" w:rsidRDefault="00774672" w:rsidP="00D0693D">
      <w:pPr>
        <w:rPr>
          <w:lang w:eastAsia="x-none"/>
        </w:rPr>
      </w:pPr>
      <w:r>
        <w:rPr>
          <w:rFonts w:ascii="Calibri Light" w:hAnsi="Calibri Light"/>
        </w:rPr>
        <w:t xml:space="preserve">Because the model itself concerns a hypothetical intervention, the specific results should not be over-interpreted, nor can they be generalised for assessments of how much of an impact the inclusion of unrelated costs will have in different contexts. The results do allow us to identify the types of effects </w:t>
      </w:r>
      <w:r>
        <w:rPr>
          <w:rFonts w:ascii="Calibri Light" w:hAnsi="Calibri Light"/>
        </w:rPr>
        <w:lastRenderedPageBreak/>
        <w:t xml:space="preserve">that will result from including unrelated costs. To put </w:t>
      </w:r>
      <w:proofErr w:type="gramStart"/>
      <w:r>
        <w:rPr>
          <w:rFonts w:ascii="Calibri Light" w:hAnsi="Calibri Light"/>
        </w:rPr>
        <w:t>this another</w:t>
      </w:r>
      <w:proofErr w:type="gramEnd"/>
      <w:r>
        <w:rPr>
          <w:rFonts w:ascii="Calibri Light" w:hAnsi="Calibri Light"/>
        </w:rPr>
        <w:t xml:space="preserve"> way, this paper contributes to the literature by illustrating </w:t>
      </w:r>
      <w:r w:rsidRPr="00774672">
        <w:rPr>
          <w:rFonts w:ascii="Calibri Light" w:hAnsi="Calibri Light"/>
          <w:i/>
        </w:rPr>
        <w:t>which</w:t>
      </w:r>
      <w:r>
        <w:rPr>
          <w:rFonts w:ascii="Calibri Light" w:hAnsi="Calibri Light"/>
        </w:rPr>
        <w:t xml:space="preserve"> costs matter and </w:t>
      </w:r>
      <w:r w:rsidRPr="00774672">
        <w:rPr>
          <w:rFonts w:ascii="Calibri Light" w:hAnsi="Calibri Light"/>
          <w:i/>
        </w:rPr>
        <w:t>why</w:t>
      </w:r>
      <w:r>
        <w:rPr>
          <w:rFonts w:ascii="Calibri Light" w:hAnsi="Calibri Light"/>
        </w:rPr>
        <w:t xml:space="preserve">, but should not be used to say </w:t>
      </w:r>
      <w:r w:rsidRPr="00774672">
        <w:rPr>
          <w:rFonts w:ascii="Calibri Light" w:hAnsi="Calibri Light"/>
          <w:i/>
        </w:rPr>
        <w:t>how much</w:t>
      </w:r>
      <w:r>
        <w:rPr>
          <w:rFonts w:ascii="Calibri Light" w:hAnsi="Calibri Light"/>
        </w:rPr>
        <w:t xml:space="preserve"> different costs matter outside of the context analysed.</w:t>
      </w:r>
      <w:r w:rsidR="00FD6954">
        <w:rPr>
          <w:rFonts w:ascii="Calibri Light" w:hAnsi="Calibri Light"/>
        </w:rPr>
        <w:t xml:space="preserve"> </w:t>
      </w:r>
      <w:r w:rsidR="00D509E8">
        <w:rPr>
          <w:rFonts w:ascii="Calibri Light" w:hAnsi="Calibri Light"/>
        </w:rPr>
        <w:t>For example</w:t>
      </w:r>
      <w:r w:rsidR="00D509E8" w:rsidRPr="006A00C7">
        <w:rPr>
          <w:rFonts w:ascii="Calibri Light" w:hAnsi="Calibri Light"/>
        </w:rPr>
        <w:t>, w</w:t>
      </w:r>
      <w:r w:rsidR="00FD6954" w:rsidRPr="006A00C7">
        <w:rPr>
          <w:rFonts w:ascii="Calibri Light" w:hAnsi="Calibri Light"/>
        </w:rPr>
        <w:t xml:space="preserve">ithin the context analysed, it can be seen that </w:t>
      </w:r>
      <w:r w:rsidR="00D509E8" w:rsidRPr="006A00C7">
        <w:rPr>
          <w:rFonts w:ascii="Calibri Light" w:hAnsi="Calibri Light"/>
        </w:rPr>
        <w:t xml:space="preserve">the variability of incremental costs is low generally irrespective of which costing scenario is used. This results from the </w:t>
      </w:r>
      <w:r w:rsidR="00FC22A8" w:rsidRPr="006A00C7">
        <w:rPr>
          <w:rFonts w:ascii="Calibri Light" w:hAnsi="Calibri Light"/>
        </w:rPr>
        <w:t>large number of observations upon which the</w:t>
      </w:r>
      <w:r w:rsidR="00D509E8" w:rsidRPr="006A00C7">
        <w:rPr>
          <w:rFonts w:ascii="Calibri Light" w:hAnsi="Calibri Light"/>
        </w:rPr>
        <w:t xml:space="preserve"> system of equations is estimated and hence granting a degree of precision that would not be attainable in smaller stud</w:t>
      </w:r>
      <w:r w:rsidR="00CF48FB">
        <w:rPr>
          <w:rFonts w:ascii="Calibri Light" w:hAnsi="Calibri Light"/>
        </w:rPr>
        <w:t>i</w:t>
      </w:r>
      <w:r w:rsidR="00D509E8" w:rsidRPr="006A00C7">
        <w:rPr>
          <w:rFonts w:ascii="Calibri Light" w:hAnsi="Calibri Light"/>
        </w:rPr>
        <w:t>es.</w:t>
      </w:r>
    </w:p>
    <w:p w14:paraId="4F1C151E" w14:textId="77777777" w:rsidR="000D2319" w:rsidRPr="00235A41" w:rsidRDefault="001962EE" w:rsidP="000D2319">
      <w:pPr>
        <w:pStyle w:val="Heading2"/>
      </w:pPr>
      <w:r>
        <w:t xml:space="preserve">5. </w:t>
      </w:r>
      <w:r w:rsidR="000D2319" w:rsidRPr="00235A41">
        <w:t>Conclusions</w:t>
      </w:r>
    </w:p>
    <w:p w14:paraId="03630E32" w14:textId="77777777" w:rsidR="004570C0" w:rsidRPr="00A91D43" w:rsidRDefault="004570C0" w:rsidP="004570C0">
      <w:pPr>
        <w:rPr>
          <w:rFonts w:ascii="Calibri Light" w:hAnsi="Calibri Light"/>
        </w:rPr>
      </w:pPr>
      <w:r w:rsidRPr="00A91D43">
        <w:rPr>
          <w:rFonts w:ascii="Calibri Light" w:hAnsi="Calibri Light"/>
        </w:rPr>
        <w:t xml:space="preserve">It is </w:t>
      </w:r>
      <w:r w:rsidR="00C45622" w:rsidRPr="00A91D43">
        <w:rPr>
          <w:rFonts w:ascii="Calibri Light" w:hAnsi="Calibri Light"/>
        </w:rPr>
        <w:t>suggested</w:t>
      </w:r>
      <w:r w:rsidRPr="00A91D43">
        <w:rPr>
          <w:rFonts w:ascii="Calibri Light" w:hAnsi="Calibri Light"/>
        </w:rPr>
        <w:t xml:space="preserve"> that economic evaluations should include estimates of incremental</w:t>
      </w:r>
      <w:r w:rsidR="00F02191" w:rsidRPr="00A91D43">
        <w:rPr>
          <w:rFonts w:ascii="Calibri Light" w:hAnsi="Calibri Light"/>
        </w:rPr>
        <w:t xml:space="preserve"> health care</w:t>
      </w:r>
      <w:r w:rsidRPr="00A91D43">
        <w:rPr>
          <w:rFonts w:ascii="Calibri Light" w:hAnsi="Calibri Light"/>
        </w:rPr>
        <w:t xml:space="preserve"> costs that fall upon the health</w:t>
      </w:r>
      <w:r w:rsidR="00F02191" w:rsidRPr="00A91D43">
        <w:rPr>
          <w:rFonts w:ascii="Calibri Light" w:hAnsi="Calibri Light"/>
        </w:rPr>
        <w:t xml:space="preserve"> </w:t>
      </w:r>
      <w:r w:rsidRPr="00A91D43">
        <w:rPr>
          <w:rFonts w:ascii="Calibri Light" w:hAnsi="Calibri Light"/>
        </w:rPr>
        <w:t>care budget and not just the intervention costs associated with the treatment. However, in moving beyond intervention costs, the analyst faces challenges in determining which</w:t>
      </w:r>
      <w:r w:rsidR="00F02191" w:rsidRPr="00A91D43">
        <w:rPr>
          <w:rFonts w:ascii="Calibri Light" w:hAnsi="Calibri Light"/>
        </w:rPr>
        <w:t xml:space="preserve"> health care</w:t>
      </w:r>
      <w:r w:rsidRPr="00A91D43">
        <w:rPr>
          <w:rFonts w:ascii="Calibri Light" w:hAnsi="Calibri Light"/>
        </w:rPr>
        <w:t xml:space="preserve"> costs (unrelated and unrelated) are truly caused by the treatment, which can be particularly demanding when there </w:t>
      </w:r>
      <w:r w:rsidR="000D2319" w:rsidRPr="00A91D43">
        <w:rPr>
          <w:rFonts w:ascii="Calibri Light" w:hAnsi="Calibri Light"/>
        </w:rPr>
        <w:t>are</w:t>
      </w:r>
      <w:r w:rsidRPr="00A91D43">
        <w:rPr>
          <w:rFonts w:ascii="Calibri Light" w:hAnsi="Calibri Light"/>
        </w:rPr>
        <w:t xml:space="preserve"> variable</w:t>
      </w:r>
      <w:r w:rsidR="000D2319" w:rsidRPr="00A91D43">
        <w:rPr>
          <w:rFonts w:ascii="Calibri Light" w:hAnsi="Calibri Light"/>
        </w:rPr>
        <w:t xml:space="preserve"> and noisy</w:t>
      </w:r>
      <w:r w:rsidRPr="00A91D43">
        <w:rPr>
          <w:rFonts w:ascii="Calibri Light" w:hAnsi="Calibri Light"/>
        </w:rPr>
        <w:t xml:space="preserve"> cost data, and when the knowledge around the natural history of a disease is not well known</w:t>
      </w:r>
      <w:r w:rsidR="00F3166C" w:rsidRPr="00A91D43">
        <w:rPr>
          <w:rFonts w:ascii="Calibri Light" w:hAnsi="Calibri Light"/>
        </w:rPr>
        <w:t>,</w:t>
      </w:r>
      <w:r w:rsidR="000D2319" w:rsidRPr="00A91D43">
        <w:rPr>
          <w:rFonts w:ascii="Calibri Light" w:hAnsi="Calibri Light"/>
        </w:rPr>
        <w:t xml:space="preserve"> as in the case of </w:t>
      </w:r>
      <w:r w:rsidR="004B4819" w:rsidRPr="00A91D43">
        <w:rPr>
          <w:rFonts w:ascii="Calibri Light" w:hAnsi="Calibri Light"/>
        </w:rPr>
        <w:t>acute myocardial infarction</w:t>
      </w:r>
      <w:r w:rsidR="000D2319" w:rsidRPr="00A91D43">
        <w:rPr>
          <w:rFonts w:ascii="Calibri Light" w:hAnsi="Calibri Light"/>
        </w:rPr>
        <w:t xml:space="preserve"> survivorship</w:t>
      </w:r>
      <w:r w:rsidRPr="00A91D43">
        <w:rPr>
          <w:rFonts w:ascii="Calibri Light" w:hAnsi="Calibri Light"/>
        </w:rPr>
        <w:t>.</w:t>
      </w:r>
      <w:r w:rsidR="00C37257" w:rsidRPr="00A91D43">
        <w:rPr>
          <w:rFonts w:ascii="Calibri Light" w:hAnsi="Calibri Light"/>
        </w:rPr>
        <w:t xml:space="preserve"> With an aging and comorbid population, the inclusion of all healthcare costs may have important ramifications for the selection of healthcare provision on economic grounds.</w:t>
      </w:r>
    </w:p>
    <w:p w14:paraId="0A245608" w14:textId="684CAE2B" w:rsidR="00C37257" w:rsidRPr="00A91D43" w:rsidRDefault="000D2319" w:rsidP="007A3F8D">
      <w:pPr>
        <w:rPr>
          <w:rFonts w:ascii="Calibri Light" w:hAnsi="Calibri Light"/>
        </w:rPr>
      </w:pPr>
      <w:r w:rsidRPr="00A91D43">
        <w:rPr>
          <w:rFonts w:ascii="Calibri Light" w:hAnsi="Calibri Light"/>
        </w:rPr>
        <w:t xml:space="preserve">This paper contributes </w:t>
      </w:r>
      <w:r w:rsidR="00F3166C" w:rsidRPr="00A91D43">
        <w:rPr>
          <w:rFonts w:ascii="Calibri Light" w:hAnsi="Calibri Light"/>
        </w:rPr>
        <w:t xml:space="preserve">to this discussion </w:t>
      </w:r>
      <w:r w:rsidR="004E4FA1" w:rsidRPr="00A91D43">
        <w:rPr>
          <w:rFonts w:ascii="Calibri Light" w:hAnsi="Calibri Light"/>
        </w:rPr>
        <w:t xml:space="preserve">by </w:t>
      </w:r>
      <w:r w:rsidR="00B9796A">
        <w:rPr>
          <w:rFonts w:ascii="Calibri Light" w:hAnsi="Calibri Light"/>
        </w:rPr>
        <w:t>illustrating</w:t>
      </w:r>
      <w:r w:rsidR="00B9796A" w:rsidRPr="00A91D43">
        <w:rPr>
          <w:rFonts w:ascii="Calibri Light" w:hAnsi="Calibri Light"/>
        </w:rPr>
        <w:t xml:space="preserve"> </w:t>
      </w:r>
      <w:r w:rsidRPr="00A91D43">
        <w:rPr>
          <w:rFonts w:ascii="Calibri Light" w:hAnsi="Calibri Light"/>
        </w:rPr>
        <w:t>the importance of different types of costs</w:t>
      </w:r>
      <w:r w:rsidR="003A652E" w:rsidRPr="00A91D43">
        <w:rPr>
          <w:rFonts w:ascii="Calibri Light" w:hAnsi="Calibri Light"/>
        </w:rPr>
        <w:t xml:space="preserve"> - </w:t>
      </w:r>
      <w:r w:rsidR="003A652E" w:rsidRPr="00A91D43">
        <w:rPr>
          <w:rFonts w:ascii="Calibri Light" w:hAnsi="Calibri Light"/>
          <w:i/>
        </w:rPr>
        <w:t>which costs matter</w:t>
      </w:r>
      <w:r w:rsidR="003A652E" w:rsidRPr="00A91D43">
        <w:rPr>
          <w:rFonts w:ascii="Calibri Light" w:hAnsi="Calibri Light"/>
        </w:rPr>
        <w:t xml:space="preserve"> - </w:t>
      </w:r>
      <w:r w:rsidRPr="00A91D43">
        <w:rPr>
          <w:rFonts w:ascii="Calibri Light" w:hAnsi="Calibri Light"/>
        </w:rPr>
        <w:t xml:space="preserve">in the context of </w:t>
      </w:r>
      <w:r w:rsidR="004B4819" w:rsidRPr="00A91D43">
        <w:rPr>
          <w:rFonts w:ascii="Calibri Light" w:hAnsi="Calibri Light"/>
        </w:rPr>
        <w:t>stable coronary artery disease</w:t>
      </w:r>
      <w:r w:rsidR="00F3166C" w:rsidRPr="00A91D43">
        <w:rPr>
          <w:rFonts w:ascii="Calibri Light" w:hAnsi="Calibri Light"/>
        </w:rPr>
        <w:t>,</w:t>
      </w:r>
      <w:r w:rsidRPr="00A91D43">
        <w:rPr>
          <w:rFonts w:ascii="Calibri Light" w:hAnsi="Calibri Light"/>
        </w:rPr>
        <w:t xml:space="preserve"> where little is known about what is truly related or unrelated and there is considerable variation in analytical practice concerning cost categories to include in economic evaluation</w:t>
      </w:r>
      <w:r w:rsidR="003A652E" w:rsidRPr="00A91D43">
        <w:rPr>
          <w:rFonts w:ascii="Calibri Light" w:hAnsi="Calibri Light"/>
        </w:rPr>
        <w:t xml:space="preserve">. </w:t>
      </w:r>
      <w:r w:rsidR="004E4FA1" w:rsidRPr="00A91D43">
        <w:rPr>
          <w:rFonts w:ascii="Calibri Light" w:hAnsi="Calibri Light"/>
        </w:rPr>
        <w:t>It has been shown that costs matter</w:t>
      </w:r>
      <w:r w:rsidR="00C82330">
        <w:rPr>
          <w:rFonts w:ascii="Calibri Light" w:hAnsi="Calibri Light"/>
        </w:rPr>
        <w:t>,</w:t>
      </w:r>
      <w:r w:rsidR="004E4FA1" w:rsidRPr="00A91D43">
        <w:rPr>
          <w:rFonts w:ascii="Calibri Light" w:hAnsi="Calibri Light"/>
        </w:rPr>
        <w:t xml:space="preserve"> not just in terms of </w:t>
      </w:r>
      <w:r w:rsidR="0091779F" w:rsidRPr="00A91D43">
        <w:rPr>
          <w:rFonts w:ascii="Calibri Light" w:hAnsi="Calibri Light"/>
        </w:rPr>
        <w:t>the point estimate of cost-effectiveness</w:t>
      </w:r>
      <w:r w:rsidR="00C82330">
        <w:rPr>
          <w:rFonts w:ascii="Calibri Light" w:hAnsi="Calibri Light"/>
        </w:rPr>
        <w:t>;</w:t>
      </w:r>
      <w:r w:rsidR="0091779F" w:rsidRPr="00A91D43">
        <w:rPr>
          <w:rFonts w:ascii="Calibri Light" w:hAnsi="Calibri Light"/>
        </w:rPr>
        <w:t xml:space="preserve"> the expected ICER, but also in terms of decision uncertainty. </w:t>
      </w:r>
      <w:r w:rsidR="00CF48FB">
        <w:rPr>
          <w:rFonts w:ascii="Calibri Light" w:hAnsi="Calibri Light"/>
        </w:rPr>
        <w:t>Where</w:t>
      </w:r>
      <w:r w:rsidR="00235A41" w:rsidRPr="00A91D43">
        <w:rPr>
          <w:rFonts w:ascii="Calibri Light" w:hAnsi="Calibri Light"/>
        </w:rPr>
        <w:t xml:space="preserve"> a</w:t>
      </w:r>
      <w:r w:rsidR="0091779F" w:rsidRPr="00A91D43">
        <w:rPr>
          <w:rFonts w:ascii="Calibri Light" w:hAnsi="Calibri Light"/>
        </w:rPr>
        <w:t>dding unrelated costs in evaluations without an impact on survival</w:t>
      </w:r>
      <w:r w:rsidR="00CF48FB">
        <w:rPr>
          <w:rFonts w:ascii="Calibri Light" w:hAnsi="Calibri Light"/>
        </w:rPr>
        <w:t>, this may</w:t>
      </w:r>
      <w:r w:rsidR="0091779F" w:rsidRPr="00A91D43">
        <w:rPr>
          <w:rFonts w:ascii="Calibri Light" w:hAnsi="Calibri Light"/>
        </w:rPr>
        <w:t xml:space="preserve"> </w:t>
      </w:r>
      <w:r w:rsidR="003A652E" w:rsidRPr="00A91D43">
        <w:rPr>
          <w:rFonts w:ascii="Calibri Light" w:hAnsi="Calibri Light"/>
        </w:rPr>
        <w:t>simply add noise to the data and</w:t>
      </w:r>
      <w:r w:rsidR="00CF48FB">
        <w:rPr>
          <w:rFonts w:ascii="Calibri Light" w:hAnsi="Calibri Light"/>
        </w:rPr>
        <w:t xml:space="preserve"> therefore will</w:t>
      </w:r>
      <w:r w:rsidR="003A652E" w:rsidRPr="00A91D43">
        <w:rPr>
          <w:rFonts w:ascii="Calibri Light" w:hAnsi="Calibri Light"/>
        </w:rPr>
        <w:t xml:space="preserve"> reduce the probabilit</w:t>
      </w:r>
      <w:r w:rsidR="007A3F8D" w:rsidRPr="00A91D43">
        <w:rPr>
          <w:rFonts w:ascii="Calibri Light" w:hAnsi="Calibri Light"/>
        </w:rPr>
        <w:t>y of making the right decision.</w:t>
      </w:r>
      <w:r w:rsidR="00C37257" w:rsidRPr="00A91D43">
        <w:rPr>
          <w:rFonts w:ascii="Calibri Light" w:hAnsi="Calibri Light"/>
        </w:rPr>
        <w:t xml:space="preserve"> </w:t>
      </w:r>
    </w:p>
    <w:p w14:paraId="2F05176C" w14:textId="1DDD808D" w:rsidR="00A952BE" w:rsidRPr="00A91D43" w:rsidRDefault="00235A41" w:rsidP="007A3F8D">
      <w:pPr>
        <w:rPr>
          <w:rFonts w:ascii="Calibri Light" w:hAnsi="Calibri Light"/>
        </w:rPr>
      </w:pPr>
      <w:r w:rsidRPr="00A91D43">
        <w:rPr>
          <w:rFonts w:ascii="Calibri Light" w:hAnsi="Calibri Light"/>
        </w:rPr>
        <w:t>The</w:t>
      </w:r>
      <w:r w:rsidR="003A652E" w:rsidRPr="00A91D43">
        <w:rPr>
          <w:rFonts w:ascii="Calibri Light" w:hAnsi="Calibri Light"/>
        </w:rPr>
        <w:t xml:space="preserve"> inclusion of unrelated costs is important, especially when the treatment is expected to extend life, and so</w:t>
      </w:r>
      <w:r w:rsidR="007A3F8D" w:rsidRPr="00A91D43">
        <w:rPr>
          <w:rFonts w:ascii="Calibri Light" w:hAnsi="Calibri Light"/>
        </w:rPr>
        <w:t xml:space="preserve"> including all cost categories</w:t>
      </w:r>
      <w:r w:rsidR="003A652E" w:rsidRPr="00A91D43">
        <w:rPr>
          <w:rFonts w:ascii="Calibri Light" w:hAnsi="Calibri Light"/>
        </w:rPr>
        <w:t xml:space="preserve"> </w:t>
      </w:r>
      <w:r w:rsidRPr="00A91D43">
        <w:rPr>
          <w:rFonts w:ascii="Calibri Light" w:hAnsi="Calibri Light"/>
        </w:rPr>
        <w:t xml:space="preserve">is </w:t>
      </w:r>
      <w:r w:rsidR="0041350B">
        <w:rPr>
          <w:rFonts w:ascii="Calibri Light" w:hAnsi="Calibri Light"/>
        </w:rPr>
        <w:t xml:space="preserve">at least </w:t>
      </w:r>
      <w:r w:rsidRPr="00A91D43">
        <w:rPr>
          <w:rFonts w:ascii="Calibri Light" w:hAnsi="Calibri Light"/>
        </w:rPr>
        <w:t>recommended as</w:t>
      </w:r>
      <w:r w:rsidR="003A652E" w:rsidRPr="00A91D43">
        <w:rPr>
          <w:rFonts w:ascii="Calibri Light" w:hAnsi="Calibri Light"/>
        </w:rPr>
        <w:t xml:space="preserve"> </w:t>
      </w:r>
      <w:r w:rsidR="00C93812">
        <w:rPr>
          <w:rFonts w:ascii="Calibri Light" w:hAnsi="Calibri Light"/>
        </w:rPr>
        <w:t>a sensitivity</w:t>
      </w:r>
      <w:r w:rsidR="003A652E" w:rsidRPr="00A91D43">
        <w:rPr>
          <w:rFonts w:ascii="Calibri Light" w:hAnsi="Calibri Light"/>
        </w:rPr>
        <w:t xml:space="preserve"> analysis</w:t>
      </w:r>
      <w:r w:rsidR="00C93812">
        <w:rPr>
          <w:rFonts w:ascii="Calibri Light" w:hAnsi="Calibri Light"/>
        </w:rPr>
        <w:t xml:space="preserve"> </w:t>
      </w:r>
      <w:r w:rsidR="003A652E" w:rsidRPr="00A91D43">
        <w:rPr>
          <w:rFonts w:ascii="Calibri Light" w:hAnsi="Calibri Light"/>
        </w:rPr>
        <w:t>(if the associated cost to analyst of obtaining d</w:t>
      </w:r>
      <w:r w:rsidR="00CF48FB">
        <w:rPr>
          <w:rFonts w:ascii="Calibri Light" w:hAnsi="Calibri Light"/>
        </w:rPr>
        <w:t>ata is not prohibitively high).</w:t>
      </w:r>
    </w:p>
    <w:p w14:paraId="71604BA5" w14:textId="77777777" w:rsidR="00A647E8" w:rsidRPr="00A91D43" w:rsidRDefault="00A647E8">
      <w:pPr>
        <w:rPr>
          <w:rFonts w:ascii="Calibri Light" w:hAnsi="Calibri Light"/>
        </w:rPr>
      </w:pPr>
      <w:r w:rsidRPr="00A91D43">
        <w:rPr>
          <w:rFonts w:ascii="Calibri Light" w:hAnsi="Calibri Light"/>
        </w:rPr>
        <w:br w:type="page"/>
      </w:r>
    </w:p>
    <w:p w14:paraId="1642E8BD" w14:textId="77777777" w:rsidR="00E42AF9" w:rsidRDefault="00E42AF9" w:rsidP="00E42AF9">
      <w:pPr>
        <w:pStyle w:val="Heading2"/>
      </w:pPr>
      <w:r>
        <w:t>References</w:t>
      </w:r>
    </w:p>
    <w:p w14:paraId="2FF229E0" w14:textId="31351DAB" w:rsidR="000866A8" w:rsidRPr="000866A8" w:rsidRDefault="00CF09D0" w:rsidP="000866A8">
      <w:pPr>
        <w:widowControl w:val="0"/>
        <w:autoSpaceDE w:val="0"/>
        <w:autoSpaceDN w:val="0"/>
        <w:adjustRightInd w:val="0"/>
        <w:spacing w:line="240" w:lineRule="auto"/>
        <w:ind w:left="640" w:hanging="640"/>
        <w:rPr>
          <w:rFonts w:ascii="Calibri Light" w:hAnsi="Calibri Light" w:cs="Times New Roman"/>
          <w:noProof/>
          <w:szCs w:val="24"/>
        </w:rPr>
      </w:pPr>
      <w:r w:rsidRPr="00A91D43">
        <w:rPr>
          <w:rFonts w:ascii="Calibri Light" w:hAnsi="Calibri Light"/>
        </w:rPr>
        <w:fldChar w:fldCharType="begin" w:fldLock="1"/>
      </w:r>
      <w:r w:rsidR="00E42AF9" w:rsidRPr="00A91D43">
        <w:rPr>
          <w:rFonts w:ascii="Calibri Light" w:hAnsi="Calibri Light"/>
        </w:rPr>
        <w:instrText xml:space="preserve">ADDIN Mendeley Bibliography CSL_BIBLIOGRAPHY </w:instrText>
      </w:r>
      <w:r w:rsidRPr="00A91D43">
        <w:rPr>
          <w:rFonts w:ascii="Calibri Light" w:hAnsi="Calibri Light"/>
        </w:rPr>
        <w:fldChar w:fldCharType="separate"/>
      </w:r>
      <w:r w:rsidR="000866A8" w:rsidRPr="000866A8">
        <w:rPr>
          <w:rFonts w:ascii="Calibri Light" w:hAnsi="Calibri Light" w:cs="Times New Roman"/>
          <w:noProof/>
          <w:szCs w:val="24"/>
        </w:rPr>
        <w:t xml:space="preserve">1. </w:t>
      </w:r>
      <w:r w:rsidR="000866A8" w:rsidRPr="000866A8">
        <w:rPr>
          <w:rFonts w:ascii="Calibri Light" w:hAnsi="Calibri Light" w:cs="Times New Roman"/>
          <w:noProof/>
          <w:szCs w:val="24"/>
        </w:rPr>
        <w:tab/>
        <w:t>Hawkes N. NICE guidelines could put 12 million UK adults on statins. BMJ [Internet]. 2017 [cited 2017 Aug 4];358. Available from: http://www.bmj.com/content/358/bmj.j3674</w:t>
      </w:r>
    </w:p>
    <w:p w14:paraId="783D35D1"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 </w:t>
      </w:r>
      <w:r w:rsidRPr="000866A8">
        <w:rPr>
          <w:rFonts w:ascii="Calibri Light" w:hAnsi="Calibri Light" w:cs="Times New Roman"/>
          <w:noProof/>
          <w:szCs w:val="24"/>
        </w:rPr>
        <w:tab/>
        <w:t>NICE. Transcatheter aortic valve implantation for aortic stenosis. NICE; 2017 [cited 2017 Aug 4]; Available from: https://www.nice.org.uk/guidance/ipg586/chapter/1-Recommendations</w:t>
      </w:r>
    </w:p>
    <w:p w14:paraId="5F469539"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 </w:t>
      </w:r>
      <w:r w:rsidRPr="000866A8">
        <w:rPr>
          <w:rFonts w:ascii="Calibri Light" w:hAnsi="Calibri Light" w:cs="Times New Roman"/>
          <w:noProof/>
          <w:szCs w:val="24"/>
        </w:rPr>
        <w:tab/>
        <w:t>Morton A, Adler AI, Bell D, Briggs A, Brouwer W, Claxton K, et al. Unrelated Future Costs and Unrelated Future Benefits: Reflections on NICE Guide to the Methods of Technology Appraisal. Health Econ [Internet]. 2016 Aug [cited 2016 Jul 15];25(8):933–8. Available from: http://doi.wiley.com/10.1002/hec.3366</w:t>
      </w:r>
    </w:p>
    <w:p w14:paraId="31D7A71D"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 </w:t>
      </w:r>
      <w:r w:rsidRPr="000866A8">
        <w:rPr>
          <w:rFonts w:ascii="Calibri Light" w:hAnsi="Calibri Light" w:cs="Times New Roman"/>
          <w:noProof/>
          <w:szCs w:val="24"/>
        </w:rPr>
        <w:tab/>
        <w:t>van Baal P, Meltzer D, Brouwer W. Future Costs, Fixed Healthcare Budgets, and the Decision Rules of Cost-Effectiveness Analysis. Health Econ [Internet]. 2016 Feb [cited 2016 Mar 25];25(2):237–48. Available from: http://doi.wiley.com/10.1002/hec.3138</w:t>
      </w:r>
    </w:p>
    <w:p w14:paraId="3932E398"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5. </w:t>
      </w:r>
      <w:r w:rsidRPr="000866A8">
        <w:rPr>
          <w:rFonts w:ascii="Calibri Light" w:hAnsi="Calibri Light" w:cs="Times New Roman"/>
          <w:noProof/>
          <w:szCs w:val="24"/>
        </w:rPr>
        <w:tab/>
        <w:t xml:space="preserve">Drummond M, Sculpher M, Claxton K, Stoddart G, Torrance G. Methods for the Economic Evaluation of Health Care Programmes. 2015. </w:t>
      </w:r>
    </w:p>
    <w:p w14:paraId="705212CF"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6. </w:t>
      </w:r>
      <w:r w:rsidRPr="000866A8">
        <w:rPr>
          <w:rFonts w:ascii="Calibri Light" w:hAnsi="Calibri Light" w:cs="Times New Roman"/>
          <w:noProof/>
          <w:szCs w:val="24"/>
        </w:rPr>
        <w:tab/>
        <w:t>Meltzer D. Future Costs in Medical Cost-effectiveness Analysis. In: The Elgar Companion to Health Economics, Second Edition [Internet]. Edward Elgar Publishing; 2012 [cited 2016 Mar 25]. Available from: http://www.elgaronline.com/view/9781849802673.00062.xml</w:t>
      </w:r>
    </w:p>
    <w:p w14:paraId="17A8922D"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7. </w:t>
      </w:r>
      <w:r w:rsidRPr="000866A8">
        <w:rPr>
          <w:rFonts w:ascii="Calibri Light" w:hAnsi="Calibri Light" w:cs="Times New Roman"/>
          <w:noProof/>
          <w:szCs w:val="24"/>
        </w:rPr>
        <w:tab/>
        <w:t>van Baal P, Morton A, Brouwer W, Meltzer D, Davis S. Should cost effectiveness analyses for NICE always consider future unrelated medical costs? BMJ [Internet]. British Medical Journal Publishing Group; 2017 Nov 10 [cited 2017 Nov 16];359:j5096. Available from: http://www.ncbi.nlm.nih.gov/pubmed/29127081</w:t>
      </w:r>
    </w:p>
    <w:p w14:paraId="38FC8F4E"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8. </w:t>
      </w:r>
      <w:r w:rsidRPr="000866A8">
        <w:rPr>
          <w:rFonts w:ascii="Calibri Light" w:hAnsi="Calibri Light" w:cs="Times New Roman"/>
          <w:noProof/>
          <w:szCs w:val="24"/>
        </w:rPr>
        <w:tab/>
        <w:t>Walker S, Sculpher M, Claxton K, Palmer S. Coverage with Evidence Development, Only in Research, Risk Sharing, or Patient Access Scheme? A Framework for Coverage Decisions. Value Heal [Internet]. 2012 May [cited 2017 Jul 31];15(3):570–9. Available from: http://www.ncbi.nlm.nih.gov/pubmed/22583469</w:t>
      </w:r>
    </w:p>
    <w:p w14:paraId="4C127DB3"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9. </w:t>
      </w:r>
      <w:r w:rsidRPr="000866A8">
        <w:rPr>
          <w:rFonts w:ascii="Calibri Light" w:hAnsi="Calibri Light" w:cs="Times New Roman"/>
          <w:noProof/>
          <w:szCs w:val="24"/>
        </w:rPr>
        <w:tab/>
        <w:t>Claxton K, Palmer S, Longworth L, Bojke L, Griffin S, McKenna C, et al. Informing a decision framework for when NICE should recommend the use of health technologies only in the context of an appropriately designed programme of evidence development. Health Technol Assess [Internet]. 2012 Jan [cited 2015 Dec 6];16(46):1–323. Available from: http://www.ncbi.nlm.nih.gov/pubmed/23177626</w:t>
      </w:r>
    </w:p>
    <w:p w14:paraId="7C6D181C"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10. </w:t>
      </w:r>
      <w:r w:rsidRPr="000866A8">
        <w:rPr>
          <w:rFonts w:ascii="Calibri Light" w:hAnsi="Calibri Light" w:cs="Times New Roman"/>
          <w:noProof/>
          <w:szCs w:val="24"/>
        </w:rPr>
        <w:tab/>
        <w:t>Claxton K, Palmer S, Longworth L, Bojke L, Griffin S, Soares M, et al. A Comprehensive Algorithm for Approval of Health Technologies With, Without, or Only in Research: The Key Principles for Informing Coverage Decisions. Value Heal [Internet]. 2016 Sep [cited 2017 Jul 31];19(6):885–91. Available from: http://www.ncbi.nlm.nih.gov/pubmed/27712718</w:t>
      </w:r>
    </w:p>
    <w:p w14:paraId="0042F372"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11. </w:t>
      </w:r>
      <w:r w:rsidRPr="000866A8">
        <w:rPr>
          <w:rFonts w:ascii="Calibri Light" w:hAnsi="Calibri Light" w:cs="Times New Roman"/>
          <w:noProof/>
          <w:szCs w:val="24"/>
        </w:rPr>
        <w:tab/>
        <w:t>Garber AM, Phelps CE. Future costs and the future of cost-effectiveness analysis. J Health Econ [Internet]. 2008 Jul [cited 2016 Mar 25];27(4):819–21. Available from: http://linkinghub.elsevier.com/retrieve/pii/S0167629608000386</w:t>
      </w:r>
    </w:p>
    <w:p w14:paraId="238206E7"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12. </w:t>
      </w:r>
      <w:r w:rsidRPr="000866A8">
        <w:rPr>
          <w:rFonts w:ascii="Calibri Light" w:hAnsi="Calibri Light" w:cs="Times New Roman"/>
          <w:noProof/>
          <w:szCs w:val="24"/>
        </w:rPr>
        <w:tab/>
        <w:t>NICE. Guide to the methods of technology appraisal. NICE; 2013 [cited 2017 Jul 31]; Available from: https://www.nice.org.uk/process/pmg9/chapter/foreword</w:t>
      </w:r>
    </w:p>
    <w:p w14:paraId="4E4F7F05"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13. </w:t>
      </w:r>
      <w:r w:rsidRPr="000866A8">
        <w:rPr>
          <w:rFonts w:ascii="Calibri Light" w:hAnsi="Calibri Light" w:cs="Times New Roman"/>
          <w:noProof/>
          <w:szCs w:val="24"/>
        </w:rPr>
        <w:tab/>
        <w:t>Russell LB. Is prevention better than cure? [Internet]. Brookings Institution; 1986 [cited 2017 Nov 16]. 134 p. Available from: https://books.google.co.uk/books/about/Is_Prevention_Better_Than_Cure.html?id=9S5bDPZy</w:t>
      </w:r>
      <w:r w:rsidRPr="000866A8">
        <w:rPr>
          <w:rFonts w:ascii="Calibri Light" w:hAnsi="Calibri Light" w:cs="Times New Roman"/>
          <w:noProof/>
          <w:szCs w:val="24"/>
        </w:rPr>
        <w:lastRenderedPageBreak/>
        <w:t>6j0C&amp;redir_esc=y</w:t>
      </w:r>
    </w:p>
    <w:p w14:paraId="5AC8C665"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14. </w:t>
      </w:r>
      <w:r w:rsidRPr="000866A8">
        <w:rPr>
          <w:rFonts w:ascii="Calibri Light" w:hAnsi="Calibri Light" w:cs="Times New Roman"/>
          <w:noProof/>
          <w:szCs w:val="24"/>
        </w:rPr>
        <w:tab/>
        <w:t>Davis S, Akehurst R. How Do We Evaluate Technologies That Are Not Cost Effective at Zero Price? Value and Outcomes Spotlight [Internet]. 2016 [cited 2017 Nov 16];359:6–8. Available from: https://www.ispor.org/health-policy_technologies_costs.pdf</w:t>
      </w:r>
    </w:p>
    <w:p w14:paraId="636FF9E4"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15. </w:t>
      </w:r>
      <w:r w:rsidRPr="000866A8">
        <w:rPr>
          <w:rFonts w:ascii="Calibri Light" w:hAnsi="Calibri Light" w:cs="Times New Roman"/>
          <w:noProof/>
          <w:szCs w:val="24"/>
        </w:rPr>
        <w:tab/>
        <w:t>Sanders GD, Neumann PJ, Basu A, Brock DW, Feeny D, Krahn M, et al. Recommendations for Conduct, Methodological Practices, and Reporting of Cost-effectiveness Analyses. JAMA [Internet]. 2016 Sep 13 [cited 2017 Jul 31];316(10):1093. Available from: http://www.ncbi.nlm.nih.gov/pubmed/27623463</w:t>
      </w:r>
    </w:p>
    <w:p w14:paraId="59D27A91"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16. </w:t>
      </w:r>
      <w:r w:rsidRPr="000866A8">
        <w:rPr>
          <w:rFonts w:ascii="Calibri Light" w:hAnsi="Calibri Light" w:cs="Times New Roman"/>
          <w:noProof/>
          <w:szCs w:val="24"/>
        </w:rPr>
        <w:tab/>
        <w:t>LFN. General guidelines for economic evaluations from the Pharmaceutical Benefits Board. 2003 [cited 2017 Jul 31]; Available from: https://www.tlv.se/Upload/English/Guidelines-for-economic-evaluations-LFNAR-2003-2.pdf</w:t>
      </w:r>
    </w:p>
    <w:p w14:paraId="7AB4E53D"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17. </w:t>
      </w:r>
      <w:r w:rsidRPr="000866A8">
        <w:rPr>
          <w:rFonts w:ascii="Calibri Light" w:hAnsi="Calibri Light" w:cs="Times New Roman"/>
          <w:noProof/>
          <w:szCs w:val="24"/>
        </w:rPr>
        <w:tab/>
        <w:t>Zorginstituut Nederland. Richtlijn voor het uitvoeren van economische evaluaties in de gezondheidszorg [Internet]. 2015 [cited 2017 Nov 16]. Available from: https://www.zorginstituutnederland.nl/publicaties/publicatie/2016/02/29/richtlijn-voor-het-uitvoeren-van-economische-evaluaties-in-de-gezondheidszorg</w:t>
      </w:r>
    </w:p>
    <w:p w14:paraId="08CB49D4"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18. </w:t>
      </w:r>
      <w:r w:rsidRPr="000866A8">
        <w:rPr>
          <w:rFonts w:ascii="Calibri Light" w:hAnsi="Calibri Light" w:cs="Times New Roman"/>
          <w:noProof/>
          <w:szCs w:val="24"/>
        </w:rPr>
        <w:tab/>
        <w:t>van Baal PHM, Feenstra TL, Hoogenveen RT, Ardine de Wit G, Brouwer WBF. Unrelated medical care in life years gained and the cost utility of primary prevention: in search of a “perfect” cost–utility ratio. Health Econ [Internet]. John Wiley &amp; Sons, Ltd.; 2007 Apr 1 [cited 2017 Jul 31];16(4):421–33. Available from: http://doi.wiley.com/10.1002/hec.1181</w:t>
      </w:r>
    </w:p>
    <w:p w14:paraId="79DBF672"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19. </w:t>
      </w:r>
      <w:r w:rsidRPr="000866A8">
        <w:rPr>
          <w:rFonts w:ascii="Calibri Light" w:hAnsi="Calibri Light" w:cs="Times New Roman"/>
          <w:noProof/>
          <w:szCs w:val="24"/>
        </w:rPr>
        <w:tab/>
        <w:t>Rapsomaniki E, Shah A, Perel P, Denaxas S, George J, Nicholas O, et al. Prognostic models for stable coronary artery disease based on electronic health record cohort of 102 023 patients. Eur Heart J [Internet]. Oxford University Press; 2014 Apr 1 [cited 2017 Aug 7];35(13):844–52. Available from: https://academic.oup.com/eurheartj/article-lookup/doi/10.1093/eurheartj/eht533</w:t>
      </w:r>
    </w:p>
    <w:p w14:paraId="068A689B"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20. </w:t>
      </w:r>
      <w:r w:rsidRPr="000866A8">
        <w:rPr>
          <w:rFonts w:ascii="Calibri Light" w:hAnsi="Calibri Light" w:cs="Times New Roman"/>
          <w:noProof/>
          <w:szCs w:val="24"/>
        </w:rPr>
        <w:tab/>
        <w:t xml:space="preserve">Townsend N, Wickramasinghe K, Bhatnagar P, Smolina K, Nichols M, Leal J, et al. Coronary heart disease statistics A compendium of health statistics 2012 edition. Br Hear Found London. 2012; </w:t>
      </w:r>
    </w:p>
    <w:p w14:paraId="06DBB916"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21. </w:t>
      </w:r>
      <w:r w:rsidRPr="000866A8">
        <w:rPr>
          <w:rFonts w:ascii="Calibri Light" w:hAnsi="Calibri Light" w:cs="Times New Roman"/>
          <w:noProof/>
          <w:szCs w:val="24"/>
        </w:rPr>
        <w:tab/>
        <w:t>Wailoo A, Goodacre S, Sampson F, Alava MH, Asseburg C, Palmer S, et al. Primary angioplasty versus thrombolysis for acute ST-elevation myocardial infarction: an economic analysis of the National Infarct Angioplasty project. Heart [Internet]. 2010 May 1 [cited 2017 Nov 17];96(9):668–72. Available from: http://www.ncbi.nlm.nih.gov/pubmed/19508972</w:t>
      </w:r>
    </w:p>
    <w:p w14:paraId="36582C00"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22. </w:t>
      </w:r>
      <w:r w:rsidRPr="000866A8">
        <w:rPr>
          <w:rFonts w:ascii="Calibri Light" w:hAnsi="Calibri Light" w:cs="Times New Roman"/>
          <w:noProof/>
          <w:szCs w:val="24"/>
        </w:rPr>
        <w:tab/>
        <w:t>Fitzgerald P, Goodacre SW, Cross E, Dixon S. Cost-effectiveness of Point-of-care Biomarker Assessment for Suspected Myocardial Infarction: The Randomized Assessment of Treatment Using Panel Assay of Cardiac Markers (RATPAC) Trial. Acad Emerg Med [Internet]. 2011 May [cited 2017 Nov 17];18(5):488–95. Available from: http://www.ncbi.nlm.nih.gov/pubmed/21569168</w:t>
      </w:r>
    </w:p>
    <w:p w14:paraId="6F9CDFE0"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23. </w:t>
      </w:r>
      <w:r w:rsidRPr="000866A8">
        <w:rPr>
          <w:rFonts w:ascii="Calibri Light" w:hAnsi="Calibri Light" w:cs="Times New Roman"/>
          <w:noProof/>
          <w:szCs w:val="24"/>
        </w:rPr>
        <w:tab/>
        <w:t>Welsh RC, Sauriol L, Zhang Z, Kolm P, Weintraub WS, Theroux P. Cost-effectiveness of enoxaparin compared with unfractionated heparin in ST elevation myocardial infarction patients undergoing pharmacological reperfusion: a Canadian analysis of the Enoxaparin and Thrombolysis Reperfusion for Acute Myocardial Infarction Treatment - Thrombolysis in Myocardial Infarction (ExTRACT-TIMI) 25 trial. Can J Cardiol [Internet]. 2009 Dec [cited 2017 Nov 17];25(12):e399-405. Available from: http://www.ncbi.nlm.nih.gov/pubmed/19960133</w:t>
      </w:r>
    </w:p>
    <w:p w14:paraId="70459972"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24. </w:t>
      </w:r>
      <w:r w:rsidRPr="000866A8">
        <w:rPr>
          <w:rFonts w:ascii="Calibri Light" w:hAnsi="Calibri Light" w:cs="Times New Roman"/>
          <w:noProof/>
          <w:szCs w:val="24"/>
        </w:rPr>
        <w:tab/>
        <w:t xml:space="preserve">Choudhry NK, Patrick AR, Antman EM, Avorn J, Shrank WH. Cost-Effectiveness of Providing Full Drug Coverage to Increase Medication Adherence in Post-Myocardial Infarction Medicare Beneficiaries. Circulation [Internet]. 2008 Mar 11 [cited 2017 Nov 17];117(10):1261–8. </w:t>
      </w:r>
      <w:r w:rsidRPr="000866A8">
        <w:rPr>
          <w:rFonts w:ascii="Calibri Light" w:hAnsi="Calibri Light" w:cs="Times New Roman"/>
          <w:noProof/>
          <w:szCs w:val="24"/>
        </w:rPr>
        <w:lastRenderedPageBreak/>
        <w:t>Available from: http://www.ncbi.nlm.nih.gov/pubmed/18285564</w:t>
      </w:r>
    </w:p>
    <w:p w14:paraId="391C9B08"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25. </w:t>
      </w:r>
      <w:r w:rsidRPr="000866A8">
        <w:rPr>
          <w:rFonts w:ascii="Calibri Light" w:hAnsi="Calibri Light" w:cs="Times New Roman"/>
          <w:noProof/>
          <w:szCs w:val="24"/>
        </w:rPr>
        <w:tab/>
        <w:t>Ladapo JA, Jaffer FA, Weinstein MC, Froelicher ES. Projected Cost-effectiveness of Smoking Cessation Interventions in Patients Hospitalized With Myocardial Infarction. Arch Intern Med [Internet]. 2011 Jan 10 [cited 2017 Nov 17];171(1):39–45. Available from: http://www.ncbi.nlm.nih.gov/pubmed/21220659</w:t>
      </w:r>
    </w:p>
    <w:p w14:paraId="19745C0C"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26. </w:t>
      </w:r>
      <w:r w:rsidRPr="000866A8">
        <w:rPr>
          <w:rFonts w:ascii="Calibri Light" w:hAnsi="Calibri Light" w:cs="Times New Roman"/>
          <w:noProof/>
          <w:szCs w:val="24"/>
        </w:rPr>
        <w:tab/>
        <w:t>Berg J, Lindgren P, Spiesser J, Parry D, Jönsson B. Cost-effectiveness of clopidogrel in myocardial infarction with ST-segment elevation: A European model based on the CLARITY and COMMIT trials. Clin Ther [Internet]. 2007 Jun [cited 2017 Nov 17];29(6):1184–202. Available from: http://www.ncbi.nlm.nih.gov/pubmed/17692733</w:t>
      </w:r>
    </w:p>
    <w:p w14:paraId="1FFBFF8B"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27. </w:t>
      </w:r>
      <w:r w:rsidRPr="000866A8">
        <w:rPr>
          <w:rFonts w:ascii="Calibri Light" w:hAnsi="Calibri Light" w:cs="Times New Roman"/>
          <w:noProof/>
          <w:szCs w:val="24"/>
        </w:rPr>
        <w:tab/>
        <w:t>Bäumler M, Stargardt T, Schreyögg J, Busse R. Cost Effectiveness of Drug-Eluting Stents in Acute Myocardial Infarction Patients in Germany. Appl Health Econ Health Policy [Internet]. 2012 Jul 1 [cited 2017 Nov 17];10(4):235–48. Available from: http://www.ncbi.nlm.nih.gov/pubmed/22574616</w:t>
      </w:r>
    </w:p>
    <w:p w14:paraId="21874067"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28. </w:t>
      </w:r>
      <w:r w:rsidRPr="000866A8">
        <w:rPr>
          <w:rFonts w:ascii="Calibri Light" w:hAnsi="Calibri Light" w:cs="Times New Roman"/>
          <w:noProof/>
          <w:szCs w:val="24"/>
        </w:rPr>
        <w:tab/>
        <w:t>Asaria M, Walker S, Palmer S, Gale CP, Shah AD, Abrams KR, et al. Using electronic health records to predict costs and outcomes in stable coronary artery disease. Heart [Internet]. 2016 May 15 [cited 2017 Aug 1];102(10):755–62. Available from: http://heart.bmj.com/lookup/doi/10.1136/heartjnl-2015-308850</w:t>
      </w:r>
    </w:p>
    <w:p w14:paraId="5CBE7F24"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29. </w:t>
      </w:r>
      <w:r w:rsidRPr="000866A8">
        <w:rPr>
          <w:rFonts w:ascii="Calibri Light" w:hAnsi="Calibri Light" w:cs="Times New Roman"/>
          <w:noProof/>
          <w:szCs w:val="24"/>
        </w:rPr>
        <w:tab/>
        <w:t>Denaxas SC, George J, Herrett E, Shah AD, Kalra D, Hingorani AD, et al. Data Resource Profile: Cardiovascular disease research using linked bespoke studies and electronic health records (CALIBER). Int J Epidemiol [Internet]. Routledge, London; 2012 Dec 1 [cited 2017 Aug 1];41(6):1625–38. Available from: https://academic.oup.com/ije/article-lookup/doi/10.1093/ije/dys188</w:t>
      </w:r>
    </w:p>
    <w:p w14:paraId="13206C1C"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30. </w:t>
      </w:r>
      <w:r w:rsidRPr="000866A8">
        <w:rPr>
          <w:rFonts w:ascii="Calibri Light" w:hAnsi="Calibri Light" w:cs="Times New Roman"/>
          <w:noProof/>
          <w:szCs w:val="24"/>
        </w:rPr>
        <w:tab/>
        <w:t>Meltzer D, Egleston B, Stoffel D, Dasbach E. Effect of Future Costs on Cost-Effectiveness of Medical Interventions Among Young Adults. Med Care [Internet]. 2000 Jun [cited 2016 Mar 25];38(6):679–85. Available from: http://content.wkhealth.com/linkback/openurl?sid=WKPTLP:landingpage&amp;an=00005650-200006000-00009</w:t>
      </w:r>
    </w:p>
    <w:p w14:paraId="5DE03474"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31. </w:t>
      </w:r>
      <w:r w:rsidRPr="000866A8">
        <w:rPr>
          <w:rFonts w:ascii="Calibri Light" w:hAnsi="Calibri Light" w:cs="Times New Roman"/>
          <w:noProof/>
          <w:szCs w:val="24"/>
        </w:rPr>
        <w:tab/>
        <w:t>Manns B, Meltzer D, Taub K, Donaldson C. Illustrating the impact of including future costs in economic evaluations: an application to end-stage renal disease care. Health Econ [Internet]. 2003 Nov [cited 2016 Mar 25];12(11):949–58. Available from: http://doi.wiley.com/10.1002/hec.790</w:t>
      </w:r>
    </w:p>
    <w:p w14:paraId="7D492E83"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32. </w:t>
      </w:r>
      <w:r w:rsidRPr="000866A8">
        <w:rPr>
          <w:rFonts w:ascii="Calibri Light" w:hAnsi="Calibri Light" w:cs="Times New Roman"/>
          <w:noProof/>
          <w:szCs w:val="24"/>
        </w:rPr>
        <w:tab/>
        <w:t>Kruse M, Sørensen J, Gyrd-Hansen D. Future costs in cost-effectiveness analysis: an empirical assessment. Eur J Heal Econ [Internet]. 2012 Feb 28 [cited 2016 Mar 25];13(1):63–70. Available from: http://link.springer.com/10.1007/s10198-010-0280-0</w:t>
      </w:r>
    </w:p>
    <w:p w14:paraId="7B8A58C3"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33. </w:t>
      </w:r>
      <w:r w:rsidRPr="000866A8">
        <w:rPr>
          <w:rFonts w:ascii="Calibri Light" w:hAnsi="Calibri Light" w:cs="Times New Roman"/>
          <w:noProof/>
          <w:szCs w:val="24"/>
        </w:rPr>
        <w:tab/>
        <w:t>van Baal PHM, Wong A, Slobbe LCJ, Polder JJ, Brouwer WBF, de Wit GA. Standardizing the Inclusion of Indirect Medical Costs in Economic Evaluations. Pharmacoeconomics [Internet]. Springer International Publishing; 2011 Mar [cited 2017 Aug 1];29(3):175–87. Available from: http://link.springer.com/10.2165/11586130-000000000-00000</w:t>
      </w:r>
    </w:p>
    <w:p w14:paraId="057C36BE"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34. </w:t>
      </w:r>
      <w:r w:rsidRPr="000866A8">
        <w:rPr>
          <w:rFonts w:ascii="Calibri Light" w:hAnsi="Calibri Light" w:cs="Times New Roman"/>
          <w:noProof/>
          <w:szCs w:val="24"/>
        </w:rPr>
        <w:tab/>
        <w:t>Asaria M. Health care costs in the English NHS : reference tables for average annual NHS spend by age, sex and deprivation group. CHE Res Pap [Internet]. 2017 [cited 2017 Aug 5];(147). Available from: https://pure.york.ac.uk/portal/en/publications/health-care-costs-in-the-english-nhs(afaeffbd-5d6b-42f9-913d-ad781b4b1fc8)/export.html</w:t>
      </w:r>
    </w:p>
    <w:p w14:paraId="094CBAEB"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35. </w:t>
      </w:r>
      <w:r w:rsidRPr="000866A8">
        <w:rPr>
          <w:rFonts w:ascii="Calibri Light" w:hAnsi="Calibri Light" w:cs="Times New Roman"/>
          <w:noProof/>
          <w:szCs w:val="24"/>
        </w:rPr>
        <w:tab/>
        <w:t>Seshamani M, Gray A. Ageing and health-care expenditure: the red herring argument revisited. Health Econ [Internet]. 2004 Apr [cited 2017 Nov 17];13(4):303–14. Available from: http://www.ncbi.nlm.nih.gov/pubmed/15067669</w:t>
      </w:r>
    </w:p>
    <w:p w14:paraId="5FAB7D12"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lastRenderedPageBreak/>
        <w:t xml:space="preserve">36. </w:t>
      </w:r>
      <w:r w:rsidRPr="000866A8">
        <w:rPr>
          <w:rFonts w:ascii="Calibri Light" w:hAnsi="Calibri Light" w:cs="Times New Roman"/>
          <w:noProof/>
          <w:szCs w:val="24"/>
        </w:rPr>
        <w:tab/>
        <w:t>Seshamani M, Gray A. A longitudinal study of the effects of age and time to death on hospital costs. J Health Econ [Internet]. North-Holland; 2004 Mar 1 [cited 2017 Nov 17];23(2):217–35. Available from: http://www.sciencedirect.com/science/article/pii/S0167629603000857?via%3Dihub</w:t>
      </w:r>
    </w:p>
    <w:p w14:paraId="50EA021D"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37. </w:t>
      </w:r>
      <w:r w:rsidRPr="000866A8">
        <w:rPr>
          <w:rFonts w:ascii="Calibri Light" w:hAnsi="Calibri Light" w:cs="Times New Roman"/>
          <w:noProof/>
          <w:szCs w:val="24"/>
        </w:rPr>
        <w:tab/>
        <w:t>Kasteridis P, Street A, Dolman M, Gallier L, Hudson K, Martin J, et al. The importance of multimorbidity in explaining utilisation and costs across health and social care settings: evidence from South Somerset’s Symphony Project. 2014 [cited 2017 Nov 17]; Available from: https://www.york.ac.uk/media/che/documents/papers/researchpapers/CHERP96_multimorbidity_utilisation_costs_health_social care.pdf</w:t>
      </w:r>
    </w:p>
    <w:p w14:paraId="3C6005ED"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38. </w:t>
      </w:r>
      <w:r w:rsidRPr="000866A8">
        <w:rPr>
          <w:rFonts w:ascii="Calibri Light" w:hAnsi="Calibri Light" w:cs="Times New Roman"/>
          <w:noProof/>
          <w:szCs w:val="24"/>
        </w:rPr>
        <w:tab/>
        <w:t>Howdon D, Rice N. Health care expenditures, age, proximity to death and morbidity: Implications for an ageing population. J Health Econ [Internet]. 2017 Nov [cited 2017 Nov 17]; Available from: http://linkinghub.elsevier.com/retrieve/pii/S0167629617310020</w:t>
      </w:r>
    </w:p>
    <w:p w14:paraId="4AD02472"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39. </w:t>
      </w:r>
      <w:r w:rsidRPr="000866A8">
        <w:rPr>
          <w:rFonts w:ascii="Calibri Light" w:hAnsi="Calibri Light" w:cs="Times New Roman"/>
          <w:noProof/>
          <w:szCs w:val="24"/>
        </w:rPr>
        <w:tab/>
        <w:t>Briggs AH. A Bayesian approach to stochastic cost-effectiveness analysis. Health Econ [Internet]. 1999 May [cited 2017 Aug 1];8(3):257–61. Available from: http://www.ncbi.nlm.nih.gov/pubmed/10348420</w:t>
      </w:r>
    </w:p>
    <w:p w14:paraId="2E1310F7"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40. </w:t>
      </w:r>
      <w:r w:rsidRPr="000866A8">
        <w:rPr>
          <w:rFonts w:ascii="Calibri Light" w:hAnsi="Calibri Light" w:cs="Times New Roman"/>
          <w:noProof/>
          <w:szCs w:val="24"/>
        </w:rPr>
        <w:tab/>
        <w:t xml:space="preserve">Claxton K. The irrelevance of inference: a decision-making approach to the stochastic evaluation of health care technologies. J Health Econ. 1999 Jun;18(3):341–64. </w:t>
      </w:r>
    </w:p>
    <w:p w14:paraId="2C7EAE9F"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41. </w:t>
      </w:r>
      <w:r w:rsidRPr="000866A8">
        <w:rPr>
          <w:rFonts w:ascii="Calibri Light" w:hAnsi="Calibri Light" w:cs="Times New Roman"/>
          <w:noProof/>
          <w:szCs w:val="24"/>
        </w:rPr>
        <w:tab/>
        <w:t>Rappange D, van Baal P, van Exel N. Unrelated medical costs in Life-Years gained. Pharmacoeconomics [Internet]. 2008 [cited 2016 Mar 25];26(10):815–30. Available from: http://link.springer.com/article/10.2165/00019053-200826100-00003</w:t>
      </w:r>
    </w:p>
    <w:p w14:paraId="12FDC9E7"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42. </w:t>
      </w:r>
      <w:r w:rsidRPr="000866A8">
        <w:rPr>
          <w:rFonts w:ascii="Calibri Light" w:hAnsi="Calibri Light" w:cs="Times New Roman"/>
          <w:noProof/>
          <w:szCs w:val="24"/>
        </w:rPr>
        <w:tab/>
        <w:t>Walker S, Asaria M, Manca A, Palmer S, Gale CP, Shah AD, et al. Long-term healthcare use and costs in patients with stable coronary artery disease: a population-based cohort using linked health records (CALIBER). Eur Hear journal Qual care Clin outcomes [Internet]. Europe PMC Funders; 2016 Jan 20 [cited 2017 Nov 17];2(2):125–40. Available from: http://www.ncbi.nlm.nih.gov/pubmed/27042338</w:t>
      </w:r>
    </w:p>
    <w:p w14:paraId="2D3768FA"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43. </w:t>
      </w:r>
      <w:r w:rsidRPr="000866A8">
        <w:rPr>
          <w:rFonts w:ascii="Calibri Light" w:hAnsi="Calibri Light" w:cs="Times New Roman"/>
          <w:noProof/>
          <w:szCs w:val="24"/>
        </w:rPr>
        <w:tab/>
        <w:t>Curtis L. Unit Costs of Health and Social Care 2012 [Internet]. PSSRU. 2012 [cited 2017 Nov 17]. Available from: http://www.pssru.ac.uk/project-pages/unit-costs/unit-costs-2012/</w:t>
      </w:r>
    </w:p>
    <w:p w14:paraId="41C3124A"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44. </w:t>
      </w:r>
      <w:r w:rsidRPr="000866A8">
        <w:rPr>
          <w:rFonts w:ascii="Calibri Light" w:hAnsi="Calibri Light" w:cs="Times New Roman"/>
          <w:noProof/>
          <w:szCs w:val="24"/>
        </w:rPr>
        <w:tab/>
        <w:t>NHS Information Centre. Prescription Cost Analysis - England, 2012 [Internet]. 2013 [cited 2017 Nov 17]. Available from: https://digital.nhs.uk/catalogue/PUB10610</w:t>
      </w:r>
    </w:p>
    <w:p w14:paraId="73A1880E"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cs="Times New Roman"/>
          <w:noProof/>
          <w:szCs w:val="24"/>
        </w:rPr>
      </w:pPr>
      <w:r w:rsidRPr="000866A8">
        <w:rPr>
          <w:rFonts w:ascii="Calibri Light" w:hAnsi="Calibri Light" w:cs="Times New Roman"/>
          <w:noProof/>
          <w:szCs w:val="24"/>
        </w:rPr>
        <w:t xml:space="preserve">45. </w:t>
      </w:r>
      <w:r w:rsidRPr="000866A8">
        <w:rPr>
          <w:rFonts w:ascii="Calibri Light" w:hAnsi="Calibri Light" w:cs="Times New Roman"/>
          <w:noProof/>
          <w:szCs w:val="24"/>
        </w:rPr>
        <w:tab/>
        <w:t>Department of Health. NHS reference costs: financial year 2011 to 2012 [Internet]. 2012 [cited 2017 Nov 17]. Available from: https://www.gov.uk/government/publications/nhs-reference-costs-financial-year-2011-to-2012</w:t>
      </w:r>
    </w:p>
    <w:p w14:paraId="16ED85DD" w14:textId="77777777" w:rsidR="000866A8" w:rsidRPr="000866A8" w:rsidRDefault="000866A8" w:rsidP="000866A8">
      <w:pPr>
        <w:widowControl w:val="0"/>
        <w:autoSpaceDE w:val="0"/>
        <w:autoSpaceDN w:val="0"/>
        <w:adjustRightInd w:val="0"/>
        <w:spacing w:line="240" w:lineRule="auto"/>
        <w:ind w:left="640" w:hanging="640"/>
        <w:rPr>
          <w:rFonts w:ascii="Calibri Light" w:hAnsi="Calibri Light"/>
          <w:noProof/>
        </w:rPr>
      </w:pPr>
      <w:r w:rsidRPr="000866A8">
        <w:rPr>
          <w:rFonts w:ascii="Calibri Light" w:hAnsi="Calibri Light" w:cs="Times New Roman"/>
          <w:noProof/>
          <w:szCs w:val="24"/>
        </w:rPr>
        <w:t xml:space="preserve">46. </w:t>
      </w:r>
      <w:r w:rsidRPr="000866A8">
        <w:rPr>
          <w:rFonts w:ascii="Calibri Light" w:hAnsi="Calibri Light" w:cs="Times New Roman"/>
          <w:noProof/>
          <w:szCs w:val="24"/>
        </w:rPr>
        <w:tab/>
        <w:t>van Baal PHM van, Hoogendoorn M, Fischer A. Preventing dementia by promoting physical activity and the long-term impact on health and social care expenditures. Prev Med (Baltim) [Internet]. 2016 Apr [cited 2017 Aug 1];85:78–83. Available from: http://linkinghub.elsevier.com/retrieve/pii/S009174351600027X</w:t>
      </w:r>
    </w:p>
    <w:p w14:paraId="26D7F5BF" w14:textId="77777777" w:rsidR="00D24F6F" w:rsidRDefault="00CF09D0" w:rsidP="000866A8">
      <w:pPr>
        <w:widowControl w:val="0"/>
        <w:autoSpaceDE w:val="0"/>
        <w:autoSpaceDN w:val="0"/>
        <w:adjustRightInd w:val="0"/>
        <w:spacing w:line="240" w:lineRule="auto"/>
        <w:ind w:left="640" w:hanging="640"/>
        <w:rPr>
          <w:rFonts w:ascii="Calibri Light" w:hAnsi="Calibri Light"/>
        </w:rPr>
      </w:pPr>
      <w:r w:rsidRPr="00A91D43">
        <w:rPr>
          <w:rFonts w:ascii="Calibri Light" w:hAnsi="Calibri Light"/>
        </w:rPr>
        <w:fldChar w:fldCharType="end"/>
      </w:r>
    </w:p>
    <w:p w14:paraId="187B015B" w14:textId="77777777" w:rsidR="00D24F6F" w:rsidRPr="006177A8" w:rsidRDefault="00D24F6F" w:rsidP="00D24F6F">
      <w:pPr>
        <w:pStyle w:val="Heading2"/>
        <w:rPr>
          <w:color w:val="auto"/>
        </w:rPr>
      </w:pPr>
      <w:r>
        <w:br w:type="page"/>
      </w:r>
      <w:r w:rsidRPr="006177A8">
        <w:rPr>
          <w:color w:val="auto"/>
        </w:rPr>
        <w:lastRenderedPageBreak/>
        <w:t>Appendix</w:t>
      </w:r>
    </w:p>
    <w:p w14:paraId="41EFC0DF" w14:textId="77777777" w:rsidR="00D24F6F" w:rsidRDefault="00D24F6F" w:rsidP="00D24F6F">
      <w:r>
        <w:t>NHS EED was searched using the following search strategy:</w:t>
      </w:r>
    </w:p>
    <w:p w14:paraId="25C7096C" w14:textId="77777777" w:rsidR="00D24F6F" w:rsidRPr="00F74941" w:rsidRDefault="00D24F6F" w:rsidP="00D24F6F">
      <w:pPr>
        <w:rPr>
          <w:rFonts w:ascii="Arial" w:hAnsi="Arial"/>
          <w:color w:val="000000"/>
          <w:sz w:val="19"/>
          <w:szCs w:val="19"/>
          <w:shd w:val="clear" w:color="auto" w:fill="FFFFFF"/>
        </w:rPr>
      </w:pPr>
      <w:r w:rsidRPr="00F74941">
        <w:rPr>
          <w:rFonts w:ascii="Arial" w:hAnsi="Arial"/>
          <w:color w:val="000000"/>
          <w:sz w:val="19"/>
          <w:szCs w:val="19"/>
          <w:shd w:val="clear" w:color="auto" w:fill="FFFFFF"/>
        </w:rPr>
        <w:t>((myocardial infarction)</w:t>
      </w:r>
      <w:proofErr w:type="gramStart"/>
      <w:r w:rsidRPr="00F74941">
        <w:rPr>
          <w:rFonts w:ascii="Arial" w:hAnsi="Arial"/>
          <w:color w:val="000000"/>
          <w:sz w:val="19"/>
          <w:szCs w:val="19"/>
          <w:shd w:val="clear" w:color="auto" w:fill="FFFFFF"/>
        </w:rPr>
        <w:t>:TI</w:t>
      </w:r>
      <w:proofErr w:type="gramEnd"/>
      <w:r w:rsidRPr="00F74941">
        <w:rPr>
          <w:rFonts w:ascii="Arial" w:hAnsi="Arial"/>
          <w:color w:val="000000"/>
          <w:sz w:val="19"/>
          <w:szCs w:val="19"/>
          <w:shd w:val="clear" w:color="auto" w:fill="FFFFFF"/>
        </w:rPr>
        <w:t xml:space="preserve">) and ((Economic </w:t>
      </w:r>
      <w:proofErr w:type="spellStart"/>
      <w:r w:rsidRPr="00F74941">
        <w:rPr>
          <w:rFonts w:ascii="Arial" w:hAnsi="Arial"/>
          <w:color w:val="000000"/>
          <w:sz w:val="19"/>
          <w:szCs w:val="19"/>
          <w:shd w:val="clear" w:color="auto" w:fill="FFFFFF"/>
        </w:rPr>
        <w:t>evaluation:ZDT</w:t>
      </w:r>
      <w:proofErr w:type="spellEnd"/>
      <w:r w:rsidRPr="00F74941">
        <w:rPr>
          <w:rFonts w:ascii="Arial" w:hAnsi="Arial"/>
          <w:color w:val="000000"/>
          <w:sz w:val="19"/>
          <w:szCs w:val="19"/>
          <w:shd w:val="clear" w:color="auto" w:fill="FFFFFF"/>
        </w:rPr>
        <w:t xml:space="preserve"> and </w:t>
      </w:r>
      <w:proofErr w:type="spellStart"/>
      <w:r w:rsidRPr="00F74941">
        <w:rPr>
          <w:rFonts w:ascii="Arial" w:hAnsi="Arial"/>
          <w:color w:val="000000"/>
          <w:sz w:val="19"/>
          <w:szCs w:val="19"/>
          <w:shd w:val="clear" w:color="auto" w:fill="FFFFFF"/>
        </w:rPr>
        <w:t>Abstract:ZPS</w:t>
      </w:r>
      <w:proofErr w:type="spellEnd"/>
      <w:r w:rsidRPr="00F74941">
        <w:rPr>
          <w:rFonts w:ascii="Arial" w:hAnsi="Arial"/>
          <w:color w:val="000000"/>
          <w:sz w:val="19"/>
          <w:szCs w:val="19"/>
          <w:shd w:val="clear" w:color="auto" w:fill="FFFFFF"/>
        </w:rPr>
        <w:t>)) FROM 2006 TO 2016</w:t>
      </w:r>
    </w:p>
    <w:p w14:paraId="5FC148FA" w14:textId="77777777" w:rsidR="00D24F6F" w:rsidRPr="00A647E8" w:rsidRDefault="00D24F6F" w:rsidP="00D24F6F">
      <w:r>
        <w:t>Twenty records were identified of which one was considered to not be a cost-effectiveness analysis, the following nineteen publications were analysed.</w:t>
      </w:r>
    </w:p>
    <w:tbl>
      <w:tblPr>
        <w:tblW w:w="9386" w:type="dxa"/>
        <w:tblInd w:w="95" w:type="dxa"/>
        <w:tblLook w:val="04A0" w:firstRow="1" w:lastRow="0" w:firstColumn="1" w:lastColumn="0" w:noHBand="0" w:noVBand="1"/>
      </w:tblPr>
      <w:tblGrid>
        <w:gridCol w:w="9386"/>
      </w:tblGrid>
      <w:tr w:rsidR="00D24F6F" w:rsidRPr="00E12526" w14:paraId="0FB7C03B" w14:textId="77777777" w:rsidTr="003812A1">
        <w:trPr>
          <w:trHeight w:val="300"/>
        </w:trPr>
        <w:tc>
          <w:tcPr>
            <w:tcW w:w="9386" w:type="dxa"/>
            <w:tcBorders>
              <w:top w:val="nil"/>
              <w:left w:val="nil"/>
              <w:bottom w:val="nil"/>
              <w:right w:val="nil"/>
            </w:tcBorders>
            <w:shd w:val="clear" w:color="auto" w:fill="auto"/>
            <w:noWrap/>
            <w:vAlign w:val="bottom"/>
            <w:hideMark/>
          </w:tcPr>
          <w:p w14:paraId="1519895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10.1016/j.jval.2012.01.004</w:t>
            </w:r>
          </w:p>
        </w:tc>
      </w:tr>
      <w:tr w:rsidR="00D24F6F" w:rsidRPr="00E12526" w14:paraId="64B57C1E" w14:textId="77777777" w:rsidTr="003812A1">
        <w:trPr>
          <w:trHeight w:val="300"/>
        </w:trPr>
        <w:tc>
          <w:tcPr>
            <w:tcW w:w="9386" w:type="dxa"/>
            <w:tcBorders>
              <w:top w:val="nil"/>
              <w:left w:val="nil"/>
              <w:bottom w:val="nil"/>
              <w:right w:val="nil"/>
            </w:tcBorders>
            <w:shd w:val="clear" w:color="auto" w:fill="auto"/>
            <w:noWrap/>
            <w:vAlign w:val="bottom"/>
            <w:hideMark/>
          </w:tcPr>
          <w:p w14:paraId="17564C3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Cost-effectiveness of aldosterone antagonists for the treatment of post-myocardial infarction heart failure</w:t>
            </w:r>
          </w:p>
        </w:tc>
      </w:tr>
      <w:tr w:rsidR="00D24F6F" w:rsidRPr="00E12526" w14:paraId="177F0D9A" w14:textId="77777777" w:rsidTr="003812A1">
        <w:trPr>
          <w:trHeight w:val="300"/>
        </w:trPr>
        <w:tc>
          <w:tcPr>
            <w:tcW w:w="9386" w:type="dxa"/>
            <w:tcBorders>
              <w:top w:val="nil"/>
              <w:left w:val="nil"/>
              <w:bottom w:val="nil"/>
              <w:right w:val="nil"/>
            </w:tcBorders>
            <w:shd w:val="clear" w:color="auto" w:fill="auto"/>
            <w:noWrap/>
            <w:vAlign w:val="bottom"/>
            <w:hideMark/>
          </w:tcPr>
          <w:p w14:paraId="21676AF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McKenna C, Walker S, </w:t>
            </w:r>
            <w:proofErr w:type="spellStart"/>
            <w:r w:rsidRPr="00A647E8">
              <w:rPr>
                <w:rFonts w:eastAsia="Times New Roman" w:cs="Calibri"/>
                <w:color w:val="000000"/>
                <w:lang w:eastAsia="en-GB"/>
              </w:rPr>
              <w:t>Lorgelly</w:t>
            </w:r>
            <w:proofErr w:type="spellEnd"/>
            <w:r w:rsidRPr="00A647E8">
              <w:rPr>
                <w:rFonts w:eastAsia="Times New Roman" w:cs="Calibri"/>
                <w:color w:val="000000"/>
                <w:lang w:eastAsia="en-GB"/>
              </w:rPr>
              <w:t xml:space="preserve"> P, Fenwick E, Burch J, </w:t>
            </w:r>
            <w:proofErr w:type="spellStart"/>
            <w:r w:rsidRPr="00A647E8">
              <w:rPr>
                <w:rFonts w:eastAsia="Times New Roman" w:cs="Calibri"/>
                <w:color w:val="000000"/>
                <w:lang w:eastAsia="en-GB"/>
              </w:rPr>
              <w:t>Suekarran</w:t>
            </w:r>
            <w:proofErr w:type="spellEnd"/>
            <w:r w:rsidRPr="00A647E8">
              <w:rPr>
                <w:rFonts w:eastAsia="Times New Roman" w:cs="Calibri"/>
                <w:color w:val="000000"/>
                <w:lang w:eastAsia="en-GB"/>
              </w:rPr>
              <w:t xml:space="preserve"> S, </w:t>
            </w:r>
            <w:proofErr w:type="spellStart"/>
            <w:r w:rsidRPr="00A647E8">
              <w:rPr>
                <w:rFonts w:eastAsia="Times New Roman" w:cs="Calibri"/>
                <w:color w:val="000000"/>
                <w:lang w:eastAsia="en-GB"/>
              </w:rPr>
              <w:t>Bakhai</w:t>
            </w:r>
            <w:proofErr w:type="spellEnd"/>
            <w:r w:rsidRPr="00A647E8">
              <w:rPr>
                <w:rFonts w:eastAsia="Times New Roman" w:cs="Calibri"/>
                <w:color w:val="000000"/>
                <w:lang w:eastAsia="en-GB"/>
              </w:rPr>
              <w:t xml:space="preserve"> A, Witte K, Harden M, Wright K, </w:t>
            </w:r>
            <w:proofErr w:type="spellStart"/>
            <w:r w:rsidRPr="00A647E8">
              <w:rPr>
                <w:rFonts w:eastAsia="Times New Roman" w:cs="Calibri"/>
                <w:color w:val="000000"/>
                <w:lang w:eastAsia="en-GB"/>
              </w:rPr>
              <w:t>Woolacott</w:t>
            </w:r>
            <w:proofErr w:type="spellEnd"/>
            <w:r w:rsidRPr="00A647E8">
              <w:rPr>
                <w:rFonts w:eastAsia="Times New Roman" w:cs="Calibri"/>
                <w:color w:val="000000"/>
                <w:lang w:eastAsia="en-GB"/>
              </w:rPr>
              <w:t xml:space="preserve"> N, Palmer S</w:t>
            </w:r>
          </w:p>
        </w:tc>
      </w:tr>
      <w:tr w:rsidR="00D24F6F" w:rsidRPr="00E12526" w14:paraId="396ADC1F" w14:textId="77777777" w:rsidTr="003812A1">
        <w:trPr>
          <w:trHeight w:val="300"/>
        </w:trPr>
        <w:tc>
          <w:tcPr>
            <w:tcW w:w="9386" w:type="dxa"/>
            <w:tcBorders>
              <w:top w:val="nil"/>
              <w:left w:val="nil"/>
              <w:bottom w:val="nil"/>
              <w:right w:val="nil"/>
            </w:tcBorders>
            <w:shd w:val="clear" w:color="auto" w:fill="auto"/>
            <w:noWrap/>
            <w:vAlign w:val="bottom"/>
            <w:hideMark/>
          </w:tcPr>
          <w:p w14:paraId="00398333"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Value in Health</w:t>
            </w:r>
          </w:p>
        </w:tc>
      </w:tr>
      <w:tr w:rsidR="00D24F6F" w:rsidRPr="00E12526" w14:paraId="26ACC39A" w14:textId="77777777" w:rsidTr="003812A1">
        <w:trPr>
          <w:trHeight w:val="300"/>
        </w:trPr>
        <w:tc>
          <w:tcPr>
            <w:tcW w:w="9386" w:type="dxa"/>
            <w:tcBorders>
              <w:top w:val="nil"/>
              <w:left w:val="nil"/>
              <w:bottom w:val="nil"/>
              <w:right w:val="nil"/>
            </w:tcBorders>
            <w:shd w:val="clear" w:color="auto" w:fill="auto"/>
            <w:noWrap/>
            <w:vAlign w:val="bottom"/>
            <w:hideMark/>
          </w:tcPr>
          <w:p w14:paraId="538B6BA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2012</w:t>
            </w:r>
          </w:p>
        </w:tc>
      </w:tr>
      <w:tr w:rsidR="00D24F6F" w:rsidRPr="00E12526" w14:paraId="2DE63F89" w14:textId="77777777" w:rsidTr="003812A1">
        <w:trPr>
          <w:trHeight w:val="300"/>
        </w:trPr>
        <w:tc>
          <w:tcPr>
            <w:tcW w:w="9386" w:type="dxa"/>
            <w:tcBorders>
              <w:top w:val="nil"/>
              <w:left w:val="nil"/>
              <w:bottom w:val="nil"/>
              <w:right w:val="nil"/>
            </w:tcBorders>
            <w:shd w:val="clear" w:color="auto" w:fill="auto"/>
            <w:noWrap/>
            <w:vAlign w:val="bottom"/>
            <w:hideMark/>
          </w:tcPr>
          <w:p w14:paraId="4CD8A2B1"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15(3)</w:t>
            </w:r>
          </w:p>
        </w:tc>
      </w:tr>
      <w:tr w:rsidR="00D24F6F" w:rsidRPr="00E12526" w14:paraId="712E8F44" w14:textId="77777777" w:rsidTr="003812A1">
        <w:trPr>
          <w:trHeight w:val="300"/>
        </w:trPr>
        <w:tc>
          <w:tcPr>
            <w:tcW w:w="9386" w:type="dxa"/>
            <w:tcBorders>
              <w:top w:val="nil"/>
              <w:left w:val="nil"/>
              <w:bottom w:val="nil"/>
              <w:right w:val="nil"/>
            </w:tcBorders>
            <w:shd w:val="clear" w:color="auto" w:fill="auto"/>
            <w:noWrap/>
            <w:vAlign w:val="bottom"/>
            <w:hideMark/>
          </w:tcPr>
          <w:p w14:paraId="75203F7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420-428</w:t>
            </w:r>
          </w:p>
        </w:tc>
      </w:tr>
      <w:tr w:rsidR="00D24F6F" w:rsidRPr="00E12526" w14:paraId="4E6DB49A" w14:textId="77777777" w:rsidTr="003812A1">
        <w:trPr>
          <w:trHeight w:val="300"/>
        </w:trPr>
        <w:tc>
          <w:tcPr>
            <w:tcW w:w="9386" w:type="dxa"/>
            <w:tcBorders>
              <w:top w:val="nil"/>
              <w:left w:val="nil"/>
              <w:bottom w:val="nil"/>
              <w:right w:val="nil"/>
            </w:tcBorders>
            <w:shd w:val="clear" w:color="auto" w:fill="auto"/>
            <w:noWrap/>
            <w:vAlign w:val="bottom"/>
            <w:hideMark/>
          </w:tcPr>
          <w:p w14:paraId="223B0CFB"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2AA8BAFA" w14:textId="77777777" w:rsidTr="003812A1">
        <w:trPr>
          <w:trHeight w:val="300"/>
        </w:trPr>
        <w:tc>
          <w:tcPr>
            <w:tcW w:w="9386" w:type="dxa"/>
            <w:tcBorders>
              <w:top w:val="nil"/>
              <w:left w:val="nil"/>
              <w:bottom w:val="nil"/>
              <w:right w:val="nil"/>
            </w:tcBorders>
            <w:shd w:val="clear" w:color="auto" w:fill="auto"/>
            <w:noWrap/>
            <w:vAlign w:val="bottom"/>
            <w:hideMark/>
          </w:tcPr>
          <w:p w14:paraId="61B6535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10.1136/heartjnl-2011-301323</w:t>
            </w:r>
          </w:p>
        </w:tc>
      </w:tr>
      <w:tr w:rsidR="00D24F6F" w:rsidRPr="00E12526" w14:paraId="488F70C9" w14:textId="77777777" w:rsidTr="003812A1">
        <w:trPr>
          <w:trHeight w:val="300"/>
        </w:trPr>
        <w:tc>
          <w:tcPr>
            <w:tcW w:w="9386" w:type="dxa"/>
            <w:tcBorders>
              <w:top w:val="nil"/>
              <w:left w:val="nil"/>
              <w:bottom w:val="nil"/>
              <w:right w:val="nil"/>
            </w:tcBorders>
            <w:shd w:val="clear" w:color="auto" w:fill="auto"/>
            <w:noWrap/>
            <w:vAlign w:val="bottom"/>
            <w:hideMark/>
          </w:tcPr>
          <w:p w14:paraId="2619D86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TTL:   Cost-effectiveness of </w:t>
            </w:r>
            <w:proofErr w:type="spellStart"/>
            <w:r w:rsidRPr="00A647E8">
              <w:rPr>
                <w:rFonts w:eastAsia="Times New Roman" w:cs="Calibri"/>
                <w:color w:val="000000"/>
                <w:lang w:eastAsia="en-GB"/>
              </w:rPr>
              <w:t>bivalirudin</w:t>
            </w:r>
            <w:proofErr w:type="spellEnd"/>
            <w:r w:rsidRPr="00A647E8">
              <w:rPr>
                <w:rFonts w:eastAsia="Times New Roman" w:cs="Calibri"/>
                <w:color w:val="000000"/>
                <w:lang w:eastAsia="en-GB"/>
              </w:rPr>
              <w:t xml:space="preserve"> versus heparin plus glycoprotein </w:t>
            </w:r>
            <w:proofErr w:type="spellStart"/>
            <w:r w:rsidRPr="00A647E8">
              <w:rPr>
                <w:rFonts w:eastAsia="Times New Roman" w:cs="Calibri"/>
                <w:color w:val="000000"/>
                <w:lang w:eastAsia="en-GB"/>
              </w:rPr>
              <w:t>IIb</w:t>
            </w:r>
            <w:proofErr w:type="spellEnd"/>
            <w:r w:rsidRPr="00A647E8">
              <w:rPr>
                <w:rFonts w:eastAsia="Times New Roman" w:cs="Calibri"/>
                <w:color w:val="000000"/>
                <w:lang w:eastAsia="en-GB"/>
              </w:rPr>
              <w:t>/</w:t>
            </w:r>
            <w:proofErr w:type="spellStart"/>
            <w:r w:rsidRPr="00A647E8">
              <w:rPr>
                <w:rFonts w:eastAsia="Times New Roman" w:cs="Calibri"/>
                <w:color w:val="000000"/>
                <w:lang w:eastAsia="en-GB"/>
              </w:rPr>
              <w:t>IIIa</w:t>
            </w:r>
            <w:proofErr w:type="spellEnd"/>
            <w:r w:rsidRPr="00A647E8">
              <w:rPr>
                <w:rFonts w:eastAsia="Times New Roman" w:cs="Calibri"/>
                <w:color w:val="000000"/>
                <w:lang w:eastAsia="en-GB"/>
              </w:rPr>
              <w:t xml:space="preserve"> inhibitor in the treatment of acute ST-segment elevation myocardial infarction</w:t>
            </w:r>
          </w:p>
        </w:tc>
      </w:tr>
      <w:tr w:rsidR="00D24F6F" w:rsidRPr="00E12526" w14:paraId="4736C51F" w14:textId="77777777" w:rsidTr="003812A1">
        <w:trPr>
          <w:trHeight w:val="300"/>
        </w:trPr>
        <w:tc>
          <w:tcPr>
            <w:tcW w:w="9386" w:type="dxa"/>
            <w:tcBorders>
              <w:top w:val="nil"/>
              <w:left w:val="nil"/>
              <w:bottom w:val="nil"/>
              <w:right w:val="nil"/>
            </w:tcBorders>
            <w:shd w:val="clear" w:color="auto" w:fill="auto"/>
            <w:noWrap/>
            <w:vAlign w:val="bottom"/>
            <w:hideMark/>
          </w:tcPr>
          <w:p w14:paraId="41E69D8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Schwenkglenks</w:t>
            </w:r>
            <w:proofErr w:type="spellEnd"/>
            <w:r w:rsidRPr="00A647E8">
              <w:rPr>
                <w:rFonts w:eastAsia="Times New Roman" w:cs="Calibri"/>
                <w:color w:val="000000"/>
                <w:lang w:eastAsia="en-GB"/>
              </w:rPr>
              <w:t xml:space="preserve"> M, Toward TJ, </w:t>
            </w:r>
            <w:proofErr w:type="spellStart"/>
            <w:r w:rsidRPr="00A647E8">
              <w:rPr>
                <w:rFonts w:eastAsia="Times New Roman" w:cs="Calibri"/>
                <w:color w:val="000000"/>
                <w:lang w:eastAsia="en-GB"/>
              </w:rPr>
              <w:t>Plent</w:t>
            </w:r>
            <w:proofErr w:type="spellEnd"/>
            <w:r w:rsidRPr="00A647E8">
              <w:rPr>
                <w:rFonts w:eastAsia="Times New Roman" w:cs="Calibri"/>
                <w:color w:val="000000"/>
                <w:lang w:eastAsia="en-GB"/>
              </w:rPr>
              <w:t xml:space="preserve"> S, </w:t>
            </w:r>
            <w:proofErr w:type="spellStart"/>
            <w:r w:rsidRPr="00A647E8">
              <w:rPr>
                <w:rFonts w:eastAsia="Times New Roman" w:cs="Calibri"/>
                <w:color w:val="000000"/>
                <w:lang w:eastAsia="en-GB"/>
              </w:rPr>
              <w:t>Szucs</w:t>
            </w:r>
            <w:proofErr w:type="spellEnd"/>
            <w:r w:rsidRPr="00A647E8">
              <w:rPr>
                <w:rFonts w:eastAsia="Times New Roman" w:cs="Calibri"/>
                <w:color w:val="000000"/>
                <w:lang w:eastAsia="en-GB"/>
              </w:rPr>
              <w:t xml:space="preserve"> TD, Blackman DJ, </w:t>
            </w:r>
            <w:proofErr w:type="spellStart"/>
            <w:r w:rsidRPr="00A647E8">
              <w:rPr>
                <w:rFonts w:eastAsia="Times New Roman" w:cs="Calibri"/>
                <w:color w:val="000000"/>
                <w:lang w:eastAsia="en-GB"/>
              </w:rPr>
              <w:t>Baumbach</w:t>
            </w:r>
            <w:proofErr w:type="spellEnd"/>
            <w:r w:rsidRPr="00A647E8">
              <w:rPr>
                <w:rFonts w:eastAsia="Times New Roman" w:cs="Calibri"/>
                <w:color w:val="000000"/>
                <w:lang w:eastAsia="en-GB"/>
              </w:rPr>
              <w:t xml:space="preserve"> A</w:t>
            </w:r>
          </w:p>
        </w:tc>
      </w:tr>
      <w:tr w:rsidR="00D24F6F" w:rsidRPr="00E12526" w14:paraId="5EEB1947" w14:textId="77777777" w:rsidTr="003812A1">
        <w:trPr>
          <w:trHeight w:val="300"/>
        </w:trPr>
        <w:tc>
          <w:tcPr>
            <w:tcW w:w="9386" w:type="dxa"/>
            <w:tcBorders>
              <w:top w:val="nil"/>
              <w:left w:val="nil"/>
              <w:bottom w:val="nil"/>
              <w:right w:val="nil"/>
            </w:tcBorders>
            <w:shd w:val="clear" w:color="auto" w:fill="auto"/>
            <w:noWrap/>
            <w:vAlign w:val="bottom"/>
            <w:hideMark/>
          </w:tcPr>
          <w:p w14:paraId="1B35181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Heart</w:t>
            </w:r>
          </w:p>
        </w:tc>
      </w:tr>
      <w:tr w:rsidR="00D24F6F" w:rsidRPr="00E12526" w14:paraId="311E61CE" w14:textId="77777777" w:rsidTr="003812A1">
        <w:trPr>
          <w:trHeight w:val="300"/>
        </w:trPr>
        <w:tc>
          <w:tcPr>
            <w:tcW w:w="9386" w:type="dxa"/>
            <w:tcBorders>
              <w:top w:val="nil"/>
              <w:left w:val="nil"/>
              <w:bottom w:val="nil"/>
              <w:right w:val="nil"/>
            </w:tcBorders>
            <w:shd w:val="clear" w:color="auto" w:fill="auto"/>
            <w:noWrap/>
            <w:vAlign w:val="bottom"/>
            <w:hideMark/>
          </w:tcPr>
          <w:p w14:paraId="7C35A596"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2012</w:t>
            </w:r>
          </w:p>
        </w:tc>
      </w:tr>
      <w:tr w:rsidR="00D24F6F" w:rsidRPr="00E12526" w14:paraId="53BBCBEF" w14:textId="77777777" w:rsidTr="003812A1">
        <w:trPr>
          <w:trHeight w:val="300"/>
        </w:trPr>
        <w:tc>
          <w:tcPr>
            <w:tcW w:w="9386" w:type="dxa"/>
            <w:tcBorders>
              <w:top w:val="nil"/>
              <w:left w:val="nil"/>
              <w:bottom w:val="nil"/>
              <w:right w:val="nil"/>
            </w:tcBorders>
            <w:shd w:val="clear" w:color="auto" w:fill="auto"/>
            <w:noWrap/>
            <w:vAlign w:val="bottom"/>
            <w:hideMark/>
          </w:tcPr>
          <w:p w14:paraId="759AEE7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98(7)</w:t>
            </w:r>
          </w:p>
        </w:tc>
      </w:tr>
      <w:tr w:rsidR="00D24F6F" w:rsidRPr="00E12526" w14:paraId="0F1C1C84" w14:textId="77777777" w:rsidTr="003812A1">
        <w:trPr>
          <w:trHeight w:val="300"/>
        </w:trPr>
        <w:tc>
          <w:tcPr>
            <w:tcW w:w="9386" w:type="dxa"/>
            <w:tcBorders>
              <w:top w:val="nil"/>
              <w:left w:val="nil"/>
              <w:bottom w:val="nil"/>
              <w:right w:val="nil"/>
            </w:tcBorders>
            <w:shd w:val="clear" w:color="auto" w:fill="auto"/>
            <w:noWrap/>
            <w:vAlign w:val="bottom"/>
            <w:hideMark/>
          </w:tcPr>
          <w:p w14:paraId="668B7533"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544-551</w:t>
            </w:r>
          </w:p>
        </w:tc>
      </w:tr>
      <w:tr w:rsidR="00D24F6F" w:rsidRPr="00E12526" w14:paraId="4C795B25" w14:textId="77777777" w:rsidTr="003812A1">
        <w:trPr>
          <w:trHeight w:val="300"/>
        </w:trPr>
        <w:tc>
          <w:tcPr>
            <w:tcW w:w="9386" w:type="dxa"/>
            <w:tcBorders>
              <w:top w:val="nil"/>
              <w:left w:val="nil"/>
              <w:bottom w:val="nil"/>
              <w:right w:val="nil"/>
            </w:tcBorders>
            <w:shd w:val="clear" w:color="auto" w:fill="auto"/>
            <w:noWrap/>
            <w:vAlign w:val="bottom"/>
            <w:hideMark/>
          </w:tcPr>
          <w:p w14:paraId="447EB883"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3715DEFB" w14:textId="77777777" w:rsidTr="003812A1">
        <w:trPr>
          <w:trHeight w:val="300"/>
        </w:trPr>
        <w:tc>
          <w:tcPr>
            <w:tcW w:w="9386" w:type="dxa"/>
            <w:tcBorders>
              <w:top w:val="nil"/>
              <w:left w:val="nil"/>
              <w:bottom w:val="nil"/>
              <w:right w:val="nil"/>
            </w:tcBorders>
            <w:shd w:val="clear" w:color="auto" w:fill="auto"/>
            <w:noWrap/>
            <w:vAlign w:val="bottom"/>
            <w:hideMark/>
          </w:tcPr>
          <w:p w14:paraId="66AA874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10.2165/11597340-000000000-00000</w:t>
            </w:r>
          </w:p>
        </w:tc>
      </w:tr>
      <w:tr w:rsidR="00D24F6F" w:rsidRPr="00E12526" w14:paraId="7F695481" w14:textId="77777777" w:rsidTr="003812A1">
        <w:trPr>
          <w:trHeight w:val="300"/>
        </w:trPr>
        <w:tc>
          <w:tcPr>
            <w:tcW w:w="9386" w:type="dxa"/>
            <w:tcBorders>
              <w:top w:val="nil"/>
              <w:left w:val="nil"/>
              <w:bottom w:val="nil"/>
              <w:right w:val="nil"/>
            </w:tcBorders>
            <w:shd w:val="clear" w:color="auto" w:fill="auto"/>
            <w:noWrap/>
            <w:vAlign w:val="bottom"/>
            <w:hideMark/>
          </w:tcPr>
          <w:p w14:paraId="5D1811A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 effectiveness of drug-eluting stents in acute myocardial infarction patients in Germany: results from administrative data using a propensity score-matching approach</w:t>
            </w:r>
          </w:p>
        </w:tc>
      </w:tr>
      <w:tr w:rsidR="00D24F6F" w:rsidRPr="00E12526" w14:paraId="3CF4DDF9" w14:textId="77777777" w:rsidTr="003812A1">
        <w:trPr>
          <w:trHeight w:val="300"/>
        </w:trPr>
        <w:tc>
          <w:tcPr>
            <w:tcW w:w="9386" w:type="dxa"/>
            <w:tcBorders>
              <w:top w:val="nil"/>
              <w:left w:val="nil"/>
              <w:bottom w:val="nil"/>
              <w:right w:val="nil"/>
            </w:tcBorders>
            <w:shd w:val="clear" w:color="auto" w:fill="auto"/>
            <w:noWrap/>
            <w:vAlign w:val="bottom"/>
            <w:hideMark/>
          </w:tcPr>
          <w:p w14:paraId="06DBE53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Baumler</w:t>
            </w:r>
            <w:proofErr w:type="spellEnd"/>
            <w:r w:rsidRPr="00A647E8">
              <w:rPr>
                <w:rFonts w:eastAsia="Times New Roman" w:cs="Calibri"/>
                <w:color w:val="000000"/>
                <w:lang w:eastAsia="en-GB"/>
              </w:rPr>
              <w:t xml:space="preserve"> M, </w:t>
            </w:r>
            <w:proofErr w:type="spellStart"/>
            <w:r w:rsidRPr="00A647E8">
              <w:rPr>
                <w:rFonts w:eastAsia="Times New Roman" w:cs="Calibri"/>
                <w:color w:val="000000"/>
                <w:lang w:eastAsia="en-GB"/>
              </w:rPr>
              <w:t>Stargardt</w:t>
            </w:r>
            <w:proofErr w:type="spellEnd"/>
            <w:r w:rsidRPr="00A647E8">
              <w:rPr>
                <w:rFonts w:eastAsia="Times New Roman" w:cs="Calibri"/>
                <w:color w:val="000000"/>
                <w:lang w:eastAsia="en-GB"/>
              </w:rPr>
              <w:t xml:space="preserve"> T, </w:t>
            </w:r>
            <w:proofErr w:type="spellStart"/>
            <w:r w:rsidRPr="00A647E8">
              <w:rPr>
                <w:rFonts w:eastAsia="Times New Roman" w:cs="Calibri"/>
                <w:color w:val="000000"/>
                <w:lang w:eastAsia="en-GB"/>
              </w:rPr>
              <w:t>Schreyogg</w:t>
            </w:r>
            <w:proofErr w:type="spellEnd"/>
            <w:r w:rsidRPr="00A647E8">
              <w:rPr>
                <w:rFonts w:eastAsia="Times New Roman" w:cs="Calibri"/>
                <w:color w:val="000000"/>
                <w:lang w:eastAsia="en-GB"/>
              </w:rPr>
              <w:t xml:space="preserve"> J, </w:t>
            </w:r>
            <w:proofErr w:type="spellStart"/>
            <w:r w:rsidRPr="00A647E8">
              <w:rPr>
                <w:rFonts w:eastAsia="Times New Roman" w:cs="Calibri"/>
                <w:color w:val="000000"/>
                <w:lang w:eastAsia="en-GB"/>
              </w:rPr>
              <w:t>Busse</w:t>
            </w:r>
            <w:proofErr w:type="spellEnd"/>
            <w:r w:rsidRPr="00A647E8">
              <w:rPr>
                <w:rFonts w:eastAsia="Times New Roman" w:cs="Calibri"/>
                <w:color w:val="000000"/>
                <w:lang w:eastAsia="en-GB"/>
              </w:rPr>
              <w:t xml:space="preserve"> R</w:t>
            </w:r>
          </w:p>
        </w:tc>
      </w:tr>
      <w:tr w:rsidR="00D24F6F" w:rsidRPr="00E12526" w14:paraId="73A1EBAB" w14:textId="77777777" w:rsidTr="003812A1">
        <w:trPr>
          <w:trHeight w:val="300"/>
        </w:trPr>
        <w:tc>
          <w:tcPr>
            <w:tcW w:w="9386" w:type="dxa"/>
            <w:tcBorders>
              <w:top w:val="nil"/>
              <w:left w:val="nil"/>
              <w:bottom w:val="nil"/>
              <w:right w:val="nil"/>
            </w:tcBorders>
            <w:shd w:val="clear" w:color="auto" w:fill="auto"/>
            <w:noWrap/>
            <w:vAlign w:val="bottom"/>
            <w:hideMark/>
          </w:tcPr>
          <w:p w14:paraId="18F46A6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Applied Health Economics and Health Policy</w:t>
            </w:r>
          </w:p>
        </w:tc>
      </w:tr>
      <w:tr w:rsidR="00D24F6F" w:rsidRPr="00E12526" w14:paraId="5C3193F4" w14:textId="77777777" w:rsidTr="003812A1">
        <w:trPr>
          <w:trHeight w:val="300"/>
        </w:trPr>
        <w:tc>
          <w:tcPr>
            <w:tcW w:w="9386" w:type="dxa"/>
            <w:tcBorders>
              <w:top w:val="nil"/>
              <w:left w:val="nil"/>
              <w:bottom w:val="nil"/>
              <w:right w:val="nil"/>
            </w:tcBorders>
            <w:shd w:val="clear" w:color="auto" w:fill="auto"/>
            <w:noWrap/>
            <w:vAlign w:val="bottom"/>
            <w:hideMark/>
          </w:tcPr>
          <w:p w14:paraId="25DAF68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2012</w:t>
            </w:r>
          </w:p>
        </w:tc>
      </w:tr>
      <w:tr w:rsidR="00D24F6F" w:rsidRPr="00E12526" w14:paraId="7E75687E" w14:textId="77777777" w:rsidTr="003812A1">
        <w:trPr>
          <w:trHeight w:val="300"/>
        </w:trPr>
        <w:tc>
          <w:tcPr>
            <w:tcW w:w="9386" w:type="dxa"/>
            <w:tcBorders>
              <w:top w:val="nil"/>
              <w:left w:val="nil"/>
              <w:bottom w:val="nil"/>
              <w:right w:val="nil"/>
            </w:tcBorders>
            <w:shd w:val="clear" w:color="auto" w:fill="auto"/>
            <w:noWrap/>
            <w:vAlign w:val="bottom"/>
            <w:hideMark/>
          </w:tcPr>
          <w:p w14:paraId="7505E6D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10(4)</w:t>
            </w:r>
          </w:p>
        </w:tc>
      </w:tr>
      <w:tr w:rsidR="00D24F6F" w:rsidRPr="00E12526" w14:paraId="434B94BD" w14:textId="77777777" w:rsidTr="003812A1">
        <w:trPr>
          <w:trHeight w:val="300"/>
        </w:trPr>
        <w:tc>
          <w:tcPr>
            <w:tcW w:w="9386" w:type="dxa"/>
            <w:tcBorders>
              <w:top w:val="nil"/>
              <w:left w:val="nil"/>
              <w:bottom w:val="nil"/>
              <w:right w:val="nil"/>
            </w:tcBorders>
            <w:shd w:val="clear" w:color="auto" w:fill="auto"/>
            <w:noWrap/>
            <w:vAlign w:val="bottom"/>
            <w:hideMark/>
          </w:tcPr>
          <w:p w14:paraId="7936B85C"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235-248</w:t>
            </w:r>
          </w:p>
        </w:tc>
      </w:tr>
      <w:tr w:rsidR="00D24F6F" w:rsidRPr="00E12526" w14:paraId="219D4E2D" w14:textId="77777777" w:rsidTr="003812A1">
        <w:trPr>
          <w:trHeight w:val="300"/>
        </w:trPr>
        <w:tc>
          <w:tcPr>
            <w:tcW w:w="9386" w:type="dxa"/>
            <w:tcBorders>
              <w:top w:val="nil"/>
              <w:left w:val="nil"/>
              <w:bottom w:val="nil"/>
              <w:right w:val="nil"/>
            </w:tcBorders>
            <w:shd w:val="clear" w:color="auto" w:fill="auto"/>
            <w:noWrap/>
            <w:vAlign w:val="bottom"/>
            <w:hideMark/>
          </w:tcPr>
          <w:p w14:paraId="4595DF1E"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12563F10" w14:textId="77777777" w:rsidTr="003812A1">
        <w:trPr>
          <w:trHeight w:val="300"/>
        </w:trPr>
        <w:tc>
          <w:tcPr>
            <w:tcW w:w="9386" w:type="dxa"/>
            <w:tcBorders>
              <w:top w:val="nil"/>
              <w:left w:val="nil"/>
              <w:bottom w:val="nil"/>
              <w:right w:val="nil"/>
            </w:tcBorders>
            <w:shd w:val="clear" w:color="auto" w:fill="auto"/>
            <w:noWrap/>
            <w:vAlign w:val="bottom"/>
            <w:hideMark/>
          </w:tcPr>
          <w:p w14:paraId="2ACCEAB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10.1136/heartjnl-2012-302188</w:t>
            </w:r>
          </w:p>
        </w:tc>
      </w:tr>
      <w:tr w:rsidR="00D24F6F" w:rsidRPr="00E12526" w14:paraId="401CF936" w14:textId="77777777" w:rsidTr="003812A1">
        <w:trPr>
          <w:trHeight w:val="300"/>
        </w:trPr>
        <w:tc>
          <w:tcPr>
            <w:tcW w:w="9386" w:type="dxa"/>
            <w:tcBorders>
              <w:top w:val="nil"/>
              <w:left w:val="nil"/>
              <w:bottom w:val="nil"/>
              <w:right w:val="nil"/>
            </w:tcBorders>
            <w:shd w:val="clear" w:color="auto" w:fill="auto"/>
            <w:noWrap/>
            <w:vAlign w:val="bottom"/>
            <w:hideMark/>
          </w:tcPr>
          <w:p w14:paraId="11BDF99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Cost-effectiveness of presentation versus delayed troponin testing for acute myocardial infarction</w:t>
            </w:r>
          </w:p>
        </w:tc>
      </w:tr>
      <w:tr w:rsidR="00D24F6F" w:rsidRPr="00E12526" w14:paraId="0E3FB1C0" w14:textId="77777777" w:rsidTr="003812A1">
        <w:trPr>
          <w:trHeight w:val="300"/>
        </w:trPr>
        <w:tc>
          <w:tcPr>
            <w:tcW w:w="9386" w:type="dxa"/>
            <w:tcBorders>
              <w:top w:val="nil"/>
              <w:left w:val="nil"/>
              <w:bottom w:val="nil"/>
              <w:right w:val="nil"/>
            </w:tcBorders>
            <w:shd w:val="clear" w:color="auto" w:fill="auto"/>
            <w:noWrap/>
            <w:vAlign w:val="bottom"/>
            <w:hideMark/>
          </w:tcPr>
          <w:p w14:paraId="329160EA"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Thokala</w:t>
            </w:r>
            <w:proofErr w:type="spellEnd"/>
            <w:r w:rsidRPr="00A647E8">
              <w:rPr>
                <w:rFonts w:eastAsia="Times New Roman" w:cs="Calibri"/>
                <w:color w:val="000000"/>
                <w:lang w:eastAsia="en-GB"/>
              </w:rPr>
              <w:t xml:space="preserve"> P, </w:t>
            </w:r>
            <w:proofErr w:type="spellStart"/>
            <w:r w:rsidRPr="00A647E8">
              <w:rPr>
                <w:rFonts w:eastAsia="Times New Roman" w:cs="Calibri"/>
                <w:color w:val="000000"/>
                <w:lang w:eastAsia="en-GB"/>
              </w:rPr>
              <w:t>Goodacre</w:t>
            </w:r>
            <w:proofErr w:type="spellEnd"/>
            <w:r w:rsidRPr="00A647E8">
              <w:rPr>
                <w:rFonts w:eastAsia="Times New Roman" w:cs="Calibri"/>
                <w:color w:val="000000"/>
                <w:lang w:eastAsia="en-GB"/>
              </w:rPr>
              <w:t xml:space="preserve"> SW, Collinson PO, Stevens JW, Mills NL, Newby DE, Morris F, Kendall J, Stevenson MD</w:t>
            </w:r>
          </w:p>
        </w:tc>
      </w:tr>
      <w:tr w:rsidR="00D24F6F" w:rsidRPr="00E12526" w14:paraId="656F74E1" w14:textId="77777777" w:rsidTr="003812A1">
        <w:trPr>
          <w:trHeight w:val="300"/>
        </w:trPr>
        <w:tc>
          <w:tcPr>
            <w:tcW w:w="9386" w:type="dxa"/>
            <w:tcBorders>
              <w:top w:val="nil"/>
              <w:left w:val="nil"/>
              <w:bottom w:val="nil"/>
              <w:right w:val="nil"/>
            </w:tcBorders>
            <w:shd w:val="clear" w:color="auto" w:fill="auto"/>
            <w:noWrap/>
            <w:vAlign w:val="bottom"/>
            <w:hideMark/>
          </w:tcPr>
          <w:p w14:paraId="3C92C3D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Heart</w:t>
            </w:r>
          </w:p>
        </w:tc>
      </w:tr>
      <w:tr w:rsidR="00D24F6F" w:rsidRPr="00E12526" w14:paraId="602C643E" w14:textId="77777777" w:rsidTr="003812A1">
        <w:trPr>
          <w:trHeight w:val="300"/>
        </w:trPr>
        <w:tc>
          <w:tcPr>
            <w:tcW w:w="9386" w:type="dxa"/>
            <w:tcBorders>
              <w:top w:val="nil"/>
              <w:left w:val="nil"/>
              <w:bottom w:val="nil"/>
              <w:right w:val="nil"/>
            </w:tcBorders>
            <w:shd w:val="clear" w:color="auto" w:fill="auto"/>
            <w:noWrap/>
            <w:vAlign w:val="bottom"/>
            <w:hideMark/>
          </w:tcPr>
          <w:p w14:paraId="7FE3C5E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2012</w:t>
            </w:r>
          </w:p>
        </w:tc>
      </w:tr>
      <w:tr w:rsidR="00D24F6F" w:rsidRPr="00E12526" w14:paraId="2373B3B2" w14:textId="77777777" w:rsidTr="003812A1">
        <w:trPr>
          <w:trHeight w:val="300"/>
        </w:trPr>
        <w:tc>
          <w:tcPr>
            <w:tcW w:w="9386" w:type="dxa"/>
            <w:tcBorders>
              <w:top w:val="nil"/>
              <w:left w:val="nil"/>
              <w:bottom w:val="nil"/>
              <w:right w:val="nil"/>
            </w:tcBorders>
            <w:shd w:val="clear" w:color="auto" w:fill="auto"/>
            <w:noWrap/>
            <w:vAlign w:val="bottom"/>
            <w:hideMark/>
          </w:tcPr>
          <w:p w14:paraId="220E8E3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98(20)</w:t>
            </w:r>
          </w:p>
        </w:tc>
      </w:tr>
      <w:tr w:rsidR="00D24F6F" w:rsidRPr="00E12526" w14:paraId="2230B8A0" w14:textId="77777777" w:rsidTr="003812A1">
        <w:trPr>
          <w:trHeight w:val="300"/>
        </w:trPr>
        <w:tc>
          <w:tcPr>
            <w:tcW w:w="9386" w:type="dxa"/>
            <w:tcBorders>
              <w:top w:val="nil"/>
              <w:left w:val="nil"/>
              <w:bottom w:val="nil"/>
              <w:right w:val="nil"/>
            </w:tcBorders>
            <w:shd w:val="clear" w:color="auto" w:fill="auto"/>
            <w:noWrap/>
            <w:vAlign w:val="bottom"/>
            <w:hideMark/>
          </w:tcPr>
          <w:p w14:paraId="28C17EF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1498-1503</w:t>
            </w:r>
          </w:p>
        </w:tc>
      </w:tr>
      <w:tr w:rsidR="00D24F6F" w:rsidRPr="00E12526" w14:paraId="73FE0BE0" w14:textId="77777777" w:rsidTr="003812A1">
        <w:trPr>
          <w:trHeight w:val="300"/>
        </w:trPr>
        <w:tc>
          <w:tcPr>
            <w:tcW w:w="9386" w:type="dxa"/>
            <w:tcBorders>
              <w:top w:val="nil"/>
              <w:left w:val="nil"/>
              <w:bottom w:val="nil"/>
              <w:right w:val="nil"/>
            </w:tcBorders>
            <w:shd w:val="clear" w:color="auto" w:fill="auto"/>
            <w:noWrap/>
            <w:vAlign w:val="bottom"/>
            <w:hideMark/>
          </w:tcPr>
          <w:p w14:paraId="4227A55F" w14:textId="77777777" w:rsidR="00D24F6F" w:rsidRDefault="00D24F6F" w:rsidP="003812A1">
            <w:pPr>
              <w:spacing w:after="0" w:line="240" w:lineRule="auto"/>
              <w:rPr>
                <w:rFonts w:eastAsia="Times New Roman" w:cs="Calibri"/>
                <w:color w:val="000000"/>
                <w:lang w:eastAsia="en-GB"/>
              </w:rPr>
            </w:pPr>
          </w:p>
          <w:p w14:paraId="05FFFFC9" w14:textId="77777777" w:rsidR="00D24F6F" w:rsidRDefault="00D24F6F" w:rsidP="003812A1">
            <w:pPr>
              <w:spacing w:after="0" w:line="240" w:lineRule="auto"/>
              <w:rPr>
                <w:rFonts w:eastAsia="Times New Roman" w:cs="Calibri"/>
                <w:color w:val="000000"/>
                <w:lang w:eastAsia="en-GB"/>
              </w:rPr>
            </w:pPr>
          </w:p>
          <w:p w14:paraId="4904866E" w14:textId="77777777" w:rsidR="00D24F6F" w:rsidRDefault="00D24F6F" w:rsidP="003812A1">
            <w:pPr>
              <w:spacing w:after="0" w:line="240" w:lineRule="auto"/>
              <w:rPr>
                <w:rFonts w:eastAsia="Times New Roman" w:cs="Calibri"/>
                <w:color w:val="000000"/>
                <w:lang w:eastAsia="en-GB"/>
              </w:rPr>
            </w:pPr>
          </w:p>
          <w:p w14:paraId="4DA5FD95"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399C75C6" w14:textId="77777777" w:rsidTr="003812A1">
        <w:trPr>
          <w:trHeight w:val="300"/>
        </w:trPr>
        <w:tc>
          <w:tcPr>
            <w:tcW w:w="9386" w:type="dxa"/>
            <w:tcBorders>
              <w:top w:val="nil"/>
              <w:left w:val="nil"/>
              <w:bottom w:val="nil"/>
              <w:right w:val="nil"/>
            </w:tcBorders>
            <w:shd w:val="clear" w:color="auto" w:fill="auto"/>
            <w:noWrap/>
            <w:vAlign w:val="bottom"/>
            <w:hideMark/>
          </w:tcPr>
          <w:p w14:paraId="741A8CE7"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lastRenderedPageBreak/>
              <w:t>TTL:   Cost-effectiveness analysis of percutaneous coronary intervention versus thrombolytic therapy in patients with an ST-elevated myocardial infarction</w:t>
            </w:r>
          </w:p>
        </w:tc>
      </w:tr>
      <w:tr w:rsidR="00D24F6F" w:rsidRPr="00E12526" w14:paraId="5409346D" w14:textId="77777777" w:rsidTr="003812A1">
        <w:trPr>
          <w:trHeight w:val="300"/>
        </w:trPr>
        <w:tc>
          <w:tcPr>
            <w:tcW w:w="9386" w:type="dxa"/>
            <w:tcBorders>
              <w:top w:val="nil"/>
              <w:left w:val="nil"/>
              <w:bottom w:val="nil"/>
              <w:right w:val="nil"/>
            </w:tcBorders>
            <w:shd w:val="clear" w:color="auto" w:fill="auto"/>
            <w:noWrap/>
            <w:vAlign w:val="bottom"/>
            <w:hideMark/>
          </w:tcPr>
          <w:p w14:paraId="425F108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AUT:   Iva G</w:t>
            </w:r>
          </w:p>
        </w:tc>
      </w:tr>
      <w:tr w:rsidR="00D24F6F" w:rsidRPr="00E12526" w14:paraId="5C71FFCE" w14:textId="77777777" w:rsidTr="003812A1">
        <w:trPr>
          <w:trHeight w:val="300"/>
        </w:trPr>
        <w:tc>
          <w:tcPr>
            <w:tcW w:w="9386" w:type="dxa"/>
            <w:tcBorders>
              <w:top w:val="nil"/>
              <w:left w:val="nil"/>
              <w:bottom w:val="nil"/>
              <w:right w:val="nil"/>
            </w:tcBorders>
            <w:shd w:val="clear" w:color="auto" w:fill="auto"/>
            <w:noWrap/>
            <w:vAlign w:val="bottom"/>
            <w:hideMark/>
          </w:tcPr>
          <w:p w14:paraId="002D1457"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Serbian Journal of Experimental and Clinical Research</w:t>
            </w:r>
          </w:p>
        </w:tc>
      </w:tr>
      <w:tr w:rsidR="00D24F6F" w:rsidRPr="00E12526" w14:paraId="7B21ED9B" w14:textId="77777777" w:rsidTr="003812A1">
        <w:trPr>
          <w:trHeight w:val="300"/>
        </w:trPr>
        <w:tc>
          <w:tcPr>
            <w:tcW w:w="9386" w:type="dxa"/>
            <w:tcBorders>
              <w:top w:val="nil"/>
              <w:left w:val="nil"/>
              <w:bottom w:val="nil"/>
              <w:right w:val="nil"/>
            </w:tcBorders>
            <w:shd w:val="clear" w:color="auto" w:fill="auto"/>
            <w:noWrap/>
            <w:vAlign w:val="bottom"/>
            <w:hideMark/>
          </w:tcPr>
          <w:p w14:paraId="1C6F7681"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2011</w:t>
            </w:r>
          </w:p>
        </w:tc>
      </w:tr>
      <w:tr w:rsidR="00D24F6F" w:rsidRPr="00E12526" w14:paraId="6117C1A6" w14:textId="77777777" w:rsidTr="003812A1">
        <w:trPr>
          <w:trHeight w:val="300"/>
        </w:trPr>
        <w:tc>
          <w:tcPr>
            <w:tcW w:w="9386" w:type="dxa"/>
            <w:tcBorders>
              <w:top w:val="nil"/>
              <w:left w:val="nil"/>
              <w:bottom w:val="nil"/>
              <w:right w:val="nil"/>
            </w:tcBorders>
            <w:shd w:val="clear" w:color="auto" w:fill="auto"/>
            <w:noWrap/>
            <w:vAlign w:val="bottom"/>
            <w:hideMark/>
          </w:tcPr>
          <w:p w14:paraId="5FA53CB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12(4)</w:t>
            </w:r>
          </w:p>
        </w:tc>
      </w:tr>
      <w:tr w:rsidR="00D24F6F" w:rsidRPr="00E12526" w14:paraId="5A466168" w14:textId="77777777" w:rsidTr="003812A1">
        <w:trPr>
          <w:trHeight w:val="300"/>
        </w:trPr>
        <w:tc>
          <w:tcPr>
            <w:tcW w:w="9386" w:type="dxa"/>
            <w:tcBorders>
              <w:top w:val="nil"/>
              <w:left w:val="nil"/>
              <w:bottom w:val="nil"/>
              <w:right w:val="nil"/>
            </w:tcBorders>
            <w:shd w:val="clear" w:color="auto" w:fill="auto"/>
            <w:noWrap/>
            <w:vAlign w:val="bottom"/>
            <w:hideMark/>
          </w:tcPr>
          <w:p w14:paraId="676CF6D6"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147-152</w:t>
            </w:r>
          </w:p>
        </w:tc>
      </w:tr>
      <w:tr w:rsidR="00D24F6F" w:rsidRPr="00E12526" w14:paraId="65F9DD17" w14:textId="77777777" w:rsidTr="003812A1">
        <w:trPr>
          <w:trHeight w:val="300"/>
        </w:trPr>
        <w:tc>
          <w:tcPr>
            <w:tcW w:w="9386" w:type="dxa"/>
            <w:tcBorders>
              <w:top w:val="nil"/>
              <w:left w:val="nil"/>
              <w:bottom w:val="nil"/>
              <w:right w:val="nil"/>
            </w:tcBorders>
            <w:shd w:val="clear" w:color="auto" w:fill="auto"/>
            <w:noWrap/>
            <w:vAlign w:val="bottom"/>
            <w:hideMark/>
          </w:tcPr>
          <w:p w14:paraId="5913C1AD"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4C3CDBAF" w14:textId="77777777" w:rsidTr="003812A1">
        <w:trPr>
          <w:trHeight w:val="300"/>
        </w:trPr>
        <w:tc>
          <w:tcPr>
            <w:tcW w:w="9386" w:type="dxa"/>
            <w:tcBorders>
              <w:top w:val="nil"/>
              <w:left w:val="nil"/>
              <w:bottom w:val="nil"/>
              <w:right w:val="nil"/>
            </w:tcBorders>
            <w:shd w:val="clear" w:color="auto" w:fill="auto"/>
            <w:noWrap/>
            <w:vAlign w:val="bottom"/>
            <w:hideMark/>
          </w:tcPr>
          <w:p w14:paraId="3DA3B3F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10.1016/j.jval.2011.02.1180</w:t>
            </w:r>
          </w:p>
        </w:tc>
      </w:tr>
      <w:tr w:rsidR="00D24F6F" w:rsidRPr="00E12526" w14:paraId="72A8F8E9" w14:textId="77777777" w:rsidTr="003812A1">
        <w:trPr>
          <w:trHeight w:val="300"/>
        </w:trPr>
        <w:tc>
          <w:tcPr>
            <w:tcW w:w="9386" w:type="dxa"/>
            <w:tcBorders>
              <w:top w:val="nil"/>
              <w:left w:val="nil"/>
              <w:bottom w:val="nil"/>
              <w:right w:val="nil"/>
            </w:tcBorders>
            <w:shd w:val="clear" w:color="auto" w:fill="auto"/>
            <w:noWrap/>
            <w:vAlign w:val="bottom"/>
            <w:hideMark/>
          </w:tcPr>
          <w:p w14:paraId="55C49C31"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Cost-effectiveness of implantable defibrillators after myocardial infarction based on 8-year follow-up data (MADIT II)</w:t>
            </w:r>
          </w:p>
        </w:tc>
      </w:tr>
      <w:tr w:rsidR="00D24F6F" w:rsidRPr="00E12526" w14:paraId="658736D7" w14:textId="77777777" w:rsidTr="003812A1">
        <w:trPr>
          <w:trHeight w:val="300"/>
        </w:trPr>
        <w:tc>
          <w:tcPr>
            <w:tcW w:w="9386" w:type="dxa"/>
            <w:tcBorders>
              <w:top w:val="nil"/>
              <w:left w:val="nil"/>
              <w:bottom w:val="nil"/>
              <w:right w:val="nil"/>
            </w:tcBorders>
            <w:shd w:val="clear" w:color="auto" w:fill="auto"/>
            <w:noWrap/>
            <w:vAlign w:val="bottom"/>
            <w:hideMark/>
          </w:tcPr>
          <w:p w14:paraId="5761FF2D"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Gandjour</w:t>
            </w:r>
            <w:proofErr w:type="spellEnd"/>
            <w:r w:rsidRPr="00A647E8">
              <w:rPr>
                <w:rFonts w:eastAsia="Times New Roman" w:cs="Calibri"/>
                <w:color w:val="000000"/>
                <w:lang w:eastAsia="en-GB"/>
              </w:rPr>
              <w:t xml:space="preserve"> A, Holler A, </w:t>
            </w:r>
            <w:proofErr w:type="spellStart"/>
            <w:r w:rsidRPr="00A647E8">
              <w:rPr>
                <w:rFonts w:eastAsia="Times New Roman" w:cs="Calibri"/>
                <w:color w:val="000000"/>
                <w:lang w:eastAsia="en-GB"/>
              </w:rPr>
              <w:t>Adarkwah</w:t>
            </w:r>
            <w:proofErr w:type="spellEnd"/>
            <w:r w:rsidRPr="00A647E8">
              <w:rPr>
                <w:rFonts w:eastAsia="Times New Roman" w:cs="Calibri"/>
                <w:color w:val="000000"/>
                <w:lang w:eastAsia="en-GB"/>
              </w:rPr>
              <w:t xml:space="preserve"> CC</w:t>
            </w:r>
          </w:p>
        </w:tc>
      </w:tr>
      <w:tr w:rsidR="00D24F6F" w:rsidRPr="00E12526" w14:paraId="009077E8" w14:textId="77777777" w:rsidTr="003812A1">
        <w:trPr>
          <w:trHeight w:val="300"/>
        </w:trPr>
        <w:tc>
          <w:tcPr>
            <w:tcW w:w="9386" w:type="dxa"/>
            <w:tcBorders>
              <w:top w:val="nil"/>
              <w:left w:val="nil"/>
              <w:bottom w:val="nil"/>
              <w:right w:val="nil"/>
            </w:tcBorders>
            <w:shd w:val="clear" w:color="auto" w:fill="auto"/>
            <w:noWrap/>
            <w:vAlign w:val="bottom"/>
            <w:hideMark/>
          </w:tcPr>
          <w:p w14:paraId="0F4FB99D"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Value in Health</w:t>
            </w:r>
          </w:p>
        </w:tc>
      </w:tr>
      <w:tr w:rsidR="00D24F6F" w:rsidRPr="00E12526" w14:paraId="6A1B257C" w14:textId="77777777" w:rsidTr="003812A1">
        <w:trPr>
          <w:trHeight w:val="300"/>
        </w:trPr>
        <w:tc>
          <w:tcPr>
            <w:tcW w:w="9386" w:type="dxa"/>
            <w:tcBorders>
              <w:top w:val="nil"/>
              <w:left w:val="nil"/>
              <w:bottom w:val="nil"/>
              <w:right w:val="nil"/>
            </w:tcBorders>
            <w:shd w:val="clear" w:color="auto" w:fill="auto"/>
            <w:noWrap/>
            <w:vAlign w:val="bottom"/>
            <w:hideMark/>
          </w:tcPr>
          <w:p w14:paraId="4154B7C7"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2011</w:t>
            </w:r>
          </w:p>
        </w:tc>
      </w:tr>
      <w:tr w:rsidR="00D24F6F" w:rsidRPr="00E12526" w14:paraId="15131331" w14:textId="77777777" w:rsidTr="003812A1">
        <w:trPr>
          <w:trHeight w:val="300"/>
        </w:trPr>
        <w:tc>
          <w:tcPr>
            <w:tcW w:w="9386" w:type="dxa"/>
            <w:tcBorders>
              <w:top w:val="nil"/>
              <w:left w:val="nil"/>
              <w:bottom w:val="nil"/>
              <w:right w:val="nil"/>
            </w:tcBorders>
            <w:shd w:val="clear" w:color="auto" w:fill="auto"/>
            <w:noWrap/>
            <w:vAlign w:val="bottom"/>
            <w:hideMark/>
          </w:tcPr>
          <w:p w14:paraId="2E79E356"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14(6)</w:t>
            </w:r>
          </w:p>
        </w:tc>
      </w:tr>
      <w:tr w:rsidR="00D24F6F" w:rsidRPr="00E12526" w14:paraId="39475C5D" w14:textId="77777777" w:rsidTr="003812A1">
        <w:trPr>
          <w:trHeight w:val="300"/>
        </w:trPr>
        <w:tc>
          <w:tcPr>
            <w:tcW w:w="9386" w:type="dxa"/>
            <w:tcBorders>
              <w:top w:val="nil"/>
              <w:left w:val="nil"/>
              <w:bottom w:val="nil"/>
              <w:right w:val="nil"/>
            </w:tcBorders>
            <w:shd w:val="clear" w:color="auto" w:fill="auto"/>
            <w:noWrap/>
            <w:vAlign w:val="bottom"/>
            <w:hideMark/>
          </w:tcPr>
          <w:p w14:paraId="17D3F41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812-817</w:t>
            </w:r>
          </w:p>
        </w:tc>
      </w:tr>
      <w:tr w:rsidR="00D24F6F" w:rsidRPr="00E12526" w14:paraId="3644F3DB" w14:textId="77777777" w:rsidTr="003812A1">
        <w:trPr>
          <w:trHeight w:val="300"/>
        </w:trPr>
        <w:tc>
          <w:tcPr>
            <w:tcW w:w="9386" w:type="dxa"/>
            <w:tcBorders>
              <w:top w:val="nil"/>
              <w:left w:val="nil"/>
              <w:bottom w:val="nil"/>
              <w:right w:val="nil"/>
            </w:tcBorders>
            <w:shd w:val="clear" w:color="auto" w:fill="auto"/>
            <w:noWrap/>
            <w:vAlign w:val="bottom"/>
            <w:hideMark/>
          </w:tcPr>
          <w:p w14:paraId="01AF1F00"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0F57C17F" w14:textId="77777777" w:rsidTr="003812A1">
        <w:trPr>
          <w:trHeight w:val="300"/>
        </w:trPr>
        <w:tc>
          <w:tcPr>
            <w:tcW w:w="9386" w:type="dxa"/>
            <w:tcBorders>
              <w:top w:val="nil"/>
              <w:left w:val="nil"/>
              <w:bottom w:val="nil"/>
              <w:right w:val="nil"/>
            </w:tcBorders>
            <w:shd w:val="clear" w:color="auto" w:fill="auto"/>
            <w:noWrap/>
            <w:vAlign w:val="bottom"/>
            <w:hideMark/>
          </w:tcPr>
          <w:p w14:paraId="0E4BDC86"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10.1111/j.1553-2712.2011.01068.x</w:t>
            </w:r>
          </w:p>
        </w:tc>
      </w:tr>
      <w:tr w:rsidR="00D24F6F" w:rsidRPr="00E12526" w14:paraId="008028D3" w14:textId="77777777" w:rsidTr="003812A1">
        <w:trPr>
          <w:trHeight w:val="300"/>
        </w:trPr>
        <w:tc>
          <w:tcPr>
            <w:tcW w:w="9386" w:type="dxa"/>
            <w:tcBorders>
              <w:top w:val="nil"/>
              <w:left w:val="nil"/>
              <w:bottom w:val="nil"/>
              <w:right w:val="nil"/>
            </w:tcBorders>
            <w:shd w:val="clear" w:color="auto" w:fill="auto"/>
            <w:noWrap/>
            <w:vAlign w:val="bottom"/>
            <w:hideMark/>
          </w:tcPr>
          <w:p w14:paraId="34A6DD2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Cost-effectiveness of point-of-care biomarker assessment for suspected myocardial infarction: the Randomized Assessment of Treatment using Panel Assay of Cardiac markers (RATPAC) trial</w:t>
            </w:r>
          </w:p>
        </w:tc>
      </w:tr>
      <w:tr w:rsidR="00D24F6F" w:rsidRPr="00E12526" w14:paraId="65403B09" w14:textId="77777777" w:rsidTr="003812A1">
        <w:trPr>
          <w:trHeight w:val="300"/>
        </w:trPr>
        <w:tc>
          <w:tcPr>
            <w:tcW w:w="9386" w:type="dxa"/>
            <w:tcBorders>
              <w:top w:val="nil"/>
              <w:left w:val="nil"/>
              <w:bottom w:val="nil"/>
              <w:right w:val="nil"/>
            </w:tcBorders>
            <w:shd w:val="clear" w:color="auto" w:fill="auto"/>
            <w:noWrap/>
            <w:vAlign w:val="bottom"/>
            <w:hideMark/>
          </w:tcPr>
          <w:p w14:paraId="4FAAC479"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Fitzgerald P, </w:t>
            </w:r>
            <w:proofErr w:type="spellStart"/>
            <w:r w:rsidRPr="00A647E8">
              <w:rPr>
                <w:rFonts w:eastAsia="Times New Roman" w:cs="Calibri"/>
                <w:color w:val="000000"/>
                <w:lang w:eastAsia="en-GB"/>
              </w:rPr>
              <w:t>Goodacre</w:t>
            </w:r>
            <w:proofErr w:type="spellEnd"/>
            <w:r w:rsidRPr="00A647E8">
              <w:rPr>
                <w:rFonts w:eastAsia="Times New Roman" w:cs="Calibri"/>
                <w:color w:val="000000"/>
                <w:lang w:eastAsia="en-GB"/>
              </w:rPr>
              <w:t xml:space="preserve"> SW, Cross E, Dixon S, Randomized Assessment of Treatment using Panel Assay of Cardiac markers Research Team</w:t>
            </w:r>
          </w:p>
        </w:tc>
      </w:tr>
      <w:tr w:rsidR="00D24F6F" w:rsidRPr="00E12526" w14:paraId="7CB187DB" w14:textId="77777777" w:rsidTr="003812A1">
        <w:trPr>
          <w:trHeight w:val="300"/>
        </w:trPr>
        <w:tc>
          <w:tcPr>
            <w:tcW w:w="9386" w:type="dxa"/>
            <w:tcBorders>
              <w:top w:val="nil"/>
              <w:left w:val="nil"/>
              <w:bottom w:val="nil"/>
              <w:right w:val="nil"/>
            </w:tcBorders>
            <w:shd w:val="clear" w:color="auto" w:fill="auto"/>
            <w:noWrap/>
            <w:vAlign w:val="bottom"/>
            <w:hideMark/>
          </w:tcPr>
          <w:p w14:paraId="6C25AED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Academic Emergency Medicine</w:t>
            </w:r>
          </w:p>
        </w:tc>
      </w:tr>
      <w:tr w:rsidR="00D24F6F" w:rsidRPr="00E12526" w14:paraId="775088B0" w14:textId="77777777" w:rsidTr="003812A1">
        <w:trPr>
          <w:trHeight w:val="300"/>
        </w:trPr>
        <w:tc>
          <w:tcPr>
            <w:tcW w:w="9386" w:type="dxa"/>
            <w:tcBorders>
              <w:top w:val="nil"/>
              <w:left w:val="nil"/>
              <w:bottom w:val="nil"/>
              <w:right w:val="nil"/>
            </w:tcBorders>
            <w:shd w:val="clear" w:color="auto" w:fill="auto"/>
            <w:noWrap/>
            <w:vAlign w:val="bottom"/>
            <w:hideMark/>
          </w:tcPr>
          <w:p w14:paraId="41B5D24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2011</w:t>
            </w:r>
          </w:p>
        </w:tc>
      </w:tr>
      <w:tr w:rsidR="00D24F6F" w:rsidRPr="00E12526" w14:paraId="6C7670E9" w14:textId="77777777" w:rsidTr="003812A1">
        <w:trPr>
          <w:trHeight w:val="300"/>
        </w:trPr>
        <w:tc>
          <w:tcPr>
            <w:tcW w:w="9386" w:type="dxa"/>
            <w:tcBorders>
              <w:top w:val="nil"/>
              <w:left w:val="nil"/>
              <w:bottom w:val="nil"/>
              <w:right w:val="nil"/>
            </w:tcBorders>
            <w:shd w:val="clear" w:color="auto" w:fill="auto"/>
            <w:noWrap/>
            <w:vAlign w:val="bottom"/>
            <w:hideMark/>
          </w:tcPr>
          <w:p w14:paraId="6798D02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18(5)</w:t>
            </w:r>
          </w:p>
        </w:tc>
      </w:tr>
      <w:tr w:rsidR="00D24F6F" w:rsidRPr="00E12526" w14:paraId="3F16CA00" w14:textId="77777777" w:rsidTr="003812A1">
        <w:trPr>
          <w:trHeight w:val="300"/>
        </w:trPr>
        <w:tc>
          <w:tcPr>
            <w:tcW w:w="9386" w:type="dxa"/>
            <w:tcBorders>
              <w:top w:val="nil"/>
              <w:left w:val="nil"/>
              <w:bottom w:val="nil"/>
              <w:right w:val="nil"/>
            </w:tcBorders>
            <w:shd w:val="clear" w:color="auto" w:fill="auto"/>
            <w:noWrap/>
            <w:vAlign w:val="bottom"/>
            <w:hideMark/>
          </w:tcPr>
          <w:p w14:paraId="16D68771"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488-495</w:t>
            </w:r>
          </w:p>
        </w:tc>
      </w:tr>
      <w:tr w:rsidR="00D24F6F" w:rsidRPr="00E12526" w14:paraId="67FDA552" w14:textId="77777777" w:rsidTr="003812A1">
        <w:trPr>
          <w:trHeight w:val="300"/>
        </w:trPr>
        <w:tc>
          <w:tcPr>
            <w:tcW w:w="9386" w:type="dxa"/>
            <w:tcBorders>
              <w:top w:val="nil"/>
              <w:left w:val="nil"/>
              <w:bottom w:val="nil"/>
              <w:right w:val="nil"/>
            </w:tcBorders>
            <w:shd w:val="clear" w:color="auto" w:fill="auto"/>
            <w:noWrap/>
            <w:vAlign w:val="bottom"/>
            <w:hideMark/>
          </w:tcPr>
          <w:p w14:paraId="68503492"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34C8FB22" w14:textId="77777777" w:rsidTr="003812A1">
        <w:trPr>
          <w:trHeight w:val="300"/>
        </w:trPr>
        <w:tc>
          <w:tcPr>
            <w:tcW w:w="9386" w:type="dxa"/>
            <w:tcBorders>
              <w:top w:val="nil"/>
              <w:left w:val="nil"/>
              <w:bottom w:val="nil"/>
              <w:right w:val="nil"/>
            </w:tcBorders>
            <w:shd w:val="clear" w:color="auto" w:fill="auto"/>
            <w:noWrap/>
            <w:vAlign w:val="bottom"/>
            <w:hideMark/>
          </w:tcPr>
          <w:p w14:paraId="08BC244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10.1001/archinternmed.2010.479</w:t>
            </w:r>
          </w:p>
        </w:tc>
      </w:tr>
      <w:tr w:rsidR="00D24F6F" w:rsidRPr="00E12526" w14:paraId="2FF7E520" w14:textId="77777777" w:rsidTr="003812A1">
        <w:trPr>
          <w:trHeight w:val="300"/>
        </w:trPr>
        <w:tc>
          <w:tcPr>
            <w:tcW w:w="9386" w:type="dxa"/>
            <w:tcBorders>
              <w:top w:val="nil"/>
              <w:left w:val="nil"/>
              <w:bottom w:val="nil"/>
              <w:right w:val="nil"/>
            </w:tcBorders>
            <w:shd w:val="clear" w:color="auto" w:fill="auto"/>
            <w:noWrap/>
            <w:vAlign w:val="bottom"/>
            <w:hideMark/>
          </w:tcPr>
          <w:p w14:paraId="1D570F6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Projected cost-effectiveness of smoking cessation interventions in patients hospitalized with myocardial infarction</w:t>
            </w:r>
          </w:p>
        </w:tc>
      </w:tr>
      <w:tr w:rsidR="00D24F6F" w:rsidRPr="00E12526" w14:paraId="148BE981" w14:textId="77777777" w:rsidTr="003812A1">
        <w:trPr>
          <w:trHeight w:val="300"/>
        </w:trPr>
        <w:tc>
          <w:tcPr>
            <w:tcW w:w="9386" w:type="dxa"/>
            <w:tcBorders>
              <w:top w:val="nil"/>
              <w:left w:val="nil"/>
              <w:bottom w:val="nil"/>
              <w:right w:val="nil"/>
            </w:tcBorders>
            <w:shd w:val="clear" w:color="auto" w:fill="auto"/>
            <w:noWrap/>
            <w:vAlign w:val="bottom"/>
            <w:hideMark/>
          </w:tcPr>
          <w:p w14:paraId="541DC14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Ladapo</w:t>
            </w:r>
            <w:proofErr w:type="spellEnd"/>
            <w:r w:rsidRPr="00A647E8">
              <w:rPr>
                <w:rFonts w:eastAsia="Times New Roman" w:cs="Calibri"/>
                <w:color w:val="000000"/>
                <w:lang w:eastAsia="en-GB"/>
              </w:rPr>
              <w:t xml:space="preserve"> JA, Jaffer FA, Weinstein MC, </w:t>
            </w:r>
            <w:proofErr w:type="spellStart"/>
            <w:r w:rsidRPr="00A647E8">
              <w:rPr>
                <w:rFonts w:eastAsia="Times New Roman" w:cs="Calibri"/>
                <w:color w:val="000000"/>
                <w:lang w:eastAsia="en-GB"/>
              </w:rPr>
              <w:t>Froelicher</w:t>
            </w:r>
            <w:proofErr w:type="spellEnd"/>
            <w:r w:rsidRPr="00A647E8">
              <w:rPr>
                <w:rFonts w:eastAsia="Times New Roman" w:cs="Calibri"/>
                <w:color w:val="000000"/>
                <w:lang w:eastAsia="en-GB"/>
              </w:rPr>
              <w:t xml:space="preserve"> ES</w:t>
            </w:r>
          </w:p>
        </w:tc>
      </w:tr>
      <w:tr w:rsidR="00D24F6F" w:rsidRPr="00E12526" w14:paraId="7D07BA8A" w14:textId="77777777" w:rsidTr="003812A1">
        <w:trPr>
          <w:trHeight w:val="300"/>
        </w:trPr>
        <w:tc>
          <w:tcPr>
            <w:tcW w:w="9386" w:type="dxa"/>
            <w:tcBorders>
              <w:top w:val="nil"/>
              <w:left w:val="nil"/>
              <w:bottom w:val="nil"/>
              <w:right w:val="nil"/>
            </w:tcBorders>
            <w:shd w:val="clear" w:color="auto" w:fill="auto"/>
            <w:noWrap/>
            <w:vAlign w:val="bottom"/>
            <w:hideMark/>
          </w:tcPr>
          <w:p w14:paraId="5689BC4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Archives of Internal Medicine</w:t>
            </w:r>
          </w:p>
        </w:tc>
      </w:tr>
      <w:tr w:rsidR="00D24F6F" w:rsidRPr="00E12526" w14:paraId="1950EEA7" w14:textId="77777777" w:rsidTr="003812A1">
        <w:trPr>
          <w:trHeight w:val="300"/>
        </w:trPr>
        <w:tc>
          <w:tcPr>
            <w:tcW w:w="9386" w:type="dxa"/>
            <w:tcBorders>
              <w:top w:val="nil"/>
              <w:left w:val="nil"/>
              <w:bottom w:val="nil"/>
              <w:right w:val="nil"/>
            </w:tcBorders>
            <w:shd w:val="clear" w:color="auto" w:fill="auto"/>
            <w:noWrap/>
            <w:vAlign w:val="bottom"/>
            <w:hideMark/>
          </w:tcPr>
          <w:p w14:paraId="2C8C316D"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2011</w:t>
            </w:r>
          </w:p>
        </w:tc>
      </w:tr>
      <w:tr w:rsidR="00D24F6F" w:rsidRPr="00E12526" w14:paraId="45BD54EE" w14:textId="77777777" w:rsidTr="003812A1">
        <w:trPr>
          <w:trHeight w:val="300"/>
        </w:trPr>
        <w:tc>
          <w:tcPr>
            <w:tcW w:w="9386" w:type="dxa"/>
            <w:tcBorders>
              <w:top w:val="nil"/>
              <w:left w:val="nil"/>
              <w:bottom w:val="nil"/>
              <w:right w:val="nil"/>
            </w:tcBorders>
            <w:shd w:val="clear" w:color="auto" w:fill="auto"/>
            <w:noWrap/>
            <w:vAlign w:val="bottom"/>
            <w:hideMark/>
          </w:tcPr>
          <w:p w14:paraId="50E03E2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171(1)</w:t>
            </w:r>
          </w:p>
        </w:tc>
      </w:tr>
      <w:tr w:rsidR="00D24F6F" w:rsidRPr="00E12526" w14:paraId="6368AA3D" w14:textId="77777777" w:rsidTr="003812A1">
        <w:trPr>
          <w:trHeight w:val="300"/>
        </w:trPr>
        <w:tc>
          <w:tcPr>
            <w:tcW w:w="9386" w:type="dxa"/>
            <w:tcBorders>
              <w:top w:val="nil"/>
              <w:left w:val="nil"/>
              <w:bottom w:val="nil"/>
              <w:right w:val="nil"/>
            </w:tcBorders>
            <w:shd w:val="clear" w:color="auto" w:fill="auto"/>
            <w:noWrap/>
            <w:vAlign w:val="bottom"/>
            <w:hideMark/>
          </w:tcPr>
          <w:p w14:paraId="0B70047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39-45</w:t>
            </w:r>
          </w:p>
        </w:tc>
      </w:tr>
      <w:tr w:rsidR="00D24F6F" w:rsidRPr="00E12526" w14:paraId="611C92C3" w14:textId="77777777" w:rsidTr="003812A1">
        <w:trPr>
          <w:trHeight w:val="300"/>
        </w:trPr>
        <w:tc>
          <w:tcPr>
            <w:tcW w:w="9386" w:type="dxa"/>
            <w:tcBorders>
              <w:top w:val="nil"/>
              <w:left w:val="nil"/>
              <w:bottom w:val="nil"/>
              <w:right w:val="nil"/>
            </w:tcBorders>
            <w:shd w:val="clear" w:color="auto" w:fill="auto"/>
            <w:noWrap/>
            <w:vAlign w:val="bottom"/>
            <w:hideMark/>
          </w:tcPr>
          <w:p w14:paraId="4157D1E8"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7F22DC0F" w14:textId="77777777" w:rsidTr="003812A1">
        <w:trPr>
          <w:trHeight w:val="300"/>
        </w:trPr>
        <w:tc>
          <w:tcPr>
            <w:tcW w:w="9386" w:type="dxa"/>
            <w:tcBorders>
              <w:top w:val="nil"/>
              <w:left w:val="nil"/>
              <w:bottom w:val="nil"/>
              <w:right w:val="nil"/>
            </w:tcBorders>
            <w:shd w:val="clear" w:color="auto" w:fill="auto"/>
            <w:noWrap/>
            <w:vAlign w:val="bottom"/>
            <w:hideMark/>
          </w:tcPr>
          <w:p w14:paraId="203728B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10.1161/CIRCOUTCOMES.109.908541</w:t>
            </w:r>
          </w:p>
        </w:tc>
      </w:tr>
      <w:tr w:rsidR="00D24F6F" w:rsidRPr="00E12526" w14:paraId="64112BA4" w14:textId="77777777" w:rsidTr="003812A1">
        <w:trPr>
          <w:trHeight w:val="300"/>
        </w:trPr>
        <w:tc>
          <w:tcPr>
            <w:tcW w:w="9386" w:type="dxa"/>
            <w:tcBorders>
              <w:top w:val="nil"/>
              <w:left w:val="nil"/>
              <w:bottom w:val="nil"/>
              <w:right w:val="nil"/>
            </w:tcBorders>
            <w:shd w:val="clear" w:color="auto" w:fill="auto"/>
            <w:noWrap/>
            <w:vAlign w:val="bottom"/>
            <w:hideMark/>
          </w:tcPr>
          <w:p w14:paraId="77611FE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Comparative effectiveness of ST-segment-elevation myocardial infarction regionalization strategies</w:t>
            </w:r>
          </w:p>
        </w:tc>
      </w:tr>
      <w:tr w:rsidR="00D24F6F" w:rsidRPr="00E12526" w14:paraId="5E083DE6" w14:textId="77777777" w:rsidTr="003812A1">
        <w:trPr>
          <w:trHeight w:val="300"/>
        </w:trPr>
        <w:tc>
          <w:tcPr>
            <w:tcW w:w="9386" w:type="dxa"/>
            <w:tcBorders>
              <w:top w:val="nil"/>
              <w:left w:val="nil"/>
              <w:bottom w:val="nil"/>
              <w:right w:val="nil"/>
            </w:tcBorders>
            <w:shd w:val="clear" w:color="auto" w:fill="auto"/>
            <w:noWrap/>
            <w:vAlign w:val="bottom"/>
            <w:hideMark/>
          </w:tcPr>
          <w:p w14:paraId="01C42D3D"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Concannon</w:t>
            </w:r>
            <w:proofErr w:type="spellEnd"/>
            <w:r w:rsidRPr="00A647E8">
              <w:rPr>
                <w:rFonts w:eastAsia="Times New Roman" w:cs="Calibri"/>
                <w:color w:val="000000"/>
                <w:lang w:eastAsia="en-GB"/>
              </w:rPr>
              <w:t xml:space="preserve"> TW, Kent DM, Normand SL, Newhouse JP, Griffith JL, Cohen J, </w:t>
            </w:r>
            <w:proofErr w:type="spellStart"/>
            <w:r w:rsidRPr="00A647E8">
              <w:rPr>
                <w:rFonts w:eastAsia="Times New Roman" w:cs="Calibri"/>
                <w:color w:val="000000"/>
                <w:lang w:eastAsia="en-GB"/>
              </w:rPr>
              <w:t>Beshansky</w:t>
            </w:r>
            <w:proofErr w:type="spellEnd"/>
            <w:r w:rsidRPr="00A647E8">
              <w:rPr>
                <w:rFonts w:eastAsia="Times New Roman" w:cs="Calibri"/>
                <w:color w:val="000000"/>
                <w:lang w:eastAsia="en-GB"/>
              </w:rPr>
              <w:t xml:space="preserve"> JR, Wong JB, Aversano T, </w:t>
            </w:r>
            <w:proofErr w:type="spellStart"/>
            <w:r w:rsidRPr="00A647E8">
              <w:rPr>
                <w:rFonts w:eastAsia="Times New Roman" w:cs="Calibri"/>
                <w:color w:val="000000"/>
                <w:lang w:eastAsia="en-GB"/>
              </w:rPr>
              <w:t>Selker</w:t>
            </w:r>
            <w:proofErr w:type="spellEnd"/>
            <w:r w:rsidRPr="00A647E8">
              <w:rPr>
                <w:rFonts w:eastAsia="Times New Roman" w:cs="Calibri"/>
                <w:color w:val="000000"/>
                <w:lang w:eastAsia="en-GB"/>
              </w:rPr>
              <w:t xml:space="preserve"> HP</w:t>
            </w:r>
          </w:p>
        </w:tc>
      </w:tr>
      <w:tr w:rsidR="00D24F6F" w:rsidRPr="00E12526" w14:paraId="6D776181" w14:textId="77777777" w:rsidTr="003812A1">
        <w:trPr>
          <w:trHeight w:val="300"/>
        </w:trPr>
        <w:tc>
          <w:tcPr>
            <w:tcW w:w="9386" w:type="dxa"/>
            <w:tcBorders>
              <w:top w:val="nil"/>
              <w:left w:val="nil"/>
              <w:bottom w:val="nil"/>
              <w:right w:val="nil"/>
            </w:tcBorders>
            <w:shd w:val="clear" w:color="auto" w:fill="auto"/>
            <w:noWrap/>
            <w:vAlign w:val="bottom"/>
            <w:hideMark/>
          </w:tcPr>
          <w:p w14:paraId="7D3B77F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Circulation: Cardiovascular Quality and Outcomes</w:t>
            </w:r>
          </w:p>
        </w:tc>
      </w:tr>
      <w:tr w:rsidR="00D24F6F" w:rsidRPr="00E12526" w14:paraId="321E5D77" w14:textId="77777777" w:rsidTr="003812A1">
        <w:trPr>
          <w:trHeight w:val="300"/>
        </w:trPr>
        <w:tc>
          <w:tcPr>
            <w:tcW w:w="9386" w:type="dxa"/>
            <w:tcBorders>
              <w:top w:val="nil"/>
              <w:left w:val="nil"/>
              <w:bottom w:val="nil"/>
              <w:right w:val="nil"/>
            </w:tcBorders>
            <w:shd w:val="clear" w:color="auto" w:fill="auto"/>
            <w:noWrap/>
            <w:vAlign w:val="bottom"/>
            <w:hideMark/>
          </w:tcPr>
          <w:p w14:paraId="17E4730C"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2010</w:t>
            </w:r>
          </w:p>
        </w:tc>
      </w:tr>
      <w:tr w:rsidR="00D24F6F" w:rsidRPr="00E12526" w14:paraId="28A113E1" w14:textId="77777777" w:rsidTr="003812A1">
        <w:trPr>
          <w:trHeight w:val="300"/>
        </w:trPr>
        <w:tc>
          <w:tcPr>
            <w:tcW w:w="9386" w:type="dxa"/>
            <w:tcBorders>
              <w:top w:val="nil"/>
              <w:left w:val="nil"/>
              <w:bottom w:val="nil"/>
              <w:right w:val="nil"/>
            </w:tcBorders>
            <w:shd w:val="clear" w:color="auto" w:fill="auto"/>
            <w:noWrap/>
            <w:vAlign w:val="bottom"/>
            <w:hideMark/>
          </w:tcPr>
          <w:p w14:paraId="51F46A5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3(5)</w:t>
            </w:r>
          </w:p>
        </w:tc>
      </w:tr>
      <w:tr w:rsidR="00D24F6F" w:rsidRPr="00E12526" w14:paraId="610A4ED8" w14:textId="77777777" w:rsidTr="003812A1">
        <w:trPr>
          <w:trHeight w:val="300"/>
        </w:trPr>
        <w:tc>
          <w:tcPr>
            <w:tcW w:w="9386" w:type="dxa"/>
            <w:tcBorders>
              <w:top w:val="nil"/>
              <w:left w:val="nil"/>
              <w:bottom w:val="nil"/>
              <w:right w:val="nil"/>
            </w:tcBorders>
            <w:shd w:val="clear" w:color="auto" w:fill="auto"/>
            <w:noWrap/>
            <w:vAlign w:val="bottom"/>
            <w:hideMark/>
          </w:tcPr>
          <w:p w14:paraId="46846B0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506-513</w:t>
            </w:r>
          </w:p>
        </w:tc>
      </w:tr>
      <w:tr w:rsidR="00D24F6F" w:rsidRPr="00E12526" w14:paraId="31FE81CB" w14:textId="77777777" w:rsidTr="003812A1">
        <w:trPr>
          <w:trHeight w:val="300"/>
        </w:trPr>
        <w:tc>
          <w:tcPr>
            <w:tcW w:w="9386" w:type="dxa"/>
            <w:tcBorders>
              <w:top w:val="nil"/>
              <w:left w:val="nil"/>
              <w:bottom w:val="nil"/>
              <w:right w:val="nil"/>
            </w:tcBorders>
            <w:shd w:val="clear" w:color="auto" w:fill="auto"/>
            <w:noWrap/>
            <w:vAlign w:val="bottom"/>
            <w:hideMark/>
          </w:tcPr>
          <w:p w14:paraId="637F9EDD"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6FEE7A76" w14:textId="77777777" w:rsidTr="003812A1">
        <w:trPr>
          <w:trHeight w:val="300"/>
        </w:trPr>
        <w:tc>
          <w:tcPr>
            <w:tcW w:w="9386" w:type="dxa"/>
            <w:tcBorders>
              <w:top w:val="nil"/>
              <w:left w:val="nil"/>
              <w:bottom w:val="nil"/>
              <w:right w:val="nil"/>
            </w:tcBorders>
            <w:shd w:val="clear" w:color="auto" w:fill="auto"/>
            <w:noWrap/>
            <w:vAlign w:val="bottom"/>
            <w:hideMark/>
          </w:tcPr>
          <w:p w14:paraId="0BC605BE" w14:textId="77777777" w:rsidR="00D24F6F" w:rsidRDefault="00D24F6F" w:rsidP="003812A1">
            <w:pPr>
              <w:spacing w:after="0" w:line="240" w:lineRule="auto"/>
              <w:rPr>
                <w:rFonts w:eastAsia="Times New Roman" w:cs="Calibri"/>
                <w:color w:val="000000"/>
                <w:lang w:eastAsia="en-GB"/>
              </w:rPr>
            </w:pPr>
          </w:p>
          <w:p w14:paraId="46D6F7F4" w14:textId="77777777" w:rsidR="00D24F6F" w:rsidRDefault="00D24F6F" w:rsidP="003812A1">
            <w:pPr>
              <w:spacing w:after="0" w:line="240" w:lineRule="auto"/>
              <w:rPr>
                <w:rFonts w:eastAsia="Times New Roman" w:cs="Calibri"/>
                <w:color w:val="000000"/>
                <w:lang w:eastAsia="en-GB"/>
              </w:rPr>
            </w:pPr>
          </w:p>
          <w:p w14:paraId="3FF332B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lastRenderedPageBreak/>
              <w:t>DOI:   10.1161/CIRCULATIONAHA.109.900704</w:t>
            </w:r>
          </w:p>
        </w:tc>
      </w:tr>
      <w:tr w:rsidR="00D24F6F" w:rsidRPr="00E12526" w14:paraId="7B5982E4" w14:textId="77777777" w:rsidTr="003812A1">
        <w:trPr>
          <w:trHeight w:val="300"/>
        </w:trPr>
        <w:tc>
          <w:tcPr>
            <w:tcW w:w="9386" w:type="dxa"/>
            <w:tcBorders>
              <w:top w:val="nil"/>
              <w:left w:val="nil"/>
              <w:bottom w:val="nil"/>
              <w:right w:val="nil"/>
            </w:tcBorders>
            <w:shd w:val="clear" w:color="auto" w:fill="auto"/>
            <w:noWrap/>
            <w:vAlign w:val="bottom"/>
            <w:hideMark/>
          </w:tcPr>
          <w:p w14:paraId="2ADD0019"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lastRenderedPageBreak/>
              <w:t xml:space="preserve">TTL:   Cost-effectiveness of </w:t>
            </w:r>
            <w:proofErr w:type="spellStart"/>
            <w:r w:rsidRPr="00A647E8">
              <w:rPr>
                <w:rFonts w:eastAsia="Times New Roman" w:cs="Calibri"/>
                <w:color w:val="000000"/>
                <w:lang w:eastAsia="en-GB"/>
              </w:rPr>
              <w:t>prasugrel</w:t>
            </w:r>
            <w:proofErr w:type="spellEnd"/>
            <w:r w:rsidRPr="00A647E8">
              <w:rPr>
                <w:rFonts w:eastAsia="Times New Roman" w:cs="Calibri"/>
                <w:color w:val="000000"/>
                <w:lang w:eastAsia="en-GB"/>
              </w:rPr>
              <w:t xml:space="preserve"> versus </w:t>
            </w:r>
            <w:proofErr w:type="spellStart"/>
            <w:r w:rsidRPr="00A647E8">
              <w:rPr>
                <w:rFonts w:eastAsia="Times New Roman" w:cs="Calibri"/>
                <w:color w:val="000000"/>
                <w:lang w:eastAsia="en-GB"/>
              </w:rPr>
              <w:t>clopidogrel</w:t>
            </w:r>
            <w:proofErr w:type="spellEnd"/>
            <w:r w:rsidRPr="00A647E8">
              <w:rPr>
                <w:rFonts w:eastAsia="Times New Roman" w:cs="Calibri"/>
                <w:color w:val="000000"/>
                <w:lang w:eastAsia="en-GB"/>
              </w:rPr>
              <w:t xml:space="preserve"> in patients with acute coronary syndromes and planned percutaneous coronary intervention: results from the Trial to Assess Improvement in Therapeutic Outcomes by Optimizing Platelet Inhibition With </w:t>
            </w:r>
            <w:proofErr w:type="spellStart"/>
            <w:r w:rsidRPr="00A647E8">
              <w:rPr>
                <w:rFonts w:eastAsia="Times New Roman" w:cs="Calibri"/>
                <w:color w:val="000000"/>
                <w:lang w:eastAsia="en-GB"/>
              </w:rPr>
              <w:t>Prasugrel</w:t>
            </w:r>
            <w:proofErr w:type="spellEnd"/>
            <w:r w:rsidRPr="00A647E8">
              <w:rPr>
                <w:rFonts w:eastAsia="Times New Roman" w:cs="Calibri"/>
                <w:color w:val="000000"/>
                <w:lang w:eastAsia="en-GB"/>
              </w:rPr>
              <w:t xml:space="preserve"> - Thrombolysis in Myocardial Infarction TRITON-TIMI 38</w:t>
            </w:r>
          </w:p>
        </w:tc>
      </w:tr>
      <w:tr w:rsidR="00D24F6F" w:rsidRPr="00E12526" w14:paraId="644A3E50" w14:textId="77777777" w:rsidTr="003812A1">
        <w:trPr>
          <w:trHeight w:val="300"/>
        </w:trPr>
        <w:tc>
          <w:tcPr>
            <w:tcW w:w="9386" w:type="dxa"/>
            <w:tcBorders>
              <w:top w:val="nil"/>
              <w:left w:val="nil"/>
              <w:bottom w:val="nil"/>
              <w:right w:val="nil"/>
            </w:tcBorders>
            <w:shd w:val="clear" w:color="auto" w:fill="auto"/>
            <w:noWrap/>
            <w:vAlign w:val="bottom"/>
            <w:hideMark/>
          </w:tcPr>
          <w:p w14:paraId="33FF4D6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Mahoney EM, Wang K, Arnold SV, </w:t>
            </w:r>
            <w:proofErr w:type="spellStart"/>
            <w:r w:rsidRPr="00A647E8">
              <w:rPr>
                <w:rFonts w:eastAsia="Times New Roman" w:cs="Calibri"/>
                <w:color w:val="000000"/>
                <w:lang w:eastAsia="en-GB"/>
              </w:rPr>
              <w:t>Proskorovsky</w:t>
            </w:r>
            <w:proofErr w:type="spellEnd"/>
            <w:r w:rsidRPr="00A647E8">
              <w:rPr>
                <w:rFonts w:eastAsia="Times New Roman" w:cs="Calibri"/>
                <w:color w:val="000000"/>
                <w:lang w:eastAsia="en-GB"/>
              </w:rPr>
              <w:t xml:space="preserve"> I, </w:t>
            </w:r>
            <w:proofErr w:type="spellStart"/>
            <w:r w:rsidRPr="00A647E8">
              <w:rPr>
                <w:rFonts w:eastAsia="Times New Roman" w:cs="Calibri"/>
                <w:color w:val="000000"/>
                <w:lang w:eastAsia="en-GB"/>
              </w:rPr>
              <w:t>Wiviott</w:t>
            </w:r>
            <w:proofErr w:type="spellEnd"/>
            <w:r w:rsidRPr="00A647E8">
              <w:rPr>
                <w:rFonts w:eastAsia="Times New Roman" w:cs="Calibri"/>
                <w:color w:val="000000"/>
                <w:lang w:eastAsia="en-GB"/>
              </w:rPr>
              <w:t xml:space="preserve"> S, </w:t>
            </w:r>
            <w:proofErr w:type="spellStart"/>
            <w:r w:rsidRPr="00A647E8">
              <w:rPr>
                <w:rFonts w:eastAsia="Times New Roman" w:cs="Calibri"/>
                <w:color w:val="000000"/>
                <w:lang w:eastAsia="en-GB"/>
              </w:rPr>
              <w:t>Antman</w:t>
            </w:r>
            <w:proofErr w:type="spellEnd"/>
            <w:r w:rsidRPr="00A647E8">
              <w:rPr>
                <w:rFonts w:eastAsia="Times New Roman" w:cs="Calibri"/>
                <w:color w:val="000000"/>
                <w:lang w:eastAsia="en-GB"/>
              </w:rPr>
              <w:t xml:space="preserve"> E, </w:t>
            </w:r>
            <w:proofErr w:type="spellStart"/>
            <w:r w:rsidRPr="00A647E8">
              <w:rPr>
                <w:rFonts w:eastAsia="Times New Roman" w:cs="Calibri"/>
                <w:color w:val="000000"/>
                <w:lang w:eastAsia="en-GB"/>
              </w:rPr>
              <w:t>Braunwald</w:t>
            </w:r>
            <w:proofErr w:type="spellEnd"/>
            <w:r w:rsidRPr="00A647E8">
              <w:rPr>
                <w:rFonts w:eastAsia="Times New Roman" w:cs="Calibri"/>
                <w:color w:val="000000"/>
                <w:lang w:eastAsia="en-GB"/>
              </w:rPr>
              <w:t xml:space="preserve"> E, Cohen DJ</w:t>
            </w:r>
          </w:p>
        </w:tc>
      </w:tr>
      <w:tr w:rsidR="00D24F6F" w:rsidRPr="00E12526" w14:paraId="77C9C4E2" w14:textId="77777777" w:rsidTr="003812A1">
        <w:trPr>
          <w:trHeight w:val="300"/>
        </w:trPr>
        <w:tc>
          <w:tcPr>
            <w:tcW w:w="9386" w:type="dxa"/>
            <w:tcBorders>
              <w:top w:val="nil"/>
              <w:left w:val="nil"/>
              <w:bottom w:val="nil"/>
              <w:right w:val="nil"/>
            </w:tcBorders>
            <w:shd w:val="clear" w:color="auto" w:fill="auto"/>
            <w:noWrap/>
            <w:vAlign w:val="bottom"/>
            <w:hideMark/>
          </w:tcPr>
          <w:p w14:paraId="0F457C99"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Circulation</w:t>
            </w:r>
          </w:p>
        </w:tc>
      </w:tr>
      <w:tr w:rsidR="00D24F6F" w:rsidRPr="00E12526" w14:paraId="2C9A09E2" w14:textId="77777777" w:rsidTr="003812A1">
        <w:trPr>
          <w:trHeight w:val="300"/>
        </w:trPr>
        <w:tc>
          <w:tcPr>
            <w:tcW w:w="9386" w:type="dxa"/>
            <w:tcBorders>
              <w:top w:val="nil"/>
              <w:left w:val="nil"/>
              <w:bottom w:val="nil"/>
              <w:right w:val="nil"/>
            </w:tcBorders>
            <w:shd w:val="clear" w:color="auto" w:fill="auto"/>
            <w:noWrap/>
            <w:vAlign w:val="bottom"/>
            <w:hideMark/>
          </w:tcPr>
          <w:p w14:paraId="1293010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2010</w:t>
            </w:r>
          </w:p>
        </w:tc>
      </w:tr>
      <w:tr w:rsidR="00D24F6F" w:rsidRPr="00E12526" w14:paraId="5DC72848" w14:textId="77777777" w:rsidTr="003812A1">
        <w:trPr>
          <w:trHeight w:val="300"/>
        </w:trPr>
        <w:tc>
          <w:tcPr>
            <w:tcW w:w="9386" w:type="dxa"/>
            <w:tcBorders>
              <w:top w:val="nil"/>
              <w:left w:val="nil"/>
              <w:bottom w:val="nil"/>
              <w:right w:val="nil"/>
            </w:tcBorders>
            <w:shd w:val="clear" w:color="auto" w:fill="auto"/>
            <w:noWrap/>
            <w:vAlign w:val="bottom"/>
            <w:hideMark/>
          </w:tcPr>
          <w:p w14:paraId="2C79F56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121(1)</w:t>
            </w:r>
          </w:p>
        </w:tc>
      </w:tr>
      <w:tr w:rsidR="00D24F6F" w:rsidRPr="00E12526" w14:paraId="7BB2CFD3" w14:textId="77777777" w:rsidTr="003812A1">
        <w:trPr>
          <w:trHeight w:val="300"/>
        </w:trPr>
        <w:tc>
          <w:tcPr>
            <w:tcW w:w="9386" w:type="dxa"/>
            <w:tcBorders>
              <w:top w:val="nil"/>
              <w:left w:val="nil"/>
              <w:bottom w:val="nil"/>
              <w:right w:val="nil"/>
            </w:tcBorders>
            <w:shd w:val="clear" w:color="auto" w:fill="auto"/>
            <w:noWrap/>
            <w:vAlign w:val="bottom"/>
            <w:hideMark/>
          </w:tcPr>
          <w:p w14:paraId="3C614C2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71-79</w:t>
            </w:r>
          </w:p>
        </w:tc>
      </w:tr>
      <w:tr w:rsidR="00D24F6F" w:rsidRPr="00E12526" w14:paraId="2C81B692" w14:textId="77777777" w:rsidTr="003812A1">
        <w:trPr>
          <w:trHeight w:val="300"/>
        </w:trPr>
        <w:tc>
          <w:tcPr>
            <w:tcW w:w="9386" w:type="dxa"/>
            <w:tcBorders>
              <w:top w:val="nil"/>
              <w:left w:val="nil"/>
              <w:bottom w:val="nil"/>
              <w:right w:val="nil"/>
            </w:tcBorders>
            <w:shd w:val="clear" w:color="auto" w:fill="auto"/>
            <w:noWrap/>
            <w:vAlign w:val="bottom"/>
            <w:hideMark/>
          </w:tcPr>
          <w:p w14:paraId="15DBCE30"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195112F2" w14:textId="77777777" w:rsidTr="003812A1">
        <w:trPr>
          <w:trHeight w:val="300"/>
        </w:trPr>
        <w:tc>
          <w:tcPr>
            <w:tcW w:w="9386" w:type="dxa"/>
            <w:tcBorders>
              <w:top w:val="nil"/>
              <w:left w:val="nil"/>
              <w:bottom w:val="nil"/>
              <w:right w:val="nil"/>
            </w:tcBorders>
            <w:shd w:val="clear" w:color="auto" w:fill="auto"/>
            <w:noWrap/>
            <w:vAlign w:val="bottom"/>
            <w:hideMark/>
          </w:tcPr>
          <w:p w14:paraId="0745BC2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10.1007/s12325-010-0013-x</w:t>
            </w:r>
          </w:p>
        </w:tc>
      </w:tr>
      <w:tr w:rsidR="00D24F6F" w:rsidRPr="00E12526" w14:paraId="6A414255" w14:textId="77777777" w:rsidTr="003812A1">
        <w:trPr>
          <w:trHeight w:val="300"/>
        </w:trPr>
        <w:tc>
          <w:tcPr>
            <w:tcW w:w="9386" w:type="dxa"/>
            <w:tcBorders>
              <w:top w:val="nil"/>
              <w:left w:val="nil"/>
              <w:bottom w:val="nil"/>
              <w:right w:val="nil"/>
            </w:tcBorders>
            <w:shd w:val="clear" w:color="auto" w:fill="auto"/>
            <w:noWrap/>
            <w:vAlign w:val="bottom"/>
            <w:hideMark/>
          </w:tcPr>
          <w:p w14:paraId="56508669"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Enoxaparin is a cost-effective adjunct to fibrinolytic therapy for ST-elevation myocardial infarction in contemporary practice</w:t>
            </w:r>
          </w:p>
        </w:tc>
      </w:tr>
      <w:tr w:rsidR="00D24F6F" w:rsidRPr="00E12526" w14:paraId="1D3AE024" w14:textId="77777777" w:rsidTr="003812A1">
        <w:trPr>
          <w:trHeight w:val="300"/>
        </w:trPr>
        <w:tc>
          <w:tcPr>
            <w:tcW w:w="9386" w:type="dxa"/>
            <w:tcBorders>
              <w:top w:val="nil"/>
              <w:left w:val="nil"/>
              <w:bottom w:val="nil"/>
              <w:right w:val="nil"/>
            </w:tcBorders>
            <w:shd w:val="clear" w:color="auto" w:fill="auto"/>
            <w:noWrap/>
            <w:vAlign w:val="bottom"/>
            <w:hideMark/>
          </w:tcPr>
          <w:p w14:paraId="649AAF1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Menown</w:t>
            </w:r>
            <w:proofErr w:type="spellEnd"/>
            <w:r w:rsidRPr="00A647E8">
              <w:rPr>
                <w:rFonts w:eastAsia="Times New Roman" w:cs="Calibri"/>
                <w:color w:val="000000"/>
                <w:lang w:eastAsia="en-GB"/>
              </w:rPr>
              <w:t xml:space="preserve"> I, </w:t>
            </w:r>
            <w:proofErr w:type="spellStart"/>
            <w:r w:rsidRPr="00A647E8">
              <w:rPr>
                <w:rFonts w:eastAsia="Times New Roman" w:cs="Calibri"/>
                <w:color w:val="000000"/>
                <w:lang w:eastAsia="en-GB"/>
              </w:rPr>
              <w:t>Montalescot</w:t>
            </w:r>
            <w:proofErr w:type="spellEnd"/>
            <w:r w:rsidRPr="00A647E8">
              <w:rPr>
                <w:rFonts w:eastAsia="Times New Roman" w:cs="Calibri"/>
                <w:color w:val="000000"/>
                <w:lang w:eastAsia="en-GB"/>
              </w:rPr>
              <w:t xml:space="preserve"> G, Pal N, </w:t>
            </w:r>
            <w:proofErr w:type="spellStart"/>
            <w:r w:rsidRPr="00A647E8">
              <w:rPr>
                <w:rFonts w:eastAsia="Times New Roman" w:cs="Calibri"/>
                <w:color w:val="000000"/>
                <w:lang w:eastAsia="en-GB"/>
              </w:rPr>
              <w:t>Fidler</w:t>
            </w:r>
            <w:proofErr w:type="spellEnd"/>
            <w:r w:rsidRPr="00A647E8">
              <w:rPr>
                <w:rFonts w:eastAsia="Times New Roman" w:cs="Calibri"/>
                <w:color w:val="000000"/>
                <w:lang w:eastAsia="en-GB"/>
              </w:rPr>
              <w:t xml:space="preserve"> C, Orme M, Gillard S</w:t>
            </w:r>
          </w:p>
        </w:tc>
      </w:tr>
      <w:tr w:rsidR="00D24F6F" w:rsidRPr="00E12526" w14:paraId="2DA4B151" w14:textId="77777777" w:rsidTr="003812A1">
        <w:trPr>
          <w:trHeight w:val="300"/>
        </w:trPr>
        <w:tc>
          <w:tcPr>
            <w:tcW w:w="9386" w:type="dxa"/>
            <w:tcBorders>
              <w:top w:val="nil"/>
              <w:left w:val="nil"/>
              <w:bottom w:val="nil"/>
              <w:right w:val="nil"/>
            </w:tcBorders>
            <w:shd w:val="clear" w:color="auto" w:fill="auto"/>
            <w:noWrap/>
            <w:vAlign w:val="bottom"/>
            <w:hideMark/>
          </w:tcPr>
          <w:p w14:paraId="76B58B0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Advances in Therapy</w:t>
            </w:r>
          </w:p>
        </w:tc>
      </w:tr>
      <w:tr w:rsidR="00D24F6F" w:rsidRPr="00E12526" w14:paraId="2195C854" w14:textId="77777777" w:rsidTr="003812A1">
        <w:trPr>
          <w:trHeight w:val="300"/>
        </w:trPr>
        <w:tc>
          <w:tcPr>
            <w:tcW w:w="9386" w:type="dxa"/>
            <w:tcBorders>
              <w:top w:val="nil"/>
              <w:left w:val="nil"/>
              <w:bottom w:val="nil"/>
              <w:right w:val="nil"/>
            </w:tcBorders>
            <w:shd w:val="clear" w:color="auto" w:fill="auto"/>
            <w:noWrap/>
            <w:vAlign w:val="bottom"/>
            <w:hideMark/>
          </w:tcPr>
          <w:p w14:paraId="2233357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2010</w:t>
            </w:r>
          </w:p>
        </w:tc>
      </w:tr>
      <w:tr w:rsidR="00D24F6F" w:rsidRPr="00E12526" w14:paraId="645FB68F" w14:textId="77777777" w:rsidTr="003812A1">
        <w:trPr>
          <w:trHeight w:val="300"/>
        </w:trPr>
        <w:tc>
          <w:tcPr>
            <w:tcW w:w="9386" w:type="dxa"/>
            <w:tcBorders>
              <w:top w:val="nil"/>
              <w:left w:val="nil"/>
              <w:bottom w:val="nil"/>
              <w:right w:val="nil"/>
            </w:tcBorders>
            <w:shd w:val="clear" w:color="auto" w:fill="auto"/>
            <w:noWrap/>
            <w:vAlign w:val="bottom"/>
            <w:hideMark/>
          </w:tcPr>
          <w:p w14:paraId="0A3312AA"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27(3)</w:t>
            </w:r>
          </w:p>
        </w:tc>
      </w:tr>
      <w:tr w:rsidR="00D24F6F" w:rsidRPr="00E12526" w14:paraId="508CFDF7" w14:textId="77777777" w:rsidTr="003812A1">
        <w:trPr>
          <w:trHeight w:val="300"/>
        </w:trPr>
        <w:tc>
          <w:tcPr>
            <w:tcW w:w="9386" w:type="dxa"/>
            <w:tcBorders>
              <w:top w:val="nil"/>
              <w:left w:val="nil"/>
              <w:bottom w:val="nil"/>
              <w:right w:val="nil"/>
            </w:tcBorders>
            <w:shd w:val="clear" w:color="auto" w:fill="auto"/>
            <w:noWrap/>
            <w:vAlign w:val="bottom"/>
            <w:hideMark/>
          </w:tcPr>
          <w:p w14:paraId="46EB6BA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181-191</w:t>
            </w:r>
          </w:p>
        </w:tc>
      </w:tr>
      <w:tr w:rsidR="00D24F6F" w:rsidRPr="00E12526" w14:paraId="7F0A785C" w14:textId="77777777" w:rsidTr="003812A1">
        <w:trPr>
          <w:trHeight w:val="300"/>
        </w:trPr>
        <w:tc>
          <w:tcPr>
            <w:tcW w:w="9386" w:type="dxa"/>
            <w:tcBorders>
              <w:top w:val="nil"/>
              <w:left w:val="nil"/>
              <w:bottom w:val="nil"/>
              <w:right w:val="nil"/>
            </w:tcBorders>
            <w:shd w:val="clear" w:color="auto" w:fill="auto"/>
            <w:noWrap/>
            <w:vAlign w:val="bottom"/>
            <w:hideMark/>
          </w:tcPr>
          <w:p w14:paraId="4BF7DDF2"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6C7DEBCA" w14:textId="77777777" w:rsidTr="003812A1">
        <w:trPr>
          <w:trHeight w:val="300"/>
        </w:trPr>
        <w:tc>
          <w:tcPr>
            <w:tcW w:w="9386" w:type="dxa"/>
            <w:tcBorders>
              <w:top w:val="nil"/>
              <w:left w:val="nil"/>
              <w:bottom w:val="nil"/>
              <w:right w:val="nil"/>
            </w:tcBorders>
            <w:shd w:val="clear" w:color="auto" w:fill="auto"/>
            <w:noWrap/>
            <w:vAlign w:val="bottom"/>
            <w:hideMark/>
          </w:tcPr>
          <w:p w14:paraId="4FB84D6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10.1136/hrt.2009.167130</w:t>
            </w:r>
          </w:p>
        </w:tc>
      </w:tr>
      <w:tr w:rsidR="00D24F6F" w:rsidRPr="00E12526" w14:paraId="5BB5F6DE" w14:textId="77777777" w:rsidTr="003812A1">
        <w:trPr>
          <w:trHeight w:val="300"/>
        </w:trPr>
        <w:tc>
          <w:tcPr>
            <w:tcW w:w="9386" w:type="dxa"/>
            <w:tcBorders>
              <w:top w:val="nil"/>
              <w:left w:val="nil"/>
              <w:bottom w:val="nil"/>
              <w:right w:val="nil"/>
            </w:tcBorders>
            <w:shd w:val="clear" w:color="auto" w:fill="auto"/>
            <w:noWrap/>
            <w:vAlign w:val="bottom"/>
            <w:hideMark/>
          </w:tcPr>
          <w:p w14:paraId="35CB84E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Primary angioplasty versus thrombolysis for acute ST-elevation myocardial infarction: an economic analysis of the National Infarct Angioplasty Project</w:t>
            </w:r>
          </w:p>
        </w:tc>
      </w:tr>
      <w:tr w:rsidR="00D24F6F" w:rsidRPr="00E12526" w14:paraId="38461CC3" w14:textId="77777777" w:rsidTr="003812A1">
        <w:trPr>
          <w:trHeight w:val="300"/>
        </w:trPr>
        <w:tc>
          <w:tcPr>
            <w:tcW w:w="9386" w:type="dxa"/>
            <w:tcBorders>
              <w:top w:val="nil"/>
              <w:left w:val="nil"/>
              <w:bottom w:val="nil"/>
              <w:right w:val="nil"/>
            </w:tcBorders>
            <w:shd w:val="clear" w:color="auto" w:fill="auto"/>
            <w:noWrap/>
            <w:vAlign w:val="bottom"/>
            <w:hideMark/>
          </w:tcPr>
          <w:p w14:paraId="6ECC8CE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t>
            </w:r>
            <w:proofErr w:type="spellStart"/>
            <w:r w:rsidRPr="00A647E8">
              <w:rPr>
                <w:rFonts w:eastAsia="Times New Roman" w:cs="Calibri"/>
                <w:color w:val="000000"/>
                <w:lang w:eastAsia="en-GB"/>
              </w:rPr>
              <w:t>Wailoo</w:t>
            </w:r>
            <w:proofErr w:type="spellEnd"/>
            <w:r w:rsidRPr="00A647E8">
              <w:rPr>
                <w:rFonts w:eastAsia="Times New Roman" w:cs="Calibri"/>
                <w:color w:val="000000"/>
                <w:lang w:eastAsia="en-GB"/>
              </w:rPr>
              <w:t xml:space="preserve"> A, </w:t>
            </w:r>
            <w:proofErr w:type="spellStart"/>
            <w:r w:rsidRPr="00A647E8">
              <w:rPr>
                <w:rFonts w:eastAsia="Times New Roman" w:cs="Calibri"/>
                <w:color w:val="000000"/>
                <w:lang w:eastAsia="en-GB"/>
              </w:rPr>
              <w:t>Goodacre</w:t>
            </w:r>
            <w:proofErr w:type="spellEnd"/>
            <w:r w:rsidRPr="00A647E8">
              <w:rPr>
                <w:rFonts w:eastAsia="Times New Roman" w:cs="Calibri"/>
                <w:color w:val="000000"/>
                <w:lang w:eastAsia="en-GB"/>
              </w:rPr>
              <w:t xml:space="preserve"> S, Sampson F, Hernandez Alava M, </w:t>
            </w:r>
            <w:proofErr w:type="spellStart"/>
            <w:r w:rsidRPr="00A647E8">
              <w:rPr>
                <w:rFonts w:eastAsia="Times New Roman" w:cs="Calibri"/>
                <w:color w:val="000000"/>
                <w:lang w:eastAsia="en-GB"/>
              </w:rPr>
              <w:t>Asseburg</w:t>
            </w:r>
            <w:proofErr w:type="spellEnd"/>
            <w:r w:rsidRPr="00A647E8">
              <w:rPr>
                <w:rFonts w:eastAsia="Times New Roman" w:cs="Calibri"/>
                <w:color w:val="000000"/>
                <w:lang w:eastAsia="en-GB"/>
              </w:rPr>
              <w:t xml:space="preserve"> C, Palmer S, Sculpher M, Abrams K, de </w:t>
            </w:r>
            <w:proofErr w:type="spellStart"/>
            <w:r w:rsidRPr="00A647E8">
              <w:rPr>
                <w:rFonts w:eastAsia="Times New Roman" w:cs="Calibri"/>
                <w:color w:val="000000"/>
                <w:lang w:eastAsia="en-GB"/>
              </w:rPr>
              <w:t>Belder</w:t>
            </w:r>
            <w:proofErr w:type="spellEnd"/>
            <w:r w:rsidRPr="00A647E8">
              <w:rPr>
                <w:rFonts w:eastAsia="Times New Roman" w:cs="Calibri"/>
                <w:color w:val="000000"/>
                <w:lang w:eastAsia="en-GB"/>
              </w:rPr>
              <w:t xml:space="preserve"> M, </w:t>
            </w:r>
            <w:proofErr w:type="spellStart"/>
            <w:r w:rsidRPr="00A647E8">
              <w:rPr>
                <w:rFonts w:eastAsia="Times New Roman" w:cs="Calibri"/>
                <w:color w:val="000000"/>
                <w:lang w:eastAsia="en-GB"/>
              </w:rPr>
              <w:t>Gray</w:t>
            </w:r>
            <w:proofErr w:type="spellEnd"/>
            <w:r w:rsidRPr="00A647E8">
              <w:rPr>
                <w:rFonts w:eastAsia="Times New Roman" w:cs="Calibri"/>
                <w:color w:val="000000"/>
                <w:lang w:eastAsia="en-GB"/>
              </w:rPr>
              <w:t xml:space="preserve"> H</w:t>
            </w:r>
          </w:p>
        </w:tc>
      </w:tr>
      <w:tr w:rsidR="00D24F6F" w:rsidRPr="00E12526" w14:paraId="0ABFCE52" w14:textId="77777777" w:rsidTr="003812A1">
        <w:trPr>
          <w:trHeight w:val="300"/>
        </w:trPr>
        <w:tc>
          <w:tcPr>
            <w:tcW w:w="9386" w:type="dxa"/>
            <w:tcBorders>
              <w:top w:val="nil"/>
              <w:left w:val="nil"/>
              <w:bottom w:val="nil"/>
              <w:right w:val="nil"/>
            </w:tcBorders>
            <w:shd w:val="clear" w:color="auto" w:fill="auto"/>
            <w:noWrap/>
            <w:vAlign w:val="bottom"/>
            <w:hideMark/>
          </w:tcPr>
          <w:p w14:paraId="74CA2A2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Heart</w:t>
            </w:r>
          </w:p>
        </w:tc>
      </w:tr>
      <w:tr w:rsidR="00D24F6F" w:rsidRPr="00E12526" w14:paraId="68D48D70" w14:textId="77777777" w:rsidTr="003812A1">
        <w:trPr>
          <w:trHeight w:val="300"/>
        </w:trPr>
        <w:tc>
          <w:tcPr>
            <w:tcW w:w="9386" w:type="dxa"/>
            <w:tcBorders>
              <w:top w:val="nil"/>
              <w:left w:val="nil"/>
              <w:bottom w:val="nil"/>
              <w:right w:val="nil"/>
            </w:tcBorders>
            <w:shd w:val="clear" w:color="auto" w:fill="auto"/>
            <w:noWrap/>
            <w:vAlign w:val="bottom"/>
            <w:hideMark/>
          </w:tcPr>
          <w:p w14:paraId="7B5AE37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2010</w:t>
            </w:r>
          </w:p>
        </w:tc>
      </w:tr>
      <w:tr w:rsidR="00D24F6F" w:rsidRPr="00E12526" w14:paraId="4D7027BA" w14:textId="77777777" w:rsidTr="003812A1">
        <w:trPr>
          <w:trHeight w:val="300"/>
        </w:trPr>
        <w:tc>
          <w:tcPr>
            <w:tcW w:w="9386" w:type="dxa"/>
            <w:tcBorders>
              <w:top w:val="nil"/>
              <w:left w:val="nil"/>
              <w:bottom w:val="nil"/>
              <w:right w:val="nil"/>
            </w:tcBorders>
            <w:shd w:val="clear" w:color="auto" w:fill="auto"/>
            <w:noWrap/>
            <w:vAlign w:val="bottom"/>
            <w:hideMark/>
          </w:tcPr>
          <w:p w14:paraId="3D42F9A6"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96(9)</w:t>
            </w:r>
          </w:p>
        </w:tc>
      </w:tr>
      <w:tr w:rsidR="00D24F6F" w:rsidRPr="00E12526" w14:paraId="3617EEC0" w14:textId="77777777" w:rsidTr="003812A1">
        <w:trPr>
          <w:trHeight w:val="300"/>
        </w:trPr>
        <w:tc>
          <w:tcPr>
            <w:tcW w:w="9386" w:type="dxa"/>
            <w:tcBorders>
              <w:top w:val="nil"/>
              <w:left w:val="nil"/>
              <w:bottom w:val="nil"/>
              <w:right w:val="nil"/>
            </w:tcBorders>
            <w:shd w:val="clear" w:color="auto" w:fill="auto"/>
            <w:noWrap/>
            <w:vAlign w:val="bottom"/>
            <w:hideMark/>
          </w:tcPr>
          <w:p w14:paraId="62B0DCEA"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668-672</w:t>
            </w:r>
          </w:p>
        </w:tc>
      </w:tr>
      <w:tr w:rsidR="00D24F6F" w:rsidRPr="00E12526" w14:paraId="5ACF655F" w14:textId="77777777" w:rsidTr="003812A1">
        <w:trPr>
          <w:trHeight w:val="300"/>
        </w:trPr>
        <w:tc>
          <w:tcPr>
            <w:tcW w:w="9386" w:type="dxa"/>
            <w:tcBorders>
              <w:top w:val="nil"/>
              <w:left w:val="nil"/>
              <w:bottom w:val="nil"/>
              <w:right w:val="nil"/>
            </w:tcBorders>
            <w:shd w:val="clear" w:color="auto" w:fill="auto"/>
            <w:noWrap/>
            <w:vAlign w:val="bottom"/>
            <w:hideMark/>
          </w:tcPr>
          <w:p w14:paraId="4F2F0B40"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43486391" w14:textId="77777777" w:rsidTr="003812A1">
        <w:trPr>
          <w:trHeight w:val="300"/>
        </w:trPr>
        <w:tc>
          <w:tcPr>
            <w:tcW w:w="9386" w:type="dxa"/>
            <w:tcBorders>
              <w:top w:val="nil"/>
              <w:left w:val="nil"/>
              <w:bottom w:val="nil"/>
              <w:right w:val="nil"/>
            </w:tcBorders>
            <w:shd w:val="clear" w:color="auto" w:fill="auto"/>
            <w:noWrap/>
            <w:vAlign w:val="bottom"/>
            <w:hideMark/>
          </w:tcPr>
          <w:p w14:paraId="6170E68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Cost-effectiveness of enoxaparin compared with unfractionated heparin in ST elevation myocardial infarction patients undergoing pharmacological reperfusion: a Canadian analysis of the Enoxaparin and Thrombolysis Reperfusion for Acute Myocardial Infarction Treatment - Thrombolysis in Myocardial Infarction (</w:t>
            </w:r>
            <w:proofErr w:type="spellStart"/>
            <w:r w:rsidRPr="00A647E8">
              <w:rPr>
                <w:rFonts w:eastAsia="Times New Roman" w:cs="Calibri"/>
                <w:color w:val="000000"/>
                <w:lang w:eastAsia="en-GB"/>
              </w:rPr>
              <w:t>ExTRACT</w:t>
            </w:r>
            <w:proofErr w:type="spellEnd"/>
            <w:r w:rsidRPr="00A647E8">
              <w:rPr>
                <w:rFonts w:eastAsia="Times New Roman" w:cs="Calibri"/>
                <w:color w:val="000000"/>
                <w:lang w:eastAsia="en-GB"/>
              </w:rPr>
              <w:t>-TIMI) 25 trial</w:t>
            </w:r>
          </w:p>
        </w:tc>
      </w:tr>
      <w:tr w:rsidR="00D24F6F" w:rsidRPr="00E12526" w14:paraId="3C4FC4B6" w14:textId="77777777" w:rsidTr="003812A1">
        <w:trPr>
          <w:trHeight w:val="300"/>
        </w:trPr>
        <w:tc>
          <w:tcPr>
            <w:tcW w:w="9386" w:type="dxa"/>
            <w:tcBorders>
              <w:top w:val="nil"/>
              <w:left w:val="nil"/>
              <w:bottom w:val="nil"/>
              <w:right w:val="nil"/>
            </w:tcBorders>
            <w:shd w:val="clear" w:color="auto" w:fill="auto"/>
            <w:noWrap/>
            <w:vAlign w:val="bottom"/>
            <w:hideMark/>
          </w:tcPr>
          <w:p w14:paraId="4B20970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Welsh RC, </w:t>
            </w:r>
            <w:proofErr w:type="spellStart"/>
            <w:r w:rsidRPr="00A647E8">
              <w:rPr>
                <w:rFonts w:eastAsia="Times New Roman" w:cs="Calibri"/>
                <w:color w:val="000000"/>
                <w:lang w:eastAsia="en-GB"/>
              </w:rPr>
              <w:t>Sauriol</w:t>
            </w:r>
            <w:proofErr w:type="spellEnd"/>
            <w:r w:rsidRPr="00A647E8">
              <w:rPr>
                <w:rFonts w:eastAsia="Times New Roman" w:cs="Calibri"/>
                <w:color w:val="000000"/>
                <w:lang w:eastAsia="en-GB"/>
              </w:rPr>
              <w:t xml:space="preserve"> L, Zhang Z, </w:t>
            </w:r>
            <w:proofErr w:type="spellStart"/>
            <w:r w:rsidRPr="00A647E8">
              <w:rPr>
                <w:rFonts w:eastAsia="Times New Roman" w:cs="Calibri"/>
                <w:color w:val="000000"/>
                <w:lang w:eastAsia="en-GB"/>
              </w:rPr>
              <w:t>Kolm</w:t>
            </w:r>
            <w:proofErr w:type="spellEnd"/>
            <w:r w:rsidRPr="00A647E8">
              <w:rPr>
                <w:rFonts w:eastAsia="Times New Roman" w:cs="Calibri"/>
                <w:color w:val="000000"/>
                <w:lang w:eastAsia="en-GB"/>
              </w:rPr>
              <w:t xml:space="preserve"> P, Weintraub WS, Theroux P</w:t>
            </w:r>
          </w:p>
        </w:tc>
      </w:tr>
      <w:tr w:rsidR="00D24F6F" w:rsidRPr="00E12526" w14:paraId="64835467" w14:textId="77777777" w:rsidTr="003812A1">
        <w:trPr>
          <w:trHeight w:val="300"/>
        </w:trPr>
        <w:tc>
          <w:tcPr>
            <w:tcW w:w="9386" w:type="dxa"/>
            <w:tcBorders>
              <w:top w:val="nil"/>
              <w:left w:val="nil"/>
              <w:bottom w:val="nil"/>
              <w:right w:val="nil"/>
            </w:tcBorders>
            <w:shd w:val="clear" w:color="auto" w:fill="auto"/>
            <w:noWrap/>
            <w:vAlign w:val="bottom"/>
            <w:hideMark/>
          </w:tcPr>
          <w:p w14:paraId="5B3A3EAD"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Canadian Journal of Cardiology</w:t>
            </w:r>
          </w:p>
        </w:tc>
      </w:tr>
      <w:tr w:rsidR="00D24F6F" w:rsidRPr="00E12526" w14:paraId="362E4DCD" w14:textId="77777777" w:rsidTr="003812A1">
        <w:trPr>
          <w:trHeight w:val="300"/>
        </w:trPr>
        <w:tc>
          <w:tcPr>
            <w:tcW w:w="9386" w:type="dxa"/>
            <w:tcBorders>
              <w:top w:val="nil"/>
              <w:left w:val="nil"/>
              <w:bottom w:val="nil"/>
              <w:right w:val="nil"/>
            </w:tcBorders>
            <w:shd w:val="clear" w:color="auto" w:fill="auto"/>
            <w:noWrap/>
            <w:vAlign w:val="bottom"/>
            <w:hideMark/>
          </w:tcPr>
          <w:p w14:paraId="1D49E04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2009</w:t>
            </w:r>
          </w:p>
        </w:tc>
      </w:tr>
      <w:tr w:rsidR="00D24F6F" w:rsidRPr="00E12526" w14:paraId="1C176165" w14:textId="77777777" w:rsidTr="003812A1">
        <w:trPr>
          <w:trHeight w:val="300"/>
        </w:trPr>
        <w:tc>
          <w:tcPr>
            <w:tcW w:w="9386" w:type="dxa"/>
            <w:tcBorders>
              <w:top w:val="nil"/>
              <w:left w:val="nil"/>
              <w:bottom w:val="nil"/>
              <w:right w:val="nil"/>
            </w:tcBorders>
            <w:shd w:val="clear" w:color="auto" w:fill="auto"/>
            <w:noWrap/>
            <w:vAlign w:val="bottom"/>
            <w:hideMark/>
          </w:tcPr>
          <w:p w14:paraId="296B7FED"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25(12)</w:t>
            </w:r>
          </w:p>
        </w:tc>
      </w:tr>
      <w:tr w:rsidR="00D24F6F" w:rsidRPr="00E12526" w14:paraId="47BDD558" w14:textId="77777777" w:rsidTr="003812A1">
        <w:trPr>
          <w:trHeight w:val="300"/>
        </w:trPr>
        <w:tc>
          <w:tcPr>
            <w:tcW w:w="9386" w:type="dxa"/>
            <w:tcBorders>
              <w:top w:val="nil"/>
              <w:left w:val="nil"/>
              <w:bottom w:val="nil"/>
              <w:right w:val="nil"/>
            </w:tcBorders>
            <w:shd w:val="clear" w:color="auto" w:fill="auto"/>
            <w:noWrap/>
            <w:vAlign w:val="bottom"/>
            <w:hideMark/>
          </w:tcPr>
          <w:p w14:paraId="48001F4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e399-e405</w:t>
            </w:r>
          </w:p>
        </w:tc>
      </w:tr>
      <w:tr w:rsidR="00D24F6F" w:rsidRPr="00E12526" w14:paraId="33E2F44A" w14:textId="77777777" w:rsidTr="003812A1">
        <w:trPr>
          <w:trHeight w:val="300"/>
        </w:trPr>
        <w:tc>
          <w:tcPr>
            <w:tcW w:w="9386" w:type="dxa"/>
            <w:tcBorders>
              <w:top w:val="nil"/>
              <w:left w:val="nil"/>
              <w:bottom w:val="nil"/>
              <w:right w:val="nil"/>
            </w:tcBorders>
            <w:shd w:val="clear" w:color="auto" w:fill="auto"/>
            <w:noWrap/>
            <w:vAlign w:val="bottom"/>
            <w:hideMark/>
          </w:tcPr>
          <w:p w14:paraId="58AE5AEC"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56719EA8" w14:textId="77777777" w:rsidTr="003812A1">
        <w:trPr>
          <w:trHeight w:val="300"/>
        </w:trPr>
        <w:tc>
          <w:tcPr>
            <w:tcW w:w="9386" w:type="dxa"/>
            <w:tcBorders>
              <w:top w:val="nil"/>
              <w:left w:val="nil"/>
              <w:bottom w:val="nil"/>
              <w:right w:val="nil"/>
            </w:tcBorders>
            <w:shd w:val="clear" w:color="auto" w:fill="auto"/>
            <w:noWrap/>
            <w:vAlign w:val="bottom"/>
            <w:hideMark/>
          </w:tcPr>
          <w:p w14:paraId="24C28B9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TTL:   Cost-effectiveness of prehospital versus </w:t>
            </w:r>
            <w:proofErr w:type="spellStart"/>
            <w:r w:rsidRPr="00A647E8">
              <w:rPr>
                <w:rFonts w:eastAsia="Times New Roman" w:cs="Calibri"/>
                <w:color w:val="000000"/>
                <w:lang w:eastAsia="en-GB"/>
              </w:rPr>
              <w:t>inhospital</w:t>
            </w:r>
            <w:proofErr w:type="spellEnd"/>
            <w:r w:rsidRPr="00A647E8">
              <w:rPr>
                <w:rFonts w:eastAsia="Times New Roman" w:cs="Calibri"/>
                <w:color w:val="000000"/>
                <w:lang w:eastAsia="en-GB"/>
              </w:rPr>
              <w:t xml:space="preserve"> thrombolysis in acute myocardial infarction </w:t>
            </w:r>
          </w:p>
        </w:tc>
      </w:tr>
      <w:tr w:rsidR="00D24F6F" w:rsidRPr="00E12526" w14:paraId="4047727A" w14:textId="77777777" w:rsidTr="003812A1">
        <w:trPr>
          <w:trHeight w:val="300"/>
        </w:trPr>
        <w:tc>
          <w:tcPr>
            <w:tcW w:w="9386" w:type="dxa"/>
            <w:tcBorders>
              <w:top w:val="nil"/>
              <w:left w:val="nil"/>
              <w:bottom w:val="nil"/>
              <w:right w:val="nil"/>
            </w:tcBorders>
            <w:shd w:val="clear" w:color="auto" w:fill="auto"/>
            <w:noWrap/>
            <w:vAlign w:val="bottom"/>
            <w:hideMark/>
          </w:tcPr>
          <w:p w14:paraId="5FE07077"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Araujo D V, Tura B R, </w:t>
            </w:r>
            <w:proofErr w:type="spellStart"/>
            <w:r w:rsidRPr="00A647E8">
              <w:rPr>
                <w:rFonts w:eastAsia="Times New Roman" w:cs="Calibri"/>
                <w:color w:val="000000"/>
                <w:lang w:eastAsia="en-GB"/>
              </w:rPr>
              <w:t>Brasileiro</w:t>
            </w:r>
            <w:proofErr w:type="spellEnd"/>
            <w:r w:rsidRPr="00A647E8">
              <w:rPr>
                <w:rFonts w:eastAsia="Times New Roman" w:cs="Calibri"/>
                <w:color w:val="000000"/>
                <w:lang w:eastAsia="en-GB"/>
              </w:rPr>
              <w:t xml:space="preserve"> A L, </w:t>
            </w:r>
            <w:proofErr w:type="spellStart"/>
            <w:r w:rsidRPr="00A647E8">
              <w:rPr>
                <w:rFonts w:eastAsia="Times New Roman" w:cs="Calibri"/>
                <w:color w:val="000000"/>
                <w:lang w:eastAsia="en-GB"/>
              </w:rPr>
              <w:t>Neto</w:t>
            </w:r>
            <w:proofErr w:type="spellEnd"/>
            <w:r w:rsidRPr="00A647E8">
              <w:rPr>
                <w:rFonts w:eastAsia="Times New Roman" w:cs="Calibri"/>
                <w:color w:val="000000"/>
                <w:lang w:eastAsia="en-GB"/>
              </w:rPr>
              <w:t xml:space="preserve"> H L, </w:t>
            </w:r>
            <w:proofErr w:type="spellStart"/>
            <w:r w:rsidRPr="00A647E8">
              <w:rPr>
                <w:rFonts w:eastAsia="Times New Roman" w:cs="Calibri"/>
                <w:color w:val="000000"/>
                <w:lang w:eastAsia="en-GB"/>
              </w:rPr>
              <w:t>Pavao</w:t>
            </w:r>
            <w:proofErr w:type="spellEnd"/>
            <w:r w:rsidRPr="00A647E8">
              <w:rPr>
                <w:rFonts w:eastAsia="Times New Roman" w:cs="Calibri"/>
                <w:color w:val="000000"/>
                <w:lang w:eastAsia="en-GB"/>
              </w:rPr>
              <w:t xml:space="preserve"> A L, </w:t>
            </w:r>
            <w:proofErr w:type="spellStart"/>
            <w:r w:rsidRPr="00A647E8">
              <w:rPr>
                <w:rFonts w:eastAsia="Times New Roman" w:cs="Calibri"/>
                <w:color w:val="000000"/>
                <w:lang w:eastAsia="en-GB"/>
              </w:rPr>
              <w:t>Teich</w:t>
            </w:r>
            <w:proofErr w:type="spellEnd"/>
            <w:r w:rsidRPr="00A647E8">
              <w:rPr>
                <w:rFonts w:eastAsia="Times New Roman" w:cs="Calibri"/>
                <w:color w:val="000000"/>
                <w:lang w:eastAsia="en-GB"/>
              </w:rPr>
              <w:t xml:space="preserve"> V</w:t>
            </w:r>
          </w:p>
        </w:tc>
      </w:tr>
      <w:tr w:rsidR="00D24F6F" w:rsidRPr="00E12526" w14:paraId="58B99DB0" w14:textId="77777777" w:rsidTr="003812A1">
        <w:trPr>
          <w:trHeight w:val="300"/>
        </w:trPr>
        <w:tc>
          <w:tcPr>
            <w:tcW w:w="9386" w:type="dxa"/>
            <w:tcBorders>
              <w:top w:val="nil"/>
              <w:left w:val="nil"/>
              <w:bottom w:val="nil"/>
              <w:right w:val="nil"/>
            </w:tcBorders>
            <w:shd w:val="clear" w:color="auto" w:fill="auto"/>
            <w:noWrap/>
            <w:vAlign w:val="bottom"/>
            <w:hideMark/>
          </w:tcPr>
          <w:p w14:paraId="0FFF85B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XSO:   </w:t>
            </w:r>
            <w:proofErr w:type="spellStart"/>
            <w:r w:rsidRPr="00A647E8">
              <w:rPr>
                <w:rFonts w:eastAsia="Times New Roman" w:cs="Calibri"/>
                <w:color w:val="000000"/>
                <w:lang w:eastAsia="en-GB"/>
              </w:rPr>
              <w:t>Arquivos</w:t>
            </w:r>
            <w:proofErr w:type="spellEnd"/>
            <w:r w:rsidRPr="00A647E8">
              <w:rPr>
                <w:rFonts w:eastAsia="Times New Roman" w:cs="Calibri"/>
                <w:color w:val="000000"/>
                <w:lang w:eastAsia="en-GB"/>
              </w:rPr>
              <w:t xml:space="preserve"> </w:t>
            </w:r>
            <w:proofErr w:type="spellStart"/>
            <w:r w:rsidRPr="00A647E8">
              <w:rPr>
                <w:rFonts w:eastAsia="Times New Roman" w:cs="Calibri"/>
                <w:color w:val="000000"/>
                <w:lang w:eastAsia="en-GB"/>
              </w:rPr>
              <w:t>Brasileiros</w:t>
            </w:r>
            <w:proofErr w:type="spellEnd"/>
            <w:r w:rsidRPr="00A647E8">
              <w:rPr>
                <w:rFonts w:eastAsia="Times New Roman" w:cs="Calibri"/>
                <w:color w:val="000000"/>
                <w:lang w:eastAsia="en-GB"/>
              </w:rPr>
              <w:t xml:space="preserve"> de </w:t>
            </w:r>
            <w:proofErr w:type="spellStart"/>
            <w:r w:rsidRPr="00A647E8">
              <w:rPr>
                <w:rFonts w:eastAsia="Times New Roman" w:cs="Calibri"/>
                <w:color w:val="000000"/>
                <w:lang w:eastAsia="en-GB"/>
              </w:rPr>
              <w:t>Cardiologia</w:t>
            </w:r>
            <w:proofErr w:type="spellEnd"/>
          </w:p>
        </w:tc>
      </w:tr>
      <w:tr w:rsidR="00D24F6F" w:rsidRPr="00E12526" w14:paraId="21D30EF7" w14:textId="77777777" w:rsidTr="003812A1">
        <w:trPr>
          <w:trHeight w:val="300"/>
        </w:trPr>
        <w:tc>
          <w:tcPr>
            <w:tcW w:w="9386" w:type="dxa"/>
            <w:tcBorders>
              <w:top w:val="nil"/>
              <w:left w:val="nil"/>
              <w:bottom w:val="nil"/>
              <w:right w:val="nil"/>
            </w:tcBorders>
            <w:shd w:val="clear" w:color="auto" w:fill="auto"/>
            <w:noWrap/>
            <w:vAlign w:val="bottom"/>
            <w:hideMark/>
          </w:tcPr>
          <w:p w14:paraId="63E34B77"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2008</w:t>
            </w:r>
          </w:p>
        </w:tc>
      </w:tr>
      <w:tr w:rsidR="00D24F6F" w:rsidRPr="00E12526" w14:paraId="32625902" w14:textId="77777777" w:rsidTr="003812A1">
        <w:trPr>
          <w:trHeight w:val="300"/>
        </w:trPr>
        <w:tc>
          <w:tcPr>
            <w:tcW w:w="9386" w:type="dxa"/>
            <w:tcBorders>
              <w:top w:val="nil"/>
              <w:left w:val="nil"/>
              <w:bottom w:val="nil"/>
              <w:right w:val="nil"/>
            </w:tcBorders>
            <w:shd w:val="clear" w:color="auto" w:fill="auto"/>
            <w:noWrap/>
            <w:vAlign w:val="bottom"/>
            <w:hideMark/>
          </w:tcPr>
          <w:p w14:paraId="38F1E17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90(2)</w:t>
            </w:r>
          </w:p>
        </w:tc>
      </w:tr>
      <w:tr w:rsidR="00D24F6F" w:rsidRPr="00E12526" w14:paraId="74633C61" w14:textId="77777777" w:rsidTr="003812A1">
        <w:trPr>
          <w:trHeight w:val="300"/>
        </w:trPr>
        <w:tc>
          <w:tcPr>
            <w:tcW w:w="9386" w:type="dxa"/>
            <w:tcBorders>
              <w:top w:val="nil"/>
              <w:left w:val="nil"/>
              <w:bottom w:val="nil"/>
              <w:right w:val="nil"/>
            </w:tcBorders>
            <w:shd w:val="clear" w:color="auto" w:fill="auto"/>
            <w:noWrap/>
            <w:vAlign w:val="bottom"/>
            <w:hideMark/>
          </w:tcPr>
          <w:p w14:paraId="01FD7AF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91-98</w:t>
            </w:r>
          </w:p>
        </w:tc>
      </w:tr>
      <w:tr w:rsidR="00D24F6F" w:rsidRPr="00E12526" w14:paraId="72CA82CF" w14:textId="77777777" w:rsidTr="003812A1">
        <w:trPr>
          <w:trHeight w:val="300"/>
        </w:trPr>
        <w:tc>
          <w:tcPr>
            <w:tcW w:w="9386" w:type="dxa"/>
            <w:tcBorders>
              <w:top w:val="nil"/>
              <w:left w:val="nil"/>
              <w:bottom w:val="nil"/>
              <w:right w:val="nil"/>
            </w:tcBorders>
            <w:shd w:val="clear" w:color="auto" w:fill="auto"/>
            <w:noWrap/>
            <w:vAlign w:val="bottom"/>
            <w:hideMark/>
          </w:tcPr>
          <w:p w14:paraId="1E104F9A"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2492BB6D" w14:textId="77777777" w:rsidTr="003812A1">
        <w:trPr>
          <w:trHeight w:val="300"/>
        </w:trPr>
        <w:tc>
          <w:tcPr>
            <w:tcW w:w="9386" w:type="dxa"/>
            <w:tcBorders>
              <w:top w:val="nil"/>
              <w:left w:val="nil"/>
              <w:bottom w:val="nil"/>
              <w:right w:val="nil"/>
            </w:tcBorders>
            <w:shd w:val="clear" w:color="auto" w:fill="auto"/>
            <w:noWrap/>
            <w:vAlign w:val="bottom"/>
            <w:hideMark/>
          </w:tcPr>
          <w:p w14:paraId="5E09446C"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lastRenderedPageBreak/>
              <w:t>DOI:   10.1161/CIRCULATIONAHA.107.735605</w:t>
            </w:r>
          </w:p>
        </w:tc>
      </w:tr>
      <w:tr w:rsidR="00D24F6F" w:rsidRPr="00E12526" w14:paraId="58C1EE32" w14:textId="77777777" w:rsidTr="003812A1">
        <w:trPr>
          <w:trHeight w:val="300"/>
        </w:trPr>
        <w:tc>
          <w:tcPr>
            <w:tcW w:w="9386" w:type="dxa"/>
            <w:tcBorders>
              <w:top w:val="nil"/>
              <w:left w:val="nil"/>
              <w:bottom w:val="nil"/>
              <w:right w:val="nil"/>
            </w:tcBorders>
            <w:shd w:val="clear" w:color="auto" w:fill="auto"/>
            <w:noWrap/>
            <w:vAlign w:val="bottom"/>
            <w:hideMark/>
          </w:tcPr>
          <w:p w14:paraId="2C2D166C"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Cost-effectiveness of providing full drug coverage to increase medication adherence in post-myocardial infarction Medicare beneficiaries</w:t>
            </w:r>
          </w:p>
        </w:tc>
      </w:tr>
      <w:tr w:rsidR="00D24F6F" w:rsidRPr="00E12526" w14:paraId="6840CE17" w14:textId="77777777" w:rsidTr="003812A1">
        <w:trPr>
          <w:trHeight w:val="300"/>
        </w:trPr>
        <w:tc>
          <w:tcPr>
            <w:tcW w:w="9386" w:type="dxa"/>
            <w:tcBorders>
              <w:top w:val="nil"/>
              <w:left w:val="nil"/>
              <w:bottom w:val="nil"/>
              <w:right w:val="nil"/>
            </w:tcBorders>
            <w:shd w:val="clear" w:color="auto" w:fill="auto"/>
            <w:noWrap/>
            <w:vAlign w:val="bottom"/>
            <w:hideMark/>
          </w:tcPr>
          <w:p w14:paraId="22DBE083"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Choudhry N K, Patrick A R, </w:t>
            </w:r>
            <w:proofErr w:type="spellStart"/>
            <w:r w:rsidRPr="00A647E8">
              <w:rPr>
                <w:rFonts w:eastAsia="Times New Roman" w:cs="Calibri"/>
                <w:color w:val="000000"/>
                <w:lang w:eastAsia="en-GB"/>
              </w:rPr>
              <w:t>Antman</w:t>
            </w:r>
            <w:proofErr w:type="spellEnd"/>
            <w:r w:rsidRPr="00A647E8">
              <w:rPr>
                <w:rFonts w:eastAsia="Times New Roman" w:cs="Calibri"/>
                <w:color w:val="000000"/>
                <w:lang w:eastAsia="en-GB"/>
              </w:rPr>
              <w:t xml:space="preserve"> E M, </w:t>
            </w:r>
            <w:proofErr w:type="spellStart"/>
            <w:r w:rsidRPr="00A647E8">
              <w:rPr>
                <w:rFonts w:eastAsia="Times New Roman" w:cs="Calibri"/>
                <w:color w:val="000000"/>
                <w:lang w:eastAsia="en-GB"/>
              </w:rPr>
              <w:t>Avorn</w:t>
            </w:r>
            <w:proofErr w:type="spellEnd"/>
            <w:r w:rsidRPr="00A647E8">
              <w:rPr>
                <w:rFonts w:eastAsia="Times New Roman" w:cs="Calibri"/>
                <w:color w:val="000000"/>
                <w:lang w:eastAsia="en-GB"/>
              </w:rPr>
              <w:t xml:space="preserve"> J, Shrank W H </w:t>
            </w:r>
          </w:p>
        </w:tc>
      </w:tr>
      <w:tr w:rsidR="00D24F6F" w:rsidRPr="00E12526" w14:paraId="42DD6BB4" w14:textId="77777777" w:rsidTr="003812A1">
        <w:trPr>
          <w:trHeight w:val="300"/>
        </w:trPr>
        <w:tc>
          <w:tcPr>
            <w:tcW w:w="9386" w:type="dxa"/>
            <w:tcBorders>
              <w:top w:val="nil"/>
              <w:left w:val="nil"/>
              <w:bottom w:val="nil"/>
              <w:right w:val="nil"/>
            </w:tcBorders>
            <w:shd w:val="clear" w:color="auto" w:fill="auto"/>
            <w:noWrap/>
            <w:vAlign w:val="bottom"/>
            <w:hideMark/>
          </w:tcPr>
          <w:p w14:paraId="192F33A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Circulation</w:t>
            </w:r>
          </w:p>
        </w:tc>
      </w:tr>
      <w:tr w:rsidR="00D24F6F" w:rsidRPr="00E12526" w14:paraId="2E7AF5D3" w14:textId="77777777" w:rsidTr="003812A1">
        <w:trPr>
          <w:trHeight w:val="300"/>
        </w:trPr>
        <w:tc>
          <w:tcPr>
            <w:tcW w:w="9386" w:type="dxa"/>
            <w:tcBorders>
              <w:top w:val="nil"/>
              <w:left w:val="nil"/>
              <w:bottom w:val="nil"/>
              <w:right w:val="nil"/>
            </w:tcBorders>
            <w:shd w:val="clear" w:color="auto" w:fill="auto"/>
            <w:noWrap/>
            <w:vAlign w:val="bottom"/>
            <w:hideMark/>
          </w:tcPr>
          <w:p w14:paraId="4379B0A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2008</w:t>
            </w:r>
          </w:p>
        </w:tc>
      </w:tr>
      <w:tr w:rsidR="00D24F6F" w:rsidRPr="00E12526" w14:paraId="202A3A7F" w14:textId="77777777" w:rsidTr="003812A1">
        <w:trPr>
          <w:trHeight w:val="300"/>
        </w:trPr>
        <w:tc>
          <w:tcPr>
            <w:tcW w:w="9386" w:type="dxa"/>
            <w:tcBorders>
              <w:top w:val="nil"/>
              <w:left w:val="nil"/>
              <w:bottom w:val="nil"/>
              <w:right w:val="nil"/>
            </w:tcBorders>
            <w:shd w:val="clear" w:color="auto" w:fill="auto"/>
            <w:noWrap/>
            <w:vAlign w:val="bottom"/>
            <w:hideMark/>
          </w:tcPr>
          <w:p w14:paraId="3E355C7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117</w:t>
            </w:r>
          </w:p>
        </w:tc>
      </w:tr>
      <w:tr w:rsidR="00D24F6F" w:rsidRPr="00E12526" w14:paraId="629FCC97" w14:textId="77777777" w:rsidTr="003812A1">
        <w:trPr>
          <w:trHeight w:val="300"/>
        </w:trPr>
        <w:tc>
          <w:tcPr>
            <w:tcW w:w="9386" w:type="dxa"/>
            <w:tcBorders>
              <w:top w:val="nil"/>
              <w:left w:val="nil"/>
              <w:bottom w:val="nil"/>
              <w:right w:val="nil"/>
            </w:tcBorders>
            <w:shd w:val="clear" w:color="auto" w:fill="auto"/>
            <w:noWrap/>
            <w:vAlign w:val="bottom"/>
            <w:hideMark/>
          </w:tcPr>
          <w:p w14:paraId="0F12E31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1261-1268</w:t>
            </w:r>
          </w:p>
        </w:tc>
      </w:tr>
      <w:tr w:rsidR="00D24F6F" w:rsidRPr="00E12526" w14:paraId="5922D1DC" w14:textId="77777777" w:rsidTr="003812A1">
        <w:trPr>
          <w:trHeight w:val="300"/>
        </w:trPr>
        <w:tc>
          <w:tcPr>
            <w:tcW w:w="9386" w:type="dxa"/>
            <w:tcBorders>
              <w:top w:val="nil"/>
              <w:left w:val="nil"/>
              <w:bottom w:val="nil"/>
              <w:right w:val="nil"/>
            </w:tcBorders>
            <w:shd w:val="clear" w:color="auto" w:fill="auto"/>
            <w:noWrap/>
            <w:vAlign w:val="bottom"/>
            <w:hideMark/>
          </w:tcPr>
          <w:p w14:paraId="27789CC4"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691E9D80" w14:textId="77777777" w:rsidTr="003812A1">
        <w:trPr>
          <w:trHeight w:val="300"/>
        </w:trPr>
        <w:tc>
          <w:tcPr>
            <w:tcW w:w="9386" w:type="dxa"/>
            <w:tcBorders>
              <w:top w:val="nil"/>
              <w:left w:val="nil"/>
              <w:bottom w:val="nil"/>
              <w:right w:val="nil"/>
            </w:tcBorders>
            <w:shd w:val="clear" w:color="auto" w:fill="auto"/>
            <w:noWrap/>
            <w:vAlign w:val="bottom"/>
            <w:hideMark/>
          </w:tcPr>
          <w:p w14:paraId="27D9C9C7"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10.1016/j.clinthera.2007.06.020</w:t>
            </w:r>
          </w:p>
        </w:tc>
      </w:tr>
      <w:tr w:rsidR="00D24F6F" w:rsidRPr="00E12526" w14:paraId="7E015B36" w14:textId="77777777" w:rsidTr="003812A1">
        <w:trPr>
          <w:trHeight w:val="300"/>
        </w:trPr>
        <w:tc>
          <w:tcPr>
            <w:tcW w:w="9386" w:type="dxa"/>
            <w:tcBorders>
              <w:top w:val="nil"/>
              <w:left w:val="nil"/>
              <w:bottom w:val="nil"/>
              <w:right w:val="nil"/>
            </w:tcBorders>
            <w:shd w:val="clear" w:color="auto" w:fill="auto"/>
            <w:noWrap/>
            <w:vAlign w:val="bottom"/>
            <w:hideMark/>
          </w:tcPr>
          <w:p w14:paraId="568D18E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TTL:   Cost-effectiveness of </w:t>
            </w:r>
            <w:proofErr w:type="spellStart"/>
            <w:r w:rsidRPr="00A647E8">
              <w:rPr>
                <w:rFonts w:eastAsia="Times New Roman" w:cs="Calibri"/>
                <w:color w:val="000000"/>
                <w:lang w:eastAsia="en-GB"/>
              </w:rPr>
              <w:t>clopidogrel</w:t>
            </w:r>
            <w:proofErr w:type="spellEnd"/>
            <w:r w:rsidRPr="00A647E8">
              <w:rPr>
                <w:rFonts w:eastAsia="Times New Roman" w:cs="Calibri"/>
                <w:color w:val="000000"/>
                <w:lang w:eastAsia="en-GB"/>
              </w:rPr>
              <w:t xml:space="preserve"> in myocardial infarction with ST-segment elevation: a European model based on the CLARITY and COMMIT trials</w:t>
            </w:r>
          </w:p>
        </w:tc>
      </w:tr>
      <w:tr w:rsidR="00D24F6F" w:rsidRPr="00E12526" w14:paraId="684B2EC7" w14:textId="77777777" w:rsidTr="003812A1">
        <w:trPr>
          <w:trHeight w:val="300"/>
        </w:trPr>
        <w:tc>
          <w:tcPr>
            <w:tcW w:w="9386" w:type="dxa"/>
            <w:tcBorders>
              <w:top w:val="nil"/>
              <w:left w:val="nil"/>
              <w:bottom w:val="nil"/>
              <w:right w:val="nil"/>
            </w:tcBorders>
            <w:shd w:val="clear" w:color="auto" w:fill="auto"/>
            <w:noWrap/>
            <w:vAlign w:val="bottom"/>
            <w:hideMark/>
          </w:tcPr>
          <w:p w14:paraId="15152C2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Berg H, Lindgren P, </w:t>
            </w:r>
            <w:proofErr w:type="spellStart"/>
            <w:r w:rsidRPr="00A647E8">
              <w:rPr>
                <w:rFonts w:eastAsia="Times New Roman" w:cs="Calibri"/>
                <w:color w:val="000000"/>
                <w:lang w:eastAsia="en-GB"/>
              </w:rPr>
              <w:t>Spiesser</w:t>
            </w:r>
            <w:proofErr w:type="spellEnd"/>
            <w:r w:rsidRPr="00A647E8">
              <w:rPr>
                <w:rFonts w:eastAsia="Times New Roman" w:cs="Calibri"/>
                <w:color w:val="000000"/>
                <w:lang w:eastAsia="en-GB"/>
              </w:rPr>
              <w:t xml:space="preserve"> J, Parry D, </w:t>
            </w:r>
            <w:proofErr w:type="spellStart"/>
            <w:r w:rsidRPr="00A647E8">
              <w:rPr>
                <w:rFonts w:eastAsia="Times New Roman" w:cs="Calibri"/>
                <w:color w:val="000000"/>
                <w:lang w:eastAsia="en-GB"/>
              </w:rPr>
              <w:t>Jonsson</w:t>
            </w:r>
            <w:proofErr w:type="spellEnd"/>
            <w:r w:rsidRPr="00A647E8">
              <w:rPr>
                <w:rFonts w:eastAsia="Times New Roman" w:cs="Calibri"/>
                <w:color w:val="000000"/>
                <w:lang w:eastAsia="en-GB"/>
              </w:rPr>
              <w:t xml:space="preserve"> B</w:t>
            </w:r>
          </w:p>
        </w:tc>
      </w:tr>
      <w:tr w:rsidR="00D24F6F" w:rsidRPr="00E12526" w14:paraId="072B4C1A" w14:textId="77777777" w:rsidTr="003812A1">
        <w:trPr>
          <w:trHeight w:val="300"/>
        </w:trPr>
        <w:tc>
          <w:tcPr>
            <w:tcW w:w="9386" w:type="dxa"/>
            <w:tcBorders>
              <w:top w:val="nil"/>
              <w:left w:val="nil"/>
              <w:bottom w:val="nil"/>
              <w:right w:val="nil"/>
            </w:tcBorders>
            <w:shd w:val="clear" w:color="auto" w:fill="auto"/>
            <w:noWrap/>
            <w:vAlign w:val="bottom"/>
            <w:hideMark/>
          </w:tcPr>
          <w:p w14:paraId="274E6FF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Clinical Therapeutics</w:t>
            </w:r>
          </w:p>
        </w:tc>
      </w:tr>
      <w:tr w:rsidR="00D24F6F" w:rsidRPr="00E12526" w14:paraId="338BABC7" w14:textId="77777777" w:rsidTr="003812A1">
        <w:trPr>
          <w:trHeight w:val="300"/>
        </w:trPr>
        <w:tc>
          <w:tcPr>
            <w:tcW w:w="9386" w:type="dxa"/>
            <w:tcBorders>
              <w:top w:val="nil"/>
              <w:left w:val="nil"/>
              <w:bottom w:val="nil"/>
              <w:right w:val="nil"/>
            </w:tcBorders>
            <w:shd w:val="clear" w:color="auto" w:fill="auto"/>
            <w:noWrap/>
            <w:vAlign w:val="bottom"/>
            <w:hideMark/>
          </w:tcPr>
          <w:p w14:paraId="2313395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2007</w:t>
            </w:r>
          </w:p>
        </w:tc>
      </w:tr>
      <w:tr w:rsidR="00D24F6F" w:rsidRPr="00E12526" w14:paraId="7800202B" w14:textId="77777777" w:rsidTr="003812A1">
        <w:trPr>
          <w:trHeight w:val="300"/>
        </w:trPr>
        <w:tc>
          <w:tcPr>
            <w:tcW w:w="9386" w:type="dxa"/>
            <w:tcBorders>
              <w:top w:val="nil"/>
              <w:left w:val="nil"/>
              <w:bottom w:val="nil"/>
              <w:right w:val="nil"/>
            </w:tcBorders>
            <w:shd w:val="clear" w:color="auto" w:fill="auto"/>
            <w:noWrap/>
            <w:vAlign w:val="bottom"/>
            <w:hideMark/>
          </w:tcPr>
          <w:p w14:paraId="1049BDB9"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29(6)</w:t>
            </w:r>
          </w:p>
        </w:tc>
      </w:tr>
      <w:tr w:rsidR="00D24F6F" w:rsidRPr="00E12526" w14:paraId="04FAAEF9" w14:textId="77777777" w:rsidTr="003812A1">
        <w:trPr>
          <w:trHeight w:val="300"/>
        </w:trPr>
        <w:tc>
          <w:tcPr>
            <w:tcW w:w="9386" w:type="dxa"/>
            <w:tcBorders>
              <w:top w:val="nil"/>
              <w:left w:val="nil"/>
              <w:bottom w:val="nil"/>
              <w:right w:val="nil"/>
            </w:tcBorders>
            <w:shd w:val="clear" w:color="auto" w:fill="auto"/>
            <w:noWrap/>
            <w:vAlign w:val="bottom"/>
            <w:hideMark/>
          </w:tcPr>
          <w:p w14:paraId="37DF1A2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1184-1202</w:t>
            </w:r>
          </w:p>
        </w:tc>
      </w:tr>
      <w:tr w:rsidR="00D24F6F" w:rsidRPr="00E12526" w14:paraId="3675333B" w14:textId="77777777" w:rsidTr="003812A1">
        <w:trPr>
          <w:trHeight w:val="300"/>
        </w:trPr>
        <w:tc>
          <w:tcPr>
            <w:tcW w:w="9386" w:type="dxa"/>
            <w:tcBorders>
              <w:top w:val="nil"/>
              <w:left w:val="nil"/>
              <w:bottom w:val="nil"/>
              <w:right w:val="nil"/>
            </w:tcBorders>
            <w:shd w:val="clear" w:color="auto" w:fill="auto"/>
            <w:noWrap/>
            <w:vAlign w:val="bottom"/>
            <w:hideMark/>
          </w:tcPr>
          <w:p w14:paraId="20173C68"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7CB76BF5" w14:textId="77777777" w:rsidTr="003812A1">
        <w:trPr>
          <w:trHeight w:val="300"/>
        </w:trPr>
        <w:tc>
          <w:tcPr>
            <w:tcW w:w="9386" w:type="dxa"/>
            <w:tcBorders>
              <w:top w:val="nil"/>
              <w:left w:val="nil"/>
              <w:bottom w:val="nil"/>
              <w:right w:val="nil"/>
            </w:tcBorders>
            <w:shd w:val="clear" w:color="auto" w:fill="auto"/>
            <w:noWrap/>
            <w:vAlign w:val="bottom"/>
            <w:hideMark/>
          </w:tcPr>
          <w:p w14:paraId="493B22EB"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DOI:   10.1177/0272989X07306111</w:t>
            </w:r>
          </w:p>
        </w:tc>
      </w:tr>
      <w:tr w:rsidR="00D24F6F" w:rsidRPr="00E12526" w14:paraId="0608BB2F" w14:textId="77777777" w:rsidTr="003812A1">
        <w:trPr>
          <w:trHeight w:val="300"/>
        </w:trPr>
        <w:tc>
          <w:tcPr>
            <w:tcW w:w="9386" w:type="dxa"/>
            <w:tcBorders>
              <w:top w:val="nil"/>
              <w:left w:val="nil"/>
              <w:bottom w:val="nil"/>
              <w:right w:val="nil"/>
            </w:tcBorders>
            <w:shd w:val="clear" w:color="auto" w:fill="auto"/>
            <w:noWrap/>
            <w:vAlign w:val="bottom"/>
            <w:hideMark/>
          </w:tcPr>
          <w:p w14:paraId="23B586F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The value of myocardial perfusion scintigraphy in the diagnosis and management of angina and myocardial infarction: a probabilistic economic analysis</w:t>
            </w:r>
          </w:p>
        </w:tc>
      </w:tr>
      <w:tr w:rsidR="00D24F6F" w:rsidRPr="00E12526" w14:paraId="123DF97A" w14:textId="77777777" w:rsidTr="003812A1">
        <w:trPr>
          <w:trHeight w:val="300"/>
        </w:trPr>
        <w:tc>
          <w:tcPr>
            <w:tcW w:w="9386" w:type="dxa"/>
            <w:tcBorders>
              <w:top w:val="nil"/>
              <w:left w:val="nil"/>
              <w:bottom w:val="nil"/>
              <w:right w:val="nil"/>
            </w:tcBorders>
            <w:shd w:val="clear" w:color="auto" w:fill="auto"/>
            <w:noWrap/>
            <w:vAlign w:val="bottom"/>
            <w:hideMark/>
          </w:tcPr>
          <w:p w14:paraId="1801A5A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AUT:   Hernandez R, Vale L</w:t>
            </w:r>
          </w:p>
        </w:tc>
      </w:tr>
      <w:tr w:rsidR="00D24F6F" w:rsidRPr="00E12526" w14:paraId="6AB5E210" w14:textId="77777777" w:rsidTr="003812A1">
        <w:trPr>
          <w:trHeight w:val="300"/>
        </w:trPr>
        <w:tc>
          <w:tcPr>
            <w:tcW w:w="9386" w:type="dxa"/>
            <w:tcBorders>
              <w:top w:val="nil"/>
              <w:left w:val="nil"/>
              <w:bottom w:val="nil"/>
              <w:right w:val="nil"/>
            </w:tcBorders>
            <w:shd w:val="clear" w:color="auto" w:fill="auto"/>
            <w:noWrap/>
            <w:vAlign w:val="bottom"/>
            <w:hideMark/>
          </w:tcPr>
          <w:p w14:paraId="6E987B0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Medical Decision Making</w:t>
            </w:r>
          </w:p>
        </w:tc>
      </w:tr>
      <w:tr w:rsidR="00D24F6F" w:rsidRPr="00E12526" w14:paraId="63449B3B" w14:textId="77777777" w:rsidTr="003812A1">
        <w:trPr>
          <w:trHeight w:val="300"/>
        </w:trPr>
        <w:tc>
          <w:tcPr>
            <w:tcW w:w="9386" w:type="dxa"/>
            <w:tcBorders>
              <w:top w:val="nil"/>
              <w:left w:val="nil"/>
              <w:bottom w:val="nil"/>
              <w:right w:val="nil"/>
            </w:tcBorders>
            <w:shd w:val="clear" w:color="auto" w:fill="auto"/>
            <w:noWrap/>
            <w:vAlign w:val="bottom"/>
            <w:hideMark/>
          </w:tcPr>
          <w:p w14:paraId="5EAE642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2007</w:t>
            </w:r>
          </w:p>
        </w:tc>
      </w:tr>
      <w:tr w:rsidR="00D24F6F" w:rsidRPr="00E12526" w14:paraId="6C00503F" w14:textId="77777777" w:rsidTr="003812A1">
        <w:trPr>
          <w:trHeight w:val="300"/>
        </w:trPr>
        <w:tc>
          <w:tcPr>
            <w:tcW w:w="9386" w:type="dxa"/>
            <w:tcBorders>
              <w:top w:val="nil"/>
              <w:left w:val="nil"/>
              <w:bottom w:val="nil"/>
              <w:right w:val="nil"/>
            </w:tcBorders>
            <w:shd w:val="clear" w:color="auto" w:fill="auto"/>
            <w:noWrap/>
            <w:vAlign w:val="bottom"/>
            <w:hideMark/>
          </w:tcPr>
          <w:p w14:paraId="5A0424B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27</w:t>
            </w:r>
          </w:p>
        </w:tc>
      </w:tr>
      <w:tr w:rsidR="00D24F6F" w:rsidRPr="00E12526" w14:paraId="7D0A2F95" w14:textId="77777777" w:rsidTr="003812A1">
        <w:trPr>
          <w:trHeight w:val="300"/>
        </w:trPr>
        <w:tc>
          <w:tcPr>
            <w:tcW w:w="9386" w:type="dxa"/>
            <w:tcBorders>
              <w:top w:val="nil"/>
              <w:left w:val="nil"/>
              <w:bottom w:val="nil"/>
              <w:right w:val="nil"/>
            </w:tcBorders>
            <w:shd w:val="clear" w:color="auto" w:fill="auto"/>
            <w:noWrap/>
            <w:vAlign w:val="bottom"/>
            <w:hideMark/>
          </w:tcPr>
          <w:p w14:paraId="631378B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772-788</w:t>
            </w:r>
          </w:p>
        </w:tc>
      </w:tr>
      <w:tr w:rsidR="00D24F6F" w:rsidRPr="00E12526" w14:paraId="79410C3A" w14:textId="77777777" w:rsidTr="003812A1">
        <w:trPr>
          <w:trHeight w:val="300"/>
        </w:trPr>
        <w:tc>
          <w:tcPr>
            <w:tcW w:w="9386" w:type="dxa"/>
            <w:tcBorders>
              <w:top w:val="nil"/>
              <w:left w:val="nil"/>
              <w:bottom w:val="nil"/>
              <w:right w:val="nil"/>
            </w:tcBorders>
            <w:shd w:val="clear" w:color="auto" w:fill="auto"/>
            <w:noWrap/>
            <w:vAlign w:val="bottom"/>
            <w:hideMark/>
          </w:tcPr>
          <w:p w14:paraId="0AD06F0D"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57BCED25" w14:textId="77777777" w:rsidTr="003812A1">
        <w:trPr>
          <w:trHeight w:val="300"/>
        </w:trPr>
        <w:tc>
          <w:tcPr>
            <w:tcW w:w="9386" w:type="dxa"/>
            <w:tcBorders>
              <w:top w:val="nil"/>
              <w:left w:val="nil"/>
              <w:bottom w:val="nil"/>
              <w:right w:val="nil"/>
            </w:tcBorders>
            <w:shd w:val="clear" w:color="auto" w:fill="auto"/>
            <w:noWrap/>
            <w:vAlign w:val="bottom"/>
            <w:hideMark/>
          </w:tcPr>
          <w:p w14:paraId="4F7F0A5A"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A Mediterranean diet is cost-effective in patients with previous myocardial infarction</w:t>
            </w:r>
          </w:p>
        </w:tc>
      </w:tr>
      <w:tr w:rsidR="00D24F6F" w:rsidRPr="00E12526" w14:paraId="5E18F60F" w14:textId="77777777" w:rsidTr="003812A1">
        <w:trPr>
          <w:trHeight w:val="300"/>
        </w:trPr>
        <w:tc>
          <w:tcPr>
            <w:tcW w:w="9386" w:type="dxa"/>
            <w:tcBorders>
              <w:top w:val="nil"/>
              <w:left w:val="nil"/>
              <w:bottom w:val="nil"/>
              <w:right w:val="nil"/>
            </w:tcBorders>
            <w:shd w:val="clear" w:color="auto" w:fill="auto"/>
            <w:noWrap/>
            <w:vAlign w:val="bottom"/>
            <w:hideMark/>
          </w:tcPr>
          <w:p w14:paraId="05E2851A"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Dalziel K, Segal L, De </w:t>
            </w:r>
            <w:proofErr w:type="spellStart"/>
            <w:r w:rsidRPr="00A647E8">
              <w:rPr>
                <w:rFonts w:eastAsia="Times New Roman" w:cs="Calibri"/>
                <w:color w:val="000000"/>
                <w:lang w:eastAsia="en-GB"/>
              </w:rPr>
              <w:t>Lorgeril</w:t>
            </w:r>
            <w:proofErr w:type="spellEnd"/>
            <w:r w:rsidRPr="00A647E8">
              <w:rPr>
                <w:rFonts w:eastAsia="Times New Roman" w:cs="Calibri"/>
                <w:color w:val="000000"/>
                <w:lang w:eastAsia="en-GB"/>
              </w:rPr>
              <w:t xml:space="preserve"> M</w:t>
            </w:r>
          </w:p>
        </w:tc>
      </w:tr>
      <w:tr w:rsidR="00D24F6F" w:rsidRPr="00E12526" w14:paraId="07BA7576" w14:textId="77777777" w:rsidTr="003812A1">
        <w:trPr>
          <w:trHeight w:val="300"/>
        </w:trPr>
        <w:tc>
          <w:tcPr>
            <w:tcW w:w="9386" w:type="dxa"/>
            <w:tcBorders>
              <w:top w:val="nil"/>
              <w:left w:val="nil"/>
              <w:bottom w:val="nil"/>
              <w:right w:val="nil"/>
            </w:tcBorders>
            <w:shd w:val="clear" w:color="auto" w:fill="auto"/>
            <w:noWrap/>
            <w:vAlign w:val="bottom"/>
            <w:hideMark/>
          </w:tcPr>
          <w:p w14:paraId="7EA47F74"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Journal of Nutrition</w:t>
            </w:r>
          </w:p>
        </w:tc>
      </w:tr>
      <w:tr w:rsidR="00D24F6F" w:rsidRPr="00E12526" w14:paraId="7E146604" w14:textId="77777777" w:rsidTr="003812A1">
        <w:trPr>
          <w:trHeight w:val="300"/>
        </w:trPr>
        <w:tc>
          <w:tcPr>
            <w:tcW w:w="9386" w:type="dxa"/>
            <w:tcBorders>
              <w:top w:val="nil"/>
              <w:left w:val="nil"/>
              <w:bottom w:val="nil"/>
              <w:right w:val="nil"/>
            </w:tcBorders>
            <w:shd w:val="clear" w:color="auto" w:fill="auto"/>
            <w:noWrap/>
            <w:vAlign w:val="bottom"/>
            <w:hideMark/>
          </w:tcPr>
          <w:p w14:paraId="1738EE23"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2006</w:t>
            </w:r>
          </w:p>
        </w:tc>
      </w:tr>
      <w:tr w:rsidR="00D24F6F" w:rsidRPr="00E12526" w14:paraId="185B8998" w14:textId="77777777" w:rsidTr="003812A1">
        <w:trPr>
          <w:trHeight w:val="300"/>
        </w:trPr>
        <w:tc>
          <w:tcPr>
            <w:tcW w:w="9386" w:type="dxa"/>
            <w:tcBorders>
              <w:top w:val="nil"/>
              <w:left w:val="nil"/>
              <w:bottom w:val="nil"/>
              <w:right w:val="nil"/>
            </w:tcBorders>
            <w:shd w:val="clear" w:color="auto" w:fill="auto"/>
            <w:noWrap/>
            <w:vAlign w:val="bottom"/>
            <w:hideMark/>
          </w:tcPr>
          <w:p w14:paraId="6F9A953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136(7)</w:t>
            </w:r>
          </w:p>
        </w:tc>
      </w:tr>
      <w:tr w:rsidR="00D24F6F" w:rsidRPr="00E12526" w14:paraId="2999F9C4" w14:textId="77777777" w:rsidTr="003812A1">
        <w:trPr>
          <w:trHeight w:val="300"/>
        </w:trPr>
        <w:tc>
          <w:tcPr>
            <w:tcW w:w="9386" w:type="dxa"/>
            <w:tcBorders>
              <w:top w:val="nil"/>
              <w:left w:val="nil"/>
              <w:bottom w:val="nil"/>
              <w:right w:val="nil"/>
            </w:tcBorders>
            <w:shd w:val="clear" w:color="auto" w:fill="auto"/>
            <w:noWrap/>
            <w:vAlign w:val="bottom"/>
            <w:hideMark/>
          </w:tcPr>
          <w:p w14:paraId="0ABA56A0"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1879-1885</w:t>
            </w:r>
          </w:p>
        </w:tc>
      </w:tr>
      <w:tr w:rsidR="00D24F6F" w:rsidRPr="00E12526" w14:paraId="5681681F" w14:textId="77777777" w:rsidTr="003812A1">
        <w:trPr>
          <w:trHeight w:val="300"/>
        </w:trPr>
        <w:tc>
          <w:tcPr>
            <w:tcW w:w="9386" w:type="dxa"/>
            <w:tcBorders>
              <w:top w:val="nil"/>
              <w:left w:val="nil"/>
              <w:bottom w:val="nil"/>
              <w:right w:val="nil"/>
            </w:tcBorders>
            <w:shd w:val="clear" w:color="auto" w:fill="auto"/>
            <w:noWrap/>
            <w:vAlign w:val="bottom"/>
            <w:hideMark/>
          </w:tcPr>
          <w:p w14:paraId="130F8C2D" w14:textId="77777777" w:rsidR="00D24F6F" w:rsidRPr="00A647E8" w:rsidRDefault="00D24F6F" w:rsidP="003812A1">
            <w:pPr>
              <w:spacing w:after="0" w:line="240" w:lineRule="auto"/>
              <w:rPr>
                <w:rFonts w:eastAsia="Times New Roman" w:cs="Calibri"/>
                <w:color w:val="000000"/>
                <w:lang w:eastAsia="en-GB"/>
              </w:rPr>
            </w:pPr>
          </w:p>
        </w:tc>
      </w:tr>
      <w:tr w:rsidR="00D24F6F" w:rsidRPr="00E12526" w14:paraId="19C79E2B" w14:textId="77777777" w:rsidTr="003812A1">
        <w:trPr>
          <w:trHeight w:val="300"/>
        </w:trPr>
        <w:tc>
          <w:tcPr>
            <w:tcW w:w="9386" w:type="dxa"/>
            <w:tcBorders>
              <w:top w:val="nil"/>
              <w:left w:val="nil"/>
              <w:bottom w:val="nil"/>
              <w:right w:val="nil"/>
            </w:tcBorders>
            <w:shd w:val="clear" w:color="auto" w:fill="auto"/>
            <w:noWrap/>
            <w:vAlign w:val="bottom"/>
            <w:hideMark/>
          </w:tcPr>
          <w:p w14:paraId="3D845BEE"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TTL:   Using simulation to estimate the cost effectiveness of improving ambulance and thrombolysis response times after myocardial infarction</w:t>
            </w:r>
          </w:p>
        </w:tc>
      </w:tr>
      <w:tr w:rsidR="00D24F6F" w:rsidRPr="00E12526" w14:paraId="489C077A" w14:textId="77777777" w:rsidTr="003812A1">
        <w:trPr>
          <w:trHeight w:val="300"/>
        </w:trPr>
        <w:tc>
          <w:tcPr>
            <w:tcW w:w="9386" w:type="dxa"/>
            <w:tcBorders>
              <w:top w:val="nil"/>
              <w:left w:val="nil"/>
              <w:bottom w:val="nil"/>
              <w:right w:val="nil"/>
            </w:tcBorders>
            <w:shd w:val="clear" w:color="auto" w:fill="auto"/>
            <w:noWrap/>
            <w:vAlign w:val="bottom"/>
            <w:hideMark/>
          </w:tcPr>
          <w:p w14:paraId="1A0B8FE5"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 xml:space="preserve">AUT:   Chase D, Roderick P, Cooper K, Davies R, Quinn T, </w:t>
            </w:r>
            <w:proofErr w:type="spellStart"/>
            <w:r w:rsidRPr="00A647E8">
              <w:rPr>
                <w:rFonts w:eastAsia="Times New Roman" w:cs="Calibri"/>
                <w:color w:val="000000"/>
                <w:lang w:eastAsia="en-GB"/>
              </w:rPr>
              <w:t>Raftery</w:t>
            </w:r>
            <w:proofErr w:type="spellEnd"/>
            <w:r w:rsidRPr="00A647E8">
              <w:rPr>
                <w:rFonts w:eastAsia="Times New Roman" w:cs="Calibri"/>
                <w:color w:val="000000"/>
                <w:lang w:eastAsia="en-GB"/>
              </w:rPr>
              <w:t xml:space="preserve"> J</w:t>
            </w:r>
          </w:p>
        </w:tc>
      </w:tr>
      <w:tr w:rsidR="00D24F6F" w:rsidRPr="00E12526" w14:paraId="01C18812" w14:textId="77777777" w:rsidTr="003812A1">
        <w:trPr>
          <w:trHeight w:val="300"/>
        </w:trPr>
        <w:tc>
          <w:tcPr>
            <w:tcW w:w="9386" w:type="dxa"/>
            <w:tcBorders>
              <w:top w:val="nil"/>
              <w:left w:val="nil"/>
              <w:bottom w:val="nil"/>
              <w:right w:val="nil"/>
            </w:tcBorders>
            <w:shd w:val="clear" w:color="auto" w:fill="auto"/>
            <w:noWrap/>
            <w:vAlign w:val="bottom"/>
            <w:hideMark/>
          </w:tcPr>
          <w:p w14:paraId="24D7B182"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XSO:   Emergency Medicine Journal</w:t>
            </w:r>
          </w:p>
        </w:tc>
      </w:tr>
      <w:tr w:rsidR="00D24F6F" w:rsidRPr="00E12526" w14:paraId="71C0D129" w14:textId="77777777" w:rsidTr="003812A1">
        <w:trPr>
          <w:trHeight w:val="300"/>
        </w:trPr>
        <w:tc>
          <w:tcPr>
            <w:tcW w:w="9386" w:type="dxa"/>
            <w:tcBorders>
              <w:top w:val="nil"/>
              <w:left w:val="nil"/>
              <w:bottom w:val="nil"/>
              <w:right w:val="nil"/>
            </w:tcBorders>
            <w:shd w:val="clear" w:color="auto" w:fill="auto"/>
            <w:noWrap/>
            <w:vAlign w:val="bottom"/>
            <w:hideMark/>
          </w:tcPr>
          <w:p w14:paraId="788DC4B8"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XYR:   2006</w:t>
            </w:r>
          </w:p>
        </w:tc>
      </w:tr>
      <w:tr w:rsidR="00D24F6F" w:rsidRPr="00E12526" w14:paraId="61AA2109" w14:textId="77777777" w:rsidTr="003812A1">
        <w:trPr>
          <w:trHeight w:val="300"/>
        </w:trPr>
        <w:tc>
          <w:tcPr>
            <w:tcW w:w="9386" w:type="dxa"/>
            <w:tcBorders>
              <w:top w:val="nil"/>
              <w:left w:val="nil"/>
              <w:bottom w:val="nil"/>
              <w:right w:val="nil"/>
            </w:tcBorders>
            <w:shd w:val="clear" w:color="auto" w:fill="auto"/>
            <w:noWrap/>
            <w:vAlign w:val="bottom"/>
            <w:hideMark/>
          </w:tcPr>
          <w:p w14:paraId="0D250E81"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VOL:   23(1)</w:t>
            </w:r>
          </w:p>
        </w:tc>
      </w:tr>
      <w:tr w:rsidR="00D24F6F" w:rsidRPr="00E12526" w14:paraId="749C7E3E" w14:textId="77777777" w:rsidTr="003812A1">
        <w:trPr>
          <w:trHeight w:val="300"/>
        </w:trPr>
        <w:tc>
          <w:tcPr>
            <w:tcW w:w="9386" w:type="dxa"/>
            <w:tcBorders>
              <w:top w:val="nil"/>
              <w:left w:val="nil"/>
              <w:bottom w:val="nil"/>
              <w:right w:val="nil"/>
            </w:tcBorders>
            <w:shd w:val="clear" w:color="auto" w:fill="auto"/>
            <w:noWrap/>
            <w:vAlign w:val="bottom"/>
            <w:hideMark/>
          </w:tcPr>
          <w:p w14:paraId="56C23C9F" w14:textId="77777777" w:rsidR="00D24F6F" w:rsidRPr="00A647E8" w:rsidRDefault="00D24F6F" w:rsidP="003812A1">
            <w:pPr>
              <w:spacing w:after="0" w:line="240" w:lineRule="auto"/>
              <w:rPr>
                <w:rFonts w:eastAsia="Times New Roman" w:cs="Calibri"/>
                <w:color w:val="000000"/>
                <w:lang w:eastAsia="en-GB"/>
              </w:rPr>
            </w:pPr>
            <w:r w:rsidRPr="00A647E8">
              <w:rPr>
                <w:rFonts w:eastAsia="Times New Roman" w:cs="Calibri"/>
                <w:color w:val="000000"/>
                <w:lang w:eastAsia="en-GB"/>
              </w:rPr>
              <w:t>PAG:   67-72</w:t>
            </w:r>
          </w:p>
        </w:tc>
      </w:tr>
    </w:tbl>
    <w:p w14:paraId="32A4129A" w14:textId="77777777" w:rsidR="00D24F6F" w:rsidRDefault="00D24F6F" w:rsidP="00D24F6F"/>
    <w:p w14:paraId="3E46F32E" w14:textId="45FB6326" w:rsidR="00A647E8" w:rsidRPr="00A91D43" w:rsidRDefault="00A647E8" w:rsidP="00D24F6F">
      <w:bookmarkStart w:id="6" w:name="_GoBack"/>
      <w:bookmarkEnd w:id="6"/>
      <w:r w:rsidRPr="00A91D43">
        <w:br w:type="page"/>
      </w:r>
    </w:p>
    <w:p w14:paraId="42EBF0CC" w14:textId="77777777" w:rsidR="007A2255" w:rsidRDefault="000C5F75" w:rsidP="00A647E8">
      <w:r>
        <w:t>Acknowledgements:</w:t>
      </w:r>
    </w:p>
    <w:p w14:paraId="54FBB208" w14:textId="1BB687C4" w:rsidR="00EF3A87" w:rsidRDefault="00EF3A87" w:rsidP="00A647E8">
      <w:r w:rsidRPr="00EF3A87">
        <w:t>James Lomas</w:t>
      </w:r>
      <w:r>
        <w:t xml:space="preserve"> led the drafting of the manuscript and produced the summaries of results of the analysis, as well as contributing to the</w:t>
      </w:r>
      <w:r w:rsidR="00DA65EE">
        <w:t xml:space="preserve"> production and</w:t>
      </w:r>
      <w:r>
        <w:t xml:space="preserve"> interpretation of the results. </w:t>
      </w:r>
      <w:proofErr w:type="spellStart"/>
      <w:r>
        <w:t>Miqdad</w:t>
      </w:r>
      <w:proofErr w:type="spellEnd"/>
      <w:r>
        <w:t xml:space="preserve"> </w:t>
      </w:r>
      <w:proofErr w:type="spellStart"/>
      <w:r>
        <w:t>Asaria</w:t>
      </w:r>
      <w:proofErr w:type="spellEnd"/>
      <w:r>
        <w:t xml:space="preserve"> provided comments on several draft versions of the manuscript, contributed to the conceptualisation of the analysis and produced the code for the analysis undertaken.</w:t>
      </w:r>
      <w:r w:rsidRPr="00EF3A87">
        <w:t xml:space="preserve"> Laura </w:t>
      </w:r>
      <w:proofErr w:type="spellStart"/>
      <w:r w:rsidRPr="00EF3A87">
        <w:t>Bojke</w:t>
      </w:r>
      <w:proofErr w:type="spellEnd"/>
      <w:r>
        <w:t xml:space="preserve"> </w:t>
      </w:r>
      <w:r w:rsidR="00DA65EE">
        <w:t>contributed to the initial concept of the paper and drafted parts of the manuscript, provided extensive comments on previous draft versions and contributed to the interpretation of the results.</w:t>
      </w:r>
      <w:r w:rsidRPr="00EF3A87">
        <w:t xml:space="preserve"> Chris P Gale</w:t>
      </w:r>
      <w:r w:rsidR="00DA65EE">
        <w:t xml:space="preserve"> contributed to the initial concept of the paper and provided comments on previous draft versions of the manuscript.</w:t>
      </w:r>
      <w:r w:rsidRPr="00EF3A87">
        <w:t xml:space="preserve"> Gerry Richardson</w:t>
      </w:r>
      <w:r w:rsidR="00DA65EE">
        <w:t xml:space="preserve"> contributed to the initial concept of the paper and drafted parts of the manuscript, provided extensive comments on previous draft versions and contributed to the interpretation of the results.</w:t>
      </w:r>
      <w:r w:rsidRPr="00EF3A87">
        <w:t xml:space="preserve"> Simon Walker</w:t>
      </w:r>
      <w:r w:rsidR="00DA65EE">
        <w:t xml:space="preserve"> drafted parts of the manuscript, provided</w:t>
      </w:r>
      <w:r w:rsidR="009B7DD3">
        <w:t xml:space="preserve"> extensive</w:t>
      </w:r>
      <w:r w:rsidR="00DA65EE">
        <w:t xml:space="preserve"> comments on several draft versions of the manuscript, contributed to the conceptualisation of the analysis as well as contributing to the production and interpretation of the results.</w:t>
      </w:r>
    </w:p>
    <w:p w14:paraId="708187B7" w14:textId="77777777" w:rsidR="000C5F75" w:rsidRDefault="000C5F75" w:rsidP="00A647E8">
      <w:r>
        <w:t>We are grateful to Pieter van Baal for comments on an earlier draft of this paper. Participants at the University of York Health Sciences Seminar, and in particular Karen Bloor, are thanked for their observations and suggestions. Finally, this paper was the basis of a basis of a poster presentation at ISPOR Vienna 2016, we would like to thank participants whose feedback was greatly appreciated.</w:t>
      </w:r>
    </w:p>
    <w:p w14:paraId="34406DDE" w14:textId="77777777" w:rsidR="00CD6B0E" w:rsidRDefault="0098773C" w:rsidP="00A647E8">
      <w:r>
        <w:t>Funding:</w:t>
      </w:r>
    </w:p>
    <w:p w14:paraId="26C3B731" w14:textId="77777777" w:rsidR="0098773C" w:rsidRDefault="007A2255" w:rsidP="00A647E8">
      <w:r w:rsidRPr="007A2255">
        <w:t>The</w:t>
      </w:r>
      <w:r w:rsidR="000C5F75">
        <w:t xml:space="preserve"> research was funded by the</w:t>
      </w:r>
      <w:r w:rsidRPr="007A2255">
        <w:t xml:space="preserve"> NIHR Collaboration for Leadership in Applied Health Research and Care, Yorkshire and Humber. </w:t>
      </w:r>
      <w:proofErr w:type="gramStart"/>
      <w:r w:rsidRPr="007A2255">
        <w:t>www.clahrc-yh.nihr.ac.uk</w:t>
      </w:r>
      <w:proofErr w:type="gramEnd"/>
      <w:r w:rsidRPr="007A2255">
        <w:t>. The views expressed are those of the author(s), and not necessarily those of the NHS, the NIHR or the Department of Health.</w:t>
      </w:r>
    </w:p>
    <w:p w14:paraId="3D57889A" w14:textId="77777777" w:rsidR="0098773C" w:rsidRDefault="0098773C" w:rsidP="00A647E8">
      <w:r>
        <w:t>Conflicts of interest:</w:t>
      </w:r>
    </w:p>
    <w:p w14:paraId="62203F74" w14:textId="40B8EFFF" w:rsidR="0098773C" w:rsidRDefault="00DA65EE" w:rsidP="00A647E8">
      <w:r>
        <w:t xml:space="preserve">No conflicts of interest exist for </w:t>
      </w:r>
      <w:r w:rsidRPr="00DA65EE">
        <w:t xml:space="preserve">James Lomas, </w:t>
      </w:r>
      <w:proofErr w:type="spellStart"/>
      <w:r w:rsidRPr="00DA65EE">
        <w:t>Miqdad</w:t>
      </w:r>
      <w:proofErr w:type="spellEnd"/>
      <w:r w:rsidRPr="00DA65EE">
        <w:t xml:space="preserve"> </w:t>
      </w:r>
      <w:proofErr w:type="spellStart"/>
      <w:r w:rsidRPr="00DA65EE">
        <w:t>Asaria</w:t>
      </w:r>
      <w:proofErr w:type="spellEnd"/>
      <w:r w:rsidRPr="00DA65EE">
        <w:t xml:space="preserve">, Laura </w:t>
      </w:r>
      <w:proofErr w:type="spellStart"/>
      <w:r w:rsidRPr="00DA65EE">
        <w:t>Bojke</w:t>
      </w:r>
      <w:proofErr w:type="spellEnd"/>
      <w:r w:rsidRPr="00DA65EE">
        <w:t>,</w:t>
      </w:r>
      <w:r>
        <w:t xml:space="preserve"> Chris P Gale, Gerry Richardson and</w:t>
      </w:r>
      <w:r w:rsidRPr="00DA65EE">
        <w:t xml:space="preserve"> Simon Walker</w:t>
      </w:r>
      <w:r>
        <w:t>.</w:t>
      </w:r>
    </w:p>
    <w:p w14:paraId="0A2F383C" w14:textId="77777777" w:rsidR="00CD6B0E" w:rsidRDefault="00CD6B0E" w:rsidP="00A647E8">
      <w:r>
        <w:t>Transparency declaration:</w:t>
      </w:r>
    </w:p>
    <w:p w14:paraId="508D0946" w14:textId="77777777" w:rsidR="00A647E8" w:rsidRDefault="00180DF5" w:rsidP="00A647E8">
      <w:r>
        <w:t>The lead author</w:t>
      </w:r>
      <w:r w:rsidRPr="00180DF5">
        <w:t xml:space="preserve"> affirms that this manuscript is an honest, accurate, and transparent account of the study being reported; that no important aspects of the study have been omitted; and that any discrepancies from the study as planned (and, if relevant, registered) have been explained.</w:t>
      </w:r>
    </w:p>
    <w:p w14:paraId="4DA9941A" w14:textId="77777777" w:rsidR="007A2255" w:rsidRDefault="007A2255" w:rsidP="00A647E8">
      <w:r>
        <w:t>Data sharing statement:</w:t>
      </w:r>
    </w:p>
    <w:p w14:paraId="7DA382D5" w14:textId="77777777" w:rsidR="007A2255" w:rsidRDefault="007A2255" w:rsidP="00A647E8">
      <w:r>
        <w:t>No additional data are available.</w:t>
      </w:r>
    </w:p>
    <w:p w14:paraId="04DF19F9" w14:textId="77777777" w:rsidR="00610A2F" w:rsidRDefault="00610A2F" w:rsidP="00A647E8">
      <w:r>
        <w:t>Patient involvement statement:</w:t>
      </w:r>
    </w:p>
    <w:p w14:paraId="7DF40AD8" w14:textId="77777777" w:rsidR="00610A2F" w:rsidRDefault="00610A2F" w:rsidP="00A647E8">
      <w:r>
        <w:t>Not applicable.</w:t>
      </w:r>
    </w:p>
    <w:p w14:paraId="1650F2D0" w14:textId="77777777" w:rsidR="002E1BB0" w:rsidRDefault="002E1BB0" w:rsidP="00A647E8">
      <w:r>
        <w:t>Patient consent statement:</w:t>
      </w:r>
    </w:p>
    <w:p w14:paraId="3A7FD015" w14:textId="77777777" w:rsidR="002E1BB0" w:rsidRDefault="002E1BB0" w:rsidP="00A647E8">
      <w:r>
        <w:t>Not applicable</w:t>
      </w:r>
    </w:p>
    <w:p w14:paraId="545E8A26" w14:textId="77777777" w:rsidR="00CD6B0E" w:rsidRPr="00A647E8" w:rsidRDefault="00CD6B0E" w:rsidP="00A647E8"/>
    <w:sectPr w:rsidR="00CD6B0E" w:rsidRPr="00A647E8" w:rsidSect="008C721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7EE24" w14:textId="77777777" w:rsidR="00DA65EE" w:rsidRDefault="00DA65EE" w:rsidP="002A4475">
      <w:pPr>
        <w:spacing w:after="0" w:line="240" w:lineRule="auto"/>
      </w:pPr>
      <w:r>
        <w:separator/>
      </w:r>
    </w:p>
  </w:endnote>
  <w:endnote w:type="continuationSeparator" w:id="0">
    <w:p w14:paraId="604CF7D9" w14:textId="77777777" w:rsidR="00DA65EE" w:rsidRDefault="00DA65EE" w:rsidP="002A4475">
      <w:pPr>
        <w:spacing w:after="0" w:line="240" w:lineRule="auto"/>
      </w:pPr>
      <w:r>
        <w:continuationSeparator/>
      </w:r>
    </w:p>
  </w:endnote>
  <w:endnote w:type="continuationNotice" w:id="1">
    <w:p w14:paraId="718388F1" w14:textId="77777777" w:rsidR="00DA65EE" w:rsidRDefault="00DA65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CYD Q+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1EF3" w14:textId="77777777" w:rsidR="00DA65EE" w:rsidRDefault="00DA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4FE81" w14:textId="77777777" w:rsidR="00DA65EE" w:rsidRDefault="00DA65EE" w:rsidP="002A4475">
      <w:pPr>
        <w:spacing w:after="0" w:line="240" w:lineRule="auto"/>
      </w:pPr>
      <w:r>
        <w:separator/>
      </w:r>
    </w:p>
  </w:footnote>
  <w:footnote w:type="continuationSeparator" w:id="0">
    <w:p w14:paraId="5A6D5379" w14:textId="77777777" w:rsidR="00DA65EE" w:rsidRDefault="00DA65EE" w:rsidP="002A4475">
      <w:pPr>
        <w:spacing w:after="0" w:line="240" w:lineRule="auto"/>
      </w:pPr>
      <w:r>
        <w:continuationSeparator/>
      </w:r>
    </w:p>
  </w:footnote>
  <w:footnote w:type="continuationNotice" w:id="1">
    <w:p w14:paraId="367A67DA" w14:textId="77777777" w:rsidR="00DA65EE" w:rsidRDefault="00DA65EE">
      <w:pPr>
        <w:spacing w:after="0" w:line="240" w:lineRule="auto"/>
      </w:pPr>
    </w:p>
  </w:footnote>
  <w:footnote w:id="2">
    <w:p w14:paraId="49E6A973" w14:textId="680DD2C9" w:rsidR="00DA65EE" w:rsidRDefault="00DA65EE" w:rsidP="009F5AB4">
      <w:pPr>
        <w:pStyle w:val="FootnoteText"/>
      </w:pPr>
      <w:r>
        <w:rPr>
          <w:rStyle w:val="FootnoteReference"/>
        </w:rPr>
        <w:footnoteRef/>
      </w:r>
      <w:r>
        <w:t xml:space="preserve"> A fuller discussion of guidelines and recommendations pertaining to the exclusion of unrelated costs (in particular those in extended years of life) can be found elsewhere </w:t>
      </w:r>
      <w:r>
        <w:fldChar w:fldCharType="begin" w:fldLock="1"/>
      </w:r>
      <w:r>
        <w:instrText>ADDIN CSL_CITATION { "citationItems" : [ { "id" : "ITEM-1", "itemData" : { "DOI" : "https://doi.org/10.2165/00019053-200826100-00003", "author" : [ { "dropping-particle" : "", "family" : "Rappange", "given" : "DR", "non-dropping-particle" : "", "parse-names" : false, "suffix" : "" }, { "dropping-particle" : "", "family" : "Baal", "given" : "PHM", "non-dropping-particle" : "van", "parse-names" : false, "suffix" : "" }, { "dropping-particle" : "", "family" : "Exel", "given" : "NJA", "non-dropping-particle" : "van", "parse-names" : false, "suffix" : "" } ], "container-title" : "PharmacoEconomics", "id" : "ITEM-1", "issue" : "10", "issued" : { "date-parts" : [ [ "2008" ] ] }, "page" : "815-830", "title" : "Unrelated medical costs in Life-Years gained", "type" : "article-journal", "volume" : "26" }, "uris" : [ "http://www.mendeley.com/documents/?uuid=6d20132e-dba2-3db9-8377-ee4d8c0954be" ] } ], "mendeley" : { "formattedCitation" : "(41)", "plainTextFormattedCitation" : "(41)", "previouslyFormattedCitation" : "(41)" }, "properties" : {  }, "schema" : "https://github.com/citation-style-language/schema/raw/master/csl-citation.json" }</w:instrText>
      </w:r>
      <w:r>
        <w:fldChar w:fldCharType="separate"/>
      </w:r>
      <w:r w:rsidRPr="007A0CB0">
        <w:rPr>
          <w:noProof/>
        </w:rPr>
        <w:t>(41)</w:t>
      </w:r>
      <w:r>
        <w:fldChar w:fldCharType="end"/>
      </w:r>
      <w:r>
        <w:t>.</w:t>
      </w:r>
    </w:p>
  </w:footnote>
  <w:footnote w:id="3">
    <w:p w14:paraId="30FF6BDB" w14:textId="77777777" w:rsidR="00DA65EE" w:rsidRPr="00FB51F7" w:rsidRDefault="00DA65EE">
      <w:pPr>
        <w:pStyle w:val="FootnoteText"/>
        <w:rPr>
          <w:lang w:val="en-GB"/>
        </w:rPr>
      </w:pPr>
      <w:r>
        <w:rPr>
          <w:rStyle w:val="FootnoteReference"/>
        </w:rPr>
        <w:footnoteRef/>
      </w:r>
      <w:r>
        <w:t xml:space="preserve"> </w:t>
      </w:r>
      <w:r>
        <w:rPr>
          <w:lang w:val="en-GB"/>
        </w:rPr>
        <w:t>A further debate surrounds the inclusion of non-health care costs, as recommended by the guidelines of the Netherlands in Sweden. This remains more controversial and is beyond the scope of this paper.</w:t>
      </w:r>
    </w:p>
  </w:footnote>
  <w:footnote w:id="4">
    <w:p w14:paraId="51D98A8C" w14:textId="6AA94FF2" w:rsidR="00DA65EE" w:rsidRPr="00907052" w:rsidRDefault="00DA65EE">
      <w:pPr>
        <w:pStyle w:val="FootnoteText"/>
        <w:rPr>
          <w:lang w:val="en-GB"/>
        </w:rPr>
      </w:pPr>
      <w:r>
        <w:rPr>
          <w:rStyle w:val="FootnoteReference"/>
        </w:rPr>
        <w:footnoteRef/>
      </w:r>
      <w:r>
        <w:t xml:space="preserve"> </w:t>
      </w:r>
      <w:r>
        <w:rPr>
          <w:lang w:val="en-GB"/>
        </w:rPr>
        <w:t xml:space="preserve">Interestingly in this study </w:t>
      </w:r>
      <w:r>
        <w:rPr>
          <w:rFonts w:ascii="Calibri Light" w:hAnsi="Calibri Light"/>
          <w:lang w:val="en-GB"/>
        </w:rPr>
        <w:t xml:space="preserve">one </w:t>
      </w:r>
      <w:r>
        <w:rPr>
          <w:rFonts w:ascii="Calibri Light" w:hAnsi="Calibri Light"/>
        </w:rPr>
        <w:t xml:space="preserve">of </w:t>
      </w:r>
      <w:r>
        <w:rPr>
          <w:rFonts w:ascii="Calibri Light" w:hAnsi="Calibri Light"/>
          <w:lang w:val="en-GB"/>
        </w:rPr>
        <w:t>the resource use measures, particularly high for one patient among those treated,</w:t>
      </w:r>
      <w:r>
        <w:rPr>
          <w:rFonts w:ascii="Calibri Light" w:hAnsi="Calibri Light"/>
        </w:rPr>
        <w:t xml:space="preserve"> w</w:t>
      </w:r>
      <w:r>
        <w:rPr>
          <w:rFonts w:ascii="Calibri Light" w:hAnsi="Calibri Light"/>
          <w:lang w:val="en-GB"/>
        </w:rPr>
        <w:t>as considered by the authors to only be</w:t>
      </w:r>
      <w:r>
        <w:rPr>
          <w:rFonts w:ascii="Calibri Light" w:hAnsi="Calibri Light"/>
        </w:rPr>
        <w:t xml:space="preserve"> "weakly related" to the intervention and </w:t>
      </w:r>
      <w:r>
        <w:rPr>
          <w:rFonts w:ascii="Calibri Light" w:hAnsi="Calibri Light"/>
          <w:lang w:val="en-GB"/>
        </w:rPr>
        <w:t>so was</w:t>
      </w:r>
      <w:r>
        <w:rPr>
          <w:rFonts w:ascii="Calibri Light" w:hAnsi="Calibri Light"/>
        </w:rPr>
        <w:t xml:space="preserve"> excluded as part of the sensitivity analysis</w:t>
      </w:r>
      <w:r>
        <w:rPr>
          <w:rFonts w:ascii="Calibri Light" w:hAnsi="Calibri Light"/>
          <w:lang w:val="en-GB"/>
        </w:rPr>
        <w:t xml:space="preserve">, which had quite a large effect on the mean cost difference </w:t>
      </w:r>
      <w:r>
        <w:rPr>
          <w:rFonts w:ascii="Calibri Light" w:hAnsi="Calibri Light"/>
        </w:rPr>
        <w:fldChar w:fldCharType="begin" w:fldLock="1"/>
      </w:r>
      <w:r>
        <w:rPr>
          <w:rFonts w:ascii="Calibri Light" w:hAnsi="Calibri Light"/>
        </w:rPr>
        <w:instrText>ADDIN CSL_CITATION { "citationItems" : [ { "id" : "ITEM-1", "itemData" : { "DOI" : "10.1111/j.1553-2712.2011.01068.x", "ISSN" : "10696563", "PMID" : "21569168", "abstract" : "OBJECTIVES Chest pain due to suspected myocardial infarction (MI) is responsible for many hospital admissions and consumes substantial health care resources. The Randomized Assessment of Treatment using Panel Assay of Cardiac markers (RATPAC) trial showed that diagnostic assessment using a point-of-care (POC) cardiac biomarker panel consisting of CK-MB, myoglobin, and troponin increased the proportion of patients successfully discharged after emergency department (ED) assessment. In this economic analysis, the authors aimed to determine whether POC biomarker panel assessment reduced health care costs and was likely to be cost-effective. METHODS The RATPAC trial was a multicenter individual patient randomized controlled trial comparing diagnostic assessment using a POC biomarker panel (CK-MB, myoglobin, and troponin, measured at baseline and 90 minutes) to standard care without the POC panel in patients attending six EDs with acute chest pain due to suspected MI (n = 2,243). Individual patient resource use data were collected from all participants up to 3 months after hospital attendance using self-completed questionnaires at 1 and 3 months and case note review. ED staff and POC testing costs were estimated through a microcosting study of 246 participants. Resource use was valued using national unit costs. Health utility was measured using the EQ-5D self-completed questionnaire, mailed at 1 and 3 months. Quality-adjusted life-years (QALYs) were calculated by the trapezium rule using the EQ-5D tariff values at all follow-up points. Mean costs per patient were compared between the two treatment groups. Cost-effectiveness was estimated in terms of probability of dominance and incremental cost per QALY. RESULTS Point-of-care panel assessment was associated with higher ED costs, coronary care costs, and cardiac intervention costs, but lower general inpatient costs. Mean costs per patient were \u00a31217.14 (standard deviation [SD] \u00b1 3164.93), or $1,987.14 (SD \u00b1$4,939.25), with POC versus \u00a31005.91 (SD \u00b1\u00a31907.55), or $1,568.64 (SD \u00b1$2,975.78), with standard care (p = 0.056). Mean QALYs were 0.158 (SD \u00b1 0.052) versus 0.161 (SD \u00b1 0.056; p = 0.250). The probability of standard care being dominant (i.e., cheaper and more effective) was 0.888, while the probability of the POC panel being dominant was 0.004. These probabilities were not markedly altered by sensitivity analysis varying the costs of the POC panel and excluding intensive care costs. CONCLUSIONS Point-of-care\u2026", "author" : [ { "dropping-particle" : "", "family" : "Fitzgerald", "given" : "Patrick", "non-dropping-particle" : "", "parse-names" : false, "suffix" : "" }, { "dropping-particle" : "", "family" : "Goodacre", "given" : "Steve W.", "non-dropping-particle" : "", "parse-names" : false, "suffix" : "" }, { "dropping-particle" : "", "family" : "Cross", "given" : "Elizabeth", "non-dropping-particle" : "", "parse-names" : false, "suffix" : "" }, { "dropping-particle" : "", "family" : "Dixon", "given" : "Simon", "non-dropping-particle" : "", "parse-names" : false, "suffix" : "" } ], "container-title" : "Academic Emergency Medicine", "id" : "ITEM-1", "issue" : "5", "issued" : { "date-parts" : [ [ "2011", "5" ] ] }, "page" : "488-495", "title" : "Cost-effectiveness of Point-of-care Biomarker Assessment for Suspected Myocardial Infarction: The Randomized Assessment of Treatment Using Panel Assay of Cardiac Markers (RATPAC) Trial", "type" : "article-journal", "volume" : "18" }, "uris" : [ "http://www.mendeley.com/documents/?uuid=a306c9f6-e815-3708-b1f3-e498ba89c322" ] } ], "mendeley" : { "formattedCitation" : "(22)", "plainTextFormattedCitation" : "(22)", "previouslyFormattedCitation" : "(22)" }, "properties" : {  }, "schema" : "https://github.com/citation-style-language/schema/raw/master/csl-citation.json" }</w:instrText>
      </w:r>
      <w:r>
        <w:rPr>
          <w:rFonts w:ascii="Calibri Light" w:hAnsi="Calibri Light"/>
        </w:rPr>
        <w:fldChar w:fldCharType="separate"/>
      </w:r>
      <w:r w:rsidRPr="007A0CB0">
        <w:rPr>
          <w:rFonts w:ascii="Calibri Light" w:hAnsi="Calibri Light"/>
          <w:noProof/>
        </w:rPr>
        <w:t>(22)</w:t>
      </w:r>
      <w:r>
        <w:rPr>
          <w:rFonts w:ascii="Calibri Light" w:hAnsi="Calibri Light"/>
        </w:rPr>
        <w:fldChar w:fldCharType="end"/>
      </w:r>
      <w:r>
        <w:rPr>
          <w:rFonts w:ascii="Calibri Light" w:hAnsi="Calibri Light"/>
        </w:rPr>
        <w:t>.</w:t>
      </w:r>
    </w:p>
  </w:footnote>
  <w:footnote w:id="5">
    <w:p w14:paraId="21A4FC78" w14:textId="47E2B692" w:rsidR="00DA65EE" w:rsidRPr="00907052" w:rsidRDefault="00DA65EE">
      <w:pPr>
        <w:pStyle w:val="FootnoteText"/>
        <w:rPr>
          <w:lang w:val="en-GB"/>
        </w:rPr>
      </w:pPr>
      <w:r>
        <w:rPr>
          <w:rStyle w:val="FootnoteReference"/>
        </w:rPr>
        <w:footnoteRef/>
      </w:r>
      <w:r>
        <w:rPr>
          <w:lang w:val="en-GB"/>
        </w:rPr>
        <w:t xml:space="preserve"> Further details given in </w:t>
      </w:r>
      <w:proofErr w:type="spellStart"/>
      <w:r>
        <w:rPr>
          <w:lang w:val="en-GB"/>
        </w:rPr>
        <w:t>Asaria</w:t>
      </w:r>
      <w:proofErr w:type="spellEnd"/>
      <w:r>
        <w:rPr>
          <w:lang w:val="en-GB"/>
        </w:rPr>
        <w:t xml:space="preserve"> et al. and Walker et al. </w:t>
      </w:r>
      <w:r>
        <w:rPr>
          <w:lang w:val="en-GB"/>
        </w:rPr>
        <w:fldChar w:fldCharType="begin" w:fldLock="1"/>
      </w:r>
      <w:r>
        <w:rPr>
          <w:lang w:val="en-GB"/>
        </w:rPr>
        <w:instrText>ADDIN CSL_CITATION { "citationItems" : [ { "id" : "ITEM-1", "itemData" : { "DOI" : "10.1136/heartjnl-2015-308850", "ISSN" : "1355-6037", "author" : [ { "dropping-particle" : "", "family" : "Asaria", "given" : "Miqdad", "non-dropping-particle" : "", "parse-names" : false, "suffix" : "" }, { "dropping-particle" : "", "family" : "Walker", "given" : "Simon", "non-dropping-particle" : "", "parse-names" : false, "suffix" : "" }, { "dropping-particle" : "", "family" : "Palmer", "given" : "Stephen", "non-dropping-particle" : "", "parse-names" : false, "suffix" : "" }, { "dropping-particle" : "", "family" : "Gale", "given" : "Chris P", "non-dropping-particle" : "", "parse-names" : false, "suffix" : "" }, { "dropping-particle" : "", "family" : "Shah", "given" : "Anoop D", "non-dropping-particle" : "", "parse-names" : false, "suffix" : "" }, { "dropping-particle" : "", "family" : "Abrams", "given" : "Keith R", "non-dropping-particle" : "", "parse-names" : false, "suffix" : "" }, { "dropping-particle" : "", "family" : "Crowther", "given" : "Michael", "non-dropping-particle" : "", "parse-names" : false, "suffix" : "" }, { "dropping-particle" : "", "family" : "Manca", "given" : "Andrea", "non-dropping-particle" : "", "parse-names" : false, "suffix" : "" }, { "dropping-particle" : "", "family" : "Timmis", "given" : "Adam", "non-dropping-particle" : "", "parse-names" : false, "suffix" : "" }, { "dropping-particle" : "", "family" : "Hemingway", "given" : "Harry", "non-dropping-particle" : "", "parse-names" : false, "suffix" : "" }, { "dropping-particle" : "", "family" : "Sculpher", "given" : "Mark", "non-dropping-particle" : "", "parse-names" : false, "suffix" : "" } ], "container-title" : "Heart", "id" : "ITEM-1", "issue" : "10", "issued" : { "date-parts" : [ [ "2016", "5", "15" ] ] }, "page" : "755-762", "title" : "Using electronic health records to predict costs and outcomes in stable coronary artery disease", "type" : "article-journal", "volume" : "102" }, "uris" : [ "http://www.mendeley.com/documents/?uuid=1160c96a-8ba6-3301-a6c5-24b7279b79de" ] }, { "id" : "ITEM-2", "itemData" : { "DOI" : "10.1093/ehjqcco/qcw003", "ISSN" : "2058-5225", "PMID" : "27042338", "abstract" : "AIMS To examine long-term healthcare utilization and costs of patients with stable coronary artery disease (SCAD). METHODS AND RESULTS Linked cohort study of 94 966 patients with SCAD in England, 1 January 2001 to 31 March 2010, identified from primary care, secondary care, disease, and death registries. Resource use and costs, and cost predictors by time and 5-year cardiovascular disease (CVD) risk profile were estimated using generalized linear models. Coronary heart disease hospitalizations were 20.5% in the first year and 66% in the year following a non-fatal (myocardial infarction, ischaemic or haemorrhagic stroke) event. Mean healthcare costs were \u00a33133 per patient in the first year and \u00a310 377 in the year following a non-fatal event. First-year predictors of cost included sex (mean cost \u00a3549 lower in females), SCAD diagnosis (non-ST-elevation myocardial infarction cost \u00a3656 more than stable angina), and co-morbidities (heart failure cost \u00a3657 more per patient). Compared with lower risk patients (5-year CVD risk 3.5%), those of higher risk (5-year CVD risk 44.2%) had higher 5-year costs (\u00a323 393 vs. \u00a39335) and lower lifetime costs (\u00a343 020 vs. \u00a3116 888). CONCLUSION Patients with SCAD incur substantial healthcare utilization and costs, which varies and may be predicted by 5-year CVD risk profile. Higher risk patients have higher initial but lower lifetime costs than lower risk patients as a result of shorter life expectancy. Improved cardiovascular survivorship among an ageing CVD population is likely to require stratified care in anticipation of the burgeoning demand.", "author" : [ { "dropping-particle" : "", "family" : "Walker", "given" : "Simon", "non-dropping-particle" : "", "parse-names" : false, "suffix" : "" }, { "dropping-particle" : "", "family" : "Asaria", "given" : "Miqdad", "non-dropping-particle" : "", "parse-names" : false, "suffix" : "" }, { "dropping-particle" : "", "family" : "Manca", "given" : "Andrea", "non-dropping-particle" : "", "parse-names" : false, "suffix" : "" }, { "dropping-particle" : "", "family" : "Palmer", "given" : "Stephen", "non-dropping-particle" : "", "parse-names" : false, "suffix" : "" }, { "dropping-particle" : "", "family" : "Gale", "given" : "Chris P", "non-dropping-particle" : "", "parse-names" : false, "suffix" : "" }, { "dropping-particle" : "", "family" : "Shah", "given" : "Anoop Dinesh", "non-dropping-particle" : "", "parse-names" : false, "suffix" : "" }, { "dropping-particle" : "", "family" : "Abrams", "given" : "Keith R", "non-dropping-particle" : "", "parse-names" : false, "suffix" : "" }, { "dropping-particle" : "", "family" : "Crowther", "given" : "Michael", "non-dropping-particle" : "", "parse-names" : false, "suffix" : "" }, { "dropping-particle" : "", "family" : "Timmis", "given" : "Adam", "non-dropping-particle" : "", "parse-names" : false, "suffix" : "" }, { "dropping-particle" : "", "family" : "Hemingway", "given" : "Harry", "non-dropping-particle" : "", "parse-names" : false, "suffix" : "" }, { "dropping-particle" : "", "family" : "Sculpher", "given" : "Mark", "non-dropping-particle" : "", "parse-names" : false, "suffix" : "" } ], "container-title" : "European heart journal. Quality of care &amp; clinical outcomes", "id" : "ITEM-2", "issue" : "2", "issued" : { "date-parts" : [ [ "2016", "1", "20" ] ] }, "page" : "125-140", "publisher" : "Europe PMC Funders", "title" : "Long-term healthcare use and costs in patients with stable coronary artery disease: a population-based cohort using linked health records (CALIBER).", "type" : "article-journal", "volume" : "2" }, "uris" : [ "http://www.mendeley.com/documents/?uuid=00a66b34-4ef9-38e4-9d98-f6d74d78ee9e" ] } ], "mendeley" : { "formattedCitation" : "(28,42)", "plainTextFormattedCitation" : "(28,42)", "previouslyFormattedCitation" : "(28,42)" }, "properties" : {  }, "schema" : "https://github.com/citation-style-language/schema/raw/master/csl-citation.json" }</w:instrText>
      </w:r>
      <w:r>
        <w:rPr>
          <w:lang w:val="en-GB"/>
        </w:rPr>
        <w:fldChar w:fldCharType="separate"/>
      </w:r>
      <w:r w:rsidRPr="00F00831">
        <w:rPr>
          <w:noProof/>
          <w:lang w:val="en-GB"/>
        </w:rPr>
        <w:t>(28,42)</w:t>
      </w:r>
      <w:r>
        <w:rPr>
          <w:lang w:val="en-GB"/>
        </w:rPr>
        <w:fldChar w:fldCharType="end"/>
      </w:r>
      <w:r>
        <w:rPr>
          <w:lang w:val="en-GB"/>
        </w:rPr>
        <w:t xml:space="preserve">. </w:t>
      </w:r>
      <w:r w:rsidRPr="00D254E1">
        <w:t>Resource use</w:t>
      </w:r>
      <w:r>
        <w:rPr>
          <w:lang w:val="en-GB"/>
        </w:rPr>
        <w:t xml:space="preserve"> is</w:t>
      </w:r>
      <w:r w:rsidRPr="00D254E1">
        <w:t xml:space="preserve"> taken from admin</w:t>
      </w:r>
      <w:r>
        <w:rPr>
          <w:lang w:val="en-GB"/>
        </w:rPr>
        <w:t>istrative</w:t>
      </w:r>
      <w:r w:rsidRPr="00D254E1">
        <w:t xml:space="preserve"> data</w:t>
      </w:r>
      <w:r>
        <w:rPr>
          <w:lang w:val="en-GB"/>
        </w:rPr>
        <w:t xml:space="preserve"> sources,</w:t>
      </w:r>
      <w:r w:rsidRPr="00D254E1">
        <w:t xml:space="preserve"> CPRD and HES,</w:t>
      </w:r>
      <w:r>
        <w:rPr>
          <w:lang w:val="en-GB"/>
        </w:rPr>
        <w:t xml:space="preserve"> and then</w:t>
      </w:r>
      <w:r w:rsidRPr="00D254E1">
        <w:t xml:space="preserve"> costed</w:t>
      </w:r>
      <w:r>
        <w:rPr>
          <w:lang w:val="en-GB"/>
        </w:rPr>
        <w:t xml:space="preserve"> on the</w:t>
      </w:r>
      <w:r>
        <w:t xml:space="preserve"> bas</w:t>
      </w:r>
      <w:r>
        <w:rPr>
          <w:lang w:val="en-GB"/>
        </w:rPr>
        <w:t>is of</w:t>
      </w:r>
      <w:r>
        <w:t xml:space="preserve"> NHS reference costs</w:t>
      </w:r>
      <w:r>
        <w:rPr>
          <w:lang w:val="en-GB"/>
        </w:rPr>
        <w:t>, Personal Social Services Research Unit</w:t>
      </w:r>
      <w:r w:rsidRPr="00D254E1">
        <w:t xml:space="preserve"> </w:t>
      </w:r>
      <w:r>
        <w:rPr>
          <w:lang w:val="en-GB"/>
        </w:rPr>
        <w:t>(</w:t>
      </w:r>
      <w:r w:rsidRPr="00D254E1">
        <w:t>PSSRU</w:t>
      </w:r>
      <w:r>
        <w:rPr>
          <w:lang w:val="en-GB"/>
        </w:rPr>
        <w:t>)</w:t>
      </w:r>
      <w:r w:rsidRPr="00D254E1">
        <w:t xml:space="preserve"> </w:t>
      </w:r>
      <w:r>
        <w:rPr>
          <w:lang w:val="en-GB"/>
        </w:rPr>
        <w:t xml:space="preserve">unit costs and NHS prescription cost analysis </w:t>
      </w:r>
      <w:r>
        <w:rPr>
          <w:lang w:val="en-GB"/>
        </w:rPr>
        <w:fldChar w:fldCharType="begin" w:fldLock="1"/>
      </w:r>
      <w:r>
        <w:rPr>
          <w:lang w:val="en-GB"/>
        </w:rPr>
        <w:instrText>ADDIN CSL_CITATION { "citationItems" : [ { "id" : "ITEM-1", "itemData" : { "URL" : "http://www.pssru.ac.uk/project-pages/unit-costs/unit-costs-2012/", "accessed" : { "date-parts" : [ [ "2017", "11", "17" ] ] }, "author" : [ { "dropping-particle" : "", "family" : "Curtis", "given" : "Lesley", "non-dropping-particle" : "", "parse-names" : false, "suffix" : "" } ], "container-title" : "PSSRU", "id" : "ITEM-1", "issued" : { "date-parts" : [ [ "2012" ] ] }, "title" : "Unit Costs of Health and Social Care 2012", "type" : "webpage" }, "uris" : [ "http://www.mendeley.com/documents/?uuid=fad574b6-d628-3b86-a830-60279b1c0cac" ] }, { "id" : "ITEM-2", "itemData" : { "URL" : "https://digital.nhs.uk/catalogue/PUB10610", "accessed" : { "date-parts" : [ [ "2017", "11", "17" ] ] }, "author" : [ { "dropping-particle" : "", "family" : "NHS Information Centre", "given" : "", "non-dropping-particle" : "", "parse-names" : false, "suffix" : "" } ], "id" : "ITEM-2", "issued" : { "date-parts" : [ [ "2013" ] ] }, "title" : "Prescription Cost Analysis - England, 2012", "type" : "webpage" }, "uris" : [ "http://www.mendeley.com/documents/?uuid=3e3a73bf-7ec5-3b08-9118-1c727c100b7e" ] }, { "id" : "ITEM-3", "itemData" : { "URL" : "https://www.gov.uk/government/publications/nhs-reference-costs-financial-year-2011-to-2012", "accessed" : { "date-parts" : [ [ "2017", "11", "17" ] ] }, "author" : [ { "dropping-particle" : "", "family" : "Department of Health", "given" : "", "non-dropping-particle" : "", "parse-names" : false, "suffix" : "" } ], "id" : "ITEM-3", "issued" : { "date-parts" : [ [ "2012" ] ] }, "title" : "NHS reference costs: financial year 2011 to 2012", "type" : "webpage" }, "uris" : [ "http://www.mendeley.com/documents/?uuid=30d416d9-61f0-3ce9-8978-a8a58d7bdedb" ] } ], "mendeley" : { "formattedCitation" : "(43\u201345)", "plainTextFormattedCitation" : "(43\u201345)", "previouslyFormattedCitation" : "(43\u201345)" }, "properties" : {  }, "schema" : "https://github.com/citation-style-language/schema/raw/master/csl-citation.json" }</w:instrText>
      </w:r>
      <w:r>
        <w:rPr>
          <w:lang w:val="en-GB"/>
        </w:rPr>
        <w:fldChar w:fldCharType="separate"/>
      </w:r>
      <w:r w:rsidRPr="00F00831">
        <w:rPr>
          <w:noProof/>
          <w:lang w:val="en-GB"/>
        </w:rPr>
        <w:t>(43–45)</w:t>
      </w:r>
      <w:r>
        <w:rPr>
          <w:lang w:val="en-GB"/>
        </w:rPr>
        <w:fldChar w:fldCharType="end"/>
      </w:r>
      <w:r w:rsidRPr="00D254E1">
        <w:t xml:space="preserve">. </w:t>
      </w:r>
      <w:r>
        <w:rPr>
          <w:lang w:val="en-GB"/>
        </w:rPr>
        <w:t>Estimation</w:t>
      </w:r>
      <w:r w:rsidRPr="00D254E1">
        <w:t xml:space="preserve"> of cost</w:t>
      </w:r>
      <w:r>
        <w:rPr>
          <w:lang w:val="en-GB"/>
        </w:rPr>
        <w:t xml:space="preserve"> parameters</w:t>
      </w:r>
      <w:r w:rsidRPr="00D254E1">
        <w:t xml:space="preserve"> in</w:t>
      </w:r>
      <w:r>
        <w:rPr>
          <w:lang w:val="en-GB"/>
        </w:rPr>
        <w:t xml:space="preserve"> the</w:t>
      </w:r>
      <w:r w:rsidRPr="00D254E1">
        <w:t xml:space="preserve"> model </w:t>
      </w:r>
      <w:r>
        <w:rPr>
          <w:lang w:val="en-GB"/>
        </w:rPr>
        <w:t xml:space="preserve">is undertaken </w:t>
      </w:r>
      <w:r w:rsidRPr="00D254E1">
        <w:t>using</w:t>
      </w:r>
      <w:r>
        <w:rPr>
          <w:lang w:val="en-GB"/>
        </w:rPr>
        <w:t xml:space="preserve"> the</w:t>
      </w:r>
      <w:r w:rsidRPr="00D254E1">
        <w:t xml:space="preserve"> panel data approach</w:t>
      </w:r>
      <w:r>
        <w:rPr>
          <w:lang w:val="en-GB"/>
        </w:rPr>
        <w:t xml:space="preserve"> outlined in Walker et al. </w:t>
      </w:r>
      <w:r>
        <w:rPr>
          <w:lang w:val="en-GB"/>
        </w:rPr>
        <w:fldChar w:fldCharType="begin" w:fldLock="1"/>
      </w:r>
      <w:r>
        <w:rPr>
          <w:lang w:val="en-GB"/>
        </w:rPr>
        <w:instrText>ADDIN CSL_CITATION { "citationItems" : [ { "id" : "ITEM-1", "itemData" : { "DOI" : "10.1093/ehjqcco/qcw003", "ISSN" : "2058-5225", "PMID" : "27042338", "abstract" : "AIMS To examine long-term healthcare utilization and costs of patients with stable coronary artery disease (SCAD). METHODS AND RESULTS Linked cohort study of 94 966 patients with SCAD in England, 1 January 2001 to 31 March 2010, identified from primary care, secondary care, disease, and death registries. Resource use and costs, and cost predictors by time and 5-year cardiovascular disease (CVD) risk profile were estimated using generalized linear models. Coronary heart disease hospitalizations were 20.5% in the first year and 66% in the year following a non-fatal (myocardial infarction, ischaemic or haemorrhagic stroke) event. Mean healthcare costs were \u00a33133 per patient in the first year and \u00a310 377 in the year following a non-fatal event. First-year predictors of cost included sex (mean cost \u00a3549 lower in females), SCAD diagnosis (non-ST-elevation myocardial infarction cost \u00a3656 more than stable angina), and co-morbidities (heart failure cost \u00a3657 more per patient). Compared with lower risk patients (5-year CVD risk 3.5%), those of higher risk (5-year CVD risk 44.2%) had higher 5-year costs (\u00a323 393 vs. \u00a39335) and lower lifetime costs (\u00a343 020 vs. \u00a3116 888). CONCLUSION Patients with SCAD incur substantial healthcare utilization and costs, which varies and may be predicted by 5-year CVD risk profile. Higher risk patients have higher initial but lower lifetime costs than lower risk patients as a result of shorter life expectancy. Improved cardiovascular survivorship among an ageing CVD population is likely to require stratified care in anticipation of the burgeoning demand.", "author" : [ { "dropping-particle" : "", "family" : "Walker", "given" : "Simon", "non-dropping-particle" : "", "parse-names" : false, "suffix" : "" }, { "dropping-particle" : "", "family" : "Asaria", "given" : "Miqdad", "non-dropping-particle" : "", "parse-names" : false, "suffix" : "" }, { "dropping-particle" : "", "family" : "Manca", "given" : "Andrea", "non-dropping-particle" : "", "parse-names" : false, "suffix" : "" }, { "dropping-particle" : "", "family" : "Palmer", "given" : "Stephen", "non-dropping-particle" : "", "parse-names" : false, "suffix" : "" }, { "dropping-particle" : "", "family" : "Gale", "given" : "Chris P", "non-dropping-particle" : "", "parse-names" : false, "suffix" : "" }, { "dropping-particle" : "", "family" : "Shah", "given" : "Anoop Dinesh", "non-dropping-particle" : "", "parse-names" : false, "suffix" : "" }, { "dropping-particle" : "", "family" : "Abrams", "given" : "Keith R", "non-dropping-particle" : "", "parse-names" : false, "suffix" : "" }, { "dropping-particle" : "", "family" : "Crowther", "given" : "Michael", "non-dropping-particle" : "", "parse-names" : false, "suffix" : "" }, { "dropping-particle" : "", "family" : "Timmis", "given" : "Adam", "non-dropping-particle" : "", "parse-names" : false, "suffix" : "" }, { "dropping-particle" : "", "family" : "Hemingway", "given" : "Harry", "non-dropping-particle" : "", "parse-names" : false, "suffix" : "" }, { "dropping-particle" : "", "family" : "Sculpher", "given" : "Mark", "non-dropping-particle" : "", "parse-names" : false, "suffix" : "" } ], "container-title" : "European heart journal. Quality of care &amp; clinical outcomes", "id" : "ITEM-1", "issue" : "2", "issued" : { "date-parts" : [ [ "2016", "1", "20" ] ] }, "page" : "125-140", "publisher" : "Europe PMC Funders", "title" : "Long-term healthcare use and costs in patients with stable coronary artery disease: a population-based cohort using linked health records (CALIBER).", "type" : "article-journal", "volume" : "2" }, "uris" : [ "http://www.mendeley.com/documents/?uuid=00a66b34-4ef9-38e4-9d98-f6d74d78ee9e" ] } ], "mendeley" : { "formattedCitation" : "(42)", "plainTextFormattedCitation" : "(42)", "previouslyFormattedCitation" : "(42)" }, "properties" : {  }, "schema" : "https://github.com/citation-style-language/schema/raw/master/csl-citation.json" }</w:instrText>
      </w:r>
      <w:r>
        <w:rPr>
          <w:lang w:val="en-GB"/>
        </w:rPr>
        <w:fldChar w:fldCharType="separate"/>
      </w:r>
      <w:r w:rsidRPr="00F00831">
        <w:rPr>
          <w:noProof/>
          <w:lang w:val="en-GB"/>
        </w:rPr>
        <w:t>(42)</w:t>
      </w:r>
      <w:r>
        <w:rPr>
          <w:lang w:val="en-GB"/>
        </w:rPr>
        <w:fldChar w:fldCharType="end"/>
      </w:r>
      <w:r>
        <w:rPr>
          <w:lang w:val="en-GB"/>
        </w:rPr>
        <w:t>.</w:t>
      </w:r>
    </w:p>
  </w:footnote>
  <w:footnote w:id="6">
    <w:p w14:paraId="517658BE" w14:textId="77777777" w:rsidR="00DA65EE" w:rsidRPr="00005E12" w:rsidRDefault="00DA65EE">
      <w:pPr>
        <w:pStyle w:val="FootnoteText"/>
        <w:rPr>
          <w:lang w:val="en-GB"/>
        </w:rPr>
      </w:pPr>
      <w:r>
        <w:rPr>
          <w:rStyle w:val="FootnoteReference"/>
        </w:rPr>
        <w:footnoteRef/>
      </w:r>
      <w:r>
        <w:t xml:space="preserve"> </w:t>
      </w:r>
      <w:r>
        <w:rPr>
          <w:lang w:val="en-GB"/>
        </w:rPr>
        <w:t>CHD HRGs were defined as those with ICD-10 codes from I10 through to I52.</w:t>
      </w:r>
    </w:p>
  </w:footnote>
  <w:footnote w:id="7">
    <w:p w14:paraId="44373FFF" w14:textId="77777777" w:rsidR="00DA65EE" w:rsidRDefault="00DA65EE" w:rsidP="003A2DE7">
      <w:pPr>
        <w:pStyle w:val="FootnoteText"/>
      </w:pPr>
      <w:r>
        <w:rPr>
          <w:rStyle w:val="FootnoteReference"/>
        </w:rPr>
        <w:footnoteRef/>
      </w:r>
      <w:r>
        <w:t xml:space="preserve"> Note that this holds only if the excluded cost categories are not truly unrelated.</w:t>
      </w:r>
    </w:p>
  </w:footnote>
  <w:footnote w:id="8">
    <w:p w14:paraId="169F04B6" w14:textId="186C2C02" w:rsidR="00DA65EE" w:rsidRDefault="00DA65EE">
      <w:pPr>
        <w:pStyle w:val="FootnoteText"/>
      </w:pPr>
      <w:r>
        <w:rPr>
          <w:rStyle w:val="FootnoteReference"/>
        </w:rPr>
        <w:footnoteRef/>
      </w:r>
      <w:r>
        <w:t xml:space="preserve"> Note that authors have noted this kind of offset in previous applications </w:t>
      </w:r>
      <w:r>
        <w:fldChar w:fldCharType="begin" w:fldLock="1"/>
      </w:r>
      <w:r>
        <w:instrText>ADDIN CSL_CITATION { "citationItems" : [ { "id" : "ITEM-1", "itemData" : { "DOI" : "10.1016/j.ypmed.2016.01.013", "author" : [ { "dropping-particle" : "van", "family" : "Baal", "given" : "Pieter H.M.", "non-dropping-particle" : "van", "parse-names" : false, "suffix" : "" }, { "dropping-particle" : "", "family" : "Hoogendoorn", "given" : "Martine", "non-dropping-particle" : "", "parse-names" : false, "suffix" : "" }, { "dropping-particle" : "", "family" : "Fischer", "given" : "Alastair", "non-dropping-particle" : "", "parse-names" : false, "suffix" : "" } ], "container-title" : "Preventive Medicine", "id" : "ITEM-1", "issued" : { "date-parts" : [ [ "2016", "4" ] ] }, "page" : "78-83", "title" : "Preventing dementia by promoting physical activity and the long-term impact on health and social care expenditures", "type" : "article-journal", "volume" : "85" }, "uris" : [ "http://www.mendeley.com/documents/?uuid=da42fecf-24b8-3e99-be17-6c9b99c914df" ] } ], "mendeley" : { "formattedCitation" : "(46)", "plainTextFormattedCitation" : "(46)", "previouslyFormattedCitation" : "(46)" }, "properties" : { "noteIndex" : 0 }, "schema" : "https://github.com/citation-style-language/schema/raw/master/csl-citation.json" }</w:instrText>
      </w:r>
      <w:r>
        <w:fldChar w:fldCharType="separate"/>
      </w:r>
      <w:r w:rsidRPr="007A0CB0">
        <w:rPr>
          <w:noProof/>
        </w:rPr>
        <w:t>(46)</w:t>
      </w:r>
      <w:r>
        <w:fldChar w:fldCharType="end"/>
      </w:r>
      <w:r>
        <w:t>.</w:t>
      </w:r>
    </w:p>
  </w:footnote>
  <w:footnote w:id="9">
    <w:p w14:paraId="6D84833F" w14:textId="77777777" w:rsidR="00DA65EE" w:rsidRDefault="00DA65EE" w:rsidP="003A2DE7">
      <w:pPr>
        <w:pStyle w:val="FootnoteText"/>
      </w:pPr>
      <w:r>
        <w:rPr>
          <w:rStyle w:val="FootnoteReference"/>
        </w:rPr>
        <w:footnoteRef/>
      </w:r>
      <w:r>
        <w:t xml:space="preserve"> In other words, the proximity of the mean</w:t>
      </w:r>
      <w:r>
        <w:rPr>
          <w:rStyle w:val="FootnoteReference"/>
        </w:rPr>
        <w:t xml:space="preserve"> </w:t>
      </w:r>
      <w:r>
        <w:t>net health benefit of the technology to zero.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1E58" w14:textId="77777777" w:rsidR="00DA65EE" w:rsidRDefault="00DA6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C1B"/>
    <w:multiLevelType w:val="hybridMultilevel"/>
    <w:tmpl w:val="345E5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146E5"/>
    <w:multiLevelType w:val="hybridMultilevel"/>
    <w:tmpl w:val="5C94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BD5528"/>
    <w:multiLevelType w:val="hybridMultilevel"/>
    <w:tmpl w:val="41B87FD4"/>
    <w:lvl w:ilvl="0" w:tplc="C85AC36A">
      <w:start w:val="1"/>
      <w:numFmt w:val="decimal"/>
      <w:lvlText w:val="%1."/>
      <w:lvlJc w:val="left"/>
      <w:pPr>
        <w:tabs>
          <w:tab w:val="num" w:pos="1080"/>
        </w:tabs>
        <w:ind w:left="1080" w:hanging="360"/>
      </w:pPr>
      <w:rPr>
        <w:rFonts w:ascii="BWCYD Q+ Times" w:hAnsi="BWCYD Q+ Times" w:cs="BWCYD Q+ Time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3FA156C1"/>
    <w:multiLevelType w:val="hybridMultilevel"/>
    <w:tmpl w:val="8A8C811C"/>
    <w:lvl w:ilvl="0" w:tplc="581EE922">
      <w:start w:val="3"/>
      <w:numFmt w:val="bullet"/>
      <w:lvlText w:val=""/>
      <w:lvlJc w:val="left"/>
      <w:pPr>
        <w:tabs>
          <w:tab w:val="num" w:pos="1080"/>
        </w:tabs>
        <w:ind w:left="1080" w:hanging="720"/>
      </w:pPr>
      <w:rPr>
        <w:rFonts w:ascii="Wingdings" w:eastAsia="Times New Roman" w:hAnsi="Wingdings" w:cs="Times New Roman" w:hint="default"/>
      </w:rPr>
    </w:lvl>
    <w:lvl w:ilvl="1" w:tplc="0809000D">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5C5CF1"/>
    <w:multiLevelType w:val="hybridMultilevel"/>
    <w:tmpl w:val="A1781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919A1"/>
    <w:multiLevelType w:val="hybridMultilevel"/>
    <w:tmpl w:val="BD6E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456B51"/>
    <w:multiLevelType w:val="hybridMultilevel"/>
    <w:tmpl w:val="9FC8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DC76E4"/>
    <w:multiLevelType w:val="hybridMultilevel"/>
    <w:tmpl w:val="71E25C04"/>
    <w:lvl w:ilvl="0" w:tplc="C4E059CC">
      <w:start w:val="1"/>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3E2388"/>
    <w:multiLevelType w:val="hybridMultilevel"/>
    <w:tmpl w:val="B19E7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5"/>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642"/>
    <w:rsid w:val="00005E12"/>
    <w:rsid w:val="00014CD4"/>
    <w:rsid w:val="000158E2"/>
    <w:rsid w:val="00017A1B"/>
    <w:rsid w:val="0002000B"/>
    <w:rsid w:val="00021ADF"/>
    <w:rsid w:val="00023C0F"/>
    <w:rsid w:val="00031ECC"/>
    <w:rsid w:val="00034B82"/>
    <w:rsid w:val="00043EBC"/>
    <w:rsid w:val="00060069"/>
    <w:rsid w:val="00072219"/>
    <w:rsid w:val="00073281"/>
    <w:rsid w:val="00085DCD"/>
    <w:rsid w:val="000866A8"/>
    <w:rsid w:val="00091BE5"/>
    <w:rsid w:val="000A747F"/>
    <w:rsid w:val="000B5C4D"/>
    <w:rsid w:val="000C39F3"/>
    <w:rsid w:val="000C5F75"/>
    <w:rsid w:val="000D2319"/>
    <w:rsid w:val="000D66AF"/>
    <w:rsid w:val="000F1B6E"/>
    <w:rsid w:val="000F3808"/>
    <w:rsid w:val="000F5540"/>
    <w:rsid w:val="000F5A04"/>
    <w:rsid w:val="00100708"/>
    <w:rsid w:val="00103E70"/>
    <w:rsid w:val="00120AF5"/>
    <w:rsid w:val="001225CE"/>
    <w:rsid w:val="001273DF"/>
    <w:rsid w:val="001324FC"/>
    <w:rsid w:val="0013767A"/>
    <w:rsid w:val="00145037"/>
    <w:rsid w:val="00154941"/>
    <w:rsid w:val="00156582"/>
    <w:rsid w:val="00161EEB"/>
    <w:rsid w:val="001637B4"/>
    <w:rsid w:val="00180DF5"/>
    <w:rsid w:val="00192E22"/>
    <w:rsid w:val="00193575"/>
    <w:rsid w:val="001962EE"/>
    <w:rsid w:val="001A4E9F"/>
    <w:rsid w:val="001A6A14"/>
    <w:rsid w:val="001B5DA0"/>
    <w:rsid w:val="001C01A8"/>
    <w:rsid w:val="001C7867"/>
    <w:rsid w:val="001C7E87"/>
    <w:rsid w:val="001D3674"/>
    <w:rsid w:val="001D3F03"/>
    <w:rsid w:val="001D5E1A"/>
    <w:rsid w:val="001E0A8E"/>
    <w:rsid w:val="001E2676"/>
    <w:rsid w:val="001E58F8"/>
    <w:rsid w:val="001F4B03"/>
    <w:rsid w:val="00212C0E"/>
    <w:rsid w:val="00213190"/>
    <w:rsid w:val="0021536C"/>
    <w:rsid w:val="002249EF"/>
    <w:rsid w:val="002251EB"/>
    <w:rsid w:val="00235A41"/>
    <w:rsid w:val="0026301E"/>
    <w:rsid w:val="00277559"/>
    <w:rsid w:val="002A4475"/>
    <w:rsid w:val="002B1638"/>
    <w:rsid w:val="002B3FA2"/>
    <w:rsid w:val="002E1BB0"/>
    <w:rsid w:val="00300CA5"/>
    <w:rsid w:val="00302D63"/>
    <w:rsid w:val="0030713F"/>
    <w:rsid w:val="0031728F"/>
    <w:rsid w:val="00320781"/>
    <w:rsid w:val="00326F7A"/>
    <w:rsid w:val="003533CB"/>
    <w:rsid w:val="0035700E"/>
    <w:rsid w:val="003661D2"/>
    <w:rsid w:val="00371727"/>
    <w:rsid w:val="0038437B"/>
    <w:rsid w:val="00394DE1"/>
    <w:rsid w:val="00396B76"/>
    <w:rsid w:val="00397601"/>
    <w:rsid w:val="003A06C2"/>
    <w:rsid w:val="003A2DE7"/>
    <w:rsid w:val="003A652E"/>
    <w:rsid w:val="003C3C56"/>
    <w:rsid w:val="0040308A"/>
    <w:rsid w:val="004115FF"/>
    <w:rsid w:val="0041350B"/>
    <w:rsid w:val="0041719F"/>
    <w:rsid w:val="00424912"/>
    <w:rsid w:val="00425E99"/>
    <w:rsid w:val="00426FDA"/>
    <w:rsid w:val="00432716"/>
    <w:rsid w:val="004453C9"/>
    <w:rsid w:val="0045102F"/>
    <w:rsid w:val="004570C0"/>
    <w:rsid w:val="00466226"/>
    <w:rsid w:val="004721DD"/>
    <w:rsid w:val="00484E95"/>
    <w:rsid w:val="00490388"/>
    <w:rsid w:val="00491027"/>
    <w:rsid w:val="004A1B05"/>
    <w:rsid w:val="004B0A6F"/>
    <w:rsid w:val="004B3126"/>
    <w:rsid w:val="004B4819"/>
    <w:rsid w:val="004C063F"/>
    <w:rsid w:val="004C533C"/>
    <w:rsid w:val="004D6D36"/>
    <w:rsid w:val="004D7DE7"/>
    <w:rsid w:val="004E39D9"/>
    <w:rsid w:val="004E4FA1"/>
    <w:rsid w:val="004F54C1"/>
    <w:rsid w:val="004F68EF"/>
    <w:rsid w:val="0050257B"/>
    <w:rsid w:val="00502B54"/>
    <w:rsid w:val="0052262D"/>
    <w:rsid w:val="00523D7E"/>
    <w:rsid w:val="00530258"/>
    <w:rsid w:val="0053253A"/>
    <w:rsid w:val="00535051"/>
    <w:rsid w:val="00535E4B"/>
    <w:rsid w:val="00540418"/>
    <w:rsid w:val="00550B48"/>
    <w:rsid w:val="00567F89"/>
    <w:rsid w:val="00570E70"/>
    <w:rsid w:val="00575AC0"/>
    <w:rsid w:val="00577405"/>
    <w:rsid w:val="005A482E"/>
    <w:rsid w:val="005B0D9C"/>
    <w:rsid w:val="005C5BF8"/>
    <w:rsid w:val="005C6AD8"/>
    <w:rsid w:val="005E0CFD"/>
    <w:rsid w:val="0060156C"/>
    <w:rsid w:val="00602352"/>
    <w:rsid w:val="00603381"/>
    <w:rsid w:val="00610A2F"/>
    <w:rsid w:val="00621A05"/>
    <w:rsid w:val="00631342"/>
    <w:rsid w:val="00633322"/>
    <w:rsid w:val="00641005"/>
    <w:rsid w:val="006410A7"/>
    <w:rsid w:val="00643CA7"/>
    <w:rsid w:val="006473D1"/>
    <w:rsid w:val="00651167"/>
    <w:rsid w:val="00651871"/>
    <w:rsid w:val="006527F9"/>
    <w:rsid w:val="0066080A"/>
    <w:rsid w:val="00660B9B"/>
    <w:rsid w:val="00662B54"/>
    <w:rsid w:val="0067566B"/>
    <w:rsid w:val="00682E4B"/>
    <w:rsid w:val="006930AB"/>
    <w:rsid w:val="006A00C7"/>
    <w:rsid w:val="006B174F"/>
    <w:rsid w:val="006C25CD"/>
    <w:rsid w:val="006E297B"/>
    <w:rsid w:val="006E6360"/>
    <w:rsid w:val="006F5A9B"/>
    <w:rsid w:val="00707C43"/>
    <w:rsid w:val="00723D47"/>
    <w:rsid w:val="00732D77"/>
    <w:rsid w:val="007706D7"/>
    <w:rsid w:val="00774672"/>
    <w:rsid w:val="007837DC"/>
    <w:rsid w:val="007A0CB0"/>
    <w:rsid w:val="007A1581"/>
    <w:rsid w:val="007A2255"/>
    <w:rsid w:val="007A3F8D"/>
    <w:rsid w:val="007A556B"/>
    <w:rsid w:val="007A7549"/>
    <w:rsid w:val="007B0D58"/>
    <w:rsid w:val="007C0D4D"/>
    <w:rsid w:val="007C2F51"/>
    <w:rsid w:val="007E2B62"/>
    <w:rsid w:val="007E7FD2"/>
    <w:rsid w:val="007F3E41"/>
    <w:rsid w:val="00801B4E"/>
    <w:rsid w:val="008163F6"/>
    <w:rsid w:val="00826ACA"/>
    <w:rsid w:val="008318EF"/>
    <w:rsid w:val="00833C67"/>
    <w:rsid w:val="00874EE7"/>
    <w:rsid w:val="008A2605"/>
    <w:rsid w:val="008A6B02"/>
    <w:rsid w:val="008B43A8"/>
    <w:rsid w:val="008C122F"/>
    <w:rsid w:val="008C1AB6"/>
    <w:rsid w:val="008C7212"/>
    <w:rsid w:val="008D35D7"/>
    <w:rsid w:val="008D5642"/>
    <w:rsid w:val="008E14B1"/>
    <w:rsid w:val="008E2DD6"/>
    <w:rsid w:val="008E3E2A"/>
    <w:rsid w:val="00907052"/>
    <w:rsid w:val="009147AB"/>
    <w:rsid w:val="0091779F"/>
    <w:rsid w:val="00920EE2"/>
    <w:rsid w:val="00933114"/>
    <w:rsid w:val="00940CEE"/>
    <w:rsid w:val="00954B9B"/>
    <w:rsid w:val="009569F5"/>
    <w:rsid w:val="0095797D"/>
    <w:rsid w:val="0098773C"/>
    <w:rsid w:val="00993106"/>
    <w:rsid w:val="00994F08"/>
    <w:rsid w:val="009A0BCE"/>
    <w:rsid w:val="009A1266"/>
    <w:rsid w:val="009A3529"/>
    <w:rsid w:val="009B7DD3"/>
    <w:rsid w:val="009C4233"/>
    <w:rsid w:val="009E7062"/>
    <w:rsid w:val="009F5AB4"/>
    <w:rsid w:val="00A075F8"/>
    <w:rsid w:val="00A07F10"/>
    <w:rsid w:val="00A22721"/>
    <w:rsid w:val="00A34CEE"/>
    <w:rsid w:val="00A37CC8"/>
    <w:rsid w:val="00A42E62"/>
    <w:rsid w:val="00A46540"/>
    <w:rsid w:val="00A53DE5"/>
    <w:rsid w:val="00A62EBB"/>
    <w:rsid w:val="00A647E8"/>
    <w:rsid w:val="00A66029"/>
    <w:rsid w:val="00A722E9"/>
    <w:rsid w:val="00A73F64"/>
    <w:rsid w:val="00A82C76"/>
    <w:rsid w:val="00A83780"/>
    <w:rsid w:val="00A84A20"/>
    <w:rsid w:val="00A85269"/>
    <w:rsid w:val="00A87F1D"/>
    <w:rsid w:val="00A91D43"/>
    <w:rsid w:val="00A952BE"/>
    <w:rsid w:val="00AD62FE"/>
    <w:rsid w:val="00AE1F4B"/>
    <w:rsid w:val="00B005DF"/>
    <w:rsid w:val="00B130D4"/>
    <w:rsid w:val="00B136D8"/>
    <w:rsid w:val="00B21CC3"/>
    <w:rsid w:val="00B25C00"/>
    <w:rsid w:val="00B2710D"/>
    <w:rsid w:val="00B36AB7"/>
    <w:rsid w:val="00B4277A"/>
    <w:rsid w:val="00B54E6C"/>
    <w:rsid w:val="00B93127"/>
    <w:rsid w:val="00B93421"/>
    <w:rsid w:val="00B9796A"/>
    <w:rsid w:val="00BB0740"/>
    <w:rsid w:val="00BB6E5E"/>
    <w:rsid w:val="00BC04C4"/>
    <w:rsid w:val="00BC30CF"/>
    <w:rsid w:val="00BD59F5"/>
    <w:rsid w:val="00BD799D"/>
    <w:rsid w:val="00BF3019"/>
    <w:rsid w:val="00C0015D"/>
    <w:rsid w:val="00C03C30"/>
    <w:rsid w:val="00C05DDE"/>
    <w:rsid w:val="00C33C7D"/>
    <w:rsid w:val="00C34228"/>
    <w:rsid w:val="00C35D4A"/>
    <w:rsid w:val="00C37257"/>
    <w:rsid w:val="00C45622"/>
    <w:rsid w:val="00C47F9A"/>
    <w:rsid w:val="00C62D6E"/>
    <w:rsid w:val="00C82330"/>
    <w:rsid w:val="00C8321B"/>
    <w:rsid w:val="00C93812"/>
    <w:rsid w:val="00CA6593"/>
    <w:rsid w:val="00CB4AF2"/>
    <w:rsid w:val="00CB6168"/>
    <w:rsid w:val="00CD2388"/>
    <w:rsid w:val="00CD6B0E"/>
    <w:rsid w:val="00CD6EB7"/>
    <w:rsid w:val="00CE30D8"/>
    <w:rsid w:val="00CF09D0"/>
    <w:rsid w:val="00CF1E06"/>
    <w:rsid w:val="00CF23DC"/>
    <w:rsid w:val="00CF48FB"/>
    <w:rsid w:val="00CF5DB8"/>
    <w:rsid w:val="00D052FC"/>
    <w:rsid w:val="00D0693D"/>
    <w:rsid w:val="00D10733"/>
    <w:rsid w:val="00D21566"/>
    <w:rsid w:val="00D24F6F"/>
    <w:rsid w:val="00D254E1"/>
    <w:rsid w:val="00D25BB8"/>
    <w:rsid w:val="00D26385"/>
    <w:rsid w:val="00D30A86"/>
    <w:rsid w:val="00D3129F"/>
    <w:rsid w:val="00D468A3"/>
    <w:rsid w:val="00D47E1A"/>
    <w:rsid w:val="00D509E8"/>
    <w:rsid w:val="00D7778C"/>
    <w:rsid w:val="00D82642"/>
    <w:rsid w:val="00D83FC9"/>
    <w:rsid w:val="00D84323"/>
    <w:rsid w:val="00DA0969"/>
    <w:rsid w:val="00DA65EE"/>
    <w:rsid w:val="00DD20D2"/>
    <w:rsid w:val="00DD42E3"/>
    <w:rsid w:val="00DF1186"/>
    <w:rsid w:val="00DF2200"/>
    <w:rsid w:val="00DF46EB"/>
    <w:rsid w:val="00E064BE"/>
    <w:rsid w:val="00E11937"/>
    <w:rsid w:val="00E32D62"/>
    <w:rsid w:val="00E32FB0"/>
    <w:rsid w:val="00E3718E"/>
    <w:rsid w:val="00E37F11"/>
    <w:rsid w:val="00E42AF9"/>
    <w:rsid w:val="00E54D47"/>
    <w:rsid w:val="00E605B0"/>
    <w:rsid w:val="00E61F2A"/>
    <w:rsid w:val="00E673BF"/>
    <w:rsid w:val="00E7631C"/>
    <w:rsid w:val="00E76736"/>
    <w:rsid w:val="00E7681C"/>
    <w:rsid w:val="00E7708E"/>
    <w:rsid w:val="00EB5626"/>
    <w:rsid w:val="00ED4E21"/>
    <w:rsid w:val="00ED5890"/>
    <w:rsid w:val="00EE2C0B"/>
    <w:rsid w:val="00EE49FE"/>
    <w:rsid w:val="00EF3A87"/>
    <w:rsid w:val="00F00831"/>
    <w:rsid w:val="00F02191"/>
    <w:rsid w:val="00F06435"/>
    <w:rsid w:val="00F2122E"/>
    <w:rsid w:val="00F270B9"/>
    <w:rsid w:val="00F3166C"/>
    <w:rsid w:val="00F43118"/>
    <w:rsid w:val="00F468AA"/>
    <w:rsid w:val="00F46AA2"/>
    <w:rsid w:val="00F5004F"/>
    <w:rsid w:val="00F65DDA"/>
    <w:rsid w:val="00F67E50"/>
    <w:rsid w:val="00F90EFB"/>
    <w:rsid w:val="00FA442F"/>
    <w:rsid w:val="00FB1BF1"/>
    <w:rsid w:val="00FB51F7"/>
    <w:rsid w:val="00FB76DA"/>
    <w:rsid w:val="00FC02B0"/>
    <w:rsid w:val="00FC22A8"/>
    <w:rsid w:val="00FC5CCB"/>
    <w:rsid w:val="00FC65A9"/>
    <w:rsid w:val="00FD13F6"/>
    <w:rsid w:val="00FD6954"/>
    <w:rsid w:val="00FF19BB"/>
    <w:rsid w:val="00FF2A1A"/>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920EE2"/>
    <w:pPr>
      <w:keepNext/>
      <w:keepLines/>
      <w:spacing w:before="480" w:after="0"/>
      <w:outlineLvl w:val="0"/>
    </w:pPr>
    <w:rPr>
      <w:rFonts w:ascii="Calibri Light" w:eastAsia="SimSun" w:hAnsi="Calibri Light" w:cs="Times New Roman"/>
      <w:b/>
      <w:bCs/>
      <w:color w:val="000000"/>
      <w:sz w:val="28"/>
      <w:szCs w:val="28"/>
      <w:lang w:val="x-none" w:eastAsia="x-none"/>
    </w:rPr>
  </w:style>
  <w:style w:type="paragraph" w:styleId="Heading2">
    <w:name w:val="heading 2"/>
    <w:basedOn w:val="Normal"/>
    <w:next w:val="Normal"/>
    <w:link w:val="Heading2Char"/>
    <w:uiPriority w:val="9"/>
    <w:unhideWhenUsed/>
    <w:qFormat/>
    <w:rsid w:val="00920EE2"/>
    <w:pPr>
      <w:keepNext/>
      <w:keepLines/>
      <w:spacing w:before="200" w:after="0"/>
      <w:outlineLvl w:val="1"/>
    </w:pPr>
    <w:rPr>
      <w:rFonts w:ascii="Calibri Light" w:eastAsia="SimSun" w:hAnsi="Calibri Light" w:cs="Times New Roman"/>
      <w:b/>
      <w:bCs/>
      <w:color w:val="000000"/>
      <w:sz w:val="26"/>
      <w:szCs w:val="26"/>
      <w:lang w:val="x-none" w:eastAsia="x-none"/>
    </w:rPr>
  </w:style>
  <w:style w:type="paragraph" w:styleId="Heading3">
    <w:name w:val="heading 3"/>
    <w:basedOn w:val="Normal"/>
    <w:next w:val="Normal"/>
    <w:link w:val="Heading3Char"/>
    <w:uiPriority w:val="9"/>
    <w:unhideWhenUsed/>
    <w:qFormat/>
    <w:rsid w:val="004D7DE7"/>
    <w:pPr>
      <w:keepNext/>
      <w:keepLines/>
      <w:spacing w:before="200" w:after="0"/>
      <w:outlineLvl w:val="2"/>
    </w:pPr>
    <w:rPr>
      <w:rFonts w:ascii="Calibri Light" w:eastAsia="SimSun" w:hAnsi="Calibri Light" w:cs="Times New Roman"/>
      <w:b/>
      <w:b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0EE2"/>
    <w:rPr>
      <w:rFonts w:ascii="Calibri Light" w:eastAsia="SimSun" w:hAnsi="Calibri Light" w:cs="Times New Roman"/>
      <w:b/>
      <w:bCs/>
      <w:color w:val="000000"/>
      <w:sz w:val="28"/>
      <w:szCs w:val="28"/>
    </w:rPr>
  </w:style>
  <w:style w:type="character" w:customStyle="1" w:styleId="Heading2Char">
    <w:name w:val="Heading 2 Char"/>
    <w:link w:val="Heading2"/>
    <w:uiPriority w:val="9"/>
    <w:rsid w:val="00920EE2"/>
    <w:rPr>
      <w:rFonts w:ascii="Calibri Light" w:eastAsia="SimSun" w:hAnsi="Calibri Light" w:cs="Times New Roman"/>
      <w:b/>
      <w:bCs/>
      <w:color w:val="000000"/>
      <w:sz w:val="26"/>
      <w:szCs w:val="26"/>
    </w:rPr>
  </w:style>
  <w:style w:type="character" w:styleId="CommentReference">
    <w:name w:val="annotation reference"/>
    <w:uiPriority w:val="99"/>
    <w:semiHidden/>
    <w:unhideWhenUsed/>
    <w:rsid w:val="000158E2"/>
    <w:rPr>
      <w:sz w:val="16"/>
      <w:szCs w:val="16"/>
    </w:rPr>
  </w:style>
  <w:style w:type="paragraph" w:styleId="CommentText">
    <w:name w:val="annotation text"/>
    <w:basedOn w:val="Normal"/>
    <w:link w:val="CommentTextChar"/>
    <w:uiPriority w:val="99"/>
    <w:semiHidden/>
    <w:unhideWhenUsed/>
    <w:rsid w:val="000158E2"/>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0158E2"/>
    <w:rPr>
      <w:sz w:val="20"/>
      <w:szCs w:val="20"/>
    </w:rPr>
  </w:style>
  <w:style w:type="paragraph" w:styleId="CommentSubject">
    <w:name w:val="annotation subject"/>
    <w:basedOn w:val="CommentText"/>
    <w:next w:val="CommentText"/>
    <w:link w:val="CommentSubjectChar"/>
    <w:uiPriority w:val="99"/>
    <w:semiHidden/>
    <w:unhideWhenUsed/>
    <w:rsid w:val="000158E2"/>
    <w:rPr>
      <w:b/>
      <w:bCs/>
    </w:rPr>
  </w:style>
  <w:style w:type="character" w:customStyle="1" w:styleId="CommentSubjectChar">
    <w:name w:val="Comment Subject Char"/>
    <w:link w:val="CommentSubject"/>
    <w:uiPriority w:val="99"/>
    <w:semiHidden/>
    <w:rsid w:val="000158E2"/>
    <w:rPr>
      <w:b/>
      <w:bCs/>
      <w:sz w:val="20"/>
      <w:szCs w:val="20"/>
    </w:rPr>
  </w:style>
  <w:style w:type="paragraph" w:styleId="BalloonText">
    <w:name w:val="Balloon Text"/>
    <w:basedOn w:val="Normal"/>
    <w:link w:val="BalloonTextChar"/>
    <w:uiPriority w:val="99"/>
    <w:semiHidden/>
    <w:unhideWhenUsed/>
    <w:rsid w:val="000158E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158E2"/>
    <w:rPr>
      <w:rFonts w:ascii="Tahoma" w:hAnsi="Tahoma" w:cs="Tahoma"/>
      <w:sz w:val="16"/>
      <w:szCs w:val="16"/>
    </w:rPr>
  </w:style>
  <w:style w:type="character" w:customStyle="1" w:styleId="Heading3Char">
    <w:name w:val="Heading 3 Char"/>
    <w:link w:val="Heading3"/>
    <w:uiPriority w:val="9"/>
    <w:rsid w:val="00ED4E21"/>
    <w:rPr>
      <w:rFonts w:ascii="Calibri Light" w:eastAsia="SimSun" w:hAnsi="Calibri Light" w:cs="Times New Roman"/>
      <w:b/>
      <w:bCs/>
      <w:color w:val="000000"/>
      <w:lang w:val="x-none" w:eastAsia="x-none"/>
    </w:rPr>
  </w:style>
  <w:style w:type="paragraph" w:styleId="ListParagraph">
    <w:name w:val="List Paragraph"/>
    <w:basedOn w:val="Normal"/>
    <w:uiPriority w:val="34"/>
    <w:qFormat/>
    <w:rsid w:val="0030713F"/>
    <w:pPr>
      <w:spacing w:after="200" w:line="276" w:lineRule="auto"/>
      <w:ind w:left="720"/>
      <w:contextualSpacing/>
    </w:pPr>
  </w:style>
  <w:style w:type="table" w:styleId="TableGrid">
    <w:name w:val="Table Grid"/>
    <w:basedOn w:val="TableNormal"/>
    <w:uiPriority w:val="59"/>
    <w:rsid w:val="0030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1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A4475"/>
    <w:pPr>
      <w:spacing w:after="0" w:line="240" w:lineRule="auto"/>
    </w:pPr>
    <w:rPr>
      <w:rFonts w:cs="Times New Roman"/>
      <w:sz w:val="20"/>
      <w:szCs w:val="20"/>
      <w:lang w:val="x-none" w:eastAsia="x-none"/>
    </w:rPr>
  </w:style>
  <w:style w:type="character" w:customStyle="1" w:styleId="FootnoteTextChar">
    <w:name w:val="Footnote Text Char"/>
    <w:link w:val="FootnoteText"/>
    <w:uiPriority w:val="99"/>
    <w:semiHidden/>
    <w:rsid w:val="002A4475"/>
    <w:rPr>
      <w:sz w:val="20"/>
      <w:szCs w:val="20"/>
    </w:rPr>
  </w:style>
  <w:style w:type="character" w:styleId="FootnoteReference">
    <w:name w:val="footnote reference"/>
    <w:uiPriority w:val="99"/>
    <w:semiHidden/>
    <w:unhideWhenUsed/>
    <w:rsid w:val="002A4475"/>
    <w:rPr>
      <w:vertAlign w:val="superscript"/>
    </w:rPr>
  </w:style>
  <w:style w:type="paragraph" w:styleId="Caption">
    <w:name w:val="caption"/>
    <w:basedOn w:val="Normal"/>
    <w:next w:val="Normal"/>
    <w:uiPriority w:val="35"/>
    <w:unhideWhenUsed/>
    <w:qFormat/>
    <w:rsid w:val="00535E4B"/>
    <w:pPr>
      <w:spacing w:after="200" w:line="240" w:lineRule="auto"/>
    </w:pPr>
    <w:rPr>
      <w:b/>
      <w:bCs/>
      <w:color w:val="000000"/>
      <w:sz w:val="18"/>
      <w:szCs w:val="18"/>
    </w:rPr>
  </w:style>
  <w:style w:type="paragraph" w:customStyle="1" w:styleId="Default">
    <w:name w:val="Default"/>
    <w:rsid w:val="00CD6B0E"/>
    <w:pPr>
      <w:widowControl w:val="0"/>
      <w:autoSpaceDE w:val="0"/>
      <w:autoSpaceDN w:val="0"/>
      <w:adjustRightInd w:val="0"/>
    </w:pPr>
    <w:rPr>
      <w:rFonts w:ascii="BWCYD Q+ Times" w:eastAsia="Times New Roman" w:hAnsi="BWCYD Q+ Times" w:cs="BWCYD Q+ Times"/>
      <w:color w:val="000000"/>
      <w:sz w:val="24"/>
      <w:szCs w:val="24"/>
    </w:rPr>
  </w:style>
  <w:style w:type="paragraph" w:customStyle="1" w:styleId="CM4">
    <w:name w:val="CM4"/>
    <w:basedOn w:val="Default"/>
    <w:next w:val="Default"/>
    <w:rsid w:val="00CD6B0E"/>
    <w:pPr>
      <w:spacing w:after="285"/>
    </w:pPr>
    <w:rPr>
      <w:color w:val="auto"/>
    </w:rPr>
  </w:style>
  <w:style w:type="character" w:styleId="Hyperlink">
    <w:name w:val="Hyperlink"/>
    <w:rsid w:val="00CD6B0E"/>
    <w:rPr>
      <w:color w:val="0000FF"/>
      <w:u w:val="single"/>
    </w:rPr>
  </w:style>
  <w:style w:type="paragraph" w:styleId="Header">
    <w:name w:val="header"/>
    <w:basedOn w:val="Normal"/>
    <w:link w:val="HeaderChar"/>
    <w:uiPriority w:val="99"/>
    <w:unhideWhenUsed/>
    <w:rsid w:val="004D7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DE7"/>
    <w:rPr>
      <w:sz w:val="22"/>
      <w:szCs w:val="22"/>
      <w:lang w:eastAsia="en-US"/>
    </w:rPr>
  </w:style>
  <w:style w:type="paragraph" w:styleId="Footer">
    <w:name w:val="footer"/>
    <w:basedOn w:val="Normal"/>
    <w:link w:val="FooterChar"/>
    <w:uiPriority w:val="99"/>
    <w:unhideWhenUsed/>
    <w:rsid w:val="004D7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DE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920EE2"/>
    <w:pPr>
      <w:keepNext/>
      <w:keepLines/>
      <w:spacing w:before="480" w:after="0"/>
      <w:outlineLvl w:val="0"/>
    </w:pPr>
    <w:rPr>
      <w:rFonts w:ascii="Calibri Light" w:eastAsia="SimSun" w:hAnsi="Calibri Light" w:cs="Times New Roman"/>
      <w:b/>
      <w:bCs/>
      <w:color w:val="000000"/>
      <w:sz w:val="28"/>
      <w:szCs w:val="28"/>
      <w:lang w:val="x-none" w:eastAsia="x-none"/>
    </w:rPr>
  </w:style>
  <w:style w:type="paragraph" w:styleId="Heading2">
    <w:name w:val="heading 2"/>
    <w:basedOn w:val="Normal"/>
    <w:next w:val="Normal"/>
    <w:link w:val="Heading2Char"/>
    <w:uiPriority w:val="9"/>
    <w:unhideWhenUsed/>
    <w:qFormat/>
    <w:rsid w:val="00920EE2"/>
    <w:pPr>
      <w:keepNext/>
      <w:keepLines/>
      <w:spacing w:before="200" w:after="0"/>
      <w:outlineLvl w:val="1"/>
    </w:pPr>
    <w:rPr>
      <w:rFonts w:ascii="Calibri Light" w:eastAsia="SimSun" w:hAnsi="Calibri Light" w:cs="Times New Roman"/>
      <w:b/>
      <w:bCs/>
      <w:color w:val="000000"/>
      <w:sz w:val="26"/>
      <w:szCs w:val="26"/>
      <w:lang w:val="x-none" w:eastAsia="x-none"/>
    </w:rPr>
  </w:style>
  <w:style w:type="paragraph" w:styleId="Heading3">
    <w:name w:val="heading 3"/>
    <w:basedOn w:val="Normal"/>
    <w:next w:val="Normal"/>
    <w:link w:val="Heading3Char"/>
    <w:uiPriority w:val="9"/>
    <w:unhideWhenUsed/>
    <w:qFormat/>
    <w:rsid w:val="004D7DE7"/>
    <w:pPr>
      <w:keepNext/>
      <w:keepLines/>
      <w:spacing w:before="200" w:after="0"/>
      <w:outlineLvl w:val="2"/>
    </w:pPr>
    <w:rPr>
      <w:rFonts w:ascii="Calibri Light" w:eastAsia="SimSun" w:hAnsi="Calibri Light" w:cs="Times New Roman"/>
      <w:b/>
      <w:b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0EE2"/>
    <w:rPr>
      <w:rFonts w:ascii="Calibri Light" w:eastAsia="SimSun" w:hAnsi="Calibri Light" w:cs="Times New Roman"/>
      <w:b/>
      <w:bCs/>
      <w:color w:val="000000"/>
      <w:sz w:val="28"/>
      <w:szCs w:val="28"/>
    </w:rPr>
  </w:style>
  <w:style w:type="character" w:customStyle="1" w:styleId="Heading2Char">
    <w:name w:val="Heading 2 Char"/>
    <w:link w:val="Heading2"/>
    <w:uiPriority w:val="9"/>
    <w:rsid w:val="00920EE2"/>
    <w:rPr>
      <w:rFonts w:ascii="Calibri Light" w:eastAsia="SimSun" w:hAnsi="Calibri Light" w:cs="Times New Roman"/>
      <w:b/>
      <w:bCs/>
      <w:color w:val="000000"/>
      <w:sz w:val="26"/>
      <w:szCs w:val="26"/>
    </w:rPr>
  </w:style>
  <w:style w:type="character" w:styleId="CommentReference">
    <w:name w:val="annotation reference"/>
    <w:uiPriority w:val="99"/>
    <w:semiHidden/>
    <w:unhideWhenUsed/>
    <w:rsid w:val="000158E2"/>
    <w:rPr>
      <w:sz w:val="16"/>
      <w:szCs w:val="16"/>
    </w:rPr>
  </w:style>
  <w:style w:type="paragraph" w:styleId="CommentText">
    <w:name w:val="annotation text"/>
    <w:basedOn w:val="Normal"/>
    <w:link w:val="CommentTextChar"/>
    <w:uiPriority w:val="99"/>
    <w:semiHidden/>
    <w:unhideWhenUsed/>
    <w:rsid w:val="000158E2"/>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0158E2"/>
    <w:rPr>
      <w:sz w:val="20"/>
      <w:szCs w:val="20"/>
    </w:rPr>
  </w:style>
  <w:style w:type="paragraph" w:styleId="CommentSubject">
    <w:name w:val="annotation subject"/>
    <w:basedOn w:val="CommentText"/>
    <w:next w:val="CommentText"/>
    <w:link w:val="CommentSubjectChar"/>
    <w:uiPriority w:val="99"/>
    <w:semiHidden/>
    <w:unhideWhenUsed/>
    <w:rsid w:val="000158E2"/>
    <w:rPr>
      <w:b/>
      <w:bCs/>
    </w:rPr>
  </w:style>
  <w:style w:type="character" w:customStyle="1" w:styleId="CommentSubjectChar">
    <w:name w:val="Comment Subject Char"/>
    <w:link w:val="CommentSubject"/>
    <w:uiPriority w:val="99"/>
    <w:semiHidden/>
    <w:rsid w:val="000158E2"/>
    <w:rPr>
      <w:b/>
      <w:bCs/>
      <w:sz w:val="20"/>
      <w:szCs w:val="20"/>
    </w:rPr>
  </w:style>
  <w:style w:type="paragraph" w:styleId="BalloonText">
    <w:name w:val="Balloon Text"/>
    <w:basedOn w:val="Normal"/>
    <w:link w:val="BalloonTextChar"/>
    <w:uiPriority w:val="99"/>
    <w:semiHidden/>
    <w:unhideWhenUsed/>
    <w:rsid w:val="000158E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158E2"/>
    <w:rPr>
      <w:rFonts w:ascii="Tahoma" w:hAnsi="Tahoma" w:cs="Tahoma"/>
      <w:sz w:val="16"/>
      <w:szCs w:val="16"/>
    </w:rPr>
  </w:style>
  <w:style w:type="character" w:customStyle="1" w:styleId="Heading3Char">
    <w:name w:val="Heading 3 Char"/>
    <w:link w:val="Heading3"/>
    <w:uiPriority w:val="9"/>
    <w:rsid w:val="00ED4E21"/>
    <w:rPr>
      <w:rFonts w:ascii="Calibri Light" w:eastAsia="SimSun" w:hAnsi="Calibri Light" w:cs="Times New Roman"/>
      <w:b/>
      <w:bCs/>
      <w:color w:val="000000"/>
      <w:lang w:val="x-none" w:eastAsia="x-none"/>
    </w:rPr>
  </w:style>
  <w:style w:type="paragraph" w:styleId="ListParagraph">
    <w:name w:val="List Paragraph"/>
    <w:basedOn w:val="Normal"/>
    <w:uiPriority w:val="34"/>
    <w:qFormat/>
    <w:rsid w:val="0030713F"/>
    <w:pPr>
      <w:spacing w:after="200" w:line="276" w:lineRule="auto"/>
      <w:ind w:left="720"/>
      <w:contextualSpacing/>
    </w:pPr>
  </w:style>
  <w:style w:type="table" w:styleId="TableGrid">
    <w:name w:val="Table Grid"/>
    <w:basedOn w:val="TableNormal"/>
    <w:uiPriority w:val="59"/>
    <w:rsid w:val="00307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71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A4475"/>
    <w:pPr>
      <w:spacing w:after="0" w:line="240" w:lineRule="auto"/>
    </w:pPr>
    <w:rPr>
      <w:rFonts w:cs="Times New Roman"/>
      <w:sz w:val="20"/>
      <w:szCs w:val="20"/>
      <w:lang w:val="x-none" w:eastAsia="x-none"/>
    </w:rPr>
  </w:style>
  <w:style w:type="character" w:customStyle="1" w:styleId="FootnoteTextChar">
    <w:name w:val="Footnote Text Char"/>
    <w:link w:val="FootnoteText"/>
    <w:uiPriority w:val="99"/>
    <w:semiHidden/>
    <w:rsid w:val="002A4475"/>
    <w:rPr>
      <w:sz w:val="20"/>
      <w:szCs w:val="20"/>
    </w:rPr>
  </w:style>
  <w:style w:type="character" w:styleId="FootnoteReference">
    <w:name w:val="footnote reference"/>
    <w:uiPriority w:val="99"/>
    <w:semiHidden/>
    <w:unhideWhenUsed/>
    <w:rsid w:val="002A4475"/>
    <w:rPr>
      <w:vertAlign w:val="superscript"/>
    </w:rPr>
  </w:style>
  <w:style w:type="paragraph" w:styleId="Caption">
    <w:name w:val="caption"/>
    <w:basedOn w:val="Normal"/>
    <w:next w:val="Normal"/>
    <w:uiPriority w:val="35"/>
    <w:unhideWhenUsed/>
    <w:qFormat/>
    <w:rsid w:val="00535E4B"/>
    <w:pPr>
      <w:spacing w:after="200" w:line="240" w:lineRule="auto"/>
    </w:pPr>
    <w:rPr>
      <w:b/>
      <w:bCs/>
      <w:color w:val="000000"/>
      <w:sz w:val="18"/>
      <w:szCs w:val="18"/>
    </w:rPr>
  </w:style>
  <w:style w:type="paragraph" w:customStyle="1" w:styleId="Default">
    <w:name w:val="Default"/>
    <w:rsid w:val="00CD6B0E"/>
    <w:pPr>
      <w:widowControl w:val="0"/>
      <w:autoSpaceDE w:val="0"/>
      <w:autoSpaceDN w:val="0"/>
      <w:adjustRightInd w:val="0"/>
    </w:pPr>
    <w:rPr>
      <w:rFonts w:ascii="BWCYD Q+ Times" w:eastAsia="Times New Roman" w:hAnsi="BWCYD Q+ Times" w:cs="BWCYD Q+ Times"/>
      <w:color w:val="000000"/>
      <w:sz w:val="24"/>
      <w:szCs w:val="24"/>
    </w:rPr>
  </w:style>
  <w:style w:type="paragraph" w:customStyle="1" w:styleId="CM4">
    <w:name w:val="CM4"/>
    <w:basedOn w:val="Default"/>
    <w:next w:val="Default"/>
    <w:rsid w:val="00CD6B0E"/>
    <w:pPr>
      <w:spacing w:after="285"/>
    </w:pPr>
    <w:rPr>
      <w:color w:val="auto"/>
    </w:rPr>
  </w:style>
  <w:style w:type="character" w:styleId="Hyperlink">
    <w:name w:val="Hyperlink"/>
    <w:rsid w:val="00CD6B0E"/>
    <w:rPr>
      <w:color w:val="0000FF"/>
      <w:u w:val="single"/>
    </w:rPr>
  </w:style>
  <w:style w:type="paragraph" w:styleId="Header">
    <w:name w:val="header"/>
    <w:basedOn w:val="Normal"/>
    <w:link w:val="HeaderChar"/>
    <w:uiPriority w:val="99"/>
    <w:unhideWhenUsed/>
    <w:rsid w:val="004D7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DE7"/>
    <w:rPr>
      <w:sz w:val="22"/>
      <w:szCs w:val="22"/>
      <w:lang w:eastAsia="en-US"/>
    </w:rPr>
  </w:style>
  <w:style w:type="paragraph" w:styleId="Footer">
    <w:name w:val="footer"/>
    <w:basedOn w:val="Normal"/>
    <w:link w:val="FooterChar"/>
    <w:uiPriority w:val="99"/>
    <w:unhideWhenUsed/>
    <w:rsid w:val="004D7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D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6BEC-B842-44C2-AA68-BD56722B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1E4A3FD4.dotm</Template>
  <TotalTime>1</TotalTime>
  <Pages>21</Pages>
  <Words>23800</Words>
  <Characters>135663</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Lomas</dc:creator>
  <cp:lastModifiedBy>James Lomas</cp:lastModifiedBy>
  <cp:revision>2</cp:revision>
  <cp:lastPrinted>2017-08-25T15:41:00Z</cp:lastPrinted>
  <dcterms:created xsi:type="dcterms:W3CDTF">2018-01-26T09:37:00Z</dcterms:created>
  <dcterms:modified xsi:type="dcterms:W3CDTF">2018-01-26T09:37:00Z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583143d4-a619-329f-846e-d7d99637fe1a</vt:lpwstr>
  </property>
  <property fmtid="{D5CDD505-2E9C-101B-9397-08002B2CF9AE}" pid="24" name="Mendeley Citation Style_1">
    <vt:lpwstr>http://www.zotero.org/styles/vancouver</vt:lpwstr>
  </property>
</Properties>
</file>