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E97" w:rsidRDefault="00793E97" w:rsidP="00EE672C">
      <w:pPr>
        <w:spacing w:after="0" w:line="480" w:lineRule="auto"/>
        <w:rPr>
          <w:rFonts w:ascii="Arial" w:eastAsia="Arial" w:hAnsi="Arial" w:cs="Arial"/>
          <w:b/>
          <w:bCs/>
          <w:sz w:val="20"/>
          <w:szCs w:val="20"/>
        </w:rPr>
      </w:pPr>
      <w:r>
        <w:rPr>
          <w:rFonts w:ascii="Arial" w:eastAsia="Arial" w:hAnsi="Arial" w:cs="Arial"/>
          <w:b/>
          <w:bCs/>
          <w:sz w:val="20"/>
          <w:szCs w:val="20"/>
        </w:rPr>
        <w:t xml:space="preserve">Title: </w:t>
      </w:r>
    </w:p>
    <w:p w:rsidR="00257797" w:rsidRDefault="00793E97" w:rsidP="00EE672C">
      <w:pPr>
        <w:spacing w:after="0" w:line="480" w:lineRule="auto"/>
        <w:rPr>
          <w:rFonts w:ascii="Arial" w:eastAsia="Arial" w:hAnsi="Arial" w:cs="Arial"/>
          <w:b/>
          <w:bCs/>
          <w:sz w:val="20"/>
          <w:szCs w:val="20"/>
        </w:rPr>
      </w:pPr>
      <w:r w:rsidRPr="00153ECD">
        <w:rPr>
          <w:rFonts w:ascii="Arial" w:eastAsia="Arial" w:hAnsi="Arial" w:cs="Arial"/>
          <w:sz w:val="20"/>
          <w:szCs w:val="20"/>
        </w:rPr>
        <w:t xml:space="preserve">Unlicensed medicines use: A </w:t>
      </w:r>
      <w:r>
        <w:rPr>
          <w:rFonts w:ascii="Arial" w:eastAsia="Arial" w:hAnsi="Arial" w:cs="Arial"/>
          <w:sz w:val="20"/>
          <w:szCs w:val="20"/>
        </w:rPr>
        <w:t xml:space="preserve">UK </w:t>
      </w:r>
      <w:r w:rsidRPr="00153ECD">
        <w:rPr>
          <w:rFonts w:ascii="Arial" w:eastAsia="Arial" w:hAnsi="Arial" w:cs="Arial"/>
          <w:sz w:val="20"/>
          <w:szCs w:val="20"/>
        </w:rPr>
        <w:t>guideline analysis</w:t>
      </w:r>
      <w:r>
        <w:rPr>
          <w:rFonts w:ascii="Arial" w:eastAsia="Arial" w:hAnsi="Arial" w:cs="Arial"/>
          <w:sz w:val="20"/>
          <w:szCs w:val="20"/>
        </w:rPr>
        <w:t xml:space="preserve"> using AGREE II</w:t>
      </w:r>
    </w:p>
    <w:p w:rsidR="00257797" w:rsidRDefault="00257797" w:rsidP="00EE672C">
      <w:pPr>
        <w:spacing w:after="0" w:line="480" w:lineRule="auto"/>
        <w:rPr>
          <w:rFonts w:ascii="Arial" w:eastAsia="Arial" w:hAnsi="Arial" w:cs="Arial"/>
          <w:b/>
          <w:bCs/>
          <w:sz w:val="20"/>
          <w:szCs w:val="20"/>
        </w:rPr>
      </w:pPr>
    </w:p>
    <w:p w:rsidR="00035DF3" w:rsidRPr="00153ECD" w:rsidRDefault="00035DF3" w:rsidP="00EE672C">
      <w:pPr>
        <w:spacing w:after="0" w:line="480" w:lineRule="auto"/>
        <w:rPr>
          <w:rFonts w:ascii="Arial" w:eastAsia="Times New Roman" w:hAnsi="Arial" w:cs="Arial"/>
          <w:b/>
          <w:sz w:val="20"/>
          <w:szCs w:val="20"/>
        </w:rPr>
      </w:pPr>
      <w:r w:rsidRPr="00153ECD">
        <w:rPr>
          <w:rFonts w:ascii="Arial" w:eastAsia="Arial" w:hAnsi="Arial" w:cs="Arial"/>
          <w:b/>
          <w:bCs/>
          <w:sz w:val="20"/>
          <w:szCs w:val="20"/>
        </w:rPr>
        <w:t>Introduction</w:t>
      </w:r>
    </w:p>
    <w:p w:rsidR="00035DF3" w:rsidRPr="00153ECD" w:rsidRDefault="00035DF3" w:rsidP="00EE672C">
      <w:pPr>
        <w:spacing w:after="0" w:line="480" w:lineRule="auto"/>
        <w:rPr>
          <w:rFonts w:ascii="Arial" w:eastAsia="Times New Roman" w:hAnsi="Arial" w:cs="Arial"/>
          <w:b/>
          <w:sz w:val="20"/>
          <w:szCs w:val="20"/>
        </w:rPr>
      </w:pPr>
    </w:p>
    <w:p w:rsidR="007C6572" w:rsidRPr="00F966EA" w:rsidRDefault="00A102D5" w:rsidP="00F966EA">
      <w:pPr>
        <w:spacing w:after="0" w:line="480" w:lineRule="auto"/>
        <w:rPr>
          <w:rFonts w:ascii="Arial" w:eastAsia="Arial" w:hAnsi="Arial" w:cs="Arial"/>
        </w:rPr>
      </w:pPr>
      <w:r w:rsidRPr="00153ECD">
        <w:rPr>
          <w:rFonts w:ascii="Arial" w:eastAsia="Arial" w:hAnsi="Arial" w:cs="Arial"/>
          <w:sz w:val="20"/>
          <w:szCs w:val="20"/>
        </w:rPr>
        <w:t>An unlicensed medicine (ULM) is a medicina</w:t>
      </w:r>
      <w:r w:rsidR="00BB424E">
        <w:rPr>
          <w:rFonts w:ascii="Arial" w:eastAsia="Arial" w:hAnsi="Arial" w:cs="Arial"/>
          <w:sz w:val="20"/>
          <w:szCs w:val="20"/>
        </w:rPr>
        <w:t xml:space="preserve">l product which has not been approved by </w:t>
      </w:r>
      <w:r w:rsidR="0041775F">
        <w:rPr>
          <w:rFonts w:ascii="Arial" w:eastAsia="Arial" w:hAnsi="Arial" w:cs="Arial"/>
          <w:sz w:val="20"/>
          <w:szCs w:val="20"/>
        </w:rPr>
        <w:t>a</w:t>
      </w:r>
      <w:r w:rsidR="00F2680E">
        <w:rPr>
          <w:rFonts w:ascii="Arial" w:eastAsia="Arial" w:hAnsi="Arial" w:cs="Arial"/>
          <w:sz w:val="20"/>
          <w:szCs w:val="20"/>
        </w:rPr>
        <w:t xml:space="preserve"> </w:t>
      </w:r>
      <w:r w:rsidR="003024E3">
        <w:rPr>
          <w:rFonts w:ascii="Arial" w:eastAsia="Arial" w:hAnsi="Arial" w:cs="Arial"/>
          <w:sz w:val="20"/>
          <w:szCs w:val="20"/>
        </w:rPr>
        <w:t>relevant regulatory</w:t>
      </w:r>
      <w:r w:rsidR="00F2680E">
        <w:rPr>
          <w:rFonts w:ascii="Arial" w:eastAsia="Arial" w:hAnsi="Arial" w:cs="Arial"/>
          <w:sz w:val="20"/>
          <w:szCs w:val="20"/>
        </w:rPr>
        <w:t xml:space="preserve"> body</w:t>
      </w:r>
      <w:r w:rsidR="001E14F3">
        <w:rPr>
          <w:rFonts w:ascii="Arial" w:eastAsia="Arial" w:hAnsi="Arial" w:cs="Arial"/>
          <w:sz w:val="20"/>
          <w:szCs w:val="20"/>
        </w:rPr>
        <w:t xml:space="preserve"> such as</w:t>
      </w:r>
      <w:r w:rsidR="001E14F3" w:rsidRPr="001E14F3">
        <w:rPr>
          <w:rFonts w:ascii="Arial" w:eastAsia="Arial" w:hAnsi="Arial" w:cs="Arial"/>
          <w:sz w:val="20"/>
          <w:szCs w:val="20"/>
        </w:rPr>
        <w:t xml:space="preserve"> the Medicines and Healthcare Produ</w:t>
      </w:r>
      <w:r w:rsidR="0041775F">
        <w:rPr>
          <w:rFonts w:ascii="Arial" w:eastAsia="Arial" w:hAnsi="Arial" w:cs="Arial"/>
          <w:sz w:val="20"/>
          <w:szCs w:val="20"/>
        </w:rPr>
        <w:t>cts Regulatory Agency (MHRA) in</w:t>
      </w:r>
      <w:r w:rsidR="001E14F3" w:rsidRPr="001E14F3">
        <w:rPr>
          <w:rFonts w:ascii="Arial" w:eastAsia="Arial" w:hAnsi="Arial" w:cs="Arial"/>
          <w:sz w:val="20"/>
          <w:szCs w:val="20"/>
        </w:rPr>
        <w:t xml:space="preserve"> the UK</w:t>
      </w:r>
      <w:r w:rsidR="001E14F3">
        <w:rPr>
          <w:rFonts w:ascii="Arial" w:eastAsia="Arial" w:hAnsi="Arial" w:cs="Arial"/>
          <w:sz w:val="20"/>
          <w:szCs w:val="20"/>
        </w:rPr>
        <w:t>. T</w:t>
      </w:r>
      <w:r w:rsidR="007C6572" w:rsidRPr="00F966EA">
        <w:rPr>
          <w:rFonts w:ascii="Arial" w:eastAsia="Arial" w:hAnsi="Arial" w:cs="Arial"/>
          <w:sz w:val="20"/>
          <w:szCs w:val="20"/>
        </w:rPr>
        <w:t>he term ‘unlicensed medicine’ incorporates a number of different categories of product which</w:t>
      </w:r>
      <w:r w:rsidR="001E14F3">
        <w:rPr>
          <w:rFonts w:ascii="Arial" w:eastAsia="Arial" w:hAnsi="Arial" w:cs="Arial"/>
          <w:sz w:val="20"/>
          <w:szCs w:val="20"/>
        </w:rPr>
        <w:t xml:space="preserve"> within the UK</w:t>
      </w:r>
      <w:r w:rsidR="00F966EA" w:rsidRPr="00003CE1">
        <w:rPr>
          <w:rFonts w:ascii="Arial" w:eastAsia="Arial" w:hAnsi="Arial" w:cs="Arial"/>
          <w:sz w:val="20"/>
          <w:szCs w:val="20"/>
        </w:rPr>
        <w:t xml:space="preserve"> includes</w:t>
      </w:r>
      <w:r w:rsidR="00F966EA" w:rsidRPr="00FC547F">
        <w:rPr>
          <w:rFonts w:ascii="Arial" w:eastAsia="Arial" w:hAnsi="Arial" w:cs="Arial"/>
          <w:sz w:val="20"/>
          <w:szCs w:val="20"/>
        </w:rPr>
        <w:t xml:space="preserve"> m</w:t>
      </w:r>
      <w:r w:rsidR="007C6572" w:rsidRPr="00F966EA">
        <w:rPr>
          <w:rFonts w:ascii="Arial" w:eastAsia="Arial" w:hAnsi="Arial" w:cs="Arial"/>
          <w:sz w:val="20"/>
          <w:szCs w:val="20"/>
        </w:rPr>
        <w:t xml:space="preserve">edicines manufactured in an MHRA licensed facility, </w:t>
      </w:r>
      <w:r w:rsidR="00F966EA" w:rsidRPr="00F966EA">
        <w:rPr>
          <w:rFonts w:ascii="Arial" w:eastAsia="Arial" w:hAnsi="Arial" w:cs="Arial"/>
          <w:sz w:val="20"/>
          <w:szCs w:val="20"/>
        </w:rPr>
        <w:t>m</w:t>
      </w:r>
      <w:r w:rsidR="007C6572" w:rsidRPr="00F966EA">
        <w:rPr>
          <w:rFonts w:ascii="Arial" w:eastAsia="Arial" w:hAnsi="Arial" w:cs="Arial"/>
          <w:sz w:val="20"/>
          <w:szCs w:val="20"/>
        </w:rPr>
        <w:t xml:space="preserve">edicines manufactured on a pharmacy premises under the supervision of </w:t>
      </w:r>
      <w:r w:rsidR="001500EE">
        <w:rPr>
          <w:rFonts w:ascii="Arial" w:eastAsia="Arial" w:hAnsi="Arial" w:cs="Arial"/>
          <w:sz w:val="20"/>
          <w:szCs w:val="20"/>
        </w:rPr>
        <w:t xml:space="preserve"> a </w:t>
      </w:r>
      <w:r w:rsidR="007C6572" w:rsidRPr="00F966EA">
        <w:rPr>
          <w:rFonts w:ascii="Arial" w:eastAsia="Arial" w:hAnsi="Arial" w:cs="Arial"/>
          <w:sz w:val="20"/>
          <w:szCs w:val="20"/>
        </w:rPr>
        <w:t>pharmacist</w:t>
      </w:r>
      <w:r w:rsidR="00F966EA" w:rsidRPr="00F966EA">
        <w:rPr>
          <w:rFonts w:ascii="Arial" w:eastAsia="Arial" w:hAnsi="Arial" w:cs="Arial"/>
          <w:sz w:val="20"/>
          <w:szCs w:val="20"/>
        </w:rPr>
        <w:t xml:space="preserve"> and m</w:t>
      </w:r>
      <w:r w:rsidR="007C6572" w:rsidRPr="00F966EA">
        <w:rPr>
          <w:rFonts w:ascii="Arial" w:eastAsia="Arial" w:hAnsi="Arial" w:cs="Arial"/>
          <w:sz w:val="20"/>
          <w:szCs w:val="20"/>
        </w:rPr>
        <w:t>edicine</w:t>
      </w:r>
      <w:r w:rsidR="00F966EA" w:rsidRPr="00F966EA">
        <w:rPr>
          <w:rFonts w:ascii="Arial" w:eastAsia="Arial" w:hAnsi="Arial" w:cs="Arial"/>
          <w:sz w:val="20"/>
          <w:szCs w:val="20"/>
        </w:rPr>
        <w:t>s</w:t>
      </w:r>
      <w:r w:rsidR="007C6572" w:rsidRPr="00F966EA">
        <w:rPr>
          <w:rFonts w:ascii="Arial" w:eastAsia="Arial" w:hAnsi="Arial" w:cs="Arial"/>
          <w:sz w:val="20"/>
          <w:szCs w:val="20"/>
        </w:rPr>
        <w:t xml:space="preserve"> imported </w:t>
      </w:r>
      <w:r w:rsidR="00266072">
        <w:rPr>
          <w:rFonts w:ascii="Arial" w:eastAsia="Arial" w:hAnsi="Arial" w:cs="Arial"/>
          <w:sz w:val="20"/>
          <w:szCs w:val="20"/>
        </w:rPr>
        <w:t xml:space="preserve">from abroad </w:t>
      </w:r>
      <w:r w:rsidR="007C6572" w:rsidRPr="00F966EA">
        <w:rPr>
          <w:rFonts w:ascii="Arial" w:eastAsia="Arial" w:hAnsi="Arial" w:cs="Arial"/>
          <w:sz w:val="20"/>
          <w:szCs w:val="20"/>
        </w:rPr>
        <w:t>without adoption of the</w:t>
      </w:r>
      <w:r w:rsidR="0041775F">
        <w:rPr>
          <w:rFonts w:ascii="Arial" w:eastAsia="Arial" w:hAnsi="Arial" w:cs="Arial"/>
          <w:sz w:val="20"/>
          <w:szCs w:val="20"/>
        </w:rPr>
        <w:t>ir native</w:t>
      </w:r>
      <w:r w:rsidR="007C6572" w:rsidRPr="00F966EA">
        <w:rPr>
          <w:rFonts w:ascii="Arial" w:eastAsia="Arial" w:hAnsi="Arial" w:cs="Arial"/>
          <w:sz w:val="20"/>
          <w:szCs w:val="20"/>
        </w:rPr>
        <w:t xml:space="preserve"> medicinal license by the MHRA</w:t>
      </w:r>
      <w:r w:rsidR="00F966EA" w:rsidRPr="00F966EA">
        <w:rPr>
          <w:rFonts w:ascii="Arial" w:eastAsia="Arial" w:hAnsi="Arial" w:cs="Arial"/>
          <w:sz w:val="20"/>
          <w:szCs w:val="20"/>
        </w:rPr>
        <w:t xml:space="preserve">. </w:t>
      </w:r>
      <w:r w:rsidR="00092587">
        <w:rPr>
          <w:rFonts w:ascii="Arial" w:eastAsia="Arial" w:hAnsi="Arial" w:cs="Arial"/>
          <w:sz w:val="20"/>
          <w:szCs w:val="20"/>
        </w:rPr>
        <w:t>Within each of these categories</w:t>
      </w:r>
      <w:r w:rsidR="0041775F">
        <w:rPr>
          <w:rFonts w:ascii="Arial" w:eastAsia="Arial" w:hAnsi="Arial" w:cs="Arial"/>
          <w:sz w:val="20"/>
          <w:szCs w:val="20"/>
        </w:rPr>
        <w:t>,</w:t>
      </w:r>
      <w:r w:rsidR="00092587">
        <w:rPr>
          <w:rFonts w:ascii="Arial" w:eastAsia="Arial" w:hAnsi="Arial" w:cs="Arial"/>
          <w:sz w:val="20"/>
          <w:szCs w:val="20"/>
        </w:rPr>
        <w:t xml:space="preserve"> there is a varying range of safety and quality checks </w:t>
      </w:r>
      <w:r w:rsidR="0041775F">
        <w:rPr>
          <w:rFonts w:ascii="Arial" w:eastAsia="Arial" w:hAnsi="Arial" w:cs="Arial"/>
          <w:sz w:val="20"/>
          <w:szCs w:val="20"/>
        </w:rPr>
        <w:t xml:space="preserve">which are </w:t>
      </w:r>
      <w:r w:rsidR="00092587">
        <w:rPr>
          <w:rFonts w:ascii="Arial" w:eastAsia="Arial" w:hAnsi="Arial" w:cs="Arial"/>
          <w:sz w:val="20"/>
          <w:szCs w:val="20"/>
        </w:rPr>
        <w:t xml:space="preserve">made prior to supply of </w:t>
      </w:r>
      <w:r w:rsidR="0041775F">
        <w:rPr>
          <w:rFonts w:ascii="Arial" w:eastAsia="Arial" w:hAnsi="Arial" w:cs="Arial"/>
          <w:sz w:val="20"/>
          <w:szCs w:val="20"/>
        </w:rPr>
        <w:t>the product</w:t>
      </w:r>
      <w:r w:rsidR="00092587">
        <w:rPr>
          <w:rFonts w:ascii="Arial" w:eastAsia="Arial" w:hAnsi="Arial" w:cs="Arial"/>
          <w:sz w:val="20"/>
          <w:szCs w:val="20"/>
        </w:rPr>
        <w:t>.</w:t>
      </w:r>
      <w:r w:rsidR="00266072" w:rsidRPr="00266072">
        <w:rPr>
          <w:rFonts w:ascii="Arial" w:eastAsia="Arial" w:hAnsi="Arial" w:cs="Arial"/>
          <w:sz w:val="20"/>
          <w:szCs w:val="20"/>
        </w:rPr>
        <w:t xml:space="preserve"> </w:t>
      </w:r>
      <w:r w:rsidR="00266072">
        <w:rPr>
          <w:rFonts w:ascii="Arial" w:eastAsia="Arial" w:hAnsi="Arial" w:cs="Arial"/>
          <w:sz w:val="20"/>
          <w:szCs w:val="20"/>
        </w:rPr>
        <w:t xml:space="preserve">As with other medicines regulators, the legislation within the UK allows the use of unlicensed medicines for circumstances </w:t>
      </w:r>
      <w:r w:rsidR="00266072" w:rsidRPr="00153ECD">
        <w:rPr>
          <w:rFonts w:ascii="Arial" w:eastAsia="Arial" w:hAnsi="Arial" w:cs="Arial"/>
          <w:sz w:val="20"/>
          <w:szCs w:val="20"/>
        </w:rPr>
        <w:t>when existing licensed products are unavailable, unsuitable, or are no longer able to meet the clinical needs of the patient.</w:t>
      </w:r>
      <w:r w:rsidR="00266072">
        <w:rPr>
          <w:rFonts w:ascii="Arial" w:eastAsia="Arial" w:hAnsi="Arial" w:cs="Arial"/>
          <w:sz w:val="20"/>
          <w:szCs w:val="20"/>
        </w:rPr>
        <w:t xml:space="preserve"> However, as there is no pharmaceutical license holder </w:t>
      </w:r>
      <w:r w:rsidR="0041775F">
        <w:rPr>
          <w:rFonts w:ascii="Arial" w:eastAsia="Arial" w:hAnsi="Arial" w:cs="Arial"/>
          <w:sz w:val="20"/>
          <w:szCs w:val="20"/>
        </w:rPr>
        <w:t>f</w:t>
      </w:r>
      <w:r w:rsidR="00266072">
        <w:rPr>
          <w:rFonts w:ascii="Arial" w:eastAsia="Arial" w:hAnsi="Arial" w:cs="Arial"/>
          <w:sz w:val="20"/>
          <w:szCs w:val="20"/>
        </w:rPr>
        <w:t>or an unlicensed medicine, the legal liability for their use rests between the prescriber and the dispensing pharmacist. Whilst some manufacturers will take some responsibility for the quality of the product, any adverse reaction</w:t>
      </w:r>
      <w:r w:rsidR="0041775F">
        <w:rPr>
          <w:rFonts w:ascii="Arial" w:eastAsia="Arial" w:hAnsi="Arial" w:cs="Arial"/>
          <w:sz w:val="20"/>
          <w:szCs w:val="20"/>
        </w:rPr>
        <w:t>s</w:t>
      </w:r>
      <w:r w:rsidR="00266072">
        <w:rPr>
          <w:rFonts w:ascii="Arial" w:eastAsia="Arial" w:hAnsi="Arial" w:cs="Arial"/>
          <w:sz w:val="20"/>
          <w:szCs w:val="20"/>
        </w:rPr>
        <w:t xml:space="preserve"> relating to the medicine would be accountable to the prescriber who initiated the medicine and the pharmacist who dispensed it.</w:t>
      </w:r>
      <w:r w:rsidR="00092587">
        <w:rPr>
          <w:rFonts w:ascii="Arial" w:eastAsia="Arial" w:hAnsi="Arial" w:cs="Arial"/>
          <w:sz w:val="20"/>
          <w:szCs w:val="20"/>
        </w:rPr>
        <w:t xml:space="preserve"> </w:t>
      </w:r>
    </w:p>
    <w:p w:rsidR="007C6572" w:rsidRDefault="007C6572" w:rsidP="00EE672C">
      <w:pPr>
        <w:spacing w:after="0" w:line="480" w:lineRule="auto"/>
        <w:rPr>
          <w:rFonts w:ascii="Arial" w:eastAsia="Arial" w:hAnsi="Arial" w:cs="Arial"/>
          <w:sz w:val="20"/>
          <w:szCs w:val="20"/>
        </w:rPr>
      </w:pPr>
    </w:p>
    <w:p w:rsidR="00092587" w:rsidRDefault="003024E3" w:rsidP="003024E3">
      <w:pPr>
        <w:spacing w:after="0" w:line="480" w:lineRule="auto"/>
        <w:rPr>
          <w:rFonts w:ascii="Arial" w:eastAsia="Arial" w:hAnsi="Arial" w:cs="Arial"/>
          <w:sz w:val="20"/>
          <w:szCs w:val="20"/>
        </w:rPr>
      </w:pPr>
      <w:r>
        <w:rPr>
          <w:rFonts w:ascii="Arial" w:eastAsia="Arial" w:hAnsi="Arial" w:cs="Arial"/>
          <w:sz w:val="20"/>
          <w:szCs w:val="20"/>
        </w:rPr>
        <w:t xml:space="preserve">In the UK, an industry has been created around the manufacture of </w:t>
      </w:r>
      <w:r w:rsidR="001E14F3">
        <w:rPr>
          <w:rFonts w:ascii="Arial" w:eastAsia="Arial" w:hAnsi="Arial" w:cs="Arial"/>
          <w:sz w:val="20"/>
          <w:szCs w:val="20"/>
        </w:rPr>
        <w:t>unlicensed</w:t>
      </w:r>
      <w:r>
        <w:rPr>
          <w:rFonts w:ascii="Arial" w:eastAsia="Arial" w:hAnsi="Arial" w:cs="Arial"/>
          <w:sz w:val="20"/>
          <w:szCs w:val="20"/>
        </w:rPr>
        <w:t xml:space="preserve"> medicines</w:t>
      </w:r>
      <w:r w:rsidR="004C3C88">
        <w:rPr>
          <w:rFonts w:ascii="Arial" w:eastAsia="Arial" w:hAnsi="Arial" w:cs="Arial"/>
          <w:sz w:val="20"/>
          <w:szCs w:val="20"/>
        </w:rPr>
        <w:fldChar w:fldCharType="begin" w:fldLock="1"/>
      </w:r>
      <w:r>
        <w:rPr>
          <w:rFonts w:ascii="Arial" w:eastAsia="Arial" w:hAnsi="Arial" w:cs="Arial"/>
          <w:sz w:val="20"/>
          <w:szCs w:val="20"/>
        </w:rPr>
        <w:instrText>ADDIN CSL_CITATION { "citationID" : "23pc3scllk", "citationItems" : [ { "id" : "ITEM-1", "itemData" : { "URL" : "http://www.apsm-uk.com/specials-industry.php", "author" : [ { "dropping-particle" : "", "family" : "Association of Pharmaceutical Specials Manufacturers", "given" : "", "non-dropping-particle" : "", "parse-names" : false, "suffix" : "" } ], "id" : "ITEM-1", "issued" : { "date-parts" : [ [ "2017", "5", "6" ] ] }, "title" : "The Specials Industry", "type" : "webpage" }, "uris" : [ "http://www.mendeley.com/documents/?uuid=b8ce9ce5-afc5-4a20-bfba-160fd6d11cc2" ] } ], "mendeley" : { "formattedCitation" : "[1]", "plainTextFormattedCitation" : "[1]", "previouslyFormattedCitation" : "[1]" }, "properties" : { "formattedCitation" : "[1]", "noteIndex" : 0, "plainCitation" : "[1]" }, "schema" : "https://github.com/citation-style-language/schema/raw/master/csl-citation.json" }</w:instrText>
      </w:r>
      <w:r w:rsidR="004C3C88">
        <w:rPr>
          <w:rFonts w:ascii="Arial" w:eastAsia="Arial" w:hAnsi="Arial" w:cs="Arial"/>
          <w:sz w:val="20"/>
          <w:szCs w:val="20"/>
        </w:rPr>
        <w:fldChar w:fldCharType="separate"/>
      </w:r>
      <w:r w:rsidRPr="00D826F4">
        <w:rPr>
          <w:rFonts w:ascii="Arial" w:hAnsi="Arial" w:cs="Arial"/>
          <w:noProof/>
          <w:sz w:val="20"/>
        </w:rPr>
        <w:t>[1]</w:t>
      </w:r>
      <w:r w:rsidR="004C3C88">
        <w:rPr>
          <w:rFonts w:ascii="Arial" w:eastAsia="Arial" w:hAnsi="Arial" w:cs="Arial"/>
          <w:sz w:val="20"/>
          <w:szCs w:val="20"/>
        </w:rPr>
        <w:fldChar w:fldCharType="end"/>
      </w:r>
      <w:r>
        <w:rPr>
          <w:rFonts w:ascii="Arial" w:eastAsia="Arial" w:hAnsi="Arial" w:cs="Arial"/>
          <w:sz w:val="20"/>
          <w:szCs w:val="20"/>
        </w:rPr>
        <w:t xml:space="preserve"> and there is also widespread manufacture within</w:t>
      </w:r>
      <w:r w:rsidR="0041775F">
        <w:rPr>
          <w:rFonts w:ascii="Arial" w:eastAsia="Arial" w:hAnsi="Arial" w:cs="Arial"/>
          <w:sz w:val="20"/>
          <w:szCs w:val="20"/>
        </w:rPr>
        <w:t xml:space="preserve"> the</w:t>
      </w:r>
      <w:r>
        <w:rPr>
          <w:rFonts w:ascii="Arial" w:eastAsia="Arial" w:hAnsi="Arial" w:cs="Arial"/>
          <w:sz w:val="20"/>
          <w:szCs w:val="20"/>
        </w:rPr>
        <w:t xml:space="preserve"> National Health Service (NHS) </w:t>
      </w:r>
      <w:r w:rsidR="0041775F">
        <w:rPr>
          <w:rFonts w:ascii="Arial" w:eastAsia="Arial" w:hAnsi="Arial" w:cs="Arial"/>
          <w:sz w:val="20"/>
          <w:szCs w:val="20"/>
        </w:rPr>
        <w:t xml:space="preserve">in </w:t>
      </w:r>
      <w:r>
        <w:rPr>
          <w:rFonts w:ascii="Arial" w:eastAsia="Arial" w:hAnsi="Arial" w:cs="Arial"/>
          <w:sz w:val="20"/>
          <w:szCs w:val="20"/>
        </w:rPr>
        <w:t>hospital manufacturing laboratories</w:t>
      </w:r>
      <w:r w:rsidR="004C3C88">
        <w:rPr>
          <w:rFonts w:ascii="Arial" w:eastAsia="Arial" w:hAnsi="Arial" w:cs="Arial"/>
          <w:sz w:val="20"/>
          <w:szCs w:val="20"/>
        </w:rPr>
        <w:fldChar w:fldCharType="begin" w:fldLock="1"/>
      </w:r>
      <w:r>
        <w:rPr>
          <w:rFonts w:ascii="Arial" w:eastAsia="Arial" w:hAnsi="Arial" w:cs="Arial"/>
          <w:sz w:val="20"/>
          <w:szCs w:val="20"/>
        </w:rPr>
        <w:instrText>ADDIN CSL_CITATION { "citationID" : "1rk642pq3q", "citationItems" : [ { "id" : "ITEM-1", "itemData" : { "URL" : "https://www.evidence.nhs.uk/formulary/bnf/current/special-order-manufacturers", "author" : [ { "dropping-particle" : "", "family" : "British Medical Association", "given" : "", "non-dropping-particle" : "", "parse-names" : false, "suffix" : "" }, { "dropping-particle" : "", "family" : "Royal Pharmaceutical Society", "given" : "", "non-dropping-particle" : "", "parse-names" : false, "suffix" : "" } ], "id" : "ITEM-1", "issued" : { "date-parts" : [ [ "2014", "5", "6" ] ] }, "title" : "Special-order Manufacturers", "type" : "webpage" }, "uris" : [ "http://www.mendeley.com/documents/?uuid=9f0a6296-817f-4000-b187-4b1abfebd2fb" ] } ], "mendeley" : { "formattedCitation" : "[2]", "plainTextFormattedCitation" : "[2]", "previouslyFormattedCitation" : "[2]" }, "properties" : { "formattedCitation" : "[2]", "noteIndex" : 0, "plainCitation" : "[2]" }, "schema" : "https://github.com/citation-style-language/schema/raw/master/csl-citation.json" }</w:instrText>
      </w:r>
      <w:r w:rsidR="004C3C88">
        <w:rPr>
          <w:rFonts w:ascii="Arial" w:eastAsia="Arial" w:hAnsi="Arial" w:cs="Arial"/>
          <w:sz w:val="20"/>
          <w:szCs w:val="20"/>
        </w:rPr>
        <w:fldChar w:fldCharType="separate"/>
      </w:r>
      <w:r w:rsidRPr="00D826F4">
        <w:rPr>
          <w:rFonts w:ascii="Arial" w:hAnsi="Arial" w:cs="Arial"/>
          <w:noProof/>
          <w:sz w:val="20"/>
        </w:rPr>
        <w:t>[2]</w:t>
      </w:r>
      <w:r w:rsidR="004C3C88">
        <w:rPr>
          <w:rFonts w:ascii="Arial" w:eastAsia="Arial" w:hAnsi="Arial" w:cs="Arial"/>
          <w:sz w:val="20"/>
          <w:szCs w:val="20"/>
        </w:rPr>
        <w:fldChar w:fldCharType="end"/>
      </w:r>
      <w:r>
        <w:rPr>
          <w:rFonts w:ascii="Arial" w:eastAsia="Arial" w:hAnsi="Arial" w:cs="Arial"/>
          <w:sz w:val="20"/>
          <w:szCs w:val="20"/>
        </w:rPr>
        <w:t>. Prescribing data from primary care within the NHS reveals that t</w:t>
      </w:r>
      <w:r w:rsidRPr="00153ECD">
        <w:rPr>
          <w:rFonts w:ascii="Arial" w:eastAsia="Arial" w:hAnsi="Arial" w:cs="Arial"/>
          <w:sz w:val="20"/>
          <w:szCs w:val="20"/>
        </w:rPr>
        <w:t xml:space="preserve">heir </w:t>
      </w:r>
      <w:r>
        <w:rPr>
          <w:rFonts w:ascii="Arial" w:eastAsia="Arial" w:hAnsi="Arial" w:cs="Arial"/>
          <w:sz w:val="20"/>
          <w:szCs w:val="20"/>
        </w:rPr>
        <w:t>use is widespread and that unlicensed products</w:t>
      </w:r>
      <w:r w:rsidRPr="00153ECD">
        <w:rPr>
          <w:rFonts w:ascii="Arial" w:eastAsia="Arial" w:hAnsi="Arial" w:cs="Arial"/>
          <w:sz w:val="20"/>
          <w:szCs w:val="20"/>
        </w:rPr>
        <w:t xml:space="preserve"> </w:t>
      </w:r>
      <w:r w:rsidR="00AE2DA2">
        <w:rPr>
          <w:rFonts w:ascii="Arial" w:eastAsia="Arial" w:hAnsi="Arial" w:cs="Arial"/>
          <w:sz w:val="20"/>
          <w:szCs w:val="20"/>
        </w:rPr>
        <w:t>cause a significant financial burden on the health system</w:t>
      </w:r>
      <w:r w:rsidR="004C3C88">
        <w:rPr>
          <w:rFonts w:ascii="Arial" w:eastAsia="Arial" w:hAnsi="Arial" w:cs="Arial"/>
          <w:sz w:val="20"/>
          <w:szCs w:val="20"/>
        </w:rPr>
        <w:fldChar w:fldCharType="begin" w:fldLock="1"/>
      </w:r>
      <w:r>
        <w:rPr>
          <w:rFonts w:ascii="Arial" w:eastAsia="Arial" w:hAnsi="Arial" w:cs="Arial"/>
          <w:sz w:val="20"/>
          <w:szCs w:val="20"/>
        </w:rPr>
        <w:instrText>ADDIN CSL_CITATION { "citationID" : "lbmpj81l5", "citationItems" : [ { "id" : "ITEM-1", "itemData" : { "DOI" : "10.3399/bjgp15X688033", "abstract" : "A special unlicensed medicine is one that is manufactured without a marketing authorisation (MA) from the Medicines and Healthcare products Regulatory Agency (MHRA). An MA (or product licence) is granted by the MHRA only once a medicinal product has been proven to be safe and effective. Prescribed products that do not hold an MA include those prepared on an individual basis by \u2018special order\u2019 manufacturers (for example liquid preparations), products classed as \u2018food supplements\u2019 (such as vitamin D preparations), and medicines that are licensed abroad but which do not hold a UK MA.1The MHRA recommends that unlicensed medicines should only be used when existing licensed medicinal products are not appropriate to meet patient needs2 and this is also echoed in guidance from the General Medical Council.3 An example of this situation often arises in paediatric medicine due to smaller or unusual doses being required, which cannot normally be administered using standard solid oral dosage forms. Other examples include patients with difficulty swallowing solid oral dosage forms and patients needing to receive medicines through enteral feeding tubes. Medicines that have received marketing authorisations in countries other than the UK are another example of unlicensed medicines that may be employed where licensed preparations have been unsuccessful or unsuitable.4 Midodrine tablets for example, which are licensed in the US but not in the UK, may be used for the treatment of orthostatic hypotension where treatment with fludrocortisone has been unsuccessful, or use of a steroid is unsuitable for the patient. There is also significant prescribing of products classed as \u2018food supplements\u2019 that do not hold a marketing authorisation.5Prescribing and dispensing of unlicensed medicines comes with additional professional responsibilities for both the prescriber and the dispensing pharmacist.6 Without a marketing authorisation, there is no MA holder \u2026", "author" : [ { "dropping-particle" : "", "family" : "Donovan", "given" : "Gemma", "non-dropping-particle" : "", "parse-names" : false, "suffix" : "" }, { "dropping-particle" : "", "family" : "Parkin", "given" : "Lindsay", "non-dropping-particle" : "", "parse-names" : false, "suffix" : "" }, { "dropping-particle" : "", "family" : "Wilkes", "given" : "Scott", "non-dropping-particle" : "", "parse-names" : false, "suffix" : "" } ], "container-title" : "British Journal of General Practice", "id" : "ITEM-1", "issue" : "641", "issued" : { "date-parts" : [ [ "2015" ] ] }, "page" : "e861", "title" : "Special unlicensed medicines: what we do and do not know about them", "type" : "article-journal", "volume" : "65" }, "uris" : [ "http://www.mendeley.com/documents/?uuid=3f09aa4f-81eb-440c-b90d-c6adec801891" ] } ], "mendeley" : { "formattedCitation" : "[3]", "plainTextFormattedCitation" : "[3]", "previouslyFormattedCitation" : "[3]" }, "properties" : { "formattedCitation" : "[3]", "noteIndex" : 0, "plainCitation" : "[3]" }, "schema" : "https://github.com/citation-style-language/schema/raw/master/csl-citation.json" }</w:instrText>
      </w:r>
      <w:r w:rsidR="004C3C88">
        <w:rPr>
          <w:rFonts w:ascii="Arial" w:eastAsia="Arial" w:hAnsi="Arial" w:cs="Arial"/>
          <w:sz w:val="20"/>
          <w:szCs w:val="20"/>
        </w:rPr>
        <w:fldChar w:fldCharType="separate"/>
      </w:r>
      <w:r w:rsidRPr="00D826F4">
        <w:rPr>
          <w:rFonts w:ascii="Arial" w:hAnsi="Arial" w:cs="Arial"/>
          <w:noProof/>
          <w:sz w:val="20"/>
        </w:rPr>
        <w:t>[3]</w:t>
      </w:r>
      <w:r w:rsidR="004C3C88">
        <w:rPr>
          <w:rFonts w:ascii="Arial" w:eastAsia="Arial" w:hAnsi="Arial" w:cs="Arial"/>
          <w:sz w:val="20"/>
          <w:szCs w:val="20"/>
        </w:rPr>
        <w:fldChar w:fldCharType="end"/>
      </w:r>
      <w:r>
        <w:rPr>
          <w:rFonts w:ascii="Arial" w:eastAsia="Arial" w:hAnsi="Arial" w:cs="Arial"/>
          <w:sz w:val="20"/>
          <w:szCs w:val="20"/>
        </w:rPr>
        <w:t>.</w:t>
      </w:r>
      <w:r w:rsidRPr="00153ECD">
        <w:rPr>
          <w:rFonts w:ascii="Arial" w:eastAsia="Arial" w:hAnsi="Arial" w:cs="Arial"/>
          <w:sz w:val="20"/>
          <w:szCs w:val="20"/>
        </w:rPr>
        <w:t xml:space="preserve"> </w:t>
      </w:r>
      <w:r>
        <w:rPr>
          <w:rFonts w:ascii="Arial" w:eastAsia="Arial" w:hAnsi="Arial" w:cs="Arial"/>
          <w:sz w:val="20"/>
          <w:szCs w:val="20"/>
        </w:rPr>
        <w:t xml:space="preserve">In the 12 month period to September 2016 there was over £75m spent on unlicensed medicines dispensed in </w:t>
      </w:r>
      <w:r w:rsidR="0041775F">
        <w:rPr>
          <w:rFonts w:ascii="Arial" w:eastAsia="Arial" w:hAnsi="Arial" w:cs="Arial"/>
          <w:sz w:val="20"/>
          <w:szCs w:val="20"/>
        </w:rPr>
        <w:t xml:space="preserve">community </w:t>
      </w:r>
      <w:r>
        <w:rPr>
          <w:rFonts w:ascii="Arial" w:eastAsia="Arial" w:hAnsi="Arial" w:cs="Arial"/>
          <w:sz w:val="20"/>
          <w:szCs w:val="20"/>
        </w:rPr>
        <w:t xml:space="preserve">pharmacies in England </w:t>
      </w:r>
      <w:r w:rsidR="004C3C88" w:rsidRPr="006352C0">
        <w:rPr>
          <w:rFonts w:ascii="Arial" w:eastAsia="Arial" w:hAnsi="Arial" w:cs="Arial"/>
          <w:sz w:val="20"/>
          <w:szCs w:val="20"/>
        </w:rPr>
        <w:fldChar w:fldCharType="begin" w:fldLock="1"/>
      </w:r>
      <w:r>
        <w:rPr>
          <w:rFonts w:ascii="Arial" w:eastAsia="Arial" w:hAnsi="Arial" w:cs="Arial"/>
          <w:sz w:val="20"/>
          <w:szCs w:val="20"/>
        </w:rPr>
        <w:instrText>ADDIN CSL_CITATION { "citationItems" : [ { "id" : "ITEM-1", "itemData" : { "URL" : "https://www.nhsbsa.nhs.uk/prescription-data/prescribing-data/information-services-volume-and-cost-special-order-products", "accessed" : { "date-parts" : [ [ "2017", "7", "19" ] ] }, "author" : [ { "dropping-particle" : "", "family" : "NHS Business Services Authority", "given" : "", "non-dropping-particle" : "", "parse-names" : false, "suffix" : "" } ], "container-title" : "NHS Business Services Authority", "id" : "ITEM-1", "issued" : { "date-parts" : [ [ "2017" ] ] }, "title" : "CCG Data - Prescribing of and spending on special order products", "type" : "webpage" }, "uris" : [ "http://www.mendeley.com/documents/?uuid=e209a19d-7449-41fd-aef8-f8173e0fc7a6" ] } ], "mendeley" : { "formattedCitation" : "[4]", "plainTextFormattedCitation" : "[4]", "previouslyFormattedCitation" : "[4]" }, "properties" : { "noteIndex" : 0 }, "schema" : "https://github.com/citation-style-language/schema/raw/master/csl-citation.json" }</w:instrText>
      </w:r>
      <w:r w:rsidR="004C3C88" w:rsidRPr="006352C0">
        <w:rPr>
          <w:rFonts w:ascii="Arial" w:eastAsia="Arial" w:hAnsi="Arial" w:cs="Arial"/>
          <w:sz w:val="20"/>
          <w:szCs w:val="20"/>
        </w:rPr>
        <w:fldChar w:fldCharType="separate"/>
      </w:r>
      <w:r w:rsidRPr="006352C0">
        <w:rPr>
          <w:rFonts w:ascii="Arial" w:eastAsia="Arial" w:hAnsi="Arial" w:cs="Arial"/>
          <w:noProof/>
          <w:sz w:val="20"/>
          <w:szCs w:val="20"/>
        </w:rPr>
        <w:t>[4]</w:t>
      </w:r>
      <w:r w:rsidR="004C3C88" w:rsidRPr="006352C0">
        <w:rPr>
          <w:rFonts w:ascii="Arial" w:eastAsia="Arial" w:hAnsi="Arial" w:cs="Arial"/>
          <w:sz w:val="20"/>
          <w:szCs w:val="20"/>
        </w:rPr>
        <w:fldChar w:fldCharType="end"/>
      </w:r>
      <w:r w:rsidRPr="006352C0">
        <w:rPr>
          <w:rFonts w:ascii="Arial" w:eastAsia="Arial" w:hAnsi="Arial" w:cs="Arial"/>
          <w:sz w:val="20"/>
          <w:szCs w:val="20"/>
        </w:rPr>
        <w:t>.</w:t>
      </w:r>
      <w:r>
        <w:rPr>
          <w:rFonts w:ascii="Arial" w:eastAsia="Arial" w:hAnsi="Arial" w:cs="Arial"/>
          <w:sz w:val="20"/>
          <w:szCs w:val="20"/>
        </w:rPr>
        <w:t xml:space="preserve"> </w:t>
      </w:r>
    </w:p>
    <w:p w:rsidR="00092587" w:rsidRDefault="00092587" w:rsidP="003024E3">
      <w:pPr>
        <w:spacing w:after="0" w:line="480" w:lineRule="auto"/>
        <w:rPr>
          <w:rFonts w:ascii="Arial" w:eastAsia="Arial" w:hAnsi="Arial" w:cs="Arial"/>
          <w:sz w:val="20"/>
          <w:szCs w:val="20"/>
        </w:rPr>
      </w:pPr>
    </w:p>
    <w:p w:rsidR="00092587" w:rsidRDefault="00092587" w:rsidP="003024E3">
      <w:pPr>
        <w:spacing w:after="0" w:line="480" w:lineRule="auto"/>
        <w:rPr>
          <w:rFonts w:ascii="Arial" w:eastAsia="Arial" w:hAnsi="Arial" w:cs="Arial"/>
          <w:sz w:val="20"/>
          <w:szCs w:val="20"/>
        </w:rPr>
      </w:pPr>
      <w:r w:rsidRPr="00153ECD">
        <w:rPr>
          <w:rFonts w:ascii="Arial" w:eastAsia="Arial" w:hAnsi="Arial" w:cs="Arial"/>
          <w:sz w:val="20"/>
          <w:szCs w:val="20"/>
        </w:rPr>
        <w:t>There is limited detailed guidance for the prescribing and dispensing of ULMs</w:t>
      </w:r>
      <w:r>
        <w:rPr>
          <w:rFonts w:ascii="Arial" w:eastAsia="Arial" w:hAnsi="Arial" w:cs="Arial"/>
          <w:sz w:val="20"/>
          <w:szCs w:val="20"/>
        </w:rPr>
        <w:t>. O</w:t>
      </w:r>
      <w:r w:rsidRPr="00153ECD">
        <w:rPr>
          <w:rFonts w:ascii="Arial" w:eastAsia="Arial" w:hAnsi="Arial" w:cs="Arial"/>
          <w:sz w:val="20"/>
          <w:szCs w:val="20"/>
        </w:rPr>
        <w:t xml:space="preserve">verarching principles have been set out by the MHRA </w:t>
      </w:r>
      <w:r w:rsidR="004C3C88" w:rsidRPr="00153ECD">
        <w:rPr>
          <w:rFonts w:ascii="Arial" w:eastAsia="Arial" w:hAnsi="Arial" w:cs="Arial"/>
          <w:sz w:val="20"/>
          <w:szCs w:val="20"/>
        </w:rPr>
        <w:fldChar w:fldCharType="begin" w:fldLock="1"/>
      </w:r>
      <w:r>
        <w:rPr>
          <w:rFonts w:ascii="Arial" w:eastAsia="Arial" w:hAnsi="Arial" w:cs="Arial"/>
          <w:sz w:val="20"/>
          <w:szCs w:val="20"/>
        </w:rPr>
        <w:instrText>ADDIN CSL_CITATION { "citationID" : "1ftgmjv4vl", "citationItems" : [ { "id" : "ITEM-1", "itemData" : { "URL" : "https://www.gov.uk/government/uploads/system/uploads/attachment_data/file/373505/The_supply_of_unlicensed_medicinal_products__specials_.pdf", "author" : [ { "dropping-particle" : "", "family" : "Medicines and Healthcare Products Regulatory Agency", "given" : "", "non-dropping-particle" : "", "parse-names" : false, "suffix" : "" } ], "id" : "ITEM-1", "issued" : { "date-parts" : [ [ "2014", "2", "2" ] ] }, "title" : "The supply of unlicensed medicinal products (\u201cspecials\u201d) MHRA Guidance Note 14", "type" : "webpage" }, "uris" : [ "http://www.mendeley.com/documents/?uuid=6b988685-9d04-46e8-8de4-3c478e0bd7ed" ] } ], "mendeley" : { "formattedCitation" : "[5]", "plainTextFormattedCitation" : "[5]", "previouslyFormattedCitation" : "[5]" }, "properties" : { "formattedCitation" : "[4]", "noteIndex" : 0, "plainCitation" : "[4]" }, "schema" : "https://github.com/citation-style-language/schema/raw/master/csl-citation.json" }</w:instrText>
      </w:r>
      <w:r w:rsidR="004C3C88" w:rsidRPr="00153ECD">
        <w:rPr>
          <w:rFonts w:ascii="Arial" w:eastAsia="Arial" w:hAnsi="Arial" w:cs="Arial"/>
          <w:sz w:val="20"/>
          <w:szCs w:val="20"/>
        </w:rPr>
        <w:fldChar w:fldCharType="separate"/>
      </w:r>
      <w:r w:rsidRPr="006352C0">
        <w:rPr>
          <w:rFonts w:ascii="Arial" w:hAnsi="Arial" w:cs="Arial"/>
          <w:noProof/>
          <w:sz w:val="20"/>
        </w:rPr>
        <w:t>[5]</w:t>
      </w:r>
      <w:r w:rsidR="004C3C88" w:rsidRPr="00153ECD">
        <w:rPr>
          <w:rFonts w:ascii="Arial" w:eastAsia="Arial" w:hAnsi="Arial" w:cs="Arial"/>
          <w:sz w:val="20"/>
          <w:szCs w:val="20"/>
        </w:rPr>
        <w:fldChar w:fldCharType="end"/>
      </w:r>
      <w:r>
        <w:rPr>
          <w:rFonts w:ascii="Arial" w:eastAsia="Arial" w:hAnsi="Arial" w:cs="Arial"/>
          <w:sz w:val="20"/>
          <w:szCs w:val="20"/>
        </w:rPr>
        <w:t xml:space="preserve">, however the main recommendation is that a licensed </w:t>
      </w:r>
      <w:r w:rsidR="0041775F">
        <w:rPr>
          <w:rFonts w:ascii="Arial" w:eastAsia="Arial" w:hAnsi="Arial" w:cs="Arial"/>
          <w:sz w:val="20"/>
          <w:szCs w:val="20"/>
        </w:rPr>
        <w:t xml:space="preserve">medicinal product </w:t>
      </w:r>
      <w:r>
        <w:rPr>
          <w:rFonts w:ascii="Arial" w:eastAsia="Arial" w:hAnsi="Arial" w:cs="Arial"/>
          <w:sz w:val="20"/>
          <w:szCs w:val="20"/>
        </w:rPr>
        <w:t>should be used in preference to an unlicensed medicine</w:t>
      </w:r>
      <w:r w:rsidRPr="00153ECD">
        <w:rPr>
          <w:rFonts w:ascii="Arial" w:eastAsia="Arial" w:hAnsi="Arial" w:cs="Arial"/>
          <w:sz w:val="20"/>
          <w:szCs w:val="20"/>
        </w:rPr>
        <w:t>.</w:t>
      </w:r>
      <w:r>
        <w:rPr>
          <w:rFonts w:ascii="Arial" w:eastAsia="Arial" w:hAnsi="Arial" w:cs="Arial"/>
          <w:sz w:val="20"/>
          <w:szCs w:val="20"/>
        </w:rPr>
        <w:t xml:space="preserve"> </w:t>
      </w:r>
      <w:r w:rsidR="0041775F">
        <w:rPr>
          <w:rFonts w:ascii="Arial" w:eastAsia="Arial" w:hAnsi="Arial" w:cs="Arial"/>
          <w:sz w:val="20"/>
          <w:szCs w:val="20"/>
        </w:rPr>
        <w:t>Use of a</w:t>
      </w:r>
      <w:r w:rsidR="00961B30">
        <w:rPr>
          <w:rFonts w:ascii="Arial" w:eastAsia="Arial" w:hAnsi="Arial" w:cs="Arial"/>
          <w:sz w:val="20"/>
          <w:szCs w:val="20"/>
        </w:rPr>
        <w:t>n</w:t>
      </w:r>
      <w:r w:rsidR="0041775F">
        <w:rPr>
          <w:rFonts w:ascii="Arial" w:eastAsia="Arial" w:hAnsi="Arial" w:cs="Arial"/>
          <w:sz w:val="20"/>
          <w:szCs w:val="20"/>
        </w:rPr>
        <w:t xml:space="preserve"> ULM from any category of </w:t>
      </w:r>
      <w:r w:rsidR="0041775F">
        <w:rPr>
          <w:rFonts w:ascii="Arial" w:eastAsia="Arial" w:hAnsi="Arial" w:cs="Arial"/>
          <w:sz w:val="20"/>
          <w:szCs w:val="20"/>
        </w:rPr>
        <w:lastRenderedPageBreak/>
        <w:t xml:space="preserve">source will have its own considerations depending on individual patient need and the extent to which quality and safety wish to be assured. </w:t>
      </w:r>
      <w:r>
        <w:rPr>
          <w:rFonts w:ascii="Arial" w:eastAsia="Arial" w:hAnsi="Arial" w:cs="Arial"/>
          <w:sz w:val="20"/>
          <w:szCs w:val="20"/>
        </w:rPr>
        <w:t>There</w:t>
      </w:r>
      <w:r w:rsidR="0041775F">
        <w:rPr>
          <w:rFonts w:ascii="Arial" w:eastAsia="Arial" w:hAnsi="Arial" w:cs="Arial"/>
          <w:sz w:val="20"/>
          <w:szCs w:val="20"/>
        </w:rPr>
        <w:t xml:space="preserve">fore this high level guidance does not </w:t>
      </w:r>
      <w:proofErr w:type="gramStart"/>
      <w:r w:rsidR="0041775F">
        <w:rPr>
          <w:rFonts w:ascii="Arial" w:eastAsia="Arial" w:hAnsi="Arial" w:cs="Arial"/>
          <w:sz w:val="20"/>
          <w:szCs w:val="20"/>
        </w:rPr>
        <w:t xml:space="preserve">facilitate </w:t>
      </w:r>
      <w:r>
        <w:rPr>
          <w:rFonts w:ascii="Arial" w:eastAsia="Arial" w:hAnsi="Arial" w:cs="Arial"/>
          <w:sz w:val="20"/>
          <w:szCs w:val="20"/>
        </w:rPr>
        <w:t xml:space="preserve"> prescribers</w:t>
      </w:r>
      <w:proofErr w:type="gramEnd"/>
      <w:r>
        <w:rPr>
          <w:rFonts w:ascii="Arial" w:eastAsia="Arial" w:hAnsi="Arial" w:cs="Arial"/>
          <w:sz w:val="20"/>
          <w:szCs w:val="20"/>
        </w:rPr>
        <w:t xml:space="preserve"> and pharmacists to make informed</w:t>
      </w:r>
      <w:r w:rsidR="0041775F">
        <w:rPr>
          <w:rFonts w:ascii="Arial" w:eastAsia="Arial" w:hAnsi="Arial" w:cs="Arial"/>
          <w:sz w:val="20"/>
          <w:szCs w:val="20"/>
        </w:rPr>
        <w:t xml:space="preserve"> patient-level</w:t>
      </w:r>
      <w:r>
        <w:rPr>
          <w:rFonts w:ascii="Arial" w:eastAsia="Arial" w:hAnsi="Arial" w:cs="Arial"/>
          <w:sz w:val="20"/>
          <w:szCs w:val="20"/>
        </w:rPr>
        <w:t xml:space="preserve"> decisions about the use of unlicensed medicines</w:t>
      </w:r>
      <w:r w:rsidR="0041775F">
        <w:rPr>
          <w:rFonts w:ascii="Arial" w:eastAsia="Arial" w:hAnsi="Arial" w:cs="Arial"/>
          <w:sz w:val="20"/>
          <w:szCs w:val="20"/>
        </w:rPr>
        <w:t>.</w:t>
      </w:r>
      <w:r w:rsidR="00C30477">
        <w:rPr>
          <w:rFonts w:ascii="Arial" w:eastAsia="Arial" w:hAnsi="Arial" w:cs="Arial"/>
          <w:sz w:val="20"/>
          <w:szCs w:val="20"/>
        </w:rPr>
        <w:t xml:space="preserve"> </w:t>
      </w:r>
      <w:r w:rsidR="0041775F">
        <w:rPr>
          <w:rFonts w:ascii="Arial" w:eastAsia="Arial" w:hAnsi="Arial" w:cs="Arial"/>
          <w:sz w:val="20"/>
          <w:szCs w:val="20"/>
        </w:rPr>
        <w:t xml:space="preserve">All medicines regulators highlight that ULMs </w:t>
      </w:r>
      <w:r w:rsidR="0041775F" w:rsidRPr="00153ECD">
        <w:rPr>
          <w:rFonts w:ascii="Arial" w:eastAsia="Arial" w:hAnsi="Arial" w:cs="Arial"/>
          <w:sz w:val="20"/>
          <w:szCs w:val="20"/>
        </w:rPr>
        <w:t>have</w:t>
      </w:r>
      <w:r w:rsidR="0041775F">
        <w:rPr>
          <w:rFonts w:ascii="Arial" w:eastAsia="Arial" w:hAnsi="Arial" w:cs="Arial"/>
          <w:sz w:val="20"/>
          <w:szCs w:val="20"/>
        </w:rPr>
        <w:t xml:space="preserve"> </w:t>
      </w:r>
      <w:r w:rsidR="0041775F" w:rsidRPr="00153ECD">
        <w:rPr>
          <w:rFonts w:ascii="Arial" w:eastAsia="Arial" w:hAnsi="Arial" w:cs="Arial"/>
          <w:sz w:val="20"/>
          <w:szCs w:val="20"/>
        </w:rPr>
        <w:t>not undergone the rigorous safet</w:t>
      </w:r>
      <w:r w:rsidR="0041775F">
        <w:rPr>
          <w:rFonts w:ascii="Arial" w:eastAsia="Arial" w:hAnsi="Arial" w:cs="Arial"/>
          <w:sz w:val="20"/>
          <w:szCs w:val="20"/>
        </w:rPr>
        <w:t>y checks required to obtain approval</w:t>
      </w:r>
      <w:r w:rsidR="004C3C88">
        <w:rPr>
          <w:rFonts w:ascii="Arial" w:eastAsia="Arial" w:hAnsi="Arial" w:cs="Arial"/>
          <w:sz w:val="20"/>
          <w:szCs w:val="20"/>
        </w:rPr>
        <w:fldChar w:fldCharType="begin" w:fldLock="1"/>
      </w:r>
      <w:r w:rsidR="0041775F">
        <w:rPr>
          <w:rFonts w:ascii="Arial" w:eastAsia="Arial" w:hAnsi="Arial" w:cs="Arial"/>
          <w:sz w:val="20"/>
          <w:szCs w:val="20"/>
        </w:rPr>
        <w:instrText>ADDIN CSL_CITATION { "citationID" : "ERYFl8UA", "citationItems" : [ { "id" : "ITEM-1", "itemData" : { "URL" : "https://www.gov.uk/government/uploads/system/uploads/attachment_data/file/373505/The_supply_of_unlicensed_medicinal_products__specials_.pdf", "author" : [ { "dropping-particle" : "", "family" : "Medicines and Healthcare Products Regulatory Agency", "given" : "", "non-dropping-particle" : "", "parse-names" : false, "suffix" : "" } ], "id" : "ITEM-1", "issued" : { "date-parts" : [ [ "2014", "2", "2" ] ] }, "title" : "The supply of unlicensed medicinal products (\u201cspecials\u201d) MHRA Guidance Note 14", "type" : "webpage" }, "uris" : [ "http://www.mendeley.com/documents/?uuid=6b988685-9d04-46e8-8de4-3c478e0bd7ed" ] }, { "id" : "ITEM-2", "itemData" : { "URL" : "https://www.fda.gov/ForConsumers/ConsumerUpdates/ucm107836.htm", "author" : [ { "dropping-particle" : "", "family" : "U.S. Food and Drug Administration", "given" : "", "non-dropping-particle" : "", "parse-names" : false, "suffix" : "" } ], "id" : "ITEM-2", "issued" : { "date-parts" : [ [ "2012", "5", "6" ] ] }, "language" : "en", "title" : "Consumer Updates - The Special Risks of Pharmacy Compounding", "type" : "webpage" }, "uris" : [ "http://www.mendeley.com/documents/?uuid=694fb1c2-1b35-4c5e-aefb-0db876ba09a5" ] }, { "id" : "ITEM-3", "itemData" : { "URL" : "https://www.tga.gov.au/accessing-unapproved-products", "accessed" : { "date-parts" : [ [ "2017", "7", "27" ] ] }, "author" : [ { "dropping-particle" : "", "family" : "Therapeutic Goods Administration", "given" : "", "non-dropping-particle" : "", "parse-names" : false, "suffix" : "" } ], "id" : "ITEM-3", "issued" : { "date-parts" : [ [ "2017" ] ] }, "title" : "Accessing unapproved products", "type" : "webpage" }, "uris" : [ "http://www.mendeley.com/documents/?uuid=b5df9d76-94f3-43ff-96e0-c3842e8636e4" ] }, { "id" : "ITEM-4", "itemData" : { "abstract" : "Includes regulation of the hybride procedure in Article 10 hich is equivalent to the 505(b)(2) regulatory pathway in the US", "author" : [ { "dropping-particle" : "", "family" : "European Community", "given" : "", "non-dropping-particle" : "", "parse-names" : false, "suffix" : "" } ], "container-title" : "Official Journal of the European Union", "id" : "ITEM-4", "issue" : "November 2001", "issued" : { "date-parts" : [ [ "2004" ] ] }, "page" : "67-128", "title" : "DIRECTIVE 2001/83/EC ON THE COMMUNITY CODE RELATING TO MEDICINAL PRODUCTS FOR HUMAN USE as amended by Directive 2002 / 98 / EC of the European Parliament and of the Council of 27 January", "type" : "article-journal" }, "uris" : [ "http://www.mendeley.com/documents/?uuid=82f19519-75f5-44bd-9eb3-14c3134c4ccc" ] } ], "mendeley" : { "formattedCitation" : "[5\u20138]", "plainTextFormattedCitation" : "[5\u20138]", "previouslyFormattedCitation" : "[5\u20138]" }, "properties" : { "formattedCitation" : "[4,5]", "noteIndex" : 0, "plainCitation" : "[4,5]" }, "schema" : "https://github.com/citation-style-language/schema/raw/master/csl-citation.json" }</w:instrText>
      </w:r>
      <w:r w:rsidR="004C3C88">
        <w:rPr>
          <w:rFonts w:ascii="Arial" w:eastAsia="Arial" w:hAnsi="Arial" w:cs="Arial"/>
          <w:sz w:val="20"/>
          <w:szCs w:val="20"/>
        </w:rPr>
        <w:fldChar w:fldCharType="separate"/>
      </w:r>
      <w:r w:rsidR="0041775F" w:rsidRPr="00587F33">
        <w:rPr>
          <w:rFonts w:ascii="Arial" w:hAnsi="Arial" w:cs="Arial"/>
          <w:noProof/>
          <w:sz w:val="20"/>
        </w:rPr>
        <w:t>[5–8]</w:t>
      </w:r>
      <w:r w:rsidR="004C3C88">
        <w:rPr>
          <w:rFonts w:ascii="Arial" w:eastAsia="Arial" w:hAnsi="Arial" w:cs="Arial"/>
          <w:sz w:val="20"/>
          <w:szCs w:val="20"/>
        </w:rPr>
        <w:fldChar w:fldCharType="end"/>
      </w:r>
      <w:r w:rsidR="0041775F" w:rsidRPr="00153ECD">
        <w:rPr>
          <w:rFonts w:ascii="Arial" w:eastAsia="Arial" w:hAnsi="Arial" w:cs="Arial"/>
          <w:sz w:val="20"/>
          <w:szCs w:val="20"/>
        </w:rPr>
        <w:t>.</w:t>
      </w:r>
    </w:p>
    <w:p w:rsidR="003024E3" w:rsidRDefault="003024E3" w:rsidP="00EE672C">
      <w:pPr>
        <w:spacing w:after="0" w:line="480" w:lineRule="auto"/>
        <w:rPr>
          <w:rFonts w:ascii="Arial" w:eastAsia="Arial" w:hAnsi="Arial" w:cs="Arial"/>
          <w:sz w:val="20"/>
          <w:szCs w:val="20"/>
        </w:rPr>
      </w:pPr>
    </w:p>
    <w:p w:rsidR="00B82BD2" w:rsidRPr="00B85564" w:rsidRDefault="001E14F3" w:rsidP="00EE672C">
      <w:pPr>
        <w:spacing w:after="0" w:line="480" w:lineRule="auto"/>
        <w:rPr>
          <w:rFonts w:ascii="Arial" w:eastAsia="Times New Roman" w:hAnsi="Arial" w:cs="Arial"/>
          <w:sz w:val="20"/>
          <w:szCs w:val="20"/>
        </w:rPr>
      </w:pPr>
      <w:r>
        <w:rPr>
          <w:rFonts w:ascii="Arial" w:eastAsia="Arial" w:hAnsi="Arial" w:cs="Arial"/>
          <w:sz w:val="20"/>
          <w:szCs w:val="20"/>
        </w:rPr>
        <w:t xml:space="preserve">Internationally, </w:t>
      </w:r>
      <w:r w:rsidR="00266072">
        <w:rPr>
          <w:rFonts w:ascii="Arial" w:eastAsia="Arial" w:hAnsi="Arial" w:cs="Arial"/>
          <w:sz w:val="20"/>
          <w:szCs w:val="20"/>
        </w:rPr>
        <w:t>t</w:t>
      </w:r>
      <w:r>
        <w:rPr>
          <w:rFonts w:ascii="Arial" w:eastAsia="Arial" w:hAnsi="Arial" w:cs="Arial"/>
          <w:sz w:val="20"/>
          <w:szCs w:val="20"/>
        </w:rPr>
        <w:t>he European Medicines Agency (EMA)</w:t>
      </w:r>
      <w:r w:rsidR="00896923">
        <w:rPr>
          <w:rFonts w:ascii="Arial" w:eastAsia="Arial" w:hAnsi="Arial" w:cs="Arial"/>
          <w:sz w:val="20"/>
          <w:szCs w:val="20"/>
        </w:rPr>
        <w:t xml:space="preserve"> allows member states to use ‘unauthorized medicines’ in the same way as the UK.</w:t>
      </w:r>
      <w:r>
        <w:rPr>
          <w:rFonts w:ascii="Arial" w:eastAsia="Arial" w:hAnsi="Arial" w:cs="Arial"/>
          <w:sz w:val="20"/>
          <w:szCs w:val="20"/>
        </w:rPr>
        <w:t xml:space="preserve"> </w:t>
      </w:r>
      <w:r w:rsidR="00896923">
        <w:rPr>
          <w:rFonts w:ascii="Arial" w:eastAsia="Arial" w:hAnsi="Arial" w:cs="Arial"/>
          <w:sz w:val="20"/>
          <w:szCs w:val="20"/>
        </w:rPr>
        <w:t>T</w:t>
      </w:r>
      <w:r>
        <w:rPr>
          <w:rFonts w:ascii="Arial" w:eastAsia="Arial" w:hAnsi="Arial" w:cs="Arial"/>
          <w:sz w:val="20"/>
          <w:szCs w:val="20"/>
        </w:rPr>
        <w:t xml:space="preserve">he Food and Drug Administration (FDA) in </w:t>
      </w:r>
      <w:r w:rsidRPr="00F966EA">
        <w:rPr>
          <w:rFonts w:ascii="Arial" w:eastAsia="Arial" w:hAnsi="Arial" w:cs="Arial"/>
          <w:sz w:val="20"/>
          <w:szCs w:val="20"/>
        </w:rPr>
        <w:t>the United States</w:t>
      </w:r>
      <w:r>
        <w:rPr>
          <w:rFonts w:ascii="Arial" w:eastAsia="Arial" w:hAnsi="Arial" w:cs="Arial"/>
          <w:sz w:val="20"/>
          <w:szCs w:val="20"/>
        </w:rPr>
        <w:t xml:space="preserve"> </w:t>
      </w:r>
      <w:r w:rsidR="00896923">
        <w:rPr>
          <w:rFonts w:ascii="Arial" w:eastAsia="Arial" w:hAnsi="Arial" w:cs="Arial"/>
          <w:sz w:val="20"/>
          <w:szCs w:val="20"/>
        </w:rPr>
        <w:t xml:space="preserve">refers to the use of unlicensed medicines as “Pharmacy Compounding” and </w:t>
      </w:r>
      <w:r>
        <w:rPr>
          <w:rFonts w:ascii="Arial" w:eastAsia="Arial" w:hAnsi="Arial" w:cs="Arial"/>
          <w:sz w:val="20"/>
          <w:szCs w:val="20"/>
        </w:rPr>
        <w:t>the Therapeutic Goods Administration (TGA) in Australia</w:t>
      </w:r>
      <w:r w:rsidR="00896923">
        <w:rPr>
          <w:rFonts w:ascii="Arial" w:eastAsia="Arial" w:hAnsi="Arial" w:cs="Arial"/>
          <w:sz w:val="20"/>
          <w:szCs w:val="20"/>
        </w:rPr>
        <w:t xml:space="preserve"> has</w:t>
      </w:r>
      <w:r w:rsidR="00B57EA9">
        <w:rPr>
          <w:rFonts w:ascii="Arial" w:eastAsia="Arial" w:hAnsi="Arial" w:cs="Arial"/>
          <w:sz w:val="20"/>
          <w:szCs w:val="20"/>
        </w:rPr>
        <w:t xml:space="preserve"> a defined process for </w:t>
      </w:r>
      <w:r w:rsidR="00896923">
        <w:rPr>
          <w:rFonts w:ascii="Arial" w:eastAsia="Arial" w:hAnsi="Arial" w:cs="Arial"/>
          <w:sz w:val="20"/>
          <w:szCs w:val="20"/>
        </w:rPr>
        <w:t xml:space="preserve">their </w:t>
      </w:r>
      <w:r w:rsidR="00B57EA9">
        <w:rPr>
          <w:rFonts w:ascii="Arial" w:eastAsia="Arial" w:hAnsi="Arial" w:cs="Arial"/>
          <w:sz w:val="20"/>
          <w:szCs w:val="20"/>
        </w:rPr>
        <w:t>use of ‘unapproved therapeutic goods’</w:t>
      </w:r>
      <w:r w:rsidR="0041775F">
        <w:rPr>
          <w:rFonts w:ascii="Arial" w:eastAsia="Arial" w:hAnsi="Arial" w:cs="Arial"/>
          <w:sz w:val="20"/>
          <w:szCs w:val="20"/>
        </w:rPr>
        <w:t>.</w:t>
      </w:r>
      <w:r w:rsidR="00896923">
        <w:rPr>
          <w:rFonts w:ascii="Arial" w:eastAsia="Arial" w:hAnsi="Arial" w:cs="Arial"/>
          <w:sz w:val="20"/>
          <w:szCs w:val="20"/>
        </w:rPr>
        <w:t xml:space="preserve"> Additionally in the UK, unlicensed medicines are also referred to as “Specials”</w:t>
      </w:r>
      <w:r w:rsidR="0041775F">
        <w:rPr>
          <w:rFonts w:ascii="Arial" w:eastAsia="Arial" w:hAnsi="Arial" w:cs="Arial"/>
          <w:sz w:val="20"/>
          <w:szCs w:val="20"/>
        </w:rPr>
        <w:t>,</w:t>
      </w:r>
      <w:r w:rsidR="00896923">
        <w:rPr>
          <w:rFonts w:ascii="Arial" w:eastAsia="Arial" w:hAnsi="Arial" w:cs="Arial"/>
          <w:sz w:val="20"/>
          <w:szCs w:val="20"/>
        </w:rPr>
        <w:t xml:space="preserve"> </w:t>
      </w:r>
      <w:r w:rsidR="0041775F">
        <w:rPr>
          <w:rFonts w:ascii="Arial" w:eastAsia="Arial" w:hAnsi="Arial" w:cs="Arial"/>
          <w:sz w:val="20"/>
          <w:szCs w:val="20"/>
        </w:rPr>
        <w:t>referring to</w:t>
      </w:r>
      <w:r w:rsidR="00896923">
        <w:rPr>
          <w:rFonts w:ascii="Arial" w:eastAsia="Arial" w:hAnsi="Arial" w:cs="Arial"/>
          <w:sz w:val="20"/>
          <w:szCs w:val="20"/>
        </w:rPr>
        <w:t xml:space="preserve"> the manufacturing facilities that </w:t>
      </w:r>
      <w:r w:rsidR="0041775F">
        <w:rPr>
          <w:rFonts w:ascii="Arial" w:eastAsia="Arial" w:hAnsi="Arial" w:cs="Arial"/>
          <w:sz w:val="20"/>
          <w:szCs w:val="20"/>
        </w:rPr>
        <w:t>make ULMs also being known as</w:t>
      </w:r>
      <w:r w:rsidR="00896923">
        <w:rPr>
          <w:rFonts w:ascii="Arial" w:eastAsia="Arial" w:hAnsi="Arial" w:cs="Arial"/>
          <w:sz w:val="20"/>
          <w:szCs w:val="20"/>
        </w:rPr>
        <w:t xml:space="preserve"> “Specials laboratories”. </w:t>
      </w:r>
      <w:r>
        <w:rPr>
          <w:rFonts w:ascii="Arial" w:eastAsia="Arial" w:hAnsi="Arial" w:cs="Arial"/>
          <w:sz w:val="20"/>
          <w:szCs w:val="20"/>
        </w:rPr>
        <w:t>For the purposes of this article we will use the term “unlicensed medicine” to incorporate all of these terms.</w:t>
      </w:r>
      <w:r w:rsidR="00B57EA9">
        <w:rPr>
          <w:rFonts w:ascii="Arial" w:eastAsia="Arial" w:hAnsi="Arial" w:cs="Arial"/>
          <w:sz w:val="20"/>
          <w:szCs w:val="20"/>
        </w:rPr>
        <w:t xml:space="preserve"> </w:t>
      </w:r>
      <w:r w:rsidR="00AE2DA2">
        <w:rPr>
          <w:rFonts w:ascii="Arial" w:eastAsia="Arial" w:hAnsi="Arial" w:cs="Arial"/>
          <w:sz w:val="20"/>
          <w:szCs w:val="20"/>
        </w:rPr>
        <w:t>For clarity</w:t>
      </w:r>
      <w:r w:rsidR="00AE2DA2" w:rsidRPr="00F966EA">
        <w:rPr>
          <w:rFonts w:ascii="Arial" w:eastAsia="Arial" w:hAnsi="Arial" w:cs="Arial"/>
          <w:sz w:val="20"/>
          <w:szCs w:val="20"/>
        </w:rPr>
        <w:t>, the term</w:t>
      </w:r>
      <w:r w:rsidR="00AE2DA2">
        <w:rPr>
          <w:rFonts w:ascii="Arial" w:eastAsia="Arial" w:hAnsi="Arial" w:cs="Arial"/>
          <w:sz w:val="20"/>
          <w:szCs w:val="20"/>
        </w:rPr>
        <w:t>s</w:t>
      </w:r>
      <w:r w:rsidR="00AE2DA2" w:rsidRPr="00F966EA">
        <w:rPr>
          <w:rFonts w:ascii="Arial" w:eastAsia="Arial" w:hAnsi="Arial" w:cs="Arial"/>
          <w:sz w:val="20"/>
          <w:szCs w:val="20"/>
        </w:rPr>
        <w:t xml:space="preserve"> “off-label” </w:t>
      </w:r>
      <w:r w:rsidR="00AE2DA2">
        <w:rPr>
          <w:rFonts w:ascii="Arial" w:eastAsia="Arial" w:hAnsi="Arial" w:cs="Arial"/>
          <w:sz w:val="20"/>
          <w:szCs w:val="20"/>
        </w:rPr>
        <w:t>and “unlicensed use” describe</w:t>
      </w:r>
      <w:r w:rsidR="00AE2DA2" w:rsidRPr="00F966EA">
        <w:rPr>
          <w:rFonts w:ascii="Arial" w:eastAsia="Arial" w:hAnsi="Arial" w:cs="Arial"/>
          <w:sz w:val="20"/>
          <w:szCs w:val="20"/>
        </w:rPr>
        <w:t xml:space="preserve"> using a licensed medicinal product for use outside of its approved</w:t>
      </w:r>
      <w:r w:rsidR="0041775F">
        <w:rPr>
          <w:rFonts w:ascii="Arial" w:eastAsia="Arial" w:hAnsi="Arial" w:cs="Arial"/>
          <w:sz w:val="20"/>
          <w:szCs w:val="20"/>
        </w:rPr>
        <w:t xml:space="preserve"> particulars</w:t>
      </w:r>
      <w:r w:rsidR="00AE2DA2" w:rsidRPr="00FC6005">
        <w:rPr>
          <w:rFonts w:ascii="Arial" w:eastAsia="Arial" w:hAnsi="Arial" w:cs="Arial"/>
          <w:sz w:val="20"/>
          <w:szCs w:val="20"/>
        </w:rPr>
        <w:t xml:space="preserve">. For the purpose of this study, we </w:t>
      </w:r>
      <w:r w:rsidR="00AE2DA2">
        <w:rPr>
          <w:rFonts w:ascii="Arial" w:eastAsia="Arial" w:hAnsi="Arial" w:cs="Arial"/>
          <w:sz w:val="20"/>
          <w:szCs w:val="20"/>
        </w:rPr>
        <w:t>focused on guidelines</w:t>
      </w:r>
      <w:r w:rsidR="00AE2DA2" w:rsidRPr="00FC6005">
        <w:rPr>
          <w:rFonts w:ascii="Arial" w:eastAsia="Arial" w:hAnsi="Arial" w:cs="Arial"/>
          <w:sz w:val="20"/>
          <w:szCs w:val="20"/>
        </w:rPr>
        <w:t xml:space="preserve"> which </w:t>
      </w:r>
      <w:r w:rsidR="00AE2DA2">
        <w:rPr>
          <w:rFonts w:ascii="Arial" w:eastAsia="Arial" w:hAnsi="Arial" w:cs="Arial"/>
          <w:sz w:val="20"/>
          <w:szCs w:val="20"/>
        </w:rPr>
        <w:t xml:space="preserve">were aimed at the </w:t>
      </w:r>
      <w:r w:rsidR="0041775F">
        <w:rPr>
          <w:rFonts w:ascii="Arial" w:eastAsia="Arial" w:hAnsi="Arial" w:cs="Arial"/>
          <w:sz w:val="20"/>
          <w:szCs w:val="20"/>
        </w:rPr>
        <w:t>use of unlicensed medicines.</w:t>
      </w:r>
      <w:r w:rsidR="00AE2DA2" w:rsidRPr="00FC6005">
        <w:rPr>
          <w:rFonts w:ascii="Arial" w:eastAsia="Arial" w:hAnsi="Arial" w:cs="Arial"/>
          <w:sz w:val="20"/>
          <w:szCs w:val="20"/>
        </w:rPr>
        <w:t xml:space="preserve"> </w:t>
      </w:r>
      <w:r w:rsidR="0041775F">
        <w:rPr>
          <w:rFonts w:ascii="Arial" w:eastAsia="Arial" w:hAnsi="Arial" w:cs="Arial"/>
          <w:sz w:val="20"/>
          <w:szCs w:val="20"/>
        </w:rPr>
        <w:t>H</w:t>
      </w:r>
      <w:r w:rsidR="00AE2DA2" w:rsidRPr="00FC6005">
        <w:rPr>
          <w:rFonts w:ascii="Arial" w:eastAsia="Arial" w:hAnsi="Arial" w:cs="Arial"/>
          <w:sz w:val="20"/>
          <w:szCs w:val="20"/>
        </w:rPr>
        <w:t>owever many of these documents also incorporated information around “off-label” and “unlicensed use”</w:t>
      </w:r>
      <w:r w:rsidR="0041775F">
        <w:rPr>
          <w:rFonts w:ascii="Arial" w:eastAsia="Arial" w:hAnsi="Arial" w:cs="Arial"/>
          <w:sz w:val="20"/>
          <w:szCs w:val="20"/>
        </w:rPr>
        <w:t xml:space="preserve"> of medicines,</w:t>
      </w:r>
      <w:r w:rsidR="00AE2DA2" w:rsidRPr="00FC6005">
        <w:rPr>
          <w:rFonts w:ascii="Arial" w:eastAsia="Arial" w:hAnsi="Arial" w:cs="Arial"/>
          <w:sz w:val="20"/>
          <w:szCs w:val="20"/>
        </w:rPr>
        <w:t xml:space="preserve"> and so references to these were also </w:t>
      </w:r>
      <w:r w:rsidR="00AE2DA2">
        <w:rPr>
          <w:rFonts w:ascii="Arial" w:eastAsia="Arial" w:hAnsi="Arial" w:cs="Arial"/>
          <w:sz w:val="20"/>
          <w:szCs w:val="20"/>
        </w:rPr>
        <w:t xml:space="preserve">incorporated </w:t>
      </w:r>
      <w:r w:rsidR="0041775F">
        <w:rPr>
          <w:rFonts w:ascii="Arial" w:eastAsia="Arial" w:hAnsi="Arial" w:cs="Arial"/>
          <w:sz w:val="20"/>
          <w:szCs w:val="20"/>
        </w:rPr>
        <w:t xml:space="preserve">where these were mentioned </w:t>
      </w:r>
      <w:r w:rsidR="00AE2DA2">
        <w:rPr>
          <w:rFonts w:ascii="Arial" w:eastAsia="Arial" w:hAnsi="Arial" w:cs="Arial"/>
          <w:sz w:val="20"/>
          <w:szCs w:val="20"/>
        </w:rPr>
        <w:t>in relation to using unlicensed medicines</w:t>
      </w:r>
      <w:r w:rsidR="00AE2DA2" w:rsidRPr="00FC6005">
        <w:rPr>
          <w:rFonts w:ascii="Arial" w:eastAsia="Arial" w:hAnsi="Arial" w:cs="Arial"/>
          <w:sz w:val="20"/>
          <w:szCs w:val="20"/>
        </w:rPr>
        <w:t>.</w:t>
      </w:r>
    </w:p>
    <w:p w:rsidR="00715F62" w:rsidRDefault="00715F62" w:rsidP="00EE672C">
      <w:pPr>
        <w:spacing w:after="0" w:line="480" w:lineRule="auto"/>
        <w:rPr>
          <w:rFonts w:ascii="Arial" w:eastAsia="Arial" w:hAnsi="Arial" w:cs="Arial"/>
          <w:b/>
          <w:bCs/>
          <w:sz w:val="20"/>
          <w:szCs w:val="20"/>
        </w:rPr>
      </w:pPr>
    </w:p>
    <w:p w:rsidR="00035DF3" w:rsidRPr="00355022" w:rsidRDefault="008D087B" w:rsidP="00EE672C">
      <w:pPr>
        <w:spacing w:after="0" w:line="480" w:lineRule="auto"/>
        <w:rPr>
          <w:rFonts w:ascii="Arial" w:eastAsia="Times New Roman" w:hAnsi="Arial" w:cs="Arial"/>
          <w:b/>
          <w:sz w:val="20"/>
          <w:szCs w:val="20"/>
        </w:rPr>
      </w:pPr>
      <w:r w:rsidRPr="00153ECD">
        <w:rPr>
          <w:rFonts w:ascii="Arial" w:eastAsia="Arial" w:hAnsi="Arial" w:cs="Arial"/>
          <w:b/>
          <w:bCs/>
          <w:sz w:val="20"/>
          <w:szCs w:val="20"/>
        </w:rPr>
        <w:t>A</w:t>
      </w:r>
      <w:r w:rsidR="00035DF3" w:rsidRPr="00153ECD">
        <w:rPr>
          <w:rFonts w:ascii="Arial" w:eastAsia="Arial" w:hAnsi="Arial" w:cs="Arial"/>
          <w:b/>
          <w:bCs/>
          <w:sz w:val="20"/>
          <w:szCs w:val="20"/>
        </w:rPr>
        <w:t>ims and objectives</w:t>
      </w:r>
    </w:p>
    <w:p w:rsidR="00035DF3" w:rsidRDefault="00035DF3" w:rsidP="00EE672C">
      <w:pPr>
        <w:spacing w:after="0" w:line="480" w:lineRule="auto"/>
        <w:rPr>
          <w:rFonts w:ascii="Arial" w:eastAsia="Arial" w:hAnsi="Arial" w:cs="Arial"/>
          <w:sz w:val="20"/>
          <w:szCs w:val="20"/>
        </w:rPr>
      </w:pPr>
      <w:r w:rsidRPr="00153ECD">
        <w:rPr>
          <w:rFonts w:ascii="Arial" w:eastAsia="Arial" w:hAnsi="Arial" w:cs="Arial"/>
          <w:sz w:val="20"/>
          <w:szCs w:val="20"/>
        </w:rPr>
        <w:t xml:space="preserve">The </w:t>
      </w:r>
      <w:r w:rsidR="00C9118D" w:rsidRPr="00153ECD">
        <w:rPr>
          <w:rFonts w:ascii="Arial" w:eastAsia="Arial" w:hAnsi="Arial" w:cs="Arial"/>
          <w:sz w:val="20"/>
          <w:szCs w:val="20"/>
        </w:rPr>
        <w:t>aim of the guideline analysis was to</w:t>
      </w:r>
      <w:r w:rsidRPr="00153ECD">
        <w:rPr>
          <w:rFonts w:ascii="Arial" w:eastAsia="Arial" w:hAnsi="Arial" w:cs="Arial"/>
          <w:sz w:val="20"/>
          <w:szCs w:val="20"/>
        </w:rPr>
        <w:t>:</w:t>
      </w:r>
    </w:p>
    <w:p w:rsidR="00003CE1" w:rsidRDefault="00003CE1" w:rsidP="00003CE1">
      <w:pPr>
        <w:pStyle w:val="ListParagraph"/>
        <w:numPr>
          <w:ilvl w:val="0"/>
          <w:numId w:val="4"/>
        </w:numPr>
        <w:spacing w:line="480" w:lineRule="auto"/>
        <w:rPr>
          <w:rFonts w:ascii="Arial" w:hAnsi="Arial" w:cs="Arial"/>
        </w:rPr>
      </w:pPr>
      <w:r>
        <w:rPr>
          <w:rFonts w:ascii="Arial" w:hAnsi="Arial" w:cs="Arial"/>
        </w:rPr>
        <w:t>Assess the quality of guidelines developed to support use of ULMs within primary and secondary/ tertiary care using an appropriate validated tool</w:t>
      </w:r>
    </w:p>
    <w:p w:rsidR="00003CE1" w:rsidRDefault="00003CE1" w:rsidP="00003CE1">
      <w:pPr>
        <w:pStyle w:val="ListParagraph"/>
        <w:numPr>
          <w:ilvl w:val="0"/>
          <w:numId w:val="4"/>
        </w:numPr>
        <w:spacing w:line="480" w:lineRule="auto"/>
        <w:rPr>
          <w:rFonts w:ascii="Arial" w:hAnsi="Arial" w:cs="Arial"/>
        </w:rPr>
      </w:pPr>
      <w:r>
        <w:rPr>
          <w:rFonts w:ascii="Arial" w:hAnsi="Arial" w:cs="Arial"/>
        </w:rPr>
        <w:t>Conduct a thematic analysis of the content of these guidelines</w:t>
      </w:r>
    </w:p>
    <w:p w:rsidR="00B0112C" w:rsidRPr="00B85564" w:rsidRDefault="00003CE1" w:rsidP="00B0112C">
      <w:pPr>
        <w:pStyle w:val="ListParagraph"/>
        <w:numPr>
          <w:ilvl w:val="0"/>
          <w:numId w:val="4"/>
        </w:numPr>
        <w:spacing w:line="480" w:lineRule="auto"/>
        <w:rPr>
          <w:rFonts w:ascii="Arial" w:hAnsi="Arial" w:cs="Arial"/>
        </w:rPr>
      </w:pPr>
      <w:r>
        <w:rPr>
          <w:rFonts w:ascii="Arial" w:hAnsi="Arial" w:cs="Arial"/>
        </w:rPr>
        <w:t xml:space="preserve">To use these two data analysis techniques to identify areas of good </w:t>
      </w:r>
      <w:r w:rsidR="00B76BBC">
        <w:rPr>
          <w:rFonts w:ascii="Arial" w:hAnsi="Arial" w:cs="Arial"/>
        </w:rPr>
        <w:t>agreement</w:t>
      </w:r>
      <w:r>
        <w:rPr>
          <w:rFonts w:ascii="Arial" w:hAnsi="Arial" w:cs="Arial"/>
        </w:rPr>
        <w:t xml:space="preserve"> and areas for concern</w:t>
      </w:r>
    </w:p>
    <w:p w:rsidR="00EC3B4A" w:rsidRPr="00153ECD" w:rsidRDefault="00EC3B4A" w:rsidP="00B0112C">
      <w:pPr>
        <w:spacing w:after="0" w:line="480" w:lineRule="auto"/>
        <w:contextualSpacing/>
        <w:rPr>
          <w:rFonts w:ascii="Arial" w:eastAsia="Times New Roman" w:hAnsi="Arial" w:cs="Arial"/>
          <w:sz w:val="20"/>
          <w:szCs w:val="20"/>
        </w:rPr>
      </w:pPr>
    </w:p>
    <w:p w:rsidR="00B85564" w:rsidRDefault="00B85564" w:rsidP="00EE672C">
      <w:pPr>
        <w:spacing w:after="0" w:line="480" w:lineRule="auto"/>
        <w:rPr>
          <w:rFonts w:ascii="Arial" w:eastAsia="Arial" w:hAnsi="Arial" w:cs="Arial"/>
          <w:b/>
          <w:bCs/>
          <w:sz w:val="20"/>
          <w:szCs w:val="20"/>
        </w:rPr>
      </w:pPr>
    </w:p>
    <w:p w:rsidR="00B85564" w:rsidRDefault="00B85564" w:rsidP="00EE672C">
      <w:pPr>
        <w:spacing w:after="0" w:line="480" w:lineRule="auto"/>
        <w:rPr>
          <w:rFonts w:ascii="Arial" w:eastAsia="Arial" w:hAnsi="Arial" w:cs="Arial"/>
          <w:b/>
          <w:bCs/>
          <w:sz w:val="20"/>
          <w:szCs w:val="20"/>
        </w:rPr>
      </w:pPr>
    </w:p>
    <w:p w:rsidR="00B85564" w:rsidRDefault="00B85564" w:rsidP="00EE672C">
      <w:pPr>
        <w:spacing w:after="0" w:line="480" w:lineRule="auto"/>
        <w:rPr>
          <w:rFonts w:ascii="Arial" w:eastAsia="Arial" w:hAnsi="Arial" w:cs="Arial"/>
          <w:b/>
          <w:bCs/>
          <w:sz w:val="20"/>
          <w:szCs w:val="20"/>
        </w:rPr>
      </w:pPr>
    </w:p>
    <w:p w:rsidR="00035DF3" w:rsidRDefault="00035DF3" w:rsidP="00EE672C">
      <w:pPr>
        <w:spacing w:after="0" w:line="480" w:lineRule="auto"/>
        <w:rPr>
          <w:rFonts w:ascii="Arial" w:eastAsia="Times New Roman" w:hAnsi="Arial" w:cs="Arial"/>
          <w:b/>
          <w:sz w:val="20"/>
          <w:szCs w:val="20"/>
        </w:rPr>
      </w:pPr>
      <w:r w:rsidRPr="00153ECD">
        <w:rPr>
          <w:rFonts w:ascii="Arial" w:eastAsia="Arial" w:hAnsi="Arial" w:cs="Arial"/>
          <w:b/>
          <w:bCs/>
          <w:sz w:val="20"/>
          <w:szCs w:val="20"/>
        </w:rPr>
        <w:lastRenderedPageBreak/>
        <w:t>Methods</w:t>
      </w:r>
    </w:p>
    <w:p w:rsidR="00B85564" w:rsidRPr="00B85564" w:rsidRDefault="00B85564" w:rsidP="00EE672C">
      <w:pPr>
        <w:spacing w:after="0" w:line="480" w:lineRule="auto"/>
        <w:rPr>
          <w:rFonts w:ascii="Arial" w:eastAsia="Times New Roman" w:hAnsi="Arial" w:cs="Arial"/>
          <w:b/>
          <w:sz w:val="20"/>
          <w:szCs w:val="20"/>
        </w:rPr>
      </w:pPr>
    </w:p>
    <w:p w:rsidR="00035DF3" w:rsidRPr="00153ECD" w:rsidRDefault="00794D70" w:rsidP="00EE672C">
      <w:pPr>
        <w:spacing w:after="0" w:line="480" w:lineRule="auto"/>
        <w:rPr>
          <w:rFonts w:ascii="Arial" w:eastAsia="Times New Roman" w:hAnsi="Arial" w:cs="Arial"/>
          <w:sz w:val="20"/>
          <w:szCs w:val="20"/>
          <w:u w:val="single"/>
        </w:rPr>
      </w:pPr>
      <w:r>
        <w:rPr>
          <w:rFonts w:ascii="Arial" w:eastAsia="Arial" w:hAnsi="Arial" w:cs="Arial"/>
          <w:sz w:val="20"/>
          <w:szCs w:val="20"/>
          <w:u w:val="single"/>
        </w:rPr>
        <w:t>Guideline</w:t>
      </w:r>
      <w:r w:rsidRPr="00153ECD">
        <w:rPr>
          <w:rFonts w:ascii="Arial" w:eastAsia="Arial" w:hAnsi="Arial" w:cs="Arial"/>
          <w:sz w:val="20"/>
          <w:szCs w:val="20"/>
          <w:u w:val="single"/>
        </w:rPr>
        <w:t xml:space="preserve"> </w:t>
      </w:r>
      <w:r w:rsidR="00035DF3" w:rsidRPr="00153ECD">
        <w:rPr>
          <w:rFonts w:ascii="Arial" w:eastAsia="Arial" w:hAnsi="Arial" w:cs="Arial"/>
          <w:sz w:val="20"/>
          <w:szCs w:val="20"/>
          <w:u w:val="single"/>
        </w:rPr>
        <w:t>document collection</w:t>
      </w:r>
    </w:p>
    <w:p w:rsidR="00035DF3" w:rsidRPr="00153ECD" w:rsidRDefault="00386CEB" w:rsidP="00EE672C">
      <w:pPr>
        <w:spacing w:after="0" w:line="480" w:lineRule="auto"/>
        <w:rPr>
          <w:rFonts w:ascii="Arial" w:eastAsia="Arial" w:hAnsi="Arial" w:cs="Arial"/>
          <w:sz w:val="20"/>
          <w:szCs w:val="20"/>
        </w:rPr>
      </w:pPr>
      <w:r>
        <w:rPr>
          <w:rFonts w:ascii="Arial" w:eastAsia="Arial" w:hAnsi="Arial" w:cs="Arial"/>
          <w:sz w:val="20"/>
          <w:szCs w:val="20"/>
        </w:rPr>
        <w:t xml:space="preserve">Guidelines were sought nationally for inclusion in </w:t>
      </w:r>
      <w:r w:rsidR="001823D2">
        <w:rPr>
          <w:rFonts w:ascii="Arial" w:eastAsia="Arial" w:hAnsi="Arial" w:cs="Arial"/>
          <w:sz w:val="20"/>
          <w:szCs w:val="20"/>
        </w:rPr>
        <w:t>the analysis. This was done</w:t>
      </w:r>
      <w:r>
        <w:rPr>
          <w:rFonts w:ascii="Arial" w:eastAsia="Arial" w:hAnsi="Arial" w:cs="Arial"/>
          <w:sz w:val="20"/>
          <w:szCs w:val="20"/>
        </w:rPr>
        <w:t xml:space="preserve"> through email requests</w:t>
      </w:r>
      <w:r w:rsidR="001823D2">
        <w:rPr>
          <w:rFonts w:ascii="Arial" w:eastAsia="Arial" w:hAnsi="Arial" w:cs="Arial"/>
          <w:sz w:val="20"/>
          <w:szCs w:val="20"/>
        </w:rPr>
        <w:t>, website</w:t>
      </w:r>
      <w:r>
        <w:rPr>
          <w:rFonts w:ascii="Arial" w:eastAsia="Arial" w:hAnsi="Arial" w:cs="Arial"/>
          <w:sz w:val="20"/>
          <w:szCs w:val="20"/>
        </w:rPr>
        <w:t xml:space="preserve"> and database searches. </w:t>
      </w:r>
      <w:r w:rsidR="003C7332" w:rsidRPr="00153ECD">
        <w:rPr>
          <w:rFonts w:ascii="Arial" w:eastAsia="Arial" w:hAnsi="Arial" w:cs="Arial"/>
          <w:sz w:val="20"/>
          <w:szCs w:val="20"/>
        </w:rPr>
        <w:t>Email requests f</w:t>
      </w:r>
      <w:r w:rsidR="00035DF3" w:rsidRPr="00153ECD">
        <w:rPr>
          <w:rFonts w:ascii="Arial" w:eastAsia="Arial" w:hAnsi="Arial" w:cs="Arial"/>
          <w:sz w:val="20"/>
          <w:szCs w:val="20"/>
        </w:rPr>
        <w:t xml:space="preserve">or </w:t>
      </w:r>
      <w:r w:rsidR="001823D2">
        <w:rPr>
          <w:rFonts w:ascii="Arial" w:eastAsia="Arial" w:hAnsi="Arial" w:cs="Arial"/>
          <w:sz w:val="20"/>
          <w:szCs w:val="20"/>
        </w:rPr>
        <w:t>unlicensed</w:t>
      </w:r>
      <w:r>
        <w:rPr>
          <w:rFonts w:ascii="Arial" w:eastAsia="Arial" w:hAnsi="Arial" w:cs="Arial"/>
          <w:sz w:val="20"/>
          <w:szCs w:val="20"/>
        </w:rPr>
        <w:t xml:space="preserve"> medicines </w:t>
      </w:r>
      <w:r w:rsidR="00C30477">
        <w:rPr>
          <w:rFonts w:ascii="Arial" w:eastAsia="Arial" w:hAnsi="Arial" w:cs="Arial"/>
          <w:sz w:val="20"/>
          <w:szCs w:val="20"/>
        </w:rPr>
        <w:t>guidelines</w:t>
      </w:r>
      <w:r w:rsidR="003C7332" w:rsidRPr="00153ECD">
        <w:rPr>
          <w:rFonts w:ascii="Arial" w:eastAsia="Arial" w:hAnsi="Arial" w:cs="Arial"/>
          <w:sz w:val="20"/>
          <w:szCs w:val="20"/>
        </w:rPr>
        <w:t xml:space="preserve"> were</w:t>
      </w:r>
      <w:r w:rsidR="00035DF3" w:rsidRPr="00153ECD">
        <w:rPr>
          <w:rFonts w:ascii="Arial" w:eastAsia="Arial" w:hAnsi="Arial" w:cs="Arial"/>
          <w:sz w:val="20"/>
          <w:szCs w:val="20"/>
        </w:rPr>
        <w:t xml:space="preserve"> </w:t>
      </w:r>
      <w:r>
        <w:rPr>
          <w:rFonts w:ascii="Arial" w:eastAsia="Arial" w:hAnsi="Arial" w:cs="Arial"/>
          <w:sz w:val="20"/>
          <w:szCs w:val="20"/>
        </w:rPr>
        <w:t>sent out locally and nationally through networks including</w:t>
      </w:r>
      <w:r w:rsidR="00035DF3" w:rsidRPr="00153ECD">
        <w:rPr>
          <w:rFonts w:ascii="Arial" w:eastAsia="Arial" w:hAnsi="Arial" w:cs="Arial"/>
          <w:sz w:val="20"/>
          <w:szCs w:val="20"/>
        </w:rPr>
        <w:t xml:space="preserve"> local pharmaceutical committees</w:t>
      </w:r>
      <w:r>
        <w:rPr>
          <w:rFonts w:ascii="Arial" w:eastAsia="Arial" w:hAnsi="Arial" w:cs="Arial"/>
          <w:sz w:val="20"/>
          <w:szCs w:val="20"/>
        </w:rPr>
        <w:t>,</w:t>
      </w:r>
      <w:r w:rsidR="00035DF3" w:rsidRPr="00153ECD">
        <w:rPr>
          <w:rFonts w:ascii="Arial" w:eastAsia="Arial" w:hAnsi="Arial" w:cs="Arial"/>
          <w:sz w:val="20"/>
          <w:szCs w:val="20"/>
        </w:rPr>
        <w:t xml:space="preserve"> medicines management </w:t>
      </w:r>
      <w:r>
        <w:rPr>
          <w:rFonts w:ascii="Arial" w:eastAsia="Arial" w:hAnsi="Arial" w:cs="Arial"/>
          <w:sz w:val="20"/>
          <w:szCs w:val="20"/>
        </w:rPr>
        <w:t xml:space="preserve">service </w:t>
      </w:r>
      <w:r w:rsidR="00035DF3" w:rsidRPr="00153ECD">
        <w:rPr>
          <w:rFonts w:ascii="Arial" w:eastAsia="Arial" w:hAnsi="Arial" w:cs="Arial"/>
          <w:sz w:val="20"/>
          <w:szCs w:val="20"/>
        </w:rPr>
        <w:t>providers</w:t>
      </w:r>
      <w:r w:rsidR="00470DB3" w:rsidRPr="00153ECD">
        <w:rPr>
          <w:rFonts w:ascii="Arial" w:eastAsia="Arial" w:hAnsi="Arial" w:cs="Arial"/>
          <w:sz w:val="20"/>
          <w:szCs w:val="20"/>
        </w:rPr>
        <w:t xml:space="preserve">, </w:t>
      </w:r>
      <w:r w:rsidR="00035DF3" w:rsidRPr="00153ECD">
        <w:rPr>
          <w:rFonts w:ascii="Arial" w:eastAsia="Arial" w:hAnsi="Arial" w:cs="Arial"/>
          <w:sz w:val="20"/>
          <w:szCs w:val="20"/>
        </w:rPr>
        <w:t>the Associatio</w:t>
      </w:r>
      <w:r w:rsidR="002A4BD9" w:rsidRPr="00153ECD">
        <w:rPr>
          <w:rFonts w:ascii="Arial" w:eastAsia="Arial" w:hAnsi="Arial" w:cs="Arial"/>
          <w:sz w:val="20"/>
          <w:szCs w:val="20"/>
        </w:rPr>
        <w:t>n of English Chief Pharmacists N</w:t>
      </w:r>
      <w:r w:rsidR="00035DF3" w:rsidRPr="00153ECD">
        <w:rPr>
          <w:rFonts w:ascii="Arial" w:eastAsia="Arial" w:hAnsi="Arial" w:cs="Arial"/>
          <w:sz w:val="20"/>
          <w:szCs w:val="20"/>
        </w:rPr>
        <w:t>etwork</w:t>
      </w:r>
      <w:r w:rsidR="00470DB3" w:rsidRPr="00153ECD">
        <w:rPr>
          <w:rFonts w:ascii="Arial" w:eastAsia="Arial" w:hAnsi="Arial" w:cs="Arial"/>
          <w:sz w:val="20"/>
          <w:szCs w:val="20"/>
        </w:rPr>
        <w:t>,</w:t>
      </w:r>
      <w:r w:rsidR="00035DF3" w:rsidRPr="00153ECD">
        <w:rPr>
          <w:rFonts w:ascii="Arial" w:eastAsia="Arial" w:hAnsi="Arial" w:cs="Arial"/>
          <w:sz w:val="20"/>
          <w:szCs w:val="20"/>
        </w:rPr>
        <w:t xml:space="preserve"> </w:t>
      </w:r>
      <w:r>
        <w:rPr>
          <w:rFonts w:ascii="Arial" w:eastAsia="Arial" w:hAnsi="Arial" w:cs="Arial"/>
          <w:sz w:val="20"/>
          <w:szCs w:val="20"/>
        </w:rPr>
        <w:t>the Association of British Pharmaceutical S</w:t>
      </w:r>
      <w:r w:rsidR="00035DF3" w:rsidRPr="00153ECD">
        <w:rPr>
          <w:rFonts w:ascii="Arial" w:eastAsia="Arial" w:hAnsi="Arial" w:cs="Arial"/>
          <w:sz w:val="20"/>
          <w:szCs w:val="20"/>
        </w:rPr>
        <w:t>pecial</w:t>
      </w:r>
      <w:r>
        <w:rPr>
          <w:rFonts w:ascii="Arial" w:eastAsia="Arial" w:hAnsi="Arial" w:cs="Arial"/>
          <w:sz w:val="20"/>
          <w:szCs w:val="20"/>
        </w:rPr>
        <w:t>s</w:t>
      </w:r>
      <w:r w:rsidR="00035DF3" w:rsidRPr="00153ECD">
        <w:rPr>
          <w:rFonts w:ascii="Arial" w:eastAsia="Arial" w:hAnsi="Arial" w:cs="Arial"/>
          <w:sz w:val="20"/>
          <w:szCs w:val="20"/>
        </w:rPr>
        <w:t xml:space="preserve"> </w:t>
      </w:r>
      <w:r>
        <w:rPr>
          <w:rFonts w:ascii="Arial" w:eastAsia="Arial" w:hAnsi="Arial" w:cs="Arial"/>
          <w:sz w:val="20"/>
          <w:szCs w:val="20"/>
        </w:rPr>
        <w:t xml:space="preserve">Manufacturers and </w:t>
      </w:r>
      <w:r w:rsidR="00035DF3" w:rsidRPr="00153ECD">
        <w:rPr>
          <w:rFonts w:ascii="Arial" w:eastAsia="Arial" w:hAnsi="Arial" w:cs="Arial"/>
          <w:sz w:val="20"/>
          <w:szCs w:val="20"/>
        </w:rPr>
        <w:t xml:space="preserve">the Company Chemists Association. </w:t>
      </w:r>
      <w:r>
        <w:rPr>
          <w:rFonts w:ascii="Arial" w:eastAsia="Arial" w:hAnsi="Arial" w:cs="Arial"/>
          <w:sz w:val="20"/>
          <w:szCs w:val="20"/>
        </w:rPr>
        <w:t>Notices were also added to electronic discu</w:t>
      </w:r>
      <w:r w:rsidR="009327E3">
        <w:rPr>
          <w:rFonts w:ascii="Arial" w:eastAsia="Arial" w:hAnsi="Arial" w:cs="Arial"/>
          <w:sz w:val="20"/>
          <w:szCs w:val="20"/>
        </w:rPr>
        <w:t>ssion boards on</w:t>
      </w:r>
      <w:r>
        <w:rPr>
          <w:rFonts w:ascii="Arial" w:eastAsia="Arial" w:hAnsi="Arial" w:cs="Arial"/>
          <w:sz w:val="20"/>
          <w:szCs w:val="20"/>
        </w:rPr>
        <w:t xml:space="preserve"> the UK Clinical Pharmacy Association and the Royal Pharmaceutical Society</w:t>
      </w:r>
      <w:r w:rsidR="009327E3">
        <w:rPr>
          <w:rFonts w:ascii="Arial" w:eastAsia="Arial" w:hAnsi="Arial" w:cs="Arial"/>
          <w:sz w:val="20"/>
          <w:szCs w:val="20"/>
        </w:rPr>
        <w:t xml:space="preserve"> networks</w:t>
      </w:r>
      <w:r>
        <w:rPr>
          <w:rFonts w:ascii="Arial" w:eastAsia="Arial" w:hAnsi="Arial" w:cs="Arial"/>
          <w:sz w:val="20"/>
          <w:szCs w:val="20"/>
        </w:rPr>
        <w:t xml:space="preserve">. </w:t>
      </w:r>
      <w:r w:rsidR="008A5292">
        <w:rPr>
          <w:rFonts w:ascii="Arial" w:eastAsia="Arial" w:hAnsi="Arial" w:cs="Arial"/>
          <w:sz w:val="20"/>
          <w:szCs w:val="20"/>
        </w:rPr>
        <w:t xml:space="preserve">The request </w:t>
      </w:r>
      <w:r w:rsidR="001500EE">
        <w:rPr>
          <w:rFonts w:ascii="Arial" w:eastAsia="Arial" w:hAnsi="Arial" w:cs="Arial"/>
          <w:sz w:val="20"/>
          <w:szCs w:val="20"/>
        </w:rPr>
        <w:t>sought</w:t>
      </w:r>
      <w:r w:rsidR="008A5292">
        <w:rPr>
          <w:rFonts w:ascii="Arial" w:eastAsia="Arial" w:hAnsi="Arial" w:cs="Arial"/>
          <w:sz w:val="20"/>
          <w:szCs w:val="20"/>
        </w:rPr>
        <w:t xml:space="preserve"> any </w:t>
      </w:r>
      <w:r w:rsidR="001500EE">
        <w:rPr>
          <w:rFonts w:ascii="Arial" w:eastAsia="Arial" w:hAnsi="Arial" w:cs="Arial"/>
          <w:sz w:val="20"/>
          <w:szCs w:val="20"/>
        </w:rPr>
        <w:t xml:space="preserve">existing </w:t>
      </w:r>
      <w:r w:rsidR="008A5292">
        <w:rPr>
          <w:rFonts w:ascii="Arial" w:eastAsia="Arial" w:hAnsi="Arial" w:cs="Arial"/>
          <w:sz w:val="20"/>
          <w:szCs w:val="20"/>
        </w:rPr>
        <w:t>documentation guid</w:t>
      </w:r>
      <w:r w:rsidR="001500EE">
        <w:rPr>
          <w:rFonts w:ascii="Arial" w:eastAsia="Arial" w:hAnsi="Arial" w:cs="Arial"/>
          <w:sz w:val="20"/>
          <w:szCs w:val="20"/>
        </w:rPr>
        <w:t>ing</w:t>
      </w:r>
      <w:r w:rsidR="008A5292">
        <w:rPr>
          <w:rFonts w:ascii="Arial" w:eastAsia="Arial" w:hAnsi="Arial" w:cs="Arial"/>
          <w:sz w:val="20"/>
          <w:szCs w:val="20"/>
        </w:rPr>
        <w:t xml:space="preserve"> the procurement, use, administration or dispensing of unlicensed medicines. </w:t>
      </w:r>
      <w:r w:rsidR="00923995" w:rsidRPr="00153ECD">
        <w:rPr>
          <w:rFonts w:ascii="Arial" w:eastAsia="Arial" w:hAnsi="Arial" w:cs="Arial"/>
          <w:sz w:val="20"/>
          <w:szCs w:val="20"/>
        </w:rPr>
        <w:t>NHS organisation</w:t>
      </w:r>
      <w:r w:rsidR="00F35EDF" w:rsidRPr="00153ECD">
        <w:rPr>
          <w:rFonts w:ascii="Arial" w:eastAsia="Arial" w:hAnsi="Arial" w:cs="Arial"/>
          <w:sz w:val="20"/>
          <w:szCs w:val="20"/>
        </w:rPr>
        <w:t xml:space="preserve"> websites</w:t>
      </w:r>
      <w:r w:rsidR="008E3162">
        <w:rPr>
          <w:rFonts w:ascii="Arial" w:eastAsia="Arial" w:hAnsi="Arial" w:cs="Arial"/>
          <w:sz w:val="20"/>
          <w:szCs w:val="20"/>
        </w:rPr>
        <w:t xml:space="preserve"> inc</w:t>
      </w:r>
      <w:r w:rsidR="007803E2">
        <w:rPr>
          <w:rFonts w:ascii="Arial" w:eastAsia="Arial" w:hAnsi="Arial" w:cs="Arial"/>
          <w:sz w:val="20"/>
          <w:szCs w:val="20"/>
        </w:rPr>
        <w:t>l</w:t>
      </w:r>
      <w:r w:rsidR="008E3162">
        <w:rPr>
          <w:rFonts w:ascii="Arial" w:eastAsia="Arial" w:hAnsi="Arial" w:cs="Arial"/>
          <w:sz w:val="20"/>
          <w:szCs w:val="20"/>
        </w:rPr>
        <w:t>uding</w:t>
      </w:r>
      <w:r w:rsidR="008E3162" w:rsidRPr="008E3162">
        <w:rPr>
          <w:rFonts w:ascii="Arial" w:eastAsia="Arial" w:hAnsi="Arial" w:cs="Arial"/>
          <w:sz w:val="20"/>
          <w:szCs w:val="20"/>
        </w:rPr>
        <w:t xml:space="preserve"> </w:t>
      </w:r>
      <w:r w:rsidR="008E3162" w:rsidRPr="00153ECD">
        <w:rPr>
          <w:rFonts w:ascii="Arial" w:eastAsia="Arial" w:hAnsi="Arial" w:cs="Arial"/>
          <w:sz w:val="20"/>
          <w:szCs w:val="20"/>
        </w:rPr>
        <w:t>NHS Trusts, Clinical Commissioning Groups and Local Pharmaceutical Committee</w:t>
      </w:r>
      <w:r w:rsidR="00923995" w:rsidRPr="00153ECD">
        <w:rPr>
          <w:rFonts w:ascii="Arial" w:eastAsia="Arial" w:hAnsi="Arial" w:cs="Arial"/>
          <w:sz w:val="20"/>
          <w:szCs w:val="20"/>
        </w:rPr>
        <w:t xml:space="preserve"> were</w:t>
      </w:r>
      <w:r w:rsidR="008A5292">
        <w:rPr>
          <w:rFonts w:ascii="Arial" w:eastAsia="Arial" w:hAnsi="Arial" w:cs="Arial"/>
          <w:sz w:val="20"/>
          <w:szCs w:val="20"/>
        </w:rPr>
        <w:t xml:space="preserve"> also</w:t>
      </w:r>
      <w:r w:rsidR="00035DF3" w:rsidRPr="00153ECD">
        <w:rPr>
          <w:rFonts w:ascii="Arial" w:eastAsia="Arial" w:hAnsi="Arial" w:cs="Arial"/>
          <w:sz w:val="20"/>
          <w:szCs w:val="20"/>
        </w:rPr>
        <w:t xml:space="preserve"> searched for </w:t>
      </w:r>
      <w:r w:rsidR="008E3162" w:rsidRPr="00153ECD">
        <w:rPr>
          <w:rFonts w:ascii="Arial" w:eastAsia="Arial" w:hAnsi="Arial" w:cs="Arial"/>
          <w:sz w:val="20"/>
          <w:szCs w:val="20"/>
        </w:rPr>
        <w:t xml:space="preserve">published </w:t>
      </w:r>
      <w:r w:rsidR="00794D70">
        <w:rPr>
          <w:rFonts w:ascii="Arial" w:eastAsia="Arial" w:hAnsi="Arial" w:cs="Arial"/>
          <w:sz w:val="20"/>
          <w:szCs w:val="20"/>
        </w:rPr>
        <w:t>guidelines</w:t>
      </w:r>
      <w:r w:rsidR="00035DF3" w:rsidRPr="00153ECD">
        <w:rPr>
          <w:rFonts w:ascii="Arial" w:eastAsia="Arial" w:hAnsi="Arial" w:cs="Arial"/>
          <w:sz w:val="20"/>
          <w:szCs w:val="20"/>
        </w:rPr>
        <w:t>.</w:t>
      </w:r>
      <w:r w:rsidR="001823D2">
        <w:rPr>
          <w:rFonts w:ascii="Arial" w:eastAsia="Arial" w:hAnsi="Arial" w:cs="Arial"/>
          <w:sz w:val="20"/>
          <w:szCs w:val="20"/>
        </w:rPr>
        <w:t xml:space="preserve"> Websites of health organisations within the North East and North Cumbria Local Clinical Research Network Area were also hand searched for published guidelines for inclusion.</w:t>
      </w:r>
    </w:p>
    <w:p w:rsidR="00923995" w:rsidRPr="00153ECD" w:rsidRDefault="00923995" w:rsidP="00EE672C">
      <w:pPr>
        <w:spacing w:after="0" w:line="480" w:lineRule="auto"/>
        <w:rPr>
          <w:rFonts w:ascii="Arial" w:eastAsia="Arial" w:hAnsi="Arial" w:cs="Arial"/>
          <w:sz w:val="20"/>
          <w:szCs w:val="20"/>
        </w:rPr>
      </w:pPr>
    </w:p>
    <w:p w:rsidR="00923995" w:rsidRPr="00153ECD" w:rsidRDefault="00B0112C" w:rsidP="00EE672C">
      <w:pPr>
        <w:spacing w:after="0" w:line="480" w:lineRule="auto"/>
        <w:rPr>
          <w:rFonts w:ascii="Arial" w:eastAsia="Times New Roman" w:hAnsi="Arial" w:cs="Arial"/>
          <w:sz w:val="20"/>
          <w:szCs w:val="20"/>
        </w:rPr>
      </w:pPr>
      <w:r w:rsidRPr="00153ECD">
        <w:rPr>
          <w:rFonts w:ascii="Arial" w:eastAsia="Arial" w:hAnsi="Arial" w:cs="Arial"/>
          <w:sz w:val="20"/>
          <w:szCs w:val="20"/>
        </w:rPr>
        <w:t>A search for</w:t>
      </w:r>
      <w:r w:rsidR="00923995" w:rsidRPr="00153ECD">
        <w:rPr>
          <w:rFonts w:ascii="Arial" w:eastAsia="Arial" w:hAnsi="Arial" w:cs="Arial"/>
          <w:sz w:val="20"/>
          <w:szCs w:val="20"/>
        </w:rPr>
        <w:t xml:space="preserve"> </w:t>
      </w:r>
      <w:r w:rsidR="00C30477">
        <w:rPr>
          <w:rFonts w:ascii="Arial" w:eastAsia="Arial" w:hAnsi="Arial" w:cs="Arial"/>
          <w:sz w:val="20"/>
          <w:szCs w:val="20"/>
        </w:rPr>
        <w:t>guidelines</w:t>
      </w:r>
      <w:r w:rsidR="001500EE">
        <w:rPr>
          <w:rFonts w:ascii="Arial" w:eastAsia="Arial" w:hAnsi="Arial" w:cs="Arial"/>
          <w:sz w:val="20"/>
          <w:szCs w:val="20"/>
        </w:rPr>
        <w:t xml:space="preserve"> from </w:t>
      </w:r>
      <w:r w:rsidR="00923995" w:rsidRPr="00153ECD">
        <w:rPr>
          <w:rFonts w:ascii="Arial" w:eastAsia="Arial" w:hAnsi="Arial" w:cs="Arial"/>
          <w:sz w:val="20"/>
          <w:szCs w:val="20"/>
        </w:rPr>
        <w:t xml:space="preserve">published literature was also performed </w:t>
      </w:r>
      <w:r w:rsidR="00386CEB">
        <w:rPr>
          <w:rFonts w:ascii="Arial" w:eastAsia="Arial" w:hAnsi="Arial" w:cs="Arial"/>
          <w:sz w:val="20"/>
          <w:szCs w:val="20"/>
        </w:rPr>
        <w:t>between</w:t>
      </w:r>
      <w:r w:rsidR="00C50DC1">
        <w:rPr>
          <w:rFonts w:ascii="Arial" w:eastAsia="Arial" w:hAnsi="Arial" w:cs="Arial"/>
          <w:sz w:val="20"/>
          <w:szCs w:val="20"/>
        </w:rPr>
        <w:t xml:space="preserve"> May 2015 and June </w:t>
      </w:r>
      <w:r w:rsidR="00386CEB" w:rsidRPr="00C50DC1">
        <w:rPr>
          <w:rFonts w:ascii="Arial" w:eastAsia="Arial" w:hAnsi="Arial" w:cs="Arial"/>
          <w:sz w:val="20"/>
          <w:szCs w:val="20"/>
        </w:rPr>
        <w:t>201</w:t>
      </w:r>
      <w:r w:rsidR="00C50DC1" w:rsidRPr="00C50DC1">
        <w:rPr>
          <w:rFonts w:ascii="Arial" w:eastAsia="Arial" w:hAnsi="Arial" w:cs="Arial"/>
          <w:sz w:val="20"/>
          <w:szCs w:val="20"/>
        </w:rPr>
        <w:t>5</w:t>
      </w:r>
      <w:r w:rsidR="00386CEB">
        <w:rPr>
          <w:rFonts w:ascii="Arial" w:eastAsia="Arial" w:hAnsi="Arial" w:cs="Arial"/>
          <w:sz w:val="20"/>
          <w:szCs w:val="20"/>
        </w:rPr>
        <w:t>, searching</w:t>
      </w:r>
      <w:r w:rsidR="009327E3">
        <w:rPr>
          <w:rFonts w:ascii="Arial" w:eastAsia="Arial" w:hAnsi="Arial" w:cs="Arial"/>
          <w:sz w:val="20"/>
          <w:szCs w:val="20"/>
        </w:rPr>
        <w:t xml:space="preserve"> the</w:t>
      </w:r>
      <w:r w:rsidR="00386CEB">
        <w:rPr>
          <w:rFonts w:ascii="Arial" w:eastAsia="Arial" w:hAnsi="Arial" w:cs="Arial"/>
          <w:sz w:val="20"/>
          <w:szCs w:val="20"/>
        </w:rPr>
        <w:t xml:space="preserve"> full text articles </w:t>
      </w:r>
      <w:r w:rsidR="00923995" w:rsidRPr="00153ECD">
        <w:rPr>
          <w:rFonts w:ascii="Arial" w:eastAsia="Arial" w:hAnsi="Arial" w:cs="Arial"/>
          <w:sz w:val="20"/>
          <w:szCs w:val="20"/>
        </w:rPr>
        <w:t>using the search terms "unlicensed</w:t>
      </w:r>
      <w:r w:rsidR="00470DB3" w:rsidRPr="00153ECD">
        <w:rPr>
          <w:rFonts w:ascii="Arial" w:eastAsia="Arial" w:hAnsi="Arial" w:cs="Arial"/>
          <w:sz w:val="20"/>
          <w:szCs w:val="20"/>
        </w:rPr>
        <w:t xml:space="preserve"> medicine</w:t>
      </w:r>
      <w:r w:rsidR="00923995" w:rsidRPr="00153ECD">
        <w:rPr>
          <w:rFonts w:ascii="Arial" w:eastAsia="Arial" w:hAnsi="Arial" w:cs="Arial"/>
          <w:sz w:val="20"/>
          <w:szCs w:val="20"/>
        </w:rPr>
        <w:t>"</w:t>
      </w:r>
      <w:r w:rsidR="00470DB3" w:rsidRPr="00153ECD">
        <w:rPr>
          <w:rFonts w:ascii="Arial" w:eastAsia="Arial" w:hAnsi="Arial" w:cs="Arial"/>
          <w:sz w:val="20"/>
          <w:szCs w:val="20"/>
        </w:rPr>
        <w:t xml:space="preserve"> </w:t>
      </w:r>
      <w:proofErr w:type="gramStart"/>
      <w:r w:rsidR="00470DB3" w:rsidRPr="00153ECD">
        <w:rPr>
          <w:rFonts w:ascii="Arial" w:eastAsia="Arial" w:hAnsi="Arial" w:cs="Arial"/>
          <w:sz w:val="20"/>
          <w:szCs w:val="20"/>
        </w:rPr>
        <w:t>OR</w:t>
      </w:r>
      <w:r w:rsidR="00923995" w:rsidRPr="00153ECD">
        <w:rPr>
          <w:rFonts w:ascii="Arial" w:eastAsia="Arial" w:hAnsi="Arial" w:cs="Arial"/>
          <w:sz w:val="20"/>
          <w:szCs w:val="20"/>
        </w:rPr>
        <w:t xml:space="preserve">  "</w:t>
      </w:r>
      <w:proofErr w:type="gramEnd"/>
      <w:r w:rsidR="00923995" w:rsidRPr="00153ECD">
        <w:rPr>
          <w:rFonts w:ascii="Arial" w:eastAsia="Arial" w:hAnsi="Arial" w:cs="Arial"/>
          <w:sz w:val="20"/>
          <w:szCs w:val="20"/>
        </w:rPr>
        <w:t xml:space="preserve">specials" </w:t>
      </w:r>
      <w:r w:rsidR="00470DB3" w:rsidRPr="00153ECD">
        <w:rPr>
          <w:rFonts w:ascii="Arial" w:eastAsia="Arial" w:hAnsi="Arial" w:cs="Arial"/>
          <w:sz w:val="20"/>
          <w:szCs w:val="20"/>
        </w:rPr>
        <w:t xml:space="preserve">AND “policy” OR “guideline” OR “framework” OR “standard operating procedure” OR “standardized operating procedure” OR “recommendation” </w:t>
      </w:r>
      <w:r w:rsidR="00923995" w:rsidRPr="00153ECD">
        <w:rPr>
          <w:rFonts w:ascii="Arial" w:eastAsia="Arial" w:hAnsi="Arial" w:cs="Arial"/>
          <w:sz w:val="20"/>
          <w:szCs w:val="20"/>
        </w:rPr>
        <w:t xml:space="preserve">in Medline, International Pharmaceutical Abstracts, ISI Web of Knowledge, </w:t>
      </w:r>
      <w:proofErr w:type="spellStart"/>
      <w:r w:rsidR="00923995" w:rsidRPr="00153ECD">
        <w:rPr>
          <w:rFonts w:ascii="Arial" w:eastAsia="Arial" w:hAnsi="Arial" w:cs="Arial"/>
          <w:sz w:val="20"/>
          <w:szCs w:val="20"/>
        </w:rPr>
        <w:t>PubMed</w:t>
      </w:r>
      <w:proofErr w:type="spellEnd"/>
      <w:r w:rsidR="00923995" w:rsidRPr="00153ECD">
        <w:rPr>
          <w:rFonts w:ascii="Arial" w:eastAsia="Arial" w:hAnsi="Arial" w:cs="Arial"/>
          <w:sz w:val="20"/>
          <w:szCs w:val="20"/>
        </w:rPr>
        <w:t xml:space="preserve">, </w:t>
      </w:r>
      <w:proofErr w:type="spellStart"/>
      <w:r w:rsidR="00923995" w:rsidRPr="00153ECD">
        <w:rPr>
          <w:rFonts w:ascii="Arial" w:eastAsia="Arial" w:hAnsi="Arial" w:cs="Arial"/>
          <w:sz w:val="20"/>
          <w:szCs w:val="20"/>
        </w:rPr>
        <w:t>Embase</w:t>
      </w:r>
      <w:proofErr w:type="spellEnd"/>
      <w:r w:rsidR="00923995" w:rsidRPr="00153ECD">
        <w:rPr>
          <w:rFonts w:ascii="Arial" w:eastAsia="Arial" w:hAnsi="Arial" w:cs="Arial"/>
          <w:sz w:val="20"/>
          <w:szCs w:val="20"/>
        </w:rPr>
        <w:t xml:space="preserve"> and Google Scholar</w:t>
      </w:r>
      <w:r w:rsidR="000252DA" w:rsidRPr="00153ECD">
        <w:rPr>
          <w:rFonts w:ascii="Arial" w:eastAsia="Arial" w:hAnsi="Arial" w:cs="Arial"/>
          <w:sz w:val="20"/>
          <w:szCs w:val="20"/>
        </w:rPr>
        <w:t xml:space="preserve"> (Figure 1)</w:t>
      </w:r>
      <w:r w:rsidR="00923995" w:rsidRPr="00153ECD">
        <w:rPr>
          <w:rFonts w:ascii="Arial" w:eastAsia="Arial" w:hAnsi="Arial" w:cs="Arial"/>
          <w:sz w:val="20"/>
          <w:szCs w:val="20"/>
        </w:rPr>
        <w:t>.</w:t>
      </w:r>
    </w:p>
    <w:p w:rsidR="00923995" w:rsidRPr="00153ECD" w:rsidRDefault="00923995" w:rsidP="00EE672C">
      <w:pPr>
        <w:spacing w:after="0" w:line="480" w:lineRule="auto"/>
        <w:rPr>
          <w:rFonts w:ascii="Arial" w:eastAsia="Times New Roman" w:hAnsi="Arial" w:cs="Arial"/>
          <w:sz w:val="20"/>
          <w:szCs w:val="20"/>
        </w:rPr>
      </w:pPr>
    </w:p>
    <w:p w:rsidR="00035DF3" w:rsidRPr="00153ECD" w:rsidRDefault="00923995" w:rsidP="00EE672C">
      <w:pPr>
        <w:spacing w:after="0" w:line="480" w:lineRule="auto"/>
        <w:rPr>
          <w:rFonts w:ascii="Arial" w:eastAsia="Times New Roman" w:hAnsi="Arial" w:cs="Arial"/>
          <w:sz w:val="20"/>
          <w:szCs w:val="20"/>
        </w:rPr>
      </w:pPr>
      <w:r w:rsidRPr="00153ECD">
        <w:rPr>
          <w:rFonts w:ascii="Arial" w:eastAsia="Times New Roman" w:hAnsi="Arial" w:cs="Arial"/>
          <w:sz w:val="20"/>
          <w:szCs w:val="20"/>
        </w:rPr>
        <w:t xml:space="preserve">Evaluation </w:t>
      </w:r>
      <w:r w:rsidR="001500EE">
        <w:rPr>
          <w:rFonts w:ascii="Arial" w:eastAsia="Times New Roman" w:hAnsi="Arial" w:cs="Arial"/>
          <w:sz w:val="20"/>
          <w:szCs w:val="20"/>
        </w:rPr>
        <w:t xml:space="preserve">of the </w:t>
      </w:r>
      <w:r w:rsidR="00C30477">
        <w:rPr>
          <w:rFonts w:ascii="Arial" w:eastAsia="Times New Roman" w:hAnsi="Arial" w:cs="Arial"/>
          <w:sz w:val="20"/>
          <w:szCs w:val="20"/>
        </w:rPr>
        <w:t>guidelines</w:t>
      </w:r>
      <w:r w:rsidR="001500EE">
        <w:rPr>
          <w:rFonts w:ascii="Arial" w:eastAsia="Times New Roman" w:hAnsi="Arial" w:cs="Arial"/>
          <w:sz w:val="20"/>
          <w:szCs w:val="20"/>
        </w:rPr>
        <w:t xml:space="preserve"> </w:t>
      </w:r>
      <w:r w:rsidRPr="00153ECD">
        <w:rPr>
          <w:rFonts w:ascii="Arial" w:eastAsia="Times New Roman" w:hAnsi="Arial" w:cs="Arial"/>
          <w:sz w:val="20"/>
          <w:szCs w:val="20"/>
        </w:rPr>
        <w:t>was carried out</w:t>
      </w:r>
      <w:r w:rsidR="00035DF3" w:rsidRPr="00153ECD">
        <w:rPr>
          <w:rFonts w:ascii="Arial" w:eastAsia="Arial" w:hAnsi="Arial" w:cs="Arial"/>
          <w:sz w:val="20"/>
          <w:szCs w:val="20"/>
        </w:rPr>
        <w:t xml:space="preserve"> against i</w:t>
      </w:r>
      <w:r w:rsidR="00B0112C" w:rsidRPr="00153ECD">
        <w:rPr>
          <w:rFonts w:ascii="Arial" w:eastAsia="Arial" w:hAnsi="Arial" w:cs="Arial"/>
          <w:sz w:val="20"/>
          <w:szCs w:val="20"/>
        </w:rPr>
        <w:t>nclusion and exclusion criteria</w:t>
      </w:r>
      <w:r w:rsidR="00035DF3" w:rsidRPr="00153ECD">
        <w:rPr>
          <w:rFonts w:ascii="Arial" w:eastAsia="Arial" w:hAnsi="Arial" w:cs="Arial"/>
          <w:sz w:val="20"/>
          <w:szCs w:val="20"/>
        </w:rPr>
        <w:t xml:space="preserve"> </w:t>
      </w:r>
      <w:r w:rsidR="00B0112C" w:rsidRPr="00153ECD">
        <w:rPr>
          <w:rFonts w:ascii="Arial" w:eastAsia="Arial" w:hAnsi="Arial" w:cs="Arial"/>
          <w:sz w:val="20"/>
          <w:szCs w:val="20"/>
        </w:rPr>
        <w:t>(</w:t>
      </w:r>
      <w:r w:rsidR="00035DF3" w:rsidRPr="00153ECD">
        <w:rPr>
          <w:rFonts w:ascii="Arial" w:eastAsia="Arial" w:hAnsi="Arial" w:cs="Arial"/>
          <w:sz w:val="20"/>
          <w:szCs w:val="20"/>
        </w:rPr>
        <w:t>Table 1</w:t>
      </w:r>
      <w:r w:rsidR="00B0112C" w:rsidRPr="00153ECD">
        <w:rPr>
          <w:rFonts w:ascii="Arial" w:eastAsia="Arial" w:hAnsi="Arial" w:cs="Arial"/>
          <w:sz w:val="20"/>
          <w:szCs w:val="20"/>
        </w:rPr>
        <w:t>)</w:t>
      </w:r>
      <w:r w:rsidR="00035DF3" w:rsidRPr="00153ECD">
        <w:rPr>
          <w:rFonts w:ascii="Arial" w:eastAsia="Arial" w:hAnsi="Arial" w:cs="Arial"/>
          <w:sz w:val="20"/>
          <w:szCs w:val="20"/>
        </w:rPr>
        <w:t>.  Where guideline</w:t>
      </w:r>
      <w:r w:rsidR="0002610E" w:rsidRPr="00153ECD">
        <w:rPr>
          <w:rFonts w:ascii="Arial" w:eastAsia="Arial" w:hAnsi="Arial" w:cs="Arial"/>
          <w:sz w:val="20"/>
          <w:szCs w:val="20"/>
        </w:rPr>
        <w:t>s covered more than</w:t>
      </w:r>
      <w:r w:rsidR="00035DF3" w:rsidRPr="00153ECD">
        <w:rPr>
          <w:rFonts w:ascii="Arial" w:eastAsia="Arial" w:hAnsi="Arial" w:cs="Arial"/>
          <w:sz w:val="20"/>
          <w:szCs w:val="20"/>
        </w:rPr>
        <w:t xml:space="preserve"> the use of unlicensed medicin</w:t>
      </w:r>
      <w:r w:rsidR="0002610E" w:rsidRPr="00153ECD">
        <w:rPr>
          <w:rFonts w:ascii="Arial" w:eastAsia="Arial" w:hAnsi="Arial" w:cs="Arial"/>
          <w:sz w:val="20"/>
          <w:szCs w:val="20"/>
        </w:rPr>
        <w:t>es</w:t>
      </w:r>
      <w:r w:rsidR="00035DF3" w:rsidRPr="00153ECD">
        <w:rPr>
          <w:rFonts w:ascii="Arial" w:eastAsia="Arial" w:hAnsi="Arial" w:cs="Arial"/>
          <w:sz w:val="20"/>
          <w:szCs w:val="20"/>
        </w:rPr>
        <w:t xml:space="preserve"> e.g. prescribing policies, only </w:t>
      </w:r>
      <w:r w:rsidRPr="00153ECD">
        <w:rPr>
          <w:rFonts w:ascii="Arial" w:eastAsia="Arial" w:hAnsi="Arial" w:cs="Arial"/>
          <w:sz w:val="20"/>
          <w:szCs w:val="20"/>
        </w:rPr>
        <w:t>the relevant sections</w:t>
      </w:r>
      <w:r w:rsidR="0002610E" w:rsidRPr="00153ECD">
        <w:rPr>
          <w:rFonts w:ascii="Arial" w:eastAsia="Arial" w:hAnsi="Arial" w:cs="Arial"/>
          <w:sz w:val="20"/>
          <w:szCs w:val="20"/>
        </w:rPr>
        <w:t xml:space="preserve"> </w:t>
      </w:r>
      <w:r w:rsidR="00B0112C" w:rsidRPr="00153ECD">
        <w:rPr>
          <w:rFonts w:ascii="Arial" w:eastAsia="Arial" w:hAnsi="Arial" w:cs="Arial"/>
          <w:sz w:val="20"/>
          <w:szCs w:val="20"/>
        </w:rPr>
        <w:t>were included in the</w:t>
      </w:r>
      <w:r w:rsidR="00035DF3" w:rsidRPr="00153ECD">
        <w:rPr>
          <w:rFonts w:ascii="Arial" w:eastAsia="Arial" w:hAnsi="Arial" w:cs="Arial"/>
          <w:sz w:val="20"/>
          <w:szCs w:val="20"/>
        </w:rPr>
        <w:t xml:space="preserve"> analysis.</w:t>
      </w:r>
      <w:r w:rsidR="008E3162">
        <w:rPr>
          <w:rFonts w:ascii="Arial" w:eastAsia="Arial" w:hAnsi="Arial" w:cs="Arial"/>
          <w:sz w:val="20"/>
          <w:szCs w:val="20"/>
        </w:rPr>
        <w:t xml:space="preserve"> </w:t>
      </w:r>
      <w:r w:rsidR="00035DF3" w:rsidRPr="00153ECD">
        <w:rPr>
          <w:rFonts w:ascii="Arial" w:eastAsia="Arial" w:hAnsi="Arial" w:cs="Arial"/>
          <w:sz w:val="20"/>
          <w:szCs w:val="20"/>
        </w:rPr>
        <w:t xml:space="preserve">For </w:t>
      </w:r>
      <w:r w:rsidR="0070653F">
        <w:rPr>
          <w:rFonts w:ascii="Arial" w:eastAsia="Arial" w:hAnsi="Arial" w:cs="Arial"/>
          <w:sz w:val="20"/>
          <w:szCs w:val="20"/>
        </w:rPr>
        <w:t>the purpose of this guideline analysis</w:t>
      </w:r>
      <w:r w:rsidRPr="00153ECD">
        <w:rPr>
          <w:rFonts w:ascii="Arial" w:eastAsia="Arial" w:hAnsi="Arial" w:cs="Arial"/>
          <w:sz w:val="20"/>
          <w:szCs w:val="20"/>
        </w:rPr>
        <w:t>,</w:t>
      </w:r>
      <w:r w:rsidR="00035DF3" w:rsidRPr="00153ECD">
        <w:rPr>
          <w:rFonts w:ascii="Arial" w:eastAsia="Arial" w:hAnsi="Arial" w:cs="Arial"/>
          <w:sz w:val="20"/>
          <w:szCs w:val="20"/>
        </w:rPr>
        <w:t xml:space="preserve"> </w:t>
      </w:r>
      <w:r w:rsidR="00B0112C" w:rsidRPr="00153ECD">
        <w:rPr>
          <w:rFonts w:ascii="Arial" w:eastAsia="Arial" w:hAnsi="Arial" w:cs="Arial"/>
          <w:sz w:val="20"/>
          <w:szCs w:val="20"/>
        </w:rPr>
        <w:t xml:space="preserve">we defined an </w:t>
      </w:r>
      <w:r w:rsidR="00035DF3" w:rsidRPr="00153ECD">
        <w:rPr>
          <w:rFonts w:ascii="Arial" w:eastAsia="Arial" w:hAnsi="Arial" w:cs="Arial"/>
          <w:sz w:val="20"/>
          <w:szCs w:val="20"/>
        </w:rPr>
        <w:t>unl</w:t>
      </w:r>
      <w:r w:rsidRPr="00153ECD">
        <w:rPr>
          <w:rFonts w:ascii="Arial" w:eastAsia="Arial" w:hAnsi="Arial" w:cs="Arial"/>
          <w:sz w:val="20"/>
          <w:szCs w:val="20"/>
        </w:rPr>
        <w:t>icensed medicine</w:t>
      </w:r>
      <w:r w:rsidR="00B55403" w:rsidRPr="00153ECD">
        <w:rPr>
          <w:rFonts w:ascii="Arial" w:eastAsia="Arial" w:hAnsi="Arial" w:cs="Arial"/>
          <w:sz w:val="20"/>
          <w:szCs w:val="20"/>
        </w:rPr>
        <w:t xml:space="preserve"> </w:t>
      </w:r>
      <w:r w:rsidR="00176A1A" w:rsidRPr="00153ECD">
        <w:rPr>
          <w:rFonts w:ascii="Arial" w:eastAsia="Arial" w:hAnsi="Arial" w:cs="Arial"/>
          <w:sz w:val="20"/>
          <w:szCs w:val="20"/>
        </w:rPr>
        <w:t xml:space="preserve">as </w:t>
      </w:r>
      <w:r w:rsidR="00B0112C" w:rsidRPr="00153ECD">
        <w:rPr>
          <w:rFonts w:ascii="Arial" w:eastAsia="Arial" w:hAnsi="Arial" w:cs="Arial"/>
          <w:sz w:val="20"/>
          <w:szCs w:val="20"/>
        </w:rPr>
        <w:t xml:space="preserve">any </w:t>
      </w:r>
      <w:r w:rsidR="00035DF3" w:rsidRPr="00153ECD">
        <w:rPr>
          <w:rFonts w:ascii="Arial" w:eastAsia="Arial" w:hAnsi="Arial" w:cs="Arial"/>
          <w:sz w:val="20"/>
          <w:szCs w:val="20"/>
        </w:rPr>
        <w:t xml:space="preserve">medicinal product which does not possess a </w:t>
      </w:r>
      <w:r w:rsidR="00477219">
        <w:rPr>
          <w:rFonts w:ascii="Arial" w:eastAsia="Arial" w:hAnsi="Arial" w:cs="Arial"/>
          <w:sz w:val="20"/>
          <w:szCs w:val="20"/>
        </w:rPr>
        <w:t>marketing authorisation</w:t>
      </w:r>
      <w:r w:rsidR="00176A1A" w:rsidRPr="00153ECD">
        <w:rPr>
          <w:rFonts w:ascii="Arial" w:eastAsia="Arial" w:hAnsi="Arial" w:cs="Arial"/>
          <w:sz w:val="20"/>
          <w:szCs w:val="20"/>
        </w:rPr>
        <w:t xml:space="preserve"> </w:t>
      </w:r>
      <w:r w:rsidR="00035DF3" w:rsidRPr="00153ECD">
        <w:rPr>
          <w:rFonts w:ascii="Arial" w:eastAsia="Arial" w:hAnsi="Arial" w:cs="Arial"/>
          <w:sz w:val="20"/>
          <w:szCs w:val="20"/>
        </w:rPr>
        <w:t xml:space="preserve">from the MHRA </w:t>
      </w:r>
      <w:r w:rsidR="00477219">
        <w:rPr>
          <w:rFonts w:ascii="Arial" w:eastAsia="Arial" w:hAnsi="Arial" w:cs="Arial"/>
          <w:sz w:val="20"/>
          <w:szCs w:val="20"/>
        </w:rPr>
        <w:t xml:space="preserve">(formerly known as a product license in the UK) </w:t>
      </w:r>
      <w:r w:rsidR="00035DF3" w:rsidRPr="00153ECD">
        <w:rPr>
          <w:rFonts w:ascii="Arial" w:eastAsia="Arial" w:hAnsi="Arial" w:cs="Arial"/>
          <w:sz w:val="20"/>
          <w:szCs w:val="20"/>
        </w:rPr>
        <w:t>and is intended for use as part of NHS treatment.</w:t>
      </w:r>
      <w:r w:rsidR="00FC6005">
        <w:rPr>
          <w:rFonts w:ascii="Arial" w:eastAsia="Arial" w:hAnsi="Arial" w:cs="Arial"/>
          <w:sz w:val="20"/>
          <w:szCs w:val="20"/>
        </w:rPr>
        <w:t xml:space="preserve"> We excluded guidelines which only dealt with off-label use of medicines.</w:t>
      </w:r>
    </w:p>
    <w:p w:rsidR="00EE672C" w:rsidRDefault="00EE672C" w:rsidP="00EE672C">
      <w:pPr>
        <w:spacing w:after="0" w:line="480" w:lineRule="auto"/>
        <w:rPr>
          <w:rFonts w:ascii="Arial" w:eastAsia="Arial" w:hAnsi="Arial" w:cs="Arial"/>
          <w:color w:val="252525"/>
          <w:sz w:val="20"/>
          <w:szCs w:val="20"/>
          <w:u w:val="single"/>
          <w:lang w:val="en-US"/>
        </w:rPr>
      </w:pPr>
    </w:p>
    <w:p w:rsidR="00EC3B4A" w:rsidRPr="00153ECD" w:rsidRDefault="00EC3B4A" w:rsidP="00EE672C">
      <w:pPr>
        <w:spacing w:after="0" w:line="480" w:lineRule="auto"/>
        <w:rPr>
          <w:rFonts w:ascii="Arial" w:eastAsia="Arial" w:hAnsi="Arial" w:cs="Arial"/>
          <w:color w:val="252525"/>
          <w:sz w:val="20"/>
          <w:szCs w:val="20"/>
          <w:u w:val="single"/>
          <w:lang w:val="en-US"/>
        </w:rPr>
      </w:pPr>
    </w:p>
    <w:p w:rsidR="00035DF3" w:rsidRPr="00153ECD" w:rsidRDefault="00035DF3" w:rsidP="00EE672C">
      <w:pPr>
        <w:spacing w:after="0" w:line="480" w:lineRule="auto"/>
        <w:rPr>
          <w:rFonts w:ascii="Arial" w:eastAsia="Arial" w:hAnsi="Arial" w:cs="Arial"/>
          <w:color w:val="252525"/>
          <w:sz w:val="20"/>
          <w:szCs w:val="20"/>
          <w:u w:val="single"/>
          <w:lang w:val="en-US"/>
        </w:rPr>
      </w:pPr>
      <w:r w:rsidRPr="00153ECD">
        <w:rPr>
          <w:rFonts w:ascii="Arial" w:eastAsia="Arial" w:hAnsi="Arial" w:cs="Arial"/>
          <w:color w:val="252525"/>
          <w:sz w:val="20"/>
          <w:szCs w:val="20"/>
          <w:u w:val="single"/>
          <w:lang w:val="en-US"/>
        </w:rPr>
        <w:lastRenderedPageBreak/>
        <w:t xml:space="preserve">Appraisal of Guidelines for Research &amp; Evaluation Instrument II (AGREE II) </w:t>
      </w:r>
    </w:p>
    <w:p w:rsidR="00035DF3" w:rsidRPr="00153ECD" w:rsidRDefault="00035DF3" w:rsidP="00EE672C">
      <w:pPr>
        <w:spacing w:after="0" w:line="480" w:lineRule="auto"/>
        <w:rPr>
          <w:rFonts w:ascii="Arial" w:eastAsia="Times New Roman" w:hAnsi="Arial" w:cs="Arial"/>
          <w:sz w:val="20"/>
          <w:szCs w:val="20"/>
        </w:rPr>
      </w:pPr>
      <w:r w:rsidRPr="00153ECD">
        <w:rPr>
          <w:rFonts w:ascii="Arial" w:eastAsia="Arial" w:hAnsi="Arial" w:cs="Arial"/>
          <w:sz w:val="20"/>
          <w:szCs w:val="20"/>
        </w:rPr>
        <w:t>The AGREE II tool was used to evaluate the quality of the</w:t>
      </w:r>
      <w:r w:rsidR="00AC7720" w:rsidRPr="00153ECD">
        <w:rPr>
          <w:rFonts w:ascii="Arial" w:eastAsia="Arial" w:hAnsi="Arial" w:cs="Arial"/>
          <w:sz w:val="20"/>
          <w:szCs w:val="20"/>
        </w:rPr>
        <w:t xml:space="preserve"> </w:t>
      </w:r>
      <w:r w:rsidR="00C30477">
        <w:rPr>
          <w:rFonts w:ascii="Arial" w:eastAsia="Arial" w:hAnsi="Arial" w:cs="Arial"/>
          <w:sz w:val="20"/>
          <w:szCs w:val="20"/>
        </w:rPr>
        <w:t>guidelines</w:t>
      </w:r>
      <w:r w:rsidRPr="00153ECD">
        <w:rPr>
          <w:rFonts w:ascii="Arial" w:eastAsia="Arial" w:hAnsi="Arial" w:cs="Arial"/>
          <w:sz w:val="20"/>
          <w:szCs w:val="20"/>
        </w:rPr>
        <w:t>.  AGREE II is an interna</w:t>
      </w:r>
      <w:r w:rsidR="00AC7720" w:rsidRPr="00153ECD">
        <w:rPr>
          <w:rFonts w:ascii="Arial" w:eastAsia="Arial" w:hAnsi="Arial" w:cs="Arial"/>
          <w:sz w:val="20"/>
          <w:szCs w:val="20"/>
        </w:rPr>
        <w:t>tionally recognised</w:t>
      </w:r>
      <w:r w:rsidR="00817DD1" w:rsidRPr="00153ECD">
        <w:rPr>
          <w:rFonts w:ascii="Arial" w:eastAsia="Arial" w:hAnsi="Arial" w:cs="Arial"/>
          <w:sz w:val="20"/>
          <w:szCs w:val="20"/>
        </w:rPr>
        <w:t>, validated</w:t>
      </w:r>
      <w:r w:rsidR="00AC7720" w:rsidRPr="00153ECD">
        <w:rPr>
          <w:rFonts w:ascii="Arial" w:eastAsia="Arial" w:hAnsi="Arial" w:cs="Arial"/>
          <w:sz w:val="20"/>
          <w:szCs w:val="20"/>
        </w:rPr>
        <w:t xml:space="preserve"> tool</w:t>
      </w:r>
      <w:r w:rsidR="00B503ED" w:rsidRPr="00153ECD">
        <w:rPr>
          <w:rFonts w:ascii="Arial" w:eastAsia="Arial" w:hAnsi="Arial" w:cs="Arial"/>
          <w:sz w:val="20"/>
          <w:szCs w:val="20"/>
        </w:rPr>
        <w:t xml:space="preserv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"2fgaqkqf8a", "citationItems" : [ { "id" : "ITEM-1", "itemData" : { "DOI" : "10.1503/cmaj.091716", "ISSN" : "0820-3946, 1488-2329", "author" : [ { "dropping-particle" : "", "family" : "Brouwers", "given" : "M C", "non-dropping-particle" : "", "parse-names" : false, "suffix" : "" }, { "dropping-particle" : "", "family" : "Kho", "given" : "M E", "non-dropping-particle" : "", "parse-names" : false, "suffix" : "" }, { "dropping-particle" : "", "family" : "Browman", "given" : "G P", "non-dropping-particle" : "", "parse-names" : false, "suffix" : "" }, { "dropping-particle" : "", "family" : "Burgers", "given" : "J S", "non-dropping-particle" : "", "parse-names" : false, "suffix" : "" }, { "dropping-particle" : "", "family" : "Cluzeau", "given" : "F", "non-dropping-particle" : "", "parse-names" : false, "suffix" : "" }, { "dropping-particle" : "", "family" : "Feder", "given" : "G", "non-dropping-particle" : "", "parse-names" : false, "suffix" : "" }, { "dropping-particle" : "", "family" : "Fervers", "given" : "B", "non-dropping-particle" : "", "parse-names" : false, "suffix" : "" }, { "dropping-particle" : "", "family" : "Graham", "given" : "I D", "non-dropping-particle" : "", "parse-names" : false, "suffix" : "" }, { "dropping-particle" : "", "family" : "Hanna", "given" : "S E", "non-dropping-particle" : "", "parse-names" : false, "suffix" : "" }, { "dropping-particle" : "", "family" : "Makarski", "given" : "J", "non-dropping-particle" : "", "parse-names" : false, "suffix" : "" }, { "dropping-particle" : "", "family" : "Consortium", "given" : "for the AGREE Next Steps", "non-dropping-particle" : "", "parse-names" : false, "suffix" : "" } ], "container-title" : "Canadian Medical Association Journal", "id" : "ITEM-1", "issue" : "10", "issued" : { "date-parts" : [ [ "2010", "11", "21" ] ] }, "language" : "en", "page" : "E472-E478", "title" : "Development of the AGREE II, part 2: assessment of validity of items and tools to support application", "type" : "article-journal", "volume" : "182" }, "uris" : [ "http://www.mendeley.com/documents/?uuid=c300c0f2-fb67-4ee5-8557-258fa23b0f33" ] } ], "mendeley" : { "formattedCitation" : "[10]", "plainTextFormattedCitation" : "[10]", "previouslyFormattedCitation" : "[10]" }, "properties" : { "formattedCitation" : "[7]", "noteIndex" : 0, "plainCitation" : "[7]"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[10]</w:t>
      </w:r>
      <w:r w:rsidR="004C3C88" w:rsidRPr="00153ECD">
        <w:rPr>
          <w:rFonts w:ascii="Arial" w:eastAsia="Arial" w:hAnsi="Arial" w:cs="Arial"/>
          <w:sz w:val="20"/>
          <w:szCs w:val="20"/>
        </w:rPr>
        <w:fldChar w:fldCharType="end"/>
      </w:r>
      <w:r w:rsidRPr="00153ECD">
        <w:rPr>
          <w:rFonts w:ascii="Arial" w:eastAsia="Arial" w:hAnsi="Arial" w:cs="Arial"/>
          <w:sz w:val="20"/>
          <w:szCs w:val="20"/>
        </w:rPr>
        <w:t xml:space="preserve"> used to assess both the quality and rigour of</w:t>
      </w:r>
      <w:r w:rsidR="008D087B" w:rsidRPr="00153ECD">
        <w:rPr>
          <w:rFonts w:ascii="Arial" w:eastAsia="Arial" w:hAnsi="Arial" w:cs="Arial"/>
          <w:sz w:val="20"/>
          <w:szCs w:val="20"/>
        </w:rPr>
        <w:t xml:space="preserve"> practice guidance</w:t>
      </w:r>
      <w:r w:rsidR="00771F78" w:rsidRPr="00153ECD">
        <w:rPr>
          <w:rFonts w:ascii="Arial" w:eastAsia="Arial" w:hAnsi="Arial" w:cs="Arial"/>
          <w:sz w:val="20"/>
          <w:szCs w:val="20"/>
        </w:rPr>
        <w:t xml:space="preserve"> </w:t>
      </w:r>
      <w:r w:rsidR="00817DD1" w:rsidRPr="00153ECD">
        <w:rPr>
          <w:rFonts w:ascii="Arial" w:eastAsia="Arial" w:hAnsi="Arial" w:cs="Arial"/>
          <w:sz w:val="20"/>
          <w:szCs w:val="20"/>
          <w:lang w:eastAsia="en-GB"/>
        </w:rPr>
        <w:t xml:space="preserve">by generating an overall guideline score </w:t>
      </w:r>
      <w:r w:rsidR="004C3C88" w:rsidRPr="00153ECD">
        <w:rPr>
          <w:rFonts w:ascii="Arial" w:eastAsia="Arial" w:hAnsi="Arial" w:cs="Arial"/>
          <w:sz w:val="20"/>
          <w:szCs w:val="20"/>
          <w:lang w:eastAsia="en-GB"/>
        </w:rPr>
        <w:fldChar w:fldCharType="begin" w:fldLock="1"/>
      </w:r>
      <w:r w:rsidR="00587F33">
        <w:rPr>
          <w:rFonts w:ascii="Arial" w:eastAsia="Arial" w:hAnsi="Arial" w:cs="Arial"/>
          <w:sz w:val="20"/>
          <w:szCs w:val="20"/>
          <w:lang w:eastAsia="en-GB"/>
        </w:rPr>
        <w:instrText>ADDIN CSL_CITATION { "citationID" : "2m0ggkm5f2", "citationItems" : [ { "id" : "ITEM-1", "itemData" : { "DOI" : "10.1503/cmaj.090449", "ISSN" : "0820-3946, 1488-2329", "author" : [ { "dropping-particle" : "", "family" : "Brouwers", "given" : "M C", "non-dropping-particle" : "", "parse-names" : false, "suffix" : "" }, { "dropping-particle" : "", "family" : "Kho", "given" : "M E", "non-dropping-particle" : "", "parse-names" : false, "suffix" : "" }, { "dropping-particle" : "", "family" : "Browman", "given" : "G P", "non-dropping-particle" : "", "parse-names" : false, "suffix" : "" }, { "dropping-particle" : "", "family" : "Burgers", "given" : "J S", "non-dropping-particle" : "", "parse-names" : false, "suffix" : "" }, { "dropping-particle" : "", "family" : "Cluzeau", "given" : "F", "non-dropping-particle" : "", "parse-names" : false, "suffix" : "" }, { "dropping-particle" : "", "family" : "Feder", "given" : "G", "non-dropping-particle" : "", "parse-names" : false, "suffix" : "" }, { "dropping-particle" : "", "family" : "Fervers", "given" : "B", "non-dropping-particle" : "", "parse-names" : false, "suffix" : "" }, { "dropping-particle" : "", "family" : "Graham", "given" : "I D", "non-dropping-particle" : "", "parse-names" : false, "suffix" : "" }, { "dropping-particle" : "", "family" : "Grimshaw", "given" : "J", "non-dropping-particle" : "", "parse-names" : false, "suffix" : "" }, { "dropping-particle" : "", "family" : "Hanna", "given" : "S E", "non-dropping-particle" : "", "parse-names" : false, "suffix" : "" }, { "dropping-particle" : "", "family" : "Littlejohns", "given" : "P", "non-dropping-particle" : "", "parse-names" : false, "suffix" : "" }, { "dropping-particle" : "", "family" : "Makarski", "given" : "J", "non-dropping-particle" : "", "parse-names" : false, "suffix" : "" }, { "dropping-particle" : "", "family" : "Zitzelsberger", "given" : "L", "non-dropping-particle" : "", "parse-names" : false, "suffix" : "" }, { "dropping-particle" : "", "family" : "Consortium", "given" : "for the AGREE Next Steps", "non-dropping-particle" : "", "parse-names" : false, "suffix" : "" } ], "container-title" : "Canadian Medical Association Journal", "id" : "ITEM-1", "issue" : "18", "issued" : { "date-parts" : [ [ "2010", "2", "2" ] ] }, "language" : "en", "page" : "E839-E842", "title" : "AGREE II: advancing guideline development, reporting and evaluation in health care", "type" : "article-journal", "volume" : "182" }, "uris" : [ "http://www.mendeley.com/documents/?uuid=c748152f-24ac-48f4-acdd-dcb6650510f1" ] } ], "mendeley" : { "formattedCitation" : "[9]", "plainTextFormattedCitation" : "[9]", "previouslyFormattedCitation" : "[9]" }, "properties" : { "formattedCitation" : "[6]", "noteIndex" : 0, "plainCitation" : "[6]" }, "schema" : "https://github.com/citation-style-language/schema/raw/master/csl-citation.json" }</w:instrText>
      </w:r>
      <w:r w:rsidR="004C3C88" w:rsidRPr="00153ECD">
        <w:rPr>
          <w:rFonts w:ascii="Arial" w:eastAsia="Arial" w:hAnsi="Arial" w:cs="Arial"/>
          <w:sz w:val="20"/>
          <w:szCs w:val="20"/>
          <w:lang w:eastAsia="en-GB"/>
        </w:rPr>
        <w:fldChar w:fldCharType="separate"/>
      </w:r>
      <w:r w:rsidR="00587F33" w:rsidRPr="00587F33">
        <w:rPr>
          <w:rFonts w:ascii="Arial" w:hAnsi="Arial" w:cs="Arial"/>
          <w:noProof/>
          <w:sz w:val="20"/>
        </w:rPr>
        <w:t>[9]</w:t>
      </w:r>
      <w:r w:rsidR="004C3C88" w:rsidRPr="00153ECD">
        <w:rPr>
          <w:rFonts w:ascii="Arial" w:eastAsia="Arial" w:hAnsi="Arial" w:cs="Arial"/>
          <w:sz w:val="20"/>
          <w:szCs w:val="20"/>
          <w:lang w:eastAsia="en-GB"/>
        </w:rPr>
        <w:fldChar w:fldCharType="end"/>
      </w:r>
      <w:r w:rsidR="00817DD1" w:rsidRPr="00153ECD">
        <w:rPr>
          <w:rFonts w:ascii="Arial" w:eastAsia="Arial" w:hAnsi="Arial" w:cs="Arial"/>
          <w:sz w:val="20"/>
          <w:szCs w:val="20"/>
          <w:lang w:eastAsia="en-GB"/>
        </w:rPr>
        <w:t xml:space="preserve">. </w:t>
      </w:r>
      <w:r w:rsidR="008D087B" w:rsidRPr="00153ECD">
        <w:rPr>
          <w:rFonts w:ascii="Arial" w:eastAsia="Arial" w:hAnsi="Arial" w:cs="Arial"/>
          <w:sz w:val="20"/>
          <w:szCs w:val="20"/>
          <w:lang w:eastAsia="en-GB"/>
        </w:rPr>
        <w:t>It utilises</w:t>
      </w:r>
      <w:r w:rsidRPr="00153ECD">
        <w:rPr>
          <w:rFonts w:ascii="Arial" w:eastAsia="Arial" w:hAnsi="Arial" w:cs="Arial"/>
          <w:sz w:val="20"/>
          <w:szCs w:val="20"/>
          <w:lang w:eastAsia="en-GB"/>
        </w:rPr>
        <w:t xml:space="preserve"> 23 pre-validated items scored between 1 (strongly disagree) and 7 (strongly agree), organised into 6 domains:</w:t>
      </w:r>
    </w:p>
    <w:p w:rsidR="00035DF3" w:rsidRPr="00153ECD" w:rsidRDefault="00035DF3" w:rsidP="00EE672C">
      <w:pPr>
        <w:numPr>
          <w:ilvl w:val="0"/>
          <w:numId w:val="2"/>
        </w:numPr>
        <w:spacing w:after="0" w:line="480" w:lineRule="auto"/>
        <w:rPr>
          <w:rFonts w:ascii="Arial" w:eastAsia="Arial" w:hAnsi="Arial" w:cs="Arial"/>
          <w:sz w:val="20"/>
          <w:szCs w:val="20"/>
        </w:rPr>
      </w:pPr>
      <w:r w:rsidRPr="00153ECD">
        <w:rPr>
          <w:rFonts w:ascii="Arial" w:eastAsia="Arial" w:hAnsi="Arial" w:cs="Arial"/>
          <w:sz w:val="20"/>
          <w:szCs w:val="20"/>
          <w:lang w:eastAsia="en-GB"/>
        </w:rPr>
        <w:t xml:space="preserve"> Scope and Purpose</w:t>
      </w:r>
    </w:p>
    <w:p w:rsidR="00035DF3" w:rsidRPr="00153ECD" w:rsidRDefault="00035DF3" w:rsidP="00EE672C">
      <w:pPr>
        <w:numPr>
          <w:ilvl w:val="0"/>
          <w:numId w:val="2"/>
        </w:numPr>
        <w:spacing w:after="0" w:line="480" w:lineRule="auto"/>
        <w:rPr>
          <w:rFonts w:ascii="Arial" w:eastAsia="Arial" w:hAnsi="Arial" w:cs="Arial"/>
          <w:sz w:val="20"/>
          <w:szCs w:val="20"/>
        </w:rPr>
      </w:pPr>
      <w:r w:rsidRPr="00153ECD">
        <w:rPr>
          <w:rFonts w:ascii="Arial" w:eastAsia="Arial" w:hAnsi="Arial" w:cs="Arial"/>
          <w:sz w:val="20"/>
          <w:szCs w:val="20"/>
          <w:lang w:eastAsia="en-GB"/>
        </w:rPr>
        <w:t xml:space="preserve"> Clarity of Presentation</w:t>
      </w:r>
    </w:p>
    <w:p w:rsidR="00035DF3" w:rsidRPr="00153ECD" w:rsidRDefault="00035DF3" w:rsidP="00EE672C">
      <w:pPr>
        <w:numPr>
          <w:ilvl w:val="0"/>
          <w:numId w:val="2"/>
        </w:numPr>
        <w:spacing w:after="0" w:line="480" w:lineRule="auto"/>
        <w:rPr>
          <w:rFonts w:ascii="Arial" w:eastAsia="Arial" w:hAnsi="Arial" w:cs="Arial"/>
          <w:sz w:val="20"/>
          <w:szCs w:val="20"/>
        </w:rPr>
      </w:pPr>
      <w:r w:rsidRPr="00153ECD">
        <w:rPr>
          <w:rFonts w:ascii="Arial" w:eastAsia="Arial" w:hAnsi="Arial" w:cs="Arial"/>
          <w:sz w:val="20"/>
          <w:szCs w:val="20"/>
          <w:lang w:eastAsia="en-GB"/>
        </w:rPr>
        <w:t xml:space="preserve"> Rigour of Development </w:t>
      </w:r>
    </w:p>
    <w:p w:rsidR="00035DF3" w:rsidRPr="00153ECD" w:rsidRDefault="00035DF3" w:rsidP="00EE672C">
      <w:pPr>
        <w:numPr>
          <w:ilvl w:val="0"/>
          <w:numId w:val="2"/>
        </w:numPr>
        <w:spacing w:after="0" w:line="480" w:lineRule="auto"/>
        <w:rPr>
          <w:rFonts w:ascii="Arial" w:eastAsia="Arial" w:hAnsi="Arial" w:cs="Arial"/>
          <w:sz w:val="20"/>
          <w:szCs w:val="20"/>
        </w:rPr>
      </w:pPr>
      <w:r w:rsidRPr="00153ECD">
        <w:rPr>
          <w:rFonts w:ascii="Arial" w:eastAsia="Arial" w:hAnsi="Arial" w:cs="Arial"/>
          <w:sz w:val="20"/>
          <w:szCs w:val="20"/>
          <w:lang w:eastAsia="en-GB"/>
        </w:rPr>
        <w:t xml:space="preserve"> Editorial Independence </w:t>
      </w:r>
    </w:p>
    <w:p w:rsidR="00035DF3" w:rsidRPr="00153ECD" w:rsidRDefault="000E23E9" w:rsidP="00EE672C">
      <w:pPr>
        <w:numPr>
          <w:ilvl w:val="0"/>
          <w:numId w:val="2"/>
        </w:numPr>
        <w:spacing w:after="0" w:line="480" w:lineRule="auto"/>
        <w:rPr>
          <w:rFonts w:ascii="Arial" w:eastAsia="Arial" w:hAnsi="Arial" w:cs="Arial"/>
          <w:sz w:val="20"/>
          <w:szCs w:val="20"/>
        </w:rPr>
      </w:pPr>
      <w:r w:rsidRPr="00153ECD">
        <w:rPr>
          <w:rFonts w:ascii="Arial" w:eastAsia="Arial" w:hAnsi="Arial" w:cs="Arial"/>
          <w:sz w:val="20"/>
          <w:szCs w:val="20"/>
          <w:lang w:eastAsia="en-GB"/>
        </w:rPr>
        <w:t xml:space="preserve"> </w:t>
      </w:r>
      <w:r w:rsidR="00035DF3" w:rsidRPr="00153ECD">
        <w:rPr>
          <w:rFonts w:ascii="Arial" w:eastAsia="Arial" w:hAnsi="Arial" w:cs="Arial"/>
          <w:sz w:val="20"/>
          <w:szCs w:val="20"/>
          <w:lang w:eastAsia="en-GB"/>
        </w:rPr>
        <w:t xml:space="preserve">Stakeholder Involvement </w:t>
      </w:r>
    </w:p>
    <w:p w:rsidR="00035DF3" w:rsidRPr="00153ECD" w:rsidRDefault="000E23E9" w:rsidP="00EE672C">
      <w:pPr>
        <w:numPr>
          <w:ilvl w:val="0"/>
          <w:numId w:val="2"/>
        </w:numPr>
        <w:spacing w:after="0" w:line="480" w:lineRule="auto"/>
        <w:rPr>
          <w:rFonts w:ascii="Arial" w:eastAsia="Arial" w:hAnsi="Arial" w:cs="Arial"/>
          <w:sz w:val="20"/>
          <w:szCs w:val="20"/>
        </w:rPr>
      </w:pPr>
      <w:r w:rsidRPr="00153ECD">
        <w:rPr>
          <w:rFonts w:ascii="Arial" w:eastAsia="Arial" w:hAnsi="Arial" w:cs="Arial"/>
          <w:sz w:val="20"/>
          <w:szCs w:val="20"/>
          <w:lang w:eastAsia="en-GB"/>
        </w:rPr>
        <w:t xml:space="preserve"> </w:t>
      </w:r>
      <w:r w:rsidR="00035DF3" w:rsidRPr="00153ECD">
        <w:rPr>
          <w:rFonts w:ascii="Arial" w:eastAsia="Arial" w:hAnsi="Arial" w:cs="Arial"/>
          <w:sz w:val="20"/>
          <w:szCs w:val="20"/>
          <w:lang w:eastAsia="en-GB"/>
        </w:rPr>
        <w:t>Applicability</w:t>
      </w:r>
    </w:p>
    <w:p w:rsidR="005D24DC" w:rsidRDefault="005D24DC" w:rsidP="00F40F23">
      <w:pPr>
        <w:spacing w:after="0" w:line="480" w:lineRule="auto"/>
        <w:rPr>
          <w:rFonts w:ascii="Arial" w:eastAsia="Arial" w:hAnsi="Arial" w:cs="Arial"/>
          <w:sz w:val="20"/>
          <w:szCs w:val="20"/>
        </w:rPr>
      </w:pPr>
    </w:p>
    <w:p w:rsidR="00F40F23" w:rsidRDefault="00F40F23" w:rsidP="009327E3">
      <w:pPr>
        <w:spacing w:after="0" w:line="480" w:lineRule="auto"/>
        <w:rPr>
          <w:rFonts w:ascii="Arial" w:eastAsia="Arial" w:hAnsi="Arial" w:cs="Arial"/>
          <w:sz w:val="20"/>
          <w:szCs w:val="20"/>
        </w:rPr>
      </w:pPr>
      <w:r>
        <w:rPr>
          <w:rFonts w:ascii="Arial" w:eastAsia="Arial" w:hAnsi="Arial" w:cs="Arial"/>
          <w:sz w:val="20"/>
          <w:szCs w:val="20"/>
        </w:rPr>
        <w:t xml:space="preserve">Each of these domains </w:t>
      </w:r>
      <w:r w:rsidR="008C23ED">
        <w:rPr>
          <w:rFonts w:ascii="Arial" w:eastAsia="Arial" w:hAnsi="Arial" w:cs="Arial"/>
          <w:sz w:val="20"/>
          <w:szCs w:val="20"/>
        </w:rPr>
        <w:t>was</w:t>
      </w:r>
      <w:r>
        <w:rPr>
          <w:rFonts w:ascii="Arial" w:eastAsia="Arial" w:hAnsi="Arial" w:cs="Arial"/>
          <w:sz w:val="20"/>
          <w:szCs w:val="20"/>
        </w:rPr>
        <w:t xml:space="preserve"> scored </w:t>
      </w:r>
      <w:r w:rsidR="009327E3">
        <w:rPr>
          <w:rFonts w:ascii="Arial" w:eastAsia="Arial" w:hAnsi="Arial" w:cs="Arial"/>
          <w:sz w:val="20"/>
          <w:szCs w:val="20"/>
        </w:rPr>
        <w:t>for each of the</w:t>
      </w:r>
      <w:r>
        <w:rPr>
          <w:rFonts w:ascii="Arial" w:eastAsia="Arial" w:hAnsi="Arial" w:cs="Arial"/>
          <w:sz w:val="20"/>
          <w:szCs w:val="20"/>
        </w:rPr>
        <w:t xml:space="preserve"> unlicensed medicine</w:t>
      </w:r>
      <w:r w:rsidR="00B76BBC">
        <w:rPr>
          <w:rFonts w:ascii="Arial" w:eastAsia="Arial" w:hAnsi="Arial" w:cs="Arial"/>
          <w:sz w:val="20"/>
          <w:szCs w:val="20"/>
        </w:rPr>
        <w:t xml:space="preserve"> guideline</w:t>
      </w:r>
      <w:r w:rsidR="009327E3">
        <w:rPr>
          <w:rFonts w:ascii="Arial" w:eastAsia="Arial" w:hAnsi="Arial" w:cs="Arial"/>
          <w:sz w:val="20"/>
          <w:szCs w:val="20"/>
        </w:rPr>
        <w:t>s included in the analysis</w:t>
      </w:r>
      <w:r w:rsidR="00160590">
        <w:rPr>
          <w:rFonts w:ascii="Arial" w:eastAsia="Arial" w:hAnsi="Arial" w:cs="Arial"/>
          <w:sz w:val="20"/>
          <w:szCs w:val="20"/>
        </w:rPr>
        <w:t>.</w:t>
      </w:r>
      <w:r w:rsidR="004A6E3A">
        <w:rPr>
          <w:rFonts w:ascii="Arial" w:eastAsia="Arial" w:hAnsi="Arial" w:cs="Arial"/>
          <w:sz w:val="20"/>
          <w:szCs w:val="20"/>
        </w:rPr>
        <w:t xml:space="preserve"> </w:t>
      </w:r>
      <w:r>
        <w:rPr>
          <w:rFonts w:ascii="Arial" w:eastAsia="Arial" w:hAnsi="Arial" w:cs="Arial"/>
          <w:sz w:val="20"/>
          <w:szCs w:val="20"/>
        </w:rPr>
        <w:t xml:space="preserve">Scope and purpose </w:t>
      </w:r>
      <w:r w:rsidR="00CF2991">
        <w:rPr>
          <w:rFonts w:ascii="Arial" w:eastAsia="Arial" w:hAnsi="Arial" w:cs="Arial"/>
          <w:sz w:val="20"/>
          <w:szCs w:val="20"/>
        </w:rPr>
        <w:t>is the domain which scores the</w:t>
      </w:r>
      <w:r>
        <w:rPr>
          <w:rFonts w:ascii="Arial" w:eastAsia="Arial" w:hAnsi="Arial" w:cs="Arial"/>
          <w:sz w:val="20"/>
          <w:szCs w:val="20"/>
        </w:rPr>
        <w:t xml:space="preserve"> </w:t>
      </w:r>
      <w:r w:rsidR="00CF2991">
        <w:rPr>
          <w:rFonts w:ascii="Arial" w:eastAsia="Arial" w:hAnsi="Arial" w:cs="Arial"/>
          <w:sz w:val="20"/>
          <w:szCs w:val="20"/>
        </w:rPr>
        <w:t xml:space="preserve">extent to which the guideline is clear around </w:t>
      </w:r>
      <w:r>
        <w:rPr>
          <w:rFonts w:ascii="Arial" w:eastAsia="Arial" w:hAnsi="Arial" w:cs="Arial"/>
          <w:sz w:val="20"/>
          <w:szCs w:val="20"/>
        </w:rPr>
        <w:t xml:space="preserve">why the ULM guideline is required and what elements of </w:t>
      </w:r>
      <w:r w:rsidR="00CF2991">
        <w:rPr>
          <w:rFonts w:ascii="Arial" w:eastAsia="Arial" w:hAnsi="Arial" w:cs="Arial"/>
          <w:sz w:val="20"/>
          <w:szCs w:val="20"/>
        </w:rPr>
        <w:t>unlicensed medicines</w:t>
      </w:r>
      <w:r>
        <w:rPr>
          <w:rFonts w:ascii="Arial" w:eastAsia="Arial" w:hAnsi="Arial" w:cs="Arial"/>
          <w:sz w:val="20"/>
          <w:szCs w:val="20"/>
        </w:rPr>
        <w:t xml:space="preserve"> use will be included</w:t>
      </w:r>
      <w:r w:rsidR="00CF2991">
        <w:rPr>
          <w:rFonts w:ascii="Arial" w:eastAsia="Arial" w:hAnsi="Arial" w:cs="Arial"/>
          <w:sz w:val="20"/>
          <w:szCs w:val="20"/>
        </w:rPr>
        <w:t xml:space="preserve"> within it</w:t>
      </w:r>
      <w:r>
        <w:rPr>
          <w:rFonts w:ascii="Arial" w:eastAsia="Arial" w:hAnsi="Arial" w:cs="Arial"/>
          <w:sz w:val="20"/>
          <w:szCs w:val="20"/>
        </w:rPr>
        <w:t>, for example prescribing, procurement, dispensing. Clarity of presentation allows scoring around whether it is clear what is expected</w:t>
      </w:r>
      <w:r w:rsidR="00B57EA9">
        <w:rPr>
          <w:rFonts w:ascii="Arial" w:eastAsia="Arial" w:hAnsi="Arial" w:cs="Arial"/>
          <w:sz w:val="20"/>
          <w:szCs w:val="20"/>
        </w:rPr>
        <w:t xml:space="preserve"> from</w:t>
      </w:r>
      <w:r>
        <w:rPr>
          <w:rFonts w:ascii="Arial" w:eastAsia="Arial" w:hAnsi="Arial" w:cs="Arial"/>
          <w:sz w:val="20"/>
          <w:szCs w:val="20"/>
        </w:rPr>
        <w:t xml:space="preserve"> those using the guideline in terms of actions around </w:t>
      </w:r>
      <w:r w:rsidR="00B57EA9">
        <w:rPr>
          <w:rFonts w:ascii="Arial" w:eastAsia="Arial" w:hAnsi="Arial" w:cs="Arial"/>
          <w:sz w:val="20"/>
          <w:szCs w:val="20"/>
        </w:rPr>
        <w:t>ULM use</w:t>
      </w:r>
      <w:r>
        <w:rPr>
          <w:rFonts w:ascii="Arial" w:eastAsia="Arial" w:hAnsi="Arial" w:cs="Arial"/>
          <w:sz w:val="20"/>
          <w:szCs w:val="20"/>
        </w:rPr>
        <w:t xml:space="preserve">. Rigour of development evaluates the use of evidence in formulating recommendations presented in ULM </w:t>
      </w:r>
      <w:r w:rsidR="00794D70">
        <w:rPr>
          <w:rFonts w:ascii="Arial" w:eastAsia="Arial" w:hAnsi="Arial" w:cs="Arial"/>
          <w:sz w:val="20"/>
          <w:szCs w:val="20"/>
        </w:rPr>
        <w:t>guidelines</w:t>
      </w:r>
      <w:r>
        <w:rPr>
          <w:rFonts w:ascii="Arial" w:eastAsia="Arial" w:hAnsi="Arial" w:cs="Arial"/>
          <w:sz w:val="20"/>
          <w:szCs w:val="20"/>
        </w:rPr>
        <w:t xml:space="preserve">, for example clinical trials for recommending specific products. Editorial independence ascertains whether those who have been involved in writing the </w:t>
      </w:r>
      <w:r w:rsidR="00794D70">
        <w:rPr>
          <w:rFonts w:ascii="Arial" w:eastAsia="Arial" w:hAnsi="Arial" w:cs="Arial"/>
          <w:sz w:val="20"/>
          <w:szCs w:val="20"/>
        </w:rPr>
        <w:t xml:space="preserve">guideline </w:t>
      </w:r>
      <w:r>
        <w:rPr>
          <w:rFonts w:ascii="Arial" w:eastAsia="Arial" w:hAnsi="Arial" w:cs="Arial"/>
          <w:sz w:val="20"/>
          <w:szCs w:val="20"/>
        </w:rPr>
        <w:t xml:space="preserve">are likely to have made decisions in an objective way </w:t>
      </w:r>
      <w:r w:rsidR="00CF2991">
        <w:rPr>
          <w:rFonts w:ascii="Arial" w:eastAsia="Arial" w:hAnsi="Arial" w:cs="Arial"/>
          <w:sz w:val="20"/>
          <w:szCs w:val="20"/>
        </w:rPr>
        <w:t>and</w:t>
      </w:r>
      <w:r>
        <w:rPr>
          <w:rFonts w:ascii="Arial" w:eastAsia="Arial" w:hAnsi="Arial" w:cs="Arial"/>
          <w:sz w:val="20"/>
          <w:szCs w:val="20"/>
        </w:rPr>
        <w:t xml:space="preserve"> whether there may be conflicts of interest</w:t>
      </w:r>
      <w:r w:rsidR="00CF2991">
        <w:rPr>
          <w:rFonts w:ascii="Arial" w:eastAsia="Arial" w:hAnsi="Arial" w:cs="Arial"/>
          <w:sz w:val="20"/>
          <w:szCs w:val="20"/>
        </w:rPr>
        <w:t>.</w:t>
      </w:r>
      <w:r>
        <w:rPr>
          <w:rFonts w:ascii="Arial" w:eastAsia="Arial" w:hAnsi="Arial" w:cs="Arial"/>
          <w:sz w:val="20"/>
          <w:szCs w:val="20"/>
        </w:rPr>
        <w:t xml:space="preserve"> </w:t>
      </w:r>
      <w:r w:rsidR="00CF2991">
        <w:rPr>
          <w:rFonts w:ascii="Arial" w:eastAsia="Arial" w:hAnsi="Arial" w:cs="Arial"/>
          <w:sz w:val="20"/>
          <w:szCs w:val="20"/>
        </w:rPr>
        <w:t xml:space="preserve">This includes considerations such as whether an author </w:t>
      </w:r>
      <w:r>
        <w:rPr>
          <w:rFonts w:ascii="Arial" w:eastAsia="Arial" w:hAnsi="Arial" w:cs="Arial"/>
          <w:sz w:val="20"/>
          <w:szCs w:val="20"/>
        </w:rPr>
        <w:t xml:space="preserve">stands to profit from use of a </w:t>
      </w:r>
      <w:r w:rsidR="00BD128F">
        <w:rPr>
          <w:rFonts w:ascii="Arial" w:eastAsia="Arial" w:hAnsi="Arial" w:cs="Arial"/>
          <w:sz w:val="20"/>
          <w:szCs w:val="20"/>
        </w:rPr>
        <w:t>particular supplier or product which may be contained within the guideline. Stakeholder involvement ascertains if the right people</w:t>
      </w:r>
      <w:r>
        <w:rPr>
          <w:rFonts w:ascii="Arial" w:eastAsia="Arial" w:hAnsi="Arial" w:cs="Arial"/>
          <w:sz w:val="20"/>
          <w:szCs w:val="20"/>
        </w:rPr>
        <w:t xml:space="preserve"> </w:t>
      </w:r>
      <w:r w:rsidR="00BD128F">
        <w:rPr>
          <w:rFonts w:ascii="Arial" w:eastAsia="Arial" w:hAnsi="Arial" w:cs="Arial"/>
          <w:sz w:val="20"/>
          <w:szCs w:val="20"/>
        </w:rPr>
        <w:t>have been involved in the process of developing the guid</w:t>
      </w:r>
      <w:r w:rsidR="00794D70">
        <w:rPr>
          <w:rFonts w:ascii="Arial" w:eastAsia="Arial" w:hAnsi="Arial" w:cs="Arial"/>
          <w:sz w:val="20"/>
          <w:szCs w:val="20"/>
        </w:rPr>
        <w:t>eline</w:t>
      </w:r>
      <w:r w:rsidR="00BD128F">
        <w:rPr>
          <w:rFonts w:ascii="Arial" w:eastAsia="Arial" w:hAnsi="Arial" w:cs="Arial"/>
          <w:sz w:val="20"/>
          <w:szCs w:val="20"/>
        </w:rPr>
        <w:t xml:space="preserve">, in the case of unlicensed medicines have the view of patients, </w:t>
      </w:r>
      <w:r w:rsidR="00995A83">
        <w:rPr>
          <w:rFonts w:ascii="Arial" w:eastAsia="Arial" w:hAnsi="Arial" w:cs="Arial"/>
          <w:sz w:val="20"/>
          <w:szCs w:val="20"/>
        </w:rPr>
        <w:t>doctors</w:t>
      </w:r>
      <w:r w:rsidR="00BD128F">
        <w:rPr>
          <w:rFonts w:ascii="Arial" w:eastAsia="Arial" w:hAnsi="Arial" w:cs="Arial"/>
          <w:sz w:val="20"/>
          <w:szCs w:val="20"/>
        </w:rPr>
        <w:t>,</w:t>
      </w:r>
      <w:r w:rsidR="00995A83">
        <w:rPr>
          <w:rFonts w:ascii="Arial" w:eastAsia="Arial" w:hAnsi="Arial" w:cs="Arial"/>
          <w:sz w:val="20"/>
          <w:szCs w:val="20"/>
        </w:rPr>
        <w:t xml:space="preserve"> dentists,</w:t>
      </w:r>
      <w:r w:rsidR="00BD128F">
        <w:rPr>
          <w:rFonts w:ascii="Arial" w:eastAsia="Arial" w:hAnsi="Arial" w:cs="Arial"/>
          <w:sz w:val="20"/>
          <w:szCs w:val="20"/>
        </w:rPr>
        <w:t xml:space="preserve"> nurses, pharmacists been included. And finally</w:t>
      </w:r>
      <w:r w:rsidR="000B4581">
        <w:rPr>
          <w:rFonts w:ascii="Arial" w:eastAsia="Arial" w:hAnsi="Arial" w:cs="Arial"/>
          <w:sz w:val="20"/>
          <w:szCs w:val="20"/>
        </w:rPr>
        <w:t xml:space="preserve"> the applicability domain assesses whether</w:t>
      </w:r>
      <w:r w:rsidR="00BD128F">
        <w:rPr>
          <w:rFonts w:ascii="Arial" w:eastAsia="Arial" w:hAnsi="Arial" w:cs="Arial"/>
          <w:sz w:val="20"/>
          <w:szCs w:val="20"/>
        </w:rPr>
        <w:t xml:space="preserve"> the guideline authors considered how their recommendations can be best implemented and monitored through the provision of tools </w:t>
      </w:r>
      <w:r w:rsidR="00B57EA9">
        <w:rPr>
          <w:rFonts w:ascii="Arial" w:eastAsia="Arial" w:hAnsi="Arial" w:cs="Arial"/>
          <w:sz w:val="20"/>
          <w:szCs w:val="20"/>
        </w:rPr>
        <w:t>to</w:t>
      </w:r>
      <w:r w:rsidR="00BD128F">
        <w:rPr>
          <w:rFonts w:ascii="Arial" w:eastAsia="Arial" w:hAnsi="Arial" w:cs="Arial"/>
          <w:sz w:val="20"/>
          <w:szCs w:val="20"/>
        </w:rPr>
        <w:t xml:space="preserve"> facilitate guideline adoption, for example patient information leaflets, audit tools etc. </w:t>
      </w:r>
    </w:p>
    <w:p w:rsidR="00F40F23" w:rsidRPr="00153ECD" w:rsidRDefault="00F40F23" w:rsidP="00F40F23">
      <w:pPr>
        <w:spacing w:after="0" w:line="480" w:lineRule="auto"/>
        <w:rPr>
          <w:rFonts w:ascii="Arial" w:eastAsia="Arial" w:hAnsi="Arial" w:cs="Arial"/>
          <w:sz w:val="20"/>
          <w:szCs w:val="20"/>
        </w:rPr>
      </w:pPr>
    </w:p>
    <w:p w:rsidR="004A6E3A" w:rsidRDefault="00035DF3" w:rsidP="009327E3">
      <w:pPr>
        <w:spacing w:after="0" w:line="480" w:lineRule="auto"/>
        <w:rPr>
          <w:rFonts w:ascii="Arial" w:eastAsia="Arial" w:hAnsi="Arial" w:cs="Arial"/>
          <w:sz w:val="20"/>
          <w:szCs w:val="20"/>
        </w:rPr>
      </w:pPr>
      <w:r w:rsidRPr="00153ECD">
        <w:rPr>
          <w:rFonts w:ascii="Arial" w:eastAsia="Arial" w:hAnsi="Arial" w:cs="Arial"/>
          <w:sz w:val="20"/>
          <w:szCs w:val="20"/>
          <w:lang w:eastAsia="en-GB"/>
        </w:rPr>
        <w:lastRenderedPageBreak/>
        <w:t>All</w:t>
      </w:r>
      <w:r w:rsidR="00470DB3" w:rsidRPr="00153ECD">
        <w:rPr>
          <w:rFonts w:ascii="Arial" w:eastAsia="Arial" w:hAnsi="Arial" w:cs="Arial"/>
          <w:sz w:val="20"/>
          <w:szCs w:val="20"/>
          <w:lang w:eastAsia="en-GB"/>
        </w:rPr>
        <w:t xml:space="preserve"> 23</w:t>
      </w:r>
      <w:r w:rsidRPr="00153ECD">
        <w:rPr>
          <w:rFonts w:ascii="Arial" w:eastAsia="Arial" w:hAnsi="Arial" w:cs="Arial"/>
          <w:sz w:val="20"/>
          <w:szCs w:val="20"/>
          <w:lang w:eastAsia="en-GB"/>
        </w:rPr>
        <w:t xml:space="preserve"> items were scored independently by</w:t>
      </w:r>
      <w:r w:rsidR="005B5B5B" w:rsidRPr="00153ECD">
        <w:rPr>
          <w:rFonts w:ascii="Arial" w:eastAsia="Arial" w:hAnsi="Arial" w:cs="Arial"/>
          <w:sz w:val="20"/>
          <w:szCs w:val="20"/>
          <w:lang w:eastAsia="en-GB"/>
        </w:rPr>
        <w:t xml:space="preserve"> two researchers</w:t>
      </w:r>
      <w:r w:rsidRPr="00153ECD">
        <w:rPr>
          <w:rFonts w:ascii="Arial" w:eastAsia="Arial" w:hAnsi="Arial" w:cs="Arial"/>
          <w:sz w:val="20"/>
          <w:szCs w:val="20"/>
          <w:lang w:eastAsia="en-GB"/>
        </w:rPr>
        <w:t xml:space="preserve"> </w:t>
      </w:r>
      <w:r w:rsidR="005B5B5B" w:rsidRPr="00153ECD">
        <w:rPr>
          <w:rFonts w:ascii="Arial" w:eastAsia="Arial" w:hAnsi="Arial" w:cs="Arial"/>
          <w:sz w:val="20"/>
          <w:szCs w:val="20"/>
          <w:lang w:eastAsia="en-GB"/>
        </w:rPr>
        <w:t>(</w:t>
      </w:r>
      <w:r w:rsidR="008D087B" w:rsidRPr="00153ECD">
        <w:rPr>
          <w:rFonts w:ascii="Arial" w:eastAsia="Arial" w:hAnsi="Arial" w:cs="Arial"/>
          <w:sz w:val="20"/>
          <w:szCs w:val="20"/>
          <w:lang w:eastAsia="en-GB"/>
        </w:rPr>
        <w:t>GD and LP</w:t>
      </w:r>
      <w:r w:rsidR="005B5B5B" w:rsidRPr="00153ECD">
        <w:rPr>
          <w:rFonts w:ascii="Arial" w:eastAsia="Arial" w:hAnsi="Arial" w:cs="Arial"/>
          <w:sz w:val="20"/>
          <w:szCs w:val="20"/>
          <w:lang w:eastAsia="en-GB"/>
        </w:rPr>
        <w:t>)</w:t>
      </w:r>
      <w:r w:rsidR="009327E3">
        <w:rPr>
          <w:rFonts w:ascii="Arial" w:eastAsia="Arial" w:hAnsi="Arial" w:cs="Arial"/>
          <w:sz w:val="20"/>
          <w:szCs w:val="20"/>
          <w:lang w:eastAsia="en-GB"/>
        </w:rPr>
        <w:t xml:space="preserve">. </w:t>
      </w:r>
      <w:r w:rsidR="009327E3">
        <w:rPr>
          <w:rFonts w:ascii="Arial" w:eastAsia="Arial" w:hAnsi="Arial" w:cs="Arial"/>
          <w:sz w:val="20"/>
          <w:szCs w:val="20"/>
        </w:rPr>
        <w:t xml:space="preserve">It is important to note that guideline ratings such as AGREE II do require a level of judgement. </w:t>
      </w:r>
      <w:r w:rsidR="00477219">
        <w:rPr>
          <w:rFonts w:ascii="Arial" w:eastAsia="Arial" w:hAnsi="Arial" w:cs="Arial"/>
          <w:sz w:val="20"/>
          <w:szCs w:val="20"/>
        </w:rPr>
        <w:t xml:space="preserve">Both are pharmacists </w:t>
      </w:r>
      <w:r w:rsidR="00920E64">
        <w:rPr>
          <w:rFonts w:ascii="Arial" w:eastAsia="Arial" w:hAnsi="Arial" w:cs="Arial"/>
          <w:sz w:val="20"/>
          <w:szCs w:val="20"/>
        </w:rPr>
        <w:t>teaching within a UK university and have</w:t>
      </w:r>
      <w:r w:rsidR="00477219">
        <w:rPr>
          <w:rFonts w:ascii="Arial" w:eastAsia="Arial" w:hAnsi="Arial" w:cs="Arial"/>
          <w:sz w:val="20"/>
          <w:szCs w:val="20"/>
        </w:rPr>
        <w:t xml:space="preserve"> extensive experience in the NHS. </w:t>
      </w:r>
      <w:r w:rsidR="009327E3">
        <w:rPr>
          <w:rFonts w:ascii="Arial" w:eastAsia="Arial" w:hAnsi="Arial" w:cs="Arial"/>
          <w:sz w:val="20"/>
          <w:szCs w:val="20"/>
        </w:rPr>
        <w:t xml:space="preserve">GD has a background in primary care as </w:t>
      </w:r>
      <w:r w:rsidR="00477219">
        <w:rPr>
          <w:rFonts w:ascii="Arial" w:eastAsia="Arial" w:hAnsi="Arial" w:cs="Arial"/>
          <w:sz w:val="20"/>
          <w:szCs w:val="20"/>
        </w:rPr>
        <w:t>in community pharmacy</w:t>
      </w:r>
      <w:r w:rsidR="009327E3">
        <w:rPr>
          <w:rFonts w:ascii="Arial" w:eastAsia="Arial" w:hAnsi="Arial" w:cs="Arial"/>
          <w:sz w:val="20"/>
          <w:szCs w:val="20"/>
        </w:rPr>
        <w:t xml:space="preserve">, </w:t>
      </w:r>
      <w:r w:rsidR="004A6E3A">
        <w:rPr>
          <w:rFonts w:ascii="Arial" w:eastAsia="Arial" w:hAnsi="Arial" w:cs="Arial"/>
          <w:sz w:val="20"/>
          <w:szCs w:val="20"/>
        </w:rPr>
        <w:t xml:space="preserve">within </w:t>
      </w:r>
      <w:r w:rsidR="009327E3">
        <w:rPr>
          <w:rFonts w:ascii="Arial" w:eastAsia="Arial" w:hAnsi="Arial" w:cs="Arial"/>
          <w:sz w:val="20"/>
          <w:szCs w:val="20"/>
        </w:rPr>
        <w:t>GP practice</w:t>
      </w:r>
      <w:r w:rsidR="004A6E3A">
        <w:rPr>
          <w:rFonts w:ascii="Arial" w:eastAsia="Arial" w:hAnsi="Arial" w:cs="Arial"/>
          <w:sz w:val="20"/>
          <w:szCs w:val="20"/>
        </w:rPr>
        <w:t xml:space="preserve">s and at a strategic level within a </w:t>
      </w:r>
      <w:r w:rsidR="00477219">
        <w:rPr>
          <w:rFonts w:ascii="Arial" w:eastAsia="Arial" w:hAnsi="Arial" w:cs="Arial"/>
          <w:sz w:val="20"/>
          <w:szCs w:val="20"/>
        </w:rPr>
        <w:t>commissioning organisation</w:t>
      </w:r>
      <w:r w:rsidR="009327E3">
        <w:rPr>
          <w:rFonts w:ascii="Arial" w:eastAsia="Arial" w:hAnsi="Arial" w:cs="Arial"/>
          <w:sz w:val="20"/>
          <w:szCs w:val="20"/>
        </w:rPr>
        <w:t>.</w:t>
      </w:r>
      <w:r w:rsidR="004A6E3A">
        <w:rPr>
          <w:rFonts w:ascii="Arial" w:eastAsia="Arial" w:hAnsi="Arial" w:cs="Arial"/>
          <w:sz w:val="20"/>
          <w:szCs w:val="20"/>
        </w:rPr>
        <w:t xml:space="preserve"> </w:t>
      </w:r>
      <w:r w:rsidR="009327E3">
        <w:rPr>
          <w:rFonts w:ascii="Arial" w:eastAsia="Arial" w:hAnsi="Arial" w:cs="Arial"/>
          <w:sz w:val="20"/>
          <w:szCs w:val="20"/>
        </w:rPr>
        <w:t xml:space="preserve">LP </w:t>
      </w:r>
      <w:r w:rsidR="004A6E3A">
        <w:rPr>
          <w:rFonts w:ascii="Arial" w:eastAsia="Arial" w:hAnsi="Arial" w:cs="Arial"/>
          <w:sz w:val="20"/>
          <w:szCs w:val="20"/>
        </w:rPr>
        <w:t>has a background in secondary care pharmacy practice and is an independent pharmacist prescriber. Both have had extensive experience of unlicensed medicines as part of their practice from a range of different viewpoints. Both completed online training on the use of the AGREE II tool.</w:t>
      </w:r>
    </w:p>
    <w:p w:rsidR="004A6E3A" w:rsidRDefault="004A6E3A" w:rsidP="009327E3">
      <w:pPr>
        <w:spacing w:after="0" w:line="480" w:lineRule="auto"/>
        <w:rPr>
          <w:rFonts w:ascii="Arial" w:eastAsia="Arial" w:hAnsi="Arial" w:cs="Arial"/>
          <w:sz w:val="20"/>
          <w:szCs w:val="20"/>
        </w:rPr>
      </w:pPr>
    </w:p>
    <w:p w:rsidR="00035DF3" w:rsidRDefault="009327E3" w:rsidP="009327E3">
      <w:pPr>
        <w:spacing w:after="0" w:line="480" w:lineRule="auto"/>
        <w:rPr>
          <w:rFonts w:ascii="Arial" w:eastAsia="Arial" w:hAnsi="Arial" w:cs="Arial"/>
          <w:sz w:val="20"/>
          <w:szCs w:val="20"/>
          <w:lang w:eastAsia="en-GB"/>
        </w:rPr>
      </w:pPr>
      <w:r>
        <w:rPr>
          <w:rFonts w:ascii="Arial" w:eastAsia="Arial" w:hAnsi="Arial" w:cs="Arial"/>
          <w:sz w:val="20"/>
          <w:szCs w:val="20"/>
        </w:rPr>
        <w:t xml:space="preserve">As per guidance from AGREE, a score of 1 was used where the information required to score an item was absent. </w:t>
      </w:r>
      <w:r w:rsidR="004A6E3A">
        <w:rPr>
          <w:rFonts w:ascii="Arial" w:eastAsia="Arial" w:hAnsi="Arial" w:cs="Arial"/>
          <w:sz w:val="20"/>
          <w:szCs w:val="20"/>
          <w:lang w:eastAsia="en-GB"/>
        </w:rPr>
        <w:t>T</w:t>
      </w:r>
      <w:r w:rsidR="005D24DC" w:rsidRPr="00153ECD">
        <w:rPr>
          <w:rFonts w:ascii="Arial" w:eastAsia="Arial" w:hAnsi="Arial" w:cs="Arial"/>
          <w:sz w:val="20"/>
          <w:szCs w:val="20"/>
          <w:lang w:eastAsia="en-GB"/>
        </w:rPr>
        <w:t>he</w:t>
      </w:r>
      <w:r w:rsidR="00035DF3" w:rsidRPr="00153ECD">
        <w:rPr>
          <w:rFonts w:ascii="Arial" w:eastAsia="Arial" w:hAnsi="Arial" w:cs="Arial"/>
          <w:sz w:val="20"/>
          <w:szCs w:val="20"/>
          <w:lang w:eastAsia="en-GB"/>
        </w:rPr>
        <w:t xml:space="preserve"> scores within each of the 6 domains were then used to calculate the overall domain score for each document as well as providing an overall </w:t>
      </w:r>
      <w:r w:rsidR="00995A83">
        <w:rPr>
          <w:rFonts w:ascii="Arial" w:eastAsia="Arial" w:hAnsi="Arial" w:cs="Arial"/>
          <w:sz w:val="20"/>
          <w:szCs w:val="20"/>
          <w:lang w:eastAsia="en-GB"/>
        </w:rPr>
        <w:t>guideline</w:t>
      </w:r>
      <w:r w:rsidR="00995A83" w:rsidRPr="00153ECD">
        <w:rPr>
          <w:rFonts w:ascii="Arial" w:eastAsia="Arial" w:hAnsi="Arial" w:cs="Arial"/>
          <w:sz w:val="20"/>
          <w:szCs w:val="20"/>
          <w:lang w:eastAsia="en-GB"/>
        </w:rPr>
        <w:t xml:space="preserve"> </w:t>
      </w:r>
      <w:r w:rsidR="00035DF3" w:rsidRPr="00153ECD">
        <w:rPr>
          <w:rFonts w:ascii="Arial" w:eastAsia="Arial" w:hAnsi="Arial" w:cs="Arial"/>
          <w:sz w:val="20"/>
          <w:szCs w:val="20"/>
          <w:lang w:eastAsia="en-GB"/>
        </w:rPr>
        <w:t xml:space="preserve">score for all </w:t>
      </w:r>
      <w:r w:rsidR="00AC7720" w:rsidRPr="00153ECD">
        <w:rPr>
          <w:rFonts w:ascii="Arial" w:eastAsia="Arial" w:hAnsi="Arial" w:cs="Arial"/>
          <w:sz w:val="20"/>
          <w:szCs w:val="20"/>
          <w:lang w:eastAsia="en-GB"/>
        </w:rPr>
        <w:t>included documentation</w:t>
      </w:r>
      <w:r w:rsidR="00C62DAD" w:rsidRPr="00153ECD">
        <w:rPr>
          <w:rFonts w:ascii="Arial" w:eastAsia="Arial" w:hAnsi="Arial" w:cs="Arial"/>
          <w:sz w:val="20"/>
          <w:szCs w:val="20"/>
          <w:lang w:eastAsia="en-GB"/>
        </w:rPr>
        <w:t xml:space="preserve"> </w:t>
      </w:r>
      <w:r w:rsidR="00470DB3" w:rsidRPr="00153ECD">
        <w:rPr>
          <w:rFonts w:ascii="Arial" w:eastAsia="Arial" w:hAnsi="Arial" w:cs="Arial"/>
          <w:sz w:val="20"/>
          <w:szCs w:val="20"/>
          <w:lang w:eastAsia="en-GB"/>
        </w:rPr>
        <w:t>(</w:t>
      </w:r>
      <w:hyperlink r:id="rId8" w:history="1">
        <w:r w:rsidR="00035DF3" w:rsidRPr="00153ECD">
          <w:rPr>
            <w:rFonts w:ascii="Arial" w:eastAsia="Arial" w:hAnsi="Arial" w:cs="Arial"/>
            <w:color w:val="410082"/>
            <w:sz w:val="20"/>
            <w:szCs w:val="20"/>
            <w:u w:val="single"/>
            <w:lang w:eastAsia="en-GB"/>
          </w:rPr>
          <w:t>http://www.agreetrust.org/</w:t>
        </w:r>
      </w:hyperlink>
      <w:r w:rsidR="00035DF3" w:rsidRPr="00153ECD">
        <w:rPr>
          <w:rFonts w:ascii="Arial" w:eastAsia="Arial" w:hAnsi="Arial" w:cs="Arial"/>
          <w:sz w:val="20"/>
          <w:szCs w:val="20"/>
          <w:lang w:eastAsia="en-GB"/>
        </w:rPr>
        <w:t>). A score of more than 60% has previously been considered the threshold for w</w:t>
      </w:r>
      <w:r w:rsidR="004D6ED5" w:rsidRPr="00153ECD">
        <w:rPr>
          <w:rFonts w:ascii="Arial" w:eastAsia="Arial" w:hAnsi="Arial" w:cs="Arial"/>
          <w:sz w:val="20"/>
          <w:szCs w:val="20"/>
          <w:lang w:eastAsia="en-GB"/>
        </w:rPr>
        <w:t xml:space="preserve">hat is considered good quality </w:t>
      </w:r>
      <w:r w:rsidR="004C3C88" w:rsidRPr="00153ECD">
        <w:rPr>
          <w:rFonts w:ascii="Arial" w:eastAsia="Arial" w:hAnsi="Arial" w:cs="Arial"/>
          <w:sz w:val="20"/>
          <w:szCs w:val="20"/>
          <w:lang w:eastAsia="en-GB"/>
        </w:rPr>
        <w:fldChar w:fldCharType="begin" w:fldLock="1"/>
      </w:r>
      <w:r w:rsidR="00587F33">
        <w:rPr>
          <w:rFonts w:ascii="Arial" w:eastAsia="Arial" w:hAnsi="Arial" w:cs="Arial"/>
          <w:sz w:val="20"/>
          <w:szCs w:val="20"/>
          <w:lang w:eastAsia="en-GB"/>
        </w:rPr>
        <w:instrText>ADDIN CSL_CITATION { "citationID" : "119atgta64", "citationItems" : [ { "id" : "ITEM-1", "itemData" : { "DOI" : "10.1371/journal.pone.0095369", "ISSN" : "1932-6203", "author" : [ { "dropping-particle" : "", "family" : "Brosseau", "given" : "Lucie", "non-dropping-particle" : "", "parse-names" : false, "suffix" : "" }, { "dropping-particle" : "", "family" : "Rahman", "given" : "Prinon", "non-dropping-particle" : "", "parse-names" : false, "suffix" : "" }, { "dropping-particle" : "", "family" : "Poitras", "given" : "St\u00e9phane", "non-dropping-particle" : "", "parse-names" : false, "suffix" : "" }, { "dropping-particle" : "", "family" : "Toupin-April", "given" : "Karine", "non-dropping-particle" : "", "parse-names" : false, "suffix" : "" }, { "dropping-particle" : "", "family" : "Paterson", "given" : "Gail", "non-dropping-particle" : "", "parse-names" : false, "suffix" : "" }, { "dropping-particle" : "", "family" : "Smith", "given" : "Christine", "non-dropping-particle" : "", "parse-names" : false, "suffix" : "" }, { "dropping-particle" : "", "family" : "King", "given" : "Judy", "non-dropping-particle" : "", "parse-names" : false, "suffix" : "" }, { "dropping-particle" : "", "family" : "Casimiro", "given" : "Lynn", "non-dropping-particle" : "", "parse-names" : false, "suffix" : "" }, { "dropping-particle" : "", "family" : "Angelis", "given" : "Gino", "non-dropping-particle" : "De", "parse-names" : false, "suffix" : "" }, { "dropping-particle" : "", "family" : "Loew", "given" : "Laurianne", "non-dropping-particle" : "", "parse-names" : false, "suffix" : "" }, { "dropping-particle" : "", "family" : "Cavallo", "given" : "Sabrina", "non-dropping-particle" : "", "parse-names" : false, "suffix" : "" }, { "dropping-particle" : "", "family" : "Ewan", "given" : "Jessica Mc", "non-dropping-particle" : "", "parse-names" : false, "suffix" : "" } ], "container-title" : "PLoS ONE", "editor" : [ { "dropping-particle" : "V", "family" : "Hernandez", "given" : "Adrian", "non-dropping-particle" : "", "parse-names" : false, "suffix" : "" } ], "id" : "ITEM-1", "issue" : "5", "issued" : { "date-parts" : [ [ "2014", "2", "2" ] ] }, "language" : "en", "page" : "e95369", "title" : "A Systematic Critical Appraisal of Non-Pharmacological Management of Rheumatoid Arthritis with Appraisal of Guidelines for Research and Evaluation II", "type" : "article-journal", "volume" : "9" }, "uris" : [ "http://www.mendeley.com/documents/?uuid=6e95240a-b874-4e5c-85c1-53dce7a793a9" ] }, { "id" : "ITEM-2", "itemData" : { "DOI" : "10.1155/2015/456071", "ISSN" : "1687-6105, 1687-6113", "author" : [ { "dropping-particle" : "", "family" : "Kirby", "given" : "Joslyn S", "non-dropping-particle" : "", "parse-names" : false, "suffix" : "" }, { "dropping-particle" : "", "family" : "Scharnitz", "given" : "Thomas", "non-dropping-particle" : "", "parse-names" : false, "suffix" : "" }, { "dropping-particle" : "V", "family" : "Seiverling", "given" : "Elizabeth", "non-dropping-particle" : "", "parse-names" : false, "suffix" : "" }, { "dropping-particle" : "", "family" : "Ahrns", "given" : "Hadjh", "non-dropping-particle" : "", "parse-names" : false, "suffix" : "" }, { "dropping-particle" : "", "family" : "Ferguson", "given" : "Sara", "non-dropping-particle" : "", "parse-names" : false, "suffix" : "" } ], "container-title" : "Dermatology Research and Practice", "id" : "ITEM-2", "issued" : { "date-parts" : [ [ "2015", "2", "2" ] ] }, "language" : "en", "page" : "1-7", "title" : "Actinic Keratosis Clinical Practice Guidelines: An Appraisal of Quality", "type" : "article-journal", "volume" : "2015" }, "uris" : [ "http://www.mendeley.com/documents/?uuid=3b4927b6-90bb-41a5-813e-cf61a71c81a4" ] }, { "id" : "ITEM-3", "itemData" : { "DOI" : "10.1155/2015/519032", "ISSN" : "1687-8337, 1687-8345", "author" : [ { "dropping-particle" : "", "family" : "Sun", "given" : "Mingfang", "non-dropping-particle" : "", "parse-names" : false, "suffix" : "" }, { "dropping-particle" : "", "family" : "Zhang", "given" : "Min", "non-dropping-particle" : "", "parse-names" : false, "suffix" : "" }, { "dropping-particle" : "", "family" : "Shen", "given" : "Jing", "non-dropping-particle" : "", "parse-names" : false, "suffix" : "" }, { "dropping-particle" : "", "family" : "Yan", "given" : "Juping", "non-dropping-particle" : "", "parse-names" : false, "suffix" : "" }, { "dropping-particle" : "", "family" : "Zhou", "given" : "Bo", "non-dropping-particle" : "", "parse-names" : false, "suffix" : "" } ], "container-title" : "International Journal of Endocrinology", "id" : "ITEM-3", "issued" : { "date-parts" : [ [ "2015", "2", "2" ] ] }, "language" : "en", "page" : "1-11", "title" : "Critical Appraisal of International Guidelines for the Management of Diabetic Neuropathy: Is There Global Agreement in the Internet Era?", "type" : "article-journal", "volume" : "2015" }, "uris" : [ "http://www.mendeley.com/documents/?uuid=d3285f58-16f8-49c2-8cb8-76938917aea4" ] } ], "mendeley" : { "formattedCitation" : "[11\u201313]", "plainTextFormattedCitation" : "[11\u201313]", "previouslyFormattedCitation" : "[11\u201313]" }, "properties" : { "dontUpdate" : true, "formattedCitation" : "{\\rtf [3\\uc0\\u8211{}5]}", "noteIndex" : 0, "plainCitation" : "[3\u20135]" }, "schema" : "https://github.com/citation-style-language/schema/raw/master/csl-citation.json" }</w:instrText>
      </w:r>
      <w:r w:rsidR="004C3C88" w:rsidRPr="00153ECD">
        <w:rPr>
          <w:rFonts w:ascii="Arial" w:eastAsia="Arial" w:hAnsi="Arial" w:cs="Arial"/>
          <w:sz w:val="20"/>
          <w:szCs w:val="20"/>
          <w:lang w:eastAsia="en-GB"/>
        </w:rPr>
        <w:fldChar w:fldCharType="separate"/>
      </w:r>
      <w:r w:rsidR="00587F33" w:rsidRPr="00587F33">
        <w:rPr>
          <w:rFonts w:ascii="Arial" w:hAnsi="Arial" w:cs="Arial"/>
          <w:noProof/>
          <w:sz w:val="20"/>
          <w:szCs w:val="20"/>
        </w:rPr>
        <w:t>[11–13]</w:t>
      </w:r>
      <w:r w:rsidR="004C3C88" w:rsidRPr="00153ECD">
        <w:rPr>
          <w:rFonts w:ascii="Arial" w:eastAsia="Arial" w:hAnsi="Arial" w:cs="Arial"/>
          <w:sz w:val="20"/>
          <w:szCs w:val="20"/>
          <w:lang w:eastAsia="en-GB"/>
        </w:rPr>
        <w:fldChar w:fldCharType="end"/>
      </w:r>
      <w:r w:rsidR="004A6E3A">
        <w:rPr>
          <w:rFonts w:ascii="Arial" w:eastAsia="Arial" w:hAnsi="Arial" w:cs="Arial"/>
          <w:sz w:val="20"/>
          <w:szCs w:val="20"/>
          <w:lang w:eastAsia="en-GB"/>
        </w:rPr>
        <w:t>.</w:t>
      </w:r>
    </w:p>
    <w:p w:rsidR="004A6E3A" w:rsidRPr="00153ECD" w:rsidRDefault="004A6E3A" w:rsidP="009327E3">
      <w:pPr>
        <w:spacing w:after="0" w:line="480" w:lineRule="auto"/>
        <w:rPr>
          <w:rFonts w:ascii="Arial" w:eastAsia="Arial" w:hAnsi="Arial" w:cs="Arial"/>
          <w:sz w:val="20"/>
          <w:szCs w:val="20"/>
          <w:lang w:eastAsia="en-GB"/>
        </w:rPr>
      </w:pPr>
    </w:p>
    <w:p w:rsidR="00035DF3" w:rsidRPr="00153ECD" w:rsidRDefault="00035DF3" w:rsidP="00EE672C">
      <w:pPr>
        <w:spacing w:after="0" w:line="480" w:lineRule="auto"/>
        <w:rPr>
          <w:rFonts w:ascii="Arial" w:eastAsia="Times New Roman" w:hAnsi="Arial" w:cs="Arial"/>
          <w:sz w:val="20"/>
          <w:szCs w:val="20"/>
          <w:u w:val="single"/>
          <w:lang w:eastAsia="en-GB"/>
        </w:rPr>
      </w:pPr>
      <w:r w:rsidRPr="00153ECD">
        <w:rPr>
          <w:rFonts w:ascii="Arial" w:eastAsia="Arial" w:hAnsi="Arial" w:cs="Arial"/>
          <w:sz w:val="20"/>
          <w:szCs w:val="20"/>
          <w:u w:val="single"/>
          <w:lang w:eastAsia="en-GB"/>
        </w:rPr>
        <w:t>Thematic Analysis</w:t>
      </w:r>
    </w:p>
    <w:p w:rsidR="00035DF3" w:rsidRPr="00153ECD" w:rsidRDefault="0018121F" w:rsidP="00EE672C">
      <w:pPr>
        <w:spacing w:after="0" w:line="480" w:lineRule="auto"/>
        <w:rPr>
          <w:rFonts w:ascii="Arial" w:eastAsia="Arial" w:hAnsi="Arial" w:cs="Arial"/>
          <w:sz w:val="20"/>
          <w:szCs w:val="20"/>
          <w:lang w:eastAsia="en-GB"/>
        </w:rPr>
      </w:pPr>
      <w:r w:rsidRPr="00153ECD">
        <w:rPr>
          <w:rFonts w:ascii="Arial" w:eastAsia="Arial" w:hAnsi="Arial" w:cs="Arial"/>
          <w:sz w:val="20"/>
          <w:szCs w:val="20"/>
          <w:lang w:eastAsia="en-GB"/>
        </w:rPr>
        <w:t>T</w:t>
      </w:r>
      <w:r w:rsidR="00771F78" w:rsidRPr="00153ECD">
        <w:rPr>
          <w:rFonts w:ascii="Arial" w:eastAsia="Arial" w:hAnsi="Arial" w:cs="Arial"/>
          <w:sz w:val="20"/>
          <w:szCs w:val="20"/>
          <w:lang w:eastAsia="en-GB"/>
        </w:rPr>
        <w:t>hematic analysis</w:t>
      </w:r>
      <w:r w:rsidRPr="00153ECD">
        <w:rPr>
          <w:rFonts w:ascii="Arial" w:eastAsia="Arial" w:hAnsi="Arial" w:cs="Arial"/>
          <w:sz w:val="20"/>
          <w:szCs w:val="20"/>
          <w:lang w:eastAsia="en-GB"/>
        </w:rPr>
        <w:t xml:space="preserve"> was also conducted on the documentation</w:t>
      </w:r>
      <w:r w:rsidR="00AD62A3" w:rsidRPr="00153ECD">
        <w:rPr>
          <w:rFonts w:ascii="Arial" w:eastAsia="Arial" w:hAnsi="Arial" w:cs="Arial"/>
          <w:sz w:val="20"/>
          <w:szCs w:val="20"/>
          <w:lang w:eastAsia="en-GB"/>
        </w:rPr>
        <w:t>, using constant comparison to compare between documents and emerging categories</w:t>
      </w:r>
      <w:r w:rsidR="00A82900" w:rsidRPr="00153ECD">
        <w:rPr>
          <w:rFonts w:ascii="Arial" w:eastAsia="Arial" w:hAnsi="Arial" w:cs="Arial"/>
          <w:sz w:val="20"/>
          <w:szCs w:val="20"/>
          <w:lang w:eastAsia="en-GB"/>
        </w:rPr>
        <w:t xml:space="preserve"> </w:t>
      </w:r>
      <w:r w:rsidR="004C3C88" w:rsidRPr="00153ECD">
        <w:rPr>
          <w:rFonts w:ascii="Arial" w:eastAsia="Arial" w:hAnsi="Arial" w:cs="Arial"/>
          <w:sz w:val="20"/>
          <w:szCs w:val="20"/>
          <w:lang w:eastAsia="en-GB"/>
        </w:rPr>
        <w:fldChar w:fldCharType="begin" w:fldLock="1"/>
      </w:r>
      <w:r w:rsidR="00587F33">
        <w:rPr>
          <w:rFonts w:ascii="Arial" w:eastAsia="Arial" w:hAnsi="Arial" w:cs="Arial"/>
          <w:sz w:val="20"/>
          <w:szCs w:val="20"/>
          <w:lang w:eastAsia="en-GB"/>
        </w:rPr>
        <w:instrText>ADDIN CSL_CITATION { "citationID" : "1u7moaq837", "citationItems" : [ { "id" : "ITEM-1", "itemData" : { "DOI" : "10.3316/QRJ0902027", "ISSN" : "1443-9883", "author" : [ { "dropping-particle" : "", "family" : "Bowen", "given" : "Glenn A", "non-dropping-particle" : "", "parse-names" : false, "suffix" : "" } ], "container-title" : "Qualitative Research Journal", "id" : "ITEM-1", "issue" : "2", "issued" : { "date-parts" : [ [ "2009", "10", "31" ] ] }, "language" : "en", "page" : "27-40", "title" : "Document Analysis as a Qualitative Research Method", "type" : "article-journal", "volume" : "9" }, "uris" : [ "http://www.mendeley.com/documents/?uuid=80fac33d-08ad-40d5-b087-1a6aea0c725f" ] } ], "mendeley" : { "formattedCitation" : "[14]", "plainTextFormattedCitation" : "[14]", "previouslyFormattedCitation" : "[14]" }, "properties" : { "formattedCitation" : "[11]", "noteIndex" : 0, "plainCitation" : "[11]" }, "schema" : "https://github.com/citation-style-language/schema/raw/master/csl-citation.json" }</w:instrText>
      </w:r>
      <w:r w:rsidR="004C3C88" w:rsidRPr="00153ECD">
        <w:rPr>
          <w:rFonts w:ascii="Arial" w:eastAsia="Arial" w:hAnsi="Arial" w:cs="Arial"/>
          <w:sz w:val="20"/>
          <w:szCs w:val="20"/>
          <w:lang w:eastAsia="en-GB"/>
        </w:rPr>
        <w:fldChar w:fldCharType="separate"/>
      </w:r>
      <w:r w:rsidR="00587F33" w:rsidRPr="00587F33">
        <w:rPr>
          <w:rFonts w:ascii="Arial" w:hAnsi="Arial" w:cs="Arial"/>
          <w:noProof/>
          <w:sz w:val="20"/>
        </w:rPr>
        <w:t>[14]</w:t>
      </w:r>
      <w:r w:rsidR="004C3C88" w:rsidRPr="00153ECD">
        <w:rPr>
          <w:rFonts w:ascii="Arial" w:eastAsia="Arial" w:hAnsi="Arial" w:cs="Arial"/>
          <w:sz w:val="20"/>
          <w:szCs w:val="20"/>
          <w:lang w:eastAsia="en-GB"/>
        </w:rPr>
        <w:fldChar w:fldCharType="end"/>
      </w:r>
      <w:r w:rsidR="00035DF3" w:rsidRPr="00153ECD">
        <w:rPr>
          <w:rFonts w:ascii="Arial" w:eastAsia="Arial" w:hAnsi="Arial" w:cs="Arial"/>
          <w:sz w:val="20"/>
          <w:szCs w:val="20"/>
          <w:lang w:eastAsia="en-GB"/>
        </w:rPr>
        <w:t xml:space="preserve">.  To generate initial themes GD and LP analysed 8 of the 52 documents concomitantly to ensure </w:t>
      </w:r>
      <w:r w:rsidR="00995A83">
        <w:rPr>
          <w:rFonts w:ascii="Arial" w:eastAsia="Arial" w:hAnsi="Arial" w:cs="Arial"/>
          <w:sz w:val="20"/>
          <w:szCs w:val="20"/>
          <w:lang w:eastAsia="en-GB"/>
        </w:rPr>
        <w:t xml:space="preserve">codes were identified and labelled </w:t>
      </w:r>
      <w:r w:rsidR="00035DF3" w:rsidRPr="00153ECD">
        <w:rPr>
          <w:rFonts w:ascii="Arial" w:eastAsia="Arial" w:hAnsi="Arial" w:cs="Arial"/>
          <w:sz w:val="20"/>
          <w:szCs w:val="20"/>
          <w:lang w:eastAsia="en-GB"/>
        </w:rPr>
        <w:t>consisten</w:t>
      </w:r>
      <w:r w:rsidR="00995A83">
        <w:rPr>
          <w:rFonts w:ascii="Arial" w:eastAsia="Arial" w:hAnsi="Arial" w:cs="Arial"/>
          <w:sz w:val="20"/>
          <w:szCs w:val="20"/>
          <w:lang w:eastAsia="en-GB"/>
        </w:rPr>
        <w:t>tly</w:t>
      </w:r>
      <w:proofErr w:type="gramStart"/>
      <w:r w:rsidR="00995A83">
        <w:rPr>
          <w:rFonts w:ascii="Arial" w:eastAsia="Arial" w:hAnsi="Arial" w:cs="Arial"/>
          <w:sz w:val="20"/>
          <w:szCs w:val="20"/>
          <w:lang w:eastAsia="en-GB"/>
        </w:rPr>
        <w:t>.</w:t>
      </w:r>
      <w:r w:rsidR="00035DF3" w:rsidRPr="00153ECD">
        <w:rPr>
          <w:rFonts w:ascii="Arial" w:eastAsia="Arial" w:hAnsi="Arial" w:cs="Arial"/>
          <w:sz w:val="20"/>
          <w:szCs w:val="20"/>
          <w:lang w:eastAsia="en-GB"/>
        </w:rPr>
        <w:t>.</w:t>
      </w:r>
      <w:proofErr w:type="gramEnd"/>
      <w:r w:rsidR="00035DF3" w:rsidRPr="00153ECD">
        <w:rPr>
          <w:rFonts w:ascii="Arial" w:eastAsia="Arial" w:hAnsi="Arial" w:cs="Arial"/>
          <w:sz w:val="20"/>
          <w:szCs w:val="20"/>
          <w:lang w:eastAsia="en-GB"/>
        </w:rPr>
        <w:t xml:space="preserve">  The </w:t>
      </w:r>
      <w:r w:rsidR="008E3162">
        <w:rPr>
          <w:rFonts w:ascii="Arial" w:eastAsia="Arial" w:hAnsi="Arial" w:cs="Arial"/>
          <w:sz w:val="20"/>
          <w:szCs w:val="20"/>
          <w:lang w:eastAsia="en-GB"/>
        </w:rPr>
        <w:t>remaining</w:t>
      </w:r>
      <w:r w:rsidR="00035DF3" w:rsidRPr="00153ECD">
        <w:rPr>
          <w:rFonts w:ascii="Arial" w:eastAsia="Arial" w:hAnsi="Arial" w:cs="Arial"/>
          <w:sz w:val="20"/>
          <w:szCs w:val="20"/>
          <w:lang w:eastAsia="en-GB"/>
        </w:rPr>
        <w:t xml:space="preserve"> </w:t>
      </w:r>
      <w:r w:rsidR="00794D70">
        <w:rPr>
          <w:rFonts w:ascii="Arial" w:eastAsia="Arial" w:hAnsi="Arial" w:cs="Arial"/>
          <w:sz w:val="20"/>
          <w:szCs w:val="20"/>
          <w:lang w:eastAsia="en-GB"/>
        </w:rPr>
        <w:t>guideline</w:t>
      </w:r>
      <w:r w:rsidR="00794D70" w:rsidRPr="00153ECD">
        <w:rPr>
          <w:rFonts w:ascii="Arial" w:eastAsia="Arial" w:hAnsi="Arial" w:cs="Arial"/>
          <w:sz w:val="20"/>
          <w:szCs w:val="20"/>
          <w:lang w:eastAsia="en-GB"/>
        </w:rPr>
        <w:t xml:space="preserve"> </w:t>
      </w:r>
      <w:r w:rsidR="00035DF3" w:rsidRPr="00153ECD">
        <w:rPr>
          <w:rFonts w:ascii="Arial" w:eastAsia="Arial" w:hAnsi="Arial" w:cs="Arial"/>
          <w:sz w:val="20"/>
          <w:szCs w:val="20"/>
          <w:lang w:eastAsia="en-GB"/>
        </w:rPr>
        <w:t>documents were then thematically analysed independently</w:t>
      </w:r>
      <w:r w:rsidRPr="00153ECD">
        <w:rPr>
          <w:rFonts w:ascii="Arial" w:eastAsia="Arial" w:hAnsi="Arial" w:cs="Arial"/>
          <w:sz w:val="20"/>
          <w:szCs w:val="20"/>
          <w:lang w:eastAsia="en-GB"/>
        </w:rPr>
        <w:t xml:space="preserve"> by both researchers prior </w:t>
      </w:r>
      <w:r w:rsidR="00035DF3" w:rsidRPr="00153ECD">
        <w:rPr>
          <w:rFonts w:ascii="Arial" w:eastAsia="Arial" w:hAnsi="Arial" w:cs="Arial"/>
          <w:sz w:val="20"/>
          <w:szCs w:val="20"/>
          <w:lang w:eastAsia="en-GB"/>
        </w:rPr>
        <w:t>to gain</w:t>
      </w:r>
      <w:r w:rsidR="000C2151" w:rsidRPr="00153ECD">
        <w:rPr>
          <w:rFonts w:ascii="Arial" w:eastAsia="Arial" w:hAnsi="Arial" w:cs="Arial"/>
          <w:sz w:val="20"/>
          <w:szCs w:val="20"/>
          <w:lang w:eastAsia="en-GB"/>
        </w:rPr>
        <w:t>ing</w:t>
      </w:r>
      <w:r w:rsidR="00035DF3" w:rsidRPr="00153ECD">
        <w:rPr>
          <w:rFonts w:ascii="Arial" w:eastAsia="Arial" w:hAnsi="Arial" w:cs="Arial"/>
          <w:sz w:val="20"/>
          <w:szCs w:val="20"/>
          <w:lang w:eastAsia="en-GB"/>
        </w:rPr>
        <w:t xml:space="preserve"> consensus on the final t</w:t>
      </w:r>
      <w:r w:rsidR="005D24DC" w:rsidRPr="00153ECD">
        <w:rPr>
          <w:rFonts w:ascii="Arial" w:eastAsia="Arial" w:hAnsi="Arial" w:cs="Arial"/>
          <w:sz w:val="20"/>
          <w:szCs w:val="20"/>
          <w:lang w:eastAsia="en-GB"/>
        </w:rPr>
        <w:t>hemes</w:t>
      </w:r>
      <w:r w:rsidR="00035DF3" w:rsidRPr="00153ECD">
        <w:rPr>
          <w:rFonts w:ascii="Arial" w:eastAsia="Arial" w:hAnsi="Arial" w:cs="Arial"/>
          <w:sz w:val="20"/>
          <w:szCs w:val="20"/>
          <w:lang w:eastAsia="en-GB"/>
        </w:rPr>
        <w:t xml:space="preserve">.  </w:t>
      </w:r>
      <w:proofErr w:type="spellStart"/>
      <w:r w:rsidR="00035DF3" w:rsidRPr="00153ECD">
        <w:rPr>
          <w:rFonts w:ascii="Arial" w:eastAsia="Arial" w:hAnsi="Arial" w:cs="Arial"/>
          <w:sz w:val="20"/>
          <w:szCs w:val="20"/>
          <w:lang w:eastAsia="en-GB"/>
        </w:rPr>
        <w:t>NVivo</w:t>
      </w:r>
      <w:proofErr w:type="spellEnd"/>
      <w:r w:rsidR="00035DF3" w:rsidRPr="00153ECD">
        <w:rPr>
          <w:rFonts w:ascii="Arial" w:eastAsia="Arial" w:hAnsi="Arial" w:cs="Arial"/>
          <w:sz w:val="20"/>
          <w:szCs w:val="20"/>
          <w:lang w:eastAsia="en-GB"/>
        </w:rPr>
        <w:t xml:space="preserve"> 10, a qualitative data softw</w:t>
      </w:r>
      <w:r w:rsidR="005D24DC" w:rsidRPr="00153ECD">
        <w:rPr>
          <w:rFonts w:ascii="Arial" w:eastAsia="Arial" w:hAnsi="Arial" w:cs="Arial"/>
          <w:sz w:val="20"/>
          <w:szCs w:val="20"/>
          <w:lang w:eastAsia="en-GB"/>
        </w:rPr>
        <w:t>are package</w:t>
      </w:r>
      <w:r w:rsidRPr="00153ECD">
        <w:rPr>
          <w:rFonts w:ascii="Arial" w:eastAsia="Arial" w:hAnsi="Arial" w:cs="Arial"/>
          <w:sz w:val="20"/>
          <w:szCs w:val="20"/>
          <w:lang w:eastAsia="en-GB"/>
        </w:rPr>
        <w:t>,</w:t>
      </w:r>
      <w:r w:rsidR="005D24DC" w:rsidRPr="00153ECD">
        <w:rPr>
          <w:rFonts w:ascii="Arial" w:eastAsia="Arial" w:hAnsi="Arial" w:cs="Arial"/>
          <w:sz w:val="20"/>
          <w:szCs w:val="20"/>
          <w:lang w:eastAsia="en-GB"/>
        </w:rPr>
        <w:t xml:space="preserve"> was used </w:t>
      </w:r>
      <w:r w:rsidR="00D2156F" w:rsidRPr="00153ECD">
        <w:rPr>
          <w:rFonts w:ascii="Arial" w:eastAsia="Arial" w:hAnsi="Arial" w:cs="Arial"/>
          <w:sz w:val="20"/>
          <w:szCs w:val="20"/>
          <w:lang w:eastAsia="en-GB"/>
        </w:rPr>
        <w:t>to manage the large volume of data</w:t>
      </w:r>
      <w:r w:rsidR="00035DF3" w:rsidRPr="00153ECD">
        <w:rPr>
          <w:rFonts w:ascii="Arial" w:eastAsia="Arial" w:hAnsi="Arial" w:cs="Arial"/>
          <w:sz w:val="20"/>
          <w:szCs w:val="20"/>
          <w:lang w:eastAsia="en-GB"/>
        </w:rPr>
        <w:t xml:space="preserve">. </w:t>
      </w:r>
    </w:p>
    <w:p w:rsidR="00715F62" w:rsidRDefault="00715F62" w:rsidP="00EE672C">
      <w:pPr>
        <w:spacing w:after="0" w:line="480" w:lineRule="auto"/>
        <w:rPr>
          <w:rFonts w:ascii="Arial" w:eastAsia="Arial" w:hAnsi="Arial" w:cs="Arial"/>
          <w:b/>
          <w:bCs/>
          <w:sz w:val="20"/>
          <w:szCs w:val="20"/>
          <w:lang w:eastAsia="en-GB"/>
        </w:rPr>
      </w:pPr>
    </w:p>
    <w:p w:rsidR="00035DF3" w:rsidRPr="00153ECD" w:rsidRDefault="004D6ED5" w:rsidP="00EE672C">
      <w:pPr>
        <w:spacing w:after="0" w:line="480" w:lineRule="auto"/>
        <w:rPr>
          <w:rFonts w:ascii="Arial" w:eastAsia="Arial" w:hAnsi="Arial" w:cs="Arial"/>
          <w:b/>
          <w:bCs/>
          <w:sz w:val="20"/>
          <w:szCs w:val="20"/>
          <w:lang w:eastAsia="en-GB"/>
        </w:rPr>
      </w:pPr>
      <w:r w:rsidRPr="00153ECD">
        <w:rPr>
          <w:rFonts w:ascii="Arial" w:eastAsia="Arial" w:hAnsi="Arial" w:cs="Arial"/>
          <w:b/>
          <w:bCs/>
          <w:sz w:val="20"/>
          <w:szCs w:val="20"/>
          <w:lang w:eastAsia="en-GB"/>
        </w:rPr>
        <w:t>R</w:t>
      </w:r>
      <w:r w:rsidR="00035DF3" w:rsidRPr="00153ECD">
        <w:rPr>
          <w:rFonts w:ascii="Arial" w:eastAsia="Arial" w:hAnsi="Arial" w:cs="Arial"/>
          <w:b/>
          <w:bCs/>
          <w:sz w:val="20"/>
          <w:szCs w:val="20"/>
          <w:lang w:eastAsia="en-GB"/>
        </w:rPr>
        <w:t>esults</w:t>
      </w:r>
    </w:p>
    <w:p w:rsidR="000C2151" w:rsidRPr="00153ECD" w:rsidRDefault="000C2151" w:rsidP="00EE672C">
      <w:pPr>
        <w:spacing w:after="0" w:line="480" w:lineRule="auto"/>
        <w:rPr>
          <w:rFonts w:ascii="Arial" w:eastAsia="Arial" w:hAnsi="Arial" w:cs="Arial"/>
          <w:b/>
          <w:bCs/>
          <w:sz w:val="20"/>
          <w:szCs w:val="20"/>
          <w:lang w:eastAsia="en-GB"/>
        </w:rPr>
      </w:pPr>
    </w:p>
    <w:p w:rsidR="00035DF3" w:rsidRDefault="00F35EDF" w:rsidP="00EE672C">
      <w:pPr>
        <w:spacing w:after="0" w:line="480" w:lineRule="auto"/>
        <w:rPr>
          <w:rFonts w:ascii="Arial" w:eastAsia="Arial" w:hAnsi="Arial" w:cs="Arial"/>
          <w:sz w:val="20"/>
          <w:szCs w:val="20"/>
          <w:lang w:eastAsia="en-GB"/>
        </w:rPr>
      </w:pPr>
      <w:r w:rsidRPr="00153ECD">
        <w:rPr>
          <w:rFonts w:ascii="Arial" w:eastAsia="Arial" w:hAnsi="Arial" w:cs="Arial"/>
          <w:sz w:val="20"/>
          <w:szCs w:val="20"/>
          <w:lang w:eastAsia="en-GB"/>
        </w:rPr>
        <w:t>Fifty two</w:t>
      </w:r>
      <w:r w:rsidR="00035DF3" w:rsidRPr="00153ECD">
        <w:rPr>
          <w:rFonts w:ascii="Arial" w:eastAsia="Arial" w:hAnsi="Arial" w:cs="Arial"/>
          <w:sz w:val="20"/>
          <w:szCs w:val="20"/>
          <w:lang w:eastAsia="en-GB"/>
        </w:rPr>
        <w:t xml:space="preserve"> guid</w:t>
      </w:r>
      <w:r w:rsidR="00794D70">
        <w:rPr>
          <w:rFonts w:ascii="Arial" w:eastAsia="Arial" w:hAnsi="Arial" w:cs="Arial"/>
          <w:sz w:val="20"/>
          <w:szCs w:val="20"/>
          <w:lang w:eastAsia="en-GB"/>
        </w:rPr>
        <w:t>eline</w:t>
      </w:r>
      <w:r w:rsidR="00035DF3" w:rsidRPr="00153ECD">
        <w:rPr>
          <w:rFonts w:ascii="Arial" w:eastAsia="Arial" w:hAnsi="Arial" w:cs="Arial"/>
          <w:sz w:val="20"/>
          <w:szCs w:val="20"/>
          <w:lang w:eastAsia="en-GB"/>
        </w:rPr>
        <w:t xml:space="preserve"> documents were included in the analysis</w:t>
      </w:r>
      <w:r w:rsidRPr="00153ECD">
        <w:rPr>
          <w:rFonts w:ascii="Arial" w:eastAsia="Arial" w:hAnsi="Arial" w:cs="Arial"/>
          <w:sz w:val="20"/>
          <w:szCs w:val="20"/>
          <w:lang w:eastAsia="en-GB"/>
        </w:rPr>
        <w:t xml:space="preserve"> with </w:t>
      </w:r>
      <w:r w:rsidR="001B2CE0" w:rsidRPr="00153ECD">
        <w:rPr>
          <w:rFonts w:ascii="Arial" w:eastAsia="Arial" w:hAnsi="Arial" w:cs="Arial"/>
          <w:sz w:val="20"/>
          <w:szCs w:val="20"/>
          <w:lang w:eastAsia="en-GB"/>
        </w:rPr>
        <w:t>t</w:t>
      </w:r>
      <w:r w:rsidR="0018121F" w:rsidRPr="00153ECD">
        <w:rPr>
          <w:rFonts w:ascii="Arial" w:eastAsia="Arial" w:hAnsi="Arial" w:cs="Arial"/>
          <w:sz w:val="20"/>
          <w:szCs w:val="20"/>
          <w:lang w:eastAsia="en-GB"/>
        </w:rPr>
        <w:t>he documents originating</w:t>
      </w:r>
      <w:r w:rsidR="00035DF3" w:rsidRPr="00153ECD">
        <w:rPr>
          <w:rFonts w:ascii="Arial" w:eastAsia="Arial" w:hAnsi="Arial" w:cs="Arial"/>
          <w:sz w:val="20"/>
          <w:szCs w:val="20"/>
          <w:lang w:eastAsia="en-GB"/>
        </w:rPr>
        <w:t xml:space="preserve"> from a range of settings </w:t>
      </w:r>
      <w:r w:rsidR="00FC547F">
        <w:rPr>
          <w:rFonts w:ascii="Arial" w:eastAsia="Arial" w:hAnsi="Arial" w:cs="Arial"/>
          <w:sz w:val="20"/>
          <w:szCs w:val="20"/>
          <w:lang w:eastAsia="en-GB"/>
        </w:rPr>
        <w:t xml:space="preserve">(see Table 2) </w:t>
      </w:r>
      <w:r w:rsidR="00035DF3" w:rsidRPr="00153ECD">
        <w:rPr>
          <w:rFonts w:ascii="Arial" w:eastAsia="Arial" w:hAnsi="Arial" w:cs="Arial"/>
          <w:sz w:val="20"/>
          <w:szCs w:val="20"/>
          <w:lang w:eastAsia="en-GB"/>
        </w:rPr>
        <w:t xml:space="preserve">and </w:t>
      </w:r>
      <w:r w:rsidR="001B2CE0" w:rsidRPr="00153ECD">
        <w:rPr>
          <w:rFonts w:ascii="Arial" w:eastAsia="Arial" w:hAnsi="Arial" w:cs="Arial"/>
          <w:sz w:val="20"/>
          <w:szCs w:val="20"/>
          <w:lang w:eastAsia="en-GB"/>
        </w:rPr>
        <w:t xml:space="preserve">taking </w:t>
      </w:r>
      <w:r w:rsidR="005D24DC" w:rsidRPr="00153ECD">
        <w:rPr>
          <w:rFonts w:ascii="Arial" w:eastAsia="Arial" w:hAnsi="Arial" w:cs="Arial"/>
          <w:sz w:val="20"/>
          <w:szCs w:val="20"/>
          <w:lang w:eastAsia="en-GB"/>
        </w:rPr>
        <w:t>vari</w:t>
      </w:r>
      <w:r w:rsidR="001B2CE0" w:rsidRPr="00153ECD">
        <w:rPr>
          <w:rFonts w:ascii="Arial" w:eastAsia="Arial" w:hAnsi="Arial" w:cs="Arial"/>
          <w:sz w:val="20"/>
          <w:szCs w:val="20"/>
          <w:lang w:eastAsia="en-GB"/>
        </w:rPr>
        <w:t xml:space="preserve">ous </w:t>
      </w:r>
      <w:r w:rsidR="00A67E05" w:rsidRPr="00153ECD">
        <w:rPr>
          <w:rFonts w:ascii="Arial" w:eastAsia="Arial" w:hAnsi="Arial" w:cs="Arial"/>
          <w:sz w:val="20"/>
          <w:szCs w:val="20"/>
          <w:lang w:eastAsia="en-GB"/>
        </w:rPr>
        <w:t>formats</w:t>
      </w:r>
      <w:r w:rsidR="00035DF3" w:rsidRPr="00153ECD">
        <w:rPr>
          <w:rFonts w:ascii="Arial" w:eastAsia="Arial" w:hAnsi="Arial" w:cs="Arial"/>
          <w:sz w:val="20"/>
          <w:szCs w:val="20"/>
          <w:lang w:eastAsia="en-GB"/>
        </w:rPr>
        <w:t>.</w:t>
      </w:r>
      <w:r w:rsidR="00D86DBC">
        <w:rPr>
          <w:rFonts w:ascii="Arial" w:eastAsia="Arial" w:hAnsi="Arial" w:cs="Arial"/>
          <w:sz w:val="20"/>
          <w:szCs w:val="20"/>
          <w:lang w:eastAsia="en-GB"/>
        </w:rPr>
        <w:t xml:space="preserve"> </w:t>
      </w:r>
      <w:r w:rsidR="00D86DBC" w:rsidRPr="00D86DBC">
        <w:rPr>
          <w:rFonts w:ascii="Arial" w:eastAsia="Arial" w:hAnsi="Arial" w:cs="Arial"/>
          <w:sz w:val="20"/>
          <w:szCs w:val="20"/>
          <w:lang w:eastAsia="en-GB"/>
        </w:rPr>
        <w:t xml:space="preserve">The origin of the </w:t>
      </w:r>
      <w:r w:rsidR="00794D70" w:rsidRPr="00D86DBC">
        <w:rPr>
          <w:rFonts w:ascii="Arial" w:eastAsia="Arial" w:hAnsi="Arial" w:cs="Arial"/>
          <w:sz w:val="20"/>
          <w:szCs w:val="20"/>
          <w:lang w:eastAsia="en-GB"/>
        </w:rPr>
        <w:t>guid</w:t>
      </w:r>
      <w:r w:rsidR="00794D70">
        <w:rPr>
          <w:rFonts w:ascii="Arial" w:eastAsia="Arial" w:hAnsi="Arial" w:cs="Arial"/>
          <w:sz w:val="20"/>
          <w:szCs w:val="20"/>
          <w:lang w:eastAsia="en-GB"/>
        </w:rPr>
        <w:t>eline</w:t>
      </w:r>
      <w:r w:rsidR="00794D70" w:rsidRPr="00D86DBC">
        <w:rPr>
          <w:rFonts w:ascii="Arial" w:eastAsia="Arial" w:hAnsi="Arial" w:cs="Arial"/>
          <w:sz w:val="20"/>
          <w:szCs w:val="20"/>
          <w:lang w:eastAsia="en-GB"/>
        </w:rPr>
        <w:t xml:space="preserve"> </w:t>
      </w:r>
      <w:r w:rsidR="00D86DBC" w:rsidRPr="00D86DBC">
        <w:rPr>
          <w:rFonts w:ascii="Arial" w:eastAsia="Arial" w:hAnsi="Arial" w:cs="Arial"/>
          <w:sz w:val="20"/>
          <w:szCs w:val="20"/>
          <w:lang w:eastAsia="en-GB"/>
        </w:rPr>
        <w:t>documents is anonymised due to commercial sensitivity.</w:t>
      </w:r>
    </w:p>
    <w:p w:rsidR="00715F62" w:rsidRDefault="00715F62" w:rsidP="00EE672C">
      <w:pPr>
        <w:spacing w:after="0" w:line="480" w:lineRule="auto"/>
        <w:rPr>
          <w:rFonts w:ascii="Arial" w:eastAsia="Times New Roman" w:hAnsi="Arial" w:cs="Arial"/>
          <w:sz w:val="20"/>
          <w:szCs w:val="20"/>
          <w:lang w:eastAsia="en-GB"/>
        </w:rPr>
      </w:pPr>
    </w:p>
    <w:p w:rsidR="00EC3B4A" w:rsidRPr="00153ECD" w:rsidRDefault="00EC3B4A" w:rsidP="00EE672C">
      <w:pPr>
        <w:spacing w:after="0" w:line="480" w:lineRule="auto"/>
        <w:rPr>
          <w:rFonts w:ascii="Arial" w:eastAsia="Times New Roman" w:hAnsi="Arial" w:cs="Arial"/>
          <w:sz w:val="20"/>
          <w:szCs w:val="20"/>
          <w:lang w:eastAsia="en-GB"/>
        </w:rPr>
      </w:pPr>
    </w:p>
    <w:p w:rsidR="00035DF3" w:rsidRDefault="00035DF3" w:rsidP="00EE672C">
      <w:pPr>
        <w:spacing w:after="0" w:line="480" w:lineRule="auto"/>
        <w:rPr>
          <w:rFonts w:ascii="Arial" w:eastAsia="Arial" w:hAnsi="Arial" w:cs="Arial"/>
          <w:sz w:val="20"/>
          <w:szCs w:val="20"/>
          <w:u w:val="single"/>
        </w:rPr>
      </w:pPr>
      <w:r w:rsidRPr="00153ECD">
        <w:rPr>
          <w:rFonts w:ascii="Arial" w:eastAsia="Arial" w:hAnsi="Arial" w:cs="Arial"/>
          <w:sz w:val="20"/>
          <w:szCs w:val="20"/>
          <w:u w:val="single"/>
        </w:rPr>
        <w:lastRenderedPageBreak/>
        <w:t>AGREE II</w:t>
      </w:r>
      <w:r w:rsidR="007E58F5" w:rsidRPr="00153ECD">
        <w:rPr>
          <w:rFonts w:ascii="Arial" w:eastAsia="Arial" w:hAnsi="Arial" w:cs="Arial"/>
          <w:sz w:val="20"/>
          <w:szCs w:val="20"/>
          <w:u w:val="single"/>
        </w:rPr>
        <w:t xml:space="preserve"> Scoring</w:t>
      </w:r>
    </w:p>
    <w:p w:rsidR="00D86DBC" w:rsidRPr="00153ECD" w:rsidRDefault="00D86DBC" w:rsidP="00EE672C">
      <w:pPr>
        <w:spacing w:after="0" w:line="480" w:lineRule="auto"/>
        <w:rPr>
          <w:rFonts w:ascii="Arial" w:eastAsia="Arial" w:hAnsi="Arial" w:cs="Arial"/>
          <w:sz w:val="20"/>
          <w:szCs w:val="20"/>
          <w:u w:val="single"/>
        </w:rPr>
      </w:pPr>
    </w:p>
    <w:p w:rsidR="007E58F5" w:rsidRPr="00995A83" w:rsidRDefault="00D86DBC" w:rsidP="00EE672C">
      <w:pPr>
        <w:spacing w:after="0" w:line="480" w:lineRule="auto"/>
        <w:rPr>
          <w:rFonts w:ascii="Arial" w:eastAsia="Arial" w:hAnsi="Arial" w:cs="Arial"/>
          <w:sz w:val="20"/>
          <w:szCs w:val="20"/>
        </w:rPr>
      </w:pPr>
      <w:r w:rsidRPr="00995A83">
        <w:rPr>
          <w:rFonts w:ascii="Arial" w:eastAsia="Arial" w:hAnsi="Arial" w:cs="Arial"/>
          <w:sz w:val="20"/>
          <w:szCs w:val="20"/>
        </w:rPr>
        <w:t xml:space="preserve">The AGREE II scoring results </w:t>
      </w:r>
      <w:r w:rsidR="00995A83">
        <w:rPr>
          <w:rFonts w:ascii="Arial" w:eastAsia="Arial" w:hAnsi="Arial" w:cs="Arial"/>
          <w:sz w:val="20"/>
          <w:szCs w:val="20"/>
        </w:rPr>
        <w:t xml:space="preserve">by domain and guideline </w:t>
      </w:r>
      <w:r w:rsidRPr="00995A83">
        <w:rPr>
          <w:rFonts w:ascii="Arial" w:eastAsia="Arial" w:hAnsi="Arial" w:cs="Arial"/>
          <w:sz w:val="20"/>
          <w:szCs w:val="20"/>
        </w:rPr>
        <w:t xml:space="preserve">setting can be found in Table 3. </w:t>
      </w:r>
      <w:r w:rsidR="00995A83">
        <w:rPr>
          <w:rFonts w:ascii="Arial" w:eastAsia="Arial" w:hAnsi="Arial" w:cs="Arial"/>
          <w:sz w:val="20"/>
          <w:szCs w:val="20"/>
        </w:rPr>
        <w:t xml:space="preserve">In five out of the six AGREE II quality domains, guidelines from the primary care setting </w:t>
      </w:r>
      <w:r w:rsidR="00813CE7">
        <w:rPr>
          <w:rFonts w:ascii="Arial" w:eastAsia="Arial" w:hAnsi="Arial" w:cs="Arial"/>
          <w:sz w:val="20"/>
          <w:szCs w:val="20"/>
        </w:rPr>
        <w:t>had</w:t>
      </w:r>
      <w:r w:rsidR="00995A83">
        <w:rPr>
          <w:rFonts w:ascii="Arial" w:eastAsia="Arial" w:hAnsi="Arial" w:cs="Arial"/>
          <w:sz w:val="20"/>
          <w:szCs w:val="20"/>
        </w:rPr>
        <w:t xml:space="preserve"> the lowest score</w:t>
      </w:r>
      <w:r w:rsidR="00813CE7">
        <w:rPr>
          <w:rFonts w:ascii="Arial" w:eastAsia="Arial" w:hAnsi="Arial" w:cs="Arial"/>
          <w:sz w:val="20"/>
          <w:szCs w:val="20"/>
        </w:rPr>
        <w:t>s</w:t>
      </w:r>
      <w:r w:rsidR="00995A83">
        <w:rPr>
          <w:rFonts w:ascii="Arial" w:eastAsia="Arial" w:hAnsi="Arial" w:cs="Arial"/>
          <w:sz w:val="20"/>
          <w:szCs w:val="20"/>
        </w:rPr>
        <w:t>.</w:t>
      </w:r>
      <w:r w:rsidRPr="00995A83">
        <w:rPr>
          <w:rFonts w:ascii="Arial" w:eastAsia="Arial" w:hAnsi="Arial" w:cs="Arial"/>
          <w:sz w:val="20"/>
          <w:szCs w:val="20"/>
        </w:rPr>
        <w:t xml:space="preserve"> </w:t>
      </w:r>
      <w:r w:rsidR="00995A83">
        <w:rPr>
          <w:rFonts w:ascii="Arial" w:eastAsia="Arial" w:hAnsi="Arial" w:cs="Arial"/>
          <w:sz w:val="20"/>
          <w:szCs w:val="20"/>
        </w:rPr>
        <w:t>Guidelines from professional bodies had the highest score</w:t>
      </w:r>
      <w:r w:rsidR="00813CE7">
        <w:rPr>
          <w:rFonts w:ascii="Arial" w:eastAsia="Arial" w:hAnsi="Arial" w:cs="Arial"/>
          <w:sz w:val="20"/>
          <w:szCs w:val="20"/>
        </w:rPr>
        <w:t>s</w:t>
      </w:r>
      <w:r w:rsidR="00995A83">
        <w:rPr>
          <w:rFonts w:ascii="Arial" w:eastAsia="Arial" w:hAnsi="Arial" w:cs="Arial"/>
          <w:sz w:val="20"/>
          <w:szCs w:val="20"/>
        </w:rPr>
        <w:t xml:space="preserve"> in five out of the six AGREE II domains. </w:t>
      </w:r>
      <w:r w:rsidR="00813CE7">
        <w:rPr>
          <w:rFonts w:ascii="Arial" w:eastAsia="Arial" w:hAnsi="Arial" w:cs="Arial"/>
          <w:sz w:val="20"/>
          <w:szCs w:val="20"/>
        </w:rPr>
        <w:t xml:space="preserve">Guidelines from the NHS secondary and tertiary care setting generally had higher scores that those from the primary care setting and were close to those produced by professional bodies. </w:t>
      </w:r>
    </w:p>
    <w:p w:rsidR="00D86DBC" w:rsidRPr="00153ECD" w:rsidRDefault="00D86DBC" w:rsidP="00EE672C">
      <w:pPr>
        <w:spacing w:after="0" w:line="480" w:lineRule="auto"/>
        <w:rPr>
          <w:rFonts w:ascii="Arial" w:eastAsia="Arial" w:hAnsi="Arial" w:cs="Arial"/>
          <w:sz w:val="20"/>
          <w:szCs w:val="20"/>
          <w:u w:val="single"/>
        </w:rPr>
      </w:pPr>
    </w:p>
    <w:p w:rsidR="00035DF3" w:rsidRPr="00153ECD" w:rsidRDefault="007E58F5" w:rsidP="00EE672C">
      <w:pPr>
        <w:spacing w:after="0" w:line="480" w:lineRule="auto"/>
        <w:rPr>
          <w:rFonts w:ascii="Arial" w:eastAsia="Arial" w:hAnsi="Arial" w:cs="Arial"/>
          <w:sz w:val="20"/>
          <w:szCs w:val="20"/>
        </w:rPr>
      </w:pPr>
      <w:r w:rsidRPr="00153ECD">
        <w:rPr>
          <w:rFonts w:ascii="Arial" w:eastAsia="Arial" w:hAnsi="Arial" w:cs="Arial"/>
          <w:sz w:val="20"/>
          <w:szCs w:val="20"/>
        </w:rPr>
        <w:t xml:space="preserve">The </w:t>
      </w:r>
      <w:r w:rsidR="00D86DBC">
        <w:rPr>
          <w:rFonts w:ascii="Arial" w:eastAsia="Arial" w:hAnsi="Arial" w:cs="Arial"/>
          <w:sz w:val="20"/>
          <w:szCs w:val="20"/>
        </w:rPr>
        <w:t xml:space="preserve">scores </w:t>
      </w:r>
      <w:r w:rsidR="00035DF3" w:rsidRPr="00153ECD">
        <w:rPr>
          <w:rFonts w:ascii="Arial" w:eastAsia="Arial" w:hAnsi="Arial" w:cs="Arial"/>
          <w:sz w:val="20"/>
          <w:szCs w:val="20"/>
        </w:rPr>
        <w:t>reveale</w:t>
      </w:r>
      <w:r w:rsidR="005D24DC" w:rsidRPr="00153ECD">
        <w:rPr>
          <w:rFonts w:ascii="Arial" w:eastAsia="Arial" w:hAnsi="Arial" w:cs="Arial"/>
          <w:sz w:val="20"/>
          <w:szCs w:val="20"/>
        </w:rPr>
        <w:t>d that the 52 documents</w:t>
      </w:r>
      <w:r w:rsidR="00035DF3" w:rsidRPr="00153ECD">
        <w:rPr>
          <w:rFonts w:ascii="Arial" w:eastAsia="Arial" w:hAnsi="Arial" w:cs="Arial"/>
          <w:sz w:val="20"/>
          <w:szCs w:val="20"/>
        </w:rPr>
        <w:t xml:space="preserve"> performed well in bot</w:t>
      </w:r>
      <w:r w:rsidR="00222B71" w:rsidRPr="00153ECD">
        <w:rPr>
          <w:rFonts w:ascii="Arial" w:eastAsia="Arial" w:hAnsi="Arial" w:cs="Arial"/>
          <w:sz w:val="20"/>
          <w:szCs w:val="20"/>
        </w:rPr>
        <w:t xml:space="preserve">h the Scope and Purpose </w:t>
      </w:r>
      <w:r w:rsidR="00A52BD6" w:rsidRPr="00153ECD">
        <w:rPr>
          <w:rFonts w:ascii="Arial" w:eastAsia="Arial" w:hAnsi="Arial" w:cs="Arial"/>
          <w:sz w:val="20"/>
          <w:szCs w:val="20"/>
        </w:rPr>
        <w:t>(</w:t>
      </w:r>
      <w:r w:rsidR="00222B71" w:rsidRPr="00153ECD">
        <w:rPr>
          <w:rFonts w:ascii="Arial" w:eastAsia="Arial" w:hAnsi="Arial" w:cs="Arial"/>
          <w:sz w:val="20"/>
          <w:szCs w:val="20"/>
        </w:rPr>
        <w:t>70.6%) and the Clarity of Presentation (70.4%)</w:t>
      </w:r>
      <w:r w:rsidR="00035DF3" w:rsidRPr="00153ECD">
        <w:rPr>
          <w:rFonts w:ascii="Arial" w:eastAsia="Arial" w:hAnsi="Arial" w:cs="Arial"/>
          <w:sz w:val="20"/>
          <w:szCs w:val="20"/>
        </w:rPr>
        <w:t xml:space="preserve"> domain</w:t>
      </w:r>
      <w:r w:rsidR="00222B71" w:rsidRPr="00153ECD">
        <w:rPr>
          <w:rFonts w:ascii="Arial" w:eastAsia="Arial" w:hAnsi="Arial" w:cs="Arial"/>
          <w:sz w:val="20"/>
          <w:szCs w:val="20"/>
        </w:rPr>
        <w:t>s</w:t>
      </w:r>
      <w:r w:rsidR="00035DF3" w:rsidRPr="00153ECD">
        <w:rPr>
          <w:rFonts w:ascii="Arial" w:eastAsia="Arial" w:hAnsi="Arial" w:cs="Arial"/>
          <w:sz w:val="20"/>
          <w:szCs w:val="20"/>
        </w:rPr>
        <w:t xml:space="preserve">.  The majority of the documents outlined their specific objectives clearly, </w:t>
      </w:r>
      <w:r w:rsidR="00A52BD6" w:rsidRPr="00153ECD">
        <w:rPr>
          <w:rFonts w:ascii="Arial" w:eastAsia="Arial" w:hAnsi="Arial" w:cs="Arial"/>
          <w:sz w:val="20"/>
          <w:szCs w:val="20"/>
        </w:rPr>
        <w:t xml:space="preserve">their scope was </w:t>
      </w:r>
      <w:r w:rsidR="00720583" w:rsidRPr="00153ECD">
        <w:rPr>
          <w:rFonts w:ascii="Arial" w:eastAsia="Arial" w:hAnsi="Arial" w:cs="Arial"/>
          <w:sz w:val="20"/>
          <w:szCs w:val="20"/>
        </w:rPr>
        <w:t>well described and</w:t>
      </w:r>
      <w:r w:rsidR="00035DF3" w:rsidRPr="00153ECD">
        <w:rPr>
          <w:rFonts w:ascii="Arial" w:eastAsia="Arial" w:hAnsi="Arial" w:cs="Arial"/>
          <w:sz w:val="20"/>
          <w:szCs w:val="20"/>
        </w:rPr>
        <w:t xml:space="preserve"> the</w:t>
      </w:r>
      <w:r w:rsidR="00EF6F04" w:rsidRPr="00153ECD">
        <w:rPr>
          <w:rFonts w:ascii="Arial" w:eastAsia="Arial" w:hAnsi="Arial" w:cs="Arial"/>
          <w:sz w:val="20"/>
          <w:szCs w:val="20"/>
        </w:rPr>
        <w:t xml:space="preserve"> target audience</w:t>
      </w:r>
      <w:r w:rsidR="00035DF3" w:rsidRPr="00153ECD">
        <w:rPr>
          <w:rFonts w:ascii="Arial" w:eastAsia="Arial" w:hAnsi="Arial" w:cs="Arial"/>
          <w:sz w:val="20"/>
          <w:szCs w:val="20"/>
        </w:rPr>
        <w:t xml:space="preserve"> was easily identifi</w:t>
      </w:r>
      <w:r w:rsidR="00222B71" w:rsidRPr="00153ECD">
        <w:rPr>
          <w:rFonts w:ascii="Arial" w:eastAsia="Arial" w:hAnsi="Arial" w:cs="Arial"/>
          <w:sz w:val="20"/>
          <w:szCs w:val="20"/>
        </w:rPr>
        <w:t xml:space="preserve">able; </w:t>
      </w:r>
      <w:r w:rsidR="00035DF3" w:rsidRPr="00153ECD">
        <w:rPr>
          <w:rFonts w:ascii="Arial" w:eastAsia="Arial" w:hAnsi="Arial" w:cs="Arial"/>
          <w:sz w:val="20"/>
          <w:szCs w:val="20"/>
        </w:rPr>
        <w:t>the presentation of information was good, with the provision of specific and unambiguous key recommendations</w:t>
      </w:r>
      <w:r w:rsidR="00EF6F04" w:rsidRPr="00153ECD">
        <w:rPr>
          <w:rFonts w:ascii="Arial" w:eastAsia="Arial" w:hAnsi="Arial" w:cs="Arial"/>
          <w:sz w:val="20"/>
          <w:szCs w:val="20"/>
        </w:rPr>
        <w:t xml:space="preserve">. </w:t>
      </w:r>
    </w:p>
    <w:p w:rsidR="00D2156F" w:rsidRPr="00153ECD" w:rsidRDefault="00D2156F" w:rsidP="00EE672C">
      <w:pPr>
        <w:spacing w:after="0" w:line="480" w:lineRule="auto"/>
        <w:rPr>
          <w:rFonts w:ascii="Arial" w:eastAsia="Arial" w:hAnsi="Arial" w:cs="Arial"/>
          <w:sz w:val="20"/>
          <w:szCs w:val="20"/>
        </w:rPr>
      </w:pPr>
    </w:p>
    <w:p w:rsidR="00F21F91" w:rsidRPr="00153ECD" w:rsidRDefault="00035DF3" w:rsidP="00EE672C">
      <w:pPr>
        <w:spacing w:after="0" w:line="480" w:lineRule="auto"/>
        <w:rPr>
          <w:rFonts w:ascii="Arial" w:eastAsia="Arial" w:hAnsi="Arial" w:cs="Arial"/>
          <w:sz w:val="20"/>
          <w:szCs w:val="20"/>
        </w:rPr>
      </w:pPr>
      <w:r w:rsidRPr="00153ECD">
        <w:rPr>
          <w:rFonts w:ascii="Arial" w:eastAsia="Arial" w:hAnsi="Arial" w:cs="Arial"/>
          <w:sz w:val="20"/>
          <w:szCs w:val="20"/>
        </w:rPr>
        <w:t>In contrast</w:t>
      </w:r>
      <w:r w:rsidR="00C63FDB" w:rsidRPr="00153ECD">
        <w:rPr>
          <w:rFonts w:ascii="Arial" w:eastAsia="Arial" w:hAnsi="Arial" w:cs="Arial"/>
          <w:sz w:val="20"/>
          <w:szCs w:val="20"/>
        </w:rPr>
        <w:t>, the Rigour of Development</w:t>
      </w:r>
      <w:r w:rsidRPr="00153ECD">
        <w:rPr>
          <w:rFonts w:ascii="Arial" w:eastAsia="Arial" w:hAnsi="Arial" w:cs="Arial"/>
          <w:sz w:val="20"/>
          <w:szCs w:val="20"/>
        </w:rPr>
        <w:t xml:space="preserve"> domain (12.1%) </w:t>
      </w:r>
      <w:r w:rsidR="00C63FDB" w:rsidRPr="00153ECD">
        <w:rPr>
          <w:rFonts w:ascii="Arial" w:eastAsia="Arial" w:hAnsi="Arial" w:cs="Arial"/>
          <w:sz w:val="20"/>
          <w:szCs w:val="20"/>
        </w:rPr>
        <w:t>and the Editorial Independence</w:t>
      </w:r>
      <w:r w:rsidRPr="00153ECD">
        <w:rPr>
          <w:rFonts w:ascii="Arial" w:eastAsia="Arial" w:hAnsi="Arial" w:cs="Arial"/>
          <w:sz w:val="20"/>
          <w:szCs w:val="20"/>
        </w:rPr>
        <w:t xml:space="preserve"> domain (2.6%) scored </w:t>
      </w:r>
      <w:r w:rsidR="00C62DAD" w:rsidRPr="00153ECD">
        <w:rPr>
          <w:rFonts w:ascii="Arial" w:eastAsia="Arial" w:hAnsi="Arial" w:cs="Arial"/>
          <w:sz w:val="20"/>
          <w:szCs w:val="20"/>
        </w:rPr>
        <w:t xml:space="preserve">very </w:t>
      </w:r>
      <w:r w:rsidRPr="00153ECD">
        <w:rPr>
          <w:rFonts w:ascii="Arial" w:eastAsia="Arial" w:hAnsi="Arial" w:cs="Arial"/>
          <w:sz w:val="20"/>
          <w:szCs w:val="20"/>
        </w:rPr>
        <w:t xml:space="preserve">poorly.  </w:t>
      </w:r>
      <w:r w:rsidR="001B2CE0" w:rsidRPr="00153ECD">
        <w:rPr>
          <w:rFonts w:ascii="Arial" w:eastAsia="Arial" w:hAnsi="Arial" w:cs="Arial"/>
          <w:sz w:val="20"/>
          <w:szCs w:val="20"/>
        </w:rPr>
        <w:t xml:space="preserve"> A</w:t>
      </w:r>
      <w:r w:rsidRPr="00153ECD">
        <w:rPr>
          <w:rFonts w:ascii="Arial" w:eastAsia="Arial" w:hAnsi="Arial" w:cs="Arial"/>
          <w:sz w:val="20"/>
          <w:szCs w:val="20"/>
        </w:rPr>
        <w:t xml:space="preserve"> lack of documented reference to a clear evidence b</w:t>
      </w:r>
      <w:r w:rsidR="00EF6F04" w:rsidRPr="00153ECD">
        <w:rPr>
          <w:rFonts w:ascii="Arial" w:eastAsia="Arial" w:hAnsi="Arial" w:cs="Arial"/>
          <w:sz w:val="20"/>
          <w:szCs w:val="20"/>
        </w:rPr>
        <w:t>ase</w:t>
      </w:r>
      <w:r w:rsidR="001B2CE0" w:rsidRPr="00153ECD">
        <w:rPr>
          <w:rFonts w:ascii="Arial" w:eastAsia="Arial" w:hAnsi="Arial" w:cs="Arial"/>
          <w:sz w:val="20"/>
          <w:szCs w:val="20"/>
        </w:rPr>
        <w:t xml:space="preserve"> contributed to the poor score in Rigour of Development</w:t>
      </w:r>
      <w:r w:rsidR="00763FE5" w:rsidRPr="00153ECD">
        <w:rPr>
          <w:rFonts w:ascii="Arial" w:eastAsia="Arial" w:hAnsi="Arial" w:cs="Arial"/>
          <w:sz w:val="20"/>
          <w:szCs w:val="20"/>
        </w:rPr>
        <w:t>.</w:t>
      </w:r>
      <w:r w:rsidR="00EF6F04" w:rsidRPr="00153ECD">
        <w:rPr>
          <w:rFonts w:ascii="Arial" w:eastAsia="Arial" w:hAnsi="Arial" w:cs="Arial"/>
          <w:sz w:val="20"/>
          <w:szCs w:val="20"/>
        </w:rPr>
        <w:t xml:space="preserve"> </w:t>
      </w:r>
      <w:r w:rsidRPr="00153ECD">
        <w:rPr>
          <w:rFonts w:ascii="Arial" w:eastAsia="Arial" w:hAnsi="Arial" w:cs="Arial"/>
          <w:sz w:val="20"/>
          <w:szCs w:val="20"/>
        </w:rPr>
        <w:t>Editorial Independence</w:t>
      </w:r>
      <w:r w:rsidR="00D2156F" w:rsidRPr="00153ECD">
        <w:rPr>
          <w:rFonts w:ascii="Arial" w:eastAsia="Arial" w:hAnsi="Arial" w:cs="Arial"/>
          <w:sz w:val="20"/>
          <w:szCs w:val="20"/>
        </w:rPr>
        <w:t xml:space="preserve"> </w:t>
      </w:r>
      <w:r w:rsidR="00222B71" w:rsidRPr="00153ECD">
        <w:rPr>
          <w:rFonts w:ascii="Arial" w:eastAsia="Arial" w:hAnsi="Arial" w:cs="Arial"/>
          <w:sz w:val="20"/>
          <w:szCs w:val="20"/>
        </w:rPr>
        <w:t xml:space="preserve">was unclear </w:t>
      </w:r>
      <w:r w:rsidR="00D2156F" w:rsidRPr="00153ECD">
        <w:rPr>
          <w:rFonts w:ascii="Arial" w:eastAsia="Arial" w:hAnsi="Arial" w:cs="Arial"/>
          <w:sz w:val="20"/>
          <w:szCs w:val="20"/>
        </w:rPr>
        <w:t xml:space="preserve">in most documents, lacking information on </w:t>
      </w:r>
      <w:r w:rsidRPr="00153ECD">
        <w:rPr>
          <w:rFonts w:ascii="Arial" w:eastAsia="Arial" w:hAnsi="Arial" w:cs="Arial"/>
          <w:sz w:val="20"/>
          <w:szCs w:val="20"/>
        </w:rPr>
        <w:t>funding bo</w:t>
      </w:r>
      <w:r w:rsidR="00EF6F04" w:rsidRPr="00153ECD">
        <w:rPr>
          <w:rFonts w:ascii="Arial" w:eastAsia="Arial" w:hAnsi="Arial" w:cs="Arial"/>
          <w:sz w:val="20"/>
          <w:szCs w:val="20"/>
        </w:rPr>
        <w:t>dies or competing interests in</w:t>
      </w:r>
      <w:r w:rsidR="00222B71" w:rsidRPr="00153ECD">
        <w:rPr>
          <w:rFonts w:ascii="Arial" w:eastAsia="Arial" w:hAnsi="Arial" w:cs="Arial"/>
          <w:sz w:val="20"/>
          <w:szCs w:val="20"/>
        </w:rPr>
        <w:t xml:space="preserve"> the</w:t>
      </w:r>
      <w:r w:rsidR="00D02671" w:rsidRPr="00153ECD">
        <w:rPr>
          <w:rFonts w:ascii="Arial" w:eastAsia="Arial" w:hAnsi="Arial" w:cs="Arial"/>
          <w:sz w:val="20"/>
          <w:szCs w:val="20"/>
        </w:rPr>
        <w:t xml:space="preserve"> development group. </w:t>
      </w:r>
    </w:p>
    <w:p w:rsidR="00D2156F" w:rsidRPr="00153ECD" w:rsidRDefault="00D2156F" w:rsidP="00EE672C">
      <w:pPr>
        <w:spacing w:after="0" w:line="480" w:lineRule="auto"/>
        <w:rPr>
          <w:rFonts w:ascii="Arial" w:eastAsia="Arial" w:hAnsi="Arial" w:cs="Arial"/>
          <w:sz w:val="20"/>
          <w:szCs w:val="20"/>
        </w:rPr>
      </w:pPr>
    </w:p>
    <w:p w:rsidR="00F21F91" w:rsidRPr="00153ECD" w:rsidRDefault="00222B71" w:rsidP="00EE672C">
      <w:pPr>
        <w:spacing w:after="0" w:line="480" w:lineRule="auto"/>
        <w:rPr>
          <w:rFonts w:ascii="Arial" w:eastAsia="Arial" w:hAnsi="Arial" w:cs="Arial"/>
          <w:sz w:val="20"/>
          <w:szCs w:val="20"/>
        </w:rPr>
      </w:pPr>
      <w:r w:rsidRPr="00153ECD">
        <w:rPr>
          <w:rFonts w:ascii="Arial" w:eastAsia="Arial" w:hAnsi="Arial" w:cs="Arial"/>
          <w:sz w:val="20"/>
          <w:szCs w:val="20"/>
        </w:rPr>
        <w:t>The Stakeholder Involvement</w:t>
      </w:r>
      <w:r w:rsidR="00F21F91" w:rsidRPr="00153ECD">
        <w:rPr>
          <w:rFonts w:ascii="Arial" w:eastAsia="Arial" w:hAnsi="Arial" w:cs="Arial"/>
          <w:sz w:val="20"/>
          <w:szCs w:val="20"/>
        </w:rPr>
        <w:t xml:space="preserve"> score (30%) </w:t>
      </w:r>
      <w:r w:rsidR="00323809">
        <w:rPr>
          <w:rFonts w:ascii="Arial" w:eastAsia="Arial" w:hAnsi="Arial" w:cs="Arial"/>
          <w:sz w:val="20"/>
          <w:szCs w:val="20"/>
        </w:rPr>
        <w:t>re</w:t>
      </w:r>
      <w:r w:rsidR="001500EE">
        <w:rPr>
          <w:rFonts w:ascii="Arial" w:eastAsia="Arial" w:hAnsi="Arial" w:cs="Arial"/>
          <w:sz w:val="20"/>
          <w:szCs w:val="20"/>
        </w:rPr>
        <w:t>vealed</w:t>
      </w:r>
      <w:r w:rsidR="00323809">
        <w:rPr>
          <w:rFonts w:ascii="Arial" w:eastAsia="Arial" w:hAnsi="Arial" w:cs="Arial"/>
          <w:sz w:val="20"/>
          <w:szCs w:val="20"/>
        </w:rPr>
        <w:t xml:space="preserve"> that </w:t>
      </w:r>
      <w:r w:rsidR="00F21F91" w:rsidRPr="00153ECD">
        <w:rPr>
          <w:rFonts w:ascii="Arial" w:eastAsia="Arial" w:hAnsi="Arial" w:cs="Arial"/>
          <w:sz w:val="20"/>
          <w:szCs w:val="20"/>
        </w:rPr>
        <w:t>it was</w:t>
      </w:r>
      <w:r w:rsidR="008E3162">
        <w:rPr>
          <w:rFonts w:ascii="Arial" w:eastAsia="Arial" w:hAnsi="Arial" w:cs="Arial"/>
          <w:sz w:val="20"/>
          <w:szCs w:val="20"/>
        </w:rPr>
        <w:t xml:space="preserve"> </w:t>
      </w:r>
      <w:r w:rsidR="00F21F91" w:rsidRPr="00153ECD">
        <w:rPr>
          <w:rFonts w:ascii="Arial" w:eastAsia="Arial" w:hAnsi="Arial" w:cs="Arial"/>
          <w:sz w:val="20"/>
          <w:szCs w:val="20"/>
        </w:rPr>
        <w:t>n</w:t>
      </w:r>
      <w:r w:rsidR="008E3162">
        <w:rPr>
          <w:rFonts w:ascii="Arial" w:eastAsia="Arial" w:hAnsi="Arial" w:cs="Arial"/>
          <w:sz w:val="20"/>
          <w:szCs w:val="20"/>
        </w:rPr>
        <w:t>o</w:t>
      </w:r>
      <w:r w:rsidR="00F21F91" w:rsidRPr="00153ECD">
        <w:rPr>
          <w:rFonts w:ascii="Arial" w:eastAsia="Arial" w:hAnsi="Arial" w:cs="Arial"/>
          <w:sz w:val="20"/>
          <w:szCs w:val="20"/>
        </w:rPr>
        <w:t xml:space="preserve">t always apparent </w:t>
      </w:r>
      <w:r w:rsidR="001500EE">
        <w:rPr>
          <w:rFonts w:ascii="Arial" w:eastAsia="Arial" w:hAnsi="Arial" w:cs="Arial"/>
          <w:sz w:val="20"/>
          <w:szCs w:val="20"/>
        </w:rPr>
        <w:t xml:space="preserve">in the </w:t>
      </w:r>
      <w:r w:rsidR="00C30477">
        <w:rPr>
          <w:rFonts w:ascii="Arial" w:eastAsia="Arial" w:hAnsi="Arial" w:cs="Arial"/>
          <w:sz w:val="20"/>
          <w:szCs w:val="20"/>
        </w:rPr>
        <w:t>guidelines</w:t>
      </w:r>
      <w:r w:rsidR="001500EE">
        <w:rPr>
          <w:rFonts w:ascii="Arial" w:eastAsia="Arial" w:hAnsi="Arial" w:cs="Arial"/>
          <w:sz w:val="20"/>
          <w:szCs w:val="20"/>
        </w:rPr>
        <w:t xml:space="preserve"> </w:t>
      </w:r>
      <w:r w:rsidR="00F21F91" w:rsidRPr="00153ECD">
        <w:rPr>
          <w:rFonts w:ascii="Arial" w:eastAsia="Arial" w:hAnsi="Arial" w:cs="Arial"/>
          <w:sz w:val="20"/>
          <w:szCs w:val="20"/>
        </w:rPr>
        <w:t>if the d</w:t>
      </w:r>
      <w:r w:rsidRPr="00153ECD">
        <w:rPr>
          <w:rFonts w:ascii="Arial" w:eastAsia="Arial" w:hAnsi="Arial" w:cs="Arial"/>
          <w:sz w:val="20"/>
          <w:szCs w:val="20"/>
        </w:rPr>
        <w:t>evelopment group inclu</w:t>
      </w:r>
      <w:r w:rsidR="00F21F91" w:rsidRPr="00153ECD">
        <w:rPr>
          <w:rFonts w:ascii="Arial" w:eastAsia="Arial" w:hAnsi="Arial" w:cs="Arial"/>
          <w:sz w:val="20"/>
          <w:szCs w:val="20"/>
        </w:rPr>
        <w:t xml:space="preserve">ded a diverse mix of healthcare professionals.  </w:t>
      </w:r>
      <w:r w:rsidR="00C63FDB" w:rsidRPr="00153ECD">
        <w:rPr>
          <w:rFonts w:ascii="Arial" w:eastAsia="Arial" w:hAnsi="Arial" w:cs="Arial"/>
          <w:sz w:val="20"/>
          <w:szCs w:val="20"/>
        </w:rPr>
        <w:t>T</w:t>
      </w:r>
      <w:r w:rsidR="00F21F91" w:rsidRPr="00153ECD">
        <w:rPr>
          <w:rFonts w:ascii="Arial" w:eastAsia="Arial" w:hAnsi="Arial" w:cs="Arial"/>
          <w:sz w:val="20"/>
          <w:szCs w:val="20"/>
        </w:rPr>
        <w:t>he involvement of the target population (patients within the NHS</w:t>
      </w:r>
      <w:r w:rsidR="00A52BD6" w:rsidRPr="00153ECD">
        <w:rPr>
          <w:rFonts w:ascii="Arial" w:eastAsia="Arial" w:hAnsi="Arial" w:cs="Arial"/>
          <w:sz w:val="20"/>
          <w:szCs w:val="20"/>
        </w:rPr>
        <w:t>)</w:t>
      </w:r>
      <w:r w:rsidR="00F21F91" w:rsidRPr="00153ECD">
        <w:rPr>
          <w:rFonts w:ascii="Arial" w:eastAsia="Arial" w:hAnsi="Arial" w:cs="Arial"/>
          <w:sz w:val="20"/>
          <w:szCs w:val="20"/>
        </w:rPr>
        <w:t xml:space="preserve"> </w:t>
      </w:r>
      <w:r w:rsidR="00C63FDB" w:rsidRPr="00153ECD">
        <w:rPr>
          <w:rFonts w:ascii="Arial" w:eastAsia="Arial" w:hAnsi="Arial" w:cs="Arial"/>
          <w:sz w:val="20"/>
          <w:szCs w:val="20"/>
        </w:rPr>
        <w:t xml:space="preserve">also scored poorly. </w:t>
      </w:r>
      <w:r w:rsidRPr="00153ECD">
        <w:rPr>
          <w:rFonts w:ascii="Arial" w:eastAsia="Arial" w:hAnsi="Arial" w:cs="Arial"/>
          <w:sz w:val="20"/>
          <w:szCs w:val="20"/>
        </w:rPr>
        <w:t>T</w:t>
      </w:r>
      <w:r w:rsidR="00F21F91" w:rsidRPr="00153ECD">
        <w:rPr>
          <w:rFonts w:ascii="Arial" w:eastAsia="Arial" w:hAnsi="Arial" w:cs="Arial"/>
          <w:sz w:val="20"/>
          <w:szCs w:val="20"/>
        </w:rPr>
        <w:t>here was</w:t>
      </w:r>
      <w:r w:rsidR="00141C5E" w:rsidRPr="00153ECD">
        <w:rPr>
          <w:rFonts w:ascii="Arial" w:eastAsia="Arial" w:hAnsi="Arial" w:cs="Arial"/>
          <w:sz w:val="20"/>
          <w:szCs w:val="20"/>
        </w:rPr>
        <w:t xml:space="preserve"> little </w:t>
      </w:r>
      <w:r w:rsidR="001500EE">
        <w:rPr>
          <w:rFonts w:ascii="Arial" w:eastAsia="Arial" w:hAnsi="Arial" w:cs="Arial"/>
          <w:sz w:val="20"/>
          <w:szCs w:val="20"/>
        </w:rPr>
        <w:t>or</w:t>
      </w:r>
      <w:r w:rsidR="00141C5E" w:rsidRPr="00153ECD">
        <w:rPr>
          <w:rFonts w:ascii="Arial" w:eastAsia="Arial" w:hAnsi="Arial" w:cs="Arial"/>
          <w:sz w:val="20"/>
          <w:szCs w:val="20"/>
        </w:rPr>
        <w:t xml:space="preserve"> no</w:t>
      </w:r>
      <w:r w:rsidR="001500EE">
        <w:rPr>
          <w:rFonts w:ascii="Arial" w:eastAsia="Arial" w:hAnsi="Arial" w:cs="Arial"/>
          <w:sz w:val="20"/>
          <w:szCs w:val="20"/>
        </w:rPr>
        <w:t xml:space="preserve"> evidence of</w:t>
      </w:r>
      <w:r w:rsidR="00141C5E" w:rsidRPr="00153ECD">
        <w:rPr>
          <w:rFonts w:ascii="Arial" w:eastAsia="Arial" w:hAnsi="Arial" w:cs="Arial"/>
          <w:sz w:val="20"/>
          <w:szCs w:val="20"/>
        </w:rPr>
        <w:t xml:space="preserve"> involvement</w:t>
      </w:r>
      <w:r w:rsidR="00F21F91" w:rsidRPr="00153ECD">
        <w:rPr>
          <w:rFonts w:ascii="Arial" w:eastAsia="Arial" w:hAnsi="Arial" w:cs="Arial"/>
          <w:sz w:val="20"/>
          <w:szCs w:val="20"/>
        </w:rPr>
        <w:t xml:space="preserve"> </w:t>
      </w:r>
      <w:r w:rsidR="00A52BD6" w:rsidRPr="00153ECD">
        <w:rPr>
          <w:rFonts w:ascii="Arial" w:eastAsia="Arial" w:hAnsi="Arial" w:cs="Arial"/>
          <w:sz w:val="20"/>
          <w:szCs w:val="20"/>
        </w:rPr>
        <w:t>of patient</w:t>
      </w:r>
      <w:r w:rsidR="001B2CE0" w:rsidRPr="00153ECD">
        <w:rPr>
          <w:rFonts w:ascii="Arial" w:eastAsia="Arial" w:hAnsi="Arial" w:cs="Arial"/>
          <w:sz w:val="20"/>
          <w:szCs w:val="20"/>
        </w:rPr>
        <w:t>s</w:t>
      </w:r>
      <w:r w:rsidR="00A52BD6" w:rsidRPr="00153ECD">
        <w:rPr>
          <w:rFonts w:ascii="Arial" w:eastAsia="Arial" w:hAnsi="Arial" w:cs="Arial"/>
          <w:sz w:val="20"/>
          <w:szCs w:val="20"/>
        </w:rPr>
        <w:t xml:space="preserve"> </w:t>
      </w:r>
      <w:r w:rsidR="00F21F91" w:rsidRPr="00153ECD">
        <w:rPr>
          <w:rFonts w:ascii="Arial" w:eastAsia="Arial" w:hAnsi="Arial" w:cs="Arial"/>
          <w:sz w:val="20"/>
          <w:szCs w:val="20"/>
        </w:rPr>
        <w:t xml:space="preserve">across all </w:t>
      </w:r>
      <w:r w:rsidR="00C30477">
        <w:rPr>
          <w:rFonts w:ascii="Arial" w:eastAsia="Arial" w:hAnsi="Arial" w:cs="Arial"/>
          <w:sz w:val="20"/>
          <w:szCs w:val="20"/>
        </w:rPr>
        <w:t>guidelines</w:t>
      </w:r>
      <w:r w:rsidR="00F21F91" w:rsidRPr="00153ECD">
        <w:rPr>
          <w:rFonts w:ascii="Arial" w:eastAsia="Arial" w:hAnsi="Arial" w:cs="Arial"/>
          <w:sz w:val="20"/>
          <w:szCs w:val="20"/>
        </w:rPr>
        <w:t xml:space="preserve">. </w:t>
      </w:r>
    </w:p>
    <w:p w:rsidR="00D2156F" w:rsidRPr="00153ECD" w:rsidRDefault="00D2156F" w:rsidP="00EE672C">
      <w:pPr>
        <w:spacing w:after="0" w:line="480" w:lineRule="auto"/>
        <w:rPr>
          <w:rFonts w:ascii="Arial" w:eastAsia="Arial" w:hAnsi="Arial" w:cs="Arial"/>
          <w:sz w:val="20"/>
          <w:szCs w:val="20"/>
          <w:lang w:eastAsia="en-GB"/>
        </w:rPr>
      </w:pPr>
    </w:p>
    <w:p w:rsidR="00F21F91" w:rsidRPr="00153ECD" w:rsidRDefault="00222B71" w:rsidP="00EE672C">
      <w:pPr>
        <w:spacing w:after="0" w:line="480" w:lineRule="auto"/>
        <w:rPr>
          <w:rFonts w:ascii="Arial" w:eastAsia="Arial" w:hAnsi="Arial" w:cs="Arial"/>
          <w:sz w:val="20"/>
          <w:szCs w:val="20"/>
        </w:rPr>
      </w:pPr>
      <w:r w:rsidRPr="00153ECD">
        <w:rPr>
          <w:rFonts w:ascii="Arial" w:eastAsia="Arial" w:hAnsi="Arial" w:cs="Arial"/>
          <w:sz w:val="20"/>
          <w:szCs w:val="20"/>
        </w:rPr>
        <w:t xml:space="preserve">The </w:t>
      </w:r>
      <w:r w:rsidR="00035DF3" w:rsidRPr="00153ECD">
        <w:rPr>
          <w:rFonts w:ascii="Arial" w:eastAsia="Arial" w:hAnsi="Arial" w:cs="Arial"/>
          <w:sz w:val="20"/>
          <w:szCs w:val="20"/>
        </w:rPr>
        <w:t>Appli</w:t>
      </w:r>
      <w:r w:rsidRPr="00153ECD">
        <w:rPr>
          <w:rFonts w:ascii="Arial" w:eastAsia="Arial" w:hAnsi="Arial" w:cs="Arial"/>
          <w:sz w:val="20"/>
          <w:szCs w:val="20"/>
        </w:rPr>
        <w:t>cability</w:t>
      </w:r>
      <w:r w:rsidR="00C63FDB" w:rsidRPr="00153ECD">
        <w:rPr>
          <w:rFonts w:ascii="Arial" w:eastAsia="Arial" w:hAnsi="Arial" w:cs="Arial"/>
          <w:sz w:val="20"/>
          <w:szCs w:val="20"/>
        </w:rPr>
        <w:t xml:space="preserve"> domain score</w:t>
      </w:r>
      <w:r w:rsidR="00A52BD6" w:rsidRPr="00153ECD">
        <w:rPr>
          <w:rFonts w:ascii="Arial" w:eastAsia="Arial" w:hAnsi="Arial" w:cs="Arial"/>
          <w:sz w:val="20"/>
          <w:szCs w:val="20"/>
        </w:rPr>
        <w:t xml:space="preserve"> </w:t>
      </w:r>
      <w:r w:rsidR="00C63FDB" w:rsidRPr="00153ECD">
        <w:rPr>
          <w:rFonts w:ascii="Arial" w:eastAsia="Arial" w:hAnsi="Arial" w:cs="Arial"/>
          <w:sz w:val="20"/>
          <w:szCs w:val="20"/>
        </w:rPr>
        <w:t>was</w:t>
      </w:r>
      <w:r w:rsidR="00035DF3" w:rsidRPr="00153ECD">
        <w:rPr>
          <w:rFonts w:ascii="Arial" w:eastAsia="Arial" w:hAnsi="Arial" w:cs="Arial"/>
          <w:sz w:val="20"/>
          <w:szCs w:val="20"/>
        </w:rPr>
        <w:t xml:space="preserve"> relatively low </w:t>
      </w:r>
      <w:r w:rsidR="00A52BD6" w:rsidRPr="00153ECD">
        <w:rPr>
          <w:rFonts w:ascii="Arial" w:eastAsia="Arial" w:hAnsi="Arial" w:cs="Arial"/>
          <w:sz w:val="20"/>
          <w:szCs w:val="20"/>
        </w:rPr>
        <w:t>(23.9%)</w:t>
      </w:r>
      <w:r w:rsidR="00035DF3" w:rsidRPr="00153ECD">
        <w:rPr>
          <w:rFonts w:ascii="Arial" w:eastAsia="Arial" w:hAnsi="Arial" w:cs="Arial"/>
          <w:sz w:val="20"/>
          <w:szCs w:val="20"/>
        </w:rPr>
        <w:t>. Whilst some documents prov</w:t>
      </w:r>
      <w:r w:rsidR="00141C5E" w:rsidRPr="00153ECD">
        <w:rPr>
          <w:rFonts w:ascii="Arial" w:eastAsia="Arial" w:hAnsi="Arial" w:cs="Arial"/>
          <w:sz w:val="20"/>
          <w:szCs w:val="20"/>
        </w:rPr>
        <w:t>ided advice and tools to aid</w:t>
      </w:r>
      <w:r w:rsidR="00035DF3" w:rsidRPr="00153ECD">
        <w:rPr>
          <w:rFonts w:ascii="Arial" w:eastAsia="Arial" w:hAnsi="Arial" w:cs="Arial"/>
          <w:sz w:val="20"/>
          <w:szCs w:val="20"/>
        </w:rPr>
        <w:t xml:space="preserve"> imple</w:t>
      </w:r>
      <w:r w:rsidRPr="00153ECD">
        <w:rPr>
          <w:rFonts w:ascii="Arial" w:eastAsia="Arial" w:hAnsi="Arial" w:cs="Arial"/>
          <w:sz w:val="20"/>
          <w:szCs w:val="20"/>
        </w:rPr>
        <w:t>mentation</w:t>
      </w:r>
      <w:r w:rsidR="00A52BD6" w:rsidRPr="00153ECD">
        <w:rPr>
          <w:rFonts w:ascii="Arial" w:eastAsia="Arial" w:hAnsi="Arial" w:cs="Arial"/>
          <w:sz w:val="20"/>
          <w:szCs w:val="20"/>
        </w:rPr>
        <w:t xml:space="preserve"> of their recommendations</w:t>
      </w:r>
      <w:r w:rsidR="00035DF3" w:rsidRPr="00153ECD">
        <w:rPr>
          <w:rFonts w:ascii="Arial" w:eastAsia="Arial" w:hAnsi="Arial" w:cs="Arial"/>
          <w:sz w:val="20"/>
          <w:szCs w:val="20"/>
        </w:rPr>
        <w:t>, many did no</w:t>
      </w:r>
      <w:r w:rsidRPr="00153ECD">
        <w:rPr>
          <w:rFonts w:ascii="Arial" w:eastAsia="Arial" w:hAnsi="Arial" w:cs="Arial"/>
          <w:sz w:val="20"/>
          <w:szCs w:val="20"/>
        </w:rPr>
        <w:t xml:space="preserve">t and </w:t>
      </w:r>
      <w:r w:rsidR="0008500D" w:rsidRPr="00153ECD">
        <w:rPr>
          <w:rFonts w:ascii="Arial" w:eastAsia="Arial" w:hAnsi="Arial" w:cs="Arial"/>
          <w:sz w:val="20"/>
          <w:szCs w:val="20"/>
        </w:rPr>
        <w:t>the</w:t>
      </w:r>
      <w:r w:rsidR="00035DF3" w:rsidRPr="00153ECD">
        <w:rPr>
          <w:rFonts w:ascii="Arial" w:eastAsia="Arial" w:hAnsi="Arial" w:cs="Arial"/>
          <w:sz w:val="20"/>
          <w:szCs w:val="20"/>
        </w:rPr>
        <w:t xml:space="preserve"> potential barriers and facilitators to imp</w:t>
      </w:r>
      <w:r w:rsidR="00141C5E" w:rsidRPr="00153ECD">
        <w:rPr>
          <w:rFonts w:ascii="Arial" w:eastAsia="Arial" w:hAnsi="Arial" w:cs="Arial"/>
          <w:sz w:val="20"/>
          <w:szCs w:val="20"/>
        </w:rPr>
        <w:t>lementation</w:t>
      </w:r>
      <w:r w:rsidR="00C35A93" w:rsidRPr="00153ECD">
        <w:rPr>
          <w:rFonts w:ascii="Arial" w:eastAsia="Arial" w:hAnsi="Arial" w:cs="Arial"/>
          <w:sz w:val="20"/>
          <w:szCs w:val="20"/>
        </w:rPr>
        <w:t xml:space="preserve"> were</w:t>
      </w:r>
      <w:r w:rsidR="00D2156F" w:rsidRPr="00153ECD">
        <w:rPr>
          <w:rFonts w:ascii="Arial" w:eastAsia="Arial" w:hAnsi="Arial" w:cs="Arial"/>
          <w:sz w:val="20"/>
          <w:szCs w:val="20"/>
        </w:rPr>
        <w:t xml:space="preserve"> often </w:t>
      </w:r>
      <w:r w:rsidR="008E3162">
        <w:rPr>
          <w:rFonts w:ascii="Arial" w:eastAsia="Arial" w:hAnsi="Arial" w:cs="Arial"/>
          <w:sz w:val="20"/>
          <w:szCs w:val="20"/>
        </w:rPr>
        <w:t>un</w:t>
      </w:r>
      <w:r w:rsidR="00D2156F" w:rsidRPr="00153ECD">
        <w:rPr>
          <w:rFonts w:ascii="Arial" w:eastAsia="Arial" w:hAnsi="Arial" w:cs="Arial"/>
          <w:sz w:val="20"/>
          <w:szCs w:val="20"/>
        </w:rPr>
        <w:t>acknowledged</w:t>
      </w:r>
      <w:r w:rsidR="00035DF3" w:rsidRPr="00153ECD">
        <w:rPr>
          <w:rFonts w:ascii="Arial" w:eastAsia="Arial" w:hAnsi="Arial" w:cs="Arial"/>
          <w:sz w:val="20"/>
          <w:szCs w:val="20"/>
        </w:rPr>
        <w:t xml:space="preserve">. </w:t>
      </w:r>
    </w:p>
    <w:p w:rsidR="00F21F91" w:rsidRPr="00153ECD" w:rsidRDefault="00F21F91" w:rsidP="00EE672C">
      <w:pPr>
        <w:spacing w:after="0" w:line="480" w:lineRule="auto"/>
        <w:rPr>
          <w:rFonts w:ascii="Arial" w:eastAsia="Arial" w:hAnsi="Arial" w:cs="Arial"/>
          <w:sz w:val="20"/>
          <w:szCs w:val="20"/>
        </w:rPr>
      </w:pPr>
    </w:p>
    <w:p w:rsidR="00141C5E" w:rsidRPr="00153ECD" w:rsidRDefault="00141C5E" w:rsidP="00EE672C">
      <w:pPr>
        <w:spacing w:after="0" w:line="480" w:lineRule="auto"/>
        <w:rPr>
          <w:rFonts w:ascii="Arial" w:eastAsia="Arial" w:hAnsi="Arial" w:cs="Arial"/>
          <w:sz w:val="20"/>
          <w:szCs w:val="20"/>
        </w:rPr>
      </w:pPr>
    </w:p>
    <w:p w:rsidR="00035DF3" w:rsidRPr="00153ECD" w:rsidRDefault="00035DF3" w:rsidP="0086008F">
      <w:pPr>
        <w:spacing w:after="0" w:line="480" w:lineRule="auto"/>
        <w:rPr>
          <w:rFonts w:ascii="Arial" w:eastAsia="Times New Roman" w:hAnsi="Arial" w:cs="Arial"/>
          <w:sz w:val="20"/>
          <w:szCs w:val="20"/>
        </w:rPr>
      </w:pPr>
      <w:r w:rsidRPr="00153ECD">
        <w:rPr>
          <w:rFonts w:ascii="Arial" w:eastAsia="Arial" w:hAnsi="Arial" w:cs="Arial"/>
          <w:sz w:val="20"/>
          <w:szCs w:val="20"/>
        </w:rPr>
        <w:lastRenderedPageBreak/>
        <w:t>O</w:t>
      </w:r>
      <w:r w:rsidR="002B3577" w:rsidRPr="00153ECD">
        <w:rPr>
          <w:rFonts w:ascii="Arial" w:eastAsia="Arial" w:hAnsi="Arial" w:cs="Arial"/>
          <w:sz w:val="20"/>
          <w:szCs w:val="20"/>
        </w:rPr>
        <w:t>n an individual guideline level</w:t>
      </w:r>
      <w:r w:rsidR="00813CE7">
        <w:rPr>
          <w:rFonts w:ascii="Arial" w:eastAsia="Arial" w:hAnsi="Arial" w:cs="Arial"/>
          <w:sz w:val="20"/>
          <w:szCs w:val="20"/>
        </w:rPr>
        <w:t xml:space="preserve">, </w:t>
      </w:r>
      <w:r w:rsidRPr="00153ECD">
        <w:rPr>
          <w:rFonts w:ascii="Arial" w:eastAsia="Arial" w:hAnsi="Arial" w:cs="Arial"/>
          <w:sz w:val="20"/>
          <w:szCs w:val="20"/>
        </w:rPr>
        <w:t xml:space="preserve">none </w:t>
      </w:r>
      <w:r w:rsidR="00813CE7">
        <w:rPr>
          <w:rFonts w:ascii="Arial" w:eastAsia="Arial" w:hAnsi="Arial" w:cs="Arial"/>
          <w:sz w:val="20"/>
          <w:szCs w:val="20"/>
        </w:rPr>
        <w:t xml:space="preserve">of the guidelines included </w:t>
      </w:r>
      <w:r w:rsidRPr="00153ECD">
        <w:rPr>
          <w:rFonts w:ascii="Arial" w:eastAsia="Arial" w:hAnsi="Arial" w:cs="Arial"/>
          <w:sz w:val="20"/>
          <w:szCs w:val="20"/>
        </w:rPr>
        <w:t>scored above 60% across all 5 domains</w:t>
      </w:r>
      <w:r w:rsidR="00813CE7">
        <w:rPr>
          <w:rFonts w:ascii="Arial" w:eastAsia="Arial" w:hAnsi="Arial" w:cs="Arial"/>
          <w:sz w:val="20"/>
          <w:szCs w:val="20"/>
        </w:rPr>
        <w:t>. F</w:t>
      </w:r>
      <w:r w:rsidR="00C35A93" w:rsidRPr="00153ECD">
        <w:rPr>
          <w:rFonts w:ascii="Arial" w:eastAsia="Arial" w:hAnsi="Arial" w:cs="Arial"/>
          <w:sz w:val="20"/>
          <w:szCs w:val="20"/>
        </w:rPr>
        <w:t xml:space="preserve">our </w:t>
      </w:r>
      <w:r w:rsidR="00813CE7">
        <w:rPr>
          <w:rFonts w:ascii="Arial" w:eastAsia="Arial" w:hAnsi="Arial" w:cs="Arial"/>
          <w:sz w:val="20"/>
          <w:szCs w:val="20"/>
        </w:rPr>
        <w:t xml:space="preserve">guidelines did </w:t>
      </w:r>
      <w:r w:rsidR="00C35A93" w:rsidRPr="00153ECD">
        <w:rPr>
          <w:rFonts w:ascii="Arial" w:eastAsia="Arial" w:hAnsi="Arial" w:cs="Arial"/>
          <w:sz w:val="20"/>
          <w:szCs w:val="20"/>
        </w:rPr>
        <w:t xml:space="preserve">score more than 60% for Stakeholder Involvement, two </w:t>
      </w:r>
      <w:r w:rsidR="00813CE7">
        <w:rPr>
          <w:rFonts w:ascii="Arial" w:eastAsia="Arial" w:hAnsi="Arial" w:cs="Arial"/>
          <w:sz w:val="20"/>
          <w:szCs w:val="20"/>
        </w:rPr>
        <w:t xml:space="preserve">of these were </w:t>
      </w:r>
      <w:r w:rsidR="00C35A93" w:rsidRPr="00153ECD">
        <w:rPr>
          <w:rFonts w:ascii="Arial" w:eastAsia="Arial" w:hAnsi="Arial" w:cs="Arial"/>
          <w:sz w:val="20"/>
          <w:szCs w:val="20"/>
        </w:rPr>
        <w:t>from</w:t>
      </w:r>
      <w:r w:rsidR="002B3577" w:rsidRPr="00153ECD">
        <w:rPr>
          <w:rFonts w:ascii="Arial" w:eastAsia="Arial" w:hAnsi="Arial" w:cs="Arial"/>
          <w:sz w:val="20"/>
          <w:szCs w:val="20"/>
        </w:rPr>
        <w:t xml:space="preserve"> NHS Secondary and Tertiary care setting</w:t>
      </w:r>
      <w:r w:rsidR="00C35A93" w:rsidRPr="00153ECD">
        <w:rPr>
          <w:rFonts w:ascii="Arial" w:eastAsia="Arial" w:hAnsi="Arial" w:cs="Arial"/>
          <w:sz w:val="20"/>
          <w:szCs w:val="20"/>
        </w:rPr>
        <w:t>s and two</w:t>
      </w:r>
      <w:r w:rsidR="00813CE7">
        <w:rPr>
          <w:rFonts w:ascii="Arial" w:eastAsia="Arial" w:hAnsi="Arial" w:cs="Arial"/>
          <w:sz w:val="20"/>
          <w:szCs w:val="20"/>
        </w:rPr>
        <w:t xml:space="preserve"> were published</w:t>
      </w:r>
      <w:r w:rsidR="00C35A93" w:rsidRPr="00153ECD">
        <w:rPr>
          <w:rFonts w:ascii="Arial" w:eastAsia="Arial" w:hAnsi="Arial" w:cs="Arial"/>
          <w:sz w:val="20"/>
          <w:szCs w:val="20"/>
        </w:rPr>
        <w:t xml:space="preserve"> </w:t>
      </w:r>
      <w:r w:rsidR="00813CE7">
        <w:rPr>
          <w:rFonts w:ascii="Arial" w:eastAsia="Arial" w:hAnsi="Arial" w:cs="Arial"/>
          <w:sz w:val="20"/>
          <w:szCs w:val="20"/>
        </w:rPr>
        <w:t>by</w:t>
      </w:r>
      <w:r w:rsidR="002B3577" w:rsidRPr="00153ECD">
        <w:rPr>
          <w:rFonts w:ascii="Arial" w:eastAsia="Arial" w:hAnsi="Arial" w:cs="Arial"/>
          <w:sz w:val="20"/>
          <w:szCs w:val="20"/>
        </w:rPr>
        <w:t xml:space="preserve"> professional </w:t>
      </w:r>
      <w:r w:rsidR="00A52BD6" w:rsidRPr="00153ECD">
        <w:rPr>
          <w:rFonts w:ascii="Arial" w:eastAsia="Arial" w:hAnsi="Arial" w:cs="Arial"/>
          <w:sz w:val="20"/>
          <w:szCs w:val="20"/>
        </w:rPr>
        <w:t>bodies</w:t>
      </w:r>
      <w:r w:rsidR="00813CE7">
        <w:rPr>
          <w:rFonts w:ascii="Arial" w:eastAsia="Arial" w:hAnsi="Arial" w:cs="Arial"/>
          <w:sz w:val="20"/>
          <w:szCs w:val="20"/>
        </w:rPr>
        <w:t xml:space="preserve">. </w:t>
      </w:r>
      <w:r w:rsidR="0086008F">
        <w:rPr>
          <w:rFonts w:ascii="Arial" w:eastAsia="Arial" w:hAnsi="Arial" w:cs="Arial"/>
          <w:sz w:val="20"/>
          <w:szCs w:val="20"/>
        </w:rPr>
        <w:t>N</w:t>
      </w:r>
      <w:r w:rsidRPr="00153ECD">
        <w:rPr>
          <w:rFonts w:ascii="Arial" w:eastAsia="Arial" w:hAnsi="Arial" w:cs="Arial"/>
          <w:sz w:val="20"/>
          <w:szCs w:val="20"/>
        </w:rPr>
        <w:t xml:space="preserve">one </w:t>
      </w:r>
      <w:r w:rsidR="0086008F">
        <w:rPr>
          <w:rFonts w:ascii="Arial" w:eastAsia="Arial" w:hAnsi="Arial" w:cs="Arial"/>
          <w:sz w:val="20"/>
          <w:szCs w:val="20"/>
        </w:rPr>
        <w:t xml:space="preserve">of the guidelines included in the analysis </w:t>
      </w:r>
      <w:r w:rsidRPr="00153ECD">
        <w:rPr>
          <w:rFonts w:ascii="Arial" w:eastAsia="Arial" w:hAnsi="Arial" w:cs="Arial"/>
          <w:sz w:val="20"/>
          <w:szCs w:val="20"/>
        </w:rPr>
        <w:t>scored above 6</w:t>
      </w:r>
      <w:r w:rsidR="00C35A93" w:rsidRPr="00153ECD">
        <w:rPr>
          <w:rFonts w:ascii="Arial" w:eastAsia="Arial" w:hAnsi="Arial" w:cs="Arial"/>
          <w:sz w:val="20"/>
          <w:szCs w:val="20"/>
        </w:rPr>
        <w:t>0% for Rigour of Development, Editorial Independence or Applicability</w:t>
      </w:r>
      <w:r w:rsidRPr="00153ECD">
        <w:rPr>
          <w:rFonts w:ascii="Arial" w:eastAsia="Arial" w:hAnsi="Arial" w:cs="Arial"/>
          <w:sz w:val="20"/>
          <w:szCs w:val="20"/>
        </w:rPr>
        <w:t xml:space="preserve">. </w:t>
      </w:r>
    </w:p>
    <w:p w:rsidR="004C15CE" w:rsidRPr="00153ECD" w:rsidRDefault="004C15CE" w:rsidP="00EE672C">
      <w:pPr>
        <w:spacing w:after="0" w:line="480" w:lineRule="auto"/>
        <w:rPr>
          <w:rFonts w:ascii="Arial" w:eastAsia="Times New Roman" w:hAnsi="Arial" w:cs="Arial"/>
          <w:sz w:val="20"/>
          <w:szCs w:val="20"/>
          <w:u w:val="single"/>
        </w:rPr>
      </w:pPr>
    </w:p>
    <w:p w:rsidR="00035DF3" w:rsidRPr="00153ECD" w:rsidRDefault="00035DF3" w:rsidP="00EE672C">
      <w:pPr>
        <w:spacing w:after="0" w:line="480" w:lineRule="auto"/>
        <w:rPr>
          <w:rFonts w:ascii="Arial" w:eastAsia="Times New Roman" w:hAnsi="Arial" w:cs="Arial"/>
          <w:sz w:val="20"/>
          <w:szCs w:val="20"/>
          <w:u w:val="single"/>
        </w:rPr>
      </w:pPr>
      <w:r w:rsidRPr="00153ECD">
        <w:rPr>
          <w:rFonts w:ascii="Arial" w:eastAsia="Arial" w:hAnsi="Arial" w:cs="Arial"/>
          <w:sz w:val="20"/>
          <w:szCs w:val="20"/>
          <w:u w:val="single"/>
        </w:rPr>
        <w:t>Thematic Analysis</w:t>
      </w:r>
    </w:p>
    <w:p w:rsidR="00035DF3" w:rsidRDefault="00035DF3" w:rsidP="00EE672C">
      <w:pPr>
        <w:spacing w:after="0" w:line="480" w:lineRule="auto"/>
        <w:rPr>
          <w:rFonts w:ascii="Arial" w:eastAsia="Arial" w:hAnsi="Arial" w:cs="Arial"/>
          <w:sz w:val="20"/>
          <w:szCs w:val="20"/>
        </w:rPr>
      </w:pPr>
      <w:r w:rsidRPr="00153ECD">
        <w:rPr>
          <w:rFonts w:ascii="Arial" w:eastAsia="Arial" w:hAnsi="Arial" w:cs="Arial"/>
          <w:sz w:val="20"/>
          <w:szCs w:val="20"/>
        </w:rPr>
        <w:t>Thematic analysis revealed four parent themes across the documentation:</w:t>
      </w:r>
      <w:r w:rsidR="008D2B5B">
        <w:rPr>
          <w:rFonts w:ascii="Arial" w:eastAsia="Arial" w:hAnsi="Arial" w:cs="Arial"/>
          <w:sz w:val="20"/>
          <w:szCs w:val="20"/>
        </w:rPr>
        <w:t xml:space="preserve"> accepting professional responsibility; </w:t>
      </w:r>
      <w:r w:rsidR="00356CF8">
        <w:rPr>
          <w:rFonts w:ascii="Arial" w:eastAsia="Arial" w:hAnsi="Arial" w:cs="Arial"/>
          <w:sz w:val="20"/>
          <w:szCs w:val="20"/>
        </w:rPr>
        <w:t xml:space="preserve">the </w:t>
      </w:r>
      <w:r w:rsidR="004541D0">
        <w:rPr>
          <w:rFonts w:ascii="Arial" w:eastAsia="Arial" w:hAnsi="Arial" w:cs="Arial"/>
          <w:sz w:val="20"/>
          <w:szCs w:val="20"/>
        </w:rPr>
        <w:t>practicalities of using a</w:t>
      </w:r>
      <w:r w:rsidR="00B57EA9">
        <w:rPr>
          <w:rFonts w:ascii="Arial" w:eastAsia="Arial" w:hAnsi="Arial" w:cs="Arial"/>
          <w:sz w:val="20"/>
          <w:szCs w:val="20"/>
        </w:rPr>
        <w:t>n</w:t>
      </w:r>
      <w:r w:rsidR="004541D0">
        <w:rPr>
          <w:rFonts w:ascii="Arial" w:eastAsia="Arial" w:hAnsi="Arial" w:cs="Arial"/>
          <w:sz w:val="20"/>
          <w:szCs w:val="20"/>
        </w:rPr>
        <w:t xml:space="preserve"> ULM; </w:t>
      </w:r>
      <w:r w:rsidR="00A867FB">
        <w:rPr>
          <w:rFonts w:ascii="Arial" w:eastAsia="Arial" w:hAnsi="Arial" w:cs="Arial"/>
          <w:sz w:val="20"/>
          <w:szCs w:val="20"/>
        </w:rPr>
        <w:t xml:space="preserve">risk versus benefit analysis; and </w:t>
      </w:r>
      <w:r w:rsidR="00CD5655">
        <w:rPr>
          <w:rFonts w:ascii="Arial" w:eastAsia="Arial" w:hAnsi="Arial" w:cs="Arial"/>
          <w:sz w:val="20"/>
          <w:szCs w:val="20"/>
        </w:rPr>
        <w:t>controlling access to the use of ULMs.</w:t>
      </w:r>
      <w:r w:rsidR="00B76BBC">
        <w:rPr>
          <w:rFonts w:ascii="Arial" w:eastAsia="Arial" w:hAnsi="Arial" w:cs="Arial"/>
          <w:sz w:val="20"/>
          <w:szCs w:val="20"/>
        </w:rPr>
        <w:t xml:space="preserve"> Within these themes several sub-themes</w:t>
      </w:r>
      <w:r w:rsidR="00D86DBC">
        <w:rPr>
          <w:rFonts w:ascii="Arial" w:eastAsia="Arial" w:hAnsi="Arial" w:cs="Arial"/>
          <w:sz w:val="20"/>
          <w:szCs w:val="20"/>
        </w:rPr>
        <w:t xml:space="preserve"> </w:t>
      </w:r>
      <w:r w:rsidR="00B57EA9">
        <w:rPr>
          <w:rFonts w:ascii="Arial" w:eastAsia="Arial" w:hAnsi="Arial" w:cs="Arial"/>
          <w:sz w:val="20"/>
          <w:szCs w:val="20"/>
        </w:rPr>
        <w:t xml:space="preserve">were contained </w:t>
      </w:r>
      <w:r w:rsidR="00D86DBC">
        <w:rPr>
          <w:rFonts w:ascii="Arial" w:eastAsia="Arial" w:hAnsi="Arial" w:cs="Arial"/>
          <w:sz w:val="20"/>
          <w:szCs w:val="20"/>
        </w:rPr>
        <w:t>which are summarised in Table 4</w:t>
      </w:r>
      <w:r w:rsidR="00B76BBC">
        <w:rPr>
          <w:rFonts w:ascii="Arial" w:eastAsia="Arial" w:hAnsi="Arial" w:cs="Arial"/>
          <w:sz w:val="20"/>
          <w:szCs w:val="20"/>
        </w:rPr>
        <w:t xml:space="preserve"> and discussed below.</w:t>
      </w:r>
    </w:p>
    <w:p w:rsidR="003D31DA" w:rsidRPr="00153ECD" w:rsidRDefault="003D31DA" w:rsidP="00EE672C">
      <w:pPr>
        <w:spacing w:after="0" w:line="480" w:lineRule="auto"/>
        <w:rPr>
          <w:rFonts w:ascii="Arial" w:eastAsia="Times New Roman" w:hAnsi="Arial" w:cs="Arial"/>
          <w:sz w:val="20"/>
          <w:szCs w:val="20"/>
        </w:rPr>
      </w:pPr>
    </w:p>
    <w:p w:rsidR="00035DF3" w:rsidRPr="00153ECD" w:rsidRDefault="00A102D5" w:rsidP="00EE672C">
      <w:pPr>
        <w:spacing w:after="0" w:line="480" w:lineRule="auto"/>
        <w:rPr>
          <w:rFonts w:ascii="Arial" w:eastAsia="Times New Roman" w:hAnsi="Arial" w:cs="Arial"/>
          <w:sz w:val="20"/>
          <w:szCs w:val="20"/>
          <w:u w:val="single"/>
        </w:rPr>
      </w:pPr>
      <w:r w:rsidRPr="00153ECD">
        <w:rPr>
          <w:rFonts w:ascii="Arial" w:eastAsia="Arial" w:hAnsi="Arial" w:cs="Arial"/>
          <w:sz w:val="20"/>
          <w:szCs w:val="20"/>
          <w:u w:val="single"/>
        </w:rPr>
        <w:t>Professional r</w:t>
      </w:r>
      <w:r w:rsidR="00035DF3" w:rsidRPr="00153ECD">
        <w:rPr>
          <w:rFonts w:ascii="Arial" w:eastAsia="Arial" w:hAnsi="Arial" w:cs="Arial"/>
          <w:sz w:val="20"/>
          <w:szCs w:val="20"/>
          <w:u w:val="single"/>
        </w:rPr>
        <w:t xml:space="preserve">esponsibility </w:t>
      </w:r>
    </w:p>
    <w:p w:rsidR="001D7F37" w:rsidRPr="00153ECD" w:rsidRDefault="00CB2E05" w:rsidP="00EE672C">
      <w:pPr>
        <w:spacing w:after="0" w:line="480" w:lineRule="auto"/>
        <w:rPr>
          <w:rFonts w:ascii="Arial" w:eastAsia="Arial" w:hAnsi="Arial" w:cs="Arial"/>
          <w:sz w:val="20"/>
          <w:szCs w:val="20"/>
        </w:rPr>
      </w:pPr>
      <w:r>
        <w:rPr>
          <w:rFonts w:ascii="Arial" w:eastAsia="Arial" w:hAnsi="Arial" w:cs="Arial"/>
          <w:sz w:val="20"/>
          <w:szCs w:val="20"/>
        </w:rPr>
        <w:t>C</w:t>
      </w:r>
      <w:r w:rsidR="00035DF3" w:rsidRPr="00153ECD">
        <w:rPr>
          <w:rFonts w:ascii="Arial" w:eastAsia="Arial" w:hAnsi="Arial" w:cs="Arial"/>
          <w:sz w:val="20"/>
          <w:szCs w:val="20"/>
        </w:rPr>
        <w:t xml:space="preserve">onsistent references </w:t>
      </w:r>
      <w:r w:rsidR="0018121F" w:rsidRPr="00153ECD">
        <w:rPr>
          <w:rFonts w:ascii="Arial" w:eastAsia="Arial" w:hAnsi="Arial" w:cs="Arial"/>
          <w:sz w:val="20"/>
          <w:szCs w:val="20"/>
        </w:rPr>
        <w:t xml:space="preserve">were </w:t>
      </w:r>
      <w:r w:rsidR="00035DF3" w:rsidRPr="00153ECD">
        <w:rPr>
          <w:rFonts w:ascii="Arial" w:eastAsia="Arial" w:hAnsi="Arial" w:cs="Arial"/>
          <w:sz w:val="20"/>
          <w:szCs w:val="20"/>
        </w:rPr>
        <w:t xml:space="preserve">made </w:t>
      </w:r>
      <w:r w:rsidR="00A52BD6" w:rsidRPr="00153ECD">
        <w:rPr>
          <w:rFonts w:ascii="Arial" w:eastAsia="Arial" w:hAnsi="Arial" w:cs="Arial"/>
          <w:sz w:val="20"/>
          <w:szCs w:val="20"/>
        </w:rPr>
        <w:t>to</w:t>
      </w:r>
      <w:r w:rsidR="00035DF3" w:rsidRPr="00153ECD">
        <w:rPr>
          <w:rFonts w:ascii="Arial" w:eastAsia="Arial" w:hAnsi="Arial" w:cs="Arial"/>
          <w:sz w:val="20"/>
          <w:szCs w:val="20"/>
        </w:rPr>
        <w:t xml:space="preserve"> </w:t>
      </w:r>
      <w:r w:rsidR="00CC312D" w:rsidRPr="00153ECD">
        <w:rPr>
          <w:rFonts w:ascii="Arial" w:eastAsia="Arial" w:hAnsi="Arial" w:cs="Arial"/>
          <w:sz w:val="20"/>
          <w:szCs w:val="20"/>
        </w:rPr>
        <w:t xml:space="preserve">the need for </w:t>
      </w:r>
      <w:r w:rsidR="00035DF3" w:rsidRPr="00153ECD">
        <w:rPr>
          <w:rFonts w:ascii="Arial" w:eastAsia="Arial" w:hAnsi="Arial" w:cs="Arial"/>
          <w:sz w:val="20"/>
          <w:szCs w:val="20"/>
        </w:rPr>
        <w:t>aware</w:t>
      </w:r>
      <w:r w:rsidR="0008500D" w:rsidRPr="00153ECD">
        <w:rPr>
          <w:rFonts w:ascii="Arial" w:eastAsia="Arial" w:hAnsi="Arial" w:cs="Arial"/>
          <w:sz w:val="20"/>
          <w:szCs w:val="20"/>
        </w:rPr>
        <w:t>ness</w:t>
      </w:r>
      <w:r w:rsidR="00A52BD6" w:rsidRPr="00153ECD">
        <w:rPr>
          <w:rFonts w:ascii="Arial" w:eastAsia="Arial" w:hAnsi="Arial" w:cs="Arial"/>
          <w:sz w:val="20"/>
          <w:szCs w:val="20"/>
        </w:rPr>
        <w:t xml:space="preserve"> of the</w:t>
      </w:r>
      <w:r w:rsidR="00035DF3" w:rsidRPr="00153ECD">
        <w:rPr>
          <w:rFonts w:ascii="Arial" w:eastAsia="Arial" w:hAnsi="Arial" w:cs="Arial"/>
          <w:sz w:val="20"/>
          <w:szCs w:val="20"/>
        </w:rPr>
        <w:t xml:space="preserve"> unlicensed status</w:t>
      </w:r>
      <w:r w:rsidR="00A52BD6" w:rsidRPr="00153ECD">
        <w:rPr>
          <w:rFonts w:ascii="Arial" w:eastAsia="Arial" w:hAnsi="Arial" w:cs="Arial"/>
          <w:sz w:val="20"/>
          <w:szCs w:val="20"/>
        </w:rPr>
        <w:t xml:space="preserve"> of the medicines</w:t>
      </w:r>
      <w:r>
        <w:rPr>
          <w:rFonts w:ascii="Arial" w:eastAsia="Arial" w:hAnsi="Arial" w:cs="Arial"/>
          <w:sz w:val="20"/>
          <w:szCs w:val="20"/>
        </w:rPr>
        <w:t xml:space="preserve"> and </w:t>
      </w:r>
      <w:r w:rsidR="00CC312D" w:rsidRPr="00153ECD">
        <w:rPr>
          <w:rFonts w:ascii="Arial" w:eastAsia="Arial" w:hAnsi="Arial" w:cs="Arial"/>
          <w:sz w:val="20"/>
          <w:szCs w:val="20"/>
        </w:rPr>
        <w:t xml:space="preserve">there </w:t>
      </w:r>
      <w:r w:rsidR="00B57EA9">
        <w:rPr>
          <w:rFonts w:ascii="Arial" w:eastAsia="Arial" w:hAnsi="Arial" w:cs="Arial"/>
          <w:sz w:val="20"/>
          <w:szCs w:val="20"/>
        </w:rPr>
        <w:t>were</w:t>
      </w:r>
      <w:r w:rsidR="00CC312D" w:rsidRPr="00153ECD">
        <w:rPr>
          <w:rFonts w:ascii="Arial" w:eastAsia="Arial" w:hAnsi="Arial" w:cs="Arial"/>
          <w:sz w:val="20"/>
          <w:szCs w:val="20"/>
        </w:rPr>
        <w:t xml:space="preserve"> </w:t>
      </w:r>
      <w:r w:rsidR="00035DF3" w:rsidRPr="00153ECD">
        <w:rPr>
          <w:rFonts w:ascii="Arial" w:eastAsia="Arial" w:hAnsi="Arial" w:cs="Arial"/>
          <w:sz w:val="20"/>
          <w:szCs w:val="20"/>
        </w:rPr>
        <w:t>a range of defin</w:t>
      </w:r>
      <w:r w:rsidR="0008500D" w:rsidRPr="00153ECD">
        <w:rPr>
          <w:rFonts w:ascii="Arial" w:eastAsia="Arial" w:hAnsi="Arial" w:cs="Arial"/>
          <w:sz w:val="20"/>
          <w:szCs w:val="20"/>
        </w:rPr>
        <w:t xml:space="preserve">itions </w:t>
      </w:r>
      <w:r w:rsidR="00355022">
        <w:rPr>
          <w:rFonts w:ascii="Arial" w:eastAsia="Arial" w:hAnsi="Arial" w:cs="Arial"/>
          <w:sz w:val="20"/>
          <w:szCs w:val="20"/>
        </w:rPr>
        <w:t xml:space="preserve">(Table </w:t>
      </w:r>
      <w:r w:rsidR="00D86DBC">
        <w:rPr>
          <w:rFonts w:ascii="Arial" w:eastAsia="Arial" w:hAnsi="Arial" w:cs="Arial"/>
          <w:sz w:val="20"/>
          <w:szCs w:val="20"/>
        </w:rPr>
        <w:t>5</w:t>
      </w:r>
      <w:r>
        <w:rPr>
          <w:rFonts w:ascii="Arial" w:eastAsia="Arial" w:hAnsi="Arial" w:cs="Arial"/>
          <w:sz w:val="20"/>
          <w:szCs w:val="20"/>
        </w:rPr>
        <w:t xml:space="preserve">) </w:t>
      </w:r>
      <w:r w:rsidR="0008500D" w:rsidRPr="00153ECD">
        <w:rPr>
          <w:rFonts w:ascii="Arial" w:eastAsia="Arial" w:hAnsi="Arial" w:cs="Arial"/>
          <w:sz w:val="20"/>
          <w:szCs w:val="20"/>
        </w:rPr>
        <w:t xml:space="preserve">in </w:t>
      </w:r>
      <w:r w:rsidR="00035DF3" w:rsidRPr="00153ECD">
        <w:rPr>
          <w:rFonts w:ascii="Arial" w:eastAsia="Arial" w:hAnsi="Arial" w:cs="Arial"/>
          <w:sz w:val="20"/>
          <w:szCs w:val="20"/>
        </w:rPr>
        <w:t>the docume</w:t>
      </w:r>
      <w:r w:rsidR="00CC312D" w:rsidRPr="00153ECD">
        <w:rPr>
          <w:rFonts w:ascii="Arial" w:eastAsia="Arial" w:hAnsi="Arial" w:cs="Arial"/>
          <w:sz w:val="20"/>
          <w:szCs w:val="20"/>
        </w:rPr>
        <w:t>ntation</w:t>
      </w:r>
      <w:r w:rsidR="0013603B" w:rsidRPr="00153ECD">
        <w:rPr>
          <w:rFonts w:ascii="Arial" w:eastAsia="Arial" w:hAnsi="Arial" w:cs="Arial"/>
          <w:sz w:val="20"/>
          <w:szCs w:val="20"/>
        </w:rPr>
        <w:t>,</w:t>
      </w:r>
      <w:r w:rsidR="00CC312D" w:rsidRPr="00153ECD">
        <w:rPr>
          <w:rFonts w:ascii="Arial" w:eastAsia="Arial" w:hAnsi="Arial" w:cs="Arial"/>
          <w:sz w:val="20"/>
          <w:szCs w:val="20"/>
        </w:rPr>
        <w:t xml:space="preserve"> </w:t>
      </w:r>
      <w:r>
        <w:rPr>
          <w:rFonts w:ascii="Arial" w:eastAsia="Arial" w:hAnsi="Arial" w:cs="Arial"/>
          <w:sz w:val="20"/>
          <w:szCs w:val="20"/>
        </w:rPr>
        <w:t xml:space="preserve">although </w:t>
      </w:r>
      <w:r w:rsidR="0018121F" w:rsidRPr="00153ECD">
        <w:rPr>
          <w:rFonts w:ascii="Arial" w:eastAsia="Arial" w:hAnsi="Arial" w:cs="Arial"/>
          <w:sz w:val="20"/>
          <w:szCs w:val="20"/>
        </w:rPr>
        <w:t>there was consensus</w:t>
      </w:r>
      <w:r w:rsidR="00035DF3" w:rsidRPr="00153ECD">
        <w:rPr>
          <w:rFonts w:ascii="Arial" w:eastAsia="Arial" w:hAnsi="Arial" w:cs="Arial"/>
          <w:sz w:val="20"/>
          <w:szCs w:val="20"/>
        </w:rPr>
        <w:t xml:space="preserve"> that an unlicensed medicine was a product without a marketing authorisation</w:t>
      </w:r>
      <w:proofErr w:type="gramStart"/>
      <w:r w:rsidR="00477219">
        <w:rPr>
          <w:rFonts w:ascii="Arial" w:eastAsia="Arial" w:hAnsi="Arial" w:cs="Arial"/>
          <w:sz w:val="20"/>
          <w:szCs w:val="20"/>
        </w:rPr>
        <w:t>.</w:t>
      </w:r>
      <w:r w:rsidR="00035DF3" w:rsidRPr="00153ECD">
        <w:rPr>
          <w:rFonts w:ascii="Arial" w:eastAsia="Arial" w:hAnsi="Arial" w:cs="Arial"/>
          <w:sz w:val="20"/>
          <w:szCs w:val="20"/>
        </w:rPr>
        <w:t>.</w:t>
      </w:r>
      <w:proofErr w:type="gramEnd"/>
      <w:r w:rsidR="00035DF3" w:rsidRPr="00153ECD">
        <w:rPr>
          <w:rFonts w:ascii="Arial" w:eastAsia="Arial" w:hAnsi="Arial" w:cs="Arial"/>
          <w:sz w:val="20"/>
          <w:szCs w:val="20"/>
        </w:rPr>
        <w:t xml:space="preserve"> </w:t>
      </w:r>
    </w:p>
    <w:p w:rsidR="00CC312D" w:rsidRPr="00153ECD" w:rsidRDefault="00CC312D" w:rsidP="00EE672C">
      <w:pPr>
        <w:spacing w:after="0" w:line="480" w:lineRule="auto"/>
        <w:rPr>
          <w:rFonts w:ascii="Arial" w:eastAsia="Arial" w:hAnsi="Arial" w:cs="Arial"/>
          <w:sz w:val="20"/>
          <w:szCs w:val="20"/>
        </w:rPr>
      </w:pPr>
    </w:p>
    <w:p w:rsidR="006F2D3D" w:rsidRPr="00153ECD" w:rsidRDefault="00A82900" w:rsidP="00EE672C">
      <w:pPr>
        <w:spacing w:after="0" w:line="480" w:lineRule="auto"/>
        <w:rPr>
          <w:rFonts w:ascii="Arial" w:eastAsia="Arial" w:hAnsi="Arial" w:cs="Arial"/>
          <w:sz w:val="20"/>
          <w:szCs w:val="20"/>
        </w:rPr>
      </w:pPr>
      <w:r w:rsidRPr="00153ECD">
        <w:rPr>
          <w:rFonts w:ascii="Arial" w:eastAsia="Arial" w:hAnsi="Arial" w:cs="Arial"/>
          <w:sz w:val="20"/>
          <w:szCs w:val="20"/>
        </w:rPr>
        <w:t>There was a focus</w:t>
      </w:r>
      <w:r w:rsidR="001500EE">
        <w:rPr>
          <w:rFonts w:ascii="Arial" w:eastAsia="Arial" w:hAnsi="Arial" w:cs="Arial"/>
          <w:sz w:val="20"/>
          <w:szCs w:val="20"/>
        </w:rPr>
        <w:t xml:space="preserve"> in the </w:t>
      </w:r>
      <w:r w:rsidR="00C30477">
        <w:rPr>
          <w:rFonts w:ascii="Arial" w:eastAsia="Arial" w:hAnsi="Arial" w:cs="Arial"/>
          <w:sz w:val="20"/>
          <w:szCs w:val="20"/>
        </w:rPr>
        <w:t>guidelines</w:t>
      </w:r>
      <w:r w:rsidRPr="00153ECD">
        <w:rPr>
          <w:rFonts w:ascii="Arial" w:eastAsia="Arial" w:hAnsi="Arial" w:cs="Arial"/>
          <w:sz w:val="20"/>
          <w:szCs w:val="20"/>
        </w:rPr>
        <w:t xml:space="preserve"> on prescribers’ responsibilit</w:t>
      </w:r>
      <w:r w:rsidR="008D2B5B">
        <w:rPr>
          <w:rFonts w:ascii="Arial" w:eastAsia="Arial" w:hAnsi="Arial" w:cs="Arial"/>
          <w:sz w:val="20"/>
          <w:szCs w:val="20"/>
        </w:rPr>
        <w:t xml:space="preserve">y to be aware </w:t>
      </w:r>
      <w:r w:rsidRPr="00153ECD">
        <w:rPr>
          <w:rFonts w:ascii="Arial" w:eastAsia="Arial" w:hAnsi="Arial" w:cs="Arial"/>
          <w:sz w:val="20"/>
          <w:szCs w:val="20"/>
        </w:rPr>
        <w:t xml:space="preserve">that the medicine being initiated was unlicensed. </w:t>
      </w:r>
      <w:r w:rsidR="008D2B5B">
        <w:rPr>
          <w:rFonts w:ascii="Arial" w:eastAsia="Arial" w:hAnsi="Arial" w:cs="Arial"/>
          <w:sz w:val="20"/>
          <w:szCs w:val="20"/>
        </w:rPr>
        <w:t>T</w:t>
      </w:r>
      <w:r w:rsidR="00471A3B" w:rsidRPr="00153ECD">
        <w:rPr>
          <w:rFonts w:ascii="Arial" w:eastAsia="Arial" w:hAnsi="Arial" w:cs="Arial"/>
          <w:sz w:val="20"/>
          <w:szCs w:val="20"/>
        </w:rPr>
        <w:t>here were</w:t>
      </w:r>
      <w:r w:rsidR="007E3322" w:rsidRPr="00153ECD">
        <w:rPr>
          <w:rFonts w:ascii="Arial" w:eastAsia="Arial" w:hAnsi="Arial" w:cs="Arial"/>
          <w:sz w:val="20"/>
          <w:szCs w:val="20"/>
        </w:rPr>
        <w:t xml:space="preserve"> </w:t>
      </w:r>
      <w:r w:rsidR="001D7F37" w:rsidRPr="00153ECD">
        <w:rPr>
          <w:rFonts w:ascii="Arial" w:eastAsia="Arial" w:hAnsi="Arial" w:cs="Arial"/>
          <w:sz w:val="20"/>
          <w:szCs w:val="20"/>
        </w:rPr>
        <w:t xml:space="preserve">also </w:t>
      </w:r>
      <w:r w:rsidR="007E3322" w:rsidRPr="00153ECD">
        <w:rPr>
          <w:rFonts w:ascii="Arial" w:eastAsia="Arial" w:hAnsi="Arial" w:cs="Arial"/>
          <w:sz w:val="20"/>
          <w:szCs w:val="20"/>
        </w:rPr>
        <w:t>references</w:t>
      </w:r>
      <w:r w:rsidR="001D7F37" w:rsidRPr="00153ECD">
        <w:rPr>
          <w:rFonts w:ascii="Arial" w:eastAsia="Arial" w:hAnsi="Arial" w:cs="Arial"/>
          <w:sz w:val="20"/>
          <w:szCs w:val="20"/>
        </w:rPr>
        <w:t xml:space="preserve"> to</w:t>
      </w:r>
      <w:r w:rsidR="00C874B2" w:rsidRPr="00153ECD">
        <w:rPr>
          <w:rFonts w:ascii="Arial" w:eastAsia="Arial" w:hAnsi="Arial" w:cs="Arial"/>
          <w:sz w:val="20"/>
          <w:szCs w:val="20"/>
        </w:rPr>
        <w:t xml:space="preserve"> pharmacy staff, nurses, patients, carers and those commissioning </w:t>
      </w:r>
      <w:r w:rsidR="00D02671" w:rsidRPr="00153ECD">
        <w:rPr>
          <w:rFonts w:ascii="Arial" w:eastAsia="Arial" w:hAnsi="Arial" w:cs="Arial"/>
          <w:sz w:val="20"/>
          <w:szCs w:val="20"/>
        </w:rPr>
        <w:t>NHS services</w:t>
      </w:r>
      <w:r w:rsidR="008D2B5B">
        <w:rPr>
          <w:rFonts w:ascii="Arial" w:eastAsia="Arial" w:hAnsi="Arial" w:cs="Arial"/>
          <w:sz w:val="20"/>
          <w:szCs w:val="20"/>
        </w:rPr>
        <w:t xml:space="preserve"> to also be aware</w:t>
      </w:r>
      <w:r w:rsidR="001D7F37" w:rsidRPr="00153ECD">
        <w:rPr>
          <w:rFonts w:ascii="Arial" w:eastAsia="Arial" w:hAnsi="Arial" w:cs="Arial"/>
          <w:sz w:val="20"/>
          <w:szCs w:val="20"/>
        </w:rPr>
        <w:t xml:space="preserve">. </w:t>
      </w:r>
      <w:r w:rsidR="00F1248B" w:rsidRPr="00153ECD">
        <w:rPr>
          <w:rFonts w:ascii="Arial" w:eastAsia="Arial" w:hAnsi="Arial" w:cs="Arial"/>
          <w:sz w:val="20"/>
          <w:szCs w:val="20"/>
        </w:rPr>
        <w:t>It was sometimes highlighted that p</w:t>
      </w:r>
      <w:r w:rsidR="00C874B2" w:rsidRPr="00153ECD">
        <w:rPr>
          <w:rFonts w:ascii="Arial" w:eastAsia="Arial" w:hAnsi="Arial" w:cs="Arial"/>
          <w:sz w:val="20"/>
          <w:szCs w:val="20"/>
        </w:rPr>
        <w:t>rescribers may be unaware of the u</w:t>
      </w:r>
      <w:r w:rsidR="007E3322" w:rsidRPr="00153ECD">
        <w:rPr>
          <w:rFonts w:ascii="Arial" w:eastAsia="Arial" w:hAnsi="Arial" w:cs="Arial"/>
          <w:sz w:val="20"/>
          <w:szCs w:val="20"/>
        </w:rPr>
        <w:t>nlicensed status of a medicine</w:t>
      </w:r>
      <w:r w:rsidR="00F1248B" w:rsidRPr="00153ECD">
        <w:rPr>
          <w:rFonts w:ascii="Arial" w:eastAsia="Arial" w:hAnsi="Arial" w:cs="Arial"/>
          <w:sz w:val="20"/>
          <w:szCs w:val="20"/>
        </w:rPr>
        <w:t xml:space="preserve"> and</w:t>
      </w:r>
      <w:r w:rsidR="001D7F37" w:rsidRPr="00153ECD">
        <w:rPr>
          <w:rFonts w:ascii="Arial" w:eastAsia="Arial" w:hAnsi="Arial" w:cs="Arial"/>
          <w:sz w:val="20"/>
          <w:szCs w:val="20"/>
        </w:rPr>
        <w:t xml:space="preserve"> </w:t>
      </w:r>
      <w:r w:rsidR="00F1248B" w:rsidRPr="00153ECD">
        <w:rPr>
          <w:rFonts w:ascii="Arial" w:eastAsia="Arial" w:hAnsi="Arial" w:cs="Arial"/>
          <w:sz w:val="20"/>
          <w:szCs w:val="20"/>
        </w:rPr>
        <w:t>s</w:t>
      </w:r>
      <w:r w:rsidR="001D7F37" w:rsidRPr="00153ECD">
        <w:rPr>
          <w:rFonts w:ascii="Arial" w:eastAsia="Arial" w:hAnsi="Arial" w:cs="Arial"/>
          <w:sz w:val="20"/>
          <w:szCs w:val="20"/>
        </w:rPr>
        <w:t>ome documents</w:t>
      </w:r>
      <w:r w:rsidR="00C874B2" w:rsidRPr="00153ECD">
        <w:rPr>
          <w:rFonts w:ascii="Arial" w:eastAsia="Arial" w:hAnsi="Arial" w:cs="Arial"/>
          <w:sz w:val="20"/>
          <w:szCs w:val="20"/>
        </w:rPr>
        <w:t xml:space="preserve"> provided guidance on </w:t>
      </w:r>
      <w:r w:rsidR="00471A3B" w:rsidRPr="00153ECD">
        <w:rPr>
          <w:rFonts w:ascii="Arial" w:eastAsia="Arial" w:hAnsi="Arial" w:cs="Arial"/>
          <w:sz w:val="20"/>
          <w:szCs w:val="20"/>
        </w:rPr>
        <w:t>status identification</w:t>
      </w:r>
      <w:r w:rsidR="001D7F37" w:rsidRPr="00153ECD">
        <w:rPr>
          <w:rFonts w:ascii="Arial" w:eastAsia="Arial" w:hAnsi="Arial" w:cs="Arial"/>
          <w:sz w:val="20"/>
          <w:szCs w:val="20"/>
        </w:rPr>
        <w:t xml:space="preserve">. </w:t>
      </w:r>
      <w:r w:rsidR="00C874B2" w:rsidRPr="00153ECD">
        <w:rPr>
          <w:rFonts w:ascii="Arial" w:eastAsia="Arial" w:hAnsi="Arial" w:cs="Arial"/>
          <w:sz w:val="20"/>
          <w:szCs w:val="20"/>
        </w:rPr>
        <w:t>Awareness was not just linked to licensing st</w:t>
      </w:r>
      <w:r w:rsidR="00471A3B" w:rsidRPr="00153ECD">
        <w:rPr>
          <w:rFonts w:ascii="Arial" w:eastAsia="Arial" w:hAnsi="Arial" w:cs="Arial"/>
          <w:sz w:val="20"/>
          <w:szCs w:val="20"/>
        </w:rPr>
        <w:t>atus</w:t>
      </w:r>
      <w:r w:rsidR="00C874B2" w:rsidRPr="00153ECD">
        <w:rPr>
          <w:rFonts w:ascii="Arial" w:eastAsia="Arial" w:hAnsi="Arial" w:cs="Arial"/>
          <w:sz w:val="20"/>
          <w:szCs w:val="20"/>
        </w:rPr>
        <w:t>, but also included understanding the potential implicatio</w:t>
      </w:r>
      <w:r w:rsidR="001D7F37" w:rsidRPr="00153ECD">
        <w:rPr>
          <w:rFonts w:ascii="Arial" w:eastAsia="Arial" w:hAnsi="Arial" w:cs="Arial"/>
          <w:sz w:val="20"/>
          <w:szCs w:val="20"/>
        </w:rPr>
        <w:t>ns</w:t>
      </w:r>
      <w:r w:rsidR="00C874B2" w:rsidRPr="00153ECD">
        <w:rPr>
          <w:rFonts w:ascii="Arial" w:eastAsia="Arial" w:hAnsi="Arial" w:cs="Arial"/>
          <w:sz w:val="20"/>
          <w:szCs w:val="20"/>
        </w:rPr>
        <w:t xml:space="preserve"> in terms of prescribing, administration, procurement and supply.</w:t>
      </w:r>
      <w:r w:rsidR="00A57D89" w:rsidRPr="00153ECD">
        <w:rPr>
          <w:rFonts w:ascii="Arial" w:eastAsia="Arial" w:hAnsi="Arial" w:cs="Arial"/>
          <w:sz w:val="20"/>
          <w:szCs w:val="20"/>
        </w:rPr>
        <w:t xml:space="preserve"> </w:t>
      </w:r>
      <w:r w:rsidR="00471A3B" w:rsidRPr="00153ECD">
        <w:rPr>
          <w:rFonts w:ascii="Arial" w:eastAsia="Arial" w:hAnsi="Arial" w:cs="Arial"/>
          <w:sz w:val="20"/>
          <w:szCs w:val="20"/>
        </w:rPr>
        <w:t>A</w:t>
      </w:r>
      <w:r w:rsidR="00C874B2" w:rsidRPr="00153ECD">
        <w:rPr>
          <w:rFonts w:ascii="Arial" w:eastAsia="Arial" w:hAnsi="Arial" w:cs="Arial"/>
          <w:sz w:val="20"/>
          <w:szCs w:val="20"/>
        </w:rPr>
        <w:t xml:space="preserve"> wide range of professional bodies and legislation</w:t>
      </w:r>
      <w:r w:rsidR="00A52BD6" w:rsidRPr="00153ECD">
        <w:rPr>
          <w:rFonts w:ascii="Arial" w:eastAsia="Arial" w:hAnsi="Arial" w:cs="Arial"/>
          <w:sz w:val="20"/>
          <w:szCs w:val="20"/>
        </w:rPr>
        <w:t xml:space="preserve"> </w:t>
      </w:r>
      <w:r w:rsidR="001D7F37" w:rsidRPr="00153ECD">
        <w:rPr>
          <w:rFonts w:ascii="Arial" w:eastAsia="Arial" w:hAnsi="Arial" w:cs="Arial"/>
          <w:sz w:val="20"/>
          <w:szCs w:val="20"/>
        </w:rPr>
        <w:t>highlight</w:t>
      </w:r>
      <w:r w:rsidR="008E3162">
        <w:rPr>
          <w:rFonts w:ascii="Arial" w:eastAsia="Arial" w:hAnsi="Arial" w:cs="Arial"/>
          <w:sz w:val="20"/>
          <w:szCs w:val="20"/>
        </w:rPr>
        <w:t>ing</w:t>
      </w:r>
      <w:r w:rsidR="001D7F37" w:rsidRPr="00153ECD">
        <w:rPr>
          <w:rFonts w:ascii="Arial" w:eastAsia="Arial" w:hAnsi="Arial" w:cs="Arial"/>
          <w:sz w:val="20"/>
          <w:szCs w:val="20"/>
        </w:rPr>
        <w:t xml:space="preserve"> the </w:t>
      </w:r>
      <w:r w:rsidR="00F1248B" w:rsidRPr="00153ECD">
        <w:rPr>
          <w:rFonts w:ascii="Arial" w:eastAsia="Arial" w:hAnsi="Arial" w:cs="Arial"/>
          <w:sz w:val="20"/>
          <w:szCs w:val="20"/>
        </w:rPr>
        <w:t>r</w:t>
      </w:r>
      <w:r w:rsidR="001D7F37" w:rsidRPr="00153ECD">
        <w:rPr>
          <w:rFonts w:ascii="Arial" w:eastAsia="Arial" w:hAnsi="Arial" w:cs="Arial"/>
          <w:sz w:val="20"/>
          <w:szCs w:val="20"/>
        </w:rPr>
        <w:t xml:space="preserve">esponsibilities of individuals and organisations </w:t>
      </w:r>
      <w:r w:rsidR="008E3162">
        <w:rPr>
          <w:rFonts w:ascii="Arial" w:eastAsia="Arial" w:hAnsi="Arial" w:cs="Arial"/>
          <w:sz w:val="20"/>
          <w:szCs w:val="20"/>
        </w:rPr>
        <w:t>was</w:t>
      </w:r>
      <w:r w:rsidR="008E3162" w:rsidRPr="00153ECD">
        <w:rPr>
          <w:rFonts w:ascii="Arial" w:eastAsia="Arial" w:hAnsi="Arial" w:cs="Arial"/>
          <w:sz w:val="20"/>
          <w:szCs w:val="20"/>
        </w:rPr>
        <w:t xml:space="preserve"> </w:t>
      </w:r>
      <w:r w:rsidR="00763FE5" w:rsidRPr="00153ECD">
        <w:rPr>
          <w:rFonts w:ascii="Arial" w:eastAsia="Arial" w:hAnsi="Arial" w:cs="Arial"/>
          <w:sz w:val="20"/>
          <w:szCs w:val="20"/>
        </w:rPr>
        <w:t xml:space="preserve">referenced. </w:t>
      </w:r>
      <w:r w:rsidR="001D7F37" w:rsidRPr="00153ECD">
        <w:rPr>
          <w:rFonts w:ascii="Arial" w:eastAsia="Arial" w:hAnsi="Arial" w:cs="Arial"/>
          <w:sz w:val="20"/>
          <w:szCs w:val="20"/>
        </w:rPr>
        <w:t>The termin</w:t>
      </w:r>
      <w:r w:rsidR="00471A3B" w:rsidRPr="00153ECD">
        <w:rPr>
          <w:rFonts w:ascii="Arial" w:eastAsia="Arial" w:hAnsi="Arial" w:cs="Arial"/>
          <w:sz w:val="20"/>
          <w:szCs w:val="20"/>
        </w:rPr>
        <w:t>ology</w:t>
      </w:r>
      <w:r w:rsidR="001D7F37" w:rsidRPr="00153ECD">
        <w:rPr>
          <w:rFonts w:ascii="Arial" w:eastAsia="Arial" w:hAnsi="Arial" w:cs="Arial"/>
          <w:sz w:val="20"/>
          <w:szCs w:val="20"/>
        </w:rPr>
        <w:t xml:space="preserve"> </w:t>
      </w:r>
      <w:r w:rsidR="00553FF7" w:rsidRPr="00153ECD">
        <w:rPr>
          <w:rFonts w:ascii="Arial" w:eastAsia="Arial" w:hAnsi="Arial" w:cs="Arial"/>
          <w:sz w:val="20"/>
          <w:szCs w:val="20"/>
        </w:rPr>
        <w:t xml:space="preserve">used in the documentation </w:t>
      </w:r>
      <w:r w:rsidR="00C874B2" w:rsidRPr="00153ECD">
        <w:rPr>
          <w:rFonts w:ascii="Arial" w:eastAsia="Arial" w:hAnsi="Arial" w:cs="Arial"/>
          <w:sz w:val="20"/>
          <w:szCs w:val="20"/>
        </w:rPr>
        <w:t>varied between responsibility</w:t>
      </w:r>
      <w:r w:rsidR="00F1248B" w:rsidRPr="00153ECD">
        <w:rPr>
          <w:rFonts w:ascii="Arial" w:eastAsia="Arial" w:hAnsi="Arial" w:cs="Arial"/>
          <w:sz w:val="20"/>
          <w:szCs w:val="20"/>
        </w:rPr>
        <w:t>, accountability and liability.</w:t>
      </w:r>
    </w:p>
    <w:p w:rsidR="00325E86" w:rsidRDefault="00325E86" w:rsidP="00EE672C">
      <w:pPr>
        <w:spacing w:after="0" w:line="480" w:lineRule="auto"/>
        <w:rPr>
          <w:rFonts w:ascii="Arial" w:eastAsia="Arial" w:hAnsi="Arial" w:cs="Arial"/>
          <w:sz w:val="20"/>
          <w:szCs w:val="20"/>
          <w:u w:val="single"/>
        </w:rPr>
      </w:pPr>
    </w:p>
    <w:p w:rsidR="006F2D3D" w:rsidRPr="00153ECD" w:rsidRDefault="006F2D3D" w:rsidP="00EE672C">
      <w:pPr>
        <w:spacing w:after="0" w:line="480" w:lineRule="auto"/>
        <w:rPr>
          <w:rFonts w:ascii="Arial" w:eastAsia="Times New Roman" w:hAnsi="Arial" w:cs="Arial"/>
          <w:sz w:val="20"/>
          <w:szCs w:val="20"/>
          <w:u w:val="single"/>
        </w:rPr>
      </w:pPr>
      <w:r w:rsidRPr="00153ECD">
        <w:rPr>
          <w:rFonts w:ascii="Arial" w:eastAsia="Arial" w:hAnsi="Arial" w:cs="Arial"/>
          <w:sz w:val="20"/>
          <w:szCs w:val="20"/>
          <w:u w:val="single"/>
        </w:rPr>
        <w:t xml:space="preserve">Usage </w:t>
      </w:r>
      <w:r w:rsidR="0013603B" w:rsidRPr="00153ECD">
        <w:rPr>
          <w:rFonts w:ascii="Arial" w:eastAsia="Arial" w:hAnsi="Arial" w:cs="Arial"/>
          <w:sz w:val="20"/>
          <w:szCs w:val="20"/>
          <w:u w:val="single"/>
        </w:rPr>
        <w:t>p</w:t>
      </w:r>
      <w:r w:rsidRPr="00153ECD">
        <w:rPr>
          <w:rFonts w:ascii="Arial" w:eastAsia="Arial" w:hAnsi="Arial" w:cs="Arial"/>
          <w:sz w:val="20"/>
          <w:szCs w:val="20"/>
          <w:u w:val="single"/>
        </w:rPr>
        <w:t xml:space="preserve">racticalities </w:t>
      </w:r>
    </w:p>
    <w:p w:rsidR="006F2D3D" w:rsidRPr="00153ECD" w:rsidRDefault="006F2D3D" w:rsidP="00EE672C">
      <w:pPr>
        <w:spacing w:after="0" w:line="480" w:lineRule="auto"/>
        <w:rPr>
          <w:rFonts w:ascii="Arial" w:eastAsia="Times New Roman" w:hAnsi="Arial" w:cs="Arial"/>
          <w:sz w:val="20"/>
          <w:szCs w:val="20"/>
        </w:rPr>
      </w:pPr>
      <w:r w:rsidRPr="00153ECD">
        <w:rPr>
          <w:rFonts w:ascii="Arial" w:eastAsia="Arial" w:hAnsi="Arial" w:cs="Arial"/>
          <w:sz w:val="20"/>
          <w:szCs w:val="20"/>
        </w:rPr>
        <w:t>Most documentation dealt with the practicalities</w:t>
      </w:r>
      <w:r w:rsidR="0018121F" w:rsidRPr="00153ECD">
        <w:rPr>
          <w:rFonts w:ascii="Arial" w:eastAsia="Arial" w:hAnsi="Arial" w:cs="Arial"/>
          <w:sz w:val="20"/>
          <w:szCs w:val="20"/>
        </w:rPr>
        <w:t xml:space="preserve"> of using ULMs</w:t>
      </w:r>
      <w:r w:rsidR="004541D0">
        <w:rPr>
          <w:rFonts w:ascii="Arial" w:eastAsia="Arial" w:hAnsi="Arial" w:cs="Arial"/>
          <w:sz w:val="20"/>
          <w:szCs w:val="20"/>
        </w:rPr>
        <w:t xml:space="preserve"> well</w:t>
      </w:r>
      <w:r w:rsidRPr="00153ECD">
        <w:rPr>
          <w:rFonts w:ascii="Arial" w:eastAsia="Arial" w:hAnsi="Arial" w:cs="Arial"/>
          <w:sz w:val="20"/>
          <w:szCs w:val="20"/>
        </w:rPr>
        <w:t xml:space="preserve">. The chronological stages represented </w:t>
      </w:r>
      <w:r w:rsidR="0018121F" w:rsidRPr="00153ECD">
        <w:rPr>
          <w:rFonts w:ascii="Arial" w:eastAsia="Arial" w:hAnsi="Arial" w:cs="Arial"/>
          <w:sz w:val="20"/>
          <w:szCs w:val="20"/>
        </w:rPr>
        <w:t>in the process</w:t>
      </w:r>
      <w:r w:rsidR="001500EE">
        <w:rPr>
          <w:rFonts w:ascii="Arial" w:eastAsia="Arial" w:hAnsi="Arial" w:cs="Arial"/>
          <w:sz w:val="20"/>
          <w:szCs w:val="20"/>
        </w:rPr>
        <w:t xml:space="preserve"> of use</w:t>
      </w:r>
      <w:r w:rsidR="0018121F" w:rsidRPr="00153ECD">
        <w:rPr>
          <w:rFonts w:ascii="Arial" w:eastAsia="Arial" w:hAnsi="Arial" w:cs="Arial"/>
          <w:sz w:val="20"/>
          <w:szCs w:val="20"/>
        </w:rPr>
        <w:t xml:space="preserve"> </w:t>
      </w:r>
      <w:r w:rsidRPr="00153ECD">
        <w:rPr>
          <w:rFonts w:ascii="Arial" w:eastAsia="Arial" w:hAnsi="Arial" w:cs="Arial"/>
          <w:sz w:val="20"/>
          <w:szCs w:val="20"/>
        </w:rPr>
        <w:t xml:space="preserve">included:  </w:t>
      </w:r>
      <w:proofErr w:type="spellStart"/>
      <w:r w:rsidRPr="00153ECD">
        <w:rPr>
          <w:rFonts w:ascii="Arial" w:eastAsia="Arial" w:hAnsi="Arial" w:cs="Arial"/>
          <w:sz w:val="20"/>
          <w:szCs w:val="20"/>
        </w:rPr>
        <w:t>i</w:t>
      </w:r>
      <w:proofErr w:type="spellEnd"/>
      <w:r w:rsidRPr="00153ECD">
        <w:rPr>
          <w:rFonts w:ascii="Arial" w:eastAsia="Arial" w:hAnsi="Arial" w:cs="Arial"/>
          <w:sz w:val="20"/>
          <w:szCs w:val="20"/>
        </w:rPr>
        <w:t>) prescribing; ii) procurement; iii) storage;</w:t>
      </w:r>
      <w:r w:rsidR="00A57D89" w:rsidRPr="00153ECD">
        <w:rPr>
          <w:rFonts w:ascii="Arial" w:eastAsia="Arial" w:hAnsi="Arial" w:cs="Arial"/>
          <w:sz w:val="20"/>
          <w:szCs w:val="20"/>
        </w:rPr>
        <w:t xml:space="preserve"> </w:t>
      </w:r>
      <w:proofErr w:type="gramStart"/>
      <w:r w:rsidR="00A57D89" w:rsidRPr="00153ECD">
        <w:rPr>
          <w:rFonts w:ascii="Arial" w:eastAsia="Arial" w:hAnsi="Arial" w:cs="Arial"/>
          <w:sz w:val="20"/>
          <w:szCs w:val="20"/>
        </w:rPr>
        <w:t>iv)</w:t>
      </w:r>
      <w:r w:rsidR="00A52BD6" w:rsidRPr="00153ECD">
        <w:rPr>
          <w:rFonts w:ascii="Arial" w:eastAsia="Arial" w:hAnsi="Arial" w:cs="Arial"/>
          <w:sz w:val="20"/>
          <w:szCs w:val="20"/>
        </w:rPr>
        <w:t xml:space="preserve"> </w:t>
      </w:r>
      <w:r w:rsidRPr="00153ECD">
        <w:rPr>
          <w:rFonts w:ascii="Arial" w:eastAsia="Arial" w:hAnsi="Arial" w:cs="Arial"/>
          <w:sz w:val="20"/>
          <w:szCs w:val="20"/>
        </w:rPr>
        <w:t>dispensing</w:t>
      </w:r>
      <w:proofErr w:type="gramEnd"/>
      <w:r w:rsidRPr="00153ECD">
        <w:rPr>
          <w:rFonts w:ascii="Arial" w:eastAsia="Arial" w:hAnsi="Arial" w:cs="Arial"/>
          <w:sz w:val="20"/>
          <w:szCs w:val="20"/>
        </w:rPr>
        <w:t xml:space="preserve"> </w:t>
      </w:r>
      <w:r w:rsidRPr="00153ECD">
        <w:rPr>
          <w:rFonts w:ascii="Arial" w:eastAsia="Arial" w:hAnsi="Arial" w:cs="Arial"/>
          <w:sz w:val="20"/>
          <w:szCs w:val="20"/>
        </w:rPr>
        <w:lastRenderedPageBreak/>
        <w:t xml:space="preserve">and v) administration. Some documents also described quarantining unlicensed medicines following procurement </w:t>
      </w:r>
      <w:r w:rsidR="0018121F" w:rsidRPr="00153ECD">
        <w:rPr>
          <w:rFonts w:ascii="Arial" w:eastAsia="Arial" w:hAnsi="Arial" w:cs="Arial"/>
          <w:sz w:val="20"/>
          <w:szCs w:val="20"/>
        </w:rPr>
        <w:t xml:space="preserve">but </w:t>
      </w:r>
      <w:r w:rsidRPr="00153ECD">
        <w:rPr>
          <w:rFonts w:ascii="Arial" w:eastAsia="Arial" w:hAnsi="Arial" w:cs="Arial"/>
          <w:sz w:val="20"/>
          <w:szCs w:val="20"/>
        </w:rPr>
        <w:t>prior to dispensing. Clinical review of the patient for the ongoing appropriateness of use was also a commonly occurring theme.  Many guidelines contained associated paperwork in relation to handling/use</w:t>
      </w:r>
      <w:r w:rsidR="00553FF7" w:rsidRPr="00153ECD">
        <w:rPr>
          <w:rFonts w:ascii="Arial" w:eastAsia="Arial" w:hAnsi="Arial" w:cs="Arial"/>
          <w:sz w:val="20"/>
          <w:szCs w:val="20"/>
        </w:rPr>
        <w:t>. T</w:t>
      </w:r>
      <w:r w:rsidRPr="00153ECD">
        <w:rPr>
          <w:rFonts w:ascii="Arial" w:eastAsia="Arial" w:hAnsi="Arial" w:cs="Arial"/>
          <w:sz w:val="20"/>
          <w:szCs w:val="20"/>
        </w:rPr>
        <w:t>his was well described and included</w:t>
      </w:r>
      <w:r w:rsidR="00A57D89" w:rsidRPr="00153ECD">
        <w:rPr>
          <w:rFonts w:ascii="Arial" w:eastAsia="Arial" w:hAnsi="Arial" w:cs="Arial"/>
          <w:sz w:val="20"/>
          <w:szCs w:val="20"/>
        </w:rPr>
        <w:t>:</w:t>
      </w:r>
      <w:r w:rsidRPr="00153ECD">
        <w:rPr>
          <w:rFonts w:ascii="Arial" w:eastAsia="Arial" w:hAnsi="Arial" w:cs="Arial"/>
          <w:sz w:val="20"/>
          <w:szCs w:val="20"/>
        </w:rPr>
        <w:t xml:space="preserve"> information about manufacturers</w:t>
      </w:r>
      <w:r w:rsidR="00A57D89" w:rsidRPr="00153ECD">
        <w:rPr>
          <w:rFonts w:ascii="Arial" w:eastAsia="Arial" w:hAnsi="Arial" w:cs="Arial"/>
          <w:sz w:val="20"/>
          <w:szCs w:val="20"/>
        </w:rPr>
        <w:t xml:space="preserve">; </w:t>
      </w:r>
      <w:r w:rsidRPr="00153ECD">
        <w:rPr>
          <w:rFonts w:ascii="Arial" w:eastAsia="Arial" w:hAnsi="Arial" w:cs="Arial"/>
          <w:sz w:val="20"/>
          <w:szCs w:val="20"/>
        </w:rPr>
        <w:t>the need for documented records of discussions with patients</w:t>
      </w:r>
      <w:r w:rsidR="00A57D89" w:rsidRPr="00153ECD">
        <w:rPr>
          <w:rFonts w:ascii="Arial" w:eastAsia="Arial" w:hAnsi="Arial" w:cs="Arial"/>
          <w:sz w:val="20"/>
          <w:szCs w:val="20"/>
        </w:rPr>
        <w:t>;</w:t>
      </w:r>
      <w:r w:rsidRPr="00153ECD">
        <w:rPr>
          <w:rFonts w:ascii="Arial" w:eastAsia="Arial" w:hAnsi="Arial" w:cs="Arial"/>
          <w:sz w:val="20"/>
          <w:szCs w:val="20"/>
        </w:rPr>
        <w:t xml:space="preserve"> written request orders and capturing justifications for the </w:t>
      </w:r>
      <w:r w:rsidR="00A82900" w:rsidRPr="00153ECD">
        <w:rPr>
          <w:rFonts w:ascii="Arial" w:eastAsia="Arial" w:hAnsi="Arial" w:cs="Arial"/>
          <w:sz w:val="20"/>
          <w:szCs w:val="20"/>
        </w:rPr>
        <w:t>use of the unlicensed medicine.</w:t>
      </w:r>
    </w:p>
    <w:p w:rsidR="006F2D3D" w:rsidRPr="00153ECD" w:rsidRDefault="006F2D3D" w:rsidP="00EE672C">
      <w:pPr>
        <w:spacing w:after="0" w:line="480" w:lineRule="auto"/>
        <w:rPr>
          <w:rFonts w:ascii="Arial" w:hAnsi="Arial" w:cs="Arial"/>
          <w:sz w:val="20"/>
          <w:szCs w:val="20"/>
        </w:rPr>
      </w:pPr>
    </w:p>
    <w:p w:rsidR="006F2D3D" w:rsidRPr="00153ECD" w:rsidRDefault="00A57D89" w:rsidP="00EE672C">
      <w:pPr>
        <w:spacing w:after="0" w:line="480" w:lineRule="auto"/>
        <w:rPr>
          <w:rFonts w:ascii="Arial" w:eastAsia="Arial" w:hAnsi="Arial" w:cs="Arial"/>
          <w:sz w:val="20"/>
          <w:szCs w:val="20"/>
        </w:rPr>
      </w:pPr>
      <w:r w:rsidRPr="00153ECD">
        <w:rPr>
          <w:rFonts w:ascii="Arial" w:eastAsia="Arial" w:hAnsi="Arial" w:cs="Arial"/>
          <w:sz w:val="20"/>
          <w:szCs w:val="20"/>
        </w:rPr>
        <w:t xml:space="preserve">Procurement </w:t>
      </w:r>
      <w:r w:rsidR="00A52BD6" w:rsidRPr="00153ECD">
        <w:rPr>
          <w:rFonts w:ascii="Arial" w:eastAsia="Arial" w:hAnsi="Arial" w:cs="Arial"/>
          <w:sz w:val="20"/>
          <w:szCs w:val="20"/>
        </w:rPr>
        <w:t>processes were described</w:t>
      </w:r>
      <w:r w:rsidR="0018121F" w:rsidRPr="00153ECD">
        <w:rPr>
          <w:rFonts w:ascii="Arial" w:eastAsia="Arial" w:hAnsi="Arial" w:cs="Arial"/>
          <w:sz w:val="20"/>
          <w:szCs w:val="20"/>
        </w:rPr>
        <w:t xml:space="preserve"> in detail</w:t>
      </w:r>
      <w:r w:rsidR="00A52BD6" w:rsidRPr="00153ECD">
        <w:rPr>
          <w:rFonts w:ascii="Arial" w:eastAsia="Arial" w:hAnsi="Arial" w:cs="Arial"/>
          <w:sz w:val="20"/>
          <w:szCs w:val="20"/>
        </w:rPr>
        <w:t xml:space="preserve">, including </w:t>
      </w:r>
      <w:r w:rsidR="00F1248B" w:rsidRPr="00153ECD">
        <w:rPr>
          <w:rFonts w:ascii="Arial" w:eastAsia="Arial" w:hAnsi="Arial" w:cs="Arial"/>
          <w:sz w:val="20"/>
          <w:szCs w:val="20"/>
        </w:rPr>
        <w:t xml:space="preserve">considerations around </w:t>
      </w:r>
      <w:r w:rsidR="006F2D3D" w:rsidRPr="00153ECD">
        <w:rPr>
          <w:rFonts w:ascii="Arial" w:eastAsia="Arial" w:hAnsi="Arial" w:cs="Arial"/>
          <w:sz w:val="20"/>
          <w:szCs w:val="20"/>
        </w:rPr>
        <w:t xml:space="preserve">consistency of product, supplier </w:t>
      </w:r>
      <w:r w:rsidR="0086008F">
        <w:rPr>
          <w:rFonts w:ascii="Arial" w:eastAsia="Arial" w:hAnsi="Arial" w:cs="Arial"/>
          <w:sz w:val="20"/>
          <w:szCs w:val="20"/>
        </w:rPr>
        <w:t xml:space="preserve">identities </w:t>
      </w:r>
      <w:r w:rsidR="006F2D3D" w:rsidRPr="00153ECD">
        <w:rPr>
          <w:rFonts w:ascii="Arial" w:eastAsia="Arial" w:hAnsi="Arial" w:cs="Arial"/>
          <w:sz w:val="20"/>
          <w:szCs w:val="20"/>
        </w:rPr>
        <w:t xml:space="preserve">and timeliness of supply. </w:t>
      </w:r>
      <w:r w:rsidR="00705C0E" w:rsidRPr="00153ECD">
        <w:rPr>
          <w:rFonts w:ascii="Arial" w:eastAsia="Arial" w:hAnsi="Arial" w:cs="Arial"/>
          <w:sz w:val="20"/>
          <w:szCs w:val="20"/>
        </w:rPr>
        <w:t>Information was available in many of the documents to support s</w:t>
      </w:r>
      <w:r w:rsidR="006F2D3D" w:rsidRPr="00153ECD">
        <w:rPr>
          <w:rFonts w:ascii="Arial" w:eastAsia="Arial" w:hAnsi="Arial" w:cs="Arial"/>
          <w:sz w:val="20"/>
          <w:szCs w:val="20"/>
        </w:rPr>
        <w:t>election of a pharmaceutical formulation</w:t>
      </w:r>
      <w:r w:rsidR="00406608" w:rsidRPr="00153ECD">
        <w:rPr>
          <w:rFonts w:ascii="Arial" w:eastAsia="Arial" w:hAnsi="Arial" w:cs="Arial"/>
          <w:sz w:val="20"/>
          <w:szCs w:val="20"/>
        </w:rPr>
        <w:t>,</w:t>
      </w:r>
      <w:r w:rsidR="006F2D3D" w:rsidRPr="00153ECD">
        <w:rPr>
          <w:rFonts w:ascii="Arial" w:eastAsia="Arial" w:hAnsi="Arial" w:cs="Arial"/>
          <w:sz w:val="20"/>
          <w:szCs w:val="20"/>
        </w:rPr>
        <w:t xml:space="preserve"> including advice on availability of different formulations and the choice of formu</w:t>
      </w:r>
      <w:r w:rsidR="00406608" w:rsidRPr="00153ECD">
        <w:rPr>
          <w:rFonts w:ascii="Arial" w:eastAsia="Arial" w:hAnsi="Arial" w:cs="Arial"/>
          <w:sz w:val="20"/>
          <w:szCs w:val="20"/>
        </w:rPr>
        <w:t>lation components used</w:t>
      </w:r>
      <w:r w:rsidR="006F2D3D" w:rsidRPr="00153ECD">
        <w:rPr>
          <w:rFonts w:ascii="Arial" w:eastAsia="Arial" w:hAnsi="Arial" w:cs="Arial"/>
          <w:sz w:val="20"/>
          <w:szCs w:val="20"/>
        </w:rPr>
        <w:t xml:space="preserve">. The need for assurance of product quality was a strongly emerging theme, with </w:t>
      </w:r>
      <w:r w:rsidRPr="00153ECD">
        <w:rPr>
          <w:rFonts w:ascii="Arial" w:eastAsia="Arial" w:hAnsi="Arial" w:cs="Arial"/>
          <w:sz w:val="20"/>
          <w:szCs w:val="20"/>
        </w:rPr>
        <w:t>frequent reference</w:t>
      </w:r>
      <w:r w:rsidR="006F2D3D" w:rsidRPr="00153ECD">
        <w:rPr>
          <w:rFonts w:ascii="Arial" w:eastAsia="Arial" w:hAnsi="Arial" w:cs="Arial"/>
          <w:sz w:val="20"/>
          <w:szCs w:val="20"/>
        </w:rPr>
        <w:t xml:space="preserve"> to the need for sourcing from “reputable” suppliers. </w:t>
      </w:r>
      <w:r w:rsidR="00406608" w:rsidRPr="00153ECD">
        <w:rPr>
          <w:rFonts w:ascii="Arial" w:eastAsia="Arial" w:hAnsi="Arial" w:cs="Arial"/>
          <w:sz w:val="20"/>
          <w:szCs w:val="20"/>
        </w:rPr>
        <w:t>However, m</w:t>
      </w:r>
      <w:r w:rsidR="006F2D3D" w:rsidRPr="00153ECD">
        <w:rPr>
          <w:rFonts w:ascii="Arial" w:eastAsia="Arial" w:hAnsi="Arial" w:cs="Arial"/>
          <w:sz w:val="20"/>
          <w:szCs w:val="20"/>
        </w:rPr>
        <w:t xml:space="preserve">any guidelines did not provide a list of reputable suppliers or discuss how to recognise manufacturers as being reputable.  This was reflected during the AGREE II scoring within the Applicability domain where the average score for the item “the guideline provides advice and/or tools on how the recommendations can be put into practice” </w:t>
      </w:r>
      <w:r w:rsidR="008E3162">
        <w:rPr>
          <w:rFonts w:ascii="Arial" w:eastAsia="Arial" w:hAnsi="Arial" w:cs="Arial"/>
          <w:sz w:val="20"/>
          <w:szCs w:val="20"/>
        </w:rPr>
        <w:t xml:space="preserve">was </w:t>
      </w:r>
      <w:r w:rsidR="00D55B48">
        <w:rPr>
          <w:rFonts w:ascii="Arial" w:eastAsia="Arial" w:hAnsi="Arial" w:cs="Arial"/>
          <w:sz w:val="20"/>
          <w:szCs w:val="20"/>
        </w:rPr>
        <w:t>3.9.</w:t>
      </w:r>
    </w:p>
    <w:p w:rsidR="00D2156F" w:rsidRPr="00153ECD" w:rsidRDefault="00D2156F" w:rsidP="00EE672C">
      <w:pPr>
        <w:spacing w:after="0" w:line="480" w:lineRule="auto"/>
        <w:rPr>
          <w:rFonts w:ascii="Arial" w:hAnsi="Arial" w:cs="Arial"/>
          <w:sz w:val="20"/>
          <w:szCs w:val="20"/>
        </w:rPr>
      </w:pPr>
    </w:p>
    <w:p w:rsidR="006F2D3D" w:rsidRPr="00153ECD" w:rsidRDefault="00406608" w:rsidP="00EE672C">
      <w:pPr>
        <w:spacing w:after="0" w:line="480" w:lineRule="auto"/>
        <w:rPr>
          <w:rFonts w:ascii="Arial" w:hAnsi="Arial" w:cs="Arial"/>
          <w:sz w:val="20"/>
          <w:szCs w:val="20"/>
        </w:rPr>
      </w:pPr>
      <w:r w:rsidRPr="00153ECD">
        <w:rPr>
          <w:rFonts w:ascii="Arial" w:eastAsia="Arial" w:hAnsi="Arial" w:cs="Arial"/>
          <w:sz w:val="20"/>
          <w:szCs w:val="20"/>
        </w:rPr>
        <w:t>P</w:t>
      </w:r>
      <w:r w:rsidR="006F2D3D" w:rsidRPr="00153ECD">
        <w:rPr>
          <w:rFonts w:ascii="Arial" w:eastAsia="Arial" w:hAnsi="Arial" w:cs="Arial"/>
          <w:sz w:val="20"/>
          <w:szCs w:val="20"/>
        </w:rPr>
        <w:t>harmacist</w:t>
      </w:r>
      <w:r w:rsidRPr="00153ECD">
        <w:rPr>
          <w:rFonts w:ascii="Arial" w:eastAsia="Arial" w:hAnsi="Arial" w:cs="Arial"/>
          <w:sz w:val="20"/>
          <w:szCs w:val="20"/>
        </w:rPr>
        <w:t>s</w:t>
      </w:r>
      <w:r w:rsidR="006F2D3D" w:rsidRPr="00153ECD">
        <w:rPr>
          <w:rFonts w:ascii="Arial" w:eastAsia="Arial" w:hAnsi="Arial" w:cs="Arial"/>
          <w:sz w:val="20"/>
          <w:szCs w:val="20"/>
        </w:rPr>
        <w:t xml:space="preserve"> and the wider pharmacy team </w:t>
      </w:r>
      <w:r w:rsidRPr="00153ECD">
        <w:rPr>
          <w:rFonts w:ascii="Arial" w:eastAsia="Arial" w:hAnsi="Arial" w:cs="Arial"/>
          <w:sz w:val="20"/>
          <w:szCs w:val="20"/>
        </w:rPr>
        <w:t xml:space="preserve">were </w:t>
      </w:r>
      <w:r w:rsidR="0018121F" w:rsidRPr="00153ECD">
        <w:rPr>
          <w:rFonts w:ascii="Arial" w:eastAsia="Arial" w:hAnsi="Arial" w:cs="Arial"/>
          <w:sz w:val="20"/>
          <w:szCs w:val="20"/>
        </w:rPr>
        <w:t>referred to</w:t>
      </w:r>
      <w:r w:rsidRPr="00153ECD">
        <w:rPr>
          <w:rFonts w:ascii="Arial" w:eastAsia="Arial" w:hAnsi="Arial" w:cs="Arial"/>
          <w:sz w:val="20"/>
          <w:szCs w:val="20"/>
        </w:rPr>
        <w:t xml:space="preserve"> </w:t>
      </w:r>
      <w:r w:rsidR="006F2D3D" w:rsidRPr="00153ECD">
        <w:rPr>
          <w:rFonts w:ascii="Arial" w:eastAsia="Arial" w:hAnsi="Arial" w:cs="Arial"/>
          <w:sz w:val="20"/>
          <w:szCs w:val="20"/>
        </w:rPr>
        <w:t xml:space="preserve">in managing </w:t>
      </w:r>
      <w:r w:rsidRPr="00153ECD">
        <w:rPr>
          <w:rFonts w:ascii="Arial" w:eastAsia="Arial" w:hAnsi="Arial" w:cs="Arial"/>
          <w:sz w:val="20"/>
          <w:szCs w:val="20"/>
        </w:rPr>
        <w:t>use</w:t>
      </w:r>
      <w:r w:rsidR="006F2D3D" w:rsidRPr="00153ECD">
        <w:rPr>
          <w:rFonts w:ascii="Arial" w:eastAsia="Arial" w:hAnsi="Arial" w:cs="Arial"/>
          <w:sz w:val="20"/>
          <w:szCs w:val="20"/>
        </w:rPr>
        <w:t>. Pharmacists were described in the “checking” of prescriptions, both in a clinical screen</w:t>
      </w:r>
      <w:r w:rsidR="0018121F" w:rsidRPr="00153ECD">
        <w:rPr>
          <w:rFonts w:ascii="Arial" w:eastAsia="Arial" w:hAnsi="Arial" w:cs="Arial"/>
          <w:sz w:val="20"/>
          <w:szCs w:val="20"/>
        </w:rPr>
        <w:t>ing process</w:t>
      </w:r>
      <w:r w:rsidR="006F2D3D" w:rsidRPr="00153ECD">
        <w:rPr>
          <w:rFonts w:ascii="Arial" w:eastAsia="Arial" w:hAnsi="Arial" w:cs="Arial"/>
          <w:sz w:val="20"/>
          <w:szCs w:val="20"/>
        </w:rPr>
        <w:t xml:space="preserve"> for appropriateness and in accuracy checking of the dispensed product.  The need for pharmacists to communicate effectively with prescribers and other healthcare profession</w:t>
      </w:r>
      <w:r w:rsidR="00A57D89" w:rsidRPr="00153ECD">
        <w:rPr>
          <w:rFonts w:ascii="Arial" w:eastAsia="Arial" w:hAnsi="Arial" w:cs="Arial"/>
          <w:sz w:val="20"/>
          <w:szCs w:val="20"/>
        </w:rPr>
        <w:t>als on</w:t>
      </w:r>
      <w:r w:rsidR="006F2D3D" w:rsidRPr="00153ECD">
        <w:rPr>
          <w:rFonts w:ascii="Arial" w:eastAsia="Arial" w:hAnsi="Arial" w:cs="Arial"/>
          <w:sz w:val="20"/>
          <w:szCs w:val="20"/>
        </w:rPr>
        <w:t xml:space="preserve"> the </w:t>
      </w:r>
      <w:r w:rsidRPr="00153ECD">
        <w:rPr>
          <w:rFonts w:ascii="Arial" w:eastAsia="Arial" w:hAnsi="Arial" w:cs="Arial"/>
          <w:sz w:val="20"/>
          <w:szCs w:val="20"/>
        </w:rPr>
        <w:t>un</w:t>
      </w:r>
      <w:r w:rsidR="006F2D3D" w:rsidRPr="00153ECD">
        <w:rPr>
          <w:rFonts w:ascii="Arial" w:eastAsia="Arial" w:hAnsi="Arial" w:cs="Arial"/>
          <w:sz w:val="20"/>
          <w:szCs w:val="20"/>
        </w:rPr>
        <w:t xml:space="preserve">licensed status of the product </w:t>
      </w:r>
      <w:r w:rsidR="00A57D89" w:rsidRPr="00153ECD">
        <w:rPr>
          <w:rFonts w:ascii="Arial" w:eastAsia="Arial" w:hAnsi="Arial" w:cs="Arial"/>
          <w:sz w:val="20"/>
          <w:szCs w:val="20"/>
        </w:rPr>
        <w:t xml:space="preserve">and </w:t>
      </w:r>
      <w:r w:rsidR="006F2D3D" w:rsidRPr="00153ECD">
        <w:rPr>
          <w:rFonts w:ascii="Arial" w:eastAsia="Arial" w:hAnsi="Arial" w:cs="Arial"/>
          <w:sz w:val="20"/>
          <w:szCs w:val="20"/>
        </w:rPr>
        <w:t>its a</w:t>
      </w:r>
      <w:r w:rsidR="00A57D89" w:rsidRPr="00153ECD">
        <w:rPr>
          <w:rFonts w:ascii="Arial" w:eastAsia="Arial" w:hAnsi="Arial" w:cs="Arial"/>
          <w:sz w:val="20"/>
          <w:szCs w:val="20"/>
        </w:rPr>
        <w:t xml:space="preserve">ppropriate use was </w:t>
      </w:r>
      <w:r w:rsidR="00461F40">
        <w:rPr>
          <w:rFonts w:ascii="Arial" w:eastAsia="Arial" w:hAnsi="Arial" w:cs="Arial"/>
          <w:sz w:val="20"/>
          <w:szCs w:val="20"/>
        </w:rPr>
        <w:t>frequently</w:t>
      </w:r>
      <w:r w:rsidR="00A57D89" w:rsidRPr="00153ECD">
        <w:rPr>
          <w:rFonts w:ascii="Arial" w:eastAsia="Arial" w:hAnsi="Arial" w:cs="Arial"/>
          <w:sz w:val="20"/>
          <w:szCs w:val="20"/>
        </w:rPr>
        <w:t xml:space="preserve"> </w:t>
      </w:r>
      <w:r w:rsidR="005E26BE" w:rsidRPr="00153ECD">
        <w:rPr>
          <w:rFonts w:ascii="Arial" w:eastAsia="Arial" w:hAnsi="Arial" w:cs="Arial"/>
          <w:sz w:val="20"/>
          <w:szCs w:val="20"/>
        </w:rPr>
        <w:t>included</w:t>
      </w:r>
      <w:r w:rsidR="00A57D89" w:rsidRPr="00153ECD">
        <w:rPr>
          <w:rFonts w:ascii="Arial" w:eastAsia="Arial" w:hAnsi="Arial" w:cs="Arial"/>
          <w:sz w:val="20"/>
          <w:szCs w:val="20"/>
        </w:rPr>
        <w:t>. P</w:t>
      </w:r>
      <w:r w:rsidR="006F2D3D" w:rsidRPr="00153ECD">
        <w:rPr>
          <w:rFonts w:ascii="Arial" w:eastAsia="Arial" w:hAnsi="Arial" w:cs="Arial"/>
          <w:sz w:val="20"/>
          <w:szCs w:val="20"/>
        </w:rPr>
        <w:t xml:space="preserve">harmacists were </w:t>
      </w:r>
      <w:r w:rsidR="00461F40">
        <w:rPr>
          <w:rFonts w:ascii="Arial" w:eastAsia="Arial" w:hAnsi="Arial" w:cs="Arial"/>
          <w:sz w:val="20"/>
          <w:szCs w:val="20"/>
        </w:rPr>
        <w:t xml:space="preserve">also </w:t>
      </w:r>
      <w:r w:rsidR="001500EE">
        <w:rPr>
          <w:rFonts w:ascii="Arial" w:eastAsia="Arial" w:hAnsi="Arial" w:cs="Arial"/>
          <w:sz w:val="20"/>
          <w:szCs w:val="20"/>
        </w:rPr>
        <w:t>portrayed</w:t>
      </w:r>
      <w:r w:rsidR="006F2D3D" w:rsidRPr="00153ECD">
        <w:rPr>
          <w:rFonts w:ascii="Arial" w:eastAsia="Arial" w:hAnsi="Arial" w:cs="Arial"/>
          <w:sz w:val="20"/>
          <w:szCs w:val="20"/>
        </w:rPr>
        <w:t xml:space="preserve"> as </w:t>
      </w:r>
      <w:r w:rsidR="001500EE">
        <w:rPr>
          <w:rFonts w:ascii="Arial" w:eastAsia="Arial" w:hAnsi="Arial" w:cs="Arial"/>
          <w:sz w:val="20"/>
          <w:szCs w:val="20"/>
        </w:rPr>
        <w:t xml:space="preserve">sources of </w:t>
      </w:r>
      <w:r w:rsidR="006F2D3D" w:rsidRPr="00153ECD">
        <w:rPr>
          <w:rFonts w:ascii="Arial" w:eastAsia="Arial" w:hAnsi="Arial" w:cs="Arial"/>
          <w:sz w:val="20"/>
          <w:szCs w:val="20"/>
        </w:rPr>
        <w:t>information and advice to professionals and patients.</w:t>
      </w:r>
    </w:p>
    <w:p w:rsidR="006F2D3D" w:rsidRPr="00153ECD" w:rsidRDefault="006F2D3D" w:rsidP="00EE672C">
      <w:pPr>
        <w:spacing w:after="0" w:line="480" w:lineRule="auto"/>
        <w:rPr>
          <w:rFonts w:ascii="Arial" w:hAnsi="Arial" w:cs="Arial"/>
          <w:sz w:val="20"/>
          <w:szCs w:val="20"/>
        </w:rPr>
      </w:pPr>
    </w:p>
    <w:p w:rsidR="006F2D3D" w:rsidRPr="00153ECD" w:rsidRDefault="006F2D3D" w:rsidP="00EE672C">
      <w:pPr>
        <w:spacing w:after="0" w:line="480" w:lineRule="auto"/>
        <w:rPr>
          <w:rFonts w:ascii="Arial" w:eastAsia="Arial" w:hAnsi="Arial" w:cs="Arial"/>
          <w:sz w:val="20"/>
          <w:szCs w:val="20"/>
        </w:rPr>
      </w:pPr>
      <w:r w:rsidRPr="00153ECD">
        <w:rPr>
          <w:rFonts w:ascii="Arial" w:eastAsia="Arial" w:hAnsi="Arial" w:cs="Arial"/>
          <w:sz w:val="20"/>
          <w:szCs w:val="20"/>
        </w:rPr>
        <w:t xml:space="preserve">Many documents discussed the need for informed </w:t>
      </w:r>
      <w:r w:rsidR="00A57D89" w:rsidRPr="00153ECD">
        <w:rPr>
          <w:rFonts w:ascii="Arial" w:eastAsia="Arial" w:hAnsi="Arial" w:cs="Arial"/>
          <w:sz w:val="20"/>
          <w:szCs w:val="20"/>
        </w:rPr>
        <w:t xml:space="preserve">patient </w:t>
      </w:r>
      <w:r w:rsidRPr="00153ECD">
        <w:rPr>
          <w:rFonts w:ascii="Arial" w:eastAsia="Arial" w:hAnsi="Arial" w:cs="Arial"/>
          <w:sz w:val="20"/>
          <w:szCs w:val="20"/>
        </w:rPr>
        <w:t xml:space="preserve">consent prior to </w:t>
      </w:r>
      <w:r w:rsidR="00553FF7" w:rsidRPr="00153ECD">
        <w:rPr>
          <w:rFonts w:ascii="Arial" w:eastAsia="Arial" w:hAnsi="Arial" w:cs="Arial"/>
          <w:sz w:val="20"/>
          <w:szCs w:val="20"/>
        </w:rPr>
        <w:t xml:space="preserve">using </w:t>
      </w:r>
      <w:r w:rsidRPr="00153ECD">
        <w:rPr>
          <w:rFonts w:ascii="Arial" w:eastAsia="Arial" w:hAnsi="Arial" w:cs="Arial"/>
          <w:sz w:val="20"/>
          <w:szCs w:val="20"/>
        </w:rPr>
        <w:t>an unlicensed medicine and the provision of information in leaflets and/or verbal communication.</w:t>
      </w:r>
      <w:r w:rsidR="00461F40">
        <w:rPr>
          <w:rFonts w:ascii="Arial" w:eastAsia="Arial" w:hAnsi="Arial" w:cs="Arial"/>
          <w:sz w:val="20"/>
          <w:szCs w:val="20"/>
        </w:rPr>
        <w:t xml:space="preserve"> </w:t>
      </w:r>
    </w:p>
    <w:p w:rsidR="00406608" w:rsidRPr="00153ECD" w:rsidRDefault="00406608" w:rsidP="00EE672C">
      <w:pPr>
        <w:spacing w:after="0" w:line="480" w:lineRule="auto"/>
        <w:rPr>
          <w:rFonts w:ascii="Arial" w:hAnsi="Arial" w:cs="Arial"/>
          <w:sz w:val="20"/>
          <w:szCs w:val="20"/>
        </w:rPr>
      </w:pPr>
    </w:p>
    <w:p w:rsidR="006F2D3D" w:rsidRPr="00153ECD" w:rsidRDefault="00897052" w:rsidP="00EE672C">
      <w:pPr>
        <w:spacing w:after="0" w:line="480" w:lineRule="auto"/>
        <w:rPr>
          <w:rFonts w:ascii="Arial" w:hAnsi="Arial" w:cs="Arial"/>
          <w:sz w:val="20"/>
          <w:szCs w:val="20"/>
        </w:rPr>
      </w:pPr>
      <w:r w:rsidRPr="00153ECD">
        <w:rPr>
          <w:rFonts w:ascii="Arial" w:eastAsia="Arial" w:hAnsi="Arial" w:cs="Arial"/>
          <w:sz w:val="20"/>
          <w:szCs w:val="20"/>
        </w:rPr>
        <w:t>T</w:t>
      </w:r>
      <w:r w:rsidR="00A57D89" w:rsidRPr="00153ECD">
        <w:rPr>
          <w:rFonts w:ascii="Arial" w:eastAsia="Arial" w:hAnsi="Arial" w:cs="Arial"/>
          <w:sz w:val="20"/>
          <w:szCs w:val="20"/>
        </w:rPr>
        <w:t>he theme “</w:t>
      </w:r>
      <w:r w:rsidR="00461F40">
        <w:rPr>
          <w:rFonts w:ascii="Arial" w:eastAsia="Arial" w:hAnsi="Arial" w:cs="Arial"/>
          <w:sz w:val="20"/>
          <w:szCs w:val="20"/>
        </w:rPr>
        <w:t>continuing treatment</w:t>
      </w:r>
      <w:r w:rsidR="00A57D89" w:rsidRPr="00153ECD">
        <w:rPr>
          <w:rFonts w:ascii="Arial" w:eastAsia="Arial" w:hAnsi="Arial" w:cs="Arial"/>
          <w:sz w:val="20"/>
          <w:szCs w:val="20"/>
        </w:rPr>
        <w:t>”</w:t>
      </w:r>
      <w:r w:rsidR="006F2D3D" w:rsidRPr="00153ECD">
        <w:rPr>
          <w:rFonts w:ascii="Arial" w:eastAsia="Arial" w:hAnsi="Arial" w:cs="Arial"/>
          <w:sz w:val="20"/>
          <w:szCs w:val="20"/>
        </w:rPr>
        <w:t xml:space="preserve"> was </w:t>
      </w:r>
      <w:r w:rsidRPr="00153ECD">
        <w:rPr>
          <w:rFonts w:ascii="Arial" w:eastAsia="Arial" w:hAnsi="Arial" w:cs="Arial"/>
          <w:sz w:val="20"/>
          <w:szCs w:val="20"/>
        </w:rPr>
        <w:t xml:space="preserve">mainly </w:t>
      </w:r>
      <w:r w:rsidR="006F2D3D" w:rsidRPr="00153ECD">
        <w:rPr>
          <w:rFonts w:ascii="Arial" w:eastAsia="Arial" w:hAnsi="Arial" w:cs="Arial"/>
          <w:sz w:val="20"/>
          <w:szCs w:val="20"/>
        </w:rPr>
        <w:t>in relation to the transfer of prescrib</w:t>
      </w:r>
      <w:r w:rsidRPr="00153ECD">
        <w:rPr>
          <w:rFonts w:ascii="Arial" w:eastAsia="Arial" w:hAnsi="Arial" w:cs="Arial"/>
          <w:sz w:val="20"/>
          <w:szCs w:val="20"/>
        </w:rPr>
        <w:t>ing</w:t>
      </w:r>
      <w:r w:rsidR="001500EE">
        <w:rPr>
          <w:rFonts w:ascii="Arial" w:eastAsia="Arial" w:hAnsi="Arial" w:cs="Arial"/>
          <w:sz w:val="20"/>
          <w:szCs w:val="20"/>
        </w:rPr>
        <w:t xml:space="preserve"> from secondary or tertiary care to primary care</w:t>
      </w:r>
      <w:r w:rsidR="0018121F" w:rsidRPr="00153ECD">
        <w:rPr>
          <w:rFonts w:ascii="Arial" w:eastAsia="Arial" w:hAnsi="Arial" w:cs="Arial"/>
          <w:sz w:val="20"/>
          <w:szCs w:val="20"/>
        </w:rPr>
        <w:t>. A</w:t>
      </w:r>
      <w:r w:rsidRPr="00153ECD">
        <w:rPr>
          <w:rFonts w:ascii="Arial" w:eastAsia="Arial" w:hAnsi="Arial" w:cs="Arial"/>
          <w:sz w:val="20"/>
          <w:szCs w:val="20"/>
        </w:rPr>
        <w:t xml:space="preserve"> small number</w:t>
      </w:r>
      <w:r w:rsidR="006F2D3D" w:rsidRPr="00153ECD">
        <w:rPr>
          <w:rFonts w:ascii="Arial" w:eastAsia="Arial" w:hAnsi="Arial" w:cs="Arial"/>
          <w:sz w:val="20"/>
          <w:szCs w:val="20"/>
        </w:rPr>
        <w:t xml:space="preserve"> </w:t>
      </w:r>
      <w:r w:rsidR="001500EE">
        <w:rPr>
          <w:rFonts w:ascii="Arial" w:eastAsia="Arial" w:hAnsi="Arial" w:cs="Arial"/>
          <w:sz w:val="20"/>
          <w:szCs w:val="20"/>
        </w:rPr>
        <w:t xml:space="preserve">of documents </w:t>
      </w:r>
      <w:r w:rsidR="006F2D3D" w:rsidRPr="00153ECD">
        <w:rPr>
          <w:rFonts w:ascii="Arial" w:eastAsia="Arial" w:hAnsi="Arial" w:cs="Arial"/>
          <w:sz w:val="20"/>
          <w:szCs w:val="20"/>
        </w:rPr>
        <w:t xml:space="preserve">also </w:t>
      </w:r>
      <w:r w:rsidRPr="00153ECD">
        <w:rPr>
          <w:rFonts w:ascii="Arial" w:eastAsia="Arial" w:hAnsi="Arial" w:cs="Arial"/>
          <w:sz w:val="20"/>
          <w:szCs w:val="20"/>
        </w:rPr>
        <w:t>reference</w:t>
      </w:r>
      <w:r w:rsidR="008E3162">
        <w:rPr>
          <w:rFonts w:ascii="Arial" w:eastAsia="Arial" w:hAnsi="Arial" w:cs="Arial"/>
          <w:sz w:val="20"/>
          <w:szCs w:val="20"/>
        </w:rPr>
        <w:t>d</w:t>
      </w:r>
      <w:r w:rsidR="006F2D3D" w:rsidRPr="00153ECD">
        <w:rPr>
          <w:rFonts w:ascii="Arial" w:eastAsia="Arial" w:hAnsi="Arial" w:cs="Arial"/>
          <w:sz w:val="20"/>
          <w:szCs w:val="20"/>
        </w:rPr>
        <w:t xml:space="preserve"> the need for </w:t>
      </w:r>
      <w:r w:rsidR="006F2D3D" w:rsidRPr="00153ECD">
        <w:rPr>
          <w:rFonts w:ascii="Arial" w:eastAsia="Arial" w:hAnsi="Arial" w:cs="Arial"/>
          <w:sz w:val="20"/>
          <w:szCs w:val="20"/>
        </w:rPr>
        <w:lastRenderedPageBreak/>
        <w:t>communication with the community pharmacy responsible for contin</w:t>
      </w:r>
      <w:r w:rsidRPr="00153ECD">
        <w:rPr>
          <w:rFonts w:ascii="Arial" w:eastAsia="Arial" w:hAnsi="Arial" w:cs="Arial"/>
          <w:sz w:val="20"/>
          <w:szCs w:val="20"/>
        </w:rPr>
        <w:t>uation of supply</w:t>
      </w:r>
      <w:r w:rsidR="00461F40">
        <w:rPr>
          <w:rFonts w:ascii="Arial" w:eastAsia="Arial" w:hAnsi="Arial" w:cs="Arial"/>
          <w:sz w:val="20"/>
          <w:szCs w:val="20"/>
        </w:rPr>
        <w:t xml:space="preserve"> following transfer of care.</w:t>
      </w:r>
    </w:p>
    <w:p w:rsidR="006F2D3D" w:rsidRPr="00153ECD" w:rsidRDefault="006F2D3D" w:rsidP="00EE672C">
      <w:pPr>
        <w:spacing w:after="0" w:line="480" w:lineRule="auto"/>
        <w:rPr>
          <w:rFonts w:ascii="Arial" w:hAnsi="Arial" w:cs="Arial"/>
          <w:sz w:val="20"/>
          <w:szCs w:val="20"/>
        </w:rPr>
      </w:pPr>
    </w:p>
    <w:p w:rsidR="006F2D3D" w:rsidRPr="00153ECD" w:rsidRDefault="006F2D3D" w:rsidP="00EE672C">
      <w:pPr>
        <w:spacing w:after="0" w:line="480" w:lineRule="auto"/>
        <w:rPr>
          <w:rFonts w:ascii="Arial" w:hAnsi="Arial" w:cs="Arial"/>
          <w:sz w:val="20"/>
          <w:szCs w:val="20"/>
          <w:u w:val="single"/>
        </w:rPr>
      </w:pPr>
      <w:r w:rsidRPr="00153ECD">
        <w:rPr>
          <w:rFonts w:ascii="Arial" w:eastAsia="Arial" w:hAnsi="Arial" w:cs="Arial"/>
          <w:sz w:val="20"/>
          <w:szCs w:val="20"/>
          <w:u w:val="single"/>
        </w:rPr>
        <w:t>Risk versus benefit</w:t>
      </w:r>
    </w:p>
    <w:p w:rsidR="006F2D3D" w:rsidRPr="00153ECD" w:rsidRDefault="00897052" w:rsidP="00EE672C">
      <w:pPr>
        <w:spacing w:after="0" w:line="480" w:lineRule="auto"/>
        <w:rPr>
          <w:rFonts w:ascii="Arial" w:hAnsi="Arial" w:cs="Arial"/>
          <w:sz w:val="20"/>
          <w:szCs w:val="20"/>
        </w:rPr>
      </w:pPr>
      <w:r w:rsidRPr="00153ECD">
        <w:rPr>
          <w:rFonts w:ascii="Arial" w:eastAsia="Arial" w:hAnsi="Arial" w:cs="Arial"/>
          <w:sz w:val="20"/>
          <w:szCs w:val="20"/>
        </w:rPr>
        <w:t>All</w:t>
      </w:r>
      <w:r w:rsidR="006F2D3D" w:rsidRPr="00153ECD">
        <w:rPr>
          <w:rFonts w:ascii="Arial" w:eastAsia="Arial" w:hAnsi="Arial" w:cs="Arial"/>
          <w:sz w:val="20"/>
          <w:szCs w:val="20"/>
        </w:rPr>
        <w:t xml:space="preserve"> </w:t>
      </w:r>
      <w:r w:rsidR="00794D70">
        <w:rPr>
          <w:rFonts w:ascii="Arial" w:eastAsia="Arial" w:hAnsi="Arial" w:cs="Arial"/>
          <w:sz w:val="20"/>
          <w:szCs w:val="20"/>
        </w:rPr>
        <w:t>guidelines</w:t>
      </w:r>
      <w:r w:rsidR="00FA30FE" w:rsidRPr="00153ECD">
        <w:rPr>
          <w:rFonts w:ascii="Arial" w:eastAsia="Arial" w:hAnsi="Arial" w:cs="Arial"/>
          <w:sz w:val="20"/>
          <w:szCs w:val="20"/>
        </w:rPr>
        <w:t xml:space="preserve"> </w:t>
      </w:r>
      <w:r w:rsidR="006F2D3D" w:rsidRPr="00153ECD">
        <w:rPr>
          <w:rFonts w:ascii="Arial" w:eastAsia="Arial" w:hAnsi="Arial" w:cs="Arial"/>
          <w:sz w:val="20"/>
          <w:szCs w:val="20"/>
        </w:rPr>
        <w:t xml:space="preserve">covered some element of identifying, stratifying and/or mitigating risks.  However, this was very variable and contributed in part to the low score of 12.1% in the domain of Rigour of Development.  Within this domain, the item “the health benefits, side-effects, and risks have been considered in formulating the recommendations” had </w:t>
      </w:r>
      <w:r w:rsidR="00461F40">
        <w:rPr>
          <w:rFonts w:ascii="Arial" w:eastAsia="Arial" w:hAnsi="Arial" w:cs="Arial"/>
          <w:sz w:val="20"/>
          <w:szCs w:val="20"/>
        </w:rPr>
        <w:t>an average score of 2.6</w:t>
      </w:r>
      <w:r w:rsidR="006F2D3D" w:rsidRPr="00153ECD">
        <w:rPr>
          <w:rFonts w:ascii="Arial" w:eastAsia="Arial" w:hAnsi="Arial" w:cs="Arial"/>
          <w:sz w:val="20"/>
          <w:szCs w:val="20"/>
        </w:rPr>
        <w:t xml:space="preserve"> which supports the variability observed in the</w:t>
      </w:r>
      <w:r w:rsidRPr="00153ECD">
        <w:rPr>
          <w:rFonts w:ascii="Arial" w:eastAsia="Arial" w:hAnsi="Arial" w:cs="Arial"/>
          <w:sz w:val="20"/>
          <w:szCs w:val="20"/>
        </w:rPr>
        <w:t xml:space="preserve"> thematic analysis.  In </w:t>
      </w:r>
      <w:r w:rsidR="006F2D3D" w:rsidRPr="00153ECD">
        <w:rPr>
          <w:rFonts w:ascii="Arial" w:eastAsia="Arial" w:hAnsi="Arial" w:cs="Arial"/>
          <w:sz w:val="20"/>
          <w:szCs w:val="20"/>
        </w:rPr>
        <w:t>establishing the benefit of using</w:t>
      </w:r>
      <w:r w:rsidR="00705C0E" w:rsidRPr="00153ECD">
        <w:rPr>
          <w:rFonts w:ascii="Arial" w:eastAsia="Arial" w:hAnsi="Arial" w:cs="Arial"/>
          <w:sz w:val="20"/>
          <w:szCs w:val="20"/>
        </w:rPr>
        <w:t xml:space="preserve"> an ULM</w:t>
      </w:r>
      <w:r w:rsidR="006F2D3D" w:rsidRPr="00153ECD">
        <w:rPr>
          <w:rFonts w:ascii="Arial" w:eastAsia="Arial" w:hAnsi="Arial" w:cs="Arial"/>
          <w:sz w:val="20"/>
          <w:szCs w:val="20"/>
        </w:rPr>
        <w:t>, there was reference made to the need for evidence to support the clinical decision making process – a s</w:t>
      </w:r>
      <w:r w:rsidRPr="00153ECD">
        <w:rPr>
          <w:rFonts w:ascii="Arial" w:eastAsia="Arial" w:hAnsi="Arial" w:cs="Arial"/>
          <w:sz w:val="20"/>
          <w:szCs w:val="20"/>
        </w:rPr>
        <w:t>mall proportion</w:t>
      </w:r>
      <w:r w:rsidR="006F2D3D" w:rsidRPr="00153ECD">
        <w:rPr>
          <w:rFonts w:ascii="Arial" w:eastAsia="Arial" w:hAnsi="Arial" w:cs="Arial"/>
          <w:sz w:val="20"/>
          <w:szCs w:val="20"/>
        </w:rPr>
        <w:t xml:space="preserve"> made reference to the use of medicines information departments to aid in gathering evidence.  </w:t>
      </w:r>
      <w:r w:rsidR="00E83FCD">
        <w:rPr>
          <w:rFonts w:ascii="Arial" w:eastAsia="Arial" w:hAnsi="Arial" w:cs="Arial"/>
          <w:sz w:val="20"/>
          <w:szCs w:val="20"/>
        </w:rPr>
        <w:t>M</w:t>
      </w:r>
      <w:r w:rsidR="006F2D3D" w:rsidRPr="00153ECD">
        <w:rPr>
          <w:rFonts w:ascii="Arial" w:eastAsia="Arial" w:hAnsi="Arial" w:cs="Arial"/>
          <w:sz w:val="20"/>
          <w:szCs w:val="20"/>
        </w:rPr>
        <w:t>ore common w</w:t>
      </w:r>
      <w:r w:rsidR="00553FF7" w:rsidRPr="00153ECD">
        <w:rPr>
          <w:rFonts w:ascii="Arial" w:eastAsia="Arial" w:hAnsi="Arial" w:cs="Arial"/>
          <w:sz w:val="20"/>
          <w:szCs w:val="20"/>
        </w:rPr>
        <w:t xml:space="preserve">as the use </w:t>
      </w:r>
      <w:r w:rsidR="00153ECD" w:rsidRPr="00153ECD">
        <w:rPr>
          <w:rFonts w:ascii="Arial" w:eastAsia="Arial" w:hAnsi="Arial" w:cs="Arial"/>
          <w:sz w:val="20"/>
          <w:szCs w:val="20"/>
        </w:rPr>
        <w:t>of informal</w:t>
      </w:r>
      <w:r w:rsidR="006F2D3D" w:rsidRPr="00153ECD">
        <w:rPr>
          <w:rFonts w:ascii="Arial" w:eastAsia="Arial" w:hAnsi="Arial" w:cs="Arial"/>
          <w:sz w:val="20"/>
          <w:szCs w:val="20"/>
        </w:rPr>
        <w:t xml:space="preserve"> methods </w:t>
      </w:r>
      <w:r w:rsidR="00553FF7" w:rsidRPr="00153ECD">
        <w:rPr>
          <w:rFonts w:ascii="Arial" w:eastAsia="Arial" w:hAnsi="Arial" w:cs="Arial"/>
          <w:sz w:val="20"/>
          <w:szCs w:val="20"/>
        </w:rPr>
        <w:t>to</w:t>
      </w:r>
      <w:r w:rsidR="006F2D3D" w:rsidRPr="00153ECD">
        <w:rPr>
          <w:rFonts w:ascii="Arial" w:eastAsia="Arial" w:hAnsi="Arial" w:cs="Arial"/>
          <w:sz w:val="20"/>
          <w:szCs w:val="20"/>
        </w:rPr>
        <w:t xml:space="preserve"> measur</w:t>
      </w:r>
      <w:r w:rsidR="00553FF7" w:rsidRPr="00153ECD">
        <w:rPr>
          <w:rFonts w:ascii="Arial" w:eastAsia="Arial" w:hAnsi="Arial" w:cs="Arial"/>
          <w:sz w:val="20"/>
          <w:szCs w:val="20"/>
        </w:rPr>
        <w:t>e</w:t>
      </w:r>
      <w:r w:rsidR="006F2D3D" w:rsidRPr="00153ECD">
        <w:rPr>
          <w:rFonts w:ascii="Arial" w:eastAsia="Arial" w:hAnsi="Arial" w:cs="Arial"/>
          <w:sz w:val="20"/>
          <w:szCs w:val="20"/>
        </w:rPr>
        <w:t xml:space="preserve"> </w:t>
      </w:r>
      <w:r w:rsidR="009F58BB" w:rsidRPr="00153ECD">
        <w:rPr>
          <w:rFonts w:ascii="Arial" w:eastAsia="Arial" w:hAnsi="Arial" w:cs="Arial"/>
          <w:sz w:val="20"/>
          <w:szCs w:val="20"/>
        </w:rPr>
        <w:t>benefit</w:t>
      </w:r>
      <w:r w:rsidR="00DB4566">
        <w:rPr>
          <w:rFonts w:ascii="Arial" w:eastAsia="Arial" w:hAnsi="Arial" w:cs="Arial"/>
          <w:sz w:val="20"/>
          <w:szCs w:val="20"/>
        </w:rPr>
        <w:t>, such as whether the patient’s clinical condition seems to improve or whether the patient was more easily able to self-administer the medication</w:t>
      </w:r>
      <w:r w:rsidR="009F58BB" w:rsidRPr="00153ECD">
        <w:rPr>
          <w:rFonts w:ascii="Arial" w:eastAsia="Arial" w:hAnsi="Arial" w:cs="Arial"/>
          <w:sz w:val="20"/>
          <w:szCs w:val="20"/>
        </w:rPr>
        <w:t xml:space="preserve">. </w:t>
      </w:r>
      <w:r w:rsidR="006F2D3D" w:rsidRPr="00153ECD">
        <w:rPr>
          <w:rFonts w:ascii="Arial" w:eastAsia="Arial" w:hAnsi="Arial" w:cs="Arial"/>
          <w:sz w:val="20"/>
          <w:szCs w:val="20"/>
        </w:rPr>
        <w:t xml:space="preserve">This was also reflected in the AGREE II scoring within the item “the guideline presents monitoring and/or auditing criteria” demonstrating </w:t>
      </w:r>
      <w:r w:rsidR="00461F40">
        <w:rPr>
          <w:rFonts w:ascii="Arial" w:eastAsia="Arial" w:hAnsi="Arial" w:cs="Arial"/>
          <w:sz w:val="20"/>
          <w:szCs w:val="20"/>
        </w:rPr>
        <w:t>an average score of 1.9</w:t>
      </w:r>
      <w:r w:rsidR="006F2D3D" w:rsidRPr="00153ECD">
        <w:rPr>
          <w:rFonts w:ascii="Arial" w:eastAsia="Arial" w:hAnsi="Arial" w:cs="Arial"/>
          <w:sz w:val="20"/>
          <w:szCs w:val="20"/>
        </w:rPr>
        <w:t xml:space="preserve"> from all documents, highlighting few formal pathways of reviewing practice and </w:t>
      </w:r>
      <w:r w:rsidR="00461F40">
        <w:rPr>
          <w:rFonts w:ascii="Arial" w:eastAsia="Arial" w:hAnsi="Arial" w:cs="Arial"/>
          <w:sz w:val="20"/>
          <w:szCs w:val="20"/>
        </w:rPr>
        <w:t>updating policy.  In a small number of cases there was</w:t>
      </w:r>
      <w:r w:rsidR="006F2D3D" w:rsidRPr="00153ECD">
        <w:rPr>
          <w:rFonts w:ascii="Arial" w:eastAsia="Arial" w:hAnsi="Arial" w:cs="Arial"/>
          <w:sz w:val="20"/>
          <w:szCs w:val="20"/>
        </w:rPr>
        <w:t xml:space="preserve"> mention that there should be a requirement to publish findings (positive and/or negative) to support future use </w:t>
      </w:r>
      <w:r w:rsidR="00553FF7" w:rsidRPr="00153ECD">
        <w:rPr>
          <w:rFonts w:ascii="Arial" w:eastAsia="Arial" w:hAnsi="Arial" w:cs="Arial"/>
          <w:sz w:val="20"/>
          <w:szCs w:val="20"/>
        </w:rPr>
        <w:t xml:space="preserve">of ULMs </w:t>
      </w:r>
      <w:r w:rsidR="00461F40">
        <w:rPr>
          <w:rFonts w:ascii="Arial" w:eastAsia="Arial" w:hAnsi="Arial" w:cs="Arial"/>
          <w:sz w:val="20"/>
          <w:szCs w:val="20"/>
        </w:rPr>
        <w:t>by practitioners.</w:t>
      </w:r>
    </w:p>
    <w:p w:rsidR="006F2D3D" w:rsidRPr="00153ECD" w:rsidRDefault="006F2D3D" w:rsidP="00EE672C">
      <w:pPr>
        <w:spacing w:after="0" w:line="480" w:lineRule="auto"/>
        <w:rPr>
          <w:rFonts w:ascii="Arial" w:hAnsi="Arial" w:cs="Arial"/>
          <w:sz w:val="20"/>
          <w:szCs w:val="20"/>
        </w:rPr>
      </w:pPr>
    </w:p>
    <w:p w:rsidR="006F2D3D" w:rsidRPr="00153ECD" w:rsidRDefault="003552A5" w:rsidP="00EE672C">
      <w:pPr>
        <w:spacing w:after="0" w:line="480" w:lineRule="auto"/>
        <w:rPr>
          <w:rFonts w:ascii="Arial" w:eastAsia="Arial" w:hAnsi="Arial" w:cs="Arial"/>
          <w:sz w:val="20"/>
          <w:szCs w:val="20"/>
        </w:rPr>
      </w:pPr>
      <w:r w:rsidRPr="00153ECD">
        <w:rPr>
          <w:rFonts w:ascii="Arial" w:eastAsia="Arial" w:hAnsi="Arial" w:cs="Arial"/>
          <w:sz w:val="20"/>
          <w:szCs w:val="20"/>
        </w:rPr>
        <w:t>A</w:t>
      </w:r>
      <w:r w:rsidR="006F2D3D" w:rsidRPr="00153ECD">
        <w:rPr>
          <w:rFonts w:ascii="Arial" w:eastAsia="Arial" w:hAnsi="Arial" w:cs="Arial"/>
          <w:sz w:val="20"/>
          <w:szCs w:val="20"/>
        </w:rPr>
        <w:t xml:space="preserve">ttempts to place </w:t>
      </w:r>
      <w:r w:rsidR="0018121F" w:rsidRPr="00153ECD">
        <w:rPr>
          <w:rFonts w:ascii="Arial" w:eastAsia="Arial" w:hAnsi="Arial" w:cs="Arial"/>
          <w:sz w:val="20"/>
          <w:szCs w:val="20"/>
        </w:rPr>
        <w:t>ULMs</w:t>
      </w:r>
      <w:r w:rsidR="006F2D3D" w:rsidRPr="00153ECD">
        <w:rPr>
          <w:rFonts w:ascii="Arial" w:eastAsia="Arial" w:hAnsi="Arial" w:cs="Arial"/>
          <w:sz w:val="20"/>
          <w:szCs w:val="20"/>
        </w:rPr>
        <w:t xml:space="preserve"> in the context of other potential treatment options</w:t>
      </w:r>
      <w:r w:rsidRPr="00153ECD">
        <w:rPr>
          <w:rFonts w:ascii="Arial" w:eastAsia="Arial" w:hAnsi="Arial" w:cs="Arial"/>
          <w:sz w:val="20"/>
          <w:szCs w:val="20"/>
        </w:rPr>
        <w:t xml:space="preserve"> were prevalent</w:t>
      </w:r>
      <w:r w:rsidR="006F2D3D" w:rsidRPr="00153ECD">
        <w:rPr>
          <w:rFonts w:ascii="Arial" w:eastAsia="Arial" w:hAnsi="Arial" w:cs="Arial"/>
          <w:sz w:val="20"/>
          <w:szCs w:val="20"/>
        </w:rPr>
        <w:t xml:space="preserve">. Whilst there was strong agreement </w:t>
      </w:r>
      <w:r w:rsidR="00553FF7" w:rsidRPr="00153ECD">
        <w:rPr>
          <w:rFonts w:ascii="Arial" w:eastAsia="Arial" w:hAnsi="Arial" w:cs="Arial"/>
          <w:sz w:val="20"/>
          <w:szCs w:val="20"/>
        </w:rPr>
        <w:t xml:space="preserve">across the documentation </w:t>
      </w:r>
      <w:r w:rsidR="006F2D3D" w:rsidRPr="00153ECD">
        <w:rPr>
          <w:rFonts w:ascii="Arial" w:eastAsia="Arial" w:hAnsi="Arial" w:cs="Arial"/>
          <w:sz w:val="20"/>
          <w:szCs w:val="20"/>
        </w:rPr>
        <w:t xml:space="preserve">that a licensed medicine should be used in preference to an unlicensed one, the </w:t>
      </w:r>
      <w:r w:rsidR="001500EE">
        <w:rPr>
          <w:rFonts w:ascii="Arial" w:eastAsia="Arial" w:hAnsi="Arial" w:cs="Arial"/>
          <w:sz w:val="20"/>
          <w:szCs w:val="20"/>
        </w:rPr>
        <w:t>guidelines</w:t>
      </w:r>
      <w:r w:rsidR="006F2D3D" w:rsidRPr="00153ECD">
        <w:rPr>
          <w:rFonts w:ascii="Arial" w:eastAsia="Arial" w:hAnsi="Arial" w:cs="Arial"/>
          <w:sz w:val="20"/>
          <w:szCs w:val="20"/>
        </w:rPr>
        <w:t xml:space="preserve"> differed in the scope of alternatives that were considered</w:t>
      </w:r>
      <w:r w:rsidR="00B9509A">
        <w:rPr>
          <w:rFonts w:ascii="Arial" w:eastAsia="Arial" w:hAnsi="Arial" w:cs="Arial"/>
          <w:sz w:val="20"/>
          <w:szCs w:val="20"/>
        </w:rPr>
        <w:t xml:space="preserve">. A description of the alternatives that were described in the documentation can be found in Table </w:t>
      </w:r>
      <w:r w:rsidR="00D86DBC">
        <w:rPr>
          <w:rFonts w:ascii="Arial" w:eastAsia="Arial" w:hAnsi="Arial" w:cs="Arial"/>
          <w:sz w:val="20"/>
          <w:szCs w:val="20"/>
        </w:rPr>
        <w:t>6</w:t>
      </w:r>
      <w:r w:rsidR="00BD585C">
        <w:rPr>
          <w:rFonts w:ascii="Arial" w:eastAsia="Arial" w:hAnsi="Arial" w:cs="Arial"/>
          <w:sz w:val="20"/>
          <w:szCs w:val="20"/>
        </w:rPr>
        <w:t xml:space="preserve">. </w:t>
      </w:r>
      <w:r w:rsidR="00B9509A">
        <w:rPr>
          <w:rFonts w:ascii="Arial" w:eastAsia="Arial" w:hAnsi="Arial" w:cs="Arial"/>
          <w:sz w:val="20"/>
          <w:szCs w:val="20"/>
        </w:rPr>
        <w:t>T</w:t>
      </w:r>
      <w:r w:rsidR="006F2D3D" w:rsidRPr="00153ECD">
        <w:rPr>
          <w:rFonts w:ascii="Arial" w:eastAsia="Arial" w:hAnsi="Arial" w:cs="Arial"/>
          <w:sz w:val="20"/>
          <w:szCs w:val="20"/>
        </w:rPr>
        <w:t>he preference order in which these were placed</w:t>
      </w:r>
      <w:r w:rsidR="00B9509A">
        <w:rPr>
          <w:rFonts w:ascii="Arial" w:eastAsia="Arial" w:hAnsi="Arial" w:cs="Arial"/>
          <w:sz w:val="20"/>
          <w:szCs w:val="20"/>
        </w:rPr>
        <w:t xml:space="preserve"> was inconsistent between guidelines</w:t>
      </w:r>
      <w:r w:rsidR="006F2D3D" w:rsidRPr="00153ECD">
        <w:rPr>
          <w:rFonts w:ascii="Arial" w:eastAsia="Arial" w:hAnsi="Arial" w:cs="Arial"/>
          <w:sz w:val="20"/>
          <w:szCs w:val="20"/>
        </w:rPr>
        <w:t xml:space="preserve">. Another </w:t>
      </w:r>
      <w:r w:rsidR="00B9509A">
        <w:rPr>
          <w:rFonts w:ascii="Arial" w:eastAsia="Arial" w:hAnsi="Arial" w:cs="Arial"/>
          <w:sz w:val="20"/>
          <w:szCs w:val="20"/>
        </w:rPr>
        <w:t xml:space="preserve">prevalent </w:t>
      </w:r>
      <w:r w:rsidR="006F2D3D" w:rsidRPr="00153ECD">
        <w:rPr>
          <w:rFonts w:ascii="Arial" w:eastAsia="Arial" w:hAnsi="Arial" w:cs="Arial"/>
          <w:sz w:val="20"/>
          <w:szCs w:val="20"/>
        </w:rPr>
        <w:t xml:space="preserve">message was that in some instances an unlicensed medicine was an appropriate option for a patient and </w:t>
      </w:r>
      <w:r w:rsidR="00705C0E" w:rsidRPr="00153ECD">
        <w:rPr>
          <w:rFonts w:ascii="Arial" w:eastAsia="Arial" w:hAnsi="Arial" w:cs="Arial"/>
          <w:sz w:val="20"/>
          <w:szCs w:val="20"/>
        </w:rPr>
        <w:t xml:space="preserve">reassurance </w:t>
      </w:r>
      <w:r w:rsidR="006F2D3D" w:rsidRPr="00153ECD">
        <w:rPr>
          <w:rFonts w:ascii="Arial" w:eastAsia="Arial" w:hAnsi="Arial" w:cs="Arial"/>
          <w:sz w:val="20"/>
          <w:szCs w:val="20"/>
        </w:rPr>
        <w:t>that their use was common. This w</w:t>
      </w:r>
      <w:r w:rsidR="0018121F" w:rsidRPr="00153ECD">
        <w:rPr>
          <w:rFonts w:ascii="Arial" w:eastAsia="Arial" w:hAnsi="Arial" w:cs="Arial"/>
          <w:sz w:val="20"/>
          <w:szCs w:val="20"/>
        </w:rPr>
        <w:t>as particularly evident</w:t>
      </w:r>
      <w:r w:rsidR="00461F40">
        <w:rPr>
          <w:rFonts w:ascii="Arial" w:eastAsia="Arial" w:hAnsi="Arial" w:cs="Arial"/>
          <w:sz w:val="20"/>
          <w:szCs w:val="20"/>
        </w:rPr>
        <w:t xml:space="preserve"> in the paediatric setting.</w:t>
      </w:r>
    </w:p>
    <w:p w:rsidR="006F2D3D" w:rsidRPr="00153ECD" w:rsidRDefault="006F2D3D" w:rsidP="00EE672C">
      <w:pPr>
        <w:spacing w:after="0" w:line="480" w:lineRule="auto"/>
        <w:rPr>
          <w:rFonts w:ascii="Arial" w:hAnsi="Arial" w:cs="Arial"/>
          <w:sz w:val="20"/>
          <w:szCs w:val="20"/>
        </w:rPr>
      </w:pPr>
    </w:p>
    <w:p w:rsidR="006F2D3D" w:rsidRPr="00153ECD" w:rsidRDefault="006F2D3D" w:rsidP="00EE672C">
      <w:pPr>
        <w:spacing w:after="0" w:line="480" w:lineRule="auto"/>
        <w:rPr>
          <w:rFonts w:ascii="Arial" w:eastAsia="Times New Roman" w:hAnsi="Arial" w:cs="Arial"/>
          <w:sz w:val="20"/>
          <w:szCs w:val="20"/>
        </w:rPr>
      </w:pPr>
      <w:r w:rsidRPr="00153ECD">
        <w:rPr>
          <w:rFonts w:ascii="Arial" w:eastAsia="Arial" w:hAnsi="Arial" w:cs="Arial"/>
          <w:sz w:val="20"/>
          <w:szCs w:val="20"/>
        </w:rPr>
        <w:t>Risks refer</w:t>
      </w:r>
      <w:r w:rsidR="003A70E0" w:rsidRPr="00153ECD">
        <w:rPr>
          <w:rFonts w:ascii="Arial" w:eastAsia="Arial" w:hAnsi="Arial" w:cs="Arial"/>
          <w:sz w:val="20"/>
          <w:szCs w:val="20"/>
        </w:rPr>
        <w:t>red</w:t>
      </w:r>
      <w:r w:rsidRPr="00153ECD">
        <w:rPr>
          <w:rFonts w:ascii="Arial" w:eastAsia="Arial" w:hAnsi="Arial" w:cs="Arial"/>
          <w:sz w:val="20"/>
          <w:szCs w:val="20"/>
        </w:rPr>
        <w:t xml:space="preserve"> to the potential side e</w:t>
      </w:r>
      <w:r w:rsidR="00461F40">
        <w:rPr>
          <w:rFonts w:ascii="Arial" w:eastAsia="Arial" w:hAnsi="Arial" w:cs="Arial"/>
          <w:sz w:val="20"/>
          <w:szCs w:val="20"/>
        </w:rPr>
        <w:t>ffects and product</w:t>
      </w:r>
      <w:r w:rsidR="00217DA9" w:rsidRPr="00153ECD">
        <w:rPr>
          <w:rFonts w:ascii="Arial" w:eastAsia="Arial" w:hAnsi="Arial" w:cs="Arial"/>
          <w:sz w:val="20"/>
          <w:szCs w:val="20"/>
        </w:rPr>
        <w:t xml:space="preserve"> </w:t>
      </w:r>
      <w:r w:rsidRPr="00153ECD">
        <w:rPr>
          <w:rFonts w:ascii="Arial" w:eastAsia="Arial" w:hAnsi="Arial" w:cs="Arial"/>
          <w:sz w:val="20"/>
          <w:szCs w:val="20"/>
        </w:rPr>
        <w:t xml:space="preserve">preparation.  </w:t>
      </w:r>
      <w:r w:rsidR="0018121F" w:rsidRPr="00153ECD">
        <w:rPr>
          <w:rFonts w:ascii="Arial" w:eastAsia="Arial" w:hAnsi="Arial" w:cs="Arial"/>
          <w:sz w:val="20"/>
          <w:szCs w:val="20"/>
        </w:rPr>
        <w:t xml:space="preserve">The need to report </w:t>
      </w:r>
      <w:r w:rsidRPr="00153ECD">
        <w:rPr>
          <w:rFonts w:ascii="Arial" w:eastAsia="Arial" w:hAnsi="Arial" w:cs="Arial"/>
          <w:sz w:val="20"/>
          <w:szCs w:val="20"/>
        </w:rPr>
        <w:t>any adverse drug reactions was rei</w:t>
      </w:r>
      <w:r w:rsidR="00897052" w:rsidRPr="00153ECD">
        <w:rPr>
          <w:rFonts w:ascii="Arial" w:eastAsia="Arial" w:hAnsi="Arial" w:cs="Arial"/>
          <w:sz w:val="20"/>
          <w:szCs w:val="20"/>
        </w:rPr>
        <w:t>nforced, often with</w:t>
      </w:r>
      <w:r w:rsidRPr="00153ECD">
        <w:rPr>
          <w:rFonts w:ascii="Arial" w:eastAsia="Arial" w:hAnsi="Arial" w:cs="Arial"/>
          <w:sz w:val="20"/>
          <w:szCs w:val="20"/>
        </w:rPr>
        <w:t xml:space="preserve"> reference to the Yellow Card Scheme</w:t>
      </w:r>
      <w:r w:rsidR="005E26BE" w:rsidRPr="00153ECD">
        <w:rPr>
          <w:rFonts w:ascii="Arial" w:eastAsia="Arial" w:hAnsi="Arial" w:cs="Arial"/>
          <w:sz w:val="20"/>
          <w:szCs w:val="20"/>
        </w:rPr>
        <w:t xml:space="preserv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"197ms17ita", "citationItems" : [ { "id" : "ITEM-1", "itemData" : { "URL" : "https://yellowcard.mhra.gov.uk/the-yellow-card-scheme/", "author" : [ { "dropping-particle" : "", "family" : "Medicines and Healthcare Products Regulatory Agency", "given" : "", "non-dropping-particle" : "", "parse-names" : false, "suffix" : "" } ], "id" : "ITEM-1", "issued" : { "date-parts" : [ [ "2016", "11", "21" ] ] }, "title" : "Yellow Card Scheme - MHRA", "type" : "webpage" }, "uris" : [ "http://www.mendeley.com/documents/?uuid=acda53d1-9a14-4f52-9e05-cff92a2f7aa4" ] } ], "mendeley" : { "formattedCitation" : "[15]", "plainTextFormattedCitation" : "[15]", "previouslyFormattedCitation" : "[15]" }, "properties" : { "formattedCitation" : "[12]", "noteIndex" : 0, "plainCitation" : "[12]"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[15]</w:t>
      </w:r>
      <w:r w:rsidR="004C3C88" w:rsidRPr="00153ECD">
        <w:rPr>
          <w:rFonts w:ascii="Arial" w:eastAsia="Arial" w:hAnsi="Arial" w:cs="Arial"/>
          <w:sz w:val="20"/>
          <w:szCs w:val="20"/>
        </w:rPr>
        <w:fldChar w:fldCharType="end"/>
      </w:r>
      <w:r w:rsidRPr="00153ECD">
        <w:rPr>
          <w:rFonts w:ascii="Arial" w:eastAsia="Arial" w:hAnsi="Arial" w:cs="Arial"/>
          <w:sz w:val="20"/>
          <w:szCs w:val="20"/>
        </w:rPr>
        <w:t xml:space="preserve">.  Additional </w:t>
      </w:r>
      <w:r w:rsidRPr="00153ECD">
        <w:rPr>
          <w:rFonts w:ascii="Arial" w:eastAsia="Arial" w:hAnsi="Arial" w:cs="Arial"/>
          <w:sz w:val="20"/>
          <w:szCs w:val="20"/>
        </w:rPr>
        <w:lastRenderedPageBreak/>
        <w:t>internal reporting was also required</w:t>
      </w:r>
      <w:r w:rsidR="007B6E21" w:rsidRPr="00153ECD">
        <w:rPr>
          <w:rFonts w:ascii="Arial" w:eastAsia="Arial" w:hAnsi="Arial" w:cs="Arial"/>
          <w:sz w:val="20"/>
          <w:szCs w:val="20"/>
        </w:rPr>
        <w:t xml:space="preserve"> by some of guidelines</w:t>
      </w:r>
      <w:r w:rsidR="00461F40">
        <w:rPr>
          <w:rFonts w:ascii="Arial" w:eastAsia="Arial" w:hAnsi="Arial" w:cs="Arial"/>
          <w:sz w:val="20"/>
          <w:szCs w:val="20"/>
        </w:rPr>
        <w:t>,</w:t>
      </w:r>
      <w:r w:rsidRPr="00153ECD">
        <w:rPr>
          <w:rFonts w:ascii="Arial" w:eastAsia="Arial" w:hAnsi="Arial" w:cs="Arial"/>
          <w:sz w:val="20"/>
          <w:szCs w:val="20"/>
        </w:rPr>
        <w:t xml:space="preserve"> making reference to contacting pharmacy departments where unlicensed medicines were manufactured on-site.  Some also referred to the need to report product defects and medication errors.</w:t>
      </w:r>
    </w:p>
    <w:p w:rsidR="006F2D3D" w:rsidRPr="00153ECD" w:rsidRDefault="006F2D3D" w:rsidP="00EE672C">
      <w:pPr>
        <w:spacing w:after="0" w:line="480" w:lineRule="auto"/>
        <w:rPr>
          <w:rFonts w:ascii="Arial" w:eastAsia="Times New Roman" w:hAnsi="Arial" w:cs="Arial"/>
          <w:sz w:val="20"/>
          <w:szCs w:val="20"/>
        </w:rPr>
      </w:pPr>
    </w:p>
    <w:p w:rsidR="006F2D3D" w:rsidRPr="00153ECD" w:rsidRDefault="00FA30FE" w:rsidP="00EE672C">
      <w:pPr>
        <w:spacing w:after="0" w:line="480" w:lineRule="auto"/>
        <w:rPr>
          <w:rFonts w:ascii="Arial" w:eastAsia="Arial" w:hAnsi="Arial" w:cs="Arial"/>
          <w:sz w:val="20"/>
          <w:szCs w:val="20"/>
        </w:rPr>
      </w:pPr>
      <w:r w:rsidRPr="00153ECD">
        <w:rPr>
          <w:rFonts w:ascii="Arial" w:eastAsia="Arial" w:hAnsi="Arial" w:cs="Arial"/>
          <w:sz w:val="20"/>
          <w:szCs w:val="20"/>
        </w:rPr>
        <w:t>T</w:t>
      </w:r>
      <w:r w:rsidR="00116565" w:rsidRPr="00153ECD">
        <w:rPr>
          <w:rFonts w:ascii="Arial" w:eastAsia="Arial" w:hAnsi="Arial" w:cs="Arial"/>
          <w:sz w:val="20"/>
          <w:szCs w:val="20"/>
        </w:rPr>
        <w:t>here was overall</w:t>
      </w:r>
      <w:r w:rsidR="006F2D3D" w:rsidRPr="00153ECD">
        <w:rPr>
          <w:rFonts w:ascii="Arial" w:eastAsia="Arial" w:hAnsi="Arial" w:cs="Arial"/>
          <w:sz w:val="20"/>
          <w:szCs w:val="20"/>
        </w:rPr>
        <w:t xml:space="preserve"> agreement </w:t>
      </w:r>
      <w:r w:rsidR="00461F40">
        <w:rPr>
          <w:rFonts w:ascii="Arial" w:eastAsia="Arial" w:hAnsi="Arial" w:cs="Arial"/>
          <w:sz w:val="20"/>
          <w:szCs w:val="20"/>
        </w:rPr>
        <w:t xml:space="preserve">across documents </w:t>
      </w:r>
      <w:r w:rsidR="006F2D3D" w:rsidRPr="00153ECD">
        <w:rPr>
          <w:rFonts w:ascii="Arial" w:eastAsia="Arial" w:hAnsi="Arial" w:cs="Arial"/>
          <w:sz w:val="20"/>
          <w:szCs w:val="20"/>
        </w:rPr>
        <w:t xml:space="preserve">that an unlicensed medicine generally posed a greater risk to patient safety than a licensed medicine.  Some described strategies for the risk assessment of all unlicensed medicines in order to identify and minimise some of the associated risks.  </w:t>
      </w:r>
      <w:r w:rsidR="004A78B7" w:rsidRPr="00153ECD">
        <w:rPr>
          <w:rFonts w:ascii="Arial" w:eastAsia="Arial" w:hAnsi="Arial" w:cs="Arial"/>
          <w:sz w:val="20"/>
          <w:szCs w:val="20"/>
        </w:rPr>
        <w:t>There were varying levels of detail</w:t>
      </w:r>
      <w:r w:rsidR="006F2D3D" w:rsidRPr="00153ECD">
        <w:rPr>
          <w:rFonts w:ascii="Arial" w:eastAsia="Arial" w:hAnsi="Arial" w:cs="Arial"/>
          <w:sz w:val="20"/>
          <w:szCs w:val="20"/>
        </w:rPr>
        <w:t>; some incorporated risk assessment docum</w:t>
      </w:r>
      <w:r w:rsidR="004A78B7" w:rsidRPr="00153ECD">
        <w:rPr>
          <w:rFonts w:ascii="Arial" w:eastAsia="Arial" w:hAnsi="Arial" w:cs="Arial"/>
          <w:sz w:val="20"/>
          <w:szCs w:val="20"/>
        </w:rPr>
        <w:t xml:space="preserve">entation, others </w:t>
      </w:r>
      <w:r w:rsidR="006F2D3D" w:rsidRPr="00153ECD">
        <w:rPr>
          <w:rFonts w:ascii="Arial" w:eastAsia="Arial" w:hAnsi="Arial" w:cs="Arial"/>
          <w:sz w:val="20"/>
          <w:szCs w:val="20"/>
        </w:rPr>
        <w:t xml:space="preserve">included strategies for </w:t>
      </w:r>
      <w:r w:rsidR="00116565" w:rsidRPr="00153ECD">
        <w:rPr>
          <w:rFonts w:ascii="Arial" w:eastAsia="Arial" w:hAnsi="Arial" w:cs="Arial"/>
          <w:sz w:val="20"/>
          <w:szCs w:val="20"/>
        </w:rPr>
        <w:t>mitigating the identified risks</w:t>
      </w:r>
      <w:r w:rsidR="00B9509A">
        <w:rPr>
          <w:rFonts w:ascii="Arial" w:eastAsia="Arial" w:hAnsi="Arial" w:cs="Arial"/>
          <w:sz w:val="20"/>
          <w:szCs w:val="20"/>
        </w:rPr>
        <w:t xml:space="preserve">. There is a list of considerations that were described in the documentation as part of risk assessment for unlicensed medicines in Table </w:t>
      </w:r>
      <w:r w:rsidR="00D86DBC">
        <w:rPr>
          <w:rFonts w:ascii="Arial" w:eastAsia="Arial" w:hAnsi="Arial" w:cs="Arial"/>
          <w:sz w:val="20"/>
          <w:szCs w:val="20"/>
        </w:rPr>
        <w:t>7</w:t>
      </w:r>
      <w:r w:rsidR="00B9509A">
        <w:rPr>
          <w:rFonts w:ascii="Arial" w:eastAsia="Arial" w:hAnsi="Arial" w:cs="Arial"/>
          <w:sz w:val="20"/>
          <w:szCs w:val="20"/>
        </w:rPr>
        <w:t>.</w:t>
      </w:r>
    </w:p>
    <w:p w:rsidR="006F2D3D" w:rsidRPr="00153ECD" w:rsidRDefault="006F2D3D" w:rsidP="00EE672C">
      <w:pPr>
        <w:spacing w:after="0" w:line="480" w:lineRule="auto"/>
        <w:rPr>
          <w:rFonts w:ascii="Arial" w:eastAsia="Arial" w:hAnsi="Arial" w:cs="Arial"/>
          <w:sz w:val="20"/>
          <w:szCs w:val="20"/>
        </w:rPr>
      </w:pPr>
    </w:p>
    <w:p w:rsidR="006F2D3D" w:rsidRPr="00153ECD" w:rsidRDefault="00217DA9" w:rsidP="00EE672C">
      <w:pPr>
        <w:spacing w:after="0" w:line="480" w:lineRule="auto"/>
        <w:rPr>
          <w:rFonts w:ascii="Arial" w:eastAsia="Times New Roman" w:hAnsi="Arial" w:cs="Arial"/>
          <w:sz w:val="20"/>
          <w:szCs w:val="20"/>
          <w:u w:val="single"/>
        </w:rPr>
      </w:pPr>
      <w:r w:rsidRPr="00153ECD">
        <w:rPr>
          <w:rFonts w:ascii="Arial" w:eastAsia="Arial" w:hAnsi="Arial" w:cs="Arial"/>
          <w:sz w:val="20"/>
          <w:szCs w:val="20"/>
          <w:u w:val="single"/>
        </w:rPr>
        <w:t xml:space="preserve">Controlling use </w:t>
      </w:r>
    </w:p>
    <w:p w:rsidR="006F2D3D" w:rsidRPr="00153ECD" w:rsidRDefault="00217DA9" w:rsidP="00EE672C">
      <w:pPr>
        <w:spacing w:after="0" w:line="480" w:lineRule="auto"/>
        <w:rPr>
          <w:rFonts w:ascii="Arial" w:eastAsia="Times New Roman" w:hAnsi="Arial" w:cs="Arial"/>
          <w:sz w:val="20"/>
          <w:szCs w:val="20"/>
        </w:rPr>
      </w:pPr>
      <w:r w:rsidRPr="00153ECD">
        <w:rPr>
          <w:rFonts w:ascii="Arial" w:eastAsia="Arial" w:hAnsi="Arial" w:cs="Arial"/>
          <w:sz w:val="20"/>
          <w:szCs w:val="20"/>
        </w:rPr>
        <w:t xml:space="preserve">Restricting </w:t>
      </w:r>
      <w:r w:rsidR="006F2D3D" w:rsidRPr="00153ECD">
        <w:rPr>
          <w:rFonts w:ascii="Arial" w:eastAsia="Arial" w:hAnsi="Arial" w:cs="Arial"/>
          <w:sz w:val="20"/>
          <w:szCs w:val="20"/>
        </w:rPr>
        <w:t xml:space="preserve">use </w:t>
      </w:r>
      <w:r w:rsidRPr="00153ECD">
        <w:rPr>
          <w:rFonts w:ascii="Arial" w:eastAsia="Arial" w:hAnsi="Arial" w:cs="Arial"/>
          <w:sz w:val="20"/>
          <w:szCs w:val="20"/>
        </w:rPr>
        <w:t xml:space="preserve">of ULMs was described in many cases by </w:t>
      </w:r>
      <w:r w:rsidR="004A78B7" w:rsidRPr="00153ECD">
        <w:rPr>
          <w:rFonts w:ascii="Arial" w:eastAsia="Arial" w:hAnsi="Arial" w:cs="Arial"/>
          <w:sz w:val="20"/>
          <w:szCs w:val="20"/>
        </w:rPr>
        <w:t xml:space="preserve">limiting </w:t>
      </w:r>
      <w:r w:rsidRPr="00153ECD">
        <w:rPr>
          <w:rFonts w:ascii="Arial" w:eastAsia="Arial" w:hAnsi="Arial" w:cs="Arial"/>
          <w:sz w:val="20"/>
          <w:szCs w:val="20"/>
        </w:rPr>
        <w:t xml:space="preserve">product use </w:t>
      </w:r>
      <w:r w:rsidR="006F2D3D" w:rsidRPr="00153ECD">
        <w:rPr>
          <w:rFonts w:ascii="Arial" w:eastAsia="Arial" w:hAnsi="Arial" w:cs="Arial"/>
          <w:sz w:val="20"/>
          <w:szCs w:val="20"/>
        </w:rPr>
        <w:t xml:space="preserve">to meet individual patient needs, </w:t>
      </w:r>
      <w:r w:rsidRPr="00153ECD">
        <w:rPr>
          <w:rFonts w:ascii="Arial" w:eastAsia="Arial" w:hAnsi="Arial" w:cs="Arial"/>
          <w:sz w:val="20"/>
          <w:szCs w:val="20"/>
        </w:rPr>
        <w:t xml:space="preserve">for </w:t>
      </w:r>
      <w:r w:rsidR="006F2D3D" w:rsidRPr="00153ECD">
        <w:rPr>
          <w:rFonts w:ascii="Arial" w:eastAsia="Arial" w:hAnsi="Arial" w:cs="Arial"/>
          <w:sz w:val="20"/>
          <w:szCs w:val="20"/>
        </w:rPr>
        <w:t>example</w:t>
      </w:r>
      <w:r w:rsidRPr="00153ECD">
        <w:rPr>
          <w:rFonts w:ascii="Arial" w:eastAsia="Arial" w:hAnsi="Arial" w:cs="Arial"/>
          <w:sz w:val="20"/>
          <w:szCs w:val="20"/>
        </w:rPr>
        <w:t xml:space="preserve"> </w:t>
      </w:r>
      <w:r w:rsidR="006F2D3D" w:rsidRPr="00153ECD">
        <w:rPr>
          <w:rFonts w:ascii="Arial" w:eastAsia="Arial" w:hAnsi="Arial" w:cs="Arial"/>
          <w:sz w:val="20"/>
          <w:szCs w:val="20"/>
        </w:rPr>
        <w:t>allergies to excipients in licensed products.</w:t>
      </w:r>
      <w:r w:rsidR="00E83FCD">
        <w:rPr>
          <w:rFonts w:ascii="Arial" w:eastAsia="Arial" w:hAnsi="Arial" w:cs="Arial"/>
          <w:sz w:val="20"/>
          <w:szCs w:val="20"/>
        </w:rPr>
        <w:t xml:space="preserve"> </w:t>
      </w:r>
    </w:p>
    <w:p w:rsidR="006F2D3D" w:rsidRPr="00153ECD" w:rsidRDefault="00116565" w:rsidP="00EE672C">
      <w:pPr>
        <w:spacing w:after="0" w:line="480" w:lineRule="auto"/>
        <w:rPr>
          <w:rFonts w:ascii="Arial" w:eastAsia="Times New Roman" w:hAnsi="Arial" w:cs="Arial"/>
          <w:sz w:val="20"/>
          <w:szCs w:val="20"/>
        </w:rPr>
      </w:pPr>
      <w:r w:rsidRPr="00153ECD">
        <w:rPr>
          <w:rFonts w:ascii="Arial" w:eastAsia="Arial" w:hAnsi="Arial" w:cs="Arial"/>
          <w:sz w:val="20"/>
          <w:szCs w:val="20"/>
        </w:rPr>
        <w:t>A requirement for o</w:t>
      </w:r>
      <w:r w:rsidR="006F2D3D" w:rsidRPr="00153ECD">
        <w:rPr>
          <w:rFonts w:ascii="Arial" w:eastAsia="Arial" w:hAnsi="Arial" w:cs="Arial"/>
          <w:sz w:val="20"/>
          <w:szCs w:val="20"/>
        </w:rPr>
        <w:t>rganisational approval</w:t>
      </w:r>
      <w:r w:rsidRPr="00153ECD">
        <w:rPr>
          <w:rFonts w:ascii="Arial" w:eastAsia="Arial" w:hAnsi="Arial" w:cs="Arial"/>
          <w:sz w:val="20"/>
          <w:szCs w:val="20"/>
        </w:rPr>
        <w:t xml:space="preserve"> was evident</w:t>
      </w:r>
      <w:r w:rsidR="008E5A96" w:rsidRPr="00153ECD">
        <w:rPr>
          <w:rFonts w:ascii="Arial" w:eastAsia="Arial" w:hAnsi="Arial" w:cs="Arial"/>
          <w:sz w:val="20"/>
          <w:szCs w:val="20"/>
        </w:rPr>
        <w:t xml:space="preserve"> mainly within the secondary</w:t>
      </w:r>
      <w:r w:rsidR="00A82900" w:rsidRPr="00153ECD">
        <w:rPr>
          <w:rFonts w:ascii="Arial" w:eastAsia="Arial" w:hAnsi="Arial" w:cs="Arial"/>
          <w:sz w:val="20"/>
          <w:szCs w:val="20"/>
        </w:rPr>
        <w:t xml:space="preserve"> or tertiary</w:t>
      </w:r>
      <w:r w:rsidR="008E5A96" w:rsidRPr="00153ECD">
        <w:rPr>
          <w:rFonts w:ascii="Arial" w:eastAsia="Arial" w:hAnsi="Arial" w:cs="Arial"/>
          <w:sz w:val="20"/>
          <w:szCs w:val="20"/>
        </w:rPr>
        <w:t xml:space="preserve"> care setting prior to the use of an ULM</w:t>
      </w:r>
      <w:r w:rsidR="006F2D3D" w:rsidRPr="00153ECD">
        <w:rPr>
          <w:rFonts w:ascii="Arial" w:eastAsia="Arial" w:hAnsi="Arial" w:cs="Arial"/>
          <w:sz w:val="20"/>
          <w:szCs w:val="20"/>
        </w:rPr>
        <w:t>. Some professional bodies</w:t>
      </w:r>
      <w:r w:rsidR="008027BF" w:rsidRPr="00153ECD">
        <w:rPr>
          <w:rFonts w:ascii="Arial" w:eastAsia="Arial" w:hAnsi="Arial" w:cs="Arial"/>
          <w:sz w:val="20"/>
          <w:szCs w:val="20"/>
        </w:rPr>
        <w:t xml:space="preserve"> such </w:t>
      </w:r>
      <w:r w:rsidR="006D1805" w:rsidRPr="00153ECD">
        <w:rPr>
          <w:rFonts w:ascii="Arial" w:eastAsia="Arial" w:hAnsi="Arial" w:cs="Arial"/>
          <w:sz w:val="20"/>
          <w:szCs w:val="20"/>
        </w:rPr>
        <w:t xml:space="preserve">as </w:t>
      </w:r>
      <w:r w:rsidR="008027BF" w:rsidRPr="00153ECD">
        <w:rPr>
          <w:rFonts w:ascii="Arial" w:eastAsia="Arial" w:hAnsi="Arial" w:cs="Arial"/>
          <w:sz w:val="20"/>
          <w:szCs w:val="20"/>
        </w:rPr>
        <w:t>the British Association of Dermatologists</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"gg84ccc40", "citationItems" : [ { "id" : "ITEM-1", "itemData" : { "URL" : "http://www.bad.org.uk/shared/get-file.ashx?itemtype=document&amp;id=1848", "author" : [ { "dropping-particle" : "", "family" : "Buckley", "given" : "Diedre", "non-dropping-particle" : "", "parse-names" : false, "suffix" : "" }, { "dropping-particle" : "", "family" : "Root", "given" : "Tim", "non-dropping-particle" : "", "parse-names" : false, "suffix" : "" }, { "dropping-particle" : "", "family" : "Bath", "given" : "Simon", "non-dropping-particle" : "", "parse-names" : false, "suffix" : "" } ], "id" : "ITEM-1", "issued" : { "date-parts" : [ [ "2014", "3", "24" ] ] }, "title" : "Specials recommended by the British Association of Dermatologists for skin disease", "type" : "webpage" }, "uris" : [ "http://www.mendeley.com/documents/?uuid=d3816288-5276-4a57-84bc-f68a5950eb91" ] } ], "mendeley" : { "formattedCitation" : "[16]", "plainTextFormattedCitation" : "[16]", "previouslyFormattedCitation" : "[16]" }, "properties" : { "formattedCitation" : "[13]", "noteIndex" : 0, "plainCitation" : "[13]"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[16]</w:t>
      </w:r>
      <w:r w:rsidR="004C3C88" w:rsidRPr="00153ECD">
        <w:rPr>
          <w:rFonts w:ascii="Arial" w:eastAsia="Arial" w:hAnsi="Arial" w:cs="Arial"/>
          <w:sz w:val="20"/>
          <w:szCs w:val="20"/>
        </w:rPr>
        <w:fldChar w:fldCharType="end"/>
      </w:r>
      <w:r w:rsidR="008027BF" w:rsidRPr="00153ECD">
        <w:rPr>
          <w:rFonts w:ascii="Arial" w:eastAsia="Arial" w:hAnsi="Arial" w:cs="Arial"/>
          <w:sz w:val="20"/>
          <w:szCs w:val="20"/>
        </w:rPr>
        <w:t xml:space="preserve"> </w:t>
      </w:r>
      <w:r w:rsidR="00461F40">
        <w:rPr>
          <w:rFonts w:ascii="Arial" w:eastAsia="Arial" w:hAnsi="Arial" w:cs="Arial"/>
          <w:sz w:val="20"/>
          <w:szCs w:val="20"/>
        </w:rPr>
        <w:t xml:space="preserve">have </w:t>
      </w:r>
      <w:r w:rsidR="006F2D3D" w:rsidRPr="00153ECD">
        <w:rPr>
          <w:rFonts w:ascii="Arial" w:eastAsia="Arial" w:hAnsi="Arial" w:cs="Arial"/>
          <w:sz w:val="20"/>
          <w:szCs w:val="20"/>
        </w:rPr>
        <w:t xml:space="preserve">published a list of </w:t>
      </w:r>
      <w:r w:rsidR="00461F40">
        <w:rPr>
          <w:rFonts w:ascii="Arial" w:eastAsia="Arial" w:hAnsi="Arial" w:cs="Arial"/>
          <w:sz w:val="20"/>
          <w:szCs w:val="20"/>
        </w:rPr>
        <w:t>recommended</w:t>
      </w:r>
      <w:r w:rsidR="008027BF" w:rsidRPr="00153ECD">
        <w:rPr>
          <w:rFonts w:ascii="Arial" w:eastAsia="Arial" w:hAnsi="Arial" w:cs="Arial"/>
          <w:sz w:val="20"/>
          <w:szCs w:val="20"/>
        </w:rPr>
        <w:t xml:space="preserve"> ULMs and </w:t>
      </w:r>
      <w:r w:rsidR="006F2D3D" w:rsidRPr="00153ECD">
        <w:rPr>
          <w:rFonts w:ascii="Arial" w:eastAsia="Arial" w:hAnsi="Arial" w:cs="Arial"/>
          <w:sz w:val="20"/>
          <w:szCs w:val="20"/>
        </w:rPr>
        <w:t>their associated uses</w:t>
      </w:r>
      <w:r w:rsidR="008027BF" w:rsidRPr="00153ECD">
        <w:rPr>
          <w:rFonts w:ascii="Arial" w:eastAsia="Arial" w:hAnsi="Arial" w:cs="Arial"/>
          <w:sz w:val="20"/>
          <w:szCs w:val="20"/>
        </w:rPr>
        <w:t>.</w:t>
      </w:r>
      <w:r w:rsidR="006F2D3D" w:rsidRPr="00153ECD">
        <w:rPr>
          <w:rFonts w:ascii="Arial" w:eastAsia="Arial" w:hAnsi="Arial" w:cs="Arial"/>
          <w:sz w:val="20"/>
          <w:szCs w:val="20"/>
        </w:rPr>
        <w:t xml:space="preserve"> </w:t>
      </w:r>
    </w:p>
    <w:p w:rsidR="006F2D3D" w:rsidRPr="00153ECD" w:rsidRDefault="006F2D3D" w:rsidP="00EE672C">
      <w:pPr>
        <w:spacing w:after="0" w:line="480" w:lineRule="auto"/>
        <w:rPr>
          <w:rFonts w:ascii="Arial" w:eastAsia="Times New Roman" w:hAnsi="Arial" w:cs="Arial"/>
          <w:sz w:val="20"/>
          <w:szCs w:val="20"/>
        </w:rPr>
      </w:pPr>
    </w:p>
    <w:p w:rsidR="006F2D3D" w:rsidRPr="00153ECD" w:rsidRDefault="006F2D3D" w:rsidP="00EE672C">
      <w:pPr>
        <w:spacing w:after="0" w:line="480" w:lineRule="auto"/>
        <w:rPr>
          <w:rFonts w:ascii="Arial" w:eastAsia="Times New Roman" w:hAnsi="Arial" w:cs="Arial"/>
          <w:sz w:val="20"/>
          <w:szCs w:val="20"/>
        </w:rPr>
      </w:pPr>
      <w:r w:rsidRPr="00153ECD">
        <w:rPr>
          <w:rFonts w:ascii="Arial" w:eastAsia="Arial" w:hAnsi="Arial" w:cs="Arial"/>
          <w:sz w:val="20"/>
          <w:szCs w:val="20"/>
        </w:rPr>
        <w:t xml:space="preserve">Prescriber constraints usually related to seniority, limiting initiation to consultant grades rather than junior medical staff. Some </w:t>
      </w:r>
      <w:r w:rsidR="005E26BE" w:rsidRPr="00153ECD">
        <w:rPr>
          <w:rFonts w:ascii="Arial" w:eastAsia="Arial" w:hAnsi="Arial" w:cs="Arial"/>
          <w:sz w:val="20"/>
          <w:szCs w:val="20"/>
        </w:rPr>
        <w:t xml:space="preserve">guidelines indicated </w:t>
      </w:r>
      <w:r w:rsidRPr="00153ECD">
        <w:rPr>
          <w:rFonts w:ascii="Arial" w:eastAsia="Arial" w:hAnsi="Arial" w:cs="Arial"/>
          <w:sz w:val="20"/>
          <w:szCs w:val="20"/>
        </w:rPr>
        <w:t>restricted prescribing to secondary</w:t>
      </w:r>
      <w:r w:rsidR="00A82900" w:rsidRPr="00153ECD">
        <w:rPr>
          <w:rFonts w:ascii="Arial" w:eastAsia="Arial" w:hAnsi="Arial" w:cs="Arial"/>
          <w:sz w:val="20"/>
          <w:szCs w:val="20"/>
        </w:rPr>
        <w:t xml:space="preserve"> or tertiary</w:t>
      </w:r>
      <w:r w:rsidRPr="00153ECD">
        <w:rPr>
          <w:rFonts w:ascii="Arial" w:eastAsia="Arial" w:hAnsi="Arial" w:cs="Arial"/>
          <w:sz w:val="20"/>
          <w:szCs w:val="20"/>
        </w:rPr>
        <w:t xml:space="preserve"> care, </w:t>
      </w:r>
      <w:r w:rsidR="00DC4265" w:rsidRPr="00153ECD">
        <w:rPr>
          <w:rFonts w:ascii="Arial" w:eastAsia="Arial" w:hAnsi="Arial" w:cs="Arial"/>
          <w:sz w:val="20"/>
          <w:szCs w:val="20"/>
        </w:rPr>
        <w:t>identifying</w:t>
      </w:r>
      <w:r w:rsidRPr="00153ECD">
        <w:rPr>
          <w:rFonts w:ascii="Arial" w:eastAsia="Arial" w:hAnsi="Arial" w:cs="Arial"/>
          <w:sz w:val="20"/>
          <w:szCs w:val="20"/>
        </w:rPr>
        <w:t xml:space="preserve"> </w:t>
      </w:r>
      <w:r w:rsidR="001500EE">
        <w:rPr>
          <w:rFonts w:ascii="Arial" w:eastAsia="Arial" w:hAnsi="Arial" w:cs="Arial"/>
          <w:sz w:val="20"/>
          <w:szCs w:val="20"/>
        </w:rPr>
        <w:t>some</w:t>
      </w:r>
      <w:r w:rsidR="008027BF" w:rsidRPr="00153ECD">
        <w:rPr>
          <w:rFonts w:ascii="Arial" w:eastAsia="Arial" w:hAnsi="Arial" w:cs="Arial"/>
          <w:sz w:val="20"/>
          <w:szCs w:val="20"/>
        </w:rPr>
        <w:t xml:space="preserve"> </w:t>
      </w:r>
      <w:r w:rsidR="00DC4265" w:rsidRPr="00153ECD">
        <w:rPr>
          <w:rFonts w:ascii="Arial" w:eastAsia="Arial" w:hAnsi="Arial" w:cs="Arial"/>
          <w:sz w:val="20"/>
          <w:szCs w:val="20"/>
        </w:rPr>
        <w:t>ULMs</w:t>
      </w:r>
      <w:r w:rsidRPr="00153ECD">
        <w:rPr>
          <w:rFonts w:ascii="Arial" w:eastAsia="Arial" w:hAnsi="Arial" w:cs="Arial"/>
          <w:sz w:val="20"/>
          <w:szCs w:val="20"/>
        </w:rPr>
        <w:t xml:space="preserve"> </w:t>
      </w:r>
      <w:r w:rsidR="008027BF" w:rsidRPr="00153ECD">
        <w:rPr>
          <w:rFonts w:ascii="Arial" w:eastAsia="Arial" w:hAnsi="Arial" w:cs="Arial"/>
          <w:sz w:val="20"/>
          <w:szCs w:val="20"/>
        </w:rPr>
        <w:t xml:space="preserve">as </w:t>
      </w:r>
      <w:r w:rsidRPr="00153ECD">
        <w:rPr>
          <w:rFonts w:ascii="Arial" w:eastAsia="Arial" w:hAnsi="Arial" w:cs="Arial"/>
          <w:sz w:val="20"/>
          <w:szCs w:val="20"/>
        </w:rPr>
        <w:t xml:space="preserve">unsuitable for transferring to primary care. </w:t>
      </w:r>
      <w:r w:rsidR="007B6E21" w:rsidRPr="00153ECD">
        <w:rPr>
          <w:rFonts w:ascii="Arial" w:eastAsia="Arial" w:hAnsi="Arial" w:cs="Arial"/>
          <w:sz w:val="20"/>
          <w:szCs w:val="20"/>
        </w:rPr>
        <w:t xml:space="preserve">Many documents described </w:t>
      </w:r>
      <w:r w:rsidR="0086008F">
        <w:rPr>
          <w:rFonts w:ascii="Arial" w:eastAsia="Arial" w:hAnsi="Arial" w:cs="Arial"/>
          <w:sz w:val="20"/>
          <w:szCs w:val="20"/>
        </w:rPr>
        <w:t xml:space="preserve">using </w:t>
      </w:r>
      <w:r w:rsidR="007B6E21" w:rsidRPr="00153ECD">
        <w:rPr>
          <w:rFonts w:ascii="Arial" w:eastAsia="Arial" w:hAnsi="Arial" w:cs="Arial"/>
          <w:sz w:val="20"/>
          <w:szCs w:val="20"/>
        </w:rPr>
        <w:t>a</w:t>
      </w:r>
      <w:r w:rsidR="005E26BE" w:rsidRPr="00153ECD">
        <w:rPr>
          <w:rFonts w:ascii="Arial" w:eastAsia="Arial" w:hAnsi="Arial" w:cs="Arial"/>
          <w:sz w:val="20"/>
          <w:szCs w:val="20"/>
        </w:rPr>
        <w:t>udit</w:t>
      </w:r>
      <w:r w:rsidR="0086008F">
        <w:rPr>
          <w:rFonts w:ascii="Arial" w:eastAsia="Arial" w:hAnsi="Arial" w:cs="Arial"/>
          <w:sz w:val="20"/>
          <w:szCs w:val="20"/>
        </w:rPr>
        <w:t>s</w:t>
      </w:r>
      <w:r w:rsidR="005E26BE" w:rsidRPr="00153ECD">
        <w:rPr>
          <w:rFonts w:ascii="Arial" w:eastAsia="Arial" w:hAnsi="Arial" w:cs="Arial"/>
          <w:sz w:val="20"/>
          <w:szCs w:val="20"/>
        </w:rPr>
        <w:t xml:space="preserve"> </w:t>
      </w:r>
      <w:r w:rsidR="0086008F">
        <w:rPr>
          <w:rFonts w:ascii="Arial" w:eastAsia="Arial" w:hAnsi="Arial" w:cs="Arial"/>
          <w:sz w:val="20"/>
          <w:szCs w:val="20"/>
        </w:rPr>
        <w:t xml:space="preserve">to ensure that unlicensed medicines were being used in accordance with the </w:t>
      </w:r>
      <w:r w:rsidR="005E26BE" w:rsidRPr="00153ECD">
        <w:rPr>
          <w:rFonts w:ascii="Arial" w:eastAsia="Arial" w:hAnsi="Arial" w:cs="Arial"/>
          <w:sz w:val="20"/>
          <w:szCs w:val="20"/>
        </w:rPr>
        <w:t>restrictions</w:t>
      </w:r>
      <w:r w:rsidR="0086008F">
        <w:rPr>
          <w:rFonts w:ascii="Arial" w:eastAsia="Arial" w:hAnsi="Arial" w:cs="Arial"/>
          <w:sz w:val="20"/>
          <w:szCs w:val="20"/>
        </w:rPr>
        <w:t xml:space="preserve"> laid out within the guidelines</w:t>
      </w:r>
      <w:r w:rsidR="005E26BE" w:rsidRPr="00153ECD">
        <w:rPr>
          <w:rFonts w:ascii="Arial" w:eastAsia="Arial" w:hAnsi="Arial" w:cs="Arial"/>
          <w:sz w:val="20"/>
          <w:szCs w:val="20"/>
        </w:rPr>
        <w:t xml:space="preserve"> </w:t>
      </w:r>
      <w:r w:rsidRPr="00153ECD">
        <w:rPr>
          <w:rFonts w:ascii="Arial" w:eastAsia="Arial" w:hAnsi="Arial" w:cs="Arial"/>
          <w:sz w:val="20"/>
          <w:szCs w:val="20"/>
        </w:rPr>
        <w:t xml:space="preserve">but overall </w:t>
      </w:r>
      <w:r w:rsidR="008027BF" w:rsidRPr="00153ECD">
        <w:rPr>
          <w:rFonts w:ascii="Arial" w:eastAsia="Arial" w:hAnsi="Arial" w:cs="Arial"/>
          <w:sz w:val="20"/>
          <w:szCs w:val="20"/>
        </w:rPr>
        <w:t xml:space="preserve">this was </w:t>
      </w:r>
      <w:r w:rsidRPr="00153ECD">
        <w:rPr>
          <w:rFonts w:ascii="Arial" w:eastAsia="Arial" w:hAnsi="Arial" w:cs="Arial"/>
          <w:sz w:val="20"/>
          <w:szCs w:val="20"/>
        </w:rPr>
        <w:t>not detailed.  Many referred to general auditing against the guideline rather than specifying any particular methods, measures or outcomes to be used – this was also supported by the AGREE II score within the Applicability domain.</w:t>
      </w:r>
    </w:p>
    <w:p w:rsidR="006F2D3D" w:rsidRPr="00153ECD" w:rsidRDefault="006F2D3D" w:rsidP="00EE672C">
      <w:pPr>
        <w:spacing w:after="0" w:line="480" w:lineRule="auto"/>
        <w:rPr>
          <w:rFonts w:ascii="Arial" w:eastAsia="Times New Roman" w:hAnsi="Arial" w:cs="Arial"/>
          <w:sz w:val="20"/>
          <w:szCs w:val="20"/>
        </w:rPr>
      </w:pPr>
    </w:p>
    <w:p w:rsidR="006F2D3D" w:rsidRPr="00153ECD" w:rsidRDefault="006F2D3D" w:rsidP="00EE672C">
      <w:pPr>
        <w:spacing w:after="0" w:line="480" w:lineRule="auto"/>
        <w:rPr>
          <w:rFonts w:ascii="Arial" w:eastAsia="Times New Roman" w:hAnsi="Arial" w:cs="Arial"/>
          <w:sz w:val="20"/>
          <w:szCs w:val="20"/>
        </w:rPr>
      </w:pPr>
      <w:r w:rsidRPr="00153ECD">
        <w:rPr>
          <w:rFonts w:ascii="Arial" w:eastAsia="Arial" w:hAnsi="Arial" w:cs="Arial"/>
          <w:sz w:val="20"/>
          <w:szCs w:val="20"/>
        </w:rPr>
        <w:t>Cost</w:t>
      </w:r>
      <w:r w:rsidR="007B6E21" w:rsidRPr="00153ECD">
        <w:rPr>
          <w:rFonts w:ascii="Arial" w:eastAsia="Arial" w:hAnsi="Arial" w:cs="Arial"/>
          <w:sz w:val="20"/>
          <w:szCs w:val="20"/>
        </w:rPr>
        <w:t>s</w:t>
      </w:r>
      <w:r w:rsidRPr="00153ECD">
        <w:rPr>
          <w:rFonts w:ascii="Arial" w:eastAsia="Arial" w:hAnsi="Arial" w:cs="Arial"/>
          <w:sz w:val="20"/>
          <w:szCs w:val="20"/>
        </w:rPr>
        <w:t xml:space="preserve"> </w:t>
      </w:r>
      <w:r w:rsidR="00116565" w:rsidRPr="00153ECD">
        <w:rPr>
          <w:rFonts w:ascii="Arial" w:eastAsia="Arial" w:hAnsi="Arial" w:cs="Arial"/>
          <w:sz w:val="20"/>
          <w:szCs w:val="20"/>
        </w:rPr>
        <w:t xml:space="preserve">relating to ULMs </w:t>
      </w:r>
      <w:r w:rsidRPr="00153ECD">
        <w:rPr>
          <w:rFonts w:ascii="Arial" w:eastAsia="Arial" w:hAnsi="Arial" w:cs="Arial"/>
          <w:sz w:val="20"/>
          <w:szCs w:val="20"/>
        </w:rPr>
        <w:t>w</w:t>
      </w:r>
      <w:r w:rsidR="007B6E21" w:rsidRPr="00153ECD">
        <w:rPr>
          <w:rFonts w:ascii="Arial" w:eastAsia="Arial" w:hAnsi="Arial" w:cs="Arial"/>
          <w:sz w:val="20"/>
          <w:szCs w:val="20"/>
        </w:rPr>
        <w:t>ere</w:t>
      </w:r>
      <w:r w:rsidRPr="00153ECD">
        <w:rPr>
          <w:rFonts w:ascii="Arial" w:eastAsia="Arial" w:hAnsi="Arial" w:cs="Arial"/>
          <w:sz w:val="20"/>
          <w:szCs w:val="20"/>
        </w:rPr>
        <w:t xml:space="preserve"> a common feature</w:t>
      </w:r>
      <w:r w:rsidR="007B6E21" w:rsidRPr="00153ECD">
        <w:rPr>
          <w:rFonts w:ascii="Arial" w:eastAsia="Arial" w:hAnsi="Arial" w:cs="Arial"/>
          <w:sz w:val="20"/>
          <w:szCs w:val="20"/>
        </w:rPr>
        <w:t xml:space="preserve"> of the documentation</w:t>
      </w:r>
      <w:r w:rsidRPr="00153ECD">
        <w:rPr>
          <w:rFonts w:ascii="Arial" w:eastAsia="Arial" w:hAnsi="Arial" w:cs="Arial"/>
          <w:sz w:val="20"/>
          <w:szCs w:val="20"/>
        </w:rPr>
        <w:t>. Some simply highlighted variability and the need for sourcing from cost-effective suppliers.  Others made specific recommendations stating the preferred suppliers and details of the costs</w:t>
      </w:r>
      <w:r w:rsidR="0086008F">
        <w:rPr>
          <w:rFonts w:ascii="Arial" w:eastAsia="Arial" w:hAnsi="Arial" w:cs="Arial"/>
          <w:sz w:val="20"/>
          <w:szCs w:val="20"/>
        </w:rPr>
        <w:t>.</w:t>
      </w:r>
      <w:r w:rsidRPr="00153ECD">
        <w:rPr>
          <w:rFonts w:ascii="Arial" w:eastAsia="Arial" w:hAnsi="Arial" w:cs="Arial"/>
          <w:sz w:val="20"/>
          <w:szCs w:val="20"/>
        </w:rPr>
        <w:t xml:space="preserve"> </w:t>
      </w:r>
      <w:r w:rsidR="0086008F">
        <w:rPr>
          <w:rFonts w:ascii="Arial" w:eastAsia="Arial" w:hAnsi="Arial" w:cs="Arial"/>
          <w:sz w:val="20"/>
          <w:szCs w:val="20"/>
        </w:rPr>
        <w:t>Some guidelines</w:t>
      </w:r>
      <w:r w:rsidRPr="00153ECD">
        <w:rPr>
          <w:rFonts w:ascii="Arial" w:eastAsia="Arial" w:hAnsi="Arial" w:cs="Arial"/>
          <w:sz w:val="20"/>
          <w:szCs w:val="20"/>
        </w:rPr>
        <w:t xml:space="preserve"> made reference to the preferred use of a pro</w:t>
      </w:r>
      <w:r w:rsidR="005E26BE" w:rsidRPr="00153ECD">
        <w:rPr>
          <w:rFonts w:ascii="Arial" w:eastAsia="Arial" w:hAnsi="Arial" w:cs="Arial"/>
          <w:sz w:val="20"/>
          <w:szCs w:val="20"/>
        </w:rPr>
        <w:t>duct included in the Drug Tariff</w:t>
      </w:r>
      <w:r w:rsidR="00153ECD">
        <w:rPr>
          <w:rFonts w:ascii="Arial" w:eastAsia="Arial" w:hAnsi="Arial" w:cs="Arial"/>
          <w:sz w:val="20"/>
          <w:szCs w:val="20"/>
        </w:rPr>
        <w:t xml:space="preserv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"2h0uhm9hu4", "citationItems" : [ { "id" : "ITEM-1", "itemData" : { "URL" : "http://www.nhsbsa.nhs.uk/PrescriptionServices/924.aspx", "id" : "ITEM-1", "issued" : { "date-parts" : [ [ "2012", "11", "21" ] ] }, "title" : "Prescription Services Payments and Pricing NHS Business Services Authority", "type" : "webpage" }, "uris" : [ "http://www.mendeley.com/documents/?uuid=5503cb54-b485-4fe7-ab0d-b24c3d89d218" ] } ], "mendeley" : { "formattedCitation" : "[17]", "plainTextFormattedCitation" : "[17]", "previouslyFormattedCitation" : "[17]" }, "properties" : { "formattedCitation" : "[14]", "noteIndex" : 0, "plainCitation" : "[14]"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[17]</w:t>
      </w:r>
      <w:r w:rsidR="004C3C88" w:rsidRPr="00153ECD">
        <w:rPr>
          <w:rFonts w:ascii="Arial" w:eastAsia="Arial" w:hAnsi="Arial" w:cs="Arial"/>
          <w:sz w:val="20"/>
          <w:szCs w:val="20"/>
        </w:rPr>
        <w:fldChar w:fldCharType="end"/>
      </w:r>
      <w:r w:rsidRPr="00153ECD">
        <w:rPr>
          <w:rFonts w:ascii="Arial" w:eastAsia="Arial" w:hAnsi="Arial" w:cs="Arial"/>
          <w:sz w:val="20"/>
          <w:szCs w:val="20"/>
        </w:rPr>
        <w:t xml:space="preserve"> Part VIIIB</w:t>
      </w:r>
      <w:r w:rsidR="0086008F">
        <w:rPr>
          <w:rFonts w:ascii="Arial" w:eastAsia="Arial" w:hAnsi="Arial" w:cs="Arial"/>
          <w:sz w:val="20"/>
          <w:szCs w:val="20"/>
        </w:rPr>
        <w:t xml:space="preserve">, a standardised </w:t>
      </w:r>
      <w:r w:rsidR="0086008F">
        <w:rPr>
          <w:rFonts w:ascii="Arial" w:eastAsia="Arial" w:hAnsi="Arial" w:cs="Arial"/>
          <w:sz w:val="20"/>
          <w:szCs w:val="20"/>
        </w:rPr>
        <w:lastRenderedPageBreak/>
        <w:t xml:space="preserve">price list which has been created for the reimbursement for a select number of unlicensed medicines dispensed in primary care in England and Wales </w:t>
      </w:r>
      <w:r w:rsidRPr="00153ECD">
        <w:rPr>
          <w:rFonts w:ascii="Arial" w:eastAsia="Arial" w:hAnsi="Arial" w:cs="Arial"/>
          <w:sz w:val="20"/>
          <w:szCs w:val="20"/>
        </w:rPr>
        <w:t xml:space="preserve">. </w:t>
      </w:r>
      <w:r w:rsidR="00116565" w:rsidRPr="00153ECD">
        <w:rPr>
          <w:rFonts w:ascii="Arial" w:eastAsia="Arial" w:hAnsi="Arial" w:cs="Arial"/>
          <w:sz w:val="20"/>
          <w:szCs w:val="20"/>
        </w:rPr>
        <w:t>A</w:t>
      </w:r>
      <w:r w:rsidR="008027BF" w:rsidRPr="00153ECD">
        <w:rPr>
          <w:rFonts w:ascii="Arial" w:eastAsia="Arial" w:hAnsi="Arial" w:cs="Arial"/>
          <w:sz w:val="20"/>
          <w:szCs w:val="20"/>
        </w:rPr>
        <w:t xml:space="preserve"> number also </w:t>
      </w:r>
      <w:r w:rsidRPr="00153ECD">
        <w:rPr>
          <w:rFonts w:ascii="Arial" w:eastAsia="Arial" w:hAnsi="Arial" w:cs="Arial"/>
          <w:sz w:val="20"/>
          <w:szCs w:val="20"/>
        </w:rPr>
        <w:t xml:space="preserve">made reference to ensuring that a licensed product was used in preference to an unlicensed one </w:t>
      </w:r>
      <w:r w:rsidR="00575142">
        <w:rPr>
          <w:rFonts w:ascii="Arial" w:eastAsia="Arial" w:hAnsi="Arial" w:cs="Arial"/>
          <w:sz w:val="20"/>
          <w:szCs w:val="20"/>
        </w:rPr>
        <w:t xml:space="preserve">even </w:t>
      </w:r>
      <w:r w:rsidRPr="00153ECD">
        <w:rPr>
          <w:rFonts w:ascii="Arial" w:eastAsia="Arial" w:hAnsi="Arial" w:cs="Arial"/>
          <w:sz w:val="20"/>
          <w:szCs w:val="20"/>
        </w:rPr>
        <w:t>where</w:t>
      </w:r>
      <w:r w:rsidR="00116565" w:rsidRPr="00153ECD">
        <w:rPr>
          <w:rFonts w:ascii="Arial" w:eastAsia="Arial" w:hAnsi="Arial" w:cs="Arial"/>
          <w:sz w:val="20"/>
          <w:szCs w:val="20"/>
        </w:rPr>
        <w:t xml:space="preserve"> the latter</w:t>
      </w:r>
      <w:r w:rsidRPr="00153ECD">
        <w:rPr>
          <w:rFonts w:ascii="Arial" w:eastAsia="Arial" w:hAnsi="Arial" w:cs="Arial"/>
          <w:sz w:val="20"/>
          <w:szCs w:val="20"/>
        </w:rPr>
        <w:t xml:space="preserve"> may be more expensive.</w:t>
      </w:r>
    </w:p>
    <w:p w:rsidR="00491A09" w:rsidRPr="00153ECD" w:rsidRDefault="00491A09" w:rsidP="00EE672C">
      <w:pPr>
        <w:spacing w:after="0" w:line="480" w:lineRule="auto"/>
        <w:rPr>
          <w:rFonts w:ascii="Arial" w:eastAsia="Arial" w:hAnsi="Arial" w:cs="Arial"/>
          <w:b/>
          <w:sz w:val="20"/>
          <w:szCs w:val="20"/>
        </w:rPr>
      </w:pPr>
    </w:p>
    <w:p w:rsidR="006F2D3D" w:rsidRPr="00153ECD" w:rsidRDefault="006F2D3D" w:rsidP="00EE672C">
      <w:pPr>
        <w:spacing w:after="0" w:line="480" w:lineRule="auto"/>
        <w:rPr>
          <w:rFonts w:ascii="Arial" w:eastAsia="Arial" w:hAnsi="Arial" w:cs="Arial"/>
          <w:b/>
          <w:sz w:val="20"/>
          <w:szCs w:val="20"/>
        </w:rPr>
      </w:pPr>
      <w:r w:rsidRPr="00153ECD">
        <w:rPr>
          <w:rFonts w:ascii="Arial" w:eastAsia="Arial" w:hAnsi="Arial" w:cs="Arial"/>
          <w:b/>
          <w:sz w:val="20"/>
          <w:szCs w:val="20"/>
        </w:rPr>
        <w:t>Discussion</w:t>
      </w:r>
    </w:p>
    <w:p w:rsidR="00491A09" w:rsidRDefault="001823D2" w:rsidP="00C30BF8">
      <w:pPr>
        <w:spacing w:after="0" w:line="480" w:lineRule="auto"/>
        <w:rPr>
          <w:rFonts w:ascii="Arial" w:eastAsia="Arial" w:hAnsi="Arial" w:cs="Arial"/>
          <w:sz w:val="20"/>
          <w:szCs w:val="20"/>
        </w:rPr>
      </w:pPr>
      <w:r>
        <w:rPr>
          <w:rFonts w:ascii="Arial" w:eastAsia="Arial" w:hAnsi="Arial" w:cs="Arial"/>
          <w:sz w:val="20"/>
          <w:szCs w:val="20"/>
        </w:rPr>
        <w:t xml:space="preserve">The scores from the AGREE II scoring found wide variability in the quality of guidelines for unlicensed medicines. We have also found that there is a </w:t>
      </w:r>
      <w:r w:rsidR="00C30BF8" w:rsidRPr="00153ECD">
        <w:rPr>
          <w:rFonts w:ascii="Arial" w:eastAsia="Arial" w:hAnsi="Arial" w:cs="Arial"/>
          <w:sz w:val="20"/>
          <w:szCs w:val="20"/>
        </w:rPr>
        <w:t xml:space="preserve">lack of consistency of content across </w:t>
      </w:r>
      <w:r w:rsidR="00116565" w:rsidRPr="00153ECD">
        <w:rPr>
          <w:rFonts w:ascii="Arial" w:eastAsia="Arial" w:hAnsi="Arial" w:cs="Arial"/>
          <w:sz w:val="20"/>
          <w:szCs w:val="20"/>
        </w:rPr>
        <w:t xml:space="preserve">UK </w:t>
      </w:r>
      <w:r w:rsidR="006D19C8">
        <w:rPr>
          <w:rFonts w:ascii="Arial" w:eastAsia="Arial" w:hAnsi="Arial" w:cs="Arial"/>
          <w:sz w:val="20"/>
          <w:szCs w:val="20"/>
        </w:rPr>
        <w:t>ULM</w:t>
      </w:r>
      <w:r w:rsidR="00F47BE9">
        <w:rPr>
          <w:rFonts w:ascii="Arial" w:eastAsia="Arial" w:hAnsi="Arial" w:cs="Arial"/>
          <w:sz w:val="20"/>
          <w:szCs w:val="20"/>
        </w:rPr>
        <w:t xml:space="preserve"> </w:t>
      </w:r>
      <w:r w:rsidR="00794D70">
        <w:rPr>
          <w:rFonts w:ascii="Arial" w:eastAsia="Arial" w:hAnsi="Arial" w:cs="Arial"/>
          <w:sz w:val="20"/>
          <w:szCs w:val="20"/>
        </w:rPr>
        <w:t>guidelines</w:t>
      </w:r>
      <w:r w:rsidR="00C30BF8" w:rsidRPr="00153ECD">
        <w:rPr>
          <w:rFonts w:ascii="Arial" w:eastAsia="Arial" w:hAnsi="Arial" w:cs="Arial"/>
          <w:sz w:val="20"/>
          <w:szCs w:val="20"/>
        </w:rPr>
        <w:t xml:space="preserve">. </w:t>
      </w:r>
      <w:r>
        <w:rPr>
          <w:rFonts w:ascii="Arial" w:eastAsia="Arial" w:hAnsi="Arial" w:cs="Arial"/>
          <w:sz w:val="20"/>
          <w:szCs w:val="20"/>
        </w:rPr>
        <w:t>Whilst there was some agreement in content across the unlicensed medicines guidelines, a lack of a consistent approach is a cause for concern.</w:t>
      </w:r>
    </w:p>
    <w:p w:rsidR="00160590" w:rsidRPr="00153ECD" w:rsidRDefault="00160590" w:rsidP="00C30BF8">
      <w:pPr>
        <w:spacing w:after="0" w:line="480" w:lineRule="auto"/>
        <w:rPr>
          <w:rFonts w:ascii="Arial" w:eastAsia="Arial" w:hAnsi="Arial" w:cs="Arial"/>
          <w:sz w:val="20"/>
          <w:szCs w:val="20"/>
        </w:rPr>
      </w:pPr>
    </w:p>
    <w:p w:rsidR="00C30BF8" w:rsidRPr="00153ECD" w:rsidRDefault="00D97E0B" w:rsidP="00C30BF8">
      <w:pPr>
        <w:spacing w:after="0" w:line="480" w:lineRule="auto"/>
        <w:rPr>
          <w:rFonts w:ascii="Arial" w:eastAsia="Arial" w:hAnsi="Arial" w:cs="Arial"/>
          <w:sz w:val="20"/>
          <w:szCs w:val="20"/>
        </w:rPr>
      </w:pPr>
      <w:r w:rsidRPr="00153ECD">
        <w:rPr>
          <w:rFonts w:ascii="Arial" w:eastAsia="Arial" w:hAnsi="Arial" w:cs="Arial"/>
          <w:sz w:val="20"/>
          <w:szCs w:val="20"/>
        </w:rPr>
        <w:t>I</w:t>
      </w:r>
      <w:r w:rsidR="00D66F46" w:rsidRPr="00153ECD">
        <w:rPr>
          <w:rFonts w:ascii="Arial" w:eastAsia="Arial" w:hAnsi="Arial" w:cs="Arial"/>
          <w:sz w:val="20"/>
          <w:szCs w:val="20"/>
        </w:rPr>
        <w:t>n</w:t>
      </w:r>
      <w:r w:rsidR="00491A09" w:rsidRPr="00153ECD">
        <w:rPr>
          <w:rFonts w:ascii="Arial" w:eastAsia="Arial" w:hAnsi="Arial" w:cs="Arial"/>
          <w:sz w:val="20"/>
          <w:szCs w:val="20"/>
        </w:rPr>
        <w:t xml:space="preserve">consistency </w:t>
      </w:r>
      <w:r w:rsidR="001823D2">
        <w:rPr>
          <w:rFonts w:ascii="Arial" w:eastAsia="Arial" w:hAnsi="Arial" w:cs="Arial"/>
          <w:sz w:val="20"/>
          <w:szCs w:val="20"/>
        </w:rPr>
        <w:t>in</w:t>
      </w:r>
      <w:r w:rsidRPr="00153ECD">
        <w:rPr>
          <w:rFonts w:ascii="Arial" w:eastAsia="Arial" w:hAnsi="Arial" w:cs="Arial"/>
          <w:sz w:val="20"/>
          <w:szCs w:val="20"/>
        </w:rPr>
        <w:t xml:space="preserve"> content </w:t>
      </w:r>
      <w:r w:rsidR="001823D2">
        <w:rPr>
          <w:rFonts w:ascii="Arial" w:eastAsia="Arial" w:hAnsi="Arial" w:cs="Arial"/>
          <w:sz w:val="20"/>
          <w:szCs w:val="20"/>
        </w:rPr>
        <w:t xml:space="preserve">between guidelines </w:t>
      </w:r>
      <w:r w:rsidR="00C30BF8" w:rsidRPr="00153ECD">
        <w:rPr>
          <w:rFonts w:ascii="Arial" w:eastAsia="Arial" w:hAnsi="Arial" w:cs="Arial"/>
          <w:sz w:val="20"/>
          <w:szCs w:val="20"/>
        </w:rPr>
        <w:t xml:space="preserve">may in part be due </w:t>
      </w:r>
      <w:r w:rsidR="00D66F46" w:rsidRPr="00153ECD">
        <w:rPr>
          <w:rFonts w:ascii="Arial" w:eastAsia="Arial" w:hAnsi="Arial" w:cs="Arial"/>
          <w:sz w:val="20"/>
          <w:szCs w:val="20"/>
        </w:rPr>
        <w:t xml:space="preserve">to </w:t>
      </w:r>
      <w:r w:rsidR="00C30BF8" w:rsidRPr="00153ECD">
        <w:rPr>
          <w:rFonts w:ascii="Arial" w:eastAsia="Arial" w:hAnsi="Arial" w:cs="Arial"/>
          <w:sz w:val="20"/>
          <w:szCs w:val="20"/>
        </w:rPr>
        <w:t xml:space="preserve">the lack of a clear evidence base on which the guidelines </w:t>
      </w:r>
      <w:r w:rsidR="005364DB">
        <w:rPr>
          <w:rFonts w:ascii="Arial" w:eastAsia="Arial" w:hAnsi="Arial" w:cs="Arial"/>
          <w:sz w:val="20"/>
          <w:szCs w:val="20"/>
        </w:rPr>
        <w:t>have been</w:t>
      </w:r>
      <w:r w:rsidR="00C30BF8" w:rsidRPr="00153ECD">
        <w:rPr>
          <w:rFonts w:ascii="Arial" w:eastAsia="Arial" w:hAnsi="Arial" w:cs="Arial"/>
          <w:sz w:val="20"/>
          <w:szCs w:val="20"/>
        </w:rPr>
        <w:t xml:space="preserve"> developed. </w:t>
      </w:r>
      <w:r w:rsidR="009F58BB" w:rsidRPr="00153ECD">
        <w:rPr>
          <w:rFonts w:ascii="Arial" w:eastAsia="Arial" w:hAnsi="Arial" w:cs="Arial"/>
          <w:sz w:val="20"/>
          <w:szCs w:val="20"/>
        </w:rPr>
        <w:t>L</w:t>
      </w:r>
      <w:r w:rsidR="00C30BF8" w:rsidRPr="00153ECD">
        <w:rPr>
          <w:rFonts w:ascii="Arial" w:eastAsia="Arial" w:hAnsi="Arial" w:cs="Arial"/>
          <w:sz w:val="20"/>
          <w:szCs w:val="20"/>
        </w:rPr>
        <w:t xml:space="preserve">ack of </w:t>
      </w:r>
      <w:r w:rsidR="009F58BB" w:rsidRPr="00153ECD">
        <w:rPr>
          <w:rFonts w:ascii="Arial" w:eastAsia="Arial" w:hAnsi="Arial" w:cs="Arial"/>
          <w:sz w:val="20"/>
          <w:szCs w:val="20"/>
        </w:rPr>
        <w:t xml:space="preserve">an </w:t>
      </w:r>
      <w:r w:rsidR="00C30BF8" w:rsidRPr="00153ECD">
        <w:rPr>
          <w:rFonts w:ascii="Arial" w:eastAsia="Arial" w:hAnsi="Arial" w:cs="Arial"/>
          <w:sz w:val="20"/>
          <w:szCs w:val="20"/>
        </w:rPr>
        <w:t xml:space="preserve">evidence base </w:t>
      </w:r>
      <w:r w:rsidR="001823D2">
        <w:rPr>
          <w:rFonts w:ascii="Arial" w:eastAsia="Arial" w:hAnsi="Arial" w:cs="Arial"/>
          <w:sz w:val="20"/>
          <w:szCs w:val="20"/>
        </w:rPr>
        <w:t xml:space="preserve">for using unlicensed medicines </w:t>
      </w:r>
      <w:r w:rsidR="00C30BF8" w:rsidRPr="00153ECD">
        <w:rPr>
          <w:rFonts w:ascii="Arial" w:eastAsia="Arial" w:hAnsi="Arial" w:cs="Arial"/>
          <w:sz w:val="20"/>
          <w:szCs w:val="20"/>
        </w:rPr>
        <w:t xml:space="preserve">was consistent throughout and is </w:t>
      </w:r>
      <w:r w:rsidRPr="00153ECD">
        <w:rPr>
          <w:rFonts w:ascii="Arial" w:eastAsia="Arial" w:hAnsi="Arial" w:cs="Arial"/>
          <w:sz w:val="20"/>
          <w:szCs w:val="20"/>
        </w:rPr>
        <w:t xml:space="preserve">evident </w:t>
      </w:r>
      <w:r w:rsidR="00C30BF8" w:rsidRPr="00153ECD">
        <w:rPr>
          <w:rFonts w:ascii="Arial" w:eastAsia="Arial" w:hAnsi="Arial" w:cs="Arial"/>
          <w:sz w:val="20"/>
          <w:szCs w:val="20"/>
        </w:rPr>
        <w:t xml:space="preserve">in the </w:t>
      </w:r>
      <w:r w:rsidR="00F47BE9">
        <w:rPr>
          <w:rFonts w:ascii="Arial" w:eastAsia="Arial" w:hAnsi="Arial" w:cs="Arial"/>
          <w:sz w:val="20"/>
          <w:szCs w:val="20"/>
        </w:rPr>
        <w:t xml:space="preserve">poor </w:t>
      </w:r>
      <w:r w:rsidR="00C30BF8" w:rsidRPr="00153ECD">
        <w:rPr>
          <w:rFonts w:ascii="Arial" w:eastAsia="Arial" w:hAnsi="Arial" w:cs="Arial"/>
          <w:sz w:val="20"/>
          <w:szCs w:val="20"/>
        </w:rPr>
        <w:t>Rigour of Development domain score.  This</w:t>
      </w:r>
      <w:r w:rsidR="001823D2">
        <w:rPr>
          <w:rFonts w:ascii="Arial" w:eastAsia="Arial" w:hAnsi="Arial" w:cs="Arial"/>
          <w:sz w:val="20"/>
          <w:szCs w:val="20"/>
        </w:rPr>
        <w:t xml:space="preserve"> low score has also been</w:t>
      </w:r>
      <w:r w:rsidR="00C30BF8" w:rsidRPr="00153ECD">
        <w:rPr>
          <w:rFonts w:ascii="Arial" w:eastAsia="Arial" w:hAnsi="Arial" w:cs="Arial"/>
          <w:sz w:val="20"/>
          <w:szCs w:val="20"/>
        </w:rPr>
        <w:t xml:space="preserve"> reflect</w:t>
      </w:r>
      <w:r w:rsidR="001823D2">
        <w:rPr>
          <w:rFonts w:ascii="Arial" w:eastAsia="Arial" w:hAnsi="Arial" w:cs="Arial"/>
          <w:sz w:val="20"/>
          <w:szCs w:val="20"/>
        </w:rPr>
        <w:t xml:space="preserve">ed in other AGREE II analyses of guidelines where evidence is lacking for treatment recommendations such as </w:t>
      </w:r>
      <w:r w:rsidR="00C30BF8" w:rsidRPr="00153ECD">
        <w:rPr>
          <w:rFonts w:ascii="Arial" w:eastAsia="Arial" w:hAnsi="Arial" w:cs="Arial"/>
          <w:sz w:val="20"/>
          <w:szCs w:val="20"/>
        </w:rPr>
        <w:t xml:space="preserve"> paediatric headache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"2fn12c29lc", "citationItems" : [ { "id" : "ITEM-1", "itemData" : { "DOI" : "10.1186/1129-2377-15-57", "author" : [ { "dropping-particle" : "", "family" : "Parisi", "given" : "Pasquale", "non-dropping-particle" : "", "parse-names" : false, "suffix" : "" }, { "dropping-particle" : "", "family" : "Vanacore", "given" : "Nicola", "non-dropping-particle" : "", "parse-names" : false, "suffix" : "" }, { "dropping-particle" : "", "family" : "Belcastro", "given" : "Vincenzo", "non-dropping-particle" : "", "parse-names" : false, "suffix" : "" }, { "dropping-particle" : "", "family" : "Carotenuto", "given" : "Marco", "non-dropping-particle" : "", "parse-names" : false, "suffix" : "" }, { "dropping-particle" : "", "family" : "Giudice", "given" : "Ennio", "non-dropping-particle" : "Del", "parse-names" : false, "suffix" : "" }, { "dropping-particle" : "", "family" : "Mariani", "given" : "Rosanna", "non-dropping-particle" : "", "parse-names" : false, "suffix" : "" }, { "dropping-particle" : "", "family" : "Papetti", "given" : "Laura", "non-dropping-particle" : "", "parse-names" : false, "suffix" : "" }, { "dropping-particle" : "", "family" : "Pavone", "given" : "Piero", "non-dropping-particle" : "", "parse-names" : false, "suffix" : "" }, { "dropping-particle" : "", "family" : "Savasta", "given" : "Salvatore", "non-dropping-particle" : "", "parse-names" : false, "suffix" : "" }, { "dropping-particle" : "", "family" : "Striano", "given" : "Pasquale", "non-dropping-particle" : "", "parse-names" : false, "suffix" : "" }, { "dropping-particle" : "", "family" : "others", "given" : "", "non-dropping-particle" : "", "parse-names" : false, "suffix" : "" } ], "container-title" : "The journal of headache and pain", "id" : "ITEM-1", "issue" : "1", "issued" : { "date-parts" : [ [ "2014", "2", "2" ] ] }, "page" : "57", "title" : "Clinical guidelines in pediatric headache: evaluation of quality using the AGREE II instrument", "type" : "article-journal", "volume" : "15" }, "uris" : [ "http://www.mendeley.com/documents/?uuid=9bd746ab-6338-4320-862d-9dc7c106735d" ] } ], "mendeley" : { "formattedCitation" : "[18]", "plainTextFormattedCitation" : "[18]", "previouslyFormattedCitation" : "[18]" }, "properties" : { "formattedCitation" : "[15]", "noteIndex" : 0, "plainCitation" : "[15]"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[18]</w:t>
      </w:r>
      <w:r w:rsidR="004C3C88" w:rsidRPr="00153ECD">
        <w:rPr>
          <w:rFonts w:ascii="Arial" w:eastAsia="Arial" w:hAnsi="Arial" w:cs="Arial"/>
          <w:sz w:val="20"/>
          <w:szCs w:val="20"/>
        </w:rPr>
        <w:fldChar w:fldCharType="end"/>
      </w:r>
      <w:r w:rsidR="00C30BF8" w:rsidRPr="00153ECD">
        <w:rPr>
          <w:rFonts w:ascii="Arial" w:eastAsia="Arial" w:hAnsi="Arial" w:cs="Arial"/>
          <w:sz w:val="20"/>
          <w:szCs w:val="20"/>
        </w:rPr>
        <w:t xml:space="preserve"> and sedation in palliative care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"213vg107cl", "citationItems" : [ { "id" : "ITEM-1", "itemData" : { "DOI" : "10.1016/j.jpainsymman.2014.08.013", "ISSN" : "08853924", "author" : [ { "dropping-particle" : "", "family" : "Schildmann", "given" : "Eva Katharina", "non-dropping-particle" : "", "parse-names" : false, "suffix" : "" }, { "dropping-particle" : "", "family" : "Schildmann", "given" : "Jan", "non-dropping-particle" : "", "parse-names" : false, "suffix" : "" }, { "dropping-particle" : "", "family" : "Kiesewetter", "given" : "Isabel", "non-dropping-particle" : "", "parse-names" : false, "suffix" : "" } ], "container-title" : "Journal of Pain and Symptom Management", "id" : "ITEM-1", "issue" : "4", "issued" : { "date-parts" : [ [ "2015", "2", "2" ] ] }, "language" : "en", "page" : "734-746", "title" : "Medication and Monitoring in Palliative Sedation Therapy: A Systematic Review and Quality Assessment of Published Guidelines", "type" : "article-journal", "volume" : "49" }, "uris" : [ "http://www.mendeley.com/documents/?uuid=5669b4b5-c876-4502-bca6-329a80e7a236" ] } ], "mendeley" : { "formattedCitation" : "[19]", "plainTextFormattedCitation" : "[19]", "previouslyFormattedCitation" : "[19]" }, "properties" : { "formattedCitation" : "[16]", "noteIndex" : 0, "plainCitation" : "[16]"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[19]</w:t>
      </w:r>
      <w:r w:rsidR="004C3C88" w:rsidRPr="00153ECD">
        <w:rPr>
          <w:rFonts w:ascii="Arial" w:eastAsia="Arial" w:hAnsi="Arial" w:cs="Arial"/>
          <w:sz w:val="20"/>
          <w:szCs w:val="20"/>
        </w:rPr>
        <w:fldChar w:fldCharType="end"/>
      </w:r>
      <w:r w:rsidR="00C30BF8" w:rsidRPr="00153ECD">
        <w:rPr>
          <w:rFonts w:ascii="Arial" w:eastAsia="Arial" w:hAnsi="Arial" w:cs="Arial"/>
          <w:sz w:val="20"/>
          <w:szCs w:val="20"/>
        </w:rPr>
        <w:t>. Low scores</w:t>
      </w:r>
      <w:r w:rsidRPr="00153ECD">
        <w:rPr>
          <w:rFonts w:ascii="Arial" w:eastAsia="Arial" w:hAnsi="Arial" w:cs="Arial"/>
          <w:sz w:val="20"/>
          <w:szCs w:val="20"/>
        </w:rPr>
        <w:t xml:space="preserve"> identified</w:t>
      </w:r>
      <w:r w:rsidR="0070653F">
        <w:rPr>
          <w:rFonts w:ascii="Arial" w:eastAsia="Arial" w:hAnsi="Arial" w:cs="Arial"/>
          <w:sz w:val="20"/>
          <w:szCs w:val="20"/>
        </w:rPr>
        <w:t xml:space="preserve"> within this analysis</w:t>
      </w:r>
      <w:r w:rsidR="00B20E15" w:rsidRPr="00153ECD">
        <w:rPr>
          <w:rFonts w:ascii="Arial" w:eastAsia="Arial" w:hAnsi="Arial" w:cs="Arial"/>
          <w:sz w:val="20"/>
          <w:szCs w:val="20"/>
        </w:rPr>
        <w:t xml:space="preserve"> for</w:t>
      </w:r>
      <w:r w:rsidR="00C30BF8" w:rsidRPr="00153ECD">
        <w:rPr>
          <w:rFonts w:ascii="Arial" w:eastAsia="Arial" w:hAnsi="Arial" w:cs="Arial"/>
          <w:sz w:val="20"/>
          <w:szCs w:val="20"/>
        </w:rPr>
        <w:t xml:space="preserve">  </w:t>
      </w:r>
      <w:r w:rsidR="00B20E15" w:rsidRPr="00153ECD">
        <w:rPr>
          <w:rFonts w:ascii="Arial" w:eastAsia="Arial" w:hAnsi="Arial" w:cs="Arial"/>
          <w:sz w:val="20"/>
          <w:szCs w:val="20"/>
        </w:rPr>
        <w:t xml:space="preserve">the </w:t>
      </w:r>
      <w:r w:rsidR="00C30BF8" w:rsidRPr="00153ECD">
        <w:rPr>
          <w:rFonts w:ascii="Arial" w:eastAsia="Arial" w:hAnsi="Arial" w:cs="Arial"/>
          <w:sz w:val="20"/>
          <w:szCs w:val="20"/>
        </w:rPr>
        <w:t xml:space="preserve">Rigour of Development </w:t>
      </w:r>
      <w:r w:rsidR="00491A09" w:rsidRPr="00153ECD">
        <w:rPr>
          <w:rFonts w:ascii="Arial" w:eastAsia="Arial" w:hAnsi="Arial" w:cs="Arial"/>
          <w:sz w:val="20"/>
          <w:szCs w:val="20"/>
        </w:rPr>
        <w:t xml:space="preserve">domain </w:t>
      </w:r>
      <w:r w:rsidR="00C30BF8" w:rsidRPr="00153ECD">
        <w:rPr>
          <w:rFonts w:ascii="Arial" w:eastAsia="Arial" w:hAnsi="Arial" w:cs="Arial"/>
          <w:sz w:val="20"/>
          <w:szCs w:val="20"/>
        </w:rPr>
        <w:t>echo</w:t>
      </w:r>
      <w:r w:rsidRPr="00153ECD">
        <w:rPr>
          <w:rFonts w:ascii="Arial" w:eastAsia="Arial" w:hAnsi="Arial" w:cs="Arial"/>
          <w:sz w:val="20"/>
          <w:szCs w:val="20"/>
        </w:rPr>
        <w:t xml:space="preserve"> the</w:t>
      </w:r>
      <w:r w:rsidR="00C30BF8" w:rsidRPr="00153ECD">
        <w:rPr>
          <w:rFonts w:ascii="Arial" w:eastAsia="Arial" w:hAnsi="Arial" w:cs="Arial"/>
          <w:sz w:val="20"/>
          <w:szCs w:val="20"/>
        </w:rPr>
        <w:t xml:space="preserve"> findings in dermatology guideline</w:t>
      </w:r>
      <w:r w:rsidR="00B20E15" w:rsidRPr="00153ECD">
        <w:rPr>
          <w:rFonts w:ascii="Arial" w:eastAsia="Arial" w:hAnsi="Arial" w:cs="Arial"/>
          <w:sz w:val="20"/>
          <w:szCs w:val="20"/>
        </w:rPr>
        <w:t xml:space="preserve"> analysis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"11645dvml0", "citationItems" : [ { "id" : "ITEM-1", "itemData" : { "DOI" : "10.1155/2015/456071", "ISSN" : "1687-6105, 1687-6113", "author" : [ { "dropping-particle" : "", "family" : "Kirby", "given" : "Joslyn S", "non-dropping-particle" : "", "parse-names" : false, "suffix" : "" }, { "dropping-particle" : "", "family" : "Scharnitz", "given" : "Thomas", "non-dropping-particle" : "", "parse-names" : false, "suffix" : "" }, { "dropping-particle" : "V", "family" : "Seiverling", "given" : "Elizabeth", "non-dropping-particle" : "", "parse-names" : false, "suffix" : "" }, { "dropping-particle" : "", "family" : "Ahrns", "given" : "Hadjh", "non-dropping-particle" : "", "parse-names" : false, "suffix" : "" }, { "dropping-particle" : "", "family" : "Ferguson", "given" : "Sara", "non-dropping-particle" : "", "parse-names" : false, "suffix" : "" } ], "container-title" : "Dermatology Research and Practice", "id" : "ITEM-1", "issued" : { "date-parts" : [ [ "2015", "2", "2" ] ] }, "language" : "en", "page" : "1-7", "title" : "Actinic Keratosis Clinical Practice Guidelines: An Appraisal of Quality", "type" : "article-journal", "volume" : "2015" }, "uris" : [ "http://www.mendeley.com/documents/?uuid=3b4927b6-90bb-41a5-813e-cf61a71c81a4" ] } ], "mendeley" : { "formattedCitation" : "[12]", "plainTextFormattedCitation" : "[12]", "previouslyFormattedCitation" : "[12]" }, "properties" : { "formattedCitation" : "[9]", "noteIndex" : 0, "plainCitation" : "[9]"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[12]</w:t>
      </w:r>
      <w:r w:rsidR="004C3C88" w:rsidRPr="00153ECD">
        <w:rPr>
          <w:rFonts w:ascii="Arial" w:eastAsia="Arial" w:hAnsi="Arial" w:cs="Arial"/>
          <w:sz w:val="20"/>
          <w:szCs w:val="20"/>
        </w:rPr>
        <w:fldChar w:fldCharType="end"/>
      </w:r>
      <w:r w:rsidR="00C30BF8" w:rsidRPr="00153ECD">
        <w:rPr>
          <w:rFonts w:ascii="Arial" w:eastAsia="Arial" w:hAnsi="Arial" w:cs="Arial"/>
          <w:sz w:val="20"/>
          <w:szCs w:val="20"/>
        </w:rPr>
        <w:t>.</w:t>
      </w:r>
      <w:r w:rsidR="00E83FCD">
        <w:rPr>
          <w:rFonts w:ascii="Arial" w:eastAsia="Arial" w:hAnsi="Arial" w:cs="Arial"/>
          <w:sz w:val="20"/>
          <w:szCs w:val="20"/>
        </w:rPr>
        <w:t xml:space="preserve"> </w:t>
      </w:r>
      <w:r w:rsidR="00C30BF8" w:rsidRPr="00153ECD">
        <w:rPr>
          <w:rFonts w:ascii="Arial" w:eastAsia="Arial" w:hAnsi="Arial" w:cs="Arial"/>
          <w:sz w:val="20"/>
          <w:szCs w:val="20"/>
        </w:rPr>
        <w:t>For Editorial Independence, a lack of clarity</w:t>
      </w:r>
      <w:r w:rsidR="007B6E21" w:rsidRPr="00153ECD">
        <w:rPr>
          <w:rFonts w:ascii="Arial" w:eastAsia="Arial" w:hAnsi="Arial" w:cs="Arial"/>
          <w:sz w:val="20"/>
          <w:szCs w:val="20"/>
        </w:rPr>
        <w:t xml:space="preserve"> across</w:t>
      </w:r>
      <w:r w:rsidR="00C30BF8" w:rsidRPr="00153ECD">
        <w:rPr>
          <w:rFonts w:ascii="Arial" w:eastAsia="Arial" w:hAnsi="Arial" w:cs="Arial"/>
          <w:sz w:val="20"/>
          <w:szCs w:val="20"/>
        </w:rPr>
        <w:t xml:space="preserve"> funding bodies for guideline development or competing interests in the development group has also been found in other guidelines analysed using the AGREE</w:t>
      </w:r>
      <w:r w:rsidR="00335BF2" w:rsidRPr="00153ECD">
        <w:rPr>
          <w:rFonts w:ascii="Arial" w:eastAsia="Arial" w:hAnsi="Arial" w:cs="Arial"/>
          <w:sz w:val="20"/>
          <w:szCs w:val="20"/>
        </w:rPr>
        <w:t xml:space="preserve"> II</w:t>
      </w:r>
      <w:r w:rsidR="00C30BF8" w:rsidRPr="00153ECD">
        <w:rPr>
          <w:rFonts w:ascii="Arial" w:eastAsia="Arial" w:hAnsi="Arial" w:cs="Arial"/>
          <w:sz w:val="20"/>
          <w:szCs w:val="20"/>
        </w:rPr>
        <w:t xml:space="preserve"> tool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"2pf94algp3", "citationItems" : [ { "id" : "ITEM-1", "itemData" : { "DOI" : "10.1155/2015/456071", "ISSN" : "1687-6105, 1687-6113", "author" : [ { "dropping-particle" : "", "family" : "Kirby", "given" : "Joslyn S", "non-dropping-particle" : "", "parse-names" : false, "suffix" : "" }, { "dropping-particle" : "", "family" : "Scharnitz", "given" : "Thomas", "non-dropping-particle" : "", "parse-names" : false, "suffix" : "" }, { "dropping-particle" : "V", "family" : "Seiverling", "given" : "Elizabeth", "non-dropping-particle" : "", "parse-names" : false, "suffix" : "" }, { "dropping-particle" : "", "family" : "Ahrns", "given" : "Hadjh", "non-dropping-particle" : "", "parse-names" : false, "suffix" : "" }, { "dropping-particle" : "", "family" : "Ferguson", "given" : "Sara", "non-dropping-particle" : "", "parse-names" : false, "suffix" : "" } ], "container-title" : "Dermatology Research and Practice", "id" : "ITEM-1", "issued" : { "date-parts" : [ [ "2015", "2", "2" ] ] }, "language" : "en", "page" : "1-7", "title" : "Actinic Keratosis Clinical Practice Guidelines: An Appraisal of Quality", "type" : "article-journal", "volume" : "2015" }, "uris" : [ "http://www.mendeley.com/documents/?uuid=3b4927b6-90bb-41a5-813e-cf61a71c81a4" ] }, { "id" : "ITEM-2", "itemData" : { "DOI" : "10.1186/1129-2377-15-57", "author" : [ { "dropping-particle" : "", "family" : "Parisi", "given" : "Pasquale", "non-dropping-particle" : "", "parse-names" : false, "suffix" : "" }, { "dropping-particle" : "", "family" : "Vanacore", "given" : "Nicola", "non-dropping-particle" : "", "parse-names" : false, "suffix" : "" }, { "dropping-particle" : "", "family" : "Belcastro", "given" : "Vincenzo", "non-dropping-particle" : "", "parse-names" : false, "suffix" : "" }, { "dropping-particle" : "", "family" : "Carotenuto", "given" : "Marco", "non-dropping-particle" : "", "parse-names" : false, "suffix" : "" }, { "dropping-particle" : "", "family" : "Giudice", "given" : "Ennio", "non-dropping-particle" : "Del", "parse-names" : false, "suffix" : "" }, { "dropping-particle" : "", "family" : "Mariani", "given" : "Rosanna", "non-dropping-particle" : "", "parse-names" : false, "suffix" : "" }, { "dropping-particle" : "", "family" : "Papetti", "given" : "Laura", "non-dropping-particle" : "", "parse-names" : false, "suffix" : "" }, { "dropping-particle" : "", "family" : "Pavone", "given" : "Piero", "non-dropping-particle" : "", "parse-names" : false, "suffix" : "" }, { "dropping-particle" : "", "family" : "Savasta", "given" : "Salvatore", "non-dropping-particle" : "", "parse-names" : false, "suffix" : "" }, { "dropping-particle" : "", "family" : "Striano", "given" : "Pasquale", "non-dropping-particle" : "", "parse-names" : false, "suffix" : "" }, { "dropping-particle" : "", "family" : "others", "given" : "", "non-dropping-particle" : "", "parse-names" : false, "suffix" : "" } ], "container-title" : "The journal of headache and pain", "id" : "ITEM-2", "issue" : "1", "issued" : { "date-parts" : [ [ "2014", "2", "2" ] ] }, "page" : "57", "title" : "Clinical guidelines in pediatric headache: evaluation of quality using the AGREE II instrument", "type" : "article-journal", "volume" : "15" }, "uris" : [ "http://www.mendeley.com/documents/?uuid=9bd746ab-6338-4320-862d-9dc7c106735d" ] } ], "mendeley" : { "formattedCitation" : "[12,18]", "plainTextFormattedCitation" : "[12,18]", "previouslyFormattedCitation" : "[12,18]" }, "properties" : { "formattedCitation" : "[9,15]", "noteIndex" : 0, "plainCitation" : "[9,15]"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[12,18]</w:t>
      </w:r>
      <w:r w:rsidR="004C3C88" w:rsidRPr="00153ECD">
        <w:rPr>
          <w:rFonts w:ascii="Arial" w:eastAsia="Arial" w:hAnsi="Arial" w:cs="Arial"/>
          <w:sz w:val="20"/>
          <w:szCs w:val="20"/>
        </w:rPr>
        <w:fldChar w:fldCharType="end"/>
      </w:r>
      <w:r w:rsidR="00C30BF8" w:rsidRPr="00153ECD">
        <w:rPr>
          <w:rFonts w:ascii="Arial" w:eastAsia="Arial" w:hAnsi="Arial" w:cs="Arial"/>
          <w:sz w:val="20"/>
          <w:szCs w:val="20"/>
        </w:rPr>
        <w:t xml:space="preserve">. </w:t>
      </w:r>
    </w:p>
    <w:p w:rsidR="00C30BF8" w:rsidRPr="00153ECD" w:rsidRDefault="00C30BF8" w:rsidP="00C30BF8">
      <w:pPr>
        <w:spacing w:after="0" w:line="480" w:lineRule="auto"/>
        <w:rPr>
          <w:rFonts w:ascii="Arial" w:eastAsia="Arial" w:hAnsi="Arial" w:cs="Arial"/>
          <w:sz w:val="20"/>
          <w:szCs w:val="20"/>
        </w:rPr>
      </w:pPr>
    </w:p>
    <w:p w:rsidR="006F2D3D" w:rsidRPr="00153ECD" w:rsidRDefault="00F47BE9" w:rsidP="00EE672C">
      <w:pPr>
        <w:spacing w:after="0" w:line="480" w:lineRule="auto"/>
        <w:rPr>
          <w:rFonts w:ascii="Arial" w:eastAsia="Arial" w:hAnsi="Arial" w:cs="Arial"/>
          <w:sz w:val="20"/>
          <w:szCs w:val="20"/>
        </w:rPr>
      </w:pPr>
      <w:r>
        <w:rPr>
          <w:rFonts w:ascii="Arial" w:eastAsia="Arial" w:hAnsi="Arial" w:cs="Arial"/>
          <w:sz w:val="20"/>
          <w:szCs w:val="20"/>
        </w:rPr>
        <w:t>In agreement with our findings, a</w:t>
      </w:r>
      <w:r w:rsidR="00C30BF8" w:rsidRPr="00153ECD">
        <w:rPr>
          <w:rFonts w:ascii="Arial" w:eastAsia="Arial" w:hAnsi="Arial" w:cs="Arial"/>
          <w:sz w:val="20"/>
          <w:szCs w:val="20"/>
        </w:rPr>
        <w:t xml:space="preserve"> review of dementia guidelines found that </w:t>
      </w:r>
      <w:r>
        <w:rPr>
          <w:rFonts w:ascii="Arial" w:eastAsia="Arial" w:hAnsi="Arial" w:cs="Arial"/>
          <w:sz w:val="20"/>
          <w:szCs w:val="20"/>
        </w:rPr>
        <w:t xml:space="preserve">Scope and Purpose, and Clarity of Presentation </w:t>
      </w:r>
      <w:r w:rsidR="00C30BF8" w:rsidRPr="00153ECD">
        <w:rPr>
          <w:rFonts w:ascii="Arial" w:eastAsia="Arial" w:hAnsi="Arial" w:cs="Arial"/>
          <w:sz w:val="20"/>
          <w:szCs w:val="20"/>
        </w:rPr>
        <w:t xml:space="preserve"> were the only </w:t>
      </w:r>
      <w:r>
        <w:rPr>
          <w:rFonts w:ascii="Arial" w:eastAsia="Arial" w:hAnsi="Arial" w:cs="Arial"/>
          <w:sz w:val="20"/>
          <w:szCs w:val="20"/>
        </w:rPr>
        <w:t>domains that</w:t>
      </w:r>
      <w:r w:rsidR="00C30BF8" w:rsidRPr="00153ECD">
        <w:rPr>
          <w:rFonts w:ascii="Arial" w:eastAsia="Arial" w:hAnsi="Arial" w:cs="Arial"/>
          <w:sz w:val="20"/>
          <w:szCs w:val="20"/>
        </w:rPr>
        <w:t xml:space="preserve"> had high quality scores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"277o66844k", "citationItems" : [ { "id" : "ITEM-1", "itemData" : { "DOI" : "10.2147/CIA.S65046", "ISSN" : "1178-1998", "author" : [ { "dropping-particle" : "", "family" : "Damiani", "given" : "Gianfranco", "non-dropping-particle" : "", "parse-names" : false, "suffix" : "" }, { "dropping-particle" : "", "family" : "Silvestrini", "given" : "Giulia", "non-dropping-particle" : "", "parse-names" : false, "suffix" : "" }, { "dropping-particle" : "", "family" : "Trozzi", "given" : "Lucrezia", "non-dropping-particle" : "", "parse-names" : false, "suffix" : "" }, { "dropping-particle" : "", "family" : "Maci", "given" : "Donatella", "non-dropping-particle" : "", "parse-names" : false, "suffix" : "" }, { "dropping-particle" : "", "family" : "Iodice", "given" : "Lanfranco", "non-dropping-particle" : "", "parse-names" : false, "suffix" : "" }, { "dropping-particle" : "", "family" : "Ricciardi", "given" : "Walter", "non-dropping-particle" : "", "parse-names" : false, "suffix" : "" } ], "container-title" : "Clinical Interventions in Aging", "id" : "ITEM-1", "issued" : { "date-parts" : [ [ "2014", "2", "2" ] ] }, "language" : "en", "page" : "1399", "title" : "Quality of dementia clinical guidelines and relevance to the care of older people with comorbidity: evidence from the literature", "type" : "article-journal" }, "uris" : [ "http://www.mendeley.com/documents/?uuid=4c0e769c-792c-4524-a0e7-5806e9ed4b34" ] } ], "mendeley" : { "formattedCitation" : "[20]", "plainTextFormattedCitation" : "[20]", "previouslyFormattedCitation" : "[20]" }, "properties" : { "formattedCitation" : "[17]", "noteIndex" : 0, "plainCitation" : "[17]"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[20]</w:t>
      </w:r>
      <w:r w:rsidR="004C3C88" w:rsidRPr="00153ECD">
        <w:rPr>
          <w:rFonts w:ascii="Arial" w:eastAsia="Arial" w:hAnsi="Arial" w:cs="Arial"/>
          <w:sz w:val="20"/>
          <w:szCs w:val="20"/>
        </w:rPr>
        <w:fldChar w:fldCharType="end"/>
      </w:r>
      <w:r w:rsidR="00C30BF8" w:rsidRPr="00153ECD">
        <w:rPr>
          <w:rFonts w:ascii="Arial" w:eastAsia="Arial" w:hAnsi="Arial" w:cs="Arial"/>
          <w:sz w:val="20"/>
          <w:szCs w:val="20"/>
        </w:rPr>
        <w:t xml:space="preserve">. </w:t>
      </w:r>
      <w:r w:rsidR="00575142">
        <w:rPr>
          <w:rFonts w:ascii="Arial" w:eastAsia="Arial" w:hAnsi="Arial" w:cs="Arial"/>
          <w:sz w:val="20"/>
          <w:szCs w:val="20"/>
        </w:rPr>
        <w:t xml:space="preserve"> </w:t>
      </w:r>
      <w:r>
        <w:rPr>
          <w:rFonts w:ascii="Arial" w:eastAsia="Arial" w:hAnsi="Arial" w:cs="Arial"/>
          <w:sz w:val="20"/>
          <w:szCs w:val="20"/>
        </w:rPr>
        <w:t xml:space="preserve">Our poor </w:t>
      </w:r>
      <w:r w:rsidR="004A78B7" w:rsidRPr="00153ECD">
        <w:rPr>
          <w:rFonts w:ascii="Arial" w:eastAsia="Arial" w:hAnsi="Arial" w:cs="Arial"/>
          <w:sz w:val="20"/>
          <w:szCs w:val="20"/>
        </w:rPr>
        <w:t xml:space="preserve">score for </w:t>
      </w:r>
      <w:r w:rsidR="006F2D3D" w:rsidRPr="00153ECD">
        <w:rPr>
          <w:rFonts w:ascii="Arial" w:eastAsia="Arial" w:hAnsi="Arial" w:cs="Arial"/>
          <w:sz w:val="20"/>
          <w:szCs w:val="20"/>
        </w:rPr>
        <w:t xml:space="preserve">Stakeholder Involvement </w:t>
      </w:r>
      <w:r w:rsidR="004A78B7" w:rsidRPr="00153ECD">
        <w:rPr>
          <w:rFonts w:ascii="Arial" w:eastAsia="Arial" w:hAnsi="Arial" w:cs="Arial"/>
          <w:sz w:val="20"/>
          <w:szCs w:val="20"/>
        </w:rPr>
        <w:t>highlighted</w:t>
      </w:r>
      <w:r w:rsidR="006F2D3D" w:rsidRPr="00153ECD">
        <w:rPr>
          <w:rFonts w:ascii="Arial" w:eastAsia="Arial" w:hAnsi="Arial" w:cs="Arial"/>
          <w:sz w:val="20"/>
          <w:szCs w:val="20"/>
        </w:rPr>
        <w:t xml:space="preserve"> a lack of transparency in developing, writing and updating </w:t>
      </w:r>
      <w:r w:rsidR="00794D70">
        <w:rPr>
          <w:rFonts w:ascii="Arial" w:eastAsia="Arial" w:hAnsi="Arial" w:cs="Arial"/>
          <w:sz w:val="20"/>
          <w:szCs w:val="20"/>
        </w:rPr>
        <w:t>guidelines</w:t>
      </w:r>
      <w:r w:rsidR="006F2D3D" w:rsidRPr="00153ECD">
        <w:rPr>
          <w:rFonts w:ascii="Arial" w:eastAsia="Arial" w:hAnsi="Arial" w:cs="Arial"/>
          <w:sz w:val="20"/>
          <w:szCs w:val="20"/>
        </w:rPr>
        <w:t xml:space="preserve">. </w:t>
      </w:r>
      <w:r w:rsidR="00575142">
        <w:rPr>
          <w:rFonts w:ascii="Arial" w:eastAsia="Arial" w:hAnsi="Arial" w:cs="Arial"/>
          <w:sz w:val="20"/>
          <w:szCs w:val="20"/>
        </w:rPr>
        <w:t>O</w:t>
      </w:r>
      <w:r w:rsidR="00D27710" w:rsidRPr="00153ECD">
        <w:rPr>
          <w:rFonts w:ascii="Arial" w:eastAsia="Arial" w:hAnsi="Arial" w:cs="Arial"/>
          <w:sz w:val="20"/>
          <w:szCs w:val="20"/>
        </w:rPr>
        <w:t>rganisations who</w:t>
      </w:r>
      <w:r w:rsidR="006F2D3D" w:rsidRPr="00153ECD">
        <w:rPr>
          <w:rFonts w:ascii="Arial" w:eastAsia="Arial" w:hAnsi="Arial" w:cs="Arial"/>
          <w:sz w:val="20"/>
          <w:szCs w:val="20"/>
        </w:rPr>
        <w:t xml:space="preserve"> use </w:t>
      </w:r>
      <w:r>
        <w:rPr>
          <w:rFonts w:ascii="Arial" w:eastAsia="Arial" w:hAnsi="Arial" w:cs="Arial"/>
          <w:sz w:val="20"/>
          <w:szCs w:val="20"/>
        </w:rPr>
        <w:t xml:space="preserve">‘working party’ </w:t>
      </w:r>
      <w:r w:rsidR="006F2D3D" w:rsidRPr="00153ECD">
        <w:rPr>
          <w:rFonts w:ascii="Arial" w:eastAsia="Arial" w:hAnsi="Arial" w:cs="Arial"/>
          <w:sz w:val="20"/>
          <w:szCs w:val="20"/>
        </w:rPr>
        <w:t>methodology</w:t>
      </w:r>
      <w:r w:rsidR="005364DB">
        <w:rPr>
          <w:rFonts w:ascii="Arial" w:eastAsia="Arial" w:hAnsi="Arial" w:cs="Arial"/>
          <w:sz w:val="20"/>
          <w:szCs w:val="20"/>
        </w:rPr>
        <w:t xml:space="preserve">, </w:t>
      </w:r>
      <w:r w:rsidR="005364DB" w:rsidRPr="00153ECD">
        <w:rPr>
          <w:rFonts w:ascii="Arial" w:eastAsia="Arial" w:hAnsi="Arial" w:cs="Arial"/>
          <w:sz w:val="20"/>
          <w:szCs w:val="20"/>
        </w:rPr>
        <w:t xml:space="preserve">such as the National Institute of Health and Clinical Excellence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"146skg0hh", "citationItems" : [ { "id" : "ITEM-1", "itemData" : { "DOI" : "10.1155/2015/519032", "ISSN" : "1687-8337, 1687-8345", "author" : [ { "dropping-particle" : "", "family" : "Sun", "given" : "Mingfang", "non-dropping-particle" : "", "parse-names" : false, "suffix" : "" }, { "dropping-particle" : "", "family" : "Zhang", "given" : "Min", "non-dropping-particle" : "", "parse-names" : false, "suffix" : "" }, { "dropping-particle" : "", "family" : "Shen", "given" : "Jing", "non-dropping-particle" : "", "parse-names" : false, "suffix" : "" }, { "dropping-particle" : "", "family" : "Yan", "given" : "Juping", "non-dropping-particle" : "", "parse-names" : false, "suffix" : "" }, { "dropping-particle" : "", "family" : "Zhou", "given" : "Bo", "non-dropping-particle" : "", "parse-names" : false, "suffix" : "" } ], "container-title" : "International Journal of Endocrinology", "id" : "ITEM-1", "issued" : { "date-parts" : [ [ "2015", "2", "2" ] ] }, "language" : "en", "page" : "1-11", "title" : "Critical Appraisal of International Guidelines for the Management of Diabetic Neuropathy: Is There Global Agreement in the Internet Era?", "type" : "article-journal", "volume" : "2015" }, "uris" : [ "http://www.mendeley.com/documents/?uuid=d3285f58-16f8-49c2-8cb8-76938917aea4" ] }, { "id" : "ITEM-2", "itemData" : { "DOI" : "10.1371/journal.pone.0095369", "ISSN" : "1932-6203", "author" : [ { "dropping-particle" : "", "family" : "Brosseau", "given" : "Lucie", "non-dropping-particle" : "", "parse-names" : false, "suffix" : "" }, { "dropping-particle" : "", "family" : "Rahman", "given" : "Prinon", "non-dropping-particle" : "", "parse-names" : false, "suffix" : "" }, { "dropping-particle" : "", "family" : "Poitras", "given" : "St\u00e9phane", "non-dropping-particle" : "", "parse-names" : false, "suffix" : "" }, { "dropping-particle" : "", "family" : "Toupin-April", "given" : "Karine", "non-dropping-particle" : "", "parse-names" : false, "suffix" : "" }, { "dropping-particle" : "", "family" : "Paterson", "given" : "Gail", "non-dropping-particle" : "", "parse-names" : false, "suffix" : "" }, { "dropping-particle" : "", "family" : "Smith", "given" : "Christine", "non-dropping-particle" : "", "parse-names" : false, "suffix" : "" }, { "dropping-particle" : "", "family" : "King", "given" : "Judy", "non-dropping-particle" : "", "parse-names" : false, "suffix" : "" }, { "dropping-particle" : "", "family" : "Casimiro", "given" : "Lynn", "non-dropping-particle" : "", "parse-names" : false, "suffix" : "" }, { "dropping-particle" : "", "family" : "Angelis", "given" : "Gino", "non-dropping-particle" : "De", "parse-names" : false, "suffix" : "" }, { "dropping-particle" : "", "family" : "Loew", "given" : "Laurianne", "non-dropping-particle" : "", "parse-names" : false, "suffix" : "" }, { "dropping-particle" : "", "family" : "Cavallo", "given" : "Sabrina", "non-dropping-particle" : "", "parse-names" : false, "suffix" : "" }, { "dropping-particle" : "", "family" : "Ewan", "given" : "Jessica Mc", "non-dropping-particle" : "", "parse-names" : false, "suffix" : "" } ], "container-title" : "PLoS ONE", "editor" : [ { "dropping-particle" : "V", "family" : "Hernandez", "given" : "Adrian", "non-dropping-particle" : "", "parse-names" : false, "suffix" : "" } ], "id" : "ITEM-2", "issue" : "5", "issued" : { "date-parts" : [ [ "2014", "2", "2" ] ] }, "language" : "en", "page" : "e95369", "title" : "A Systematic Critical Appraisal of Non-Pharmacological Management of Rheumatoid Arthritis with Appraisal of Guidelines for Research and Evaluation II", "type" : "article-journal", "volume" : "9" }, "uris" : [ "http://www.mendeley.com/documents/?uuid=6e95240a-b874-4e5c-85c1-53dce7a793a9" ] } ], "mendeley" : { "formattedCitation" : "[11,13]", "plainTextFormattedCitation" : "[11,13]", "previouslyFormattedCitation" : "[11,13]" }, "properties" : { "formattedCitation" : "[8,10]", "noteIndex" : 0, "plainCitation" : "[8,10]"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[11,13]</w:t>
      </w:r>
      <w:r w:rsidR="004C3C88" w:rsidRPr="00153ECD">
        <w:rPr>
          <w:rFonts w:ascii="Arial" w:eastAsia="Arial" w:hAnsi="Arial" w:cs="Arial"/>
          <w:sz w:val="20"/>
          <w:szCs w:val="20"/>
        </w:rPr>
        <w:fldChar w:fldCharType="end"/>
      </w:r>
      <w:r w:rsidR="005364DB" w:rsidRPr="00153ECD">
        <w:rPr>
          <w:rFonts w:ascii="Arial" w:eastAsia="Arial" w:hAnsi="Arial" w:cs="Arial"/>
          <w:sz w:val="20"/>
          <w:szCs w:val="20"/>
        </w:rPr>
        <w:t xml:space="preserve"> and the Scottish Intercollegiate Guideline Network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"v7jl1jd3k", "citationItems" : [ { "id" : "ITEM-1", "itemData" : { "DOI" : "10.1155/2015/519032", "ISSN" : "1687-8337, 1687-8345", "author" : [ { "dropping-particle" : "", "family" : "Sun", "given" : "Mingfang", "non-dropping-particle" : "", "parse-names" : false, "suffix" : "" }, { "dropping-particle" : "", "family" : "Zhang", "given" : "Min", "non-dropping-particle" : "", "parse-names" : false, "suffix" : "" }, { "dropping-particle" : "", "family" : "Shen", "given" : "Jing", "non-dropping-particle" : "", "parse-names" : false, "suffix" : "" }, { "dropping-particle" : "", "family" : "Yan", "given" : "Juping", "non-dropping-particle" : "", "parse-names" : false, "suffix" : "" }, { "dropping-particle" : "", "family" : "Zhou", "given" : "Bo", "non-dropping-particle" : "", "parse-names" : false, "suffix" : "" } ], "container-title" : "International Journal of Endocrinology", "id" : "ITEM-1", "issued" : { "date-parts" : [ [ "2015", "2", "2" ] ] }, "language" : "en", "page" : "1-11", "title" : "Critical Appraisal of International Guidelines for the Management of Diabetic Neuropathy: Is There Global Agreement in the Internet Era?", "type" : "article-journal", "volume" : "2015" }, "uris" : [ "http://www.mendeley.com/documents/?uuid=d3285f58-16f8-49c2-8cb8-76938917aea4" ] }, { "id" : "ITEM-2", "itemData" : { "DOI" : "10.1371/journal.pone.0095369", "ISSN" : "1932-6203", "author" : [ { "dropping-particle" : "", "family" : "Brosseau", "given" : "Lucie", "non-dropping-particle" : "", "parse-names" : false, "suffix" : "" }, { "dropping-particle" : "", "family" : "Rahman", "given" : "Prinon", "non-dropping-particle" : "", "parse-names" : false, "suffix" : "" }, { "dropping-particle" : "", "family" : "Poitras", "given" : "St\u00e9phane", "non-dropping-particle" : "", "parse-names" : false, "suffix" : "" }, { "dropping-particle" : "", "family" : "Toupin-April", "given" : "Karine", "non-dropping-particle" : "", "parse-names" : false, "suffix" : "" }, { "dropping-particle" : "", "family" : "Paterson", "given" : "Gail", "non-dropping-particle" : "", "parse-names" : false, "suffix" : "" }, { "dropping-particle" : "", "family" : "Smith", "given" : "Christine", "non-dropping-particle" : "", "parse-names" : false, "suffix" : "" }, { "dropping-particle" : "", "family" : "King", "given" : "Judy", "non-dropping-particle" : "", "parse-names" : false, "suffix" : "" }, { "dropping-particle" : "", "family" : "Casimiro", "given" : "Lynn", "non-dropping-particle" : "", "parse-names" : false, "suffix" : "" }, { "dropping-particle" : "", "family" : "Angelis", "given" : "Gino", "non-dropping-particle" : "De", "parse-names" : false, "suffix" : "" }, { "dropping-particle" : "", "family" : "Loew", "given" : "Laurianne", "non-dropping-particle" : "", "parse-names" : false, "suffix" : "" }, { "dropping-particle" : "", "family" : "Cavallo", "given" : "Sabrina", "non-dropping-particle" : "", "parse-names" : false, "suffix" : "" }, { "dropping-particle" : "", "family" : "Ewan", "given" : "Jessica Mc", "non-dropping-particle" : "", "parse-names" : false, "suffix" : "" } ], "container-title" : "PLoS ONE", "editor" : [ { "dropping-particle" : "V", "family" : "Hernandez", "given" : "Adrian", "non-dropping-particle" : "", "parse-names" : false, "suffix" : "" } ], "id" : "ITEM-2", "issue" : "5", "issued" : { "date-parts" : [ [ "2014", "2", "2" ] ] }, "language" : "en", "page" : "e95369", "title" : "A Systematic Critical Appraisal of Non-Pharmacological Management of Rheumatoid Arthritis with Appraisal of Guidelines for Research and Evaluation II", "type" : "article-journal", "volume" : "9" }, "uris" : [ "http://www.mendeley.com/documents/?uuid=6e95240a-b874-4e5c-85c1-53dce7a793a9" ] }, { "id" : "ITEM-3", "itemData" : { "DOI" : "10.2147/CIA.S65046", "ISSN" : "1178-1998", "author" : [ { "dropping-particle" : "", "family" : "Damiani", "given" : "Gianfranco", "non-dropping-particle" : "", "parse-names" : false, "suffix" : "" }, { "dropping-particle" : "", "family" : "Silvestrini", "given" : "Giulia", "non-dropping-particle" : "", "parse-names" : false, "suffix" : "" }, { "dropping-particle" : "", "family" : "Trozzi", "given" : "Lucrezia", "non-dropping-particle" : "", "parse-names" : false, "suffix" : "" }, { "dropping-particle" : "", "family" : "Maci", "given" : "Donatella", "non-dropping-particle" : "", "parse-names" : false, "suffix" : "" }, { "dropping-particle" : "", "family" : "Iodice", "given" : "Lanfranco", "non-dropping-particle" : "", "parse-names" : false, "suffix" : "" }, { "dropping-particle" : "", "family" : "Ricciardi", "given" : "Walter", "non-dropping-particle" : "", "parse-names" : false, "suffix" : "" } ], "container-title" : "Clinical Interventions in Aging", "id" : "ITEM-3", "issued" : { "date-parts" : [ [ "2014", "2", "2" ] ] }, "language" : "en", "page" : "1399", "title" : "Quality of dementia clinical guidelines and relevance to the care of older people with comorbidity: evidence from the literature", "type" : "article-journal" }, "uris" : [ "http://www.mendeley.com/documents/?uuid=4c0e769c-792c-4524-a0e7-5806e9ed4b34" ] } ], "mendeley" : { "formattedCitation" : "[11,13,20]", "plainTextFormattedCitation" : "[11,13,20]", "previouslyFormattedCitation" : "[11,13,20]" }, "properties" : { "formattedCitation" : "[8,10,17]", "noteIndex" : 0, "plainCitation" : "[8,10,17]"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[11,13,20]</w:t>
      </w:r>
      <w:r w:rsidR="004C3C88" w:rsidRPr="00153ECD">
        <w:rPr>
          <w:rFonts w:ascii="Arial" w:eastAsia="Arial" w:hAnsi="Arial" w:cs="Arial"/>
          <w:sz w:val="20"/>
          <w:szCs w:val="20"/>
        </w:rPr>
        <w:fldChar w:fldCharType="end"/>
      </w:r>
      <w:r w:rsidR="005364DB">
        <w:rPr>
          <w:rFonts w:ascii="Arial" w:eastAsia="Arial" w:hAnsi="Arial" w:cs="Arial"/>
          <w:sz w:val="20"/>
          <w:szCs w:val="20"/>
        </w:rPr>
        <w:t>,</w:t>
      </w:r>
      <w:r w:rsidR="006F2D3D" w:rsidRPr="00153ECD">
        <w:rPr>
          <w:rFonts w:ascii="Arial" w:eastAsia="Arial" w:hAnsi="Arial" w:cs="Arial"/>
          <w:sz w:val="20"/>
          <w:szCs w:val="20"/>
        </w:rPr>
        <w:t xml:space="preserve"> generally score well in this domain.</w:t>
      </w:r>
      <w:r w:rsidR="00B20E15" w:rsidRPr="00153ECD">
        <w:rPr>
          <w:rFonts w:ascii="Arial" w:eastAsia="Arial" w:hAnsi="Arial" w:cs="Arial"/>
          <w:sz w:val="20"/>
          <w:szCs w:val="20"/>
        </w:rPr>
        <w:t xml:space="preserve"> T</w:t>
      </w:r>
      <w:r w:rsidR="006F2D3D" w:rsidRPr="00153ECD">
        <w:rPr>
          <w:rFonts w:ascii="Arial" w:eastAsia="Arial" w:hAnsi="Arial" w:cs="Arial"/>
          <w:sz w:val="20"/>
          <w:szCs w:val="20"/>
        </w:rPr>
        <w:t>h</w:t>
      </w:r>
      <w:r w:rsidR="005364DB">
        <w:rPr>
          <w:rFonts w:ascii="Arial" w:eastAsia="Arial" w:hAnsi="Arial" w:cs="Arial"/>
          <w:sz w:val="20"/>
          <w:szCs w:val="20"/>
        </w:rPr>
        <w:t>e Stakeholder Involvement</w:t>
      </w:r>
      <w:r w:rsidR="006F2D3D" w:rsidRPr="00153ECD">
        <w:rPr>
          <w:rFonts w:ascii="Arial" w:eastAsia="Arial" w:hAnsi="Arial" w:cs="Arial"/>
          <w:sz w:val="20"/>
          <w:szCs w:val="20"/>
        </w:rPr>
        <w:t xml:space="preserve"> domain also identified a deficit in patient involvement in guid</w:t>
      </w:r>
      <w:r w:rsidR="00794D70">
        <w:rPr>
          <w:rFonts w:ascii="Arial" w:eastAsia="Arial" w:hAnsi="Arial" w:cs="Arial"/>
          <w:sz w:val="20"/>
          <w:szCs w:val="20"/>
        </w:rPr>
        <w:t>eline</w:t>
      </w:r>
      <w:r w:rsidR="006F2D3D" w:rsidRPr="00153ECD">
        <w:rPr>
          <w:rFonts w:ascii="Arial" w:eastAsia="Arial" w:hAnsi="Arial" w:cs="Arial"/>
          <w:sz w:val="20"/>
          <w:szCs w:val="20"/>
        </w:rPr>
        <w:t xml:space="preserve"> development</w:t>
      </w:r>
      <w:r w:rsidR="009D66D8">
        <w:rPr>
          <w:rFonts w:ascii="Arial" w:eastAsia="Arial" w:hAnsi="Arial" w:cs="Arial"/>
          <w:sz w:val="20"/>
          <w:szCs w:val="20"/>
        </w:rPr>
        <w:t xml:space="preserve">, similar to </w:t>
      </w:r>
      <w:r w:rsidR="006F2D3D" w:rsidRPr="00153ECD">
        <w:rPr>
          <w:rFonts w:ascii="Arial" w:eastAsia="Arial" w:hAnsi="Arial" w:cs="Arial"/>
          <w:sz w:val="20"/>
          <w:szCs w:val="20"/>
        </w:rPr>
        <w:t xml:space="preserve">other </w:t>
      </w:r>
      <w:r w:rsidR="00D27710" w:rsidRPr="00153ECD">
        <w:rPr>
          <w:rFonts w:ascii="Arial" w:eastAsia="Arial" w:hAnsi="Arial" w:cs="Arial"/>
          <w:sz w:val="20"/>
          <w:szCs w:val="20"/>
        </w:rPr>
        <w:t>findings</w:t>
      </w:r>
      <w:r w:rsidR="006F2D3D" w:rsidRPr="00153ECD">
        <w:rPr>
          <w:rFonts w:ascii="Arial" w:eastAsia="Arial" w:hAnsi="Arial" w:cs="Arial"/>
          <w:sz w:val="20"/>
          <w:szCs w:val="20"/>
        </w:rPr>
        <w:t xml:space="preserve"> using AGREE II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"gvga5apsk", "citationItems" : [ { "id" : "ITEM-1", "itemData" : { "DOI" : "10.1016/j.metabol.2015.12.013", "ISSN" : "00260495", "author" : [ { "dropping-particle" : "", "family" : "Chakhtoura", "given" : "Marlene Toufic", "non-dropping-particle" : "", "parse-names" : false, "suffix" : "" }, { "dropping-particle" : "", "family" : "Nakhoul", "given" : "Nancy", "non-dropping-particle" : "", "parse-names" : false, "suffix" : "" }, { "dropping-particle" : "", "family" : "Akl", "given" : "Elie A", "non-dropping-particle" : "", "parse-names" : false, "suffix" : "" }, { "dropping-particle" : "", "family" : "Mantzoros", "given" : "Christos S", "non-dropping-particle" : "", "parse-names" : false, "suffix" : "" }, { "dropping-particle" : "", "family" : "Hajj Fuleihan", "given" : "Ghada A", "non-dropping-particle" : "El", "parse-names" : false, "suffix" : "" } ], "container-title" : "Metabolism", "id" : "ITEM-1", "issued" : { "date-parts" : [ [ "2016", "2", "2" ] ] }, "language" : "en", "title" : "Guidelines on vitamin D replacement in bariatric surgery: Identification and systematic appraisal", "type" : "article-journal" }, "uris" : [ "http://www.mendeley.com/documents/?uuid=49518bdc-aede-476a-a4c7-c1d1c7ed48d3" ] }, { "id" : "ITEM-2", "itemData" : { "DOI" : "10.1371/journal.pone.0095369", "ISSN" : "1932-6203", "author" : [ { "dropping-particle" : "", "family" : "Brosseau", "given" : "Lucie", "non-dropping-particle" : "", "parse-names" : false, "suffix" : "" }, { "dropping-particle" : "", "family" : "Rahman", "given" : "Prinon", "non-dropping-particle" : "", "parse-names" : false, "suffix" : "" }, { "dropping-particle" : "", "family" : "Poitras", "given" : "St\u00e9phane", "non-dropping-particle" : "", "parse-names" : false, "suffix" : "" }, { "dropping-particle" : "", "family" : "Toupin-April", "given" : "Karine", "non-dropping-particle" : "", "parse-names" : false, "suffix" : "" }, { "dropping-particle" : "", "family" : "Paterson", "given" : "Gail", "non-dropping-particle" : "", "parse-names" : false, "suffix" : "" }, { "dropping-particle" : "", "family" : "Smith", "given" : "Christine", "non-dropping-particle" : "", "parse-names" : false, "suffix" : "" }, { "dropping-particle" : "", "family" : "King", "given" : "Judy", "non-dropping-particle" : "", "parse-names" : false, "suffix" : "" }, { "dropping-particle" : "", "family" : "Casimiro", "given" : "Lynn", "non-dropping-particle" : "", "parse-names" : false, "suffix" : "" }, { "dropping-particle" : "", "family" : "Angelis", "given" : "Gino", "non-dropping-particle" : "De", "parse-names" : false, "suffix" : "" }, { "dropping-particle" : "", "family" : "Loew", "given" : "Laurianne", "non-dropping-particle" : "", "parse-names" : false, "suffix" : "" }, { "dropping-particle" : "", "family" : "Cavallo", "given" : "Sabrina", "non-dropping-particle" : "", "parse-names" : false, "suffix" : "" }, { "dropping-particle" : "", "family" : "Ewan", "given" : "Jessica Mc", "non-dropping-particle" : "", "parse-names" : false, "suffix" : "" } ], "container-title" : "PLoS ONE", "editor" : [ { "dropping-particle" : "V", "family" : "Hernandez", "given" : "Adrian", "non-dropping-particle" : "", "parse-names" : false, "suffix" : "" } ], "id" : "ITEM-2", "issue" : "5", "issued" : { "date-parts" : [ [ "2014", "2", "2" ] ] }, "language" : "en", "page" : "e95369", "title" : "A Systematic Critical Appraisal of Non-Pharmacological Management of Rheumatoid Arthritis with Appraisal of Guidelines for Research and Evaluation II", "type" : "article-journal", "volume" : "9" }, "uris" : [ "http://www.mendeley.com/documents/?uuid=6e95240a-b874-4e5c-85c1-53dce7a793a9" ] } ], "mendeley" : { "formattedCitation" : "[11,21]", "plainTextFormattedCitation" : "[11,21]", "previouslyFormattedCitation" : "[11,21]" }, "properties" : { "formattedCitation" : "[8,18]", "noteIndex" : 0, "plainCitation" : "[8,18]"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[11,21]</w:t>
      </w:r>
      <w:r w:rsidR="004C3C88" w:rsidRPr="00153ECD">
        <w:rPr>
          <w:rFonts w:ascii="Arial" w:eastAsia="Arial" w:hAnsi="Arial" w:cs="Arial"/>
          <w:sz w:val="20"/>
          <w:szCs w:val="20"/>
        </w:rPr>
        <w:fldChar w:fldCharType="end"/>
      </w:r>
      <w:r w:rsidR="006F2D3D" w:rsidRPr="00153ECD">
        <w:rPr>
          <w:rFonts w:ascii="Arial" w:eastAsia="Arial" w:hAnsi="Arial" w:cs="Arial"/>
          <w:sz w:val="20"/>
          <w:szCs w:val="20"/>
        </w:rPr>
        <w:t>.</w:t>
      </w:r>
    </w:p>
    <w:p w:rsidR="006F2D3D" w:rsidRPr="00153ECD" w:rsidRDefault="006F2D3D" w:rsidP="00EE672C">
      <w:pPr>
        <w:spacing w:after="0" w:line="480" w:lineRule="auto"/>
        <w:rPr>
          <w:rFonts w:ascii="Arial" w:eastAsia="Arial" w:hAnsi="Arial" w:cs="Arial"/>
          <w:sz w:val="20"/>
          <w:szCs w:val="20"/>
        </w:rPr>
      </w:pPr>
    </w:p>
    <w:p w:rsidR="006F2D3D" w:rsidRPr="00153ECD" w:rsidRDefault="005364DB" w:rsidP="00EE672C">
      <w:pPr>
        <w:spacing w:after="0" w:line="480" w:lineRule="auto"/>
        <w:rPr>
          <w:rFonts w:ascii="Arial" w:eastAsia="Arial" w:hAnsi="Arial" w:cs="Arial"/>
          <w:sz w:val="20"/>
          <w:szCs w:val="20"/>
        </w:rPr>
      </w:pPr>
      <w:r>
        <w:rPr>
          <w:rFonts w:ascii="Arial" w:eastAsia="Arial" w:hAnsi="Arial" w:cs="Arial"/>
          <w:sz w:val="20"/>
          <w:szCs w:val="20"/>
        </w:rPr>
        <w:lastRenderedPageBreak/>
        <w:t>This study also found v</w:t>
      </w:r>
      <w:r w:rsidR="006F2D3D" w:rsidRPr="00153ECD">
        <w:rPr>
          <w:rFonts w:ascii="Arial" w:eastAsia="Arial" w:hAnsi="Arial" w:cs="Arial"/>
          <w:sz w:val="20"/>
          <w:szCs w:val="20"/>
        </w:rPr>
        <w:t xml:space="preserve">ariation </w:t>
      </w:r>
      <w:r w:rsidR="004926D6" w:rsidRPr="00153ECD">
        <w:rPr>
          <w:rFonts w:ascii="Arial" w:eastAsia="Arial" w:hAnsi="Arial" w:cs="Arial"/>
          <w:sz w:val="20"/>
          <w:szCs w:val="20"/>
        </w:rPr>
        <w:t>in</w:t>
      </w:r>
      <w:r w:rsidR="006F2D3D" w:rsidRPr="00153ECD">
        <w:rPr>
          <w:rFonts w:ascii="Arial" w:eastAsia="Arial" w:hAnsi="Arial" w:cs="Arial"/>
          <w:sz w:val="20"/>
          <w:szCs w:val="20"/>
        </w:rPr>
        <w:t xml:space="preserve"> terminology</w:t>
      </w:r>
      <w:r w:rsidR="00D27710" w:rsidRPr="00153ECD">
        <w:rPr>
          <w:rFonts w:ascii="Arial" w:eastAsia="Arial" w:hAnsi="Arial" w:cs="Arial"/>
          <w:sz w:val="20"/>
          <w:szCs w:val="20"/>
        </w:rPr>
        <w:t xml:space="preserve"> </w:t>
      </w:r>
      <w:r w:rsidR="0011529F" w:rsidRPr="00153ECD">
        <w:rPr>
          <w:rFonts w:ascii="Arial" w:eastAsia="Arial" w:hAnsi="Arial" w:cs="Arial"/>
          <w:sz w:val="20"/>
          <w:szCs w:val="20"/>
        </w:rPr>
        <w:t xml:space="preserve">in terms </w:t>
      </w:r>
      <w:r w:rsidR="00D27710" w:rsidRPr="00153ECD">
        <w:rPr>
          <w:rFonts w:ascii="Arial" w:eastAsia="Arial" w:hAnsi="Arial" w:cs="Arial"/>
          <w:sz w:val="20"/>
          <w:szCs w:val="20"/>
        </w:rPr>
        <w:t>of</w:t>
      </w:r>
      <w:r w:rsidR="006F2D3D" w:rsidRPr="00153ECD">
        <w:rPr>
          <w:rFonts w:ascii="Arial" w:eastAsia="Arial" w:hAnsi="Arial" w:cs="Arial"/>
          <w:sz w:val="20"/>
          <w:szCs w:val="20"/>
        </w:rPr>
        <w:t xml:space="preserve"> what constitutes an “unlicensed medicine” </w:t>
      </w:r>
      <w:r w:rsidR="00D27710" w:rsidRPr="00153ECD">
        <w:rPr>
          <w:rFonts w:ascii="Arial" w:eastAsia="Arial" w:hAnsi="Arial" w:cs="Arial"/>
          <w:sz w:val="20"/>
          <w:szCs w:val="20"/>
        </w:rPr>
        <w:t xml:space="preserve">which </w:t>
      </w:r>
      <w:r w:rsidR="006F2D3D" w:rsidRPr="00153ECD">
        <w:rPr>
          <w:rFonts w:ascii="Arial" w:eastAsia="Arial" w:hAnsi="Arial" w:cs="Arial"/>
          <w:sz w:val="20"/>
          <w:szCs w:val="20"/>
        </w:rPr>
        <w:t>is potentially misleading for both healthcare pro</w:t>
      </w:r>
      <w:r w:rsidR="004926D6" w:rsidRPr="00153ECD">
        <w:rPr>
          <w:rFonts w:ascii="Arial" w:eastAsia="Arial" w:hAnsi="Arial" w:cs="Arial"/>
          <w:sz w:val="20"/>
          <w:szCs w:val="20"/>
        </w:rPr>
        <w:t xml:space="preserve">fessionals and their patients. </w:t>
      </w:r>
      <w:r w:rsidR="006F2D3D" w:rsidRPr="00153ECD">
        <w:rPr>
          <w:rFonts w:ascii="Arial" w:eastAsia="Arial" w:hAnsi="Arial" w:cs="Arial"/>
          <w:sz w:val="20"/>
          <w:szCs w:val="20"/>
        </w:rPr>
        <w:t xml:space="preserve"> </w:t>
      </w:r>
      <w:r w:rsidR="00D27710" w:rsidRPr="00153ECD">
        <w:rPr>
          <w:rFonts w:ascii="Arial" w:eastAsia="Arial" w:hAnsi="Arial" w:cs="Arial"/>
          <w:sz w:val="20"/>
          <w:szCs w:val="20"/>
        </w:rPr>
        <w:t>Lack of clarity</w:t>
      </w:r>
      <w:r w:rsidR="004926D6" w:rsidRPr="00153ECD">
        <w:rPr>
          <w:rFonts w:ascii="Arial" w:eastAsia="Arial" w:hAnsi="Arial" w:cs="Arial"/>
          <w:sz w:val="20"/>
          <w:szCs w:val="20"/>
        </w:rPr>
        <w:t xml:space="preserve"> in describing</w:t>
      </w:r>
      <w:r w:rsidR="006F2D3D" w:rsidRPr="00153ECD">
        <w:rPr>
          <w:rFonts w:ascii="Arial" w:eastAsia="Arial" w:hAnsi="Arial" w:cs="Arial"/>
          <w:sz w:val="20"/>
          <w:szCs w:val="20"/>
        </w:rPr>
        <w:t xml:space="preserve"> the roles and responsibilities of the individual members of the healthcare team also </w:t>
      </w:r>
      <w:r w:rsidR="007B6E21" w:rsidRPr="00153ECD">
        <w:rPr>
          <w:rFonts w:ascii="Arial" w:eastAsia="Arial" w:hAnsi="Arial" w:cs="Arial"/>
          <w:sz w:val="20"/>
          <w:szCs w:val="20"/>
        </w:rPr>
        <w:t>exists</w:t>
      </w:r>
      <w:r w:rsidR="006F2D3D" w:rsidRPr="00153ECD">
        <w:rPr>
          <w:rFonts w:ascii="Arial" w:eastAsia="Arial" w:hAnsi="Arial" w:cs="Arial"/>
          <w:sz w:val="20"/>
          <w:szCs w:val="20"/>
        </w:rPr>
        <w:t>.</w:t>
      </w:r>
      <w:r w:rsidR="00335BF2" w:rsidRPr="00153ECD">
        <w:rPr>
          <w:rFonts w:ascii="Arial" w:eastAsia="Arial" w:hAnsi="Arial" w:cs="Arial"/>
          <w:sz w:val="20"/>
          <w:szCs w:val="20"/>
        </w:rPr>
        <w:t xml:space="preserve"> This could make implementation of such guidelines difficult and is reflected in low scores in the ‘Applicability’ domain </w:t>
      </w:r>
      <w:r w:rsidR="00F95D33" w:rsidRPr="00153ECD">
        <w:rPr>
          <w:rFonts w:ascii="Arial" w:eastAsia="Arial" w:hAnsi="Arial" w:cs="Arial"/>
          <w:sz w:val="20"/>
          <w:szCs w:val="20"/>
        </w:rPr>
        <w:t>O</w:t>
      </w:r>
      <w:r w:rsidR="00335BF2" w:rsidRPr="00153ECD">
        <w:rPr>
          <w:rFonts w:ascii="Arial" w:eastAsia="Arial" w:hAnsi="Arial" w:cs="Arial"/>
          <w:sz w:val="20"/>
          <w:szCs w:val="20"/>
        </w:rPr>
        <w:t xml:space="preserve">ther analyses have also found </w:t>
      </w:r>
      <w:r w:rsidR="00F95D33" w:rsidRPr="00153ECD">
        <w:rPr>
          <w:rFonts w:ascii="Arial" w:eastAsia="Arial" w:hAnsi="Arial" w:cs="Arial"/>
          <w:sz w:val="20"/>
          <w:szCs w:val="20"/>
        </w:rPr>
        <w:t>a wide variability in the consideration of the use of guid</w:t>
      </w:r>
      <w:r w:rsidR="00794D70">
        <w:rPr>
          <w:rFonts w:ascii="Arial" w:eastAsia="Arial" w:hAnsi="Arial" w:cs="Arial"/>
          <w:sz w:val="20"/>
          <w:szCs w:val="20"/>
        </w:rPr>
        <w:t>elines</w:t>
      </w:r>
      <w:r w:rsidR="00F95D33" w:rsidRPr="00153ECD">
        <w:rPr>
          <w:rFonts w:ascii="Arial" w:eastAsia="Arial" w:hAnsi="Arial" w:cs="Arial"/>
          <w:sz w:val="20"/>
          <w:szCs w:val="20"/>
        </w:rPr>
        <w:t xml:space="preserve"> in practice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"2ivjolf86o", "citationItems" : [ { "id" : "ITEM-1", "itemData" : { "DOI" : "10.1155/2015/456071", "ISSN" : "1687-6105, 1687-6113", "author" : [ { "dropping-particle" : "", "family" : "Kirby", "given" : "Joslyn S", "non-dropping-particle" : "", "parse-names" : false, "suffix" : "" }, { "dropping-particle" : "", "family" : "Scharnitz", "given" : "Thomas", "non-dropping-particle" : "", "parse-names" : false, "suffix" : "" }, { "dropping-particle" : "V", "family" : "Seiverling", "given" : "Elizabeth", "non-dropping-particle" : "", "parse-names" : false, "suffix" : "" }, { "dropping-particle" : "", "family" : "Ahrns", "given" : "Hadjh", "non-dropping-particle" : "", "parse-names" : false, "suffix" : "" }, { "dropping-particle" : "", "family" : "Ferguson", "given" : "Sara", "non-dropping-particle" : "", "parse-names" : false, "suffix" : "" } ], "container-title" : "Dermatology Research and Practice", "id" : "ITEM-1", "issued" : { "date-parts" : [ [ "2015", "2", "2" ] ] }, "language" : "en", "page" : "1-7", "title" : "Actinic Keratosis Clinical Practice Guidelines: An Appraisal of Quality", "type" : "article-journal", "volume" : "2015" }, "uris" : [ "http://www.mendeley.com/documents/?uuid=3b4927b6-90bb-41a5-813e-cf61a71c81a4" ] }, { "id" : "ITEM-2", "itemData" : { "DOI" : "10.1186/1129-2377-15-57", "author" : [ { "dropping-particle" : "", "family" : "Parisi", "given" : "Pasquale", "non-dropping-particle" : "", "parse-names" : false, "suffix" : "" }, { "dropping-particle" : "", "family" : "Vanacore", "given" : "Nicola", "non-dropping-particle" : "", "parse-names" : false, "suffix" : "" }, { "dropping-particle" : "", "family" : "Belcastro", "given" : "Vincenzo", "non-dropping-particle" : "", "parse-names" : false, "suffix" : "" }, { "dropping-particle" : "", "family" : "Carotenuto", "given" : "Marco", "non-dropping-particle" : "", "parse-names" : false, "suffix" : "" }, { "dropping-particle" : "", "family" : "Giudice", "given" : "Ennio", "non-dropping-particle" : "Del", "parse-names" : false, "suffix" : "" }, { "dropping-particle" : "", "family" : "Mariani", "given" : "Rosanna", "non-dropping-particle" : "", "parse-names" : false, "suffix" : "" }, { "dropping-particle" : "", "family" : "Papetti", "given" : "Laura", "non-dropping-particle" : "", "parse-names" : false, "suffix" : "" }, { "dropping-particle" : "", "family" : "Pavone", "given" : "Piero", "non-dropping-particle" : "", "parse-names" : false, "suffix" : "" }, { "dropping-particle" : "", "family" : "Savasta", "given" : "Salvatore", "non-dropping-particle" : "", "parse-names" : false, "suffix" : "" }, { "dropping-particle" : "", "family" : "Striano", "given" : "Pasquale", "non-dropping-particle" : "", "parse-names" : false, "suffix" : "" }, { "dropping-particle" : "", "family" : "others", "given" : "", "non-dropping-particle" : "", "parse-names" : false, "suffix" : "" } ], "container-title" : "The journal of headache and pain", "id" : "ITEM-2", "issue" : "1", "issued" : { "date-parts" : [ [ "2014", "2", "2" ] ] }, "page" : "57", "title" : "Clinical guidelines in pediatric headache: evaluation of quality using the AGREE II instrument", "type" : "article-journal", "volume" : "15" }, "uris" : [ "http://www.mendeley.com/documents/?uuid=9bd746ab-6338-4320-862d-9dc7c106735d" ] }, { "id" : "ITEM-3", "itemData" : { "DOI" : "10.2147/CIA.S65046", "ISSN" : "1178-1998", "author" : [ { "dropping-particle" : "", "family" : "Damiani", "given" : "Gianfranco", "non-dropping-particle" : "", "parse-names" : false, "suffix" : "" }, { "dropping-particle" : "", "family" : "Silvestrini", "given" : "Giulia", "non-dropping-particle" : "", "parse-names" : false, "suffix" : "" }, { "dropping-particle" : "", "family" : "Trozzi", "given" : "Lucrezia", "non-dropping-particle" : "", "parse-names" : false, "suffix" : "" }, { "dropping-particle" : "", "family" : "Maci", "given" : "Donatella", "non-dropping-particle" : "", "parse-names" : false, "suffix" : "" }, { "dropping-particle" : "", "family" : "Iodice", "given" : "Lanfranco", "non-dropping-particle" : "", "parse-names" : false, "suffix" : "" }, { "dropping-particle" : "", "family" : "Ricciardi", "given" : "Walter", "non-dropping-particle" : "", "parse-names" : false, "suffix" : "" } ], "container-title" : "Clinical Interventions in Aging", "id" : "ITEM-3", "issued" : { "date-parts" : [ [ "2014", "2", "2" ] ] }, "language" : "en", "page" : "1399", "title" : "Quality of dementia clinical guidelines and relevance to the care of older people with comorbidity: evidence from the literature", "type" : "article-journal" }, "uris" : [ "http://www.mendeley.com/documents/?uuid=4c0e769c-792c-4524-a0e7-5806e9ed4b34" ] }, { "id" : "ITEM-4", "itemData" : { "DOI" : "10.1371/journal.pone.0095369", "ISSN" : "1932-6203", "author" : [ { "dropping-particle" : "", "family" : "Brosseau", "given" : "Lucie", "non-dropping-particle" : "", "parse-names" : false, "suffix" : "" }, { "dropping-particle" : "", "family" : "Rahman", "given" : "Prinon", "non-dropping-particle" : "", "parse-names" : false, "suffix" : "" }, { "dropping-particle" : "", "family" : "Poitras", "given" : "St\u00e9phane", "non-dropping-particle" : "", "parse-names" : false, "suffix" : "" }, { "dropping-particle" : "", "family" : "Toupin-April", "given" : "Karine", "non-dropping-particle" : "", "parse-names" : false, "suffix" : "" }, { "dropping-particle" : "", "family" : "Paterson", "given" : "Gail", "non-dropping-particle" : "", "parse-names" : false, "suffix" : "" }, { "dropping-particle" : "", "family" : "Smith", "given" : "Christine", "non-dropping-particle" : "", "parse-names" : false, "suffix" : "" }, { "dropping-particle" : "", "family" : "King", "given" : "Judy", "non-dropping-particle" : "", "parse-names" : false, "suffix" : "" }, { "dropping-particle" : "", "family" : "Casimiro", "given" : "Lynn", "non-dropping-particle" : "", "parse-names" : false, "suffix" : "" }, { "dropping-particle" : "", "family" : "Angelis", "given" : "Gino", "non-dropping-particle" : "De", "parse-names" : false, "suffix" : "" }, { "dropping-particle" : "", "family" : "Loew", "given" : "Laurianne", "non-dropping-particle" : "", "parse-names" : false, "suffix" : "" }, { "dropping-particle" : "", "family" : "Cavallo", "given" : "Sabrina", "non-dropping-particle" : "", "parse-names" : false, "suffix" : "" }, { "dropping-particle" : "", "family" : "Ewan", "given" : "Jessica Mc", "non-dropping-particle" : "", "parse-names" : false, "suffix" : "" } ], "container-title" : "PLoS ONE", "editor" : [ { "dropping-particle" : "V", "family" : "Hernandez", "given" : "Adrian", "non-dropping-particle" : "", "parse-names" : false, "suffix" : "" } ], "id" : "ITEM-4", "issue" : "5", "issued" : { "date-parts" : [ [ "2014", "2", "2" ] ] }, "language" : "en", "page" : "e95369", "title" : "A Systematic Critical Appraisal of Non-Pharmacological Management of Rheumatoid Arthritis with Appraisal of Guidelines for Research and Evaluation II", "type" : "article-journal", "volume" : "9" }, "uris" : [ "http://www.mendeley.com/documents/?uuid=6e95240a-b874-4e5c-85c1-53dce7a793a9" ] }, { "id" : "ITEM-5", "itemData" : { "DOI" : "10.1016/j.metabol.2015.12.013", "ISSN" : "00260495", "author" : [ { "dropping-particle" : "", "family" : "Chakhtoura", "given" : "Marlene Toufic", "non-dropping-particle" : "", "parse-names" : false, "suffix" : "" }, { "dropping-particle" : "", "family" : "Nakhoul", "given" : "Nancy", "non-dropping-particle" : "", "parse-names" : false, "suffix" : "" }, { "dropping-particle" : "", "family" : "Akl", "given" : "Elie A", "non-dropping-particle" : "", "parse-names" : false, "suffix" : "" }, { "dropping-particle" : "", "family" : "Mantzoros", "given" : "Christos S", "non-dropping-particle" : "", "parse-names" : false, "suffix" : "" }, { "dropping-particle" : "", "family" : "Hajj Fuleihan", "given" : "Ghada A", "non-dropping-particle" : "El", "parse-names" : false, "suffix" : "" } ], "container-title" : "Metabolism", "id" : "ITEM-5", "issued" : { "date-parts" : [ [ "2016", "2", "2" ] ] }, "language" : "en", "title" : "Guidelines on vitamin D replacement in bariatric surgery: Identification and systematic appraisal", "type" : "article-journal" }, "uris" : [ "http://www.mendeley.com/documents/?uuid=49518bdc-aede-476a-a4c7-c1d1c7ed48d3" ] } ], "mendeley" : { "formattedCitation" : "[11,12,18,20,21]", "plainTextFormattedCitation" : "[11,12,18,20,21]", "previouslyFormattedCitation" : "[11,12,18,20,21]" }, "properties" : { "formattedCitation" : "[8,9,15,17,18]", "noteIndex" : 0, "plainCitation" : "[8,9,15,17,18]"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[11,12,18,20,21]</w:t>
      </w:r>
      <w:r w:rsidR="004C3C88" w:rsidRPr="00153ECD">
        <w:rPr>
          <w:rFonts w:ascii="Arial" w:eastAsia="Arial" w:hAnsi="Arial" w:cs="Arial"/>
          <w:sz w:val="20"/>
          <w:szCs w:val="20"/>
        </w:rPr>
        <w:fldChar w:fldCharType="end"/>
      </w:r>
      <w:r w:rsidR="00335BF2" w:rsidRPr="00153ECD">
        <w:rPr>
          <w:rFonts w:ascii="Arial" w:eastAsia="Arial" w:hAnsi="Arial" w:cs="Arial"/>
          <w:sz w:val="20"/>
          <w:szCs w:val="20"/>
        </w:rPr>
        <w:t>.</w:t>
      </w:r>
    </w:p>
    <w:p w:rsidR="006F2D3D" w:rsidRPr="00153ECD" w:rsidRDefault="006F2D3D" w:rsidP="00EE672C">
      <w:pPr>
        <w:spacing w:after="0" w:line="480" w:lineRule="auto"/>
        <w:rPr>
          <w:rFonts w:ascii="Arial" w:eastAsia="Arial" w:hAnsi="Arial" w:cs="Arial"/>
          <w:sz w:val="20"/>
          <w:szCs w:val="20"/>
        </w:rPr>
      </w:pPr>
    </w:p>
    <w:p w:rsidR="006F2D3D" w:rsidRPr="00153ECD" w:rsidRDefault="004926D6" w:rsidP="00EE672C">
      <w:pPr>
        <w:spacing w:after="0" w:line="480" w:lineRule="auto"/>
        <w:rPr>
          <w:rFonts w:ascii="Arial" w:eastAsia="Arial" w:hAnsi="Arial" w:cs="Arial"/>
          <w:sz w:val="20"/>
          <w:szCs w:val="20"/>
        </w:rPr>
      </w:pPr>
      <w:r w:rsidRPr="00153ECD">
        <w:rPr>
          <w:rFonts w:ascii="Arial" w:eastAsia="Arial" w:hAnsi="Arial" w:cs="Arial"/>
          <w:sz w:val="20"/>
          <w:szCs w:val="20"/>
        </w:rPr>
        <w:t xml:space="preserve">Risk attenuation </w:t>
      </w:r>
      <w:r w:rsidR="006F2D3D" w:rsidRPr="00153ECD">
        <w:rPr>
          <w:rFonts w:ascii="Arial" w:eastAsia="Arial" w:hAnsi="Arial" w:cs="Arial"/>
          <w:sz w:val="20"/>
          <w:szCs w:val="20"/>
        </w:rPr>
        <w:t xml:space="preserve">procedures </w:t>
      </w:r>
      <w:r w:rsidRPr="00153ECD">
        <w:rPr>
          <w:rFonts w:ascii="Arial" w:eastAsia="Arial" w:hAnsi="Arial" w:cs="Arial"/>
          <w:sz w:val="20"/>
          <w:szCs w:val="20"/>
        </w:rPr>
        <w:t xml:space="preserve">for </w:t>
      </w:r>
      <w:r w:rsidR="006F2D3D" w:rsidRPr="00153ECD">
        <w:rPr>
          <w:rFonts w:ascii="Arial" w:eastAsia="Arial" w:hAnsi="Arial" w:cs="Arial"/>
          <w:sz w:val="20"/>
          <w:szCs w:val="20"/>
        </w:rPr>
        <w:t xml:space="preserve">the use of </w:t>
      </w:r>
      <w:r w:rsidR="008222B8" w:rsidRPr="00153ECD">
        <w:rPr>
          <w:rFonts w:ascii="Arial" w:eastAsia="Arial" w:hAnsi="Arial" w:cs="Arial"/>
          <w:sz w:val="20"/>
          <w:szCs w:val="20"/>
        </w:rPr>
        <w:t>ULMs</w:t>
      </w:r>
      <w:r w:rsidR="00F95D33" w:rsidRPr="00153ECD">
        <w:rPr>
          <w:rFonts w:ascii="Arial" w:eastAsia="Arial" w:hAnsi="Arial" w:cs="Arial"/>
          <w:sz w:val="20"/>
          <w:szCs w:val="20"/>
        </w:rPr>
        <w:t xml:space="preserve"> were</w:t>
      </w:r>
      <w:r w:rsidR="006F2D3D" w:rsidRPr="00153ECD">
        <w:rPr>
          <w:rFonts w:ascii="Arial" w:eastAsia="Arial" w:hAnsi="Arial" w:cs="Arial"/>
          <w:sz w:val="20"/>
          <w:szCs w:val="20"/>
        </w:rPr>
        <w:t xml:space="preserve"> heavily focused on pharmacy teams</w:t>
      </w:r>
      <w:r w:rsidRPr="00153ECD">
        <w:rPr>
          <w:rFonts w:ascii="Arial" w:eastAsia="Arial" w:hAnsi="Arial" w:cs="Arial"/>
          <w:sz w:val="20"/>
          <w:szCs w:val="20"/>
        </w:rPr>
        <w:t xml:space="preserve">.  </w:t>
      </w:r>
      <w:r w:rsidR="006F2D3D" w:rsidRPr="00153ECD">
        <w:rPr>
          <w:rFonts w:ascii="Arial" w:eastAsia="Arial" w:hAnsi="Arial" w:cs="Arial"/>
          <w:sz w:val="20"/>
          <w:szCs w:val="20"/>
        </w:rPr>
        <w:t xml:space="preserve">In contrast, prescribers are seen to be responsible for the clinical decision making, documentation of communication with the patient and </w:t>
      </w:r>
      <w:r w:rsidR="001823D2">
        <w:rPr>
          <w:rFonts w:ascii="Arial" w:eastAsia="Arial" w:hAnsi="Arial" w:cs="Arial"/>
          <w:sz w:val="20"/>
          <w:szCs w:val="20"/>
        </w:rPr>
        <w:t>transferring use of unlicensed medicines across care settings</w:t>
      </w:r>
      <w:r w:rsidRPr="00153ECD">
        <w:rPr>
          <w:rFonts w:ascii="Arial" w:eastAsia="Arial" w:hAnsi="Arial" w:cs="Arial"/>
          <w:sz w:val="20"/>
          <w:szCs w:val="20"/>
        </w:rPr>
        <w:t xml:space="preserve">.  There was no guidance </w:t>
      </w:r>
      <w:r w:rsidR="0011529F" w:rsidRPr="00153ECD">
        <w:rPr>
          <w:rFonts w:ascii="Arial" w:eastAsia="Arial" w:hAnsi="Arial" w:cs="Arial"/>
          <w:sz w:val="20"/>
          <w:szCs w:val="20"/>
        </w:rPr>
        <w:t xml:space="preserve">in the event that </w:t>
      </w:r>
      <w:r w:rsidR="006F2D3D" w:rsidRPr="00153ECD">
        <w:rPr>
          <w:rFonts w:ascii="Arial" w:eastAsia="Arial" w:hAnsi="Arial" w:cs="Arial"/>
          <w:sz w:val="20"/>
          <w:szCs w:val="20"/>
        </w:rPr>
        <w:t xml:space="preserve">the </w:t>
      </w:r>
      <w:r w:rsidR="00116565" w:rsidRPr="00153ECD">
        <w:rPr>
          <w:rFonts w:ascii="Arial" w:eastAsia="Arial" w:hAnsi="Arial" w:cs="Arial"/>
          <w:sz w:val="20"/>
          <w:szCs w:val="20"/>
        </w:rPr>
        <w:t xml:space="preserve">primary care prescriber </w:t>
      </w:r>
      <w:r w:rsidR="006F2D3D" w:rsidRPr="00153ECD">
        <w:rPr>
          <w:rFonts w:ascii="Arial" w:eastAsia="Arial" w:hAnsi="Arial" w:cs="Arial"/>
          <w:sz w:val="20"/>
          <w:szCs w:val="20"/>
        </w:rPr>
        <w:t xml:space="preserve">did not want to take over prescribing responsibility.  This is a difficult area as it is especially important that </w:t>
      </w:r>
      <w:r w:rsidR="00116565" w:rsidRPr="00153ECD">
        <w:rPr>
          <w:rFonts w:ascii="Arial" w:eastAsia="Arial" w:hAnsi="Arial" w:cs="Arial"/>
          <w:sz w:val="20"/>
          <w:szCs w:val="20"/>
        </w:rPr>
        <w:t>prescribers in primary care</w:t>
      </w:r>
      <w:r w:rsidR="006F2D3D" w:rsidRPr="00153ECD">
        <w:rPr>
          <w:rFonts w:ascii="Arial" w:eastAsia="Arial" w:hAnsi="Arial" w:cs="Arial"/>
          <w:sz w:val="20"/>
          <w:szCs w:val="20"/>
        </w:rPr>
        <w:t xml:space="preserve"> are confident in taking on the transferred responsibility from secondary </w:t>
      </w:r>
      <w:r w:rsidR="00A82900" w:rsidRPr="00153ECD">
        <w:rPr>
          <w:rFonts w:ascii="Arial" w:eastAsia="Arial" w:hAnsi="Arial" w:cs="Arial"/>
          <w:sz w:val="20"/>
          <w:szCs w:val="20"/>
        </w:rPr>
        <w:t xml:space="preserve">or tertiary </w:t>
      </w:r>
      <w:r w:rsidR="006F2D3D" w:rsidRPr="00153ECD">
        <w:rPr>
          <w:rFonts w:ascii="Arial" w:eastAsia="Arial" w:hAnsi="Arial" w:cs="Arial"/>
          <w:sz w:val="20"/>
          <w:szCs w:val="20"/>
        </w:rPr>
        <w:t>care</w:t>
      </w:r>
      <w:r w:rsidR="00F95D33" w:rsidRPr="00153ECD">
        <w:rPr>
          <w:rFonts w:ascii="Arial" w:eastAsia="Arial" w:hAnsi="Arial" w:cs="Arial"/>
          <w:sz w:val="20"/>
          <w:szCs w:val="20"/>
        </w:rPr>
        <w:t xml:space="preserv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"2g58rj33gg", "citationItems" : [ { "id" : "ITEM-1", "itemData" : { "DOI" : "10.1093/fampra/cmp030", "ISSN" : "0263-2136, 1460-2229", "author" : [ { "dropping-particle" : "", "family" : "Crowe", "given" : "S", "non-dropping-particle" : "", "parse-names" : false, "suffix" : "" }, { "dropping-particle" : "", "family" : "Tully", "given" : "M P", "non-dropping-particle" : "", "parse-names" : false, "suffix" : "" }, { "dropping-particle" : "", "family" : "Cantrill", "given" : "J A", "non-dropping-particle" : "", "parse-names" : false, "suffix" : "" } ], "container-title" : "Family Practice", "id" : "ITEM-1", "issue" : "4", "issued" : { "date-parts" : [ [ "2009", "2", "2" ] ] }, "language" : "en", "page" : "301-308", "title" : "The prescribing of specialist medicines: what factors influence GPs' decision making?", "type" : "article-journal", "volume" : "26" }, "uris" : [ "http://www.mendeley.com/documents/?uuid=b97a48db-9bc4-4c39-a328-31e9a29b908d" ] } ], "mendeley" : { "formattedCitation" : "[22]", "plainTextFormattedCitation" : "[22]", "previouslyFormattedCitation" : "[22]" }, "properties" : { "formattedCitation" : "[19]", "noteIndex" : 0, "plainCitation" : "[19]"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[22]</w:t>
      </w:r>
      <w:r w:rsidR="004C3C88" w:rsidRPr="00153ECD">
        <w:rPr>
          <w:rFonts w:ascii="Arial" w:eastAsia="Arial" w:hAnsi="Arial" w:cs="Arial"/>
          <w:sz w:val="20"/>
          <w:szCs w:val="20"/>
        </w:rPr>
        <w:fldChar w:fldCharType="end"/>
      </w:r>
      <w:r w:rsidR="006F2D3D" w:rsidRPr="00153ECD">
        <w:rPr>
          <w:rFonts w:ascii="Arial" w:eastAsia="Arial" w:hAnsi="Arial" w:cs="Arial"/>
          <w:sz w:val="20"/>
          <w:szCs w:val="20"/>
        </w:rPr>
        <w:t>.</w:t>
      </w:r>
    </w:p>
    <w:p w:rsidR="006F2D3D" w:rsidRPr="00153ECD" w:rsidRDefault="006F2D3D" w:rsidP="00EE672C">
      <w:pPr>
        <w:spacing w:after="0" w:line="480" w:lineRule="auto"/>
        <w:rPr>
          <w:rFonts w:ascii="Arial" w:eastAsia="Arial" w:hAnsi="Arial" w:cs="Arial"/>
          <w:sz w:val="20"/>
          <w:szCs w:val="20"/>
        </w:rPr>
      </w:pPr>
    </w:p>
    <w:p w:rsidR="006F2D3D" w:rsidRPr="00153ECD" w:rsidRDefault="006F2D3D" w:rsidP="00EE672C">
      <w:pPr>
        <w:spacing w:after="0" w:line="480" w:lineRule="auto"/>
        <w:rPr>
          <w:rFonts w:ascii="Arial" w:eastAsia="Arial" w:hAnsi="Arial" w:cs="Arial"/>
          <w:sz w:val="20"/>
          <w:szCs w:val="20"/>
        </w:rPr>
      </w:pPr>
      <w:r w:rsidRPr="00153ECD">
        <w:rPr>
          <w:rFonts w:ascii="Arial" w:eastAsia="Arial" w:hAnsi="Arial" w:cs="Arial"/>
          <w:sz w:val="20"/>
          <w:szCs w:val="20"/>
        </w:rPr>
        <w:t xml:space="preserve">It is reassuring to see that </w:t>
      </w:r>
      <w:r w:rsidR="00116565" w:rsidRPr="00153ECD">
        <w:rPr>
          <w:rFonts w:ascii="Arial" w:eastAsia="Arial" w:hAnsi="Arial" w:cs="Arial"/>
          <w:sz w:val="20"/>
          <w:szCs w:val="20"/>
        </w:rPr>
        <w:t xml:space="preserve">most </w:t>
      </w:r>
      <w:r w:rsidRPr="00153ECD">
        <w:rPr>
          <w:rFonts w:ascii="Arial" w:eastAsia="Arial" w:hAnsi="Arial" w:cs="Arial"/>
          <w:sz w:val="20"/>
          <w:szCs w:val="20"/>
        </w:rPr>
        <w:t xml:space="preserve">of the </w:t>
      </w:r>
      <w:r w:rsidR="00794D70">
        <w:rPr>
          <w:rFonts w:ascii="Arial" w:eastAsia="Arial" w:hAnsi="Arial" w:cs="Arial"/>
          <w:sz w:val="20"/>
          <w:szCs w:val="20"/>
        </w:rPr>
        <w:t>guidelines</w:t>
      </w:r>
      <w:r w:rsidRPr="00153ECD">
        <w:rPr>
          <w:rFonts w:ascii="Arial" w:eastAsia="Arial" w:hAnsi="Arial" w:cs="Arial"/>
          <w:sz w:val="20"/>
          <w:szCs w:val="20"/>
        </w:rPr>
        <w:t xml:space="preserve"> made reference to involving patients in the decision to use a </w:t>
      </w:r>
      <w:r w:rsidR="008222B8" w:rsidRPr="00153ECD">
        <w:rPr>
          <w:rFonts w:ascii="Arial" w:eastAsia="Arial" w:hAnsi="Arial" w:cs="Arial"/>
          <w:sz w:val="20"/>
          <w:szCs w:val="20"/>
        </w:rPr>
        <w:t>ULM</w:t>
      </w:r>
      <w:r w:rsidR="007B6E21" w:rsidRPr="00153ECD">
        <w:rPr>
          <w:rFonts w:ascii="Arial" w:eastAsia="Arial" w:hAnsi="Arial" w:cs="Arial"/>
          <w:sz w:val="20"/>
          <w:szCs w:val="20"/>
        </w:rPr>
        <w:t>. H</w:t>
      </w:r>
      <w:r w:rsidR="00F95D33" w:rsidRPr="00153ECD">
        <w:rPr>
          <w:rFonts w:ascii="Arial" w:eastAsia="Arial" w:hAnsi="Arial" w:cs="Arial"/>
          <w:sz w:val="20"/>
          <w:szCs w:val="20"/>
        </w:rPr>
        <w:t>owever</w:t>
      </w:r>
      <w:r w:rsidRPr="00153ECD">
        <w:rPr>
          <w:rFonts w:ascii="Arial" w:eastAsia="Arial" w:hAnsi="Arial" w:cs="Arial"/>
          <w:sz w:val="20"/>
          <w:szCs w:val="20"/>
        </w:rPr>
        <w:t xml:space="preserve"> not all guidelines provided the tools to facilitate these conversations</w:t>
      </w:r>
      <w:r w:rsidR="00B16AA1">
        <w:rPr>
          <w:rFonts w:ascii="Arial" w:eastAsia="Arial" w:hAnsi="Arial" w:cs="Arial"/>
          <w:sz w:val="20"/>
          <w:szCs w:val="20"/>
        </w:rPr>
        <w:t xml:space="preserve"> and </w:t>
      </w:r>
      <w:r w:rsidR="00B4140D" w:rsidRPr="00153ECD">
        <w:rPr>
          <w:rFonts w:ascii="Arial" w:eastAsia="Arial" w:hAnsi="Arial" w:cs="Arial"/>
          <w:sz w:val="20"/>
          <w:szCs w:val="20"/>
        </w:rPr>
        <w:t xml:space="preserve"> </w:t>
      </w:r>
      <w:r w:rsidR="00F95D33" w:rsidRPr="00153ECD">
        <w:rPr>
          <w:rFonts w:ascii="Arial" w:eastAsia="Arial" w:hAnsi="Arial" w:cs="Arial"/>
          <w:sz w:val="20"/>
          <w:szCs w:val="20"/>
        </w:rPr>
        <w:t>within the paediatric setting</w:t>
      </w:r>
      <w:r w:rsidR="00B16AA1">
        <w:rPr>
          <w:rFonts w:ascii="Arial" w:eastAsia="Arial" w:hAnsi="Arial" w:cs="Arial"/>
          <w:sz w:val="20"/>
          <w:szCs w:val="20"/>
        </w:rPr>
        <w:t xml:space="preserve"> </w:t>
      </w:r>
      <w:r w:rsidR="00F95D33" w:rsidRPr="00153ECD">
        <w:rPr>
          <w:rFonts w:ascii="Arial" w:eastAsia="Arial" w:hAnsi="Arial" w:cs="Arial"/>
          <w:sz w:val="20"/>
          <w:szCs w:val="20"/>
        </w:rPr>
        <w:t xml:space="preserve"> </w:t>
      </w:r>
      <w:r w:rsidR="00B4140D" w:rsidRPr="00153ECD">
        <w:rPr>
          <w:rFonts w:ascii="Arial" w:eastAsia="Arial" w:hAnsi="Arial" w:cs="Arial"/>
          <w:sz w:val="20"/>
          <w:szCs w:val="20"/>
        </w:rPr>
        <w:t>t</w:t>
      </w:r>
      <w:r w:rsidRPr="00153ECD">
        <w:rPr>
          <w:rFonts w:ascii="Arial" w:eastAsia="Arial" w:hAnsi="Arial" w:cs="Arial"/>
          <w:sz w:val="20"/>
          <w:szCs w:val="20"/>
        </w:rPr>
        <w:t>he general public lack</w:t>
      </w:r>
      <w:r w:rsidR="008222B8" w:rsidRPr="00153ECD">
        <w:rPr>
          <w:rFonts w:ascii="Arial" w:eastAsia="Arial" w:hAnsi="Arial" w:cs="Arial"/>
          <w:sz w:val="20"/>
          <w:szCs w:val="20"/>
        </w:rPr>
        <w:t>ed</w:t>
      </w:r>
      <w:r w:rsidRPr="00153ECD">
        <w:rPr>
          <w:rFonts w:ascii="Arial" w:eastAsia="Arial" w:hAnsi="Arial" w:cs="Arial"/>
          <w:sz w:val="20"/>
          <w:szCs w:val="20"/>
        </w:rPr>
        <w:t xml:space="preserve"> knowledge about </w:t>
      </w:r>
      <w:r w:rsidR="008222B8" w:rsidRPr="00153ECD">
        <w:rPr>
          <w:rFonts w:ascii="Arial" w:eastAsia="Arial" w:hAnsi="Arial" w:cs="Arial"/>
          <w:sz w:val="20"/>
          <w:szCs w:val="20"/>
        </w:rPr>
        <w:t>ULM</w:t>
      </w:r>
      <w:r w:rsidRPr="00153ECD">
        <w:rPr>
          <w:rFonts w:ascii="Arial" w:eastAsia="Arial" w:hAnsi="Arial" w:cs="Arial"/>
          <w:sz w:val="20"/>
          <w:szCs w:val="20"/>
        </w:rPr>
        <w:t xml:space="preserve"> use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"2j185u94uf", "citationItems" : [ { "id" : "ITEM-1", "itemData" : { "DOI" : "10.1111/j.1365-2125.2008.03290.x", "ISSN" : "03065251, 13652125", "author" : [ { "dropping-particle" : "", "family" : "Mukattash", "given" : "T L", "non-dropping-particle" : "", "parse-names" : false, "suffix" : "" }, { "dropping-particle" : "", "family" : "Millership", "given" : "J S", "non-dropping-particle" : "", "parse-names" : false, "suffix" : "" }, { "dropping-particle" : "", "family" : "Collier", "given" : "P S", "non-dropping-particle" : "", "parse-names" : false, "suffix" : "" }, { "dropping-particle" : "", "family" : "McElnay", "given" : "J C", "non-dropping-particle" : "", "parse-names" : false, "suffix" : "" } ], "container-title" : "British Journal of Clinical Pharmacology", "id" : "ITEM-1", "issue" : "6", "issued" : { "date-parts" : [ [ "2008", "2", "2" ] ] }, "language" : "en", "page" : "838-845", "title" : "Public awareness and views on unlicensed use of medicines in children", "type" : "article-journal", "volume" : "66" }, "uris" : [ "http://www.mendeley.com/documents/?uuid=a9dc4b2d-8f09-4057-b5cf-cdb531479ef4" ] } ], "mendeley" : { "formattedCitation" : "[23]", "plainTextFormattedCitation" : "[23]", "previouslyFormattedCitation" : "[23]" }, "properties" : { "formattedCitation" : "[20]", "noteIndex" : 0, "plainCitation" : "[20]"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[23]</w:t>
      </w:r>
      <w:r w:rsidR="004C3C88" w:rsidRPr="00153ECD">
        <w:rPr>
          <w:rFonts w:ascii="Arial" w:eastAsia="Arial" w:hAnsi="Arial" w:cs="Arial"/>
          <w:sz w:val="20"/>
          <w:szCs w:val="20"/>
        </w:rPr>
        <w:fldChar w:fldCharType="end"/>
      </w:r>
      <w:r w:rsidR="00B16AA1">
        <w:rPr>
          <w:rFonts w:ascii="Arial" w:eastAsia="Arial" w:hAnsi="Arial" w:cs="Arial"/>
          <w:sz w:val="20"/>
          <w:szCs w:val="20"/>
        </w:rPr>
        <w:t>.</w:t>
      </w:r>
      <w:r w:rsidR="00B4140D" w:rsidRPr="00153ECD">
        <w:rPr>
          <w:rFonts w:ascii="Arial" w:eastAsia="Arial" w:hAnsi="Arial" w:cs="Arial"/>
          <w:sz w:val="20"/>
          <w:szCs w:val="20"/>
        </w:rPr>
        <w:t xml:space="preserve"> </w:t>
      </w:r>
      <w:r w:rsidR="00B16AA1">
        <w:rPr>
          <w:rFonts w:ascii="Arial" w:eastAsia="Arial" w:hAnsi="Arial" w:cs="Arial"/>
          <w:sz w:val="20"/>
          <w:szCs w:val="20"/>
        </w:rPr>
        <w:t>A</w:t>
      </w:r>
      <w:r w:rsidR="00F95D33" w:rsidRPr="00153ECD">
        <w:rPr>
          <w:rFonts w:ascii="Arial" w:eastAsia="Arial" w:hAnsi="Arial" w:cs="Arial"/>
          <w:sz w:val="20"/>
          <w:szCs w:val="20"/>
        </w:rPr>
        <w:t xml:space="preserve"> questionnaire study also found that there was little </w:t>
      </w:r>
      <w:r w:rsidRPr="00153ECD">
        <w:rPr>
          <w:rFonts w:ascii="Arial" w:eastAsia="Arial" w:hAnsi="Arial" w:cs="Arial"/>
          <w:sz w:val="20"/>
          <w:szCs w:val="20"/>
        </w:rPr>
        <w:t xml:space="preserve">knowledge of the licensing process of medication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"V3QkIKEZ", "citationItems" : [ { "id" : "ITEM-1", "itemData" : { "DOI" : "10.2147/IJGM.S28341", "ISSN" : "1178-7074", "author" : [ { "dropping-particle" : "", "family" : "Chisolm", "given" : "Alison", "non-dropping-particle" : "", "parse-names" : false, "suffix" : "" } ], "container-title" : "International Journal of General Medicine", "id" : "ITEM-1", "issued" : { "date-parts" : [ [ "2012", "2", "2" ] ] }, "language" : "en", "page" : "27", "title" : "Exploring UK attitudes towards unlicensed medicines use: a questionnaire-based study of members of the general public and physicians", "type" : "article-journal" }, "uris" : [ "http://www.mendeley.com/documents/?uuid=7294014d-3417-4d06-81dd-aa206a94ec96" ] } ], "mendeley" : { "formattedCitation" : "[24]", "plainTextFormattedCitation" : "[24]", "previouslyFormattedCitation" : "[24]" }, "properties" : { "formattedCitation" : "[21]", "noteIndex" : 0, "plainCitation" : "[21]"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[24]</w:t>
      </w:r>
      <w:r w:rsidR="004C3C88" w:rsidRPr="00153ECD">
        <w:rPr>
          <w:rFonts w:ascii="Arial" w:eastAsia="Arial" w:hAnsi="Arial" w:cs="Arial"/>
          <w:sz w:val="20"/>
          <w:szCs w:val="20"/>
        </w:rPr>
        <w:fldChar w:fldCharType="end"/>
      </w:r>
      <w:r w:rsidR="00B16AA1">
        <w:rPr>
          <w:rFonts w:ascii="Arial" w:eastAsia="Arial" w:hAnsi="Arial" w:cs="Arial"/>
          <w:sz w:val="20"/>
          <w:szCs w:val="20"/>
        </w:rPr>
        <w:t xml:space="preserve"> leaving patients poorly equipped </w:t>
      </w:r>
      <w:r w:rsidRPr="00153ECD">
        <w:rPr>
          <w:rFonts w:ascii="Arial" w:eastAsia="Arial" w:hAnsi="Arial" w:cs="Arial"/>
          <w:sz w:val="20"/>
          <w:szCs w:val="20"/>
        </w:rPr>
        <w:t xml:space="preserve"> to </w:t>
      </w:r>
      <w:r w:rsidR="00E87D00" w:rsidRPr="00153ECD">
        <w:rPr>
          <w:rFonts w:ascii="Arial" w:eastAsia="Arial" w:hAnsi="Arial" w:cs="Arial"/>
          <w:sz w:val="20"/>
          <w:szCs w:val="20"/>
        </w:rPr>
        <w:t xml:space="preserve">facilitate informed decision making and to </w:t>
      </w:r>
      <w:r w:rsidRPr="00153ECD">
        <w:rPr>
          <w:rFonts w:ascii="Arial" w:eastAsia="Arial" w:hAnsi="Arial" w:cs="Arial"/>
          <w:sz w:val="20"/>
          <w:szCs w:val="20"/>
        </w:rPr>
        <w:t xml:space="preserve">ensure safe and appropriate use of their medication. </w:t>
      </w:r>
    </w:p>
    <w:p w:rsidR="006F2D3D" w:rsidRPr="00153ECD" w:rsidRDefault="006F2D3D" w:rsidP="00EE672C">
      <w:pPr>
        <w:spacing w:after="0" w:line="480" w:lineRule="auto"/>
        <w:rPr>
          <w:rFonts w:ascii="Arial" w:eastAsia="Arial" w:hAnsi="Arial" w:cs="Arial"/>
          <w:sz w:val="20"/>
          <w:szCs w:val="20"/>
        </w:rPr>
      </w:pPr>
    </w:p>
    <w:p w:rsidR="006F2D3D" w:rsidRPr="00153ECD" w:rsidRDefault="006F2D3D" w:rsidP="00EE672C">
      <w:pPr>
        <w:spacing w:after="0" w:line="480" w:lineRule="auto"/>
        <w:rPr>
          <w:rFonts w:ascii="Arial" w:eastAsia="Arial" w:hAnsi="Arial" w:cs="Arial"/>
          <w:sz w:val="20"/>
          <w:szCs w:val="20"/>
        </w:rPr>
      </w:pPr>
      <w:r w:rsidRPr="00153ECD">
        <w:rPr>
          <w:rFonts w:ascii="Arial" w:eastAsia="Arial" w:hAnsi="Arial" w:cs="Arial"/>
          <w:sz w:val="20"/>
          <w:szCs w:val="20"/>
        </w:rPr>
        <w:t>The lack of consistency around the assessment of risks and benefits is probably the greatest area of concern</w:t>
      </w:r>
      <w:r w:rsidR="003E48BC" w:rsidRPr="00153ECD">
        <w:rPr>
          <w:rFonts w:ascii="Arial" w:eastAsia="Arial" w:hAnsi="Arial" w:cs="Arial"/>
          <w:sz w:val="20"/>
          <w:szCs w:val="20"/>
        </w:rPr>
        <w:t xml:space="preserve"> revealed in this study</w:t>
      </w:r>
      <w:r w:rsidRPr="00153ECD">
        <w:rPr>
          <w:rFonts w:ascii="Arial" w:eastAsia="Arial" w:hAnsi="Arial" w:cs="Arial"/>
          <w:sz w:val="20"/>
          <w:szCs w:val="20"/>
        </w:rPr>
        <w:t xml:space="preserve">. </w:t>
      </w:r>
      <w:r w:rsidR="00920E64">
        <w:rPr>
          <w:rFonts w:ascii="Arial" w:eastAsia="Arial" w:hAnsi="Arial" w:cs="Arial"/>
          <w:sz w:val="20"/>
          <w:szCs w:val="20"/>
        </w:rPr>
        <w:t xml:space="preserve">If there isn’t agreement about how risk in using ULMs should be assessed then there is likely to be variability in the products which are ultimately chosen for procurement. Some tools may also be based on a larger body of intelligence gained from experience that may not be widely shared, so organisations without this intelligence may continue to use products that have been disregarded elsewhere due to safety concerns. </w:t>
      </w:r>
      <w:r w:rsidR="00E528A5">
        <w:rPr>
          <w:rFonts w:ascii="Arial" w:eastAsia="Arial" w:hAnsi="Arial" w:cs="Arial"/>
          <w:sz w:val="20"/>
          <w:szCs w:val="20"/>
        </w:rPr>
        <w:t xml:space="preserve">Some </w:t>
      </w:r>
      <w:r w:rsidRPr="00153ECD">
        <w:rPr>
          <w:rFonts w:ascii="Arial" w:eastAsia="Arial" w:hAnsi="Arial" w:cs="Arial"/>
          <w:sz w:val="20"/>
          <w:szCs w:val="20"/>
        </w:rPr>
        <w:t xml:space="preserve">organisations placed </w:t>
      </w:r>
      <w:r w:rsidR="003E48BC" w:rsidRPr="00153ECD">
        <w:rPr>
          <w:rFonts w:ascii="Arial" w:eastAsia="Arial" w:hAnsi="Arial" w:cs="Arial"/>
          <w:sz w:val="20"/>
          <w:szCs w:val="20"/>
        </w:rPr>
        <w:t>responsibility for the</w:t>
      </w:r>
      <w:r w:rsidRPr="00153ECD">
        <w:rPr>
          <w:rFonts w:ascii="Arial" w:eastAsia="Arial" w:hAnsi="Arial" w:cs="Arial"/>
          <w:sz w:val="20"/>
          <w:szCs w:val="20"/>
        </w:rPr>
        <w:t xml:space="preserve"> entire process on a single clinician</w:t>
      </w:r>
      <w:r w:rsidR="003E48BC" w:rsidRPr="00153ECD">
        <w:rPr>
          <w:rFonts w:ascii="Arial" w:eastAsia="Arial" w:hAnsi="Arial" w:cs="Arial"/>
          <w:sz w:val="20"/>
          <w:szCs w:val="20"/>
        </w:rPr>
        <w:t>, a strategy that potentially increases the risk for patients</w:t>
      </w:r>
      <w:r w:rsidR="00920E64">
        <w:rPr>
          <w:rFonts w:ascii="Arial" w:eastAsia="Arial" w:hAnsi="Arial" w:cs="Arial"/>
          <w:sz w:val="20"/>
          <w:szCs w:val="20"/>
        </w:rPr>
        <w:t xml:space="preserve"> as that clinician may not have the knowledge and skills to perform a comprehensive risk </w:t>
      </w:r>
      <w:r w:rsidR="00920E64">
        <w:rPr>
          <w:rFonts w:ascii="Arial" w:eastAsia="Arial" w:hAnsi="Arial" w:cs="Arial"/>
          <w:sz w:val="20"/>
          <w:szCs w:val="20"/>
        </w:rPr>
        <w:lastRenderedPageBreak/>
        <w:t>assessment</w:t>
      </w:r>
      <w:r w:rsidR="003E48BC" w:rsidRPr="00153ECD">
        <w:rPr>
          <w:rFonts w:ascii="Arial" w:eastAsia="Arial" w:hAnsi="Arial" w:cs="Arial"/>
          <w:sz w:val="20"/>
          <w:szCs w:val="20"/>
        </w:rPr>
        <w:t>.</w:t>
      </w:r>
      <w:r w:rsidRPr="00153ECD">
        <w:rPr>
          <w:rFonts w:ascii="Arial" w:eastAsia="Arial" w:hAnsi="Arial" w:cs="Arial"/>
          <w:sz w:val="20"/>
          <w:szCs w:val="20"/>
        </w:rPr>
        <w:t xml:space="preserve">  </w:t>
      </w:r>
      <w:r w:rsidR="00DB4566">
        <w:rPr>
          <w:rFonts w:ascii="Arial" w:eastAsia="Arial" w:hAnsi="Arial" w:cs="Arial"/>
          <w:sz w:val="20"/>
          <w:szCs w:val="20"/>
        </w:rPr>
        <w:t>Other guidelines recommended involvement of the</w:t>
      </w:r>
      <w:r w:rsidRPr="00153ECD">
        <w:rPr>
          <w:rFonts w:ascii="Arial" w:eastAsia="Arial" w:hAnsi="Arial" w:cs="Arial"/>
          <w:sz w:val="20"/>
          <w:szCs w:val="20"/>
        </w:rPr>
        <w:t xml:space="preserve"> </w:t>
      </w:r>
      <w:r w:rsidR="00E528A5">
        <w:rPr>
          <w:rFonts w:ascii="Arial" w:eastAsia="Arial" w:hAnsi="Arial" w:cs="Arial"/>
          <w:sz w:val="20"/>
          <w:szCs w:val="20"/>
        </w:rPr>
        <w:t xml:space="preserve">multi-disciplinary team, and </w:t>
      </w:r>
      <w:r w:rsidRPr="00153ECD">
        <w:rPr>
          <w:rFonts w:ascii="Arial" w:eastAsia="Arial" w:hAnsi="Arial" w:cs="Arial"/>
          <w:sz w:val="20"/>
          <w:szCs w:val="20"/>
        </w:rPr>
        <w:t xml:space="preserve">it would </w:t>
      </w:r>
      <w:r w:rsidR="00E528A5">
        <w:rPr>
          <w:rFonts w:ascii="Arial" w:eastAsia="Arial" w:hAnsi="Arial" w:cs="Arial"/>
          <w:sz w:val="20"/>
          <w:szCs w:val="20"/>
        </w:rPr>
        <w:t xml:space="preserve">be </w:t>
      </w:r>
      <w:r w:rsidR="003E48BC" w:rsidRPr="00153ECD">
        <w:rPr>
          <w:rFonts w:ascii="Arial" w:eastAsia="Arial" w:hAnsi="Arial" w:cs="Arial"/>
          <w:sz w:val="20"/>
          <w:szCs w:val="20"/>
        </w:rPr>
        <w:t xml:space="preserve">appropriate to adopt </w:t>
      </w:r>
      <w:r w:rsidR="00E528A5">
        <w:rPr>
          <w:rFonts w:ascii="Arial" w:eastAsia="Arial" w:hAnsi="Arial" w:cs="Arial"/>
          <w:sz w:val="20"/>
          <w:szCs w:val="20"/>
        </w:rPr>
        <w:t xml:space="preserve">this </w:t>
      </w:r>
      <w:r w:rsidRPr="00153ECD">
        <w:rPr>
          <w:rFonts w:ascii="Arial" w:eastAsia="Arial" w:hAnsi="Arial" w:cs="Arial"/>
          <w:sz w:val="20"/>
          <w:szCs w:val="20"/>
        </w:rPr>
        <w:t>app</w:t>
      </w:r>
      <w:r w:rsidR="00B4140D" w:rsidRPr="00153ECD">
        <w:rPr>
          <w:rFonts w:ascii="Arial" w:eastAsia="Arial" w:hAnsi="Arial" w:cs="Arial"/>
          <w:sz w:val="20"/>
          <w:szCs w:val="20"/>
        </w:rPr>
        <w:t>roach</w:t>
      </w:r>
      <w:r w:rsidR="00DB4566">
        <w:rPr>
          <w:rFonts w:ascii="Arial" w:eastAsia="Arial" w:hAnsi="Arial" w:cs="Arial"/>
          <w:sz w:val="20"/>
          <w:szCs w:val="20"/>
        </w:rPr>
        <w:t xml:space="preserve"> more widely</w:t>
      </w:r>
      <w:r w:rsidR="00B4140D" w:rsidRPr="00153ECD">
        <w:rPr>
          <w:rFonts w:ascii="Arial" w:eastAsia="Arial" w:hAnsi="Arial" w:cs="Arial"/>
          <w:sz w:val="20"/>
          <w:szCs w:val="20"/>
        </w:rPr>
        <w:t>.</w:t>
      </w:r>
      <w:r w:rsidR="00116565" w:rsidRPr="00153ECD">
        <w:rPr>
          <w:rFonts w:ascii="Arial" w:hAnsi="Arial" w:cs="Arial"/>
          <w:sz w:val="20"/>
          <w:szCs w:val="20"/>
        </w:rPr>
        <w:t xml:space="preserve"> </w:t>
      </w:r>
      <w:r w:rsidR="00116565" w:rsidRPr="00153ECD">
        <w:rPr>
          <w:rFonts w:ascii="Arial" w:eastAsia="Arial" w:hAnsi="Arial" w:cs="Arial"/>
          <w:sz w:val="20"/>
          <w:szCs w:val="20"/>
        </w:rPr>
        <w:t>The main concerns around the associated risks have also</w:t>
      </w:r>
      <w:r w:rsidR="008E26D7">
        <w:rPr>
          <w:rFonts w:ascii="Arial" w:eastAsia="Arial" w:hAnsi="Arial" w:cs="Arial"/>
          <w:sz w:val="20"/>
          <w:szCs w:val="20"/>
        </w:rPr>
        <w:t xml:space="preserve"> been documented by Chisolm</w:t>
      </w:r>
      <w:r w:rsidR="007803E2">
        <w:rPr>
          <w:rFonts w:ascii="Arial" w:eastAsia="Arial" w:hAnsi="Arial" w:cs="Arial"/>
          <w:sz w:val="20"/>
          <w:szCs w:val="20"/>
        </w:rPr>
        <w:t xml:space="preserve"> </w:t>
      </w:r>
      <w:r w:rsidR="004C3C88">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"1bogqkvbac", "citationItems" : [ { "id" : "ITEM-1", "itemData" : { "DOI" : "10.2147/IJGM.S28341", "ISSN" : "1178-7074", "author" : [ { "dropping-particle" : "", "family" : "Chisolm", "given" : "Alison", "non-dropping-particle" : "", "parse-names" : false, "suffix" : "" } ], "container-title" : "International Journal of General Medicine", "id" : "ITEM-1", "issued" : { "date-parts" : [ [ "2012", "2", "2" ] ] }, "language" : "en", "page" : "27", "title" : "Exploring UK attitudes towards unlicensed medicines use: a questionnaire-based study of members of the general public and physicians", "type" : "article-journal" }, "uris" : [ "http://www.mendeley.com/documents/?uuid=7294014d-3417-4d06-81dd-aa206a94ec96" ] } ], "mendeley" : { "formattedCitation" : "[24]", "plainTextFormattedCitation" : "[24]", "previouslyFormattedCitation" : "[24]" }, "properties" : { "formattedCitation" : "[21]", "noteIndex" : 0, "plainCitation" : "[21]" }, "schema" : "https://github.com/citation-style-language/schema/raw/master/csl-citation.json" }</w:instrText>
      </w:r>
      <w:r w:rsidR="004C3C88">
        <w:rPr>
          <w:rFonts w:ascii="Arial" w:eastAsia="Arial" w:hAnsi="Arial" w:cs="Arial"/>
          <w:sz w:val="20"/>
          <w:szCs w:val="20"/>
        </w:rPr>
        <w:fldChar w:fldCharType="separate"/>
      </w:r>
      <w:r w:rsidR="00587F33" w:rsidRPr="00587F33">
        <w:rPr>
          <w:rFonts w:ascii="Arial" w:hAnsi="Arial" w:cs="Arial"/>
          <w:noProof/>
          <w:sz w:val="20"/>
        </w:rPr>
        <w:t>[24]</w:t>
      </w:r>
      <w:r w:rsidR="004C3C88">
        <w:rPr>
          <w:rFonts w:ascii="Arial" w:eastAsia="Arial" w:hAnsi="Arial" w:cs="Arial"/>
          <w:sz w:val="20"/>
          <w:szCs w:val="20"/>
        </w:rPr>
        <w:fldChar w:fldCharType="end"/>
      </w:r>
      <w:r w:rsidR="00116565" w:rsidRPr="00153ECD">
        <w:rPr>
          <w:rFonts w:ascii="Arial" w:eastAsia="Arial" w:hAnsi="Arial" w:cs="Arial"/>
          <w:sz w:val="20"/>
          <w:szCs w:val="20"/>
        </w:rPr>
        <w:t xml:space="preserve"> who </w:t>
      </w:r>
      <w:r w:rsidR="003E48BC" w:rsidRPr="00153ECD">
        <w:rPr>
          <w:rFonts w:ascii="Arial" w:eastAsia="Arial" w:hAnsi="Arial" w:cs="Arial"/>
          <w:sz w:val="20"/>
          <w:szCs w:val="20"/>
        </w:rPr>
        <w:t>argued</w:t>
      </w:r>
      <w:r w:rsidR="00116565" w:rsidRPr="00153ECD">
        <w:rPr>
          <w:rFonts w:ascii="Arial" w:eastAsia="Arial" w:hAnsi="Arial" w:cs="Arial"/>
          <w:sz w:val="20"/>
          <w:szCs w:val="20"/>
        </w:rPr>
        <w:t xml:space="preserve"> that safety </w:t>
      </w:r>
      <w:r w:rsidR="003E48BC" w:rsidRPr="00153ECD">
        <w:rPr>
          <w:rFonts w:ascii="Arial" w:eastAsia="Arial" w:hAnsi="Arial" w:cs="Arial"/>
          <w:sz w:val="20"/>
          <w:szCs w:val="20"/>
        </w:rPr>
        <w:t>is</w:t>
      </w:r>
      <w:r w:rsidR="00116565" w:rsidRPr="00153ECD">
        <w:rPr>
          <w:rFonts w:ascii="Arial" w:eastAsia="Arial" w:hAnsi="Arial" w:cs="Arial"/>
          <w:sz w:val="20"/>
          <w:szCs w:val="20"/>
        </w:rPr>
        <w:t xml:space="preserve"> one of the most important aspects when prescribing ULMs alongside efficacy. </w:t>
      </w:r>
    </w:p>
    <w:p w:rsidR="006F2D3D" w:rsidRPr="00153ECD" w:rsidRDefault="006F2D3D" w:rsidP="00EE672C">
      <w:pPr>
        <w:spacing w:after="0" w:line="480" w:lineRule="auto"/>
        <w:rPr>
          <w:rFonts w:ascii="Arial" w:eastAsia="Arial" w:hAnsi="Arial" w:cs="Arial"/>
          <w:sz w:val="20"/>
          <w:szCs w:val="20"/>
        </w:rPr>
      </w:pPr>
    </w:p>
    <w:p w:rsidR="006F2D3D" w:rsidRPr="00153ECD" w:rsidRDefault="006F2D3D" w:rsidP="00EE672C">
      <w:pPr>
        <w:spacing w:after="0" w:line="480" w:lineRule="auto"/>
        <w:rPr>
          <w:rFonts w:ascii="Arial" w:eastAsia="Arial" w:hAnsi="Arial" w:cs="Arial"/>
          <w:sz w:val="20"/>
          <w:szCs w:val="20"/>
        </w:rPr>
      </w:pPr>
      <w:r w:rsidRPr="00153ECD">
        <w:rPr>
          <w:rFonts w:ascii="Arial" w:eastAsia="Arial" w:hAnsi="Arial" w:cs="Arial"/>
          <w:sz w:val="20"/>
          <w:szCs w:val="20"/>
        </w:rPr>
        <w:t xml:space="preserve">A phenomenological review of the </w:t>
      </w:r>
      <w:r w:rsidR="003E48BC" w:rsidRPr="00153ECD">
        <w:rPr>
          <w:rFonts w:ascii="Arial" w:eastAsia="Arial" w:hAnsi="Arial" w:cs="Arial"/>
          <w:sz w:val="20"/>
          <w:szCs w:val="20"/>
        </w:rPr>
        <w:t xml:space="preserve">ULM </w:t>
      </w:r>
      <w:r w:rsidRPr="00153ECD">
        <w:rPr>
          <w:rFonts w:ascii="Arial" w:eastAsia="Arial" w:hAnsi="Arial" w:cs="Arial"/>
          <w:sz w:val="20"/>
          <w:szCs w:val="20"/>
        </w:rPr>
        <w:t xml:space="preserve">literature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"tjckut5op", "citationItems" : [ { "id" : "ITEM-1", "itemData" : { "DOI" : "10.1007/s00228-015-1886-z", "ISSN" : "0031-6970, 1432-1041", "author" : [ { "dropping-particle" : "", "family" : "Sutherland", "given" : "Adam", "non-dropping-particle" : "", "parse-names" : false, "suffix" : "" }, { "dropping-particle" : "", "family" : "Waldek", "given" : "Stephen", "non-dropping-particle" : "", "parse-names" : false, "suffix" : "" } ], "container-title" : "European Journal of Clinical Pharmacology", "id" : "ITEM-1", "issue" : "9", "issued" : { "date-parts" : [ [ "2015", "10", "31" ] ] }, "language" : "en", "page" : "1029-1035", "title" : "It is time to review how unlicensed medicines are used", "type" : "article-journal", "volume" : "71" }, "uris" : [ "http://www.mendeley.com/documents/?uuid=74ffbc2a-1fc9-420b-b486-3f41a187be16" ] } ], "mendeley" : { "formattedCitation" : "[25]", "plainTextFormattedCitation" : "[25]", "previouslyFormattedCitation" : "[25]" }, "properties" : { "formattedCitation" : "[22]", "noteIndex" : 0, "plainCitation" : "[22]"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[25]</w:t>
      </w:r>
      <w:r w:rsidR="004C3C88" w:rsidRPr="00153ECD">
        <w:rPr>
          <w:rFonts w:ascii="Arial" w:eastAsia="Arial" w:hAnsi="Arial" w:cs="Arial"/>
          <w:sz w:val="20"/>
          <w:szCs w:val="20"/>
        </w:rPr>
        <w:fldChar w:fldCharType="end"/>
      </w:r>
      <w:r w:rsidRPr="00153ECD">
        <w:rPr>
          <w:rFonts w:ascii="Arial" w:eastAsia="Arial" w:hAnsi="Arial" w:cs="Arial"/>
          <w:sz w:val="20"/>
          <w:szCs w:val="20"/>
        </w:rPr>
        <w:t xml:space="preserve"> </w:t>
      </w:r>
      <w:r w:rsidR="003E48BC" w:rsidRPr="00153ECD">
        <w:rPr>
          <w:rFonts w:ascii="Arial" w:eastAsia="Arial" w:hAnsi="Arial" w:cs="Arial"/>
          <w:sz w:val="20"/>
          <w:szCs w:val="20"/>
        </w:rPr>
        <w:t xml:space="preserve">revealed </w:t>
      </w:r>
      <w:r w:rsidRPr="00153ECD">
        <w:rPr>
          <w:rFonts w:ascii="Arial" w:eastAsia="Arial" w:hAnsi="Arial" w:cs="Arial"/>
          <w:sz w:val="20"/>
          <w:szCs w:val="20"/>
        </w:rPr>
        <w:t xml:space="preserve">that adverse events are unreported for </w:t>
      </w:r>
      <w:r w:rsidR="008222B8" w:rsidRPr="00153ECD">
        <w:rPr>
          <w:rFonts w:ascii="Arial" w:eastAsia="Arial" w:hAnsi="Arial" w:cs="Arial"/>
          <w:sz w:val="20"/>
          <w:szCs w:val="20"/>
        </w:rPr>
        <w:t>ULMs</w:t>
      </w:r>
      <w:r w:rsidRPr="00153ECD">
        <w:rPr>
          <w:rFonts w:ascii="Arial" w:eastAsia="Arial" w:hAnsi="Arial" w:cs="Arial"/>
          <w:sz w:val="20"/>
          <w:szCs w:val="20"/>
        </w:rPr>
        <w:t>.  This is surprising given that within the guideline analysis conducted</w:t>
      </w:r>
      <w:r w:rsidR="00116565" w:rsidRPr="00153ECD">
        <w:rPr>
          <w:rFonts w:ascii="Arial" w:eastAsia="Arial" w:hAnsi="Arial" w:cs="Arial"/>
          <w:sz w:val="20"/>
          <w:szCs w:val="20"/>
        </w:rPr>
        <w:t xml:space="preserve"> here</w:t>
      </w:r>
      <w:r w:rsidRPr="00153ECD">
        <w:rPr>
          <w:rFonts w:ascii="Arial" w:eastAsia="Arial" w:hAnsi="Arial" w:cs="Arial"/>
          <w:sz w:val="20"/>
          <w:szCs w:val="20"/>
        </w:rPr>
        <w:t xml:space="preserve">, recommendations around the reporting of adverse drug reactions are </w:t>
      </w:r>
      <w:r w:rsidR="00116565" w:rsidRPr="00153ECD">
        <w:rPr>
          <w:rFonts w:ascii="Arial" w:eastAsia="Arial" w:hAnsi="Arial" w:cs="Arial"/>
          <w:sz w:val="20"/>
          <w:szCs w:val="20"/>
        </w:rPr>
        <w:t xml:space="preserve">evident. </w:t>
      </w:r>
      <w:r w:rsidR="003E48BC" w:rsidRPr="00153ECD">
        <w:rPr>
          <w:rFonts w:ascii="Arial" w:eastAsia="Arial" w:hAnsi="Arial" w:cs="Arial"/>
          <w:sz w:val="20"/>
          <w:szCs w:val="20"/>
        </w:rPr>
        <w:t>On the other hand, t</w:t>
      </w:r>
      <w:r w:rsidR="00116565" w:rsidRPr="00153ECD">
        <w:rPr>
          <w:rFonts w:ascii="Arial" w:eastAsia="Arial" w:hAnsi="Arial" w:cs="Arial"/>
          <w:sz w:val="20"/>
          <w:szCs w:val="20"/>
        </w:rPr>
        <w:t>here is</w:t>
      </w:r>
      <w:r w:rsidR="00F95D33" w:rsidRPr="00153ECD">
        <w:rPr>
          <w:rFonts w:ascii="Arial" w:eastAsia="Arial" w:hAnsi="Arial" w:cs="Arial"/>
          <w:sz w:val="20"/>
          <w:szCs w:val="20"/>
        </w:rPr>
        <w:t xml:space="preserve"> </w:t>
      </w:r>
      <w:r w:rsidRPr="00153ECD">
        <w:rPr>
          <w:rFonts w:ascii="Arial" w:eastAsia="Arial" w:hAnsi="Arial" w:cs="Arial"/>
          <w:sz w:val="20"/>
          <w:szCs w:val="20"/>
        </w:rPr>
        <w:t xml:space="preserve"> little information in the </w:t>
      </w:r>
      <w:r w:rsidR="00C30477">
        <w:rPr>
          <w:rFonts w:ascii="Arial" w:eastAsia="Arial" w:hAnsi="Arial" w:cs="Arial"/>
          <w:sz w:val="20"/>
          <w:szCs w:val="20"/>
        </w:rPr>
        <w:t>guidelines</w:t>
      </w:r>
      <w:r w:rsidRPr="00153ECD">
        <w:rPr>
          <w:rFonts w:ascii="Arial" w:eastAsia="Arial" w:hAnsi="Arial" w:cs="Arial"/>
          <w:sz w:val="20"/>
          <w:szCs w:val="20"/>
        </w:rPr>
        <w:t xml:space="preserve"> around ensuring that a licensed product is dispensed where the medication is prescribed generically</w:t>
      </w:r>
      <w:r w:rsidR="003E48BC" w:rsidRPr="00153ECD">
        <w:rPr>
          <w:rFonts w:ascii="Arial" w:eastAsia="Arial" w:hAnsi="Arial" w:cs="Arial"/>
          <w:sz w:val="20"/>
          <w:szCs w:val="20"/>
        </w:rPr>
        <w:t xml:space="preserve">, a point also </w:t>
      </w:r>
      <w:r w:rsidRPr="00153ECD">
        <w:rPr>
          <w:rFonts w:ascii="Arial" w:eastAsia="Arial" w:hAnsi="Arial" w:cs="Arial"/>
          <w:sz w:val="20"/>
          <w:szCs w:val="20"/>
        </w:rPr>
        <w:t xml:space="preserve"> highlighted by Sutherland and </w:t>
      </w:r>
      <w:proofErr w:type="spellStart"/>
      <w:r w:rsidRPr="00153ECD">
        <w:rPr>
          <w:rFonts w:ascii="Arial" w:eastAsia="Arial" w:hAnsi="Arial" w:cs="Arial"/>
          <w:sz w:val="20"/>
          <w:szCs w:val="20"/>
        </w:rPr>
        <w:t>Waldeck</w:t>
      </w:r>
      <w:proofErr w:type="spellEnd"/>
      <w:r w:rsidRPr="00153ECD">
        <w:rPr>
          <w:rFonts w:ascii="Arial" w:eastAsia="Arial" w:hAnsi="Arial" w:cs="Arial"/>
          <w:sz w:val="20"/>
          <w:szCs w:val="20"/>
        </w:rPr>
        <w:t xml:space="preserv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"12f9e3crpk", "citationItems" : [ { "id" : "ITEM-1", "itemData" : { "DOI" : "10.1007/s00228-015-1886-z", "ISSN" : "0031-6970, 1432-1041", "author" : [ { "dropping-particle" : "", "family" : "Sutherland", "given" : "Adam", "non-dropping-particle" : "", "parse-names" : false, "suffix" : "" }, { "dropping-particle" : "", "family" : "Waldek", "given" : "Stephen", "non-dropping-particle" : "", "parse-names" : false, "suffix" : "" } ], "container-title" : "European Journal of Clinical Pharmacology", "id" : "ITEM-1", "issue" : "9", "issued" : { "date-parts" : [ [ "2015", "10", "31" ] ] }, "language" : "en", "page" : "1029-1035", "title" : "It is time to review how unlicensed medicines are used", "type" : "article-journal", "volume" : "71" }, "uris" : [ "http://www.mendeley.com/documents/?uuid=74ffbc2a-1fc9-420b-b486-3f41a187be16" ] } ], "mendeley" : { "formattedCitation" : "[25]", "plainTextFormattedCitation" : "[25]", "previouslyFormattedCitation" : "[25]" }, "properties" : { "formattedCitation" : "[22]", "noteIndex" : 0, "plainCitation" : "[22]"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[25]</w:t>
      </w:r>
      <w:r w:rsidR="004C3C88" w:rsidRPr="00153ECD">
        <w:rPr>
          <w:rFonts w:ascii="Arial" w:eastAsia="Arial" w:hAnsi="Arial" w:cs="Arial"/>
          <w:sz w:val="20"/>
          <w:szCs w:val="20"/>
        </w:rPr>
        <w:fldChar w:fldCharType="end"/>
      </w:r>
      <w:r w:rsidRPr="00153ECD">
        <w:rPr>
          <w:rFonts w:ascii="Arial" w:eastAsia="Arial" w:hAnsi="Arial" w:cs="Arial"/>
          <w:sz w:val="20"/>
          <w:szCs w:val="20"/>
        </w:rPr>
        <w:t>. This may be due to this information being contained within dispensary</w:t>
      </w:r>
      <w:r w:rsidR="00E83FCD">
        <w:rPr>
          <w:rFonts w:ascii="Arial" w:eastAsia="Arial" w:hAnsi="Arial" w:cs="Arial"/>
          <w:sz w:val="20"/>
          <w:szCs w:val="20"/>
        </w:rPr>
        <w:t>-</w:t>
      </w:r>
      <w:r w:rsidRPr="00153ECD">
        <w:rPr>
          <w:rFonts w:ascii="Arial" w:eastAsia="Arial" w:hAnsi="Arial" w:cs="Arial"/>
          <w:sz w:val="20"/>
          <w:szCs w:val="20"/>
        </w:rPr>
        <w:t xml:space="preserve">based standard operating procedures not submitted as part of the call for </w:t>
      </w:r>
      <w:r w:rsidR="00794D70">
        <w:rPr>
          <w:rFonts w:ascii="Arial" w:eastAsia="Arial" w:hAnsi="Arial" w:cs="Arial"/>
          <w:sz w:val="20"/>
          <w:szCs w:val="20"/>
        </w:rPr>
        <w:t xml:space="preserve">guidelines </w:t>
      </w:r>
      <w:r w:rsidR="003E48BC" w:rsidRPr="00153ECD">
        <w:rPr>
          <w:rFonts w:ascii="Arial" w:eastAsia="Arial" w:hAnsi="Arial" w:cs="Arial"/>
          <w:sz w:val="20"/>
          <w:szCs w:val="20"/>
        </w:rPr>
        <w:t>in this study</w:t>
      </w:r>
      <w:r w:rsidRPr="00153ECD">
        <w:rPr>
          <w:rFonts w:ascii="Arial" w:eastAsia="Arial" w:hAnsi="Arial" w:cs="Arial"/>
          <w:sz w:val="20"/>
          <w:szCs w:val="20"/>
        </w:rPr>
        <w:t xml:space="preserve">. </w:t>
      </w:r>
    </w:p>
    <w:p w:rsidR="006F2D3D" w:rsidRPr="00153ECD" w:rsidRDefault="006F2D3D" w:rsidP="00EE672C">
      <w:pPr>
        <w:spacing w:after="0" w:line="480" w:lineRule="auto"/>
        <w:rPr>
          <w:rFonts w:ascii="Arial" w:eastAsia="Arial" w:hAnsi="Arial" w:cs="Arial"/>
          <w:sz w:val="20"/>
          <w:szCs w:val="20"/>
        </w:rPr>
      </w:pPr>
    </w:p>
    <w:p w:rsidR="006F2D3D" w:rsidRPr="00153ECD" w:rsidRDefault="006F2D3D" w:rsidP="00EE672C">
      <w:pPr>
        <w:spacing w:after="0" w:line="480" w:lineRule="auto"/>
        <w:rPr>
          <w:rFonts w:ascii="Arial" w:eastAsia="Arial" w:hAnsi="Arial" w:cs="Arial"/>
          <w:sz w:val="20"/>
          <w:szCs w:val="20"/>
        </w:rPr>
      </w:pPr>
      <w:r w:rsidRPr="00153ECD">
        <w:rPr>
          <w:rFonts w:ascii="Arial" w:eastAsia="Arial" w:hAnsi="Arial" w:cs="Arial"/>
          <w:sz w:val="20"/>
          <w:szCs w:val="20"/>
        </w:rPr>
        <w:t xml:space="preserve">The General Medical Council (GMC) </w:t>
      </w:r>
      <w:r w:rsidR="00794D70">
        <w:rPr>
          <w:rFonts w:ascii="Arial" w:eastAsia="Arial" w:hAnsi="Arial" w:cs="Arial"/>
          <w:sz w:val="20"/>
          <w:szCs w:val="20"/>
        </w:rPr>
        <w:t>guideline</w:t>
      </w:r>
      <w:r w:rsidRPr="00153ECD">
        <w:rPr>
          <w:rFonts w:ascii="Arial" w:eastAsia="Arial" w:hAnsi="Arial" w:cs="Arial"/>
          <w:sz w:val="20"/>
          <w:szCs w:val="20"/>
        </w:rPr>
        <w:t xml:space="preserve">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"3doa35688", "citationItems" : [ { "id" : "ITEM-1", "itemData" : { "URL" : "http://www.gmc-uk.org/guidance/ethical_guidance/14316.asp", "author" : [ { "dropping-particle" : "", "family" : "General Medical Council", "given" : "", "non-dropping-particle" : "", "parse-names" : false, "suffix" : "" } ], "id" : "ITEM-1", "issued" : { "date-parts" : [ [ "2013", "2", "2" ] ] }, "title" : "Good practice in prescribing and managing medicines and devices", "type" : "webpage" }, "uris" : [ "http://www.mendeley.com/documents/?uuid=4dff4ff2-61fc-44a3-bed7-237bb226b425" ] } ], "mendeley" : { "formattedCitation" : "[26]", "plainTextFormattedCitation" : "[26]", "previouslyFormattedCitation" : "[26]" }, "properties" : { "formattedCitation" : "[23]", "noteIndex" : 0, "plainCitation" : "[23]"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[26]</w:t>
      </w:r>
      <w:r w:rsidR="004C3C88" w:rsidRPr="00153ECD">
        <w:rPr>
          <w:rFonts w:ascii="Arial" w:eastAsia="Arial" w:hAnsi="Arial" w:cs="Arial"/>
          <w:sz w:val="20"/>
          <w:szCs w:val="20"/>
        </w:rPr>
        <w:fldChar w:fldCharType="end"/>
      </w:r>
      <w:r w:rsidRPr="00153ECD">
        <w:rPr>
          <w:rFonts w:ascii="Arial" w:eastAsia="Arial" w:hAnsi="Arial" w:cs="Arial"/>
          <w:sz w:val="20"/>
          <w:szCs w:val="20"/>
        </w:rPr>
        <w:t xml:space="preserve"> states that </w:t>
      </w:r>
      <w:r w:rsidR="008222B8" w:rsidRPr="00153ECD">
        <w:rPr>
          <w:rFonts w:ascii="Arial" w:eastAsia="Arial" w:hAnsi="Arial" w:cs="Arial"/>
          <w:sz w:val="20"/>
          <w:szCs w:val="20"/>
        </w:rPr>
        <w:t>ULMs</w:t>
      </w:r>
      <w:r w:rsidRPr="00153ECD">
        <w:rPr>
          <w:rFonts w:ascii="Arial" w:eastAsia="Arial" w:hAnsi="Arial" w:cs="Arial"/>
          <w:sz w:val="20"/>
          <w:szCs w:val="20"/>
        </w:rPr>
        <w:t xml:space="preserve"> may be prescribed where there is no suitable licensed alternative that can meet the patient’</w:t>
      </w:r>
      <w:r w:rsidR="00B4140D" w:rsidRPr="00153ECD">
        <w:rPr>
          <w:rFonts w:ascii="Arial" w:eastAsia="Arial" w:hAnsi="Arial" w:cs="Arial"/>
          <w:sz w:val="20"/>
          <w:szCs w:val="20"/>
        </w:rPr>
        <w:t>s need.  However,</w:t>
      </w:r>
      <w:r w:rsidRPr="00153ECD">
        <w:rPr>
          <w:rFonts w:ascii="Arial" w:eastAsia="Arial" w:hAnsi="Arial" w:cs="Arial"/>
          <w:sz w:val="20"/>
          <w:szCs w:val="20"/>
        </w:rPr>
        <w:t xml:space="preserve"> this an</w:t>
      </w:r>
      <w:r w:rsidR="00B4140D" w:rsidRPr="00153ECD">
        <w:rPr>
          <w:rFonts w:ascii="Arial" w:eastAsia="Arial" w:hAnsi="Arial" w:cs="Arial"/>
          <w:sz w:val="20"/>
          <w:szCs w:val="20"/>
        </w:rPr>
        <w:t>alysis</w:t>
      </w:r>
      <w:r w:rsidRPr="00153ECD">
        <w:rPr>
          <w:rFonts w:ascii="Arial" w:eastAsia="Arial" w:hAnsi="Arial" w:cs="Arial"/>
          <w:sz w:val="20"/>
          <w:szCs w:val="20"/>
        </w:rPr>
        <w:t xml:space="preserve"> suggests that there is widespread use of </w:t>
      </w:r>
      <w:r w:rsidR="008222B8" w:rsidRPr="00153ECD">
        <w:rPr>
          <w:rFonts w:ascii="Arial" w:eastAsia="Arial" w:hAnsi="Arial" w:cs="Arial"/>
          <w:sz w:val="20"/>
          <w:szCs w:val="20"/>
        </w:rPr>
        <w:t>ULMs</w:t>
      </w:r>
      <w:r w:rsidRPr="00153ECD">
        <w:rPr>
          <w:rFonts w:ascii="Arial" w:eastAsia="Arial" w:hAnsi="Arial" w:cs="Arial"/>
          <w:sz w:val="20"/>
          <w:szCs w:val="20"/>
        </w:rPr>
        <w:t xml:space="preserve"> to meet the needs of specific patient groups and for specific indications</w:t>
      </w:r>
      <w:r w:rsidR="00B82553">
        <w:rPr>
          <w:rFonts w:ascii="Arial" w:eastAsia="Arial" w:hAnsi="Arial" w:cs="Arial"/>
          <w:sz w:val="20"/>
          <w:szCs w:val="20"/>
        </w:rPr>
        <w:t>. These routine uses are</w:t>
      </w:r>
      <w:r w:rsidR="00153ECD" w:rsidRPr="00153ECD">
        <w:rPr>
          <w:rFonts w:ascii="Arial" w:eastAsia="Arial" w:hAnsi="Arial" w:cs="Arial"/>
          <w:sz w:val="20"/>
          <w:szCs w:val="20"/>
        </w:rPr>
        <w:t xml:space="preserve"> commonly documented in local </w:t>
      </w:r>
      <w:r w:rsidR="00575142">
        <w:rPr>
          <w:rFonts w:ascii="Arial" w:eastAsia="Arial" w:hAnsi="Arial" w:cs="Arial"/>
          <w:sz w:val="20"/>
          <w:szCs w:val="20"/>
        </w:rPr>
        <w:t>ULM</w:t>
      </w:r>
      <w:r w:rsidR="00153ECD" w:rsidRPr="00153ECD">
        <w:rPr>
          <w:rFonts w:ascii="Arial" w:eastAsia="Arial" w:hAnsi="Arial" w:cs="Arial"/>
          <w:sz w:val="20"/>
          <w:szCs w:val="20"/>
        </w:rPr>
        <w:t xml:space="preserve"> guidelines</w:t>
      </w:r>
      <w:r w:rsidR="00B82553">
        <w:rPr>
          <w:rFonts w:ascii="Arial" w:eastAsia="Arial" w:hAnsi="Arial" w:cs="Arial"/>
          <w:sz w:val="20"/>
          <w:szCs w:val="20"/>
        </w:rPr>
        <w:t xml:space="preserve"> and therefore </w:t>
      </w:r>
      <w:r w:rsidR="00B76BBC">
        <w:rPr>
          <w:rFonts w:ascii="Arial" w:eastAsia="Arial" w:hAnsi="Arial" w:cs="Arial"/>
          <w:sz w:val="20"/>
          <w:szCs w:val="20"/>
        </w:rPr>
        <w:t xml:space="preserve">are </w:t>
      </w:r>
      <w:r w:rsidR="00B82553">
        <w:rPr>
          <w:rFonts w:ascii="Arial" w:eastAsia="Arial" w:hAnsi="Arial" w:cs="Arial"/>
          <w:sz w:val="20"/>
          <w:szCs w:val="20"/>
        </w:rPr>
        <w:t>potentially seen to be legitimised</w:t>
      </w:r>
      <w:r w:rsidR="00E83FCD">
        <w:rPr>
          <w:rFonts w:ascii="Arial" w:eastAsia="Arial" w:hAnsi="Arial" w:cs="Arial"/>
          <w:sz w:val="20"/>
          <w:szCs w:val="20"/>
        </w:rPr>
        <w:t xml:space="preserve"> (see also </w:t>
      </w:r>
      <w:r w:rsidR="004C3C88" w:rsidRPr="00153ECD">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"2dr53jleka", "citationItems" : [ { "id" : "ITEM-1", "itemData" : { "DOI" : "10.1007/s00228-015-1886-z", "ISSN" : "0031-6970, 1432-1041", "author" : [ { "dropping-particle" : "", "family" : "Sutherland", "given" : "Adam", "non-dropping-particle" : "", "parse-names" : false, "suffix" : "" }, { "dropping-particle" : "", "family" : "Waldek", "given" : "Stephen", "non-dropping-particle" : "", "parse-names" : false, "suffix" : "" } ], "container-title" : "European Journal of Clinical Pharmacology", "id" : "ITEM-1", "issue" : "9", "issued" : { "date-parts" : [ [ "2015", "10", "31" ] ] }, "language" : "en", "page" : "1029-1035", "title" : "It is time to review how unlicensed medicines are used", "type" : "article-journal", "volume" : "71" }, "uris" : [ "http://www.mendeley.com/documents/?uuid=74ffbc2a-1fc9-420b-b486-3f41a187be16" ] } ], "mendeley" : { "formattedCitation" : "[25]", "plainTextFormattedCitation" : "[25]", "previouslyFormattedCitation" : "[25]" }, "properties" : { "formattedCitation" : "[22]", "noteIndex" : 0, "plainCitation" : "[22]" }, "schema" : "https://github.com/citation-style-language/schema/raw/master/csl-citation.json" }</w:instrText>
      </w:r>
      <w:r w:rsidR="004C3C88" w:rsidRPr="00153ECD">
        <w:rPr>
          <w:rFonts w:ascii="Arial" w:eastAsia="Arial" w:hAnsi="Arial" w:cs="Arial"/>
          <w:sz w:val="20"/>
          <w:szCs w:val="20"/>
        </w:rPr>
        <w:fldChar w:fldCharType="separate"/>
      </w:r>
      <w:r w:rsidR="00587F33" w:rsidRPr="00587F33">
        <w:rPr>
          <w:rFonts w:ascii="Arial" w:hAnsi="Arial" w:cs="Arial"/>
          <w:noProof/>
          <w:sz w:val="20"/>
        </w:rPr>
        <w:t>[25]</w:t>
      </w:r>
      <w:r w:rsidR="004C3C88" w:rsidRPr="00153ECD">
        <w:rPr>
          <w:rFonts w:ascii="Arial" w:eastAsia="Arial" w:hAnsi="Arial" w:cs="Arial"/>
          <w:sz w:val="20"/>
          <w:szCs w:val="20"/>
        </w:rPr>
        <w:fldChar w:fldCharType="end"/>
      </w:r>
      <w:r w:rsidR="00E83FCD">
        <w:rPr>
          <w:rFonts w:ascii="Arial" w:eastAsia="Arial" w:hAnsi="Arial" w:cs="Arial"/>
          <w:sz w:val="20"/>
          <w:szCs w:val="20"/>
        </w:rPr>
        <w:t>)</w:t>
      </w:r>
      <w:r w:rsidRPr="00153ECD">
        <w:rPr>
          <w:rFonts w:ascii="Arial" w:eastAsia="Arial" w:hAnsi="Arial" w:cs="Arial"/>
          <w:sz w:val="20"/>
          <w:szCs w:val="20"/>
        </w:rPr>
        <w:t>.</w:t>
      </w:r>
      <w:r w:rsidR="00B5291D" w:rsidRPr="00153ECD">
        <w:rPr>
          <w:rFonts w:ascii="Arial" w:eastAsia="Arial" w:hAnsi="Arial" w:cs="Arial"/>
          <w:sz w:val="20"/>
          <w:szCs w:val="20"/>
        </w:rPr>
        <w:t xml:space="preserve"> </w:t>
      </w:r>
    </w:p>
    <w:p w:rsidR="00702E34" w:rsidRPr="00153ECD" w:rsidRDefault="00702E34" w:rsidP="00EE672C">
      <w:pPr>
        <w:spacing w:after="0" w:line="480" w:lineRule="auto"/>
        <w:rPr>
          <w:rFonts w:ascii="Arial" w:eastAsia="Arial" w:hAnsi="Arial" w:cs="Arial"/>
          <w:sz w:val="20"/>
          <w:szCs w:val="20"/>
        </w:rPr>
      </w:pPr>
    </w:p>
    <w:p w:rsidR="006D19C8" w:rsidRPr="00813CE7" w:rsidRDefault="006D19C8" w:rsidP="00EE672C">
      <w:pPr>
        <w:spacing w:after="0" w:line="480" w:lineRule="auto"/>
        <w:rPr>
          <w:rFonts w:ascii="Arial" w:eastAsia="Arial" w:hAnsi="Arial" w:cs="Arial"/>
          <w:sz w:val="20"/>
          <w:szCs w:val="20"/>
        </w:rPr>
      </w:pPr>
      <w:r w:rsidRPr="00813CE7">
        <w:rPr>
          <w:rFonts w:ascii="Arial" w:eastAsia="Arial" w:hAnsi="Arial" w:cs="Arial"/>
          <w:sz w:val="20"/>
          <w:szCs w:val="20"/>
        </w:rPr>
        <w:t xml:space="preserve">Whilst the AGREE II tool is used to assess the quality of national </w:t>
      </w:r>
      <w:r w:rsidR="00794D70" w:rsidRPr="00813CE7">
        <w:rPr>
          <w:rFonts w:ascii="Arial" w:eastAsia="Arial" w:hAnsi="Arial" w:cs="Arial"/>
          <w:sz w:val="20"/>
          <w:szCs w:val="20"/>
        </w:rPr>
        <w:t>guidelines</w:t>
      </w:r>
      <w:r w:rsidRPr="00813CE7">
        <w:rPr>
          <w:rFonts w:ascii="Arial" w:eastAsia="Arial" w:hAnsi="Arial" w:cs="Arial"/>
          <w:sz w:val="20"/>
          <w:szCs w:val="20"/>
        </w:rPr>
        <w:t xml:space="preserve"> such as that produced by NICE and the guidelines included here also incorporate local guidelines and procedures, the standards to which these are produced in terms of process would be expected to be the same. For unlicensed medicines, the absence of a robust national guideline means that local procedures are even more important in guiding local decision making. However, we also acknowledge that the resources available to develop guidelines at a local level will be significantly reduced compared to that available to national guidance bodies.</w:t>
      </w:r>
    </w:p>
    <w:p w:rsidR="006D19C8" w:rsidRDefault="006D19C8" w:rsidP="00EE672C">
      <w:pPr>
        <w:spacing w:after="0" w:line="480" w:lineRule="auto"/>
        <w:rPr>
          <w:rFonts w:ascii="Arial" w:eastAsia="Arial" w:hAnsi="Arial" w:cs="Arial"/>
          <w:sz w:val="20"/>
          <w:szCs w:val="20"/>
          <w:u w:val="single"/>
        </w:rPr>
      </w:pPr>
    </w:p>
    <w:p w:rsidR="00065999" w:rsidRPr="00BD128F" w:rsidRDefault="00065999" w:rsidP="00EE672C">
      <w:pPr>
        <w:spacing w:after="0" w:line="480" w:lineRule="auto"/>
        <w:rPr>
          <w:rFonts w:ascii="Arial" w:eastAsia="Arial" w:hAnsi="Arial" w:cs="Arial"/>
          <w:sz w:val="20"/>
          <w:szCs w:val="20"/>
          <w:u w:val="single"/>
        </w:rPr>
      </w:pPr>
      <w:r w:rsidRPr="00BD128F">
        <w:rPr>
          <w:rFonts w:ascii="Arial" w:eastAsia="Arial" w:hAnsi="Arial" w:cs="Arial"/>
          <w:sz w:val="20"/>
          <w:szCs w:val="20"/>
          <w:u w:val="single"/>
        </w:rPr>
        <w:t>Limitations to this study</w:t>
      </w:r>
    </w:p>
    <w:p w:rsidR="001A1959" w:rsidRPr="00153ECD" w:rsidRDefault="008222B8" w:rsidP="001A1959">
      <w:pPr>
        <w:spacing w:after="0" w:line="480" w:lineRule="auto"/>
        <w:rPr>
          <w:rFonts w:ascii="Arial" w:eastAsia="Arial" w:hAnsi="Arial" w:cs="Arial"/>
          <w:sz w:val="20"/>
          <w:szCs w:val="20"/>
        </w:rPr>
      </w:pPr>
      <w:r w:rsidRPr="00153ECD">
        <w:rPr>
          <w:rFonts w:ascii="Arial" w:eastAsia="Arial" w:hAnsi="Arial" w:cs="Arial"/>
          <w:sz w:val="20"/>
          <w:szCs w:val="20"/>
        </w:rPr>
        <w:t>Our</w:t>
      </w:r>
      <w:r w:rsidR="00B4140D" w:rsidRPr="00153ECD">
        <w:rPr>
          <w:rFonts w:ascii="Arial" w:eastAsia="Arial" w:hAnsi="Arial" w:cs="Arial"/>
          <w:sz w:val="20"/>
          <w:szCs w:val="20"/>
        </w:rPr>
        <w:t xml:space="preserve"> analysis </w:t>
      </w:r>
      <w:r w:rsidR="006F2D3D" w:rsidRPr="00153ECD">
        <w:rPr>
          <w:rFonts w:ascii="Arial" w:eastAsia="Arial" w:hAnsi="Arial" w:cs="Arial"/>
          <w:sz w:val="20"/>
          <w:szCs w:val="20"/>
        </w:rPr>
        <w:t xml:space="preserve">has </w:t>
      </w:r>
      <w:r w:rsidRPr="00153ECD">
        <w:rPr>
          <w:rFonts w:ascii="Arial" w:eastAsia="Arial" w:hAnsi="Arial" w:cs="Arial"/>
          <w:sz w:val="20"/>
          <w:szCs w:val="20"/>
        </w:rPr>
        <w:t>given</w:t>
      </w:r>
      <w:r w:rsidR="006F2D3D" w:rsidRPr="00153ECD">
        <w:rPr>
          <w:rFonts w:ascii="Arial" w:eastAsia="Arial" w:hAnsi="Arial" w:cs="Arial"/>
          <w:sz w:val="20"/>
          <w:szCs w:val="20"/>
        </w:rPr>
        <w:t xml:space="preserve"> a </w:t>
      </w:r>
      <w:r w:rsidRPr="00153ECD">
        <w:rPr>
          <w:rFonts w:ascii="Arial" w:eastAsia="Arial" w:hAnsi="Arial" w:cs="Arial"/>
          <w:sz w:val="20"/>
          <w:szCs w:val="20"/>
        </w:rPr>
        <w:t xml:space="preserve">clearer </w:t>
      </w:r>
      <w:r w:rsidR="006F2D3D" w:rsidRPr="00153ECD">
        <w:rPr>
          <w:rFonts w:ascii="Arial" w:eastAsia="Arial" w:hAnsi="Arial" w:cs="Arial"/>
          <w:sz w:val="20"/>
          <w:szCs w:val="20"/>
        </w:rPr>
        <w:t>picture of the</w:t>
      </w:r>
      <w:r w:rsidR="00AC3F1D" w:rsidRPr="00153ECD">
        <w:rPr>
          <w:rFonts w:ascii="Arial" w:eastAsia="Arial" w:hAnsi="Arial" w:cs="Arial"/>
          <w:sz w:val="20"/>
          <w:szCs w:val="20"/>
        </w:rPr>
        <w:t xml:space="preserve"> </w:t>
      </w:r>
      <w:r w:rsidR="0043261F">
        <w:rPr>
          <w:rFonts w:ascii="Arial" w:eastAsia="Arial" w:hAnsi="Arial" w:cs="Arial"/>
          <w:sz w:val="20"/>
          <w:szCs w:val="20"/>
        </w:rPr>
        <w:t xml:space="preserve">variability in </w:t>
      </w:r>
      <w:r w:rsidR="00AC3F1D" w:rsidRPr="00153ECD">
        <w:rPr>
          <w:rFonts w:ascii="Arial" w:eastAsia="Arial" w:hAnsi="Arial" w:cs="Arial"/>
          <w:sz w:val="20"/>
          <w:szCs w:val="20"/>
        </w:rPr>
        <w:t>content</w:t>
      </w:r>
      <w:r w:rsidR="00575142">
        <w:rPr>
          <w:rFonts w:ascii="Arial" w:eastAsia="Arial" w:hAnsi="Arial" w:cs="Arial"/>
          <w:sz w:val="20"/>
          <w:szCs w:val="20"/>
        </w:rPr>
        <w:t xml:space="preserve"> and quality</w:t>
      </w:r>
      <w:r w:rsidR="00AC3F1D" w:rsidRPr="00153ECD">
        <w:rPr>
          <w:rFonts w:ascii="Arial" w:eastAsia="Arial" w:hAnsi="Arial" w:cs="Arial"/>
          <w:sz w:val="20"/>
          <w:szCs w:val="20"/>
        </w:rPr>
        <w:t xml:space="preserve"> </w:t>
      </w:r>
      <w:r w:rsidR="006F2D3D" w:rsidRPr="00153ECD">
        <w:rPr>
          <w:rFonts w:ascii="Arial" w:eastAsia="Arial" w:hAnsi="Arial" w:cs="Arial"/>
          <w:sz w:val="20"/>
          <w:szCs w:val="20"/>
        </w:rPr>
        <w:t xml:space="preserve">of </w:t>
      </w:r>
      <w:r w:rsidR="00794D70">
        <w:rPr>
          <w:rFonts w:ascii="Arial" w:eastAsia="Arial" w:hAnsi="Arial" w:cs="Arial"/>
          <w:sz w:val="20"/>
          <w:szCs w:val="20"/>
        </w:rPr>
        <w:t>guidelines</w:t>
      </w:r>
      <w:r w:rsidR="006F2D3D" w:rsidRPr="00153ECD">
        <w:rPr>
          <w:rFonts w:ascii="Arial" w:eastAsia="Arial" w:hAnsi="Arial" w:cs="Arial"/>
          <w:sz w:val="20"/>
          <w:szCs w:val="20"/>
        </w:rPr>
        <w:t xml:space="preserve"> currently in u</w:t>
      </w:r>
      <w:r w:rsidR="00B4140D" w:rsidRPr="00153ECD">
        <w:rPr>
          <w:rFonts w:ascii="Arial" w:eastAsia="Arial" w:hAnsi="Arial" w:cs="Arial"/>
          <w:sz w:val="20"/>
          <w:szCs w:val="20"/>
        </w:rPr>
        <w:t>se</w:t>
      </w:r>
      <w:r w:rsidR="006F2D3D" w:rsidRPr="00153ECD">
        <w:rPr>
          <w:rFonts w:ascii="Arial" w:eastAsia="Arial" w:hAnsi="Arial" w:cs="Arial"/>
          <w:sz w:val="20"/>
          <w:szCs w:val="20"/>
        </w:rPr>
        <w:t xml:space="preserve"> </w:t>
      </w:r>
      <w:r w:rsidRPr="00153ECD">
        <w:rPr>
          <w:rFonts w:ascii="Arial" w:eastAsia="Arial" w:hAnsi="Arial" w:cs="Arial"/>
          <w:sz w:val="20"/>
          <w:szCs w:val="20"/>
        </w:rPr>
        <w:t>for ULMs</w:t>
      </w:r>
      <w:r w:rsidR="00575142">
        <w:rPr>
          <w:rFonts w:ascii="Arial" w:eastAsia="Arial" w:hAnsi="Arial" w:cs="Arial"/>
          <w:sz w:val="20"/>
          <w:szCs w:val="20"/>
        </w:rPr>
        <w:t xml:space="preserve"> within the UK</w:t>
      </w:r>
      <w:r w:rsidR="006F2D3D" w:rsidRPr="00153ECD">
        <w:rPr>
          <w:rFonts w:ascii="Arial" w:eastAsia="Arial" w:hAnsi="Arial" w:cs="Arial"/>
          <w:sz w:val="20"/>
          <w:szCs w:val="20"/>
        </w:rPr>
        <w:t xml:space="preserve">.  However, 56% of these documents came from secondary and tertiary </w:t>
      </w:r>
      <w:r w:rsidR="006F2D3D" w:rsidRPr="00153ECD">
        <w:rPr>
          <w:rFonts w:ascii="Arial" w:eastAsia="Arial" w:hAnsi="Arial" w:cs="Arial"/>
          <w:sz w:val="20"/>
          <w:szCs w:val="20"/>
        </w:rPr>
        <w:lastRenderedPageBreak/>
        <w:t xml:space="preserve">care centres </w:t>
      </w:r>
      <w:r w:rsidR="00E83FCD">
        <w:rPr>
          <w:rFonts w:ascii="Arial" w:eastAsia="Arial" w:hAnsi="Arial" w:cs="Arial"/>
          <w:sz w:val="20"/>
          <w:szCs w:val="20"/>
        </w:rPr>
        <w:t>compared</w:t>
      </w:r>
      <w:r w:rsidR="006F2D3D" w:rsidRPr="00153ECD">
        <w:rPr>
          <w:rFonts w:ascii="Arial" w:eastAsia="Arial" w:hAnsi="Arial" w:cs="Arial"/>
          <w:sz w:val="20"/>
          <w:szCs w:val="20"/>
        </w:rPr>
        <w:t xml:space="preserve"> to 21% from primary care. </w:t>
      </w:r>
      <w:r w:rsidR="009856F0" w:rsidRPr="00153ECD">
        <w:rPr>
          <w:rFonts w:ascii="Arial" w:eastAsia="Arial" w:hAnsi="Arial" w:cs="Arial"/>
          <w:sz w:val="20"/>
          <w:szCs w:val="20"/>
        </w:rPr>
        <w:t>I</w:t>
      </w:r>
      <w:r w:rsidR="00AC3F1D" w:rsidRPr="00153ECD">
        <w:rPr>
          <w:rFonts w:ascii="Arial" w:eastAsia="Arial" w:hAnsi="Arial" w:cs="Arial"/>
          <w:sz w:val="20"/>
          <w:szCs w:val="20"/>
        </w:rPr>
        <w:t xml:space="preserve">t is </w:t>
      </w:r>
      <w:r w:rsidR="00E83FCD">
        <w:rPr>
          <w:rFonts w:ascii="Arial" w:eastAsia="Arial" w:hAnsi="Arial" w:cs="Arial"/>
          <w:sz w:val="20"/>
          <w:szCs w:val="20"/>
        </w:rPr>
        <w:t>un</w:t>
      </w:r>
      <w:r w:rsidR="00AC3F1D" w:rsidRPr="00153ECD">
        <w:rPr>
          <w:rFonts w:ascii="Arial" w:eastAsia="Arial" w:hAnsi="Arial" w:cs="Arial"/>
          <w:sz w:val="20"/>
          <w:szCs w:val="20"/>
        </w:rPr>
        <w:t xml:space="preserve">clear if </w:t>
      </w:r>
      <w:r w:rsidR="009856F0" w:rsidRPr="00153ECD">
        <w:rPr>
          <w:rFonts w:ascii="Arial" w:eastAsia="Arial" w:hAnsi="Arial" w:cs="Arial"/>
          <w:sz w:val="20"/>
          <w:szCs w:val="20"/>
        </w:rPr>
        <w:t xml:space="preserve">the smaller number from primary care </w:t>
      </w:r>
      <w:r w:rsidR="00AC3F1D" w:rsidRPr="00153ECD">
        <w:rPr>
          <w:rFonts w:ascii="Arial" w:eastAsia="Arial" w:hAnsi="Arial" w:cs="Arial"/>
          <w:sz w:val="20"/>
          <w:szCs w:val="20"/>
        </w:rPr>
        <w:t xml:space="preserve">is </w:t>
      </w:r>
      <w:r w:rsidR="00A82383" w:rsidRPr="00153ECD">
        <w:rPr>
          <w:rFonts w:ascii="Arial" w:eastAsia="Arial" w:hAnsi="Arial" w:cs="Arial"/>
          <w:sz w:val="20"/>
          <w:szCs w:val="20"/>
        </w:rPr>
        <w:t>due to</w:t>
      </w:r>
      <w:r w:rsidR="009856F0" w:rsidRPr="00153ECD">
        <w:rPr>
          <w:rFonts w:ascii="Arial" w:eastAsia="Arial" w:hAnsi="Arial" w:cs="Arial"/>
          <w:sz w:val="20"/>
          <w:szCs w:val="20"/>
        </w:rPr>
        <w:t xml:space="preserve"> </w:t>
      </w:r>
      <w:r w:rsidR="006F2D3D" w:rsidRPr="00153ECD">
        <w:rPr>
          <w:rFonts w:ascii="Arial" w:eastAsia="Arial" w:hAnsi="Arial" w:cs="Arial"/>
          <w:sz w:val="20"/>
          <w:szCs w:val="20"/>
        </w:rPr>
        <w:t xml:space="preserve">a lack of available </w:t>
      </w:r>
      <w:r w:rsidR="00794D70">
        <w:rPr>
          <w:rFonts w:ascii="Arial" w:eastAsia="Arial" w:hAnsi="Arial" w:cs="Arial"/>
          <w:sz w:val="20"/>
          <w:szCs w:val="20"/>
        </w:rPr>
        <w:t>guidelines</w:t>
      </w:r>
      <w:r w:rsidR="006F2D3D" w:rsidRPr="00153ECD">
        <w:rPr>
          <w:rFonts w:ascii="Arial" w:eastAsia="Arial" w:hAnsi="Arial" w:cs="Arial"/>
          <w:sz w:val="20"/>
          <w:szCs w:val="20"/>
        </w:rPr>
        <w:t xml:space="preserve"> or a lack of submis</w:t>
      </w:r>
      <w:r w:rsidR="00AC3F1D" w:rsidRPr="00153ECD">
        <w:rPr>
          <w:rFonts w:ascii="Arial" w:eastAsia="Arial" w:hAnsi="Arial" w:cs="Arial"/>
          <w:sz w:val="20"/>
          <w:szCs w:val="20"/>
        </w:rPr>
        <w:t>sion to the project</w:t>
      </w:r>
      <w:r w:rsidR="006F2D3D" w:rsidRPr="00153ECD">
        <w:rPr>
          <w:rFonts w:ascii="Arial" w:eastAsia="Arial" w:hAnsi="Arial" w:cs="Arial"/>
          <w:sz w:val="20"/>
          <w:szCs w:val="20"/>
        </w:rPr>
        <w:t>.</w:t>
      </w:r>
      <w:r w:rsidR="00AD62A3" w:rsidRPr="00153ECD">
        <w:rPr>
          <w:rFonts w:ascii="Arial" w:eastAsia="Arial" w:hAnsi="Arial" w:cs="Arial"/>
          <w:sz w:val="20"/>
          <w:szCs w:val="20"/>
        </w:rPr>
        <w:t xml:space="preserve"> </w:t>
      </w:r>
      <w:r w:rsidR="00065999">
        <w:rPr>
          <w:rFonts w:ascii="Arial" w:eastAsia="Arial" w:hAnsi="Arial" w:cs="Arial"/>
          <w:sz w:val="20"/>
          <w:szCs w:val="20"/>
        </w:rPr>
        <w:t>Although there were submissions to the analysis from across England the submissions may not be representative of all guidelines within the UK. There were also no submissions from private healthcare</w:t>
      </w:r>
      <w:r w:rsidR="00B76BBC">
        <w:rPr>
          <w:rFonts w:ascii="Arial" w:eastAsia="Arial" w:hAnsi="Arial" w:cs="Arial"/>
          <w:sz w:val="20"/>
          <w:szCs w:val="20"/>
        </w:rPr>
        <w:t xml:space="preserve"> organisations</w:t>
      </w:r>
      <w:r w:rsidR="00065999">
        <w:rPr>
          <w:rFonts w:ascii="Arial" w:eastAsia="Arial" w:hAnsi="Arial" w:cs="Arial"/>
          <w:sz w:val="20"/>
          <w:szCs w:val="20"/>
        </w:rPr>
        <w:t>. Whilst all efforts were made to identify documents for inclusion, we acknowledge that there will be more documentation which could have been included</w:t>
      </w:r>
      <w:r w:rsidR="00B76BBC">
        <w:rPr>
          <w:rFonts w:ascii="Arial" w:eastAsia="Arial" w:hAnsi="Arial" w:cs="Arial"/>
          <w:sz w:val="20"/>
          <w:szCs w:val="20"/>
        </w:rPr>
        <w:t>. However,</w:t>
      </w:r>
      <w:r w:rsidR="00065999">
        <w:rPr>
          <w:rFonts w:ascii="Arial" w:eastAsia="Arial" w:hAnsi="Arial" w:cs="Arial"/>
          <w:sz w:val="20"/>
          <w:szCs w:val="20"/>
        </w:rPr>
        <w:t xml:space="preserve"> this would be </w:t>
      </w:r>
      <w:r w:rsidR="00B76BBC">
        <w:rPr>
          <w:rFonts w:ascii="Arial" w:eastAsia="Arial" w:hAnsi="Arial" w:cs="Arial"/>
          <w:sz w:val="20"/>
          <w:szCs w:val="20"/>
        </w:rPr>
        <w:t xml:space="preserve">almost </w:t>
      </w:r>
      <w:r w:rsidR="00065999">
        <w:rPr>
          <w:rFonts w:ascii="Arial" w:eastAsia="Arial" w:hAnsi="Arial" w:cs="Arial"/>
          <w:sz w:val="20"/>
          <w:szCs w:val="20"/>
        </w:rPr>
        <w:t xml:space="preserve">impossible to collect at this large scale and analysis of all of </w:t>
      </w:r>
      <w:r w:rsidR="00B76BBC">
        <w:rPr>
          <w:rFonts w:ascii="Arial" w:eastAsia="Arial" w:hAnsi="Arial" w:cs="Arial"/>
          <w:sz w:val="20"/>
          <w:szCs w:val="20"/>
        </w:rPr>
        <w:t>those guidelines</w:t>
      </w:r>
      <w:r w:rsidR="00065999">
        <w:rPr>
          <w:rFonts w:ascii="Arial" w:eastAsia="Arial" w:hAnsi="Arial" w:cs="Arial"/>
          <w:sz w:val="20"/>
          <w:szCs w:val="20"/>
        </w:rPr>
        <w:t xml:space="preserve"> would be impracticable. It </w:t>
      </w:r>
      <w:r w:rsidR="001A1959">
        <w:rPr>
          <w:rFonts w:ascii="Arial" w:eastAsia="Arial" w:hAnsi="Arial" w:cs="Arial"/>
          <w:sz w:val="20"/>
          <w:szCs w:val="20"/>
        </w:rPr>
        <w:t xml:space="preserve">should be noted </w:t>
      </w:r>
      <w:r w:rsidR="00065999">
        <w:rPr>
          <w:rFonts w:ascii="Arial" w:eastAsia="Arial" w:hAnsi="Arial" w:cs="Arial"/>
          <w:sz w:val="20"/>
          <w:szCs w:val="20"/>
        </w:rPr>
        <w:t>that other studies of this type have analysed much smaller samples of guideline documentation.</w:t>
      </w:r>
      <w:r w:rsidR="001A1959">
        <w:rPr>
          <w:rFonts w:ascii="Arial" w:eastAsia="Arial" w:hAnsi="Arial" w:cs="Arial"/>
          <w:sz w:val="20"/>
          <w:szCs w:val="20"/>
        </w:rPr>
        <w:t xml:space="preserve"> We used two reviewers for the analysis which is within recommendations for using the AGREE II tool, however more reviewers would increase the reliability of the scores.</w:t>
      </w:r>
      <w:r w:rsidR="00813CE7">
        <w:rPr>
          <w:rFonts w:ascii="Arial" w:eastAsia="Arial" w:hAnsi="Arial" w:cs="Arial"/>
          <w:sz w:val="20"/>
          <w:szCs w:val="20"/>
        </w:rPr>
        <w:t xml:space="preserve"> While we also attempted to find information to rate guidelines using other sources that were submitting alongside guidelines or websites of the organisations who published the guidelines, we did not contact authors or organisations directly to source additional information where this was not readily available. This could mean that some scores could be lower due information not being available which may be available to users of the guideline.</w:t>
      </w:r>
    </w:p>
    <w:p w:rsidR="00065999" w:rsidRDefault="00065999" w:rsidP="00EE672C">
      <w:pPr>
        <w:spacing w:after="0" w:line="480" w:lineRule="auto"/>
        <w:rPr>
          <w:rFonts w:ascii="Arial" w:eastAsia="Arial" w:hAnsi="Arial" w:cs="Arial"/>
          <w:sz w:val="20"/>
          <w:szCs w:val="20"/>
        </w:rPr>
      </w:pPr>
    </w:p>
    <w:p w:rsidR="006F2D3D" w:rsidRPr="00153ECD" w:rsidRDefault="00AD62A3" w:rsidP="00EE672C">
      <w:pPr>
        <w:spacing w:after="0" w:line="480" w:lineRule="auto"/>
        <w:rPr>
          <w:rFonts w:ascii="Arial" w:eastAsia="Arial" w:hAnsi="Arial" w:cs="Arial"/>
          <w:sz w:val="20"/>
          <w:szCs w:val="20"/>
        </w:rPr>
      </w:pPr>
      <w:r w:rsidRPr="00153ECD">
        <w:rPr>
          <w:rFonts w:ascii="Arial" w:eastAsia="Arial" w:hAnsi="Arial" w:cs="Arial"/>
          <w:sz w:val="20"/>
          <w:szCs w:val="20"/>
        </w:rPr>
        <w:t>Document analysis can also only provide part of the picture in relation to ULM use</w:t>
      </w:r>
      <w:r w:rsidR="001A1959">
        <w:rPr>
          <w:rFonts w:ascii="Arial" w:eastAsia="Arial" w:hAnsi="Arial" w:cs="Arial"/>
          <w:sz w:val="20"/>
          <w:szCs w:val="20"/>
        </w:rPr>
        <w:t>.</w:t>
      </w:r>
      <w:r w:rsidR="0043261F">
        <w:rPr>
          <w:rFonts w:ascii="Arial" w:eastAsia="Arial" w:hAnsi="Arial" w:cs="Arial"/>
          <w:sz w:val="20"/>
          <w:szCs w:val="20"/>
        </w:rPr>
        <w:t xml:space="preserve"> </w:t>
      </w:r>
      <w:r w:rsidR="00844EB9">
        <w:rPr>
          <w:rFonts w:ascii="Arial" w:eastAsia="Arial" w:hAnsi="Arial" w:cs="Arial"/>
          <w:sz w:val="20"/>
          <w:szCs w:val="20"/>
        </w:rPr>
        <w:t xml:space="preserve">Here, we have used </w:t>
      </w:r>
      <w:r w:rsidR="00C30477">
        <w:rPr>
          <w:rFonts w:ascii="Arial" w:eastAsia="Arial" w:hAnsi="Arial" w:cs="Arial"/>
          <w:sz w:val="20"/>
          <w:szCs w:val="20"/>
        </w:rPr>
        <w:t>guidelines</w:t>
      </w:r>
      <w:r w:rsidR="00844EB9">
        <w:rPr>
          <w:rFonts w:ascii="Arial" w:eastAsia="Arial" w:hAnsi="Arial" w:cs="Arial"/>
          <w:sz w:val="20"/>
          <w:szCs w:val="20"/>
        </w:rPr>
        <w:t xml:space="preserve"> to explore how </w:t>
      </w:r>
      <w:r w:rsidR="00BD128F">
        <w:rPr>
          <w:rFonts w:ascii="Arial" w:eastAsia="Arial" w:hAnsi="Arial" w:cs="Arial"/>
          <w:sz w:val="20"/>
          <w:szCs w:val="20"/>
        </w:rPr>
        <w:t>organisations</w:t>
      </w:r>
      <w:r w:rsidR="00844EB9">
        <w:rPr>
          <w:rFonts w:ascii="Arial" w:eastAsia="Arial" w:hAnsi="Arial" w:cs="Arial"/>
          <w:sz w:val="20"/>
          <w:szCs w:val="20"/>
        </w:rPr>
        <w:t xml:space="preserve"> are recommending that ULMs are handled, and </w:t>
      </w:r>
      <w:r w:rsidR="0093378D">
        <w:rPr>
          <w:rFonts w:ascii="Arial" w:eastAsia="Arial" w:hAnsi="Arial" w:cs="Arial"/>
          <w:sz w:val="20"/>
          <w:szCs w:val="20"/>
        </w:rPr>
        <w:t xml:space="preserve">these may not be borne out in the actions of healthcare professionals. </w:t>
      </w:r>
      <w:r w:rsidR="001A1959">
        <w:rPr>
          <w:rFonts w:ascii="Arial" w:eastAsia="Arial" w:hAnsi="Arial" w:cs="Arial"/>
          <w:sz w:val="20"/>
          <w:szCs w:val="20"/>
        </w:rPr>
        <w:t>F</w:t>
      </w:r>
      <w:r w:rsidR="001A1959" w:rsidRPr="00153ECD">
        <w:rPr>
          <w:rFonts w:ascii="Arial" w:eastAsia="Arial" w:hAnsi="Arial" w:cs="Arial"/>
          <w:sz w:val="20"/>
          <w:szCs w:val="20"/>
        </w:rPr>
        <w:t xml:space="preserve">urther research is </w:t>
      </w:r>
      <w:r w:rsidR="001A1959">
        <w:rPr>
          <w:rFonts w:ascii="Arial" w:eastAsia="Arial" w:hAnsi="Arial" w:cs="Arial"/>
          <w:sz w:val="20"/>
          <w:szCs w:val="20"/>
        </w:rPr>
        <w:t xml:space="preserve">required to </w:t>
      </w:r>
      <w:r w:rsidR="001A1959" w:rsidRPr="00153ECD">
        <w:rPr>
          <w:rFonts w:ascii="Arial" w:eastAsia="Arial" w:hAnsi="Arial" w:cs="Arial"/>
          <w:sz w:val="20"/>
          <w:szCs w:val="20"/>
        </w:rPr>
        <w:t xml:space="preserve">explore how </w:t>
      </w:r>
      <w:r w:rsidR="00794D70">
        <w:rPr>
          <w:rFonts w:ascii="Arial" w:eastAsia="Arial" w:hAnsi="Arial" w:cs="Arial"/>
          <w:sz w:val="20"/>
          <w:szCs w:val="20"/>
        </w:rPr>
        <w:t>guideline</w:t>
      </w:r>
      <w:r w:rsidR="001A1959" w:rsidRPr="00153ECD">
        <w:rPr>
          <w:rFonts w:ascii="Arial" w:eastAsia="Arial" w:hAnsi="Arial" w:cs="Arial"/>
          <w:sz w:val="20"/>
          <w:szCs w:val="20"/>
        </w:rPr>
        <w:t xml:space="preserve"> recommendations </w:t>
      </w:r>
      <w:r w:rsidR="001A1959">
        <w:rPr>
          <w:rFonts w:ascii="Arial" w:eastAsia="Arial" w:hAnsi="Arial" w:cs="Arial"/>
          <w:sz w:val="20"/>
          <w:szCs w:val="20"/>
        </w:rPr>
        <w:t xml:space="preserve">translate into </w:t>
      </w:r>
      <w:r w:rsidR="001A1959" w:rsidRPr="00153ECD">
        <w:rPr>
          <w:rFonts w:ascii="Arial" w:eastAsia="Arial" w:hAnsi="Arial" w:cs="Arial"/>
          <w:sz w:val="20"/>
          <w:szCs w:val="20"/>
        </w:rPr>
        <w:t>clinical practice</w:t>
      </w:r>
      <w:r w:rsidR="00266072">
        <w:rPr>
          <w:rFonts w:ascii="Arial" w:eastAsia="Arial" w:hAnsi="Arial" w:cs="Arial"/>
          <w:sz w:val="20"/>
          <w:szCs w:val="20"/>
        </w:rPr>
        <w:t>.</w:t>
      </w:r>
    </w:p>
    <w:p w:rsidR="001A1959" w:rsidRDefault="001A1959" w:rsidP="00EE672C">
      <w:pPr>
        <w:spacing w:after="0" w:line="480" w:lineRule="auto"/>
        <w:rPr>
          <w:rFonts w:ascii="Arial" w:eastAsia="Arial" w:hAnsi="Arial" w:cs="Arial"/>
          <w:b/>
          <w:bCs/>
          <w:sz w:val="20"/>
          <w:szCs w:val="20"/>
        </w:rPr>
      </w:pPr>
    </w:p>
    <w:p w:rsidR="006F2D3D" w:rsidRPr="00153ECD" w:rsidRDefault="006F2D3D" w:rsidP="00EE672C">
      <w:pPr>
        <w:spacing w:after="0" w:line="480" w:lineRule="auto"/>
        <w:rPr>
          <w:rFonts w:ascii="Arial" w:eastAsia="Times New Roman" w:hAnsi="Arial" w:cs="Arial"/>
          <w:b/>
          <w:sz w:val="20"/>
          <w:szCs w:val="20"/>
        </w:rPr>
      </w:pPr>
      <w:r w:rsidRPr="00153ECD">
        <w:rPr>
          <w:rFonts w:ascii="Arial" w:eastAsia="Arial" w:hAnsi="Arial" w:cs="Arial"/>
          <w:b/>
          <w:bCs/>
          <w:sz w:val="20"/>
          <w:szCs w:val="20"/>
        </w:rPr>
        <w:t>Conclusion</w:t>
      </w:r>
    </w:p>
    <w:p w:rsidR="006F2D3D" w:rsidRPr="00153ECD" w:rsidRDefault="006F2D3D" w:rsidP="00EE672C">
      <w:pPr>
        <w:spacing w:after="0" w:line="480" w:lineRule="auto"/>
        <w:rPr>
          <w:rFonts w:ascii="Arial" w:eastAsia="Times New Roman" w:hAnsi="Arial" w:cs="Arial"/>
          <w:b/>
          <w:sz w:val="20"/>
          <w:szCs w:val="20"/>
        </w:rPr>
      </w:pPr>
    </w:p>
    <w:p w:rsidR="006F2D3D" w:rsidRDefault="004D4DAC" w:rsidP="00EE672C">
      <w:pPr>
        <w:spacing w:after="0" w:line="480" w:lineRule="auto"/>
        <w:rPr>
          <w:rFonts w:ascii="Arial" w:eastAsia="Arial" w:hAnsi="Arial" w:cs="Arial"/>
          <w:sz w:val="20"/>
          <w:szCs w:val="20"/>
        </w:rPr>
      </w:pPr>
      <w:r>
        <w:rPr>
          <w:rFonts w:ascii="Arial" w:eastAsia="Arial" w:hAnsi="Arial" w:cs="Arial"/>
          <w:sz w:val="20"/>
          <w:szCs w:val="20"/>
        </w:rPr>
        <w:t xml:space="preserve">When producing </w:t>
      </w:r>
      <w:r w:rsidR="00794D70">
        <w:rPr>
          <w:rFonts w:ascii="Arial" w:eastAsia="Arial" w:hAnsi="Arial" w:cs="Arial"/>
          <w:sz w:val="20"/>
          <w:szCs w:val="20"/>
        </w:rPr>
        <w:t>guidelines</w:t>
      </w:r>
      <w:r>
        <w:rPr>
          <w:rFonts w:ascii="Arial" w:eastAsia="Arial" w:hAnsi="Arial" w:cs="Arial"/>
          <w:sz w:val="20"/>
          <w:szCs w:val="20"/>
        </w:rPr>
        <w:t xml:space="preserve"> for ULM usage, organisations </w:t>
      </w:r>
      <w:r w:rsidR="00E83FCD">
        <w:rPr>
          <w:rFonts w:ascii="Arial" w:eastAsia="Arial" w:hAnsi="Arial" w:cs="Arial"/>
          <w:sz w:val="20"/>
          <w:szCs w:val="20"/>
        </w:rPr>
        <w:t>should</w:t>
      </w:r>
      <w:r>
        <w:rPr>
          <w:rFonts w:ascii="Arial" w:eastAsia="Arial" w:hAnsi="Arial" w:cs="Arial"/>
          <w:sz w:val="20"/>
          <w:szCs w:val="20"/>
        </w:rPr>
        <w:t xml:space="preserve"> pay attention to the rigour of their development, stakeholder involvement and editorial independence. In addition</w:t>
      </w:r>
      <w:r w:rsidR="00E83FCD">
        <w:rPr>
          <w:rFonts w:ascii="Arial" w:eastAsia="Arial" w:hAnsi="Arial" w:cs="Arial"/>
          <w:sz w:val="20"/>
          <w:szCs w:val="20"/>
        </w:rPr>
        <w:t>,</w:t>
      </w:r>
      <w:r>
        <w:rPr>
          <w:rFonts w:ascii="Arial" w:eastAsia="Arial" w:hAnsi="Arial" w:cs="Arial"/>
          <w:sz w:val="20"/>
          <w:szCs w:val="20"/>
        </w:rPr>
        <w:t xml:space="preserve"> our thematic analysis also identified the need to focus on </w:t>
      </w:r>
      <w:r w:rsidRPr="004D4DAC">
        <w:rPr>
          <w:rFonts w:ascii="Arial" w:eastAsia="Arial" w:hAnsi="Arial" w:cs="Arial"/>
          <w:sz w:val="20"/>
          <w:szCs w:val="20"/>
        </w:rPr>
        <w:t>professional responsibility</w:t>
      </w:r>
      <w:r>
        <w:rPr>
          <w:rFonts w:ascii="Arial" w:eastAsia="Arial" w:hAnsi="Arial" w:cs="Arial"/>
          <w:sz w:val="20"/>
          <w:szCs w:val="20"/>
        </w:rPr>
        <w:t xml:space="preserve">, </w:t>
      </w:r>
      <w:r w:rsidRPr="004D4DAC">
        <w:rPr>
          <w:rFonts w:ascii="Arial" w:eastAsia="Arial" w:hAnsi="Arial" w:cs="Arial"/>
          <w:sz w:val="20"/>
          <w:szCs w:val="20"/>
        </w:rPr>
        <w:t>the practicalities of using a ULM</w:t>
      </w:r>
      <w:r>
        <w:rPr>
          <w:rFonts w:ascii="Arial" w:eastAsia="Arial" w:hAnsi="Arial" w:cs="Arial"/>
          <w:sz w:val="20"/>
          <w:szCs w:val="20"/>
        </w:rPr>
        <w:t xml:space="preserve">, improved </w:t>
      </w:r>
      <w:r w:rsidRPr="004D4DAC">
        <w:rPr>
          <w:rFonts w:ascii="Arial" w:eastAsia="Arial" w:hAnsi="Arial" w:cs="Arial"/>
          <w:sz w:val="20"/>
          <w:szCs w:val="20"/>
        </w:rPr>
        <w:t>risk</w:t>
      </w:r>
      <w:r>
        <w:rPr>
          <w:rFonts w:ascii="Arial" w:eastAsia="Arial" w:hAnsi="Arial" w:cs="Arial"/>
          <w:sz w:val="20"/>
          <w:szCs w:val="20"/>
        </w:rPr>
        <w:t>/</w:t>
      </w:r>
      <w:r w:rsidRPr="004D4DAC">
        <w:rPr>
          <w:rFonts w:ascii="Arial" w:eastAsia="Arial" w:hAnsi="Arial" w:cs="Arial"/>
          <w:sz w:val="20"/>
          <w:szCs w:val="20"/>
        </w:rPr>
        <w:t>benefit analysis</w:t>
      </w:r>
      <w:r>
        <w:rPr>
          <w:rFonts w:ascii="Arial" w:eastAsia="Arial" w:hAnsi="Arial" w:cs="Arial"/>
          <w:sz w:val="20"/>
          <w:szCs w:val="20"/>
        </w:rPr>
        <w:t xml:space="preserve"> </w:t>
      </w:r>
      <w:r w:rsidRPr="004D4DAC">
        <w:rPr>
          <w:rFonts w:ascii="Arial" w:eastAsia="Arial" w:hAnsi="Arial" w:cs="Arial"/>
          <w:sz w:val="20"/>
          <w:szCs w:val="20"/>
        </w:rPr>
        <w:t xml:space="preserve">and </w:t>
      </w:r>
      <w:r>
        <w:rPr>
          <w:rFonts w:ascii="Arial" w:eastAsia="Arial" w:hAnsi="Arial" w:cs="Arial"/>
          <w:sz w:val="20"/>
          <w:szCs w:val="20"/>
        </w:rPr>
        <w:t xml:space="preserve">how </w:t>
      </w:r>
      <w:r w:rsidRPr="004D4DAC">
        <w:rPr>
          <w:rFonts w:ascii="Arial" w:eastAsia="Arial" w:hAnsi="Arial" w:cs="Arial"/>
          <w:sz w:val="20"/>
          <w:szCs w:val="20"/>
        </w:rPr>
        <w:t>access to the use of ULMs</w:t>
      </w:r>
      <w:r>
        <w:rPr>
          <w:rFonts w:ascii="Arial" w:eastAsia="Arial" w:hAnsi="Arial" w:cs="Arial"/>
          <w:sz w:val="20"/>
          <w:szCs w:val="20"/>
        </w:rPr>
        <w:t xml:space="preserve"> is controlled</w:t>
      </w:r>
      <w:r w:rsidR="00325E86">
        <w:rPr>
          <w:rFonts w:ascii="Arial" w:eastAsia="Arial" w:hAnsi="Arial" w:cs="Arial"/>
          <w:sz w:val="20"/>
          <w:szCs w:val="20"/>
        </w:rPr>
        <w:t>.</w:t>
      </w:r>
    </w:p>
    <w:p w:rsidR="00325E86" w:rsidRPr="00153ECD" w:rsidRDefault="00325E86" w:rsidP="00EE672C">
      <w:pPr>
        <w:spacing w:after="0" w:line="480" w:lineRule="auto"/>
        <w:rPr>
          <w:rFonts w:ascii="Arial" w:eastAsia="Times New Roman" w:hAnsi="Arial" w:cs="Arial"/>
          <w:sz w:val="20"/>
          <w:szCs w:val="20"/>
          <w:u w:val="single"/>
        </w:rPr>
      </w:pPr>
    </w:p>
    <w:p w:rsidR="006F2D3D" w:rsidRPr="00153ECD" w:rsidRDefault="00540C54" w:rsidP="00EE672C">
      <w:pPr>
        <w:spacing w:after="0" w:line="480" w:lineRule="auto"/>
        <w:rPr>
          <w:rFonts w:ascii="Arial" w:eastAsia="Arial" w:hAnsi="Arial" w:cs="Arial"/>
          <w:sz w:val="20"/>
          <w:szCs w:val="20"/>
        </w:rPr>
      </w:pPr>
      <w:r w:rsidRPr="00153ECD">
        <w:rPr>
          <w:rFonts w:ascii="Arial" w:eastAsia="Arial" w:hAnsi="Arial" w:cs="Arial"/>
          <w:sz w:val="20"/>
          <w:szCs w:val="20"/>
        </w:rPr>
        <w:t>A</w:t>
      </w:r>
      <w:r w:rsidR="006F2D3D" w:rsidRPr="00153ECD">
        <w:rPr>
          <w:rFonts w:ascii="Arial" w:eastAsia="Arial" w:hAnsi="Arial" w:cs="Arial"/>
          <w:sz w:val="20"/>
          <w:szCs w:val="20"/>
        </w:rPr>
        <w:t xml:space="preserve"> ‘formulary’ of unlicensed medicines </w:t>
      </w:r>
      <w:r w:rsidRPr="00153ECD">
        <w:rPr>
          <w:rFonts w:ascii="Arial" w:eastAsia="Arial" w:hAnsi="Arial" w:cs="Arial"/>
          <w:sz w:val="20"/>
          <w:szCs w:val="20"/>
        </w:rPr>
        <w:t>is a potential solution to the problem</w:t>
      </w:r>
      <w:r w:rsidR="00713AEB" w:rsidRPr="00153ECD">
        <w:rPr>
          <w:rFonts w:ascii="Arial" w:eastAsia="Arial" w:hAnsi="Arial" w:cs="Arial"/>
          <w:sz w:val="20"/>
          <w:szCs w:val="20"/>
        </w:rPr>
        <w:t xml:space="preserve"> of ULM use</w:t>
      </w:r>
      <w:r w:rsidRPr="00153ECD">
        <w:rPr>
          <w:rFonts w:ascii="Arial" w:eastAsia="Arial" w:hAnsi="Arial" w:cs="Arial"/>
          <w:sz w:val="20"/>
          <w:szCs w:val="20"/>
        </w:rPr>
        <w:t xml:space="preserve">. </w:t>
      </w:r>
      <w:r w:rsidR="006F2D3D" w:rsidRPr="00153ECD">
        <w:rPr>
          <w:rFonts w:ascii="Arial" w:eastAsia="Arial" w:hAnsi="Arial" w:cs="Arial"/>
          <w:sz w:val="20"/>
          <w:szCs w:val="20"/>
        </w:rPr>
        <w:t>In turn, this may aid improved mon</w:t>
      </w:r>
      <w:r w:rsidR="00AC3F1D" w:rsidRPr="00153ECD">
        <w:rPr>
          <w:rFonts w:ascii="Arial" w:eastAsia="Arial" w:hAnsi="Arial" w:cs="Arial"/>
          <w:sz w:val="20"/>
          <w:szCs w:val="20"/>
        </w:rPr>
        <w:t xml:space="preserve">itoring </w:t>
      </w:r>
      <w:r w:rsidR="006F2D3D" w:rsidRPr="00153ECD">
        <w:rPr>
          <w:rFonts w:ascii="Arial" w:eastAsia="Arial" w:hAnsi="Arial" w:cs="Arial"/>
          <w:sz w:val="20"/>
          <w:szCs w:val="20"/>
        </w:rPr>
        <w:t>through existing pharmacovigilance infrastructure</w:t>
      </w:r>
      <w:r w:rsidR="00713AEB" w:rsidRPr="00153ECD">
        <w:rPr>
          <w:rFonts w:ascii="Arial" w:eastAsia="Arial" w:hAnsi="Arial" w:cs="Arial"/>
          <w:sz w:val="20"/>
          <w:szCs w:val="20"/>
        </w:rPr>
        <w:t xml:space="preserve">, a process that </w:t>
      </w:r>
      <w:r w:rsidR="006F2D3D" w:rsidRPr="00153ECD">
        <w:rPr>
          <w:rFonts w:ascii="Arial" w:eastAsia="Arial" w:hAnsi="Arial" w:cs="Arial"/>
          <w:sz w:val="20"/>
          <w:szCs w:val="20"/>
        </w:rPr>
        <w:t xml:space="preserve"> could </w:t>
      </w:r>
      <w:r w:rsidR="006F2D3D" w:rsidRPr="00153ECD">
        <w:rPr>
          <w:rFonts w:ascii="Arial" w:eastAsia="Arial" w:hAnsi="Arial" w:cs="Arial"/>
          <w:sz w:val="20"/>
          <w:szCs w:val="20"/>
        </w:rPr>
        <w:lastRenderedPageBreak/>
        <w:t>also be supported with dosing</w:t>
      </w:r>
      <w:r w:rsidR="00702E34" w:rsidRPr="00153ECD">
        <w:rPr>
          <w:rFonts w:ascii="Arial" w:eastAsia="Arial" w:hAnsi="Arial" w:cs="Arial"/>
          <w:sz w:val="20"/>
          <w:szCs w:val="20"/>
        </w:rPr>
        <w:t xml:space="preserve"> information for prescribers,</w:t>
      </w:r>
      <w:r w:rsidR="006F2D3D" w:rsidRPr="00153ECD">
        <w:rPr>
          <w:rFonts w:ascii="Arial" w:eastAsia="Arial" w:hAnsi="Arial" w:cs="Arial"/>
          <w:sz w:val="20"/>
          <w:szCs w:val="20"/>
        </w:rPr>
        <w:t xml:space="preserve"> compilation of recommended alternatives and other therapeutic information such as cautions, contraindications and dose adjustments. </w:t>
      </w:r>
      <w:r w:rsidR="00461A08">
        <w:rPr>
          <w:rFonts w:ascii="Arial" w:eastAsia="Arial" w:hAnsi="Arial" w:cs="Arial"/>
          <w:sz w:val="20"/>
          <w:szCs w:val="20"/>
        </w:rPr>
        <w:t xml:space="preserve">It may also reduce some of the organisation-level assessments that are made within the NHS and could release efficiency savings which has been a focus of the Carter Review </w:t>
      </w:r>
      <w:r w:rsidR="004C3C88">
        <w:rPr>
          <w:rFonts w:ascii="Arial" w:eastAsia="Arial" w:hAnsi="Arial" w:cs="Arial"/>
          <w:sz w:val="20"/>
          <w:szCs w:val="20"/>
        </w:rPr>
        <w:fldChar w:fldCharType="begin" w:fldLock="1"/>
      </w:r>
      <w:r w:rsidR="00587F33">
        <w:rPr>
          <w:rFonts w:ascii="Arial" w:eastAsia="Arial" w:hAnsi="Arial" w:cs="Arial"/>
          <w:sz w:val="20"/>
          <w:szCs w:val="20"/>
        </w:rPr>
        <w:instrText>ADDIN CSL_CITATION { "citationID" : "24dd69egjh", "citationItems" : [ { "id" : "ITEM-1", "itemData" : { "author" : [ { "dropping-particle" : "", "family" : "Lord Carter of Coles", "given" : "", "non-dropping-particle" : "", "parse-names" : false, "suffix" : "" } ], "id" : "ITEM-1", "issued" : { "date-parts" : [ [ "2016", "6", "5" ] ] }, "publisher" : "Department of Health", "publisher-place" : "London", "title" : "Operational productivity and performance in English NHS acute hospitals: Unwarranted variations. An independent report for the Department of Health by Lord Carter of Coles", "type" : "report" }, "uris" : [ "http://www.mendeley.com/documents/?uuid=cfba4ffc-106b-41fe-88d9-08077f29c164" ] } ], "mendeley" : { "formattedCitation" : "[27]", "plainTextFormattedCitation" : "[27]", "previouslyFormattedCitation" : "[27]" }, "properties" : { "formattedCitation" : "[24]", "noteIndex" : 0, "plainCitation" : "[24]" }, "schema" : "https://github.com/citation-style-language/schema/raw/master/csl-citation.json" }</w:instrText>
      </w:r>
      <w:r w:rsidR="004C3C88">
        <w:rPr>
          <w:rFonts w:ascii="Arial" w:eastAsia="Arial" w:hAnsi="Arial" w:cs="Arial"/>
          <w:sz w:val="20"/>
          <w:szCs w:val="20"/>
        </w:rPr>
        <w:fldChar w:fldCharType="separate"/>
      </w:r>
      <w:r w:rsidR="00587F33" w:rsidRPr="00587F33">
        <w:rPr>
          <w:rFonts w:ascii="Arial" w:hAnsi="Arial" w:cs="Arial"/>
          <w:noProof/>
          <w:sz w:val="20"/>
        </w:rPr>
        <w:t>[27]</w:t>
      </w:r>
      <w:r w:rsidR="004C3C88">
        <w:rPr>
          <w:rFonts w:ascii="Arial" w:eastAsia="Arial" w:hAnsi="Arial" w:cs="Arial"/>
          <w:sz w:val="20"/>
          <w:szCs w:val="20"/>
        </w:rPr>
        <w:fldChar w:fldCharType="end"/>
      </w:r>
      <w:r w:rsidR="00461A08">
        <w:rPr>
          <w:rFonts w:ascii="Arial" w:eastAsia="Arial" w:hAnsi="Arial" w:cs="Arial"/>
          <w:sz w:val="20"/>
          <w:szCs w:val="20"/>
        </w:rPr>
        <w:t xml:space="preserve"> .</w:t>
      </w:r>
      <w:r w:rsidR="006F2D3D" w:rsidRPr="00153ECD">
        <w:rPr>
          <w:rFonts w:ascii="Arial" w:eastAsia="Arial" w:hAnsi="Arial" w:cs="Arial"/>
          <w:sz w:val="20"/>
          <w:szCs w:val="20"/>
        </w:rPr>
        <w:t xml:space="preserve">However, this approach </w:t>
      </w:r>
      <w:r w:rsidRPr="00153ECD">
        <w:rPr>
          <w:rFonts w:ascii="Arial" w:eastAsia="Arial" w:hAnsi="Arial" w:cs="Arial"/>
          <w:sz w:val="20"/>
          <w:szCs w:val="20"/>
        </w:rPr>
        <w:t xml:space="preserve">may </w:t>
      </w:r>
      <w:r w:rsidR="006F2D3D" w:rsidRPr="00153ECD">
        <w:rPr>
          <w:rFonts w:ascii="Arial" w:eastAsia="Arial" w:hAnsi="Arial" w:cs="Arial"/>
          <w:sz w:val="20"/>
          <w:szCs w:val="20"/>
        </w:rPr>
        <w:t xml:space="preserve">run contrary to the legislative basis on which </w:t>
      </w:r>
      <w:r w:rsidRPr="00153ECD">
        <w:rPr>
          <w:rFonts w:ascii="Arial" w:eastAsia="Arial" w:hAnsi="Arial" w:cs="Arial"/>
          <w:sz w:val="20"/>
          <w:szCs w:val="20"/>
        </w:rPr>
        <w:t>ULMs</w:t>
      </w:r>
      <w:r w:rsidR="006F2D3D" w:rsidRPr="00153ECD">
        <w:rPr>
          <w:rFonts w:ascii="Arial" w:eastAsia="Arial" w:hAnsi="Arial" w:cs="Arial"/>
          <w:sz w:val="20"/>
          <w:szCs w:val="20"/>
        </w:rPr>
        <w:t xml:space="preserve"> are used, that</w:t>
      </w:r>
      <w:r w:rsidRPr="00153ECD">
        <w:rPr>
          <w:rFonts w:ascii="Arial" w:eastAsia="Arial" w:hAnsi="Arial" w:cs="Arial"/>
          <w:sz w:val="20"/>
          <w:szCs w:val="20"/>
        </w:rPr>
        <w:t xml:space="preserve"> </w:t>
      </w:r>
      <w:r w:rsidR="006F2D3D" w:rsidRPr="00153ECD">
        <w:rPr>
          <w:rFonts w:ascii="Arial" w:eastAsia="Arial" w:hAnsi="Arial" w:cs="Arial"/>
          <w:sz w:val="20"/>
          <w:szCs w:val="20"/>
        </w:rPr>
        <w:t xml:space="preserve">they should only be used to meet the needs of an individual patient. </w:t>
      </w:r>
      <w:r w:rsidR="00587F33">
        <w:rPr>
          <w:rFonts w:ascii="Arial" w:eastAsia="Arial" w:hAnsi="Arial" w:cs="Arial"/>
          <w:sz w:val="20"/>
          <w:szCs w:val="20"/>
        </w:rPr>
        <w:t xml:space="preserve">An alternative would be a legislative approach similar to that in Australia whereby the use of unlicensed medicines is approved centrally either for individual prescribers or on a case-by-case basis </w:t>
      </w:r>
      <w:r w:rsidR="004C3C88">
        <w:rPr>
          <w:rFonts w:ascii="Arial" w:eastAsia="Arial" w:hAnsi="Arial" w:cs="Arial"/>
          <w:sz w:val="20"/>
          <w:szCs w:val="20"/>
        </w:rPr>
        <w:fldChar w:fldCharType="begin" w:fldLock="1"/>
      </w:r>
      <w:r w:rsidR="00587F33">
        <w:rPr>
          <w:rFonts w:ascii="Arial" w:eastAsia="Arial" w:hAnsi="Arial" w:cs="Arial"/>
          <w:sz w:val="20"/>
          <w:szCs w:val="20"/>
        </w:rPr>
        <w:instrText>ADDIN CSL_CITATION { "citationItems" : [ { "id" : "ITEM-1", "itemData" : { "URL" : "https://www.tga.gov.au/accessing-unapproved-products", "accessed" : { "date-parts" : [ [ "2017", "7", "27" ] ] }, "author" : [ { "dropping-particle" : "", "family" : "Therapeutic Goods Administration", "given" : "", "non-dropping-particle" : "", "parse-names" : false, "suffix" : "" } ], "id" : "ITEM-1", "issued" : { "date-parts" : [ [ "2017" ] ] }, "title" : "Accessing unapproved products", "type" : "webpage" }, "uris" : [ "http://www.mendeley.com/documents/?uuid=b5df9d76-94f3-43ff-96e0-c3842e8636e4" ] } ], "mendeley" : { "formattedCitation" : "[7]", "plainTextFormattedCitation" : "[7]" }, "properties" : { "noteIndex" : 0 }, "schema" : "https://github.com/citation-style-language/schema/raw/master/csl-citation.json" }</w:instrText>
      </w:r>
      <w:r w:rsidR="004C3C88">
        <w:rPr>
          <w:rFonts w:ascii="Arial" w:eastAsia="Arial" w:hAnsi="Arial" w:cs="Arial"/>
          <w:sz w:val="20"/>
          <w:szCs w:val="20"/>
        </w:rPr>
        <w:fldChar w:fldCharType="separate"/>
      </w:r>
      <w:r w:rsidR="00587F33" w:rsidRPr="00587F33">
        <w:rPr>
          <w:rFonts w:ascii="Arial" w:eastAsia="Arial" w:hAnsi="Arial" w:cs="Arial"/>
          <w:noProof/>
          <w:sz w:val="20"/>
          <w:szCs w:val="20"/>
        </w:rPr>
        <w:t>[7]</w:t>
      </w:r>
      <w:r w:rsidR="004C3C88">
        <w:rPr>
          <w:rFonts w:ascii="Arial" w:eastAsia="Arial" w:hAnsi="Arial" w:cs="Arial"/>
          <w:sz w:val="20"/>
          <w:szCs w:val="20"/>
        </w:rPr>
        <w:fldChar w:fldCharType="end"/>
      </w:r>
      <w:r w:rsidR="00587F33">
        <w:rPr>
          <w:rFonts w:ascii="Arial" w:eastAsia="Arial" w:hAnsi="Arial" w:cs="Arial"/>
          <w:sz w:val="20"/>
          <w:szCs w:val="20"/>
        </w:rPr>
        <w:t>.</w:t>
      </w:r>
    </w:p>
    <w:p w:rsidR="00A67E05" w:rsidRDefault="00A67E05" w:rsidP="00EE672C">
      <w:pPr>
        <w:spacing w:after="0" w:line="480" w:lineRule="auto"/>
        <w:rPr>
          <w:rFonts w:ascii="Arial" w:eastAsia="Times New Roman" w:hAnsi="Arial" w:cs="Arial"/>
          <w:sz w:val="20"/>
          <w:szCs w:val="20"/>
        </w:rPr>
      </w:pPr>
    </w:p>
    <w:p w:rsidR="001643AC" w:rsidRDefault="005364DB" w:rsidP="00A67E05">
      <w:pPr>
        <w:spacing w:after="0" w:line="480" w:lineRule="auto"/>
        <w:rPr>
          <w:rFonts w:ascii="Arial" w:eastAsia="Arial" w:hAnsi="Arial" w:cs="Arial"/>
          <w:b/>
          <w:bCs/>
          <w:sz w:val="20"/>
          <w:szCs w:val="20"/>
        </w:rPr>
      </w:pPr>
      <w:r>
        <w:rPr>
          <w:rFonts w:ascii="Arial" w:eastAsia="Times New Roman" w:hAnsi="Arial" w:cs="Arial"/>
          <w:sz w:val="20"/>
          <w:szCs w:val="20"/>
        </w:rPr>
        <w:t xml:space="preserve">There is a need for national leadership in the UK to develop a strategy in relation to the use of unlicensed medicines. This should include clear guidance </w:t>
      </w:r>
      <w:r w:rsidR="00794D70">
        <w:rPr>
          <w:rFonts w:ascii="Arial" w:eastAsia="Times New Roman" w:hAnsi="Arial" w:cs="Arial"/>
          <w:sz w:val="20"/>
          <w:szCs w:val="20"/>
        </w:rPr>
        <w:t xml:space="preserve">on </w:t>
      </w:r>
      <w:r>
        <w:rPr>
          <w:rFonts w:ascii="Arial" w:eastAsia="Times New Roman" w:hAnsi="Arial" w:cs="Arial"/>
          <w:sz w:val="20"/>
          <w:szCs w:val="20"/>
        </w:rPr>
        <w:t>risk</w:t>
      </w:r>
      <w:r w:rsidR="00297635">
        <w:rPr>
          <w:rFonts w:ascii="Arial" w:eastAsia="Times New Roman" w:hAnsi="Arial" w:cs="Arial"/>
          <w:sz w:val="20"/>
          <w:szCs w:val="20"/>
        </w:rPr>
        <w:t xml:space="preserve"> assessment and t</w:t>
      </w:r>
      <w:r w:rsidR="00297635" w:rsidRPr="00297635">
        <w:rPr>
          <w:rFonts w:ascii="Arial" w:eastAsia="Times New Roman" w:hAnsi="Arial" w:cs="Arial"/>
          <w:sz w:val="20"/>
          <w:szCs w:val="20"/>
        </w:rPr>
        <w:t>heir place in the clinical management of patients</w:t>
      </w:r>
      <w:r w:rsidR="00297635">
        <w:rPr>
          <w:rFonts w:ascii="Arial" w:eastAsia="Times New Roman" w:hAnsi="Arial" w:cs="Arial"/>
          <w:sz w:val="20"/>
          <w:szCs w:val="20"/>
        </w:rPr>
        <w:t>. These decisions</w:t>
      </w:r>
      <w:r>
        <w:rPr>
          <w:rFonts w:ascii="Arial" w:eastAsia="Times New Roman" w:hAnsi="Arial" w:cs="Arial"/>
          <w:sz w:val="20"/>
          <w:szCs w:val="20"/>
        </w:rPr>
        <w:t xml:space="preserve"> </w:t>
      </w:r>
      <w:r w:rsidR="00297635">
        <w:rPr>
          <w:rFonts w:ascii="Arial" w:eastAsia="Times New Roman" w:hAnsi="Arial" w:cs="Arial"/>
          <w:sz w:val="20"/>
          <w:szCs w:val="20"/>
        </w:rPr>
        <w:t xml:space="preserve">should take </w:t>
      </w:r>
      <w:r>
        <w:rPr>
          <w:rFonts w:ascii="Arial" w:eastAsia="Times New Roman" w:hAnsi="Arial" w:cs="Arial"/>
          <w:sz w:val="20"/>
          <w:szCs w:val="20"/>
        </w:rPr>
        <w:t xml:space="preserve">into account the views of stakeholders from a range of expertise as well as patients. </w:t>
      </w:r>
      <w:r w:rsidR="00297635">
        <w:rPr>
          <w:rFonts w:ascii="Arial" w:eastAsia="Times New Roman" w:hAnsi="Arial" w:cs="Arial"/>
          <w:sz w:val="20"/>
          <w:szCs w:val="20"/>
        </w:rPr>
        <w:t>Only then can we be confident that when an ULM is used, all considerations have been taken into account to ensure it is the best treatment option in the absence of a licensed medicine.</w:t>
      </w:r>
    </w:p>
    <w:p w:rsidR="00297635" w:rsidRDefault="00297635" w:rsidP="00A67E05">
      <w:pPr>
        <w:spacing w:after="0" w:line="480" w:lineRule="auto"/>
        <w:rPr>
          <w:rFonts w:ascii="Arial" w:eastAsia="Arial" w:hAnsi="Arial" w:cs="Arial"/>
          <w:b/>
          <w:bCs/>
          <w:sz w:val="20"/>
          <w:szCs w:val="20"/>
        </w:rPr>
      </w:pPr>
    </w:p>
    <w:p w:rsidR="00A67E05" w:rsidRPr="00153ECD" w:rsidRDefault="00353389" w:rsidP="00A67E05">
      <w:pPr>
        <w:spacing w:after="0" w:line="480" w:lineRule="auto"/>
        <w:rPr>
          <w:rFonts w:ascii="Arial" w:hAnsi="Arial" w:cs="Arial"/>
          <w:b/>
          <w:sz w:val="20"/>
          <w:szCs w:val="20"/>
        </w:rPr>
      </w:pPr>
      <w:r>
        <w:rPr>
          <w:rFonts w:ascii="Arial" w:eastAsia="Arial" w:hAnsi="Arial" w:cs="Arial"/>
          <w:b/>
          <w:bCs/>
          <w:sz w:val="20"/>
          <w:szCs w:val="20"/>
        </w:rPr>
        <w:t>A</w:t>
      </w:r>
      <w:r w:rsidR="00A67E05" w:rsidRPr="00153ECD">
        <w:rPr>
          <w:rFonts w:ascii="Arial" w:eastAsia="Arial" w:hAnsi="Arial" w:cs="Arial"/>
          <w:b/>
          <w:bCs/>
          <w:sz w:val="20"/>
          <w:szCs w:val="20"/>
        </w:rPr>
        <w:t>cknowledgements</w:t>
      </w:r>
    </w:p>
    <w:p w:rsidR="00353389" w:rsidRDefault="000F0FD3" w:rsidP="00A67E05">
      <w:pPr>
        <w:pStyle w:val="CommentText"/>
        <w:spacing w:line="480" w:lineRule="auto"/>
        <w:rPr>
          <w:rFonts w:ascii="Arial" w:eastAsia="Arial" w:hAnsi="Arial" w:cs="Arial"/>
          <w:lang w:val="en-GB"/>
        </w:rPr>
      </w:pPr>
      <w:r>
        <w:rPr>
          <w:rFonts w:ascii="Arial" w:eastAsia="Arial" w:hAnsi="Arial" w:cs="Arial"/>
          <w:lang w:val="en-GB"/>
        </w:rPr>
        <w:t xml:space="preserve">Thanks go to all those organisations that submitted </w:t>
      </w:r>
      <w:r w:rsidR="00C30477">
        <w:rPr>
          <w:rFonts w:ascii="Arial" w:eastAsia="Arial" w:hAnsi="Arial" w:cs="Arial"/>
          <w:lang w:val="en-GB"/>
        </w:rPr>
        <w:t>guidelines</w:t>
      </w:r>
      <w:r>
        <w:rPr>
          <w:rFonts w:ascii="Arial" w:eastAsia="Arial" w:hAnsi="Arial" w:cs="Arial"/>
          <w:lang w:val="en-GB"/>
        </w:rPr>
        <w:t xml:space="preserve"> for analysis through our ‘Call for guid</w:t>
      </w:r>
      <w:r w:rsidR="00794D70">
        <w:rPr>
          <w:rFonts w:ascii="Arial" w:eastAsia="Arial" w:hAnsi="Arial" w:cs="Arial"/>
          <w:lang w:val="en-GB"/>
        </w:rPr>
        <w:t>elines</w:t>
      </w:r>
      <w:r>
        <w:rPr>
          <w:rFonts w:ascii="Arial" w:eastAsia="Arial" w:hAnsi="Arial" w:cs="Arial"/>
          <w:lang w:val="en-GB"/>
        </w:rPr>
        <w:t xml:space="preserve">’. </w:t>
      </w:r>
      <w:r w:rsidR="00DF30A6">
        <w:rPr>
          <w:rFonts w:ascii="Arial" w:eastAsia="Arial" w:hAnsi="Arial" w:cs="Arial"/>
          <w:lang w:val="en-GB"/>
        </w:rPr>
        <w:t xml:space="preserve">We would </w:t>
      </w:r>
      <w:r>
        <w:rPr>
          <w:rFonts w:ascii="Arial" w:eastAsia="Arial" w:hAnsi="Arial" w:cs="Arial"/>
          <w:lang w:val="en-GB"/>
        </w:rPr>
        <w:t xml:space="preserve">also </w:t>
      </w:r>
      <w:r w:rsidR="00DF30A6">
        <w:rPr>
          <w:rFonts w:ascii="Arial" w:eastAsia="Arial" w:hAnsi="Arial" w:cs="Arial"/>
          <w:lang w:val="en-GB"/>
        </w:rPr>
        <w:t xml:space="preserve">like to thank Anne Benson for her extensive comments and editing of drafts of this paper. </w:t>
      </w:r>
    </w:p>
    <w:p w:rsidR="00353389" w:rsidRDefault="00353389" w:rsidP="00A67E05">
      <w:pPr>
        <w:pStyle w:val="CommentText"/>
        <w:spacing w:line="480" w:lineRule="auto"/>
        <w:rPr>
          <w:rFonts w:ascii="Arial" w:eastAsia="Arial" w:hAnsi="Arial" w:cs="Arial"/>
          <w:lang w:val="en-GB"/>
        </w:rPr>
      </w:pPr>
    </w:p>
    <w:p w:rsidR="00D826F4" w:rsidRPr="00C95FE5" w:rsidRDefault="00D826F4" w:rsidP="00EE672C">
      <w:pPr>
        <w:spacing w:after="0" w:line="480" w:lineRule="auto"/>
        <w:rPr>
          <w:rFonts w:ascii="Arial" w:eastAsia="Arial" w:hAnsi="Arial" w:cs="Arial"/>
          <w:b/>
          <w:bCs/>
          <w:sz w:val="20"/>
          <w:szCs w:val="20"/>
        </w:rPr>
      </w:pPr>
      <w:r w:rsidRPr="00C95FE5">
        <w:rPr>
          <w:rFonts w:ascii="Arial" w:eastAsia="Arial" w:hAnsi="Arial" w:cs="Arial"/>
          <w:b/>
          <w:bCs/>
          <w:sz w:val="20"/>
          <w:szCs w:val="20"/>
        </w:rPr>
        <w:t>References</w:t>
      </w:r>
    </w:p>
    <w:p w:rsidR="00587F33" w:rsidRPr="00587F33" w:rsidRDefault="004C3C88" w:rsidP="00587F33">
      <w:pPr>
        <w:widowControl w:val="0"/>
        <w:autoSpaceDE w:val="0"/>
        <w:autoSpaceDN w:val="0"/>
        <w:adjustRightInd w:val="0"/>
        <w:spacing w:after="0" w:line="480" w:lineRule="auto"/>
        <w:ind w:left="640" w:hanging="640"/>
        <w:rPr>
          <w:rFonts w:ascii="Arial" w:hAnsi="Arial" w:cs="Arial"/>
          <w:noProof/>
          <w:sz w:val="20"/>
          <w:szCs w:val="24"/>
        </w:rPr>
      </w:pPr>
      <w:r>
        <w:rPr>
          <w:rFonts w:ascii="Arial" w:eastAsia="Arial" w:hAnsi="Arial" w:cs="Arial"/>
          <w:bCs/>
          <w:sz w:val="20"/>
          <w:szCs w:val="20"/>
        </w:rPr>
        <w:fldChar w:fldCharType="begin" w:fldLock="1"/>
      </w:r>
      <w:r w:rsidR="00D826F4">
        <w:rPr>
          <w:rFonts w:ascii="Arial" w:eastAsia="Arial" w:hAnsi="Arial" w:cs="Arial"/>
          <w:bCs/>
          <w:sz w:val="20"/>
          <w:szCs w:val="20"/>
        </w:rPr>
        <w:instrText xml:space="preserve">ADDIN Mendeley Bibliography CSL_BIBLIOGRAPHY </w:instrText>
      </w:r>
      <w:r>
        <w:rPr>
          <w:rFonts w:ascii="Arial" w:eastAsia="Arial" w:hAnsi="Arial" w:cs="Arial"/>
          <w:bCs/>
          <w:sz w:val="20"/>
          <w:szCs w:val="20"/>
        </w:rPr>
        <w:fldChar w:fldCharType="separate"/>
      </w:r>
      <w:r w:rsidR="00587F33" w:rsidRPr="00587F33">
        <w:rPr>
          <w:rFonts w:ascii="Arial" w:hAnsi="Arial" w:cs="Arial"/>
          <w:noProof/>
          <w:sz w:val="20"/>
          <w:szCs w:val="24"/>
        </w:rPr>
        <w:t>[1]</w:t>
      </w:r>
      <w:r w:rsidR="00587F33" w:rsidRPr="00587F33">
        <w:rPr>
          <w:rFonts w:ascii="Arial" w:hAnsi="Arial" w:cs="Arial"/>
          <w:noProof/>
          <w:sz w:val="20"/>
          <w:szCs w:val="24"/>
        </w:rPr>
        <w:tab/>
        <w:t>Association of Pharmaceutical Specials Manufacturers. The Specials Industry 2017. http://www.apsm-uk.com/specials-industry.php.</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[2]</w:t>
      </w:r>
      <w:r w:rsidRPr="00587F33">
        <w:rPr>
          <w:rFonts w:ascii="Arial" w:hAnsi="Arial" w:cs="Arial"/>
          <w:noProof/>
          <w:sz w:val="20"/>
          <w:szCs w:val="24"/>
        </w:rPr>
        <w:tab/>
        <w:t>British Medical Association, Royal Pharmaceutical Society. Special-order Manufacturers 2014. https://www.evidence.nhs.uk/formulary/bnf/current/special-order-manufacturers.</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[3]</w:t>
      </w:r>
      <w:r w:rsidRPr="00587F33">
        <w:rPr>
          <w:rFonts w:ascii="Arial" w:hAnsi="Arial" w:cs="Arial"/>
          <w:noProof/>
          <w:sz w:val="20"/>
          <w:szCs w:val="24"/>
        </w:rPr>
        <w:tab/>
        <w:t>Donovan G, Parkin L, Wilkes S. Special unlicensed medicines: what we do and do not know about them. Br J Gen Pract 2015;65:e861. doi:10.3399/bjgp15X688033.</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[4]</w:t>
      </w:r>
      <w:r w:rsidRPr="00587F33">
        <w:rPr>
          <w:rFonts w:ascii="Arial" w:hAnsi="Arial" w:cs="Arial"/>
          <w:noProof/>
          <w:sz w:val="20"/>
          <w:szCs w:val="24"/>
        </w:rPr>
        <w:tab/>
        <w:t>NHS Business Services Authority. CCG Data - Prescribing of and spending on special order products. NHS Bus Serv Auth 2017. https://www.nhsbsa.nhs.uk/prescription-data/prescribing-</w:t>
      </w:r>
      <w:r w:rsidRPr="00587F33">
        <w:rPr>
          <w:rFonts w:ascii="Arial" w:hAnsi="Arial" w:cs="Arial"/>
          <w:noProof/>
          <w:sz w:val="20"/>
          <w:szCs w:val="24"/>
        </w:rPr>
        <w:lastRenderedPageBreak/>
        <w:t>data/information-services-volume-and-cost-special-order-products (accessed July 19, 2017).</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[5]</w:t>
      </w:r>
      <w:r w:rsidRPr="00587F33">
        <w:rPr>
          <w:rFonts w:ascii="Arial" w:hAnsi="Arial" w:cs="Arial"/>
          <w:noProof/>
          <w:sz w:val="20"/>
          <w:szCs w:val="24"/>
        </w:rPr>
        <w:tab/>
        <w:t>Medicines and Healthcare Products Regulatory Agency. The supply of unlicensed medicinal products (“specials”) MHRA Guidance Note 14 2014. https://www.gov.uk/government/uploads/system/uploads/attachment_data/file/373505/The_supply_of_unlicensed_medicinal_products__specials_.pdf.</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[6]</w:t>
      </w:r>
      <w:r w:rsidRPr="00587F33">
        <w:rPr>
          <w:rFonts w:ascii="Arial" w:hAnsi="Arial" w:cs="Arial"/>
          <w:noProof/>
          <w:sz w:val="20"/>
          <w:szCs w:val="24"/>
        </w:rPr>
        <w:tab/>
        <w:t>U.S. Food and Drug Administration. Consumer Updates - The Special Risks of Pharmacy Compounding 2012. https://www.fda.gov/ForConsumers/ConsumerUpdates/ucm107836.htm.</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[7]</w:t>
      </w:r>
      <w:r w:rsidRPr="00587F33">
        <w:rPr>
          <w:rFonts w:ascii="Arial" w:hAnsi="Arial" w:cs="Arial"/>
          <w:noProof/>
          <w:sz w:val="20"/>
          <w:szCs w:val="24"/>
        </w:rPr>
        <w:tab/>
        <w:t>Therapeutic Goods Administration. Accessing unapproved products 2017. https://www.tga.gov.au/accessing-unapproved-products (accessed July 27, 2017).</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[8]</w:t>
      </w:r>
      <w:r w:rsidRPr="00587F33">
        <w:rPr>
          <w:rFonts w:ascii="Arial" w:hAnsi="Arial" w:cs="Arial"/>
          <w:noProof/>
          <w:sz w:val="20"/>
          <w:szCs w:val="24"/>
        </w:rPr>
        <w:tab/>
        <w:t>European Community. DIRECTIVE 2001/83/EC ON THE COMMUNITY CODE RELATING TO MEDICINAL PRODUCTS FOR HUMAN USE as amended by Directive 2002 / 98 / EC of the European Parliament and of the Council of 27 January. Off J Eur Union 2004:67–128.</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[9]</w:t>
      </w:r>
      <w:r w:rsidRPr="00587F33">
        <w:rPr>
          <w:rFonts w:ascii="Arial" w:hAnsi="Arial" w:cs="Arial"/>
          <w:noProof/>
          <w:sz w:val="20"/>
          <w:szCs w:val="24"/>
        </w:rPr>
        <w:tab/>
        <w:t>Brouwers MC, Kho ME, Browman GP, Burgers JS, Cluzeau F, Feder G, et al. AGREE II: advancing guideline development, reporting and evaluation in health care. Can Med Assoc J 2010;182:E839–42. doi:10.1503/cmaj.090449.</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[10]</w:t>
      </w:r>
      <w:r w:rsidRPr="00587F33">
        <w:rPr>
          <w:rFonts w:ascii="Arial" w:hAnsi="Arial" w:cs="Arial"/>
          <w:noProof/>
          <w:sz w:val="20"/>
          <w:szCs w:val="24"/>
        </w:rPr>
        <w:tab/>
        <w:t>Brouwers MC, Kho ME, Browman GP, Burgers JS, Cluzeau F, Feder G, et al. Development of the AGREE II, part 2: assessment of validity of items and tools to support application. Can Med Assoc J 2010;182:E472–8. doi:10.1503/cmaj.091716.</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[11]</w:t>
      </w:r>
      <w:r w:rsidRPr="00587F33">
        <w:rPr>
          <w:rFonts w:ascii="Arial" w:hAnsi="Arial" w:cs="Arial"/>
          <w:noProof/>
          <w:sz w:val="20"/>
          <w:szCs w:val="24"/>
        </w:rPr>
        <w:tab/>
        <w:t>Brosseau L, Rahman P, Poitras S, Toupin-April K, Paterson G, Smith C, et al. A Systematic Critical Appraisal of Non-Pharmacological Management of Rheumatoid Arthritis with Appraisal of Guidelines for Research and Evaluation II. PLoS One 2014;9:e95369. doi:10.1371/journal.pone.0095369.</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[12]</w:t>
      </w:r>
      <w:r w:rsidRPr="00587F33">
        <w:rPr>
          <w:rFonts w:ascii="Arial" w:hAnsi="Arial" w:cs="Arial"/>
          <w:noProof/>
          <w:sz w:val="20"/>
          <w:szCs w:val="24"/>
        </w:rPr>
        <w:tab/>
        <w:t>Kirby JS, Scharnitz T, Seiverling E V, Ahrns H, Ferguson S. Actinic Keratosis Clinical Practice Guidelines: An Appraisal of Quality. Dermatol Res Pract 2015;2015:1–7. doi:10.1155/2015/456071.</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[13]</w:t>
      </w:r>
      <w:r w:rsidRPr="00587F33">
        <w:rPr>
          <w:rFonts w:ascii="Arial" w:hAnsi="Arial" w:cs="Arial"/>
          <w:noProof/>
          <w:sz w:val="20"/>
          <w:szCs w:val="24"/>
        </w:rPr>
        <w:tab/>
        <w:t>Sun M, Zhang M, Shen J, Yan J, Zhou B. Critical Appraisal of International Guidelines for the Management of Diabetic Neuropathy: Is There Global Agreement in the Internet Era? Int J Endocrinol 2015;2015:1–11. doi:10.1155/2015/519032.</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[14]</w:t>
      </w:r>
      <w:r w:rsidRPr="00587F33">
        <w:rPr>
          <w:rFonts w:ascii="Arial" w:hAnsi="Arial" w:cs="Arial"/>
          <w:noProof/>
          <w:sz w:val="20"/>
          <w:szCs w:val="24"/>
        </w:rPr>
        <w:tab/>
        <w:t>Bowen GA. Document Analysis as a Qualitative Research Method. Qual Res J 2009;9:27–40. doi:10.3316/QRJ0902027.</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lastRenderedPageBreak/>
        <w:t>[15]</w:t>
      </w:r>
      <w:r w:rsidRPr="00587F33">
        <w:rPr>
          <w:rFonts w:ascii="Arial" w:hAnsi="Arial" w:cs="Arial"/>
          <w:noProof/>
          <w:sz w:val="20"/>
          <w:szCs w:val="24"/>
        </w:rPr>
        <w:tab/>
        <w:t>Medicines and Healthcare Products Regulatory Agency. Yellow Card Scheme - MHRA 2016. https://yellowcard.mhra.gov.uk/the-yellow-card-scheme/.</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[16]</w:t>
      </w:r>
      <w:r w:rsidRPr="00587F33">
        <w:rPr>
          <w:rFonts w:ascii="Arial" w:hAnsi="Arial" w:cs="Arial"/>
          <w:noProof/>
          <w:sz w:val="20"/>
          <w:szCs w:val="24"/>
        </w:rPr>
        <w:tab/>
        <w:t>Buckley D, Root T, Bath S. Specials recommended by the British Association of Dermatologists for skin disease 2014. http://www.bad.org.uk/shared/get-file.ashx?itemtype=document&amp;id=1848.</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[17]</w:t>
      </w:r>
      <w:r w:rsidRPr="00587F33">
        <w:rPr>
          <w:rFonts w:ascii="Arial" w:hAnsi="Arial" w:cs="Arial"/>
          <w:noProof/>
          <w:sz w:val="20"/>
          <w:szCs w:val="24"/>
        </w:rPr>
        <w:tab/>
        <w:t>Prescription Services Payments and Pricing NHS Business Services Authority 2012. http://www.nhsbsa.nhs.uk/PrescriptionServices/924.aspx.</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[18]</w:t>
      </w:r>
      <w:r w:rsidRPr="00587F33">
        <w:rPr>
          <w:rFonts w:ascii="Arial" w:hAnsi="Arial" w:cs="Arial"/>
          <w:noProof/>
          <w:sz w:val="20"/>
          <w:szCs w:val="24"/>
        </w:rPr>
        <w:tab/>
        <w:t>Parisi P, Vanacore N, Belcastro V, Carotenuto M, Del Giudice E, Mariani R, et al. Clinical guidelines in pediatric headache: evaluation of quality using the AGREE II instrument. J Headache Pain 2014;15:57. doi:10.1186/1129-2377-15-57.</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[19]</w:t>
      </w:r>
      <w:r w:rsidRPr="00587F33">
        <w:rPr>
          <w:rFonts w:ascii="Arial" w:hAnsi="Arial" w:cs="Arial"/>
          <w:noProof/>
          <w:sz w:val="20"/>
          <w:szCs w:val="24"/>
        </w:rPr>
        <w:tab/>
        <w:t>Schildmann EK, Schildmann J, Kiesewetter I. Medication and Monitoring in Palliative Sedation Therapy: A Systematic Review and Quality Assessment of Published Guidelines. J Pain Symptom Manage 2015;49:734–46. doi:10.1016/j.jpainsymman.2014.08.013.</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[20]</w:t>
      </w:r>
      <w:r w:rsidRPr="00587F33">
        <w:rPr>
          <w:rFonts w:ascii="Arial" w:hAnsi="Arial" w:cs="Arial"/>
          <w:noProof/>
          <w:sz w:val="20"/>
          <w:szCs w:val="24"/>
        </w:rPr>
        <w:tab/>
        <w:t>Damiani G, Silvestrini G, Trozzi L, Maci D, Iodice L, Ricciardi W. Quality of dementia clinical guidelines and relevance to the care of older people with comorbidity: evidence from the literature. Clin Interv Aging 2014:1399. doi:10.2147/CIA.S65046.</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[21]</w:t>
      </w:r>
      <w:r w:rsidRPr="00587F33">
        <w:rPr>
          <w:rFonts w:ascii="Arial" w:hAnsi="Arial" w:cs="Arial"/>
          <w:noProof/>
          <w:sz w:val="20"/>
          <w:szCs w:val="24"/>
        </w:rPr>
        <w:tab/>
        <w:t>Chakhtoura MT, Nakhoul N, Akl EA, Mantzoros CS, El Hajj Fuleihan GA. Guidelines on vitamin D replacement in bariatric surgery: Identification and systematic appraisal. Metabolism 2016. doi:10.1016/j.metabol.2015.12.013.</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[22]</w:t>
      </w:r>
      <w:r w:rsidRPr="00587F33">
        <w:rPr>
          <w:rFonts w:ascii="Arial" w:hAnsi="Arial" w:cs="Arial"/>
          <w:noProof/>
          <w:sz w:val="20"/>
          <w:szCs w:val="24"/>
        </w:rPr>
        <w:tab/>
        <w:t>Crowe S, Tully MP, Cantrill JA. The prescribing of specialist medicines: what factors influence GPs’ decision making? Fam Pract 2009;26:301–8. doi:10.1093/fampra/cmp030.</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[23]</w:t>
      </w:r>
      <w:r w:rsidRPr="00587F33">
        <w:rPr>
          <w:rFonts w:ascii="Arial" w:hAnsi="Arial" w:cs="Arial"/>
          <w:noProof/>
          <w:sz w:val="20"/>
          <w:szCs w:val="24"/>
        </w:rPr>
        <w:tab/>
        <w:t>Mukattash TL, Millership JS, Collier PS, McElnay JC. Public awareness and views on unlicensed use of medicines in children. Br J Clin Pharmacol 2008;66:838–45. doi:10.1111/j.1365-2125.2008.03290.x.</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[24]</w:t>
      </w:r>
      <w:r w:rsidRPr="00587F33">
        <w:rPr>
          <w:rFonts w:ascii="Arial" w:hAnsi="Arial" w:cs="Arial"/>
          <w:noProof/>
          <w:sz w:val="20"/>
          <w:szCs w:val="24"/>
        </w:rPr>
        <w:tab/>
        <w:t>Chisolm A. Exploring UK attitudes towards unlicensed medicines use: a questionnaire-based study of members of the general public and physicians. Int J Gen Med 2012:27. doi:10.2147/IJGM.S28341.</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[25]</w:t>
      </w:r>
      <w:r w:rsidRPr="00587F33">
        <w:rPr>
          <w:rFonts w:ascii="Arial" w:hAnsi="Arial" w:cs="Arial"/>
          <w:noProof/>
          <w:sz w:val="20"/>
          <w:szCs w:val="24"/>
        </w:rPr>
        <w:tab/>
        <w:t>Sutherland A, Waldek S. It is time to review how unlicensed medicines are used. Eur J Clin Pharmacol 2015;71:1029–35. doi:10.1007/s00228-015-1886-z.</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szCs w:val="24"/>
        </w:rPr>
      </w:pPr>
      <w:r w:rsidRPr="00587F33">
        <w:rPr>
          <w:rFonts w:ascii="Arial" w:hAnsi="Arial" w:cs="Arial"/>
          <w:noProof/>
          <w:sz w:val="20"/>
          <w:szCs w:val="24"/>
        </w:rPr>
        <w:t>[26]</w:t>
      </w:r>
      <w:r w:rsidRPr="00587F33">
        <w:rPr>
          <w:rFonts w:ascii="Arial" w:hAnsi="Arial" w:cs="Arial"/>
          <w:noProof/>
          <w:sz w:val="20"/>
          <w:szCs w:val="24"/>
        </w:rPr>
        <w:tab/>
        <w:t xml:space="preserve">General Medical Council. Good practice in prescribing and managing medicines and devices </w:t>
      </w:r>
      <w:r w:rsidRPr="00587F33">
        <w:rPr>
          <w:rFonts w:ascii="Arial" w:hAnsi="Arial" w:cs="Arial"/>
          <w:noProof/>
          <w:sz w:val="20"/>
          <w:szCs w:val="24"/>
        </w:rPr>
        <w:lastRenderedPageBreak/>
        <w:t>2013. http://www.gmc-uk.org/guidance/ethical_guidance/14316.asp.</w:t>
      </w:r>
    </w:p>
    <w:p w:rsidR="00587F33" w:rsidRPr="00587F33" w:rsidRDefault="00587F33" w:rsidP="00587F33">
      <w:pPr>
        <w:widowControl w:val="0"/>
        <w:autoSpaceDE w:val="0"/>
        <w:autoSpaceDN w:val="0"/>
        <w:adjustRightInd w:val="0"/>
        <w:spacing w:after="0" w:line="480" w:lineRule="auto"/>
        <w:ind w:left="640" w:hanging="640"/>
        <w:rPr>
          <w:rFonts w:ascii="Arial" w:hAnsi="Arial" w:cs="Arial"/>
          <w:noProof/>
          <w:sz w:val="20"/>
        </w:rPr>
      </w:pPr>
      <w:r w:rsidRPr="00587F33">
        <w:rPr>
          <w:rFonts w:ascii="Arial" w:hAnsi="Arial" w:cs="Arial"/>
          <w:noProof/>
          <w:sz w:val="20"/>
          <w:szCs w:val="24"/>
        </w:rPr>
        <w:t>[27]</w:t>
      </w:r>
      <w:r w:rsidRPr="00587F33">
        <w:rPr>
          <w:rFonts w:ascii="Arial" w:hAnsi="Arial" w:cs="Arial"/>
          <w:noProof/>
          <w:sz w:val="20"/>
          <w:szCs w:val="24"/>
        </w:rPr>
        <w:tab/>
        <w:t>Lord Carter of Coles. Operational productivity and performance in English NHS acute hospitals: Unwarranted variations. An independent report for the Department of Health by Lord Carter of Coles. London: Department of Health; 2016.</w:t>
      </w:r>
    </w:p>
    <w:p w:rsidR="003902FD" w:rsidRDefault="004C3C88" w:rsidP="004C2A95">
      <w:pPr>
        <w:widowControl w:val="0"/>
        <w:autoSpaceDE w:val="0"/>
        <w:autoSpaceDN w:val="0"/>
        <w:adjustRightInd w:val="0"/>
        <w:spacing w:after="0" w:line="480" w:lineRule="auto"/>
        <w:rPr>
          <w:rFonts w:ascii="Arial" w:eastAsia="Arial" w:hAnsi="Arial" w:cs="Arial"/>
          <w:bCs/>
          <w:sz w:val="20"/>
          <w:szCs w:val="20"/>
        </w:rPr>
      </w:pPr>
      <w:r>
        <w:rPr>
          <w:rFonts w:ascii="Arial" w:eastAsia="Arial" w:hAnsi="Arial" w:cs="Arial"/>
          <w:bCs/>
          <w:sz w:val="20"/>
          <w:szCs w:val="20"/>
        </w:rPr>
        <w:fldChar w:fldCharType="end"/>
      </w: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4C3C88" w:rsidP="004C2A95">
      <w:pPr>
        <w:widowControl w:val="0"/>
        <w:autoSpaceDE w:val="0"/>
        <w:autoSpaceDN w:val="0"/>
        <w:adjustRightInd w:val="0"/>
        <w:spacing w:after="0" w:line="480" w:lineRule="auto"/>
        <w:rPr>
          <w:rFonts w:ascii="Arial" w:eastAsia="Arial" w:hAnsi="Arial" w:cs="Arial"/>
          <w:bCs/>
          <w:sz w:val="20"/>
          <w:szCs w:val="20"/>
        </w:rPr>
      </w:pPr>
      <w:r w:rsidRPr="004C3C88">
        <w:rPr>
          <w:noProof/>
          <w:lang w:eastAsia="en-GB"/>
        </w:rPr>
      </w:r>
      <w:r w:rsidRPr="004C3C88">
        <w:rPr>
          <w:noProof/>
          <w:lang w:eastAsia="en-GB"/>
        </w:rPr>
        <w:pict>
          <v:group id="Group 1" o:spid="_x0000_s1026" style="width:438pt;height:597.05pt;mso-position-horizontal-relative:char;mso-position-vertical-relative:line" coordorigin="1440,3029" coordsize="8760,11941">
            <v:rect id="Rectangle 2" o:spid="_x0000_s1027" style="position:absolute;left:1440;top:3029;width:2182;height:1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WKC8IA&#10;AADaAAAADwAAAGRycy9kb3ducmV2LnhtbESPQWsCMRSE7wX/Q3hCbzVxD8WuRhFFFEoL63rx9tg8&#10;dxc3L0sSdfvvG6HQ4zAz3zCL1WA7cScfWscaphMFgrhypuVaw6ncvc1AhIhssHNMGn4owGo5ellg&#10;btyDC7ofYy0ShEOOGpoY+1zKUDVkMUxcT5y8i/MWY5K+lsbjI8FtJzOl3qXFltNCgz1tGqqux5vV&#10;4LJq74tSZl/ltv0ozk51359K69fxsJ6DiDTE//Bf+2A0ZPC8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YoLwgAAANoAAAAPAAAAAAAAAAAAAAAAAJgCAABkcnMvZG93&#10;bnJldi54bWxQSwUGAAAAAAQABAD1AAAAhwMAAAAA&#10;" strokeweight="2pt">
              <v:textbox>
                <w:txbxContent>
                  <w:p w:rsidR="00762503" w:rsidRDefault="00762503" w:rsidP="00762503">
                    <w:pPr>
                      <w:pStyle w:val="NormalWeb"/>
                      <w:spacing w:before="0" w:beforeAutospacing="0" w:after="0" w:afterAutospacing="0"/>
                      <w:jc w:val="center"/>
                    </w:pPr>
                    <w:r>
                      <w:rPr>
                        <w:rFonts w:ascii="Calibri" w:hAnsi="Calibri"/>
                        <w:color w:val="000000"/>
                        <w:kern w:val="24"/>
                        <w:sz w:val="20"/>
                        <w:szCs w:val="20"/>
                      </w:rPr>
                      <w:t>Potentially relevant guidelines</w:t>
                    </w:r>
                    <w:r w:rsidRPr="003902FD">
                      <w:rPr>
                        <w:rFonts w:ascii="Calibri" w:hAnsi="Calibri"/>
                        <w:color w:val="000000"/>
                        <w:kern w:val="24"/>
                        <w:sz w:val="20"/>
                        <w:szCs w:val="20"/>
                      </w:rPr>
                      <w:t xml:space="preserve"> identified through database searching</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24,025)</w:t>
                    </w:r>
                  </w:p>
                </w:txbxContent>
              </v:textbox>
            </v:rect>
            <v:rect id="Rectangle 3" o:spid="_x0000_s1028" style="position:absolute;left:4365;top:3029;width:2318;height:1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kvkMMA&#10;AADaAAAADwAAAGRycy9kb3ducmV2LnhtbESPQWvCQBSE70L/w/IK3nS3K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kvkMMAAADaAAAADwAAAAAAAAAAAAAAAACYAgAAZHJzL2Rv&#10;d25yZXYueG1sUEsFBgAAAAAEAAQA9QAAAIgDAAAAAA==&#10;" strokeweight="2pt">
              <v:textbox>
                <w:txbxContent>
                  <w:p w:rsidR="00762503" w:rsidRDefault="00762503" w:rsidP="00762503">
                    <w:pPr>
                      <w:pStyle w:val="NormalWeb"/>
                      <w:spacing w:before="0" w:beforeAutospacing="0" w:after="0" w:afterAutospacing="0"/>
                      <w:jc w:val="center"/>
                    </w:pPr>
                    <w:r>
                      <w:rPr>
                        <w:rFonts w:ascii="Calibri" w:hAnsi="Calibri"/>
                        <w:color w:val="000000"/>
                        <w:kern w:val="24"/>
                        <w:sz w:val="20"/>
                        <w:szCs w:val="20"/>
                      </w:rPr>
                      <w:t>Potentially relevant guidelines</w:t>
                    </w:r>
                    <w:r w:rsidRPr="003902FD">
                      <w:rPr>
                        <w:rFonts w:ascii="Calibri" w:hAnsi="Calibri"/>
                        <w:color w:val="000000"/>
                        <w:kern w:val="24"/>
                        <w:sz w:val="20"/>
                        <w:szCs w:val="20"/>
                      </w:rPr>
                      <w:t xml:space="preserve"> identified through organisation websites in NENC LCRN</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19)</w:t>
                    </w:r>
                  </w:p>
                </w:txbxContent>
              </v:textbox>
            </v:rect>
            <v:rect id="Rectangle 4" o:spid="_x0000_s1029" style="position:absolute;left:7860;top:3029;width:2310;height:1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strokeweight="2pt">
              <v:textbox>
                <w:txbxContent>
                  <w:p w:rsidR="00762503" w:rsidRDefault="00762503" w:rsidP="00762503">
                    <w:pPr>
                      <w:pStyle w:val="NormalWeb"/>
                      <w:spacing w:before="0" w:beforeAutospacing="0" w:after="0" w:afterAutospacing="0"/>
                      <w:jc w:val="center"/>
                    </w:pPr>
                    <w:r>
                      <w:rPr>
                        <w:rFonts w:ascii="Calibri" w:hAnsi="Calibri"/>
                        <w:color w:val="000000"/>
                        <w:kern w:val="24"/>
                        <w:sz w:val="20"/>
                        <w:szCs w:val="20"/>
                      </w:rPr>
                      <w:t>Potentially relevant guidelines</w:t>
                    </w:r>
                    <w:r w:rsidRPr="003902FD">
                      <w:rPr>
                        <w:rFonts w:ascii="Calibri" w:hAnsi="Calibri"/>
                        <w:color w:val="000000"/>
                        <w:kern w:val="24"/>
                        <w:sz w:val="20"/>
                        <w:szCs w:val="20"/>
                      </w:rPr>
                      <w:t xml:space="preserve"> identified through ‘Call </w:t>
                    </w:r>
                    <w:r>
                      <w:rPr>
                        <w:rFonts w:ascii="Calibri" w:hAnsi="Calibri"/>
                        <w:color w:val="000000"/>
                        <w:kern w:val="24"/>
                        <w:sz w:val="20"/>
                        <w:szCs w:val="20"/>
                      </w:rPr>
                      <w:t>for guidelines</w:t>
                    </w:r>
                    <w:r w:rsidRPr="003902FD">
                      <w:rPr>
                        <w:rFonts w:ascii="Calibri" w:hAnsi="Calibri"/>
                        <w:color w:val="000000"/>
                        <w:kern w:val="24"/>
                        <w:sz w:val="20"/>
                        <w:szCs w:val="20"/>
                      </w:rPr>
                      <w:t>’ distributed locally and nationally</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87)</w:t>
                    </w:r>
                  </w:p>
                </w:txbxContent>
              </v:textbox>
            </v:rect>
            <v:rect id="Rectangle 5" o:spid="_x0000_s1030" style="position:absolute;left:4302;top:6215;width:2433;height:9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wSf8MA&#10;AADaAAAADwAAAGRycy9kb3ducmV2LnhtbESPQWvCQBSE70L/w/IK3nS3gRZ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wSf8MAAADaAAAADwAAAAAAAAAAAAAAAACYAgAAZHJzL2Rv&#10;d25yZXYueG1sUEsFBgAAAAAEAAQA9QAAAIgDAAAAAA==&#10;" strokeweight="2pt">
              <v:textbox>
                <w:txbxContent>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Titles and abstracts/ summaries screened</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24,131)</w:t>
                    </w:r>
                  </w:p>
                </w:txbxContent>
              </v:textbox>
            </v:rect>
            <v:rect id="Rectangle 6" o:spid="_x0000_s1031" style="position:absolute;left:7860;top:7198;width:2340;height:13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6MCMIA&#10;AADaAAAADwAAAGRycy9kb3ducmV2LnhtbESPQWsCMRSE74L/ITzBmybuQerWKEWRCkVh3V56e2xe&#10;d5duXpYk1e2/NwXB4zAz3zDr7WA7cSUfWscaFnMFgrhypuVaw2d5mL2ACBHZYOeYNPxRgO1mPFpj&#10;btyNC7peYi0ShEOOGpoY+1zKUDVkMcxdT5y8b+ctxiR9LY3HW4LbTmZKLaXFltNCgz3tGqp+Lr9W&#10;g8uqd1+UMjuV+3ZVfDnVnT+U1tPJ8PYKItIQn+FH+2g0LOH/SroBc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owIwgAAANoAAAAPAAAAAAAAAAAAAAAAAJgCAABkcnMvZG93&#10;bnJldi54bWxQSwUGAAAAAAQABAD1AAAAhwMAAAAA&#10;" strokeweight="2pt">
              <v:textbox>
                <w:txbxContent>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Records excluded</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24.076) including 99.95% from Google Scholar*</w:t>
                    </w:r>
                  </w:p>
                </w:txbxContent>
              </v:textbox>
            </v:rect>
            <v:rect id="Rectangle 7" o:spid="_x0000_s1032" style="position:absolute;left:4302;top:8505;width:2433;height: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pk8MA&#10;AADaAAAADwAAAGRycy9kb3ducmV2LnhtbESPQWvCQBSE70L/w/IK3nS3ObSaukppkQqlQhIvvT2y&#10;r0lo9m3YXTX+e7cgeBxm5htmtRltL07kQ+dYw9NcgSCunem40XCotrMFiBCRDfaOScOFAmzWD5MV&#10;5saduaBTGRuRIBxy1NDGOORShroli2HuBuLk/TpvMSbpG2k8nhPc9jJT6lla7DgttDjQe0v1X3m0&#10;GlxWf/qiktl39dEtix+n+v2X0nr6OL69gog0xnv41t4ZDS/wfyXd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pk8MAAADaAAAADwAAAAAAAAAAAAAAAACYAgAAZHJzL2Rv&#10;d25yZXYueG1sUEsFBgAAAAAEAAQA9QAAAIgDAAAAAA==&#10;" strokeweight="2pt">
              <v:textbox>
                <w:txbxContent>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Full text documents assessed for eligibility</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55)</w:t>
                    </w:r>
                  </w:p>
                </w:txbxContent>
              </v:textbox>
            </v:rect>
            <v:rect id="Rectangle 8" o:spid="_x0000_s1033" style="position:absolute;left:7860;top:9618;width:2310;height:1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94cAA&#10;AADaAAAADwAAAGRycy9kb3ducmV2LnhtbERPPWvDMBDdA/kP4gLdEqkeQutGNqEhNBBasN2l22Fd&#10;bRPrZCQ1cf99NBQ6Pt73rpztKK7kw+BYw+NGgSBunRm40/DZHNdPIEJENjg6Jg2/FKAslosd5sbd&#10;uKJrHTuRQjjkqKGPccqlDG1PFsPGTcSJ+3beYkzQd9J4vKVwO8pMqa20OHBq6HGi157aS/1jNbis&#10;ffNVI7P35jA8V19OjR9npfXDat6/gIg0x3/xn/tkNKSt6Uq6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294cAAAADaAAAADwAAAAAAAAAAAAAAAACYAgAAZHJzL2Rvd25y&#10;ZXYueG1sUEsFBgAAAAAEAAQA9QAAAIUDAAAAAA==&#10;" strokeweight="2pt">
              <v:textbox>
                <w:txbxContent>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Full text documents excluded</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4)</w:t>
                    </w:r>
                  </w:p>
                </w:txbxContent>
              </v:textbox>
            </v:rect>
            <v:rect id="Rectangle 9" o:spid="_x0000_s1034" style="position:absolute;left:4337;top:11293;width:2310;height:1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YesIA&#10;AADaAAAADwAAAGRycy9kb3ducmV2LnhtbESPQWsCMRSE70L/Q3iF3jTpHoquRpGWYqEorOvF22Pz&#10;3F3cvCxJ1O2/bwTB4zAz3zCL1WA7cSUfWsca3icKBHHlTMu1hkP5PZ6CCBHZYOeYNPxRgNXyZbTA&#10;3LgbF3Tdx1okCIccNTQx9rmUoWrIYpi4njh5J+ctxiR9LY3HW4LbTmZKfUiLLaeFBnv6bKg67y9W&#10;g8uqjS9KmW3Lr3ZWHJ3qdr9K67fXYT0HEWmIz/Cj/WM0zOB+Jd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Rh6wgAAANoAAAAPAAAAAAAAAAAAAAAAAJgCAABkcnMvZG93&#10;bnJldi54bWxQSwUGAAAAAAQABAD1AAAAhwMAAAAA&#10;" strokeweight="2pt">
              <v:textbox>
                <w:txbxContent>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Full text documents included</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51)</w:t>
                    </w:r>
                  </w:p>
                </w:txbxContent>
              </v:textbox>
            </v:rect>
            <v:rect id="Rectangle 10" o:spid="_x0000_s1035" style="position:absolute;left:8056;top:12242;width:1990;height:16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rm8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K5vEAAAA2wAAAA8AAAAAAAAAAAAAAAAAmAIAAGRycy9k&#10;b3ducmV2LnhtbFBLBQYAAAAABAAEAPUAAACJAwAAAAA=&#10;" strokeweight="2pt">
              <v:textbox>
                <w:txbxContent>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References to any further documentation checked for further eligible documents</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1)</w:t>
                    </w:r>
                  </w:p>
                </w:txbxContent>
              </v:textbox>
            </v:rect>
            <v:rect id="Rectangle 11" o:spid="_x0000_s1036" style="position:absolute;left:4347;top:13665;width:2311;height:1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OAMEA&#10;AADbAAAADwAAAGRycy9kb3ducmV2LnhtbERPTWsCMRC9C/0PYQreNHEPYlejSIu0UCqs68XbsBl3&#10;FzeTJYm6/feNIPQ2j/c5q81gO3EjH1rHGmZTBYK4cqblWsOx3E0WIEJENtg5Jg2/FGCzfhmtMDfu&#10;zgXdDrEWKYRDjhqaGPtcylA1ZDFMXU+cuLPzFmOCvpbG4z2F205mSs2lxZZTQ4M9vTdUXQ5Xq8Fl&#10;1acvSpn9lB/tW3Fyqtt/K63Hr8N2CSLSEP/FT/eXSfNn8PglH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2jgDBAAAA2wAAAA8AAAAAAAAAAAAAAAAAmAIAAGRycy9kb3du&#10;cmV2LnhtbFBLBQYAAAAABAAEAPUAAACGAwAAAAA=&#10;" strokeweight="2pt">
              <v:textbox>
                <w:txbxContent>
                  <w:p w:rsidR="00762503" w:rsidRDefault="00762503" w:rsidP="00762503">
                    <w:pPr>
                      <w:pStyle w:val="NormalWeb"/>
                      <w:spacing w:before="0" w:beforeAutospacing="0" w:after="0" w:afterAutospacing="0"/>
                      <w:jc w:val="center"/>
                    </w:pPr>
                    <w:r>
                      <w:rPr>
                        <w:rFonts w:ascii="Calibri" w:hAnsi="Calibri"/>
                        <w:color w:val="000000"/>
                        <w:kern w:val="24"/>
                        <w:sz w:val="20"/>
                        <w:szCs w:val="20"/>
                      </w:rPr>
                      <w:t>Full text d</w:t>
                    </w:r>
                    <w:r w:rsidRPr="003902FD">
                      <w:rPr>
                        <w:rFonts w:ascii="Calibri" w:hAnsi="Calibri"/>
                        <w:color w:val="000000"/>
                        <w:kern w:val="24"/>
                        <w:sz w:val="20"/>
                        <w:szCs w:val="20"/>
                      </w:rPr>
                      <w:t>ocuments included in the AGREE II and thematic analysis</w:t>
                    </w:r>
                  </w:p>
                  <w:p w:rsidR="00762503" w:rsidRDefault="00762503" w:rsidP="00762503">
                    <w:pPr>
                      <w:pStyle w:val="NormalWeb"/>
                      <w:spacing w:before="0" w:beforeAutospacing="0" w:after="0" w:afterAutospacing="0"/>
                      <w:jc w:val="center"/>
                    </w:pPr>
                    <w:r w:rsidRPr="003902FD">
                      <w:rPr>
                        <w:rFonts w:ascii="Calibri" w:hAnsi="Calibri"/>
                        <w:color w:val="000000"/>
                        <w:kern w:val="24"/>
                        <w:sz w:val="20"/>
                        <w:szCs w:val="20"/>
                      </w:rPr>
                      <w:t>(n = 52)</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2" o:spid="_x0000_s1037" type="#_x0000_t34" style="position:absolute;left:3150;top:3826;width:1750;height:298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WnDMEAAADbAAAADwAAAGRycy9kb3ducmV2LnhtbERPTYvCMBC9C/sfwgh7EU3tQaRrlFp2&#10;wYugrbDXoRnbYjMpTazdf78RBG/zeJ+z2Y2mFQP1rrGsYLmIQBCXVjdcKbgUP/M1COeRNbaWScEf&#10;OdhtPyYbTLR98JmG3FcihLBLUEHtfZdI6cqaDLqF7YgDd7W9QR9gX0nd4yOEm1bGUbSSBhsODTV2&#10;lNVU3vK7UbA+DYdidtxnsbnmXZql/O2Pv0p9Tsf0C4Sn0b/FL/dBh/kxPH8JB8jt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lacMwQAAANsAAAAPAAAAAAAAAAAAAAAA&#10;AKECAABkcnMvZG93bnJldi54bWxQSwUGAAAAAAQABAD5AAAAjwMAAAAA&#10;" adj="12281" strokeweight="2pt">
              <v:stroke endarrow="open"/>
              <v:shadow on="t" color="black" opacity="24903f" origin=",.5" offset="0,.55556mm"/>
            </v:shape>
            <v:shapetype id="_x0000_t32" coordsize="21600,21600" o:spt="32" o:oned="t" path="m,l21600,21600e" filled="f">
              <v:path arrowok="t" fillok="f" o:connecttype="none"/>
              <o:lock v:ext="edit" shapetype="t"/>
            </v:shapetype>
            <v:shape id="Straight Arrow Connector 13" o:spid="_x0000_s1038" type="#_x0000_t32" style="position:absolute;left:5519;top:4445;width:5;height:175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dedsMAAADbAAAADwAAAGRycy9kb3ducmV2LnhtbERPTWvCQBC9F/wPywi9mU2thpC6SlAC&#10;4q0qhd6G7Jikzc6G7Jqk/fXdQqG3ebzP2ewm04qBetdYVvAUxSCIS6sbrhRcL8UiBeE8ssbWMin4&#10;Ige77exhg5m2I7/ScPaVCCHsMlRQe99lUrqyJoMush1x4G62N+gD7CupexxDuGnlMo4TabDh0FBj&#10;R/uays/z3ShYfSSH/N68rws62WV6/L7lb+Wg1ON8yl9AeJr8v/jPfdRh/jP8/hIO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nXnbDAAAA2wAAAA8AAAAAAAAAAAAA&#10;AAAAoQIAAGRycy9kb3ducmV2LnhtbFBLBQYAAAAABAAEAPkAAACRAwAAAAA=&#10;" strokeweight="2pt">
              <v:stroke endarrow="open"/>
              <v:shadow on="t" color="black" opacity="24903f" origin=",.5" offset="0,.55556mm"/>
            </v:shape>
            <v:shape id="Elbow Connector 14" o:spid="_x0000_s1039" type="#_x0000_t34" style="position:absolute;left:6513;top:3694;width:1507;height:349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CnkcMAAADbAAAADwAAAGRycy9kb3ducmV2LnhtbERPS2vCQBC+F/oflin0InVTEWmjaygB&#10;oVAV1F68DdkxmzY7G7KbR/+9Kwi9zcf3nFU22lr01PrKsYLXaQKCuHC64lLB92nz8gbCB2SNtWNS&#10;8EcesvXjwwpT7QY+UH8MpYgh7FNUYEJoUil9Yciin7qGOHIX11oMEbal1C0OMdzWcpYkC2mx4thg&#10;sKHcUPF77KyC8+5Lv59m1c/EXrZdYvJOLzZ7pZ6fxo8liEBj+Bff3Z86zp/D7Zd4gFx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Ap5HDAAAA2wAAAA8AAAAAAAAAAAAA&#10;AAAAoQIAAGRycy9kb3ducmV2LnhtbFBLBQYAAAAABAAEAPkAAACRAwAAAAA=&#10;" adj="10793" strokeweight="2pt">
              <v:stroke endarrow="open"/>
              <v:shadow on="t" color="black" opacity="24903f" origin=",.5" offset="0,.55556mm"/>
            </v:shape>
            <v:shape id="Straight Arrow Connector 15" o:spid="_x0000_s1040" type="#_x0000_t32" style="position:absolute;left:5497;top:7852;width:2343;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JjmcEAAADbAAAADwAAAGRycy9kb3ducmV2LnhtbERPS4vCMBC+C/6HMII3TRUV6TaVogiy&#10;Nx8Iexuase1uMylNrHV/vVlY8DYf33OSTW9q0VHrKssKZtMIBHFudcWFgst5P1mDcB5ZY22ZFDzJ&#10;wSYdDhKMtX3wkbqTL0QIYRejgtL7JpbS5SUZdFPbEAfuZluDPsC2kLrFRwg3tZxH0UoarDg0lNjQ&#10;tqT853Q3Chbfq112r76We/q08/Xh95Zd806p8ajPPkB46v1b/O8+6DB/CX+/hANk+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wmOZwQAAANsAAAAPAAAAAAAAAAAAAAAA&#10;AKECAABkcnMvZG93bnJldi54bWxQSwUGAAAAAAQABAD5AAAAjwMAAAAA&#10;" strokeweight="2pt">
              <v:stroke endarrow="open"/>
              <v:shadow on="t" color="black" opacity="24903f" origin=",.5" offset="0,.55556mm"/>
            </v:shape>
            <v:shape id="Straight Arrow Connector 16" o:spid="_x0000_s1041" type="#_x0000_t32" style="position:absolute;left:5517;top:7198;width:0;height:13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pnMIAAADbAAAADwAAAGRycy9kb3ducmV2LnhtbERPTWvCQBC9C/6HZYReRDeWGkrMRkSU&#10;2qO2tfQ2ZMckmJ1dsltN/31XELzN431OvuxNKy7U+caygtk0AUFcWt1wpeDzYzt5BeEDssbWMin4&#10;Iw/LYjjIMdP2ynu6HEIlYgj7DBXUIbhMSl/WZNBPrSOO3Ml2BkOEXSV1h9cYblr5nCSpNNhwbKjR&#10;0bqm8nz4NQrmZWW+0jf3sh/j5n39ffxZ7dxcqadRv1qACNSHh/ju3uk4P4XbL/EAW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zpnMIAAADbAAAADwAAAAAAAAAAAAAA&#10;AAChAgAAZHJzL2Rvd25yZXYueG1sUEsFBgAAAAAEAAQA+QAAAJADAAAAAA==&#10;" strokeweight="2pt">
              <v:stroke endarrow="open"/>
              <v:shadow on="t" color="black" opacity="24903f" origin=",.5" offset="0,.55556mm"/>
            </v:shape>
            <v:shape id="Straight Arrow Connector 17" o:spid="_x0000_s1042" type="#_x0000_t32" style="position:absolute;left:5497;top:10309;width:2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BMB8MAAADbAAAADwAAAGRycy9kb3ducmV2LnhtbERPS2vCQBC+F/oflhF6KbppqVGiGxGp&#10;1B61D/E2ZMckNDu7ZNcY/31XELzNx/ec+aI3jeio9bVlBS+jBARxYXXNpYLvr/VwCsIHZI2NZVJw&#10;IQ+L/PFhjpm2Z95StwuliCHsM1RQheAyKX1RkUE/so44ckfbGgwRtqXULZ5juGnka5Kk0mDNsaFC&#10;R6uKir/dySgYF6X5ST/c2/YZ3z9X+9/DcuPGSj0N+uUMRKA+3MU390bH+RO4/hIP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gTAfDAAAA2wAAAA8AAAAAAAAAAAAA&#10;AAAAoQIAAGRycy9kb3ducmV2LnhtbFBLBQYAAAAABAAEAPkAAACRAwAAAAA=&#10;" strokeweight="2pt">
              <v:stroke endarrow="open"/>
              <v:shadow on="t" color="black" opacity="24903f" origin=",.5" offset="0,.55556mm"/>
            </v:shape>
            <v:shape id="Straight Arrow Connector 18" o:spid="_x0000_s1043" type="#_x0000_t32" style="position:absolute;left:5492;top:9490;width:25;height:18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PMB8QAAADbAAAADwAAAGRycy9kb3ducmV2LnhtbESPQWvCQBCF7wX/wzKCt7pRWpHoKsEi&#10;SG9qKXgbsmMSzc6G7Bpjf71zKHib4b1575vlune16qgNlWcDk3ECijj3tuLCwM9x+z4HFSKyxdoz&#10;GXhQgPVq8LbE1Po776k7xEJJCIcUDZQxNqnWIS/JYRj7hli0s28dRlnbQtsW7xLuaj1Nkpl2WLE0&#10;lNjQpqT8erg5Ax+X2Vd2q06fW/r20/nu75z95p0xo2GfLUBF6uPL/H+9s4IvsPKLDK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w8wHxAAAANsAAAAPAAAAAAAAAAAA&#10;AAAAAKECAABkcnMvZG93bnJldi54bWxQSwUGAAAAAAQABAD5AAAAkgMAAAAA&#10;" strokeweight="2pt">
              <v:stroke endarrow="open"/>
              <v:shadow on="t" color="black" opacity="24903f" origin=",.5" offset="0,.55556mm"/>
            </v:shape>
            <v:shape id="Straight Arrow Connector 19" o:spid="_x0000_s1044" type="#_x0000_t32" style="position:absolute;left:5492;top:12435;width:11;height:1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N97sMAAADbAAAADwAAAGRycy9kb3ducmV2LnhtbERPS2vCQBC+F/oflhF6KbppqUGjGxGp&#10;1B61D/E2ZMckNDu7ZNcY/31XELzNx/ec+aI3jeio9bVlBS+jBARxYXXNpYLvr/VwAsIHZI2NZVJw&#10;IQ+L/PFhjpm2Z95StwuliCHsM1RQheAyKX1RkUE/so44ckfbGgwRtqXULZ5juGnka5Kk0mDNsaFC&#10;R6uKir/dySgYF6X5ST/c2/YZ3z9X+9/DcuPGSj0N+uUMRKA+3MU390bH+VO4/hIP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zfe7DAAAA2wAAAA8AAAAAAAAAAAAA&#10;AAAAoQIAAGRycy9kb3ducmV2LnhtbFBLBQYAAAAABAAEAPkAAACRAwAAAAA=&#10;" strokeweight="2pt">
              <v:stroke endarrow="open"/>
              <v:shadow on="t" color="black" opacity="24903f" origin=",.5" offset="0,.55556mm"/>
            </v:shape>
            <v:shapetype id="_x0000_t202" coordsize="21600,21600" o:spt="202" path="m,l,21600r21600,l21600,xe">
              <v:stroke joinstyle="miter"/>
              <v:path gradientshapeok="t" o:connecttype="rect"/>
            </v:shapetype>
            <v:shape id="TextBox 2096" o:spid="_x0000_s1045" type="#_x0000_t202" style="position:absolute;left:1440;top:7198;width:2585;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762503" w:rsidRDefault="00762503" w:rsidP="00762503">
                    <w:pPr>
                      <w:pStyle w:val="NormalWeb"/>
                      <w:spacing w:before="0" w:beforeAutospacing="0" w:after="0" w:afterAutospacing="0"/>
                      <w:ind w:left="144" w:hanging="144"/>
                      <w:textAlignment w:val="baseline"/>
                    </w:pPr>
                    <w:r w:rsidRPr="003902FD">
                      <w:rPr>
                        <w:rFonts w:ascii="Calibri" w:hAnsi="Calibri" w:cs="Arial"/>
                        <w:color w:val="000000"/>
                        <w:kern w:val="24"/>
                        <w:sz w:val="20"/>
                        <w:szCs w:val="20"/>
                      </w:rPr>
                      <w:t>*Reasons for exclusion from Google Scholar results</w:t>
                    </w:r>
                  </w:p>
                  <w:p w:rsidR="00762503" w:rsidRDefault="00762503" w:rsidP="00762503">
                    <w:pPr>
                      <w:pStyle w:val="NormalWeb"/>
                      <w:spacing w:before="0" w:beforeAutospacing="0" w:after="0" w:afterAutospacing="0"/>
                      <w:textAlignment w:val="baseline"/>
                    </w:pPr>
                    <w:r w:rsidRPr="003902FD">
                      <w:rPr>
                        <w:rFonts w:ascii="Calibri" w:hAnsi="Calibri" w:cs="Arial"/>
                        <w:color w:val="000000"/>
                        <w:kern w:val="24"/>
                        <w:sz w:val="20"/>
                        <w:szCs w:val="20"/>
                      </w:rPr>
                      <w:t>Did not meet inclusion criteria:</w:t>
                    </w:r>
                  </w:p>
                  <w:p w:rsidR="00762503" w:rsidRDefault="00762503" w:rsidP="00762503">
                    <w:pPr>
                      <w:pStyle w:val="ListParagraph"/>
                      <w:numPr>
                        <w:ilvl w:val="0"/>
                        <w:numId w:val="19"/>
                      </w:numPr>
                      <w:contextualSpacing/>
                      <w:textAlignment w:val="baseline"/>
                    </w:pPr>
                    <w:r w:rsidRPr="003902FD">
                      <w:rPr>
                        <w:rFonts w:ascii="Calibri" w:hAnsi="Calibri" w:cs="Arial"/>
                        <w:color w:val="000000"/>
                        <w:kern w:val="24"/>
                      </w:rPr>
                      <w:t>Not a guideline</w:t>
                    </w:r>
                  </w:p>
                  <w:p w:rsidR="00762503" w:rsidRDefault="00762503" w:rsidP="00762503">
                    <w:pPr>
                      <w:pStyle w:val="ListParagraph"/>
                      <w:numPr>
                        <w:ilvl w:val="0"/>
                        <w:numId w:val="19"/>
                      </w:numPr>
                      <w:contextualSpacing/>
                      <w:textAlignment w:val="baseline"/>
                    </w:pPr>
                    <w:r w:rsidRPr="003902FD">
                      <w:rPr>
                        <w:rFonts w:ascii="Calibri" w:hAnsi="Calibri" w:cs="Arial"/>
                        <w:color w:val="000000"/>
                        <w:kern w:val="24"/>
                      </w:rPr>
                      <w:t>Not related to ULM</w:t>
                    </w:r>
                  </w:p>
                  <w:p w:rsidR="00762503" w:rsidRDefault="00762503" w:rsidP="00762503">
                    <w:pPr>
                      <w:pStyle w:val="ListParagraph"/>
                      <w:numPr>
                        <w:ilvl w:val="0"/>
                        <w:numId w:val="19"/>
                      </w:numPr>
                      <w:contextualSpacing/>
                      <w:textAlignment w:val="baseline"/>
                    </w:pPr>
                    <w:r w:rsidRPr="003902FD">
                      <w:rPr>
                        <w:rFonts w:ascii="Calibri" w:hAnsi="Calibri" w:cs="Arial"/>
                        <w:color w:val="000000"/>
                        <w:kern w:val="24"/>
                      </w:rPr>
                      <w:t>Non-UK i.e. Australian, South African, USA, Austria, Italy, Turkey, Nigeria</w:t>
                    </w:r>
                  </w:p>
                  <w:p w:rsidR="00762503" w:rsidRDefault="00762503" w:rsidP="00762503">
                    <w:pPr>
                      <w:pStyle w:val="ListParagraph"/>
                      <w:numPr>
                        <w:ilvl w:val="0"/>
                        <w:numId w:val="19"/>
                      </w:numPr>
                      <w:contextualSpacing/>
                      <w:textAlignment w:val="baseline"/>
                    </w:pPr>
                    <w:r w:rsidRPr="003902FD">
                      <w:rPr>
                        <w:rFonts w:ascii="Calibri" w:hAnsi="Calibri" w:cs="Arial"/>
                        <w:color w:val="000000"/>
                        <w:kern w:val="24"/>
                      </w:rPr>
                      <w:t>Text books</w:t>
                    </w:r>
                  </w:p>
                  <w:p w:rsidR="00762503" w:rsidRDefault="00762503" w:rsidP="00762503">
                    <w:pPr>
                      <w:pStyle w:val="ListParagraph"/>
                      <w:numPr>
                        <w:ilvl w:val="0"/>
                        <w:numId w:val="19"/>
                      </w:numPr>
                      <w:contextualSpacing/>
                      <w:textAlignment w:val="baseline"/>
                    </w:pPr>
                    <w:r w:rsidRPr="003902FD">
                      <w:rPr>
                        <w:rFonts w:ascii="Calibri" w:hAnsi="Calibri" w:cs="Arial"/>
                        <w:color w:val="000000"/>
                        <w:kern w:val="24"/>
                      </w:rPr>
                      <w:t>Letters</w:t>
                    </w:r>
                  </w:p>
                  <w:p w:rsidR="00762503" w:rsidRDefault="00762503" w:rsidP="00762503">
                    <w:pPr>
                      <w:pStyle w:val="ListParagraph"/>
                      <w:numPr>
                        <w:ilvl w:val="0"/>
                        <w:numId w:val="19"/>
                      </w:numPr>
                      <w:contextualSpacing/>
                      <w:textAlignment w:val="baseline"/>
                    </w:pPr>
                    <w:r w:rsidRPr="003902FD">
                      <w:rPr>
                        <w:rFonts w:ascii="Calibri" w:hAnsi="Calibri" w:cs="Arial"/>
                        <w:color w:val="000000"/>
                        <w:kern w:val="24"/>
                      </w:rPr>
                      <w:t>Related to contrast media</w:t>
                    </w:r>
                  </w:p>
                  <w:p w:rsidR="00762503" w:rsidRDefault="00762503" w:rsidP="00762503">
                    <w:pPr>
                      <w:pStyle w:val="ListParagraph"/>
                      <w:numPr>
                        <w:ilvl w:val="0"/>
                        <w:numId w:val="19"/>
                      </w:numPr>
                      <w:contextualSpacing/>
                      <w:textAlignment w:val="baseline"/>
                    </w:pPr>
                    <w:r w:rsidRPr="003902FD">
                      <w:rPr>
                        <w:rFonts w:ascii="Calibri" w:hAnsi="Calibri" w:cs="Arial"/>
                        <w:color w:val="000000"/>
                        <w:kern w:val="24"/>
                      </w:rPr>
                      <w:t>Related to use of devices</w:t>
                    </w:r>
                  </w:p>
                  <w:p w:rsidR="00762503" w:rsidRDefault="00762503" w:rsidP="00762503">
                    <w:pPr>
                      <w:pStyle w:val="ListParagraph"/>
                      <w:numPr>
                        <w:ilvl w:val="0"/>
                        <w:numId w:val="19"/>
                      </w:numPr>
                      <w:contextualSpacing/>
                      <w:textAlignment w:val="baseline"/>
                    </w:pPr>
                    <w:r w:rsidRPr="003902FD">
                      <w:rPr>
                        <w:rFonts w:ascii="Calibri" w:hAnsi="Calibri" w:cs="Arial"/>
                        <w:color w:val="000000"/>
                        <w:kern w:val="24"/>
                      </w:rPr>
                      <w:t>Not available as the link provided is expired</w:t>
                    </w:r>
                  </w:p>
                </w:txbxContent>
              </v:textbox>
            </v:shape>
            <v:shape id="AutoShape 22" o:spid="_x0000_s1046" type="#_x0000_t32" style="position:absolute;left:5492;top:13014;width:256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imcYAAADbAAAADwAAAGRycy9kb3ducmV2LnhtbESPT2sCMRTE74LfIbxCb5pdodZujSKW&#10;gu1h/dNSenxsXncXNy8hibr99k1B8DjMzG+Y+bI3nTiTD61lBfk4A0FcWd1yreDz43U0AxEissbO&#10;Min4pQDLxXAwx0LbC+/pfIi1SBAOBSpoYnSFlKFqyGAYW0ecvB/rDcYkfS21x0uCm05OsmwqDbac&#10;Fhp0tG6oOh5ORsHbdPvy9J37R1N+4cPmfVeenCuVur/rV88gIvXxFr62N1rBJIf/L+k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YpnGAAAA2wAAAA8AAAAAAAAA&#10;AAAAAAAAoQIAAGRycy9kb3ducmV2LnhtbFBLBQYAAAAABAAEAPkAAACUAwAAAAA=&#10;" strokeweight="3pt">
              <v:stroke endarrow="block"/>
            </v:shape>
            <w10:wrap type="none"/>
            <w10:anchorlock/>
          </v:group>
        </w:pict>
      </w: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7D538A" w:rsidRDefault="007D538A" w:rsidP="004C2A95">
      <w:pPr>
        <w:widowControl w:val="0"/>
        <w:autoSpaceDE w:val="0"/>
        <w:autoSpaceDN w:val="0"/>
        <w:adjustRightInd w:val="0"/>
        <w:spacing w:after="0" w:line="480" w:lineRule="auto"/>
        <w:rPr>
          <w:rFonts w:ascii="Arial" w:eastAsia="Arial" w:hAnsi="Arial" w:cs="Arial"/>
          <w:bCs/>
          <w:sz w:val="20"/>
          <w:szCs w:val="20"/>
        </w:rPr>
      </w:pPr>
    </w:p>
    <w:p w:rsidR="007D538A" w:rsidRDefault="007D538A" w:rsidP="004C2A95">
      <w:pPr>
        <w:widowControl w:val="0"/>
        <w:autoSpaceDE w:val="0"/>
        <w:autoSpaceDN w:val="0"/>
        <w:adjustRightInd w:val="0"/>
        <w:spacing w:after="0" w:line="480" w:lineRule="auto"/>
        <w:rPr>
          <w:rFonts w:ascii="Arial" w:eastAsia="Arial" w:hAnsi="Arial" w:cs="Arial"/>
          <w:bCs/>
          <w:sz w:val="20"/>
          <w:szCs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6"/>
        <w:gridCol w:w="4436"/>
      </w:tblGrid>
      <w:tr w:rsidR="00B85564" w:rsidRPr="00B8018A" w:rsidTr="00762503">
        <w:tc>
          <w:tcPr>
            <w:tcW w:w="9242" w:type="dxa"/>
            <w:gridSpan w:val="2"/>
            <w:shd w:val="clear" w:color="auto" w:fill="auto"/>
            <w:vAlign w:val="center"/>
          </w:tcPr>
          <w:p w:rsidR="00B85564" w:rsidRPr="00B8018A" w:rsidRDefault="00B85564" w:rsidP="00762503">
            <w:pPr>
              <w:spacing w:after="0" w:line="240" w:lineRule="auto"/>
              <w:jc w:val="center"/>
              <w:rPr>
                <w:rFonts w:ascii="Arial" w:eastAsia="Times New Roman" w:hAnsi="Arial" w:cs="Arial"/>
                <w:b/>
                <w:sz w:val="24"/>
                <w:szCs w:val="24"/>
                <w:u w:val="single"/>
              </w:rPr>
            </w:pPr>
            <w:r w:rsidRPr="00B8018A">
              <w:rPr>
                <w:rFonts w:ascii="Arial" w:eastAsia="Arial" w:hAnsi="Arial" w:cs="Arial"/>
                <w:b/>
                <w:bCs/>
                <w:sz w:val="24"/>
                <w:szCs w:val="24"/>
              </w:rPr>
              <w:lastRenderedPageBreak/>
              <w:t xml:space="preserve">Table 1: Inclusion and exclusion criteria </w:t>
            </w:r>
            <w:r>
              <w:rPr>
                <w:rFonts w:ascii="Arial" w:eastAsia="Arial" w:hAnsi="Arial" w:cs="Arial"/>
                <w:b/>
                <w:bCs/>
                <w:sz w:val="24"/>
                <w:szCs w:val="24"/>
              </w:rPr>
              <w:t>for guideline inclusion</w:t>
            </w:r>
          </w:p>
        </w:tc>
      </w:tr>
      <w:tr w:rsidR="00B85564" w:rsidRPr="00B8018A" w:rsidTr="00762503">
        <w:tc>
          <w:tcPr>
            <w:tcW w:w="4806" w:type="dxa"/>
            <w:shd w:val="clear" w:color="auto" w:fill="auto"/>
            <w:vAlign w:val="center"/>
          </w:tcPr>
          <w:p w:rsidR="00B85564" w:rsidRPr="00B8018A" w:rsidRDefault="00B85564" w:rsidP="00762503">
            <w:pPr>
              <w:spacing w:after="0" w:line="240" w:lineRule="auto"/>
              <w:jc w:val="center"/>
              <w:rPr>
                <w:rFonts w:ascii="Arial" w:eastAsia="Times New Roman" w:hAnsi="Arial" w:cs="Arial"/>
                <w:b/>
              </w:rPr>
            </w:pPr>
            <w:r w:rsidRPr="00B8018A">
              <w:rPr>
                <w:rFonts w:ascii="Arial" w:eastAsia="Arial" w:hAnsi="Arial" w:cs="Arial"/>
                <w:b/>
                <w:bCs/>
              </w:rPr>
              <w:t>Inclusion criteria</w:t>
            </w:r>
          </w:p>
        </w:tc>
        <w:tc>
          <w:tcPr>
            <w:tcW w:w="4436" w:type="dxa"/>
            <w:shd w:val="clear" w:color="auto" w:fill="auto"/>
            <w:vAlign w:val="center"/>
          </w:tcPr>
          <w:p w:rsidR="00B85564" w:rsidRPr="00B8018A" w:rsidRDefault="00B85564" w:rsidP="00762503">
            <w:pPr>
              <w:spacing w:after="0" w:line="240" w:lineRule="auto"/>
              <w:jc w:val="center"/>
              <w:rPr>
                <w:rFonts w:ascii="Arial" w:eastAsia="Times New Roman" w:hAnsi="Arial" w:cs="Arial"/>
                <w:b/>
              </w:rPr>
            </w:pPr>
            <w:r w:rsidRPr="00B8018A">
              <w:rPr>
                <w:rFonts w:ascii="Arial" w:eastAsia="Arial" w:hAnsi="Arial" w:cs="Arial"/>
                <w:b/>
                <w:bCs/>
              </w:rPr>
              <w:t>Exclusion criteria</w:t>
            </w:r>
          </w:p>
        </w:tc>
      </w:tr>
      <w:tr w:rsidR="00B85564" w:rsidRPr="00B8018A" w:rsidTr="00762503">
        <w:trPr>
          <w:trHeight w:val="1548"/>
        </w:trPr>
        <w:tc>
          <w:tcPr>
            <w:tcW w:w="4806" w:type="dxa"/>
            <w:shd w:val="clear" w:color="auto" w:fill="auto"/>
            <w:vAlign w:val="center"/>
          </w:tcPr>
          <w:p w:rsidR="00B85564" w:rsidRPr="00794D70" w:rsidRDefault="00B85564" w:rsidP="00762503">
            <w:pPr>
              <w:spacing w:after="0" w:line="240" w:lineRule="auto"/>
              <w:rPr>
                <w:rFonts w:ascii="Arial" w:eastAsia="Arial" w:hAnsi="Arial" w:cs="Arial"/>
              </w:rPr>
            </w:pPr>
            <w:r w:rsidRPr="00B8018A">
              <w:rPr>
                <w:rFonts w:ascii="Arial" w:eastAsia="Arial" w:hAnsi="Arial" w:cs="Arial"/>
              </w:rPr>
              <w:t>Guid</w:t>
            </w:r>
            <w:r>
              <w:rPr>
                <w:rFonts w:ascii="Arial" w:eastAsia="Arial" w:hAnsi="Arial" w:cs="Arial"/>
              </w:rPr>
              <w:t>elines</w:t>
            </w:r>
            <w:r w:rsidRPr="00B8018A">
              <w:rPr>
                <w:rFonts w:ascii="Arial" w:eastAsia="Arial" w:hAnsi="Arial" w:cs="Arial"/>
              </w:rPr>
              <w:t xml:space="preserve"> on the use of unlicensed medicines, including prescribing, procurement, dispensing or administration</w:t>
            </w:r>
            <w:r>
              <w:rPr>
                <w:rFonts w:ascii="Arial" w:eastAsia="Arial" w:hAnsi="Arial" w:cs="Arial"/>
              </w:rPr>
              <w:t xml:space="preserve"> aimed for use within the UK NHS</w:t>
            </w:r>
          </w:p>
        </w:tc>
        <w:tc>
          <w:tcPr>
            <w:tcW w:w="4436" w:type="dxa"/>
            <w:shd w:val="clear" w:color="auto" w:fill="auto"/>
            <w:vAlign w:val="center"/>
          </w:tcPr>
          <w:p w:rsidR="00B85564" w:rsidRDefault="00B85564" w:rsidP="00762503">
            <w:pPr>
              <w:spacing w:after="0" w:line="240" w:lineRule="auto"/>
              <w:rPr>
                <w:rFonts w:ascii="Arial" w:eastAsia="Times New Roman" w:hAnsi="Arial" w:cs="Arial"/>
              </w:rPr>
            </w:pPr>
            <w:r>
              <w:rPr>
                <w:rFonts w:ascii="Arial" w:eastAsia="Times New Roman" w:hAnsi="Arial" w:cs="Arial"/>
              </w:rPr>
              <w:t>Guidelines primarily relating to:</w:t>
            </w:r>
          </w:p>
          <w:p w:rsidR="00B85564" w:rsidRPr="00B8018A"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Homeopathic medicines</w:t>
            </w:r>
          </w:p>
          <w:p w:rsidR="00B85564" w:rsidRPr="00A7224D"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Food or dietary supplements</w:t>
            </w:r>
          </w:p>
          <w:p w:rsidR="00B85564" w:rsidRPr="00C045DE" w:rsidRDefault="00B85564" w:rsidP="00B85564">
            <w:pPr>
              <w:numPr>
                <w:ilvl w:val="0"/>
                <w:numId w:val="9"/>
              </w:numPr>
              <w:spacing w:after="0" w:line="240" w:lineRule="auto"/>
              <w:ind w:left="317" w:hanging="284"/>
              <w:rPr>
                <w:rFonts w:ascii="Arial" w:eastAsia="Times New Roman" w:hAnsi="Arial" w:cs="Arial"/>
              </w:rPr>
            </w:pPr>
            <w:proofErr w:type="spellStart"/>
            <w:r w:rsidRPr="00B8018A">
              <w:rPr>
                <w:rFonts w:ascii="Arial" w:eastAsia="Arial" w:hAnsi="Arial" w:cs="Arial"/>
              </w:rPr>
              <w:t>Radiopharmacy</w:t>
            </w:r>
            <w:proofErr w:type="spellEnd"/>
          </w:p>
          <w:p w:rsidR="00B85564" w:rsidRPr="00B8018A"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Herbal medicines</w:t>
            </w:r>
          </w:p>
          <w:p w:rsidR="00B85564" w:rsidRDefault="00B85564" w:rsidP="00B85564">
            <w:pPr>
              <w:numPr>
                <w:ilvl w:val="0"/>
                <w:numId w:val="9"/>
              </w:numPr>
              <w:spacing w:after="0" w:line="240" w:lineRule="auto"/>
              <w:ind w:left="317" w:hanging="284"/>
              <w:rPr>
                <w:rFonts w:ascii="Arial" w:eastAsia="Times New Roman" w:hAnsi="Arial" w:cs="Arial"/>
              </w:rPr>
            </w:pPr>
            <w:r>
              <w:rPr>
                <w:rFonts w:ascii="Arial" w:eastAsia="Times New Roman" w:hAnsi="Arial" w:cs="Arial"/>
              </w:rPr>
              <w:t>Off-label or unlicensed use of licensed medicines</w:t>
            </w:r>
          </w:p>
          <w:p w:rsidR="00B85564" w:rsidRPr="00C045DE" w:rsidRDefault="00B85564" w:rsidP="00B85564">
            <w:pPr>
              <w:numPr>
                <w:ilvl w:val="0"/>
                <w:numId w:val="9"/>
              </w:numPr>
              <w:spacing w:after="0" w:line="240" w:lineRule="auto"/>
              <w:ind w:left="317" w:hanging="284"/>
              <w:rPr>
                <w:rFonts w:ascii="Arial" w:eastAsia="Times New Roman" w:hAnsi="Arial" w:cs="Arial"/>
              </w:rPr>
            </w:pPr>
            <w:r w:rsidRPr="00C045DE">
              <w:rPr>
                <w:rFonts w:ascii="Arial" w:eastAsia="Arial" w:hAnsi="Arial" w:cs="Arial"/>
              </w:rPr>
              <w:t>Medical devices</w:t>
            </w:r>
          </w:p>
          <w:p w:rsidR="00B85564" w:rsidRPr="00B8018A"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Investigational medicinal products</w:t>
            </w:r>
          </w:p>
          <w:p w:rsidR="00B85564" w:rsidRPr="00C045DE"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Orphan drugs</w:t>
            </w:r>
          </w:p>
          <w:p w:rsidR="00B85564" w:rsidRPr="00B8018A" w:rsidRDefault="00B85564" w:rsidP="00B85564">
            <w:pPr>
              <w:numPr>
                <w:ilvl w:val="0"/>
                <w:numId w:val="9"/>
              </w:numPr>
              <w:spacing w:after="0" w:line="240" w:lineRule="auto"/>
              <w:ind w:left="317" w:hanging="284"/>
              <w:rPr>
                <w:rFonts w:ascii="Arial" w:eastAsia="Times New Roman" w:hAnsi="Arial" w:cs="Arial"/>
              </w:rPr>
            </w:pPr>
          </w:p>
        </w:tc>
      </w:tr>
      <w:tr w:rsidR="00B85564" w:rsidRPr="00B8018A" w:rsidTr="00762503">
        <w:trPr>
          <w:trHeight w:val="1538"/>
        </w:trPr>
        <w:tc>
          <w:tcPr>
            <w:tcW w:w="4806" w:type="dxa"/>
            <w:shd w:val="clear" w:color="auto" w:fill="auto"/>
            <w:vAlign w:val="center"/>
          </w:tcPr>
          <w:p w:rsidR="00B85564" w:rsidRPr="00B8018A" w:rsidRDefault="00B85564" w:rsidP="00762503">
            <w:pPr>
              <w:spacing w:after="0" w:line="240" w:lineRule="auto"/>
              <w:rPr>
                <w:rFonts w:ascii="Arial" w:eastAsia="Times New Roman" w:hAnsi="Arial" w:cs="Arial"/>
                <w:u w:val="single"/>
              </w:rPr>
            </w:pPr>
            <w:r w:rsidRPr="00B8018A">
              <w:rPr>
                <w:rFonts w:ascii="Arial" w:eastAsia="Arial" w:hAnsi="Arial" w:cs="Arial"/>
              </w:rPr>
              <w:t>Documents identified as guidelines, policies, frameworks, standard operating procedures or providing recommendations to inform use (as described above)</w:t>
            </w:r>
            <w:r>
              <w:rPr>
                <w:rFonts w:ascii="Arial" w:eastAsia="Arial" w:hAnsi="Arial" w:cs="Arial"/>
              </w:rPr>
              <w:t xml:space="preserve"> of ULMs</w:t>
            </w:r>
          </w:p>
        </w:tc>
        <w:tc>
          <w:tcPr>
            <w:tcW w:w="4436" w:type="dxa"/>
            <w:shd w:val="clear" w:color="auto" w:fill="auto"/>
            <w:vAlign w:val="center"/>
          </w:tcPr>
          <w:p w:rsidR="00B85564" w:rsidRPr="00B8018A"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Educational materials</w:t>
            </w:r>
          </w:p>
          <w:p w:rsidR="00B85564" w:rsidRPr="00B8018A"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Stand-alone patient information leaflets</w:t>
            </w:r>
          </w:p>
          <w:p w:rsidR="00B85564" w:rsidRPr="00B8018A"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Formularies</w:t>
            </w:r>
          </w:p>
          <w:p w:rsidR="00B85564" w:rsidRPr="00C045DE"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Newsletters</w:t>
            </w:r>
          </w:p>
          <w:p w:rsidR="00B85564" w:rsidRPr="00A7224D"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 xml:space="preserve">Generalised guidance documents </w:t>
            </w:r>
            <w:r>
              <w:rPr>
                <w:rFonts w:ascii="Arial" w:eastAsia="Arial" w:hAnsi="Arial" w:cs="Arial"/>
              </w:rPr>
              <w:t xml:space="preserve">for prescribing </w:t>
            </w:r>
            <w:r w:rsidRPr="00B8018A">
              <w:rPr>
                <w:rFonts w:ascii="Arial" w:eastAsia="Arial" w:hAnsi="Arial" w:cs="Arial"/>
              </w:rPr>
              <w:t>or those relating to specific medicines or therapeutic areas</w:t>
            </w:r>
          </w:p>
          <w:p w:rsidR="00B85564" w:rsidRPr="00B8018A"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Research studies on unlicensed medicines use</w:t>
            </w:r>
          </w:p>
          <w:p w:rsidR="00B85564" w:rsidRPr="00B8018A" w:rsidRDefault="00B85564" w:rsidP="00B85564">
            <w:pPr>
              <w:numPr>
                <w:ilvl w:val="0"/>
                <w:numId w:val="9"/>
              </w:numPr>
              <w:spacing w:after="0" w:line="240" w:lineRule="auto"/>
              <w:ind w:left="317" w:hanging="284"/>
              <w:rPr>
                <w:rFonts w:ascii="Arial" w:eastAsia="Times New Roman" w:hAnsi="Arial" w:cs="Arial"/>
              </w:rPr>
            </w:pPr>
          </w:p>
        </w:tc>
      </w:tr>
      <w:tr w:rsidR="00B85564" w:rsidRPr="00B8018A" w:rsidTr="00762503">
        <w:trPr>
          <w:trHeight w:val="1538"/>
        </w:trPr>
        <w:tc>
          <w:tcPr>
            <w:tcW w:w="4806" w:type="dxa"/>
            <w:shd w:val="clear" w:color="auto" w:fill="auto"/>
            <w:vAlign w:val="center"/>
          </w:tcPr>
          <w:p w:rsidR="00B85564" w:rsidRPr="00B8018A" w:rsidRDefault="00B85564" w:rsidP="00762503">
            <w:pPr>
              <w:spacing w:after="0" w:line="240" w:lineRule="auto"/>
              <w:rPr>
                <w:rFonts w:ascii="Arial" w:eastAsia="Times New Roman" w:hAnsi="Arial" w:cs="Arial"/>
                <w:u w:val="single"/>
              </w:rPr>
            </w:pPr>
            <w:r w:rsidRPr="00B8018A">
              <w:rPr>
                <w:rFonts w:ascii="Arial" w:eastAsia="Arial" w:hAnsi="Arial" w:cs="Arial"/>
              </w:rPr>
              <w:t xml:space="preserve">Any setting in which unlicensed medicines are used </w:t>
            </w:r>
          </w:p>
        </w:tc>
        <w:tc>
          <w:tcPr>
            <w:tcW w:w="4436" w:type="dxa"/>
            <w:shd w:val="clear" w:color="auto" w:fill="auto"/>
            <w:vAlign w:val="center"/>
          </w:tcPr>
          <w:p w:rsidR="00B85564" w:rsidRPr="00B8018A" w:rsidRDefault="00B85564" w:rsidP="00B85564">
            <w:pPr>
              <w:numPr>
                <w:ilvl w:val="0"/>
                <w:numId w:val="9"/>
              </w:numPr>
              <w:spacing w:after="0" w:line="240" w:lineRule="auto"/>
              <w:ind w:left="317" w:hanging="284"/>
              <w:rPr>
                <w:rFonts w:ascii="Arial" w:eastAsia="Times New Roman" w:hAnsi="Arial" w:cs="Arial"/>
              </w:rPr>
            </w:pPr>
            <w:r w:rsidRPr="00B8018A">
              <w:rPr>
                <w:rFonts w:ascii="Arial" w:eastAsia="Arial" w:hAnsi="Arial" w:cs="Arial"/>
              </w:rPr>
              <w:t xml:space="preserve">Manufacturing </w:t>
            </w:r>
            <w:r>
              <w:rPr>
                <w:rFonts w:ascii="Arial" w:eastAsia="Arial" w:hAnsi="Arial" w:cs="Arial"/>
              </w:rPr>
              <w:t>guidelines</w:t>
            </w:r>
          </w:p>
        </w:tc>
      </w:tr>
    </w:tbl>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7"/>
        <w:gridCol w:w="564"/>
        <w:gridCol w:w="564"/>
      </w:tblGrid>
      <w:tr w:rsidR="005024CE" w:rsidRPr="00B85564" w:rsidTr="00DC1121">
        <w:trPr>
          <w:jc w:val="center"/>
        </w:trPr>
        <w:tc>
          <w:tcPr>
            <w:tcW w:w="6615" w:type="dxa"/>
            <w:gridSpan w:val="3"/>
            <w:shd w:val="clear" w:color="auto" w:fill="auto"/>
          </w:tcPr>
          <w:p w:rsidR="005024CE" w:rsidRPr="00B85564" w:rsidRDefault="005024CE" w:rsidP="00B85564">
            <w:pPr>
              <w:spacing w:after="0" w:line="480" w:lineRule="auto"/>
              <w:rPr>
                <w:rFonts w:ascii="Arial" w:eastAsia="Arial" w:hAnsi="Arial" w:cs="Arial"/>
                <w:b/>
                <w:bCs/>
              </w:rPr>
            </w:pPr>
            <w:r w:rsidRPr="00B85564">
              <w:rPr>
                <w:rFonts w:ascii="Arial" w:eastAsia="Arial" w:hAnsi="Arial" w:cs="Arial"/>
                <w:b/>
                <w:bCs/>
              </w:rPr>
              <w:lastRenderedPageBreak/>
              <w:t>Table 2: Setting in which guidelines are intended for use</w:t>
            </w:r>
          </w:p>
        </w:tc>
      </w:tr>
      <w:tr w:rsidR="00B85564" w:rsidRPr="00B85564" w:rsidTr="00762503">
        <w:trPr>
          <w:jc w:val="center"/>
        </w:trPr>
        <w:tc>
          <w:tcPr>
            <w:tcW w:w="5487" w:type="dxa"/>
            <w:shd w:val="clear" w:color="auto" w:fill="auto"/>
          </w:tcPr>
          <w:p w:rsidR="00B85564" w:rsidRPr="00B85564" w:rsidRDefault="00B85564" w:rsidP="00B85564">
            <w:pPr>
              <w:spacing w:after="0" w:line="480" w:lineRule="auto"/>
              <w:rPr>
                <w:rFonts w:ascii="Arial" w:eastAsia="Arial" w:hAnsi="Arial" w:cs="Arial"/>
                <w:b/>
                <w:bCs/>
              </w:rPr>
            </w:pPr>
            <w:r w:rsidRPr="00B85564">
              <w:rPr>
                <w:rFonts w:ascii="Arial" w:eastAsia="Arial" w:hAnsi="Arial" w:cs="Arial"/>
                <w:b/>
                <w:bCs/>
              </w:rPr>
              <w:t>Guideline setting</w:t>
            </w:r>
          </w:p>
        </w:tc>
        <w:tc>
          <w:tcPr>
            <w:tcW w:w="564" w:type="dxa"/>
            <w:shd w:val="clear" w:color="auto" w:fill="auto"/>
            <w:vAlign w:val="center"/>
          </w:tcPr>
          <w:p w:rsidR="00B85564" w:rsidRPr="00B85564" w:rsidRDefault="00B85564" w:rsidP="00B85564">
            <w:pPr>
              <w:spacing w:after="0" w:line="480" w:lineRule="auto"/>
              <w:rPr>
                <w:rFonts w:ascii="Arial" w:eastAsia="Arial" w:hAnsi="Arial" w:cs="Arial"/>
                <w:b/>
                <w:bCs/>
              </w:rPr>
            </w:pPr>
            <w:r w:rsidRPr="00B85564">
              <w:rPr>
                <w:rFonts w:ascii="Arial" w:eastAsia="Arial" w:hAnsi="Arial" w:cs="Arial"/>
                <w:b/>
                <w:bCs/>
              </w:rPr>
              <w:t>N</w:t>
            </w:r>
          </w:p>
        </w:tc>
        <w:tc>
          <w:tcPr>
            <w:tcW w:w="564" w:type="dxa"/>
          </w:tcPr>
          <w:p w:rsidR="00B85564" w:rsidRPr="00B85564" w:rsidRDefault="00B85564" w:rsidP="00B85564">
            <w:pPr>
              <w:spacing w:after="0" w:line="480" w:lineRule="auto"/>
              <w:rPr>
                <w:rFonts w:ascii="Arial" w:eastAsia="Arial" w:hAnsi="Arial" w:cs="Arial"/>
                <w:b/>
                <w:bCs/>
              </w:rPr>
            </w:pPr>
            <w:r w:rsidRPr="00B85564">
              <w:rPr>
                <w:rFonts w:ascii="Arial" w:eastAsia="Arial" w:hAnsi="Arial" w:cs="Arial"/>
                <w:b/>
                <w:bCs/>
              </w:rPr>
              <w:t>%</w:t>
            </w:r>
          </w:p>
        </w:tc>
      </w:tr>
      <w:tr w:rsidR="00B85564" w:rsidRPr="00B85564" w:rsidTr="00762503">
        <w:trPr>
          <w:jc w:val="center"/>
        </w:trPr>
        <w:tc>
          <w:tcPr>
            <w:tcW w:w="5487" w:type="dxa"/>
            <w:shd w:val="clear" w:color="auto" w:fill="auto"/>
          </w:tcPr>
          <w:p w:rsidR="00B85564" w:rsidRPr="00B85564" w:rsidRDefault="00B85564" w:rsidP="00B85564">
            <w:pPr>
              <w:spacing w:after="0" w:line="480" w:lineRule="auto"/>
              <w:rPr>
                <w:rFonts w:ascii="Arial" w:eastAsia="Arial" w:hAnsi="Arial" w:cs="Arial"/>
                <w:bCs/>
              </w:rPr>
            </w:pPr>
            <w:r w:rsidRPr="00B85564">
              <w:rPr>
                <w:rFonts w:ascii="Arial" w:eastAsia="Arial" w:hAnsi="Arial" w:cs="Arial"/>
                <w:bCs/>
              </w:rPr>
              <w:t>NHS secondary and tertiary care trusts</w:t>
            </w:r>
          </w:p>
        </w:tc>
        <w:tc>
          <w:tcPr>
            <w:tcW w:w="564" w:type="dxa"/>
            <w:shd w:val="clear" w:color="auto" w:fill="auto"/>
            <w:vAlign w:val="center"/>
          </w:tcPr>
          <w:p w:rsidR="00B85564" w:rsidRPr="00B85564" w:rsidRDefault="00B85564" w:rsidP="00B85564">
            <w:pPr>
              <w:spacing w:after="0" w:line="480" w:lineRule="auto"/>
              <w:rPr>
                <w:rFonts w:ascii="Arial" w:eastAsia="Arial" w:hAnsi="Arial" w:cs="Arial"/>
                <w:bCs/>
              </w:rPr>
            </w:pPr>
            <w:r w:rsidRPr="00B85564">
              <w:rPr>
                <w:rFonts w:ascii="Arial" w:eastAsia="Arial" w:hAnsi="Arial" w:cs="Arial"/>
                <w:bCs/>
              </w:rPr>
              <w:t>29</w:t>
            </w:r>
          </w:p>
        </w:tc>
        <w:tc>
          <w:tcPr>
            <w:tcW w:w="564" w:type="dxa"/>
          </w:tcPr>
          <w:p w:rsidR="00B85564" w:rsidRPr="00B85564" w:rsidRDefault="00B85564" w:rsidP="00B85564">
            <w:pPr>
              <w:spacing w:after="0" w:line="480" w:lineRule="auto"/>
              <w:rPr>
                <w:rFonts w:ascii="Arial" w:eastAsia="Arial" w:hAnsi="Arial" w:cs="Arial"/>
                <w:bCs/>
              </w:rPr>
            </w:pPr>
            <w:r w:rsidRPr="00B85564">
              <w:rPr>
                <w:rFonts w:ascii="Arial" w:eastAsia="Arial" w:hAnsi="Arial" w:cs="Arial"/>
                <w:bCs/>
              </w:rPr>
              <w:t>56</w:t>
            </w:r>
          </w:p>
        </w:tc>
      </w:tr>
      <w:tr w:rsidR="00B85564" w:rsidRPr="00B85564" w:rsidTr="00762503">
        <w:trPr>
          <w:jc w:val="center"/>
        </w:trPr>
        <w:tc>
          <w:tcPr>
            <w:tcW w:w="5487" w:type="dxa"/>
            <w:shd w:val="clear" w:color="auto" w:fill="auto"/>
          </w:tcPr>
          <w:p w:rsidR="00B85564" w:rsidRPr="00B85564" w:rsidRDefault="00B85564" w:rsidP="00B85564">
            <w:pPr>
              <w:spacing w:after="0" w:line="480" w:lineRule="auto"/>
              <w:rPr>
                <w:rFonts w:ascii="Arial" w:eastAsia="Arial" w:hAnsi="Arial" w:cs="Arial"/>
                <w:bCs/>
              </w:rPr>
            </w:pPr>
            <w:r w:rsidRPr="00B85564">
              <w:rPr>
                <w:rFonts w:ascii="Arial" w:eastAsia="Arial" w:hAnsi="Arial" w:cs="Arial"/>
                <w:bCs/>
              </w:rPr>
              <w:t>Professional bodies and regulators</w:t>
            </w:r>
          </w:p>
        </w:tc>
        <w:tc>
          <w:tcPr>
            <w:tcW w:w="564" w:type="dxa"/>
            <w:shd w:val="clear" w:color="auto" w:fill="auto"/>
            <w:vAlign w:val="center"/>
          </w:tcPr>
          <w:p w:rsidR="00B85564" w:rsidRPr="00B85564" w:rsidRDefault="00B85564" w:rsidP="00B85564">
            <w:pPr>
              <w:spacing w:after="0" w:line="480" w:lineRule="auto"/>
              <w:rPr>
                <w:rFonts w:ascii="Arial" w:eastAsia="Arial" w:hAnsi="Arial" w:cs="Arial"/>
                <w:bCs/>
              </w:rPr>
            </w:pPr>
            <w:r w:rsidRPr="00B85564">
              <w:rPr>
                <w:rFonts w:ascii="Arial" w:eastAsia="Arial" w:hAnsi="Arial" w:cs="Arial"/>
                <w:bCs/>
              </w:rPr>
              <w:t>12</w:t>
            </w:r>
          </w:p>
        </w:tc>
        <w:tc>
          <w:tcPr>
            <w:tcW w:w="564" w:type="dxa"/>
          </w:tcPr>
          <w:p w:rsidR="00B85564" w:rsidRPr="00B85564" w:rsidRDefault="00B85564" w:rsidP="00B85564">
            <w:pPr>
              <w:spacing w:after="0" w:line="480" w:lineRule="auto"/>
              <w:rPr>
                <w:rFonts w:ascii="Arial" w:eastAsia="Arial" w:hAnsi="Arial" w:cs="Arial"/>
                <w:bCs/>
              </w:rPr>
            </w:pPr>
            <w:r w:rsidRPr="00B85564">
              <w:rPr>
                <w:rFonts w:ascii="Arial" w:eastAsia="Arial" w:hAnsi="Arial" w:cs="Arial"/>
                <w:bCs/>
              </w:rPr>
              <w:t>23</w:t>
            </w:r>
          </w:p>
        </w:tc>
      </w:tr>
      <w:tr w:rsidR="00B85564" w:rsidRPr="00B85564" w:rsidTr="00762503">
        <w:trPr>
          <w:jc w:val="center"/>
        </w:trPr>
        <w:tc>
          <w:tcPr>
            <w:tcW w:w="5487" w:type="dxa"/>
            <w:shd w:val="clear" w:color="auto" w:fill="auto"/>
          </w:tcPr>
          <w:p w:rsidR="00B85564" w:rsidRPr="00B85564" w:rsidRDefault="00B85564" w:rsidP="00B85564">
            <w:pPr>
              <w:spacing w:after="0" w:line="480" w:lineRule="auto"/>
              <w:rPr>
                <w:rFonts w:ascii="Arial" w:eastAsia="Arial" w:hAnsi="Arial" w:cs="Arial"/>
                <w:bCs/>
              </w:rPr>
            </w:pPr>
            <w:r w:rsidRPr="00B85564">
              <w:rPr>
                <w:rFonts w:ascii="Arial" w:eastAsia="Arial" w:hAnsi="Arial" w:cs="Arial"/>
                <w:bCs/>
              </w:rPr>
              <w:t xml:space="preserve">Primary Care </w:t>
            </w:r>
          </w:p>
        </w:tc>
        <w:tc>
          <w:tcPr>
            <w:tcW w:w="564" w:type="dxa"/>
            <w:shd w:val="clear" w:color="auto" w:fill="auto"/>
            <w:vAlign w:val="center"/>
          </w:tcPr>
          <w:p w:rsidR="00B85564" w:rsidRPr="00B85564" w:rsidRDefault="00B85564" w:rsidP="00B85564">
            <w:pPr>
              <w:spacing w:after="0" w:line="480" w:lineRule="auto"/>
              <w:rPr>
                <w:rFonts w:ascii="Arial" w:eastAsia="Arial" w:hAnsi="Arial" w:cs="Arial"/>
                <w:bCs/>
              </w:rPr>
            </w:pPr>
            <w:r w:rsidRPr="00B85564">
              <w:rPr>
                <w:rFonts w:ascii="Arial" w:eastAsia="Arial" w:hAnsi="Arial" w:cs="Arial"/>
                <w:bCs/>
              </w:rPr>
              <w:t>11</w:t>
            </w:r>
          </w:p>
        </w:tc>
        <w:tc>
          <w:tcPr>
            <w:tcW w:w="564" w:type="dxa"/>
          </w:tcPr>
          <w:p w:rsidR="00B85564" w:rsidRPr="00B85564" w:rsidRDefault="00B85564" w:rsidP="00B85564">
            <w:pPr>
              <w:spacing w:after="0" w:line="480" w:lineRule="auto"/>
              <w:rPr>
                <w:rFonts w:ascii="Arial" w:eastAsia="Arial" w:hAnsi="Arial" w:cs="Arial"/>
                <w:bCs/>
              </w:rPr>
            </w:pPr>
            <w:r w:rsidRPr="00B85564">
              <w:rPr>
                <w:rFonts w:ascii="Arial" w:eastAsia="Arial" w:hAnsi="Arial" w:cs="Arial"/>
                <w:bCs/>
              </w:rPr>
              <w:t>21</w:t>
            </w:r>
          </w:p>
        </w:tc>
      </w:tr>
    </w:tbl>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5024CE" w:rsidRDefault="005024CE" w:rsidP="004C2A95">
      <w:pPr>
        <w:widowControl w:val="0"/>
        <w:autoSpaceDE w:val="0"/>
        <w:autoSpaceDN w:val="0"/>
        <w:adjustRightInd w:val="0"/>
        <w:spacing w:after="0" w:line="480" w:lineRule="auto"/>
        <w:rPr>
          <w:rFonts w:ascii="Arial" w:eastAsia="Arial" w:hAnsi="Arial" w:cs="Arial"/>
          <w:bCs/>
          <w:sz w:val="20"/>
          <w:szCs w:val="20"/>
        </w:rPr>
      </w:pPr>
    </w:p>
    <w:tbl>
      <w:tblPr>
        <w:tblpPr w:leftFromText="180" w:rightFromText="180" w:vertAnchor="text" w:horzAnchor="margin" w:tblpXSpec="center" w:tblpY="293"/>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1"/>
        <w:gridCol w:w="1097"/>
        <w:gridCol w:w="1549"/>
        <w:gridCol w:w="1598"/>
        <w:gridCol w:w="1696"/>
        <w:gridCol w:w="1511"/>
        <w:gridCol w:w="1605"/>
      </w:tblGrid>
      <w:tr w:rsidR="00B85564" w:rsidRPr="00B85564" w:rsidTr="00762503">
        <w:tc>
          <w:tcPr>
            <w:tcW w:w="10567" w:type="dxa"/>
            <w:gridSpan w:val="7"/>
            <w:shd w:val="clear" w:color="auto" w:fill="auto"/>
          </w:tcPr>
          <w:p w:rsidR="00B85564" w:rsidRPr="00B85564" w:rsidRDefault="00B85564" w:rsidP="00B85564">
            <w:pPr>
              <w:spacing w:after="0" w:line="240" w:lineRule="auto"/>
              <w:jc w:val="center"/>
              <w:rPr>
                <w:rFonts w:ascii="Arial" w:eastAsia="Arial" w:hAnsi="Arial" w:cs="Arial"/>
                <w:b/>
                <w:bCs/>
              </w:rPr>
            </w:pPr>
            <w:r w:rsidRPr="00B85564">
              <w:rPr>
                <w:rFonts w:ascii="Arial" w:eastAsia="Arial" w:hAnsi="Arial" w:cs="Arial"/>
                <w:b/>
                <w:bCs/>
              </w:rPr>
              <w:lastRenderedPageBreak/>
              <w:t>Table 3: Average scores (%) across the AGREE II domains and guideline  setting</w:t>
            </w:r>
          </w:p>
        </w:tc>
      </w:tr>
      <w:tr w:rsidR="00B85564" w:rsidRPr="00B85564" w:rsidTr="00762503">
        <w:trPr>
          <w:trHeight w:val="456"/>
        </w:trPr>
        <w:tc>
          <w:tcPr>
            <w:tcW w:w="1511" w:type="dxa"/>
            <w:shd w:val="clear" w:color="auto" w:fill="auto"/>
          </w:tcPr>
          <w:p w:rsidR="00B85564" w:rsidRPr="00B85564" w:rsidRDefault="00B85564" w:rsidP="00B85564">
            <w:pPr>
              <w:spacing w:after="0" w:line="240" w:lineRule="auto"/>
              <w:rPr>
                <w:rFonts w:ascii="Arial" w:eastAsia="Times New Roman" w:hAnsi="Arial" w:cs="Arial"/>
                <w:b/>
              </w:rPr>
            </w:pPr>
          </w:p>
        </w:tc>
        <w:tc>
          <w:tcPr>
            <w:tcW w:w="9056" w:type="dxa"/>
            <w:gridSpan w:val="6"/>
            <w:shd w:val="clear" w:color="auto" w:fill="auto"/>
            <w:vAlign w:val="center"/>
          </w:tcPr>
          <w:p w:rsidR="00B85564" w:rsidRPr="00B85564" w:rsidRDefault="00B85564" w:rsidP="00B85564">
            <w:pPr>
              <w:spacing w:after="0" w:line="240" w:lineRule="auto"/>
              <w:jc w:val="center"/>
              <w:rPr>
                <w:rFonts w:ascii="Arial" w:eastAsia="Times New Roman" w:hAnsi="Arial" w:cs="Arial"/>
                <w:b/>
              </w:rPr>
            </w:pPr>
            <w:r w:rsidRPr="00B85564">
              <w:rPr>
                <w:rFonts w:ascii="Arial" w:eastAsia="Arial" w:hAnsi="Arial" w:cs="Arial"/>
                <w:b/>
                <w:bCs/>
              </w:rPr>
              <w:t>AGREE II Domains</w:t>
            </w:r>
          </w:p>
        </w:tc>
      </w:tr>
      <w:tr w:rsidR="00B85564" w:rsidRPr="00B85564" w:rsidTr="00762503">
        <w:tc>
          <w:tcPr>
            <w:tcW w:w="1511"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Arial" w:hAnsi="Arial" w:cs="Arial"/>
                <w:b/>
                <w:bCs/>
              </w:rPr>
              <w:t>Setting</w:t>
            </w:r>
          </w:p>
        </w:tc>
        <w:tc>
          <w:tcPr>
            <w:tcW w:w="1097" w:type="dxa"/>
            <w:shd w:val="clear" w:color="auto" w:fill="auto"/>
            <w:vAlign w:val="center"/>
          </w:tcPr>
          <w:p w:rsidR="00B85564" w:rsidRPr="00B85564" w:rsidRDefault="00B85564" w:rsidP="00B85564">
            <w:pPr>
              <w:spacing w:after="0" w:line="240" w:lineRule="auto"/>
              <w:jc w:val="center"/>
              <w:rPr>
                <w:rFonts w:ascii="Arial" w:eastAsia="Times New Roman" w:hAnsi="Arial" w:cs="Arial"/>
                <w:b/>
              </w:rPr>
            </w:pPr>
            <w:r w:rsidRPr="00B85564">
              <w:rPr>
                <w:rFonts w:ascii="Arial" w:eastAsia="Arial" w:hAnsi="Arial" w:cs="Arial"/>
                <w:b/>
                <w:bCs/>
              </w:rPr>
              <w:t>Scope and Purpose (%)</w:t>
            </w:r>
          </w:p>
        </w:tc>
        <w:tc>
          <w:tcPr>
            <w:tcW w:w="1549" w:type="dxa"/>
            <w:shd w:val="clear" w:color="auto" w:fill="auto"/>
            <w:vAlign w:val="center"/>
          </w:tcPr>
          <w:p w:rsidR="00B85564" w:rsidRPr="00B85564" w:rsidRDefault="00B85564" w:rsidP="00B85564">
            <w:pPr>
              <w:spacing w:after="0" w:line="240" w:lineRule="auto"/>
              <w:jc w:val="center"/>
              <w:rPr>
                <w:rFonts w:ascii="Arial" w:eastAsia="Times New Roman" w:hAnsi="Arial" w:cs="Arial"/>
                <w:b/>
              </w:rPr>
            </w:pPr>
            <w:r w:rsidRPr="00B85564">
              <w:rPr>
                <w:rFonts w:ascii="Arial" w:eastAsia="Arial" w:hAnsi="Arial" w:cs="Arial"/>
                <w:b/>
                <w:bCs/>
              </w:rPr>
              <w:t>Clarity of Presentation (%)</w:t>
            </w:r>
          </w:p>
        </w:tc>
        <w:tc>
          <w:tcPr>
            <w:tcW w:w="1598" w:type="dxa"/>
            <w:shd w:val="clear" w:color="auto" w:fill="auto"/>
            <w:vAlign w:val="center"/>
          </w:tcPr>
          <w:p w:rsidR="00B85564" w:rsidRPr="00B85564" w:rsidRDefault="00B85564" w:rsidP="00B85564">
            <w:pPr>
              <w:spacing w:after="0" w:line="240" w:lineRule="auto"/>
              <w:jc w:val="center"/>
              <w:rPr>
                <w:rFonts w:ascii="Arial" w:eastAsia="Times New Roman" w:hAnsi="Arial" w:cs="Arial"/>
                <w:b/>
              </w:rPr>
            </w:pPr>
            <w:r w:rsidRPr="00B85564">
              <w:rPr>
                <w:rFonts w:ascii="Arial" w:eastAsia="Arial" w:hAnsi="Arial" w:cs="Arial"/>
                <w:b/>
                <w:bCs/>
              </w:rPr>
              <w:t>Rigor of Development (%)</w:t>
            </w:r>
          </w:p>
        </w:tc>
        <w:tc>
          <w:tcPr>
            <w:tcW w:w="1696" w:type="dxa"/>
            <w:shd w:val="clear" w:color="auto" w:fill="auto"/>
            <w:vAlign w:val="center"/>
          </w:tcPr>
          <w:p w:rsidR="00B85564" w:rsidRPr="00B85564" w:rsidRDefault="00B85564" w:rsidP="00B85564">
            <w:pPr>
              <w:spacing w:after="0" w:line="240" w:lineRule="auto"/>
              <w:jc w:val="center"/>
              <w:rPr>
                <w:rFonts w:ascii="Arial" w:eastAsia="Times New Roman" w:hAnsi="Arial" w:cs="Arial"/>
                <w:b/>
              </w:rPr>
            </w:pPr>
            <w:r w:rsidRPr="00B85564">
              <w:rPr>
                <w:rFonts w:ascii="Arial" w:eastAsia="Arial" w:hAnsi="Arial" w:cs="Arial"/>
                <w:b/>
                <w:bCs/>
              </w:rPr>
              <w:t>Editorial Independence (%)</w:t>
            </w:r>
          </w:p>
        </w:tc>
        <w:tc>
          <w:tcPr>
            <w:tcW w:w="1511" w:type="dxa"/>
            <w:shd w:val="clear" w:color="auto" w:fill="auto"/>
            <w:vAlign w:val="center"/>
          </w:tcPr>
          <w:p w:rsidR="00B85564" w:rsidRPr="00B85564" w:rsidRDefault="00B85564" w:rsidP="00B85564">
            <w:pPr>
              <w:spacing w:after="0" w:line="240" w:lineRule="auto"/>
              <w:jc w:val="center"/>
              <w:rPr>
                <w:rFonts w:ascii="Arial" w:eastAsia="Times New Roman" w:hAnsi="Arial" w:cs="Arial"/>
                <w:b/>
              </w:rPr>
            </w:pPr>
            <w:r w:rsidRPr="00B85564">
              <w:rPr>
                <w:rFonts w:ascii="Arial" w:eastAsia="Times New Roman" w:hAnsi="Arial" w:cs="Arial"/>
                <w:b/>
              </w:rPr>
              <w:t>Stakeholder Involvement</w:t>
            </w:r>
          </w:p>
          <w:p w:rsidR="00B85564" w:rsidRPr="00B85564" w:rsidRDefault="00B85564" w:rsidP="00B85564">
            <w:pPr>
              <w:spacing w:after="0" w:line="240" w:lineRule="auto"/>
              <w:jc w:val="center"/>
              <w:rPr>
                <w:rFonts w:ascii="Arial" w:eastAsia="Times New Roman" w:hAnsi="Arial" w:cs="Arial"/>
                <w:b/>
              </w:rPr>
            </w:pPr>
            <w:r w:rsidRPr="00B85564">
              <w:rPr>
                <w:rFonts w:ascii="Arial" w:eastAsia="Times New Roman" w:hAnsi="Arial" w:cs="Arial"/>
                <w:b/>
              </w:rPr>
              <w:t>(%)</w:t>
            </w:r>
          </w:p>
        </w:tc>
        <w:tc>
          <w:tcPr>
            <w:tcW w:w="1605" w:type="dxa"/>
            <w:shd w:val="clear" w:color="auto" w:fill="auto"/>
            <w:vAlign w:val="center"/>
          </w:tcPr>
          <w:p w:rsidR="00B85564" w:rsidRPr="00B85564" w:rsidRDefault="00B85564" w:rsidP="00B85564">
            <w:pPr>
              <w:spacing w:after="0" w:line="240" w:lineRule="auto"/>
              <w:jc w:val="center"/>
              <w:rPr>
                <w:rFonts w:ascii="Arial" w:eastAsia="Times New Roman" w:hAnsi="Arial" w:cs="Arial"/>
                <w:b/>
              </w:rPr>
            </w:pPr>
            <w:r w:rsidRPr="00B85564">
              <w:rPr>
                <w:rFonts w:ascii="Arial" w:eastAsia="Arial" w:hAnsi="Arial" w:cs="Arial"/>
                <w:b/>
                <w:bCs/>
              </w:rPr>
              <w:t>Applicability (%)</w:t>
            </w:r>
          </w:p>
        </w:tc>
      </w:tr>
      <w:tr w:rsidR="00B85564" w:rsidRPr="00B85564" w:rsidTr="00762503">
        <w:trPr>
          <w:trHeight w:val="793"/>
        </w:trPr>
        <w:tc>
          <w:tcPr>
            <w:tcW w:w="1511" w:type="dxa"/>
            <w:shd w:val="clear" w:color="auto" w:fill="auto"/>
            <w:vAlign w:val="center"/>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Primary Care</w:t>
            </w:r>
          </w:p>
        </w:tc>
        <w:tc>
          <w:tcPr>
            <w:tcW w:w="1097"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p>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57.9</w:t>
            </w:r>
          </w:p>
          <w:p w:rsidR="00B85564" w:rsidRPr="00B85564" w:rsidRDefault="00B85564" w:rsidP="00B85564">
            <w:pPr>
              <w:spacing w:after="0" w:line="240" w:lineRule="auto"/>
              <w:jc w:val="center"/>
              <w:rPr>
                <w:rFonts w:ascii="Arial" w:eastAsia="Times New Roman" w:hAnsi="Arial" w:cs="Arial"/>
              </w:rPr>
            </w:pPr>
          </w:p>
        </w:tc>
        <w:tc>
          <w:tcPr>
            <w:tcW w:w="1549"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69.4</w:t>
            </w:r>
          </w:p>
        </w:tc>
        <w:tc>
          <w:tcPr>
            <w:tcW w:w="1598"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7.1</w:t>
            </w:r>
          </w:p>
        </w:tc>
        <w:tc>
          <w:tcPr>
            <w:tcW w:w="1696"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Arial" w:hAnsi="Arial" w:cs="Arial"/>
              </w:rPr>
              <w:t>1</w:t>
            </w:r>
          </w:p>
        </w:tc>
        <w:tc>
          <w:tcPr>
            <w:tcW w:w="1511"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20.2</w:t>
            </w:r>
          </w:p>
        </w:tc>
        <w:tc>
          <w:tcPr>
            <w:tcW w:w="1605"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17.8</w:t>
            </w:r>
          </w:p>
        </w:tc>
      </w:tr>
      <w:tr w:rsidR="00B85564" w:rsidRPr="00B85564" w:rsidTr="00762503">
        <w:tc>
          <w:tcPr>
            <w:tcW w:w="1511" w:type="dxa"/>
            <w:shd w:val="clear" w:color="auto" w:fill="auto"/>
            <w:vAlign w:val="center"/>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NHS Secondary and Tertiary Care</w:t>
            </w:r>
          </w:p>
        </w:tc>
        <w:tc>
          <w:tcPr>
            <w:tcW w:w="1097"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73.3</w:t>
            </w:r>
          </w:p>
        </w:tc>
        <w:tc>
          <w:tcPr>
            <w:tcW w:w="1549"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69.3</w:t>
            </w:r>
          </w:p>
        </w:tc>
        <w:tc>
          <w:tcPr>
            <w:tcW w:w="1598"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12.6</w:t>
            </w:r>
          </w:p>
        </w:tc>
        <w:tc>
          <w:tcPr>
            <w:tcW w:w="1696"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Arial" w:hAnsi="Arial" w:cs="Arial"/>
              </w:rPr>
              <w:t>1</w:t>
            </w:r>
          </w:p>
        </w:tc>
        <w:tc>
          <w:tcPr>
            <w:tcW w:w="1511"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31.5</w:t>
            </w:r>
          </w:p>
        </w:tc>
        <w:tc>
          <w:tcPr>
            <w:tcW w:w="1605"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27.3</w:t>
            </w:r>
          </w:p>
        </w:tc>
      </w:tr>
      <w:tr w:rsidR="00B85564" w:rsidRPr="00B85564" w:rsidTr="00762503">
        <w:tc>
          <w:tcPr>
            <w:tcW w:w="1511" w:type="dxa"/>
            <w:shd w:val="clear" w:color="auto" w:fill="auto"/>
            <w:vAlign w:val="center"/>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Professional Bodies</w:t>
            </w:r>
          </w:p>
        </w:tc>
        <w:tc>
          <w:tcPr>
            <w:tcW w:w="1097"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74.6</w:t>
            </w:r>
          </w:p>
        </w:tc>
        <w:tc>
          <w:tcPr>
            <w:tcW w:w="1549"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72.2</w:t>
            </w:r>
          </w:p>
        </w:tc>
        <w:tc>
          <w:tcPr>
            <w:tcW w:w="1598"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15.4</w:t>
            </w:r>
          </w:p>
        </w:tc>
        <w:tc>
          <w:tcPr>
            <w:tcW w:w="1696"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Arial" w:hAnsi="Arial" w:cs="Arial"/>
              </w:rPr>
              <w:t>7</w:t>
            </w:r>
          </w:p>
        </w:tc>
        <w:tc>
          <w:tcPr>
            <w:tcW w:w="1511"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35.2</w:t>
            </w:r>
          </w:p>
        </w:tc>
        <w:tc>
          <w:tcPr>
            <w:tcW w:w="1605"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21.4</w:t>
            </w:r>
          </w:p>
        </w:tc>
      </w:tr>
      <w:tr w:rsidR="00B85564" w:rsidRPr="00B85564" w:rsidTr="00762503">
        <w:tc>
          <w:tcPr>
            <w:tcW w:w="1511" w:type="dxa"/>
            <w:shd w:val="clear" w:color="auto" w:fill="auto"/>
            <w:vAlign w:val="center"/>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Overall Domain Score</w:t>
            </w:r>
          </w:p>
        </w:tc>
        <w:tc>
          <w:tcPr>
            <w:tcW w:w="1097"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70.6</w:t>
            </w:r>
          </w:p>
        </w:tc>
        <w:tc>
          <w:tcPr>
            <w:tcW w:w="1549"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70.4</w:t>
            </w:r>
          </w:p>
        </w:tc>
        <w:tc>
          <w:tcPr>
            <w:tcW w:w="1598"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12.1</w:t>
            </w:r>
          </w:p>
        </w:tc>
        <w:tc>
          <w:tcPr>
            <w:tcW w:w="1696"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2.6</w:t>
            </w:r>
          </w:p>
        </w:tc>
        <w:tc>
          <w:tcPr>
            <w:tcW w:w="1511"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30</w:t>
            </w:r>
          </w:p>
        </w:tc>
        <w:tc>
          <w:tcPr>
            <w:tcW w:w="1605" w:type="dxa"/>
            <w:shd w:val="clear" w:color="auto" w:fill="auto"/>
            <w:vAlign w:val="center"/>
          </w:tcPr>
          <w:p w:rsidR="00B85564" w:rsidRPr="00B85564" w:rsidRDefault="00B85564" w:rsidP="00B85564">
            <w:pPr>
              <w:spacing w:after="0" w:line="240" w:lineRule="auto"/>
              <w:jc w:val="center"/>
              <w:rPr>
                <w:rFonts w:ascii="Arial" w:eastAsia="Times New Roman" w:hAnsi="Arial" w:cs="Arial"/>
              </w:rPr>
            </w:pPr>
            <w:r w:rsidRPr="00B85564">
              <w:rPr>
                <w:rFonts w:ascii="Arial" w:eastAsia="Times New Roman" w:hAnsi="Arial" w:cs="Arial"/>
              </w:rPr>
              <w:t>23.9</w:t>
            </w:r>
          </w:p>
        </w:tc>
      </w:tr>
    </w:tbl>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5024CE" w:rsidRDefault="005024CE" w:rsidP="004C2A95">
      <w:pPr>
        <w:widowControl w:val="0"/>
        <w:autoSpaceDE w:val="0"/>
        <w:autoSpaceDN w:val="0"/>
        <w:adjustRightInd w:val="0"/>
        <w:spacing w:after="0" w:line="480" w:lineRule="auto"/>
        <w:rPr>
          <w:rFonts w:ascii="Arial" w:eastAsia="Arial" w:hAnsi="Arial" w:cs="Arial"/>
          <w:bCs/>
          <w:sz w:val="20"/>
          <w:szCs w:val="20"/>
        </w:rPr>
      </w:pPr>
    </w:p>
    <w:p w:rsidR="005024CE" w:rsidRDefault="005024CE" w:rsidP="004C2A95">
      <w:pPr>
        <w:widowControl w:val="0"/>
        <w:autoSpaceDE w:val="0"/>
        <w:autoSpaceDN w:val="0"/>
        <w:adjustRightInd w:val="0"/>
        <w:spacing w:after="0" w:line="480" w:lineRule="auto"/>
        <w:rPr>
          <w:rFonts w:ascii="Arial" w:eastAsia="Arial" w:hAnsi="Arial" w:cs="Arial"/>
          <w:bCs/>
          <w:sz w:val="20"/>
          <w:szCs w:val="20"/>
        </w:rPr>
      </w:pPr>
    </w:p>
    <w:p w:rsidR="005024CE" w:rsidRDefault="005024CE" w:rsidP="004C2A95">
      <w:pPr>
        <w:widowControl w:val="0"/>
        <w:autoSpaceDE w:val="0"/>
        <w:autoSpaceDN w:val="0"/>
        <w:adjustRightInd w:val="0"/>
        <w:spacing w:after="0" w:line="480" w:lineRule="auto"/>
        <w:rPr>
          <w:rFonts w:ascii="Arial" w:eastAsia="Arial" w:hAnsi="Arial" w:cs="Arial"/>
          <w:bCs/>
          <w:sz w:val="20"/>
          <w:szCs w:val="20"/>
        </w:rPr>
      </w:pPr>
    </w:p>
    <w:p w:rsidR="005024CE" w:rsidRDefault="005024CE" w:rsidP="004C2A95">
      <w:pPr>
        <w:widowControl w:val="0"/>
        <w:autoSpaceDE w:val="0"/>
        <w:autoSpaceDN w:val="0"/>
        <w:adjustRightInd w:val="0"/>
        <w:spacing w:after="0" w:line="480" w:lineRule="auto"/>
        <w:rPr>
          <w:rFonts w:ascii="Arial" w:eastAsia="Arial" w:hAnsi="Arial" w:cs="Arial"/>
          <w:bCs/>
          <w:sz w:val="20"/>
          <w:szCs w:val="20"/>
        </w:rPr>
      </w:pPr>
      <w:bookmarkStart w:id="0" w:name="_GoBack"/>
      <w:bookmarkEnd w:id="0"/>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67"/>
        <w:gridCol w:w="4775"/>
      </w:tblGrid>
      <w:tr w:rsidR="00B85564" w:rsidRPr="00B76BBC" w:rsidTr="00762503">
        <w:trPr>
          <w:jc w:val="center"/>
        </w:trPr>
        <w:tc>
          <w:tcPr>
            <w:tcW w:w="9242" w:type="dxa"/>
            <w:gridSpan w:val="2"/>
            <w:shd w:val="clear" w:color="auto" w:fill="auto"/>
          </w:tcPr>
          <w:p w:rsidR="00B85564" w:rsidRPr="00B76BBC" w:rsidRDefault="00B85564" w:rsidP="00762503">
            <w:pPr>
              <w:spacing w:after="0" w:line="240" w:lineRule="auto"/>
              <w:jc w:val="center"/>
              <w:rPr>
                <w:rFonts w:ascii="Arial" w:eastAsia="Times New Roman" w:hAnsi="Arial" w:cs="Arial"/>
                <w:b/>
              </w:rPr>
            </w:pPr>
            <w:r>
              <w:rPr>
                <w:rFonts w:ascii="Arial" w:eastAsia="Arial" w:hAnsi="Arial" w:cs="Arial"/>
                <w:b/>
                <w:bCs/>
              </w:rPr>
              <w:t>Table 4</w:t>
            </w:r>
            <w:r w:rsidRPr="00B76BBC">
              <w:rPr>
                <w:rFonts w:ascii="Arial" w:eastAsia="Arial" w:hAnsi="Arial" w:cs="Arial"/>
                <w:b/>
                <w:bCs/>
              </w:rPr>
              <w:t xml:space="preserve">: Themes from thematic analysis of </w:t>
            </w:r>
            <w:r>
              <w:rPr>
                <w:rFonts w:ascii="Arial" w:eastAsia="Arial" w:hAnsi="Arial" w:cs="Arial"/>
                <w:b/>
                <w:bCs/>
              </w:rPr>
              <w:t>guidelines</w:t>
            </w:r>
            <w:r w:rsidRPr="00B76BBC">
              <w:rPr>
                <w:rFonts w:ascii="Arial" w:eastAsia="Arial" w:hAnsi="Arial" w:cs="Arial"/>
                <w:b/>
                <w:bCs/>
              </w:rPr>
              <w:t xml:space="preserve"> content</w:t>
            </w:r>
          </w:p>
        </w:tc>
      </w:tr>
      <w:tr w:rsidR="00B85564" w:rsidRPr="00B76BBC" w:rsidTr="00762503">
        <w:trPr>
          <w:jc w:val="center"/>
        </w:trPr>
        <w:tc>
          <w:tcPr>
            <w:tcW w:w="4467" w:type="dxa"/>
            <w:shd w:val="clear" w:color="auto" w:fill="auto"/>
          </w:tcPr>
          <w:p w:rsidR="00B85564" w:rsidRPr="00B76BBC" w:rsidRDefault="00B85564" w:rsidP="00762503">
            <w:pPr>
              <w:spacing w:after="0" w:line="240" w:lineRule="auto"/>
              <w:jc w:val="center"/>
              <w:rPr>
                <w:rFonts w:ascii="Arial" w:eastAsia="Times New Roman" w:hAnsi="Arial" w:cs="Arial"/>
                <w:b/>
              </w:rPr>
            </w:pPr>
            <w:r w:rsidRPr="00B76BBC">
              <w:rPr>
                <w:rFonts w:ascii="Arial" w:eastAsia="Arial" w:hAnsi="Arial" w:cs="Arial"/>
                <w:b/>
                <w:bCs/>
              </w:rPr>
              <w:t>Parent theme</w:t>
            </w:r>
          </w:p>
        </w:tc>
        <w:tc>
          <w:tcPr>
            <w:tcW w:w="4775" w:type="dxa"/>
            <w:shd w:val="clear" w:color="auto" w:fill="auto"/>
          </w:tcPr>
          <w:p w:rsidR="00B85564" w:rsidRPr="00B76BBC" w:rsidRDefault="00B85564" w:rsidP="00762503">
            <w:pPr>
              <w:spacing w:after="0" w:line="240" w:lineRule="auto"/>
              <w:jc w:val="center"/>
              <w:rPr>
                <w:rFonts w:ascii="Arial" w:eastAsia="Times New Roman" w:hAnsi="Arial" w:cs="Arial"/>
                <w:b/>
              </w:rPr>
            </w:pPr>
            <w:r w:rsidRPr="00B76BBC">
              <w:rPr>
                <w:rFonts w:ascii="Arial" w:eastAsia="Arial" w:hAnsi="Arial" w:cs="Arial"/>
                <w:b/>
                <w:bCs/>
              </w:rPr>
              <w:t>Sub-themes</w:t>
            </w:r>
          </w:p>
        </w:tc>
      </w:tr>
      <w:tr w:rsidR="00B85564" w:rsidRPr="00B76BBC" w:rsidTr="00762503">
        <w:trPr>
          <w:jc w:val="center"/>
        </w:trPr>
        <w:tc>
          <w:tcPr>
            <w:tcW w:w="4467" w:type="dxa"/>
            <w:shd w:val="clear" w:color="auto" w:fill="auto"/>
          </w:tcPr>
          <w:p w:rsidR="00B85564" w:rsidRPr="00B76BBC" w:rsidRDefault="00B85564" w:rsidP="00762503">
            <w:pPr>
              <w:spacing w:after="0" w:line="240" w:lineRule="auto"/>
              <w:rPr>
                <w:rFonts w:ascii="Arial" w:eastAsia="Times New Roman" w:hAnsi="Arial" w:cs="Arial"/>
              </w:rPr>
            </w:pPr>
            <w:r w:rsidRPr="00B76BBC">
              <w:rPr>
                <w:rFonts w:ascii="Arial" w:eastAsia="Arial" w:hAnsi="Arial" w:cs="Arial"/>
              </w:rPr>
              <w:t xml:space="preserve">Professional responsibility </w:t>
            </w:r>
          </w:p>
        </w:tc>
        <w:tc>
          <w:tcPr>
            <w:tcW w:w="4775" w:type="dxa"/>
            <w:shd w:val="clear" w:color="auto" w:fill="auto"/>
          </w:tcPr>
          <w:p w:rsidR="00B85564" w:rsidRPr="00B76BBC" w:rsidRDefault="00B85564" w:rsidP="00B85564">
            <w:pPr>
              <w:numPr>
                <w:ilvl w:val="0"/>
                <w:numId w:val="10"/>
              </w:numPr>
              <w:spacing w:after="0" w:line="240" w:lineRule="auto"/>
              <w:ind w:left="375" w:hanging="288"/>
              <w:rPr>
                <w:rFonts w:ascii="Arial" w:eastAsia="Arial" w:hAnsi="Arial" w:cs="Arial"/>
              </w:rPr>
            </w:pPr>
            <w:r w:rsidRPr="00B76BBC">
              <w:rPr>
                <w:rFonts w:ascii="Arial" w:eastAsia="Arial" w:hAnsi="Arial" w:cs="Arial"/>
              </w:rPr>
              <w:t>Understanding the definitions around unlicensed medicines</w:t>
            </w:r>
          </w:p>
          <w:p w:rsidR="00B85564" w:rsidRPr="00B76BBC" w:rsidRDefault="00B85564" w:rsidP="00B85564">
            <w:pPr>
              <w:numPr>
                <w:ilvl w:val="0"/>
                <w:numId w:val="10"/>
              </w:numPr>
              <w:spacing w:after="0" w:line="240" w:lineRule="auto"/>
              <w:ind w:left="375" w:hanging="288"/>
              <w:rPr>
                <w:rFonts w:ascii="Arial" w:eastAsia="Arial" w:hAnsi="Arial" w:cs="Arial"/>
              </w:rPr>
            </w:pPr>
            <w:r w:rsidRPr="00B76BBC">
              <w:rPr>
                <w:rFonts w:ascii="Arial" w:eastAsia="Arial" w:hAnsi="Arial" w:cs="Arial"/>
              </w:rPr>
              <w:t>Usage awareness of patients and professionals</w:t>
            </w:r>
          </w:p>
          <w:p w:rsidR="00B85564" w:rsidRPr="00B76BBC" w:rsidRDefault="00B85564" w:rsidP="00B85564">
            <w:pPr>
              <w:numPr>
                <w:ilvl w:val="0"/>
                <w:numId w:val="10"/>
              </w:numPr>
              <w:spacing w:after="0" w:line="240" w:lineRule="auto"/>
              <w:ind w:left="375" w:hanging="288"/>
              <w:rPr>
                <w:rFonts w:ascii="Arial" w:eastAsia="Arial" w:hAnsi="Arial" w:cs="Arial"/>
              </w:rPr>
            </w:pPr>
            <w:r w:rsidRPr="00B76BBC">
              <w:rPr>
                <w:rFonts w:ascii="Arial" w:eastAsia="Arial" w:hAnsi="Arial" w:cs="Arial"/>
              </w:rPr>
              <w:t>Individual and organisational responsibilities</w:t>
            </w:r>
          </w:p>
          <w:p w:rsidR="00B85564" w:rsidRPr="00B76BBC" w:rsidRDefault="00B85564" w:rsidP="00B85564">
            <w:pPr>
              <w:numPr>
                <w:ilvl w:val="0"/>
                <w:numId w:val="10"/>
              </w:numPr>
              <w:spacing w:after="0" w:line="240" w:lineRule="auto"/>
              <w:ind w:left="375" w:hanging="288"/>
              <w:rPr>
                <w:rFonts w:ascii="Arial" w:eastAsia="Arial" w:hAnsi="Arial" w:cs="Arial"/>
              </w:rPr>
            </w:pPr>
            <w:r w:rsidRPr="00B76BBC">
              <w:rPr>
                <w:rFonts w:ascii="Arial" w:eastAsia="Arial" w:hAnsi="Arial" w:cs="Arial"/>
              </w:rPr>
              <w:t xml:space="preserve">References to the guidance and legislation </w:t>
            </w:r>
          </w:p>
        </w:tc>
      </w:tr>
      <w:tr w:rsidR="00B85564" w:rsidRPr="00B76BBC" w:rsidTr="00762503">
        <w:trPr>
          <w:jc w:val="center"/>
        </w:trPr>
        <w:tc>
          <w:tcPr>
            <w:tcW w:w="4467" w:type="dxa"/>
            <w:shd w:val="clear" w:color="auto" w:fill="auto"/>
          </w:tcPr>
          <w:p w:rsidR="00B85564" w:rsidRPr="00B76BBC" w:rsidRDefault="00B85564" w:rsidP="00762503">
            <w:pPr>
              <w:spacing w:after="0" w:line="240" w:lineRule="auto"/>
              <w:rPr>
                <w:rFonts w:ascii="Arial" w:eastAsia="Times New Roman" w:hAnsi="Arial" w:cs="Arial"/>
              </w:rPr>
            </w:pPr>
            <w:r w:rsidRPr="00B76BBC">
              <w:rPr>
                <w:rFonts w:ascii="Arial" w:eastAsia="Arial" w:hAnsi="Arial" w:cs="Arial"/>
              </w:rPr>
              <w:t xml:space="preserve">Usage practicalities </w:t>
            </w:r>
          </w:p>
        </w:tc>
        <w:tc>
          <w:tcPr>
            <w:tcW w:w="4775" w:type="dxa"/>
            <w:shd w:val="clear" w:color="auto" w:fill="auto"/>
          </w:tcPr>
          <w:p w:rsidR="00B85564" w:rsidRPr="00B76BBC" w:rsidRDefault="00B85564" w:rsidP="00B85564">
            <w:pPr>
              <w:numPr>
                <w:ilvl w:val="0"/>
                <w:numId w:val="11"/>
              </w:numPr>
              <w:spacing w:after="0" w:line="240" w:lineRule="auto"/>
              <w:ind w:left="371" w:hanging="284"/>
              <w:rPr>
                <w:rFonts w:ascii="Arial" w:eastAsia="Arial" w:hAnsi="Arial" w:cs="Arial"/>
              </w:rPr>
            </w:pPr>
            <w:r w:rsidRPr="00B76BBC">
              <w:rPr>
                <w:rFonts w:ascii="Arial" w:eastAsia="Arial" w:hAnsi="Arial" w:cs="Arial"/>
              </w:rPr>
              <w:t>Selecting the pharmaceutical formulation</w:t>
            </w:r>
          </w:p>
          <w:p w:rsidR="00B85564" w:rsidRPr="00B76BBC" w:rsidRDefault="00B85564" w:rsidP="00B85564">
            <w:pPr>
              <w:numPr>
                <w:ilvl w:val="0"/>
                <w:numId w:val="11"/>
              </w:numPr>
              <w:spacing w:after="0" w:line="240" w:lineRule="auto"/>
              <w:ind w:left="371" w:hanging="284"/>
              <w:rPr>
                <w:rFonts w:ascii="Arial" w:eastAsia="Arial" w:hAnsi="Arial" w:cs="Arial"/>
              </w:rPr>
            </w:pPr>
            <w:r w:rsidRPr="00B76BBC">
              <w:rPr>
                <w:rFonts w:ascii="Arial" w:eastAsia="Arial" w:hAnsi="Arial" w:cs="Arial"/>
              </w:rPr>
              <w:t xml:space="preserve">Role of the pharmacist and the wider pharmacy team in use management </w:t>
            </w:r>
          </w:p>
          <w:p w:rsidR="00B85564" w:rsidRPr="00B76BBC" w:rsidRDefault="00B85564" w:rsidP="00B85564">
            <w:pPr>
              <w:numPr>
                <w:ilvl w:val="0"/>
                <w:numId w:val="11"/>
              </w:numPr>
              <w:spacing w:after="0" w:line="240" w:lineRule="auto"/>
              <w:ind w:left="371" w:hanging="284"/>
              <w:rPr>
                <w:rFonts w:ascii="Arial" w:eastAsia="Arial" w:hAnsi="Arial" w:cs="Arial"/>
              </w:rPr>
            </w:pPr>
            <w:r w:rsidRPr="00B76BBC">
              <w:rPr>
                <w:rFonts w:ascii="Arial" w:eastAsia="Arial" w:hAnsi="Arial" w:cs="Arial"/>
              </w:rPr>
              <w:t>Patient involvement</w:t>
            </w:r>
          </w:p>
          <w:p w:rsidR="00B85564" w:rsidRPr="00B76BBC" w:rsidRDefault="00B85564" w:rsidP="00B85564">
            <w:pPr>
              <w:numPr>
                <w:ilvl w:val="0"/>
                <w:numId w:val="11"/>
              </w:numPr>
              <w:spacing w:after="0" w:line="240" w:lineRule="auto"/>
              <w:ind w:left="371" w:hanging="284"/>
              <w:rPr>
                <w:rFonts w:ascii="Arial" w:eastAsia="Arial" w:hAnsi="Arial" w:cs="Arial"/>
              </w:rPr>
            </w:pPr>
            <w:r w:rsidRPr="00B76BBC">
              <w:rPr>
                <w:rFonts w:ascii="Arial" w:eastAsia="Arial" w:hAnsi="Arial" w:cs="Arial"/>
              </w:rPr>
              <w:t>Stages of use</w:t>
            </w:r>
          </w:p>
          <w:p w:rsidR="00B85564" w:rsidRPr="00B76BBC" w:rsidRDefault="00B85564" w:rsidP="00B85564">
            <w:pPr>
              <w:numPr>
                <w:ilvl w:val="0"/>
                <w:numId w:val="11"/>
              </w:numPr>
              <w:spacing w:after="0" w:line="240" w:lineRule="auto"/>
              <w:ind w:left="371" w:hanging="284"/>
              <w:rPr>
                <w:rFonts w:ascii="Arial" w:eastAsia="Arial" w:hAnsi="Arial" w:cs="Arial"/>
              </w:rPr>
            </w:pPr>
            <w:r w:rsidRPr="00B76BBC">
              <w:rPr>
                <w:rFonts w:ascii="Arial" w:eastAsia="Arial" w:hAnsi="Arial" w:cs="Arial"/>
              </w:rPr>
              <w:t xml:space="preserve">Continuing treatment </w:t>
            </w:r>
          </w:p>
        </w:tc>
      </w:tr>
      <w:tr w:rsidR="00B85564" w:rsidRPr="00B76BBC" w:rsidTr="00762503">
        <w:trPr>
          <w:jc w:val="center"/>
        </w:trPr>
        <w:tc>
          <w:tcPr>
            <w:tcW w:w="4467" w:type="dxa"/>
            <w:shd w:val="clear" w:color="auto" w:fill="auto"/>
          </w:tcPr>
          <w:p w:rsidR="00B85564" w:rsidRPr="00B76BBC" w:rsidRDefault="00B85564" w:rsidP="00762503">
            <w:pPr>
              <w:spacing w:after="0" w:line="240" w:lineRule="auto"/>
              <w:rPr>
                <w:rFonts w:ascii="Arial" w:eastAsia="Times New Roman" w:hAnsi="Arial" w:cs="Arial"/>
              </w:rPr>
            </w:pPr>
            <w:r w:rsidRPr="00B76BBC">
              <w:rPr>
                <w:rFonts w:ascii="Arial" w:eastAsia="Arial" w:hAnsi="Arial" w:cs="Arial"/>
              </w:rPr>
              <w:t>Risk versus benefit</w:t>
            </w:r>
          </w:p>
        </w:tc>
        <w:tc>
          <w:tcPr>
            <w:tcW w:w="4775" w:type="dxa"/>
            <w:shd w:val="clear" w:color="auto" w:fill="auto"/>
          </w:tcPr>
          <w:p w:rsidR="00B85564" w:rsidRPr="00B76BBC" w:rsidRDefault="00B85564" w:rsidP="00B85564">
            <w:pPr>
              <w:numPr>
                <w:ilvl w:val="0"/>
                <w:numId w:val="12"/>
              </w:numPr>
              <w:spacing w:after="0" w:line="240" w:lineRule="auto"/>
              <w:ind w:left="371" w:hanging="284"/>
              <w:rPr>
                <w:rFonts w:ascii="Arial" w:eastAsia="Arial" w:hAnsi="Arial" w:cs="Arial"/>
              </w:rPr>
            </w:pPr>
            <w:r w:rsidRPr="00B76BBC">
              <w:rPr>
                <w:rFonts w:ascii="Arial" w:eastAsia="Arial" w:hAnsi="Arial" w:cs="Arial"/>
              </w:rPr>
              <w:t xml:space="preserve">Evidence to support use </w:t>
            </w:r>
          </w:p>
          <w:p w:rsidR="00B85564" w:rsidRPr="00B76BBC" w:rsidRDefault="00B85564" w:rsidP="00B85564">
            <w:pPr>
              <w:numPr>
                <w:ilvl w:val="0"/>
                <w:numId w:val="12"/>
              </w:numPr>
              <w:spacing w:after="0" w:line="240" w:lineRule="auto"/>
              <w:ind w:left="371" w:hanging="284"/>
              <w:rPr>
                <w:rFonts w:ascii="Arial" w:eastAsia="Arial" w:hAnsi="Arial" w:cs="Arial"/>
              </w:rPr>
            </w:pPr>
            <w:r w:rsidRPr="00B76BBC">
              <w:rPr>
                <w:rFonts w:ascii="Arial" w:eastAsia="Arial" w:hAnsi="Arial" w:cs="Arial"/>
              </w:rPr>
              <w:t>Place in the treatment of a patient and potential alternatives</w:t>
            </w:r>
          </w:p>
          <w:p w:rsidR="00B85564" w:rsidRPr="00B76BBC" w:rsidRDefault="00B85564" w:rsidP="00B85564">
            <w:pPr>
              <w:numPr>
                <w:ilvl w:val="0"/>
                <w:numId w:val="12"/>
              </w:numPr>
              <w:spacing w:after="0" w:line="240" w:lineRule="auto"/>
              <w:ind w:left="371" w:hanging="284"/>
              <w:rPr>
                <w:rFonts w:ascii="Arial" w:eastAsia="Arial" w:hAnsi="Arial" w:cs="Arial"/>
              </w:rPr>
            </w:pPr>
            <w:r w:rsidRPr="00B76BBC">
              <w:rPr>
                <w:rFonts w:ascii="Arial" w:eastAsia="Arial" w:hAnsi="Arial" w:cs="Arial"/>
              </w:rPr>
              <w:t xml:space="preserve">Describing and assessing risk </w:t>
            </w:r>
          </w:p>
          <w:p w:rsidR="00B85564" w:rsidRPr="00B76BBC" w:rsidRDefault="00B85564" w:rsidP="00B85564">
            <w:pPr>
              <w:numPr>
                <w:ilvl w:val="0"/>
                <w:numId w:val="12"/>
              </w:numPr>
              <w:spacing w:after="0" w:line="240" w:lineRule="auto"/>
              <w:ind w:left="371" w:hanging="284"/>
              <w:rPr>
                <w:rFonts w:ascii="Arial" w:eastAsia="Arial" w:hAnsi="Arial" w:cs="Arial"/>
              </w:rPr>
            </w:pPr>
            <w:r w:rsidRPr="00B76BBC">
              <w:rPr>
                <w:rFonts w:ascii="Arial" w:eastAsia="Arial" w:hAnsi="Arial" w:cs="Arial"/>
              </w:rPr>
              <w:t xml:space="preserve">Reporting of errors and adverse effects </w:t>
            </w:r>
          </w:p>
        </w:tc>
      </w:tr>
      <w:tr w:rsidR="00B85564" w:rsidRPr="00B76BBC" w:rsidTr="00762503">
        <w:trPr>
          <w:jc w:val="center"/>
        </w:trPr>
        <w:tc>
          <w:tcPr>
            <w:tcW w:w="4467" w:type="dxa"/>
            <w:shd w:val="clear" w:color="auto" w:fill="auto"/>
          </w:tcPr>
          <w:p w:rsidR="00B85564" w:rsidRPr="00B76BBC" w:rsidRDefault="00B85564" w:rsidP="00762503">
            <w:pPr>
              <w:spacing w:after="0" w:line="240" w:lineRule="auto"/>
              <w:rPr>
                <w:rFonts w:ascii="Arial" w:eastAsia="Times New Roman" w:hAnsi="Arial" w:cs="Arial"/>
              </w:rPr>
            </w:pPr>
            <w:r w:rsidRPr="00B76BBC">
              <w:rPr>
                <w:rFonts w:ascii="Arial" w:eastAsia="Arial" w:hAnsi="Arial" w:cs="Arial"/>
              </w:rPr>
              <w:t xml:space="preserve">Controlling use </w:t>
            </w:r>
          </w:p>
        </w:tc>
        <w:tc>
          <w:tcPr>
            <w:tcW w:w="4775" w:type="dxa"/>
            <w:shd w:val="clear" w:color="auto" w:fill="auto"/>
          </w:tcPr>
          <w:p w:rsidR="00B85564" w:rsidRPr="00B76BBC" w:rsidRDefault="00B85564" w:rsidP="00B85564">
            <w:pPr>
              <w:numPr>
                <w:ilvl w:val="0"/>
                <w:numId w:val="13"/>
              </w:numPr>
              <w:spacing w:after="0" w:line="240" w:lineRule="auto"/>
              <w:ind w:left="371" w:hanging="301"/>
              <w:rPr>
                <w:rFonts w:ascii="Arial" w:eastAsia="Arial" w:hAnsi="Arial" w:cs="Arial"/>
              </w:rPr>
            </w:pPr>
            <w:r w:rsidRPr="00B76BBC">
              <w:rPr>
                <w:rFonts w:ascii="Arial" w:eastAsia="Arial" w:hAnsi="Arial" w:cs="Arial"/>
              </w:rPr>
              <w:t xml:space="preserve">Costs </w:t>
            </w:r>
          </w:p>
          <w:p w:rsidR="00B85564" w:rsidRPr="00B76BBC" w:rsidRDefault="00B85564" w:rsidP="00B85564">
            <w:pPr>
              <w:numPr>
                <w:ilvl w:val="0"/>
                <w:numId w:val="13"/>
              </w:numPr>
              <w:spacing w:after="0" w:line="240" w:lineRule="auto"/>
              <w:ind w:left="371" w:hanging="301"/>
              <w:rPr>
                <w:rFonts w:ascii="Arial" w:eastAsia="Arial" w:hAnsi="Arial" w:cs="Arial"/>
              </w:rPr>
            </w:pPr>
            <w:r w:rsidRPr="00B76BBC">
              <w:rPr>
                <w:rFonts w:ascii="Arial" w:eastAsia="Arial" w:hAnsi="Arial" w:cs="Arial"/>
              </w:rPr>
              <w:t xml:space="preserve">Audit of use </w:t>
            </w:r>
          </w:p>
          <w:p w:rsidR="00B85564" w:rsidRPr="00B76BBC" w:rsidRDefault="00B85564" w:rsidP="00B85564">
            <w:pPr>
              <w:numPr>
                <w:ilvl w:val="0"/>
                <w:numId w:val="13"/>
              </w:numPr>
              <w:spacing w:after="0" w:line="240" w:lineRule="auto"/>
              <w:ind w:left="371" w:hanging="301"/>
              <w:rPr>
                <w:rFonts w:ascii="Arial" w:eastAsia="Arial" w:hAnsi="Arial" w:cs="Arial"/>
              </w:rPr>
            </w:pPr>
            <w:r w:rsidRPr="00B76BBC">
              <w:rPr>
                <w:rFonts w:ascii="Arial" w:eastAsia="Arial" w:hAnsi="Arial" w:cs="Arial"/>
              </w:rPr>
              <w:t xml:space="preserve">Restricting use </w:t>
            </w:r>
          </w:p>
          <w:p w:rsidR="00B85564" w:rsidRPr="00B76BBC" w:rsidRDefault="00B85564" w:rsidP="00B85564">
            <w:pPr>
              <w:numPr>
                <w:ilvl w:val="0"/>
                <w:numId w:val="13"/>
              </w:numPr>
              <w:spacing w:after="0" w:line="240" w:lineRule="auto"/>
              <w:ind w:left="371" w:hanging="301"/>
              <w:rPr>
                <w:rFonts w:ascii="Arial" w:eastAsia="Arial" w:hAnsi="Arial" w:cs="Arial"/>
              </w:rPr>
            </w:pPr>
            <w:r w:rsidRPr="00B76BBC">
              <w:rPr>
                <w:rFonts w:ascii="Arial" w:eastAsia="Arial" w:hAnsi="Arial" w:cs="Arial"/>
              </w:rPr>
              <w:t xml:space="preserve">Organisational decision making </w:t>
            </w:r>
          </w:p>
        </w:tc>
      </w:tr>
    </w:tbl>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tblGrid>
      <w:tr w:rsidR="00B85564" w:rsidRPr="000A400E" w:rsidTr="00762503">
        <w:trPr>
          <w:jc w:val="center"/>
        </w:trPr>
        <w:tc>
          <w:tcPr>
            <w:tcW w:w="7621" w:type="dxa"/>
            <w:shd w:val="clear" w:color="auto" w:fill="auto"/>
          </w:tcPr>
          <w:p w:rsidR="00B85564" w:rsidRPr="000A400E" w:rsidRDefault="00B85564" w:rsidP="00762503">
            <w:pPr>
              <w:spacing w:after="0" w:line="240" w:lineRule="auto"/>
              <w:rPr>
                <w:rFonts w:ascii="Arial" w:hAnsi="Arial" w:cs="Arial"/>
                <w:b/>
              </w:rPr>
            </w:pPr>
            <w:r>
              <w:rPr>
                <w:rFonts w:ascii="Arial" w:eastAsia="Arial" w:hAnsi="Arial" w:cs="Arial"/>
                <w:b/>
                <w:bCs/>
              </w:rPr>
              <w:t>Table 5</w:t>
            </w:r>
            <w:r w:rsidRPr="5F751C8C">
              <w:rPr>
                <w:rFonts w:ascii="Arial" w:eastAsia="Arial" w:hAnsi="Arial" w:cs="Arial"/>
                <w:b/>
                <w:bCs/>
              </w:rPr>
              <w:t>: Different definitions used to describe unlicensed medicines</w:t>
            </w:r>
          </w:p>
        </w:tc>
      </w:tr>
      <w:tr w:rsidR="00B85564" w:rsidRPr="000A400E" w:rsidTr="00762503">
        <w:trPr>
          <w:jc w:val="center"/>
        </w:trPr>
        <w:tc>
          <w:tcPr>
            <w:tcW w:w="7621" w:type="dxa"/>
            <w:shd w:val="clear" w:color="auto" w:fill="auto"/>
          </w:tcPr>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Specials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Medicines prepared by a UK manufacturer but without a UK product license</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Investigational medicinal products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Medicines withdrawn from the UK market</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Medicines obtained from a manufacturer with an MHRA specials license</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Off-label medicines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Extemporaneously prepared medicines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Re-packed medicines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Chemicals used to treat rare metabolic disorders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Individually prepared medicines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Imported medicines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Homeopathic medicines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Intermediate products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Reconstituted medicines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Temporarily authorised medicines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Near-label use of medicines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Manipulation of medicines prior to administration</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CE marked products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Food supplements</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Use of medicines at variance to their licence</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Compounding</w:t>
            </w:r>
          </w:p>
          <w:p w:rsidR="00B85564" w:rsidRPr="000A400E" w:rsidRDefault="00B85564" w:rsidP="00B85564">
            <w:pPr>
              <w:numPr>
                <w:ilvl w:val="0"/>
                <w:numId w:val="14"/>
              </w:numPr>
              <w:spacing w:after="0" w:line="240" w:lineRule="auto"/>
              <w:ind w:left="426" w:hanging="284"/>
              <w:rPr>
                <w:rFonts w:ascii="Arial" w:eastAsia="Arial" w:hAnsi="Arial" w:cs="Arial"/>
              </w:rPr>
            </w:pPr>
            <w:r w:rsidRPr="5F751C8C">
              <w:rPr>
                <w:rFonts w:ascii="Arial" w:eastAsia="Arial" w:hAnsi="Arial" w:cs="Arial"/>
              </w:rPr>
              <w:t>Mixing of medicines</w:t>
            </w:r>
          </w:p>
          <w:p w:rsidR="00B85564" w:rsidRPr="000A400E" w:rsidRDefault="00B85564" w:rsidP="00B85564">
            <w:pPr>
              <w:numPr>
                <w:ilvl w:val="0"/>
                <w:numId w:val="14"/>
              </w:numPr>
              <w:spacing w:after="0" w:line="240" w:lineRule="auto"/>
              <w:ind w:left="426" w:hanging="284"/>
              <w:rPr>
                <w:rFonts w:ascii="Arial" w:eastAsia="Arial" w:hAnsi="Arial" w:cs="Arial"/>
                <w:b/>
                <w:bCs/>
              </w:rPr>
            </w:pPr>
            <w:r w:rsidRPr="5F751C8C">
              <w:rPr>
                <w:rFonts w:ascii="Arial" w:eastAsia="Arial" w:hAnsi="Arial" w:cs="Arial"/>
              </w:rPr>
              <w:t>Compassionate medicine use</w:t>
            </w:r>
          </w:p>
        </w:tc>
      </w:tr>
    </w:tbl>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3"/>
        <w:gridCol w:w="7589"/>
      </w:tblGrid>
      <w:tr w:rsidR="00B85564" w:rsidRPr="00B85564" w:rsidTr="00762503">
        <w:trPr>
          <w:jc w:val="center"/>
        </w:trPr>
        <w:tc>
          <w:tcPr>
            <w:tcW w:w="9242" w:type="dxa"/>
            <w:gridSpan w:val="2"/>
            <w:tcBorders>
              <w:top w:val="single" w:sz="4" w:space="0" w:color="auto"/>
              <w:left w:val="single" w:sz="4" w:space="0" w:color="auto"/>
              <w:bottom w:val="single" w:sz="4" w:space="0" w:color="auto"/>
              <w:right w:val="single" w:sz="4" w:space="0" w:color="auto"/>
            </w:tcBorders>
            <w:shd w:val="clear" w:color="auto" w:fill="auto"/>
          </w:tcPr>
          <w:p w:rsidR="00B85564" w:rsidRPr="00B85564" w:rsidRDefault="00B85564" w:rsidP="00B85564">
            <w:pPr>
              <w:spacing w:after="0" w:line="240" w:lineRule="auto"/>
              <w:ind w:left="426" w:hanging="284"/>
              <w:jc w:val="center"/>
              <w:rPr>
                <w:rFonts w:ascii="Arial" w:eastAsia="Arial" w:hAnsi="Arial" w:cs="Arial"/>
                <w:b/>
              </w:rPr>
            </w:pPr>
            <w:r w:rsidRPr="00B85564">
              <w:rPr>
                <w:rFonts w:ascii="Arial" w:eastAsia="Arial" w:hAnsi="Arial" w:cs="Arial"/>
                <w:b/>
              </w:rPr>
              <w:t>Table 6: Preferred options for unlicensed medicines described in UK guidelines</w:t>
            </w:r>
          </w:p>
        </w:tc>
      </w:tr>
      <w:tr w:rsidR="00B85564" w:rsidRPr="00B85564" w:rsidTr="00762503">
        <w:tblPrEx>
          <w:jc w:val="left"/>
        </w:tblPrEx>
        <w:tc>
          <w:tcPr>
            <w:tcW w:w="165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Unlicensed</w:t>
            </w:r>
          </w:p>
        </w:tc>
        <w:tc>
          <w:tcPr>
            <w:tcW w:w="758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Batch-prepared preferred to individually prepared unlicensed medicines</w:t>
            </w:r>
          </w:p>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Unlicensed medicines which appear in the Drug Tariff Part VIIIB</w:t>
            </w:r>
          </w:p>
        </w:tc>
      </w:tr>
      <w:tr w:rsidR="00B85564" w:rsidRPr="00B85564" w:rsidTr="00762503">
        <w:tblPrEx>
          <w:jc w:val="left"/>
        </w:tblPrEx>
        <w:tc>
          <w:tcPr>
            <w:tcW w:w="165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Acceptance of other licensing</w:t>
            </w:r>
          </w:p>
        </w:tc>
        <w:tc>
          <w:tcPr>
            <w:tcW w:w="758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Registered medical devices</w:t>
            </w:r>
          </w:p>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Imported medicines which are licensed in their country of origin</w:t>
            </w:r>
          </w:p>
        </w:tc>
      </w:tr>
      <w:tr w:rsidR="00B85564" w:rsidRPr="00B85564" w:rsidTr="00762503">
        <w:tblPrEx>
          <w:jc w:val="left"/>
        </w:tblPrEx>
        <w:tc>
          <w:tcPr>
            <w:tcW w:w="165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Use outside of license</w:t>
            </w:r>
          </w:p>
        </w:tc>
        <w:tc>
          <w:tcPr>
            <w:tcW w:w="758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Manipulation of a licensed dosage form, such as crushing tablets or opening capsules</w:t>
            </w:r>
          </w:p>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Products licensed for veterinary purposes but not in humans</w:t>
            </w:r>
          </w:p>
        </w:tc>
      </w:tr>
      <w:tr w:rsidR="00B85564" w:rsidRPr="00B85564" w:rsidTr="00762503">
        <w:tblPrEx>
          <w:jc w:val="left"/>
        </w:tblPrEx>
        <w:tc>
          <w:tcPr>
            <w:tcW w:w="165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No medicine</w:t>
            </w:r>
          </w:p>
        </w:tc>
        <w:tc>
          <w:tcPr>
            <w:tcW w:w="758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Review of medicines for patients with polypharmacy to potentially discontinue a medicine which is no longer required, rather than continue a medicine which is unlicensed</w:t>
            </w:r>
          </w:p>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Use of self-care advice rather than prescribing an unlicensed treatment where there is no licensed medicine available</w:t>
            </w:r>
          </w:p>
        </w:tc>
      </w:tr>
    </w:tbl>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p w:rsidR="00B85564" w:rsidRDefault="00B85564" w:rsidP="004C2A95">
      <w:pPr>
        <w:widowControl w:val="0"/>
        <w:autoSpaceDE w:val="0"/>
        <w:autoSpaceDN w:val="0"/>
        <w:adjustRightInd w:val="0"/>
        <w:spacing w:after="0" w:line="480" w:lineRule="auto"/>
        <w:rPr>
          <w:rFonts w:ascii="Arial" w:eastAsia="Arial" w:hAnsi="Arial"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739"/>
      </w:tblGrid>
      <w:tr w:rsidR="00B85564" w:rsidRPr="00B85564" w:rsidTr="00762503">
        <w:trPr>
          <w:jc w:val="center"/>
        </w:trPr>
        <w:tc>
          <w:tcPr>
            <w:tcW w:w="9242" w:type="dxa"/>
            <w:gridSpan w:val="2"/>
            <w:shd w:val="clear" w:color="auto" w:fill="auto"/>
          </w:tcPr>
          <w:p w:rsidR="00B85564" w:rsidRPr="00B85564" w:rsidRDefault="00B85564" w:rsidP="00B85564">
            <w:pPr>
              <w:spacing w:after="0" w:line="240" w:lineRule="auto"/>
              <w:jc w:val="center"/>
              <w:rPr>
                <w:rFonts w:ascii="Arial" w:eastAsia="Times New Roman" w:hAnsi="Arial" w:cs="Arial"/>
                <w:b/>
              </w:rPr>
            </w:pPr>
            <w:r w:rsidRPr="00B85564">
              <w:rPr>
                <w:rFonts w:ascii="Arial" w:eastAsia="Arial" w:hAnsi="Arial" w:cs="Arial"/>
                <w:b/>
                <w:bCs/>
              </w:rPr>
              <w:t>Table 7: Risk assessment considerations contained in guidelines for unlicensed medicines</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jc w:val="center"/>
              <w:rPr>
                <w:rFonts w:ascii="Arial" w:eastAsia="Times New Roman" w:hAnsi="Arial" w:cs="Arial"/>
                <w:b/>
              </w:rPr>
            </w:pPr>
            <w:r w:rsidRPr="00B85564">
              <w:rPr>
                <w:rFonts w:ascii="Arial" w:eastAsia="Arial" w:hAnsi="Arial" w:cs="Arial"/>
                <w:b/>
                <w:bCs/>
              </w:rPr>
              <w:t>Area</w:t>
            </w:r>
          </w:p>
        </w:tc>
        <w:tc>
          <w:tcPr>
            <w:tcW w:w="4739" w:type="dxa"/>
            <w:shd w:val="clear" w:color="auto" w:fill="auto"/>
          </w:tcPr>
          <w:p w:rsidR="00B85564" w:rsidRPr="00B85564" w:rsidRDefault="00B85564" w:rsidP="00B85564">
            <w:pPr>
              <w:spacing w:after="0" w:line="240" w:lineRule="auto"/>
              <w:jc w:val="center"/>
              <w:rPr>
                <w:rFonts w:ascii="Arial" w:eastAsia="Times New Roman" w:hAnsi="Arial" w:cs="Arial"/>
                <w:b/>
              </w:rPr>
            </w:pPr>
            <w:r w:rsidRPr="00B85564">
              <w:rPr>
                <w:rFonts w:ascii="Arial" w:eastAsia="Arial" w:hAnsi="Arial" w:cs="Arial"/>
                <w:b/>
                <w:bCs/>
              </w:rPr>
              <w:t>Examples/ Details</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 xml:space="preserve">Therapeutic considerations of the active pharmaceutical ingredient </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Indication, dose, side effects, interactions</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Anticipated duration of use</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Short term course of treatment, use to fill a gap in supply of a licensed medicine</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Availability of analytical information for the product</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Certificates of conformity, certificates of analysis, results of regional quality assurance testing, results of in-house testing</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Availability of product information</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List of active pharmaceutical ingredient and excipients along with quantities, indications, instructions for use</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Country of origin</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UK, countries with whom there is a reciprocal acknowledgement of quality of pharmaceutical manufacture</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Evidence for use</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Whether research evidence exists, or whether the suggested use is known locally or nationally</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Supplier</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Whether the supplier is also the manufacturer, or an intermediary, if the manufacturer is licensed or known to the organisation e.g. NHS Manufacturing units</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Information for use</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Whether the product is labelled in English, if there is a patient information leaflet available</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Route of administration</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Products to be used topically considered to be of lower risk, with parenteral products considered higher risk</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Standard availability</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Is there a standard for the manufacture of the product such as a Pharmacopoeia monograph</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Whether the product is considered a ‘medicine’</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Products manufactured not for medicinal purposes such as food supplements</w:t>
            </w:r>
          </w:p>
        </w:tc>
      </w:tr>
      <w:tr w:rsidR="00B85564" w:rsidRPr="00B85564" w:rsidTr="00762503">
        <w:trPr>
          <w:jc w:val="center"/>
        </w:trPr>
        <w:tc>
          <w:tcPr>
            <w:tcW w:w="4503"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Withholding treatment impact</w:t>
            </w:r>
          </w:p>
        </w:tc>
        <w:tc>
          <w:tcPr>
            <w:tcW w:w="4739" w:type="dxa"/>
            <w:shd w:val="clear" w:color="auto" w:fill="auto"/>
          </w:tcPr>
          <w:p w:rsidR="00B85564" w:rsidRPr="00B85564" w:rsidRDefault="00B85564" w:rsidP="00B85564">
            <w:pPr>
              <w:spacing w:after="0" w:line="240" w:lineRule="auto"/>
              <w:rPr>
                <w:rFonts w:ascii="Arial" w:eastAsia="Times New Roman" w:hAnsi="Arial" w:cs="Arial"/>
              </w:rPr>
            </w:pPr>
            <w:r w:rsidRPr="00B85564">
              <w:rPr>
                <w:rFonts w:ascii="Arial" w:eastAsia="Arial" w:hAnsi="Arial" w:cs="Arial"/>
              </w:rPr>
              <w:t>Consideration of whether the risk of withholding a treatment also has associated risks</w:t>
            </w:r>
          </w:p>
        </w:tc>
      </w:tr>
    </w:tbl>
    <w:p w:rsidR="00B85564" w:rsidRPr="00153ECD" w:rsidRDefault="00B85564" w:rsidP="004C2A95">
      <w:pPr>
        <w:widowControl w:val="0"/>
        <w:autoSpaceDE w:val="0"/>
        <w:autoSpaceDN w:val="0"/>
        <w:adjustRightInd w:val="0"/>
        <w:spacing w:after="0" w:line="480" w:lineRule="auto"/>
        <w:rPr>
          <w:rFonts w:ascii="Arial" w:eastAsia="Arial" w:hAnsi="Arial" w:cs="Arial"/>
          <w:bCs/>
          <w:sz w:val="20"/>
          <w:szCs w:val="20"/>
        </w:rPr>
      </w:pPr>
    </w:p>
    <w:sectPr w:rsidR="00B85564" w:rsidRPr="00153ECD" w:rsidSect="00B8556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503" w:rsidRDefault="00762503" w:rsidP="00A102D5">
      <w:pPr>
        <w:spacing w:after="0" w:line="240" w:lineRule="auto"/>
      </w:pPr>
      <w:r>
        <w:separator/>
      </w:r>
    </w:p>
  </w:endnote>
  <w:endnote w:type="continuationSeparator" w:id="0">
    <w:p w:rsidR="00762503" w:rsidRDefault="00762503" w:rsidP="00A102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03" w:rsidRDefault="007625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03" w:rsidRPr="00DF30A6" w:rsidRDefault="004C3C88">
    <w:pPr>
      <w:pStyle w:val="Footer"/>
      <w:jc w:val="center"/>
      <w:rPr>
        <w:rFonts w:ascii="Arial" w:hAnsi="Arial" w:cs="Arial"/>
      </w:rPr>
    </w:pPr>
    <w:r w:rsidRPr="00DF30A6">
      <w:rPr>
        <w:rFonts w:ascii="Arial" w:hAnsi="Arial" w:cs="Arial"/>
      </w:rPr>
      <w:fldChar w:fldCharType="begin"/>
    </w:r>
    <w:r w:rsidR="00762503" w:rsidRPr="00DF30A6">
      <w:rPr>
        <w:rFonts w:ascii="Arial" w:hAnsi="Arial" w:cs="Arial"/>
      </w:rPr>
      <w:instrText xml:space="preserve"> PAGE   \* MERGEFORMAT </w:instrText>
    </w:r>
    <w:r w:rsidRPr="00DF30A6">
      <w:rPr>
        <w:rFonts w:ascii="Arial" w:hAnsi="Arial" w:cs="Arial"/>
      </w:rPr>
      <w:fldChar w:fldCharType="separate"/>
    </w:r>
    <w:r w:rsidR="008371A4">
      <w:rPr>
        <w:rFonts w:ascii="Arial" w:hAnsi="Arial" w:cs="Arial"/>
        <w:noProof/>
      </w:rPr>
      <w:t>4</w:t>
    </w:r>
    <w:r w:rsidRPr="00DF30A6">
      <w:rPr>
        <w:rFonts w:ascii="Arial" w:hAnsi="Arial" w:cs="Arial"/>
        <w:noProof/>
      </w:rPr>
      <w:fldChar w:fldCharType="end"/>
    </w:r>
  </w:p>
  <w:p w:rsidR="00762503" w:rsidRDefault="007625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03" w:rsidRDefault="007625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503" w:rsidRDefault="00762503" w:rsidP="00A102D5">
      <w:pPr>
        <w:spacing w:after="0" w:line="240" w:lineRule="auto"/>
      </w:pPr>
      <w:r>
        <w:separator/>
      </w:r>
    </w:p>
  </w:footnote>
  <w:footnote w:type="continuationSeparator" w:id="0">
    <w:p w:rsidR="00762503" w:rsidRDefault="00762503" w:rsidP="00A102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03" w:rsidRDefault="004C3C88">
    <w:pPr>
      <w:pStyle w:val="Header"/>
    </w:pPr>
    <w:r w:rsidRPr="004C3C8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3900" o:spid="_x0000_s2050" type="#_x0000_t136" style="position:absolute;margin-left:0;margin-top:0;width:569.25pt;height:66.95pt;rotation:315;z-index:-251655168;mso-position-horizontal:center;mso-position-horizontal-relative:margin;mso-position-vertical:center;mso-position-vertical-relative:margin" o:allowincell="f" fillcolor="silver" stroked="f">
          <v:fill opacity=".5"/>
          <v:textpath style="font-family:&quot;Arial&quot;;font-size:1pt" string="ACCEPTED VERS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03" w:rsidRDefault="004C3C88">
    <w:pPr>
      <w:pStyle w:val="Header"/>
    </w:pPr>
    <w:r w:rsidRPr="004C3C8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3901" o:spid="_x0000_s2051" type="#_x0000_t136" style="position:absolute;margin-left:0;margin-top:0;width:569.25pt;height:66.95pt;rotation:315;z-index:-251653120;mso-position-horizontal:center;mso-position-horizontal-relative:margin;mso-position-vertical:center;mso-position-vertical-relative:margin" o:allowincell="f" fillcolor="silver" stroked="f">
          <v:fill opacity=".5"/>
          <v:textpath style="font-family:&quot;Arial&quot;;font-size:1pt" string="ACCEPTED VERS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503" w:rsidRDefault="004C3C88">
    <w:pPr>
      <w:pStyle w:val="Header"/>
    </w:pPr>
    <w:r w:rsidRPr="004C3C8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3899" o:spid="_x0000_s2049" type="#_x0000_t136" style="position:absolute;margin-left:0;margin-top:0;width:569.25pt;height:66.95pt;rotation:315;z-index:-251657216;mso-position-horizontal:center;mso-position-horizontal-relative:margin;mso-position-vertical:center;mso-position-vertical-relative:margin" o:allowincell="f" fillcolor="silver" stroked="f">
          <v:fill opacity=".5"/>
          <v:textpath style="font-family:&quot;Arial&quot;;font-size:1pt" string="ACCEPTED VERS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0526"/>
    <w:multiLevelType w:val="hybridMultilevel"/>
    <w:tmpl w:val="545CA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E61A4E"/>
    <w:multiLevelType w:val="hybridMultilevel"/>
    <w:tmpl w:val="B638035A"/>
    <w:lvl w:ilvl="0" w:tplc="D97A99C4">
      <w:start w:val="1"/>
      <w:numFmt w:val="lowerRoman"/>
      <w:lvlText w:val="%1."/>
      <w:lvlJc w:val="left"/>
      <w:pPr>
        <w:ind w:left="720" w:hanging="360"/>
      </w:pPr>
    </w:lvl>
    <w:lvl w:ilvl="1" w:tplc="7D5E1306">
      <w:start w:val="1"/>
      <w:numFmt w:val="lowerLetter"/>
      <w:lvlText w:val="%2."/>
      <w:lvlJc w:val="left"/>
      <w:pPr>
        <w:ind w:left="1440" w:hanging="360"/>
      </w:pPr>
    </w:lvl>
    <w:lvl w:ilvl="2" w:tplc="14402354">
      <w:start w:val="1"/>
      <w:numFmt w:val="lowerRoman"/>
      <w:lvlText w:val="%3."/>
      <w:lvlJc w:val="right"/>
      <w:pPr>
        <w:ind w:left="2160" w:hanging="180"/>
      </w:pPr>
    </w:lvl>
    <w:lvl w:ilvl="3" w:tplc="B1627B0C">
      <w:start w:val="1"/>
      <w:numFmt w:val="decimal"/>
      <w:lvlText w:val="%4."/>
      <w:lvlJc w:val="left"/>
      <w:pPr>
        <w:ind w:left="2880" w:hanging="360"/>
      </w:pPr>
    </w:lvl>
    <w:lvl w:ilvl="4" w:tplc="0638F796">
      <w:start w:val="1"/>
      <w:numFmt w:val="lowerLetter"/>
      <w:lvlText w:val="%5."/>
      <w:lvlJc w:val="left"/>
      <w:pPr>
        <w:ind w:left="3600" w:hanging="360"/>
      </w:pPr>
    </w:lvl>
    <w:lvl w:ilvl="5" w:tplc="B6B4CB7C">
      <w:start w:val="1"/>
      <w:numFmt w:val="lowerRoman"/>
      <w:lvlText w:val="%6."/>
      <w:lvlJc w:val="right"/>
      <w:pPr>
        <w:ind w:left="4320" w:hanging="180"/>
      </w:pPr>
    </w:lvl>
    <w:lvl w:ilvl="6" w:tplc="08B09BF0">
      <w:start w:val="1"/>
      <w:numFmt w:val="decimal"/>
      <w:lvlText w:val="%7."/>
      <w:lvlJc w:val="left"/>
      <w:pPr>
        <w:ind w:left="5040" w:hanging="360"/>
      </w:pPr>
    </w:lvl>
    <w:lvl w:ilvl="7" w:tplc="E550CCF8">
      <w:start w:val="1"/>
      <w:numFmt w:val="lowerLetter"/>
      <w:lvlText w:val="%8."/>
      <w:lvlJc w:val="left"/>
      <w:pPr>
        <w:ind w:left="5760" w:hanging="360"/>
      </w:pPr>
    </w:lvl>
    <w:lvl w:ilvl="8" w:tplc="BB7E63DA">
      <w:start w:val="1"/>
      <w:numFmt w:val="lowerRoman"/>
      <w:lvlText w:val="%9."/>
      <w:lvlJc w:val="right"/>
      <w:pPr>
        <w:ind w:left="6480" w:hanging="180"/>
      </w:pPr>
    </w:lvl>
  </w:abstractNum>
  <w:abstractNum w:abstractNumId="2">
    <w:nsid w:val="19951194"/>
    <w:multiLevelType w:val="hybridMultilevel"/>
    <w:tmpl w:val="3E64F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7B0C7D"/>
    <w:multiLevelType w:val="hybridMultilevel"/>
    <w:tmpl w:val="14428F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6BC3207"/>
    <w:multiLevelType w:val="hybridMultilevel"/>
    <w:tmpl w:val="DD629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7A6A7C"/>
    <w:multiLevelType w:val="hybridMultilevel"/>
    <w:tmpl w:val="CD0279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842CF0"/>
    <w:multiLevelType w:val="hybridMultilevel"/>
    <w:tmpl w:val="72082442"/>
    <w:lvl w:ilvl="0" w:tplc="60BC8EE0">
      <w:start w:val="1"/>
      <w:numFmt w:val="bullet"/>
      <w:lvlText w:val=""/>
      <w:lvlJc w:val="left"/>
      <w:pPr>
        <w:tabs>
          <w:tab w:val="num" w:pos="720"/>
        </w:tabs>
        <w:ind w:left="720" w:hanging="360"/>
      </w:pPr>
      <w:rPr>
        <w:rFonts w:ascii="Symbol" w:hAnsi="Symbol" w:hint="default"/>
      </w:rPr>
    </w:lvl>
    <w:lvl w:ilvl="1" w:tplc="D384303C" w:tentative="1">
      <w:start w:val="1"/>
      <w:numFmt w:val="bullet"/>
      <w:lvlText w:val=""/>
      <w:lvlJc w:val="left"/>
      <w:pPr>
        <w:tabs>
          <w:tab w:val="num" w:pos="1440"/>
        </w:tabs>
        <w:ind w:left="1440" w:hanging="360"/>
      </w:pPr>
      <w:rPr>
        <w:rFonts w:ascii="Symbol" w:hAnsi="Symbol" w:hint="default"/>
      </w:rPr>
    </w:lvl>
    <w:lvl w:ilvl="2" w:tplc="FD8C82A4" w:tentative="1">
      <w:start w:val="1"/>
      <w:numFmt w:val="bullet"/>
      <w:lvlText w:val=""/>
      <w:lvlJc w:val="left"/>
      <w:pPr>
        <w:tabs>
          <w:tab w:val="num" w:pos="2160"/>
        </w:tabs>
        <w:ind w:left="2160" w:hanging="360"/>
      </w:pPr>
      <w:rPr>
        <w:rFonts w:ascii="Symbol" w:hAnsi="Symbol" w:hint="default"/>
      </w:rPr>
    </w:lvl>
    <w:lvl w:ilvl="3" w:tplc="4D7601C8" w:tentative="1">
      <w:start w:val="1"/>
      <w:numFmt w:val="bullet"/>
      <w:lvlText w:val=""/>
      <w:lvlJc w:val="left"/>
      <w:pPr>
        <w:tabs>
          <w:tab w:val="num" w:pos="2880"/>
        </w:tabs>
        <w:ind w:left="2880" w:hanging="360"/>
      </w:pPr>
      <w:rPr>
        <w:rFonts w:ascii="Symbol" w:hAnsi="Symbol" w:hint="default"/>
      </w:rPr>
    </w:lvl>
    <w:lvl w:ilvl="4" w:tplc="C5DC1C7C" w:tentative="1">
      <w:start w:val="1"/>
      <w:numFmt w:val="bullet"/>
      <w:lvlText w:val=""/>
      <w:lvlJc w:val="left"/>
      <w:pPr>
        <w:tabs>
          <w:tab w:val="num" w:pos="3600"/>
        </w:tabs>
        <w:ind w:left="3600" w:hanging="360"/>
      </w:pPr>
      <w:rPr>
        <w:rFonts w:ascii="Symbol" w:hAnsi="Symbol" w:hint="default"/>
      </w:rPr>
    </w:lvl>
    <w:lvl w:ilvl="5" w:tplc="0CE05A16" w:tentative="1">
      <w:start w:val="1"/>
      <w:numFmt w:val="bullet"/>
      <w:lvlText w:val=""/>
      <w:lvlJc w:val="left"/>
      <w:pPr>
        <w:tabs>
          <w:tab w:val="num" w:pos="4320"/>
        </w:tabs>
        <w:ind w:left="4320" w:hanging="360"/>
      </w:pPr>
      <w:rPr>
        <w:rFonts w:ascii="Symbol" w:hAnsi="Symbol" w:hint="default"/>
      </w:rPr>
    </w:lvl>
    <w:lvl w:ilvl="6" w:tplc="82101B14" w:tentative="1">
      <w:start w:val="1"/>
      <w:numFmt w:val="bullet"/>
      <w:lvlText w:val=""/>
      <w:lvlJc w:val="left"/>
      <w:pPr>
        <w:tabs>
          <w:tab w:val="num" w:pos="5040"/>
        </w:tabs>
        <w:ind w:left="5040" w:hanging="360"/>
      </w:pPr>
      <w:rPr>
        <w:rFonts w:ascii="Symbol" w:hAnsi="Symbol" w:hint="default"/>
      </w:rPr>
    </w:lvl>
    <w:lvl w:ilvl="7" w:tplc="50FA155E" w:tentative="1">
      <w:start w:val="1"/>
      <w:numFmt w:val="bullet"/>
      <w:lvlText w:val=""/>
      <w:lvlJc w:val="left"/>
      <w:pPr>
        <w:tabs>
          <w:tab w:val="num" w:pos="5760"/>
        </w:tabs>
        <w:ind w:left="5760" w:hanging="360"/>
      </w:pPr>
      <w:rPr>
        <w:rFonts w:ascii="Symbol" w:hAnsi="Symbol" w:hint="default"/>
      </w:rPr>
    </w:lvl>
    <w:lvl w:ilvl="8" w:tplc="1E3421F4" w:tentative="1">
      <w:start w:val="1"/>
      <w:numFmt w:val="bullet"/>
      <w:lvlText w:val=""/>
      <w:lvlJc w:val="left"/>
      <w:pPr>
        <w:tabs>
          <w:tab w:val="num" w:pos="6480"/>
        </w:tabs>
        <w:ind w:left="6480" w:hanging="360"/>
      </w:pPr>
      <w:rPr>
        <w:rFonts w:ascii="Symbol" w:hAnsi="Symbol" w:hint="default"/>
      </w:rPr>
    </w:lvl>
  </w:abstractNum>
  <w:abstractNum w:abstractNumId="7">
    <w:nsid w:val="43E60CBD"/>
    <w:multiLevelType w:val="hybridMultilevel"/>
    <w:tmpl w:val="A9665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3A2D50"/>
    <w:multiLevelType w:val="hybridMultilevel"/>
    <w:tmpl w:val="33E2B6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0E3555A"/>
    <w:multiLevelType w:val="hybridMultilevel"/>
    <w:tmpl w:val="8CCA9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7779AB"/>
    <w:multiLevelType w:val="hybridMultilevel"/>
    <w:tmpl w:val="E7924F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573972AA"/>
    <w:multiLevelType w:val="hybridMultilevel"/>
    <w:tmpl w:val="79FE74D0"/>
    <w:lvl w:ilvl="0" w:tplc="ED3E210A">
      <w:start w:val="1"/>
      <w:numFmt w:val="bullet"/>
      <w:lvlText w:val=""/>
      <w:lvlJc w:val="left"/>
      <w:pPr>
        <w:tabs>
          <w:tab w:val="num" w:pos="720"/>
        </w:tabs>
        <w:ind w:left="720" w:hanging="360"/>
      </w:pPr>
      <w:rPr>
        <w:rFonts w:ascii="Symbol" w:hAnsi="Symbol" w:hint="default"/>
      </w:rPr>
    </w:lvl>
    <w:lvl w:ilvl="1" w:tplc="FB488022" w:tentative="1">
      <w:start w:val="1"/>
      <w:numFmt w:val="bullet"/>
      <w:lvlText w:val=""/>
      <w:lvlJc w:val="left"/>
      <w:pPr>
        <w:tabs>
          <w:tab w:val="num" w:pos="1440"/>
        </w:tabs>
        <w:ind w:left="1440" w:hanging="360"/>
      </w:pPr>
      <w:rPr>
        <w:rFonts w:ascii="Symbol" w:hAnsi="Symbol" w:hint="default"/>
      </w:rPr>
    </w:lvl>
    <w:lvl w:ilvl="2" w:tplc="3DC4E324" w:tentative="1">
      <w:start w:val="1"/>
      <w:numFmt w:val="bullet"/>
      <w:lvlText w:val=""/>
      <w:lvlJc w:val="left"/>
      <w:pPr>
        <w:tabs>
          <w:tab w:val="num" w:pos="2160"/>
        </w:tabs>
        <w:ind w:left="2160" w:hanging="360"/>
      </w:pPr>
      <w:rPr>
        <w:rFonts w:ascii="Symbol" w:hAnsi="Symbol" w:hint="default"/>
      </w:rPr>
    </w:lvl>
    <w:lvl w:ilvl="3" w:tplc="9C7CC85C" w:tentative="1">
      <w:start w:val="1"/>
      <w:numFmt w:val="bullet"/>
      <w:lvlText w:val=""/>
      <w:lvlJc w:val="left"/>
      <w:pPr>
        <w:tabs>
          <w:tab w:val="num" w:pos="2880"/>
        </w:tabs>
        <w:ind w:left="2880" w:hanging="360"/>
      </w:pPr>
      <w:rPr>
        <w:rFonts w:ascii="Symbol" w:hAnsi="Symbol" w:hint="default"/>
      </w:rPr>
    </w:lvl>
    <w:lvl w:ilvl="4" w:tplc="06BCDD16" w:tentative="1">
      <w:start w:val="1"/>
      <w:numFmt w:val="bullet"/>
      <w:lvlText w:val=""/>
      <w:lvlJc w:val="left"/>
      <w:pPr>
        <w:tabs>
          <w:tab w:val="num" w:pos="3600"/>
        </w:tabs>
        <w:ind w:left="3600" w:hanging="360"/>
      </w:pPr>
      <w:rPr>
        <w:rFonts w:ascii="Symbol" w:hAnsi="Symbol" w:hint="default"/>
      </w:rPr>
    </w:lvl>
    <w:lvl w:ilvl="5" w:tplc="1C3ECCA2" w:tentative="1">
      <w:start w:val="1"/>
      <w:numFmt w:val="bullet"/>
      <w:lvlText w:val=""/>
      <w:lvlJc w:val="left"/>
      <w:pPr>
        <w:tabs>
          <w:tab w:val="num" w:pos="4320"/>
        </w:tabs>
        <w:ind w:left="4320" w:hanging="360"/>
      </w:pPr>
      <w:rPr>
        <w:rFonts w:ascii="Symbol" w:hAnsi="Symbol" w:hint="default"/>
      </w:rPr>
    </w:lvl>
    <w:lvl w:ilvl="6" w:tplc="140A0866" w:tentative="1">
      <w:start w:val="1"/>
      <w:numFmt w:val="bullet"/>
      <w:lvlText w:val=""/>
      <w:lvlJc w:val="left"/>
      <w:pPr>
        <w:tabs>
          <w:tab w:val="num" w:pos="5040"/>
        </w:tabs>
        <w:ind w:left="5040" w:hanging="360"/>
      </w:pPr>
      <w:rPr>
        <w:rFonts w:ascii="Symbol" w:hAnsi="Symbol" w:hint="default"/>
      </w:rPr>
    </w:lvl>
    <w:lvl w:ilvl="7" w:tplc="9550BE20" w:tentative="1">
      <w:start w:val="1"/>
      <w:numFmt w:val="bullet"/>
      <w:lvlText w:val=""/>
      <w:lvlJc w:val="left"/>
      <w:pPr>
        <w:tabs>
          <w:tab w:val="num" w:pos="5760"/>
        </w:tabs>
        <w:ind w:left="5760" w:hanging="360"/>
      </w:pPr>
      <w:rPr>
        <w:rFonts w:ascii="Symbol" w:hAnsi="Symbol" w:hint="default"/>
      </w:rPr>
    </w:lvl>
    <w:lvl w:ilvl="8" w:tplc="61C6783A" w:tentative="1">
      <w:start w:val="1"/>
      <w:numFmt w:val="bullet"/>
      <w:lvlText w:val=""/>
      <w:lvlJc w:val="left"/>
      <w:pPr>
        <w:tabs>
          <w:tab w:val="num" w:pos="6480"/>
        </w:tabs>
        <w:ind w:left="6480" w:hanging="360"/>
      </w:pPr>
      <w:rPr>
        <w:rFonts w:ascii="Symbol" w:hAnsi="Symbol" w:hint="default"/>
      </w:rPr>
    </w:lvl>
  </w:abstractNum>
  <w:abstractNum w:abstractNumId="12">
    <w:nsid w:val="594D18E0"/>
    <w:multiLevelType w:val="hybridMultilevel"/>
    <w:tmpl w:val="13B217E0"/>
    <w:lvl w:ilvl="0" w:tplc="44A86AF6">
      <w:start w:val="1"/>
      <w:numFmt w:val="bullet"/>
      <w:lvlText w:val="o"/>
      <w:lvlJc w:val="left"/>
      <w:pPr>
        <w:ind w:left="720" w:hanging="360"/>
      </w:pPr>
      <w:rPr>
        <w:rFonts w:ascii="Courier New" w:hAnsi="Courier New" w:hint="default"/>
      </w:rPr>
    </w:lvl>
    <w:lvl w:ilvl="1" w:tplc="D86677D6">
      <w:start w:val="1"/>
      <w:numFmt w:val="bullet"/>
      <w:lvlText w:val="o"/>
      <w:lvlJc w:val="left"/>
      <w:pPr>
        <w:ind w:left="1440" w:hanging="360"/>
      </w:pPr>
      <w:rPr>
        <w:rFonts w:ascii="Courier New" w:hAnsi="Courier New" w:hint="default"/>
      </w:rPr>
    </w:lvl>
    <w:lvl w:ilvl="2" w:tplc="E20EF74A">
      <w:start w:val="1"/>
      <w:numFmt w:val="bullet"/>
      <w:lvlText w:val=""/>
      <w:lvlJc w:val="left"/>
      <w:pPr>
        <w:ind w:left="2160" w:hanging="360"/>
      </w:pPr>
      <w:rPr>
        <w:rFonts w:ascii="Wingdings" w:hAnsi="Wingdings" w:hint="default"/>
      </w:rPr>
    </w:lvl>
    <w:lvl w:ilvl="3" w:tplc="781433F8">
      <w:start w:val="1"/>
      <w:numFmt w:val="bullet"/>
      <w:lvlText w:val=""/>
      <w:lvlJc w:val="left"/>
      <w:pPr>
        <w:ind w:left="2880" w:hanging="360"/>
      </w:pPr>
      <w:rPr>
        <w:rFonts w:ascii="Symbol" w:hAnsi="Symbol" w:hint="default"/>
      </w:rPr>
    </w:lvl>
    <w:lvl w:ilvl="4" w:tplc="F864CF1A">
      <w:start w:val="1"/>
      <w:numFmt w:val="bullet"/>
      <w:lvlText w:val="o"/>
      <w:lvlJc w:val="left"/>
      <w:pPr>
        <w:ind w:left="3600" w:hanging="360"/>
      </w:pPr>
      <w:rPr>
        <w:rFonts w:ascii="Courier New" w:hAnsi="Courier New" w:hint="default"/>
      </w:rPr>
    </w:lvl>
    <w:lvl w:ilvl="5" w:tplc="B52851E0">
      <w:start w:val="1"/>
      <w:numFmt w:val="bullet"/>
      <w:lvlText w:val=""/>
      <w:lvlJc w:val="left"/>
      <w:pPr>
        <w:ind w:left="4320" w:hanging="360"/>
      </w:pPr>
      <w:rPr>
        <w:rFonts w:ascii="Wingdings" w:hAnsi="Wingdings" w:hint="default"/>
      </w:rPr>
    </w:lvl>
    <w:lvl w:ilvl="6" w:tplc="5FD84C2A">
      <w:start w:val="1"/>
      <w:numFmt w:val="bullet"/>
      <w:lvlText w:val=""/>
      <w:lvlJc w:val="left"/>
      <w:pPr>
        <w:ind w:left="5040" w:hanging="360"/>
      </w:pPr>
      <w:rPr>
        <w:rFonts w:ascii="Symbol" w:hAnsi="Symbol" w:hint="default"/>
      </w:rPr>
    </w:lvl>
    <w:lvl w:ilvl="7" w:tplc="3E5259F6">
      <w:start w:val="1"/>
      <w:numFmt w:val="bullet"/>
      <w:lvlText w:val="o"/>
      <w:lvlJc w:val="left"/>
      <w:pPr>
        <w:ind w:left="5760" w:hanging="360"/>
      </w:pPr>
      <w:rPr>
        <w:rFonts w:ascii="Courier New" w:hAnsi="Courier New" w:hint="default"/>
      </w:rPr>
    </w:lvl>
    <w:lvl w:ilvl="8" w:tplc="8EA0FB74">
      <w:start w:val="1"/>
      <w:numFmt w:val="bullet"/>
      <w:lvlText w:val=""/>
      <w:lvlJc w:val="left"/>
      <w:pPr>
        <w:ind w:left="6480" w:hanging="360"/>
      </w:pPr>
      <w:rPr>
        <w:rFonts w:ascii="Wingdings" w:hAnsi="Wingdings" w:hint="default"/>
      </w:rPr>
    </w:lvl>
  </w:abstractNum>
  <w:abstractNum w:abstractNumId="13">
    <w:nsid w:val="611353D7"/>
    <w:multiLevelType w:val="hybridMultilevel"/>
    <w:tmpl w:val="6A187EC8"/>
    <w:lvl w:ilvl="0" w:tplc="22AC93EA">
      <w:start w:val="1"/>
      <w:numFmt w:val="bullet"/>
      <w:lvlText w:val=""/>
      <w:lvlJc w:val="left"/>
      <w:pPr>
        <w:tabs>
          <w:tab w:val="num" w:pos="720"/>
        </w:tabs>
        <w:ind w:left="720" w:hanging="360"/>
      </w:pPr>
      <w:rPr>
        <w:rFonts w:ascii="Symbol" w:hAnsi="Symbol" w:hint="default"/>
      </w:rPr>
    </w:lvl>
    <w:lvl w:ilvl="1" w:tplc="1C184D52" w:tentative="1">
      <w:start w:val="1"/>
      <w:numFmt w:val="bullet"/>
      <w:lvlText w:val=""/>
      <w:lvlJc w:val="left"/>
      <w:pPr>
        <w:tabs>
          <w:tab w:val="num" w:pos="1440"/>
        </w:tabs>
        <w:ind w:left="1440" w:hanging="360"/>
      </w:pPr>
      <w:rPr>
        <w:rFonts w:ascii="Symbol" w:hAnsi="Symbol" w:hint="default"/>
      </w:rPr>
    </w:lvl>
    <w:lvl w:ilvl="2" w:tplc="B7C8180A" w:tentative="1">
      <w:start w:val="1"/>
      <w:numFmt w:val="bullet"/>
      <w:lvlText w:val=""/>
      <w:lvlJc w:val="left"/>
      <w:pPr>
        <w:tabs>
          <w:tab w:val="num" w:pos="2160"/>
        </w:tabs>
        <w:ind w:left="2160" w:hanging="360"/>
      </w:pPr>
      <w:rPr>
        <w:rFonts w:ascii="Symbol" w:hAnsi="Symbol" w:hint="default"/>
      </w:rPr>
    </w:lvl>
    <w:lvl w:ilvl="3" w:tplc="80825ACC" w:tentative="1">
      <w:start w:val="1"/>
      <w:numFmt w:val="bullet"/>
      <w:lvlText w:val=""/>
      <w:lvlJc w:val="left"/>
      <w:pPr>
        <w:tabs>
          <w:tab w:val="num" w:pos="2880"/>
        </w:tabs>
        <w:ind w:left="2880" w:hanging="360"/>
      </w:pPr>
      <w:rPr>
        <w:rFonts w:ascii="Symbol" w:hAnsi="Symbol" w:hint="default"/>
      </w:rPr>
    </w:lvl>
    <w:lvl w:ilvl="4" w:tplc="D932E0F0" w:tentative="1">
      <w:start w:val="1"/>
      <w:numFmt w:val="bullet"/>
      <w:lvlText w:val=""/>
      <w:lvlJc w:val="left"/>
      <w:pPr>
        <w:tabs>
          <w:tab w:val="num" w:pos="3600"/>
        </w:tabs>
        <w:ind w:left="3600" w:hanging="360"/>
      </w:pPr>
      <w:rPr>
        <w:rFonts w:ascii="Symbol" w:hAnsi="Symbol" w:hint="default"/>
      </w:rPr>
    </w:lvl>
    <w:lvl w:ilvl="5" w:tplc="1C540DCA" w:tentative="1">
      <w:start w:val="1"/>
      <w:numFmt w:val="bullet"/>
      <w:lvlText w:val=""/>
      <w:lvlJc w:val="left"/>
      <w:pPr>
        <w:tabs>
          <w:tab w:val="num" w:pos="4320"/>
        </w:tabs>
        <w:ind w:left="4320" w:hanging="360"/>
      </w:pPr>
      <w:rPr>
        <w:rFonts w:ascii="Symbol" w:hAnsi="Symbol" w:hint="default"/>
      </w:rPr>
    </w:lvl>
    <w:lvl w:ilvl="6" w:tplc="524C89AC" w:tentative="1">
      <w:start w:val="1"/>
      <w:numFmt w:val="bullet"/>
      <w:lvlText w:val=""/>
      <w:lvlJc w:val="left"/>
      <w:pPr>
        <w:tabs>
          <w:tab w:val="num" w:pos="5040"/>
        </w:tabs>
        <w:ind w:left="5040" w:hanging="360"/>
      </w:pPr>
      <w:rPr>
        <w:rFonts w:ascii="Symbol" w:hAnsi="Symbol" w:hint="default"/>
      </w:rPr>
    </w:lvl>
    <w:lvl w:ilvl="7" w:tplc="0D340A96" w:tentative="1">
      <w:start w:val="1"/>
      <w:numFmt w:val="bullet"/>
      <w:lvlText w:val=""/>
      <w:lvlJc w:val="left"/>
      <w:pPr>
        <w:tabs>
          <w:tab w:val="num" w:pos="5760"/>
        </w:tabs>
        <w:ind w:left="5760" w:hanging="360"/>
      </w:pPr>
      <w:rPr>
        <w:rFonts w:ascii="Symbol" w:hAnsi="Symbol" w:hint="default"/>
      </w:rPr>
    </w:lvl>
    <w:lvl w:ilvl="8" w:tplc="6702507A" w:tentative="1">
      <w:start w:val="1"/>
      <w:numFmt w:val="bullet"/>
      <w:lvlText w:val=""/>
      <w:lvlJc w:val="left"/>
      <w:pPr>
        <w:tabs>
          <w:tab w:val="num" w:pos="6480"/>
        </w:tabs>
        <w:ind w:left="6480" w:hanging="360"/>
      </w:pPr>
      <w:rPr>
        <w:rFonts w:ascii="Symbol" w:hAnsi="Symbol" w:hint="default"/>
      </w:rPr>
    </w:lvl>
  </w:abstractNum>
  <w:abstractNum w:abstractNumId="14">
    <w:nsid w:val="635D2F22"/>
    <w:multiLevelType w:val="hybridMultilevel"/>
    <w:tmpl w:val="8432D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666D54"/>
    <w:multiLevelType w:val="hybridMultilevel"/>
    <w:tmpl w:val="024EE0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5520AE"/>
    <w:multiLevelType w:val="hybridMultilevel"/>
    <w:tmpl w:val="1F1C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A770D4"/>
    <w:multiLevelType w:val="hybridMultilevel"/>
    <w:tmpl w:val="6A5CD4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E477C32"/>
    <w:multiLevelType w:val="hybridMultilevel"/>
    <w:tmpl w:val="A4444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8A479D"/>
    <w:multiLevelType w:val="hybridMultilevel"/>
    <w:tmpl w:val="1A267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52A0F02"/>
    <w:multiLevelType w:val="hybridMultilevel"/>
    <w:tmpl w:val="C5D2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FD32B1"/>
    <w:multiLevelType w:val="hybridMultilevel"/>
    <w:tmpl w:val="F4B8F346"/>
    <w:lvl w:ilvl="0" w:tplc="6ACC6CB0">
      <w:start w:val="1"/>
      <w:numFmt w:val="lowerRoman"/>
      <w:lvlText w:val="%1."/>
      <w:lvlJc w:val="left"/>
      <w:pPr>
        <w:ind w:left="720" w:hanging="360"/>
      </w:pPr>
    </w:lvl>
    <w:lvl w:ilvl="1" w:tplc="349A80C4">
      <w:start w:val="1"/>
      <w:numFmt w:val="lowerLetter"/>
      <w:lvlText w:val="%2."/>
      <w:lvlJc w:val="left"/>
      <w:pPr>
        <w:ind w:left="1440" w:hanging="360"/>
      </w:pPr>
    </w:lvl>
    <w:lvl w:ilvl="2" w:tplc="4C8C08EE">
      <w:start w:val="1"/>
      <w:numFmt w:val="lowerRoman"/>
      <w:lvlText w:val="%3."/>
      <w:lvlJc w:val="right"/>
      <w:pPr>
        <w:ind w:left="2160" w:hanging="180"/>
      </w:pPr>
    </w:lvl>
    <w:lvl w:ilvl="3" w:tplc="F892B8AC">
      <w:start w:val="1"/>
      <w:numFmt w:val="decimal"/>
      <w:lvlText w:val="%4."/>
      <w:lvlJc w:val="left"/>
      <w:pPr>
        <w:ind w:left="2880" w:hanging="360"/>
      </w:pPr>
    </w:lvl>
    <w:lvl w:ilvl="4" w:tplc="19D8C6FE">
      <w:start w:val="1"/>
      <w:numFmt w:val="lowerLetter"/>
      <w:lvlText w:val="%5."/>
      <w:lvlJc w:val="left"/>
      <w:pPr>
        <w:ind w:left="3600" w:hanging="360"/>
      </w:pPr>
    </w:lvl>
    <w:lvl w:ilvl="5" w:tplc="9474BA74">
      <w:start w:val="1"/>
      <w:numFmt w:val="lowerRoman"/>
      <w:lvlText w:val="%6."/>
      <w:lvlJc w:val="right"/>
      <w:pPr>
        <w:ind w:left="4320" w:hanging="180"/>
      </w:pPr>
    </w:lvl>
    <w:lvl w:ilvl="6" w:tplc="8688AFB2">
      <w:start w:val="1"/>
      <w:numFmt w:val="decimal"/>
      <w:lvlText w:val="%7."/>
      <w:lvlJc w:val="left"/>
      <w:pPr>
        <w:ind w:left="5040" w:hanging="360"/>
      </w:pPr>
    </w:lvl>
    <w:lvl w:ilvl="7" w:tplc="B27A6CFC">
      <w:start w:val="1"/>
      <w:numFmt w:val="lowerLetter"/>
      <w:lvlText w:val="%8."/>
      <w:lvlJc w:val="left"/>
      <w:pPr>
        <w:ind w:left="5760" w:hanging="360"/>
      </w:pPr>
    </w:lvl>
    <w:lvl w:ilvl="8" w:tplc="77B0176A">
      <w:start w:val="1"/>
      <w:numFmt w:val="lowerRoman"/>
      <w:lvlText w:val="%9."/>
      <w:lvlJc w:val="right"/>
      <w:pPr>
        <w:ind w:left="6480" w:hanging="180"/>
      </w:pPr>
    </w:lvl>
  </w:abstractNum>
  <w:abstractNum w:abstractNumId="22">
    <w:nsid w:val="7B066BEF"/>
    <w:multiLevelType w:val="hybridMultilevel"/>
    <w:tmpl w:val="FD2664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1"/>
  </w:num>
  <w:num w:numId="2">
    <w:abstractNumId w:val="12"/>
  </w:num>
  <w:num w:numId="3">
    <w:abstractNumId w:val="1"/>
  </w:num>
  <w:num w:numId="4">
    <w:abstractNumId w:val="9"/>
  </w:num>
  <w:num w:numId="5">
    <w:abstractNumId w:val="18"/>
  </w:num>
  <w:num w:numId="6">
    <w:abstractNumId w:val="7"/>
  </w:num>
  <w:num w:numId="7">
    <w:abstractNumId w:val="0"/>
  </w:num>
  <w:num w:numId="8">
    <w:abstractNumId w:val="19"/>
  </w:num>
  <w:num w:numId="9">
    <w:abstractNumId w:val="16"/>
  </w:num>
  <w:num w:numId="10">
    <w:abstractNumId w:val="5"/>
  </w:num>
  <w:num w:numId="11">
    <w:abstractNumId w:val="8"/>
  </w:num>
  <w:num w:numId="12">
    <w:abstractNumId w:val="17"/>
  </w:num>
  <w:num w:numId="13">
    <w:abstractNumId w:val="15"/>
  </w:num>
  <w:num w:numId="14">
    <w:abstractNumId w:val="4"/>
  </w:num>
  <w:num w:numId="15">
    <w:abstractNumId w:val="6"/>
  </w:num>
  <w:num w:numId="16">
    <w:abstractNumId w:val="13"/>
  </w:num>
  <w:num w:numId="17">
    <w:abstractNumId w:val="10"/>
  </w:num>
  <w:num w:numId="18">
    <w:abstractNumId w:val="22"/>
  </w:num>
  <w:num w:numId="19">
    <w:abstractNumId w:val="11"/>
  </w:num>
  <w:num w:numId="20">
    <w:abstractNumId w:val="2"/>
  </w:num>
  <w:num w:numId="21">
    <w:abstractNumId w:val="14"/>
  </w:num>
  <w:num w:numId="22">
    <w:abstractNumId w:val="20"/>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35DF3"/>
    <w:rsid w:val="00003CE1"/>
    <w:rsid w:val="0000472A"/>
    <w:rsid w:val="00011ADD"/>
    <w:rsid w:val="000157AF"/>
    <w:rsid w:val="00017F8E"/>
    <w:rsid w:val="000205CF"/>
    <w:rsid w:val="00020959"/>
    <w:rsid w:val="000252DA"/>
    <w:rsid w:val="0002610E"/>
    <w:rsid w:val="00035DF3"/>
    <w:rsid w:val="00065999"/>
    <w:rsid w:val="000811E3"/>
    <w:rsid w:val="00083501"/>
    <w:rsid w:val="0008500D"/>
    <w:rsid w:val="00086946"/>
    <w:rsid w:val="0009036A"/>
    <w:rsid w:val="00092587"/>
    <w:rsid w:val="0009276A"/>
    <w:rsid w:val="000A1B9C"/>
    <w:rsid w:val="000A7374"/>
    <w:rsid w:val="000B41E0"/>
    <w:rsid w:val="000B4581"/>
    <w:rsid w:val="000B5CED"/>
    <w:rsid w:val="000C2151"/>
    <w:rsid w:val="000D6953"/>
    <w:rsid w:val="000E23E9"/>
    <w:rsid w:val="000F0F84"/>
    <w:rsid w:val="000F0FD3"/>
    <w:rsid w:val="0011529F"/>
    <w:rsid w:val="00116565"/>
    <w:rsid w:val="0013603B"/>
    <w:rsid w:val="00140E7C"/>
    <w:rsid w:val="00141C5E"/>
    <w:rsid w:val="001500EE"/>
    <w:rsid w:val="00153ECD"/>
    <w:rsid w:val="00160590"/>
    <w:rsid w:val="001643AC"/>
    <w:rsid w:val="00166E94"/>
    <w:rsid w:val="00167D8E"/>
    <w:rsid w:val="0017168B"/>
    <w:rsid w:val="00173EBC"/>
    <w:rsid w:val="00176423"/>
    <w:rsid w:val="00176A1A"/>
    <w:rsid w:val="0018121F"/>
    <w:rsid w:val="001823D2"/>
    <w:rsid w:val="00192C7B"/>
    <w:rsid w:val="00195DE2"/>
    <w:rsid w:val="001A0F2D"/>
    <w:rsid w:val="001A1959"/>
    <w:rsid w:val="001A380F"/>
    <w:rsid w:val="001B2CE0"/>
    <w:rsid w:val="001B3049"/>
    <w:rsid w:val="001C4217"/>
    <w:rsid w:val="001C5683"/>
    <w:rsid w:val="001D3FCD"/>
    <w:rsid w:val="001D7F37"/>
    <w:rsid w:val="001E14F3"/>
    <w:rsid w:val="001F0841"/>
    <w:rsid w:val="00217DA9"/>
    <w:rsid w:val="00222B71"/>
    <w:rsid w:val="00223E60"/>
    <w:rsid w:val="00224582"/>
    <w:rsid w:val="00246AC6"/>
    <w:rsid w:val="00255990"/>
    <w:rsid w:val="00257797"/>
    <w:rsid w:val="0026152C"/>
    <w:rsid w:val="00261A38"/>
    <w:rsid w:val="00266072"/>
    <w:rsid w:val="00281CA6"/>
    <w:rsid w:val="00284992"/>
    <w:rsid w:val="0028744C"/>
    <w:rsid w:val="00297635"/>
    <w:rsid w:val="002A1340"/>
    <w:rsid w:val="002A334D"/>
    <w:rsid w:val="002A4BD9"/>
    <w:rsid w:val="002A5F34"/>
    <w:rsid w:val="002A62BA"/>
    <w:rsid w:val="002B3577"/>
    <w:rsid w:val="002C3465"/>
    <w:rsid w:val="002C6DDB"/>
    <w:rsid w:val="002D509B"/>
    <w:rsid w:val="002D766B"/>
    <w:rsid w:val="002E0814"/>
    <w:rsid w:val="002E0D9D"/>
    <w:rsid w:val="003024E3"/>
    <w:rsid w:val="00304D6E"/>
    <w:rsid w:val="00323809"/>
    <w:rsid w:val="00325E86"/>
    <w:rsid w:val="00335BF2"/>
    <w:rsid w:val="003446CF"/>
    <w:rsid w:val="00353389"/>
    <w:rsid w:val="00355022"/>
    <w:rsid w:val="003552A5"/>
    <w:rsid w:val="003558AA"/>
    <w:rsid w:val="00356CF8"/>
    <w:rsid w:val="00360FE7"/>
    <w:rsid w:val="00373D30"/>
    <w:rsid w:val="00382BE2"/>
    <w:rsid w:val="00383445"/>
    <w:rsid w:val="00383597"/>
    <w:rsid w:val="00386CEB"/>
    <w:rsid w:val="003902FD"/>
    <w:rsid w:val="00391CA9"/>
    <w:rsid w:val="003A0A5D"/>
    <w:rsid w:val="003A70E0"/>
    <w:rsid w:val="003B0E91"/>
    <w:rsid w:val="003B4356"/>
    <w:rsid w:val="003B6DBA"/>
    <w:rsid w:val="003B6EFE"/>
    <w:rsid w:val="003C7332"/>
    <w:rsid w:val="003D31DA"/>
    <w:rsid w:val="003E1848"/>
    <w:rsid w:val="003E24B4"/>
    <w:rsid w:val="003E48BC"/>
    <w:rsid w:val="003E76D2"/>
    <w:rsid w:val="003F0CE6"/>
    <w:rsid w:val="004009CA"/>
    <w:rsid w:val="00406608"/>
    <w:rsid w:val="004129D3"/>
    <w:rsid w:val="0041775F"/>
    <w:rsid w:val="00422E11"/>
    <w:rsid w:val="004238E7"/>
    <w:rsid w:val="0043261F"/>
    <w:rsid w:val="004541D0"/>
    <w:rsid w:val="00461A08"/>
    <w:rsid w:val="00461F40"/>
    <w:rsid w:val="00470DB3"/>
    <w:rsid w:val="00471A3B"/>
    <w:rsid w:val="004757E9"/>
    <w:rsid w:val="00477219"/>
    <w:rsid w:val="00491A09"/>
    <w:rsid w:val="004926D6"/>
    <w:rsid w:val="004A6389"/>
    <w:rsid w:val="004A6E3A"/>
    <w:rsid w:val="004A78B7"/>
    <w:rsid w:val="004B094F"/>
    <w:rsid w:val="004C15CE"/>
    <w:rsid w:val="004C2A95"/>
    <w:rsid w:val="004C3C88"/>
    <w:rsid w:val="004D3404"/>
    <w:rsid w:val="004D4DAC"/>
    <w:rsid w:val="004D6ED5"/>
    <w:rsid w:val="005024CE"/>
    <w:rsid w:val="005074A8"/>
    <w:rsid w:val="005215B0"/>
    <w:rsid w:val="00526CAE"/>
    <w:rsid w:val="005364DB"/>
    <w:rsid w:val="00540C54"/>
    <w:rsid w:val="00551D68"/>
    <w:rsid w:val="00553FF7"/>
    <w:rsid w:val="00563D17"/>
    <w:rsid w:val="005649CF"/>
    <w:rsid w:val="0056728F"/>
    <w:rsid w:val="00575142"/>
    <w:rsid w:val="0058491E"/>
    <w:rsid w:val="00587F33"/>
    <w:rsid w:val="005B5B5B"/>
    <w:rsid w:val="005D055C"/>
    <w:rsid w:val="005D247B"/>
    <w:rsid w:val="005D24DC"/>
    <w:rsid w:val="005D63A3"/>
    <w:rsid w:val="005E26BE"/>
    <w:rsid w:val="00615D38"/>
    <w:rsid w:val="00624D32"/>
    <w:rsid w:val="006352C0"/>
    <w:rsid w:val="0064407A"/>
    <w:rsid w:val="00656760"/>
    <w:rsid w:val="00672376"/>
    <w:rsid w:val="00676F90"/>
    <w:rsid w:val="006779D4"/>
    <w:rsid w:val="006930E6"/>
    <w:rsid w:val="0069396A"/>
    <w:rsid w:val="006C0EFB"/>
    <w:rsid w:val="006D1805"/>
    <w:rsid w:val="006D19C8"/>
    <w:rsid w:val="006D1E54"/>
    <w:rsid w:val="006E3ADB"/>
    <w:rsid w:val="006F1640"/>
    <w:rsid w:val="006F2D3D"/>
    <w:rsid w:val="00702E34"/>
    <w:rsid w:val="00705C0E"/>
    <w:rsid w:val="0070653F"/>
    <w:rsid w:val="00713696"/>
    <w:rsid w:val="00713AEB"/>
    <w:rsid w:val="00715F62"/>
    <w:rsid w:val="00720583"/>
    <w:rsid w:val="00720FA3"/>
    <w:rsid w:val="0072591F"/>
    <w:rsid w:val="007407BC"/>
    <w:rsid w:val="00742508"/>
    <w:rsid w:val="00762503"/>
    <w:rsid w:val="00763FE5"/>
    <w:rsid w:val="00767860"/>
    <w:rsid w:val="00771F78"/>
    <w:rsid w:val="007803E2"/>
    <w:rsid w:val="00793E97"/>
    <w:rsid w:val="00794D70"/>
    <w:rsid w:val="007B6E21"/>
    <w:rsid w:val="007C6572"/>
    <w:rsid w:val="007C7E4A"/>
    <w:rsid w:val="007C7EC3"/>
    <w:rsid w:val="007D0722"/>
    <w:rsid w:val="007D538A"/>
    <w:rsid w:val="007E3322"/>
    <w:rsid w:val="007E58F5"/>
    <w:rsid w:val="007F58CF"/>
    <w:rsid w:val="008027BF"/>
    <w:rsid w:val="00813CE7"/>
    <w:rsid w:val="00817DD1"/>
    <w:rsid w:val="00817EA8"/>
    <w:rsid w:val="008222B8"/>
    <w:rsid w:val="00824736"/>
    <w:rsid w:val="008371A4"/>
    <w:rsid w:val="008422D6"/>
    <w:rsid w:val="00844EB9"/>
    <w:rsid w:val="00846F1A"/>
    <w:rsid w:val="0086008F"/>
    <w:rsid w:val="00862048"/>
    <w:rsid w:val="00896923"/>
    <w:rsid w:val="00897052"/>
    <w:rsid w:val="008A5292"/>
    <w:rsid w:val="008C23ED"/>
    <w:rsid w:val="008D087B"/>
    <w:rsid w:val="008D2B5B"/>
    <w:rsid w:val="008D5245"/>
    <w:rsid w:val="008D65AA"/>
    <w:rsid w:val="008E26D7"/>
    <w:rsid w:val="008E3162"/>
    <w:rsid w:val="008E59CF"/>
    <w:rsid w:val="008E5A96"/>
    <w:rsid w:val="00920E64"/>
    <w:rsid w:val="00923995"/>
    <w:rsid w:val="009327E3"/>
    <w:rsid w:val="0093378D"/>
    <w:rsid w:val="00933E88"/>
    <w:rsid w:val="00961B30"/>
    <w:rsid w:val="009856F0"/>
    <w:rsid w:val="0099565A"/>
    <w:rsid w:val="00995A83"/>
    <w:rsid w:val="00995C73"/>
    <w:rsid w:val="009A1621"/>
    <w:rsid w:val="009A26B3"/>
    <w:rsid w:val="009A45E7"/>
    <w:rsid w:val="009A5231"/>
    <w:rsid w:val="009B36FE"/>
    <w:rsid w:val="009C4385"/>
    <w:rsid w:val="009D66D8"/>
    <w:rsid w:val="009F58BB"/>
    <w:rsid w:val="00A102D5"/>
    <w:rsid w:val="00A10B35"/>
    <w:rsid w:val="00A14E20"/>
    <w:rsid w:val="00A16321"/>
    <w:rsid w:val="00A2173C"/>
    <w:rsid w:val="00A24B52"/>
    <w:rsid w:val="00A34728"/>
    <w:rsid w:val="00A52BD6"/>
    <w:rsid w:val="00A57D89"/>
    <w:rsid w:val="00A60983"/>
    <w:rsid w:val="00A67E05"/>
    <w:rsid w:val="00A82383"/>
    <w:rsid w:val="00A82900"/>
    <w:rsid w:val="00A867FB"/>
    <w:rsid w:val="00AA0E83"/>
    <w:rsid w:val="00AA4AEC"/>
    <w:rsid w:val="00AB3C6F"/>
    <w:rsid w:val="00AC3F1D"/>
    <w:rsid w:val="00AC7720"/>
    <w:rsid w:val="00AD62A3"/>
    <w:rsid w:val="00AE2DA2"/>
    <w:rsid w:val="00AE3C7A"/>
    <w:rsid w:val="00AE52B6"/>
    <w:rsid w:val="00B0112C"/>
    <w:rsid w:val="00B02862"/>
    <w:rsid w:val="00B04045"/>
    <w:rsid w:val="00B16AA1"/>
    <w:rsid w:val="00B20E15"/>
    <w:rsid w:val="00B2198B"/>
    <w:rsid w:val="00B4140D"/>
    <w:rsid w:val="00B502BE"/>
    <w:rsid w:val="00B503ED"/>
    <w:rsid w:val="00B521A1"/>
    <w:rsid w:val="00B5291D"/>
    <w:rsid w:val="00B55403"/>
    <w:rsid w:val="00B57E86"/>
    <w:rsid w:val="00B57EA9"/>
    <w:rsid w:val="00B76BBC"/>
    <w:rsid w:val="00B82553"/>
    <w:rsid w:val="00B82BD2"/>
    <w:rsid w:val="00B85564"/>
    <w:rsid w:val="00B9509A"/>
    <w:rsid w:val="00BA4C90"/>
    <w:rsid w:val="00BA54E6"/>
    <w:rsid w:val="00BA5A69"/>
    <w:rsid w:val="00BB0F61"/>
    <w:rsid w:val="00BB424E"/>
    <w:rsid w:val="00BB717E"/>
    <w:rsid w:val="00BC5BD1"/>
    <w:rsid w:val="00BD128F"/>
    <w:rsid w:val="00BD14B8"/>
    <w:rsid w:val="00BD3091"/>
    <w:rsid w:val="00BD585C"/>
    <w:rsid w:val="00BE242F"/>
    <w:rsid w:val="00BF6868"/>
    <w:rsid w:val="00C045DE"/>
    <w:rsid w:val="00C14249"/>
    <w:rsid w:val="00C30477"/>
    <w:rsid w:val="00C30BF8"/>
    <w:rsid w:val="00C35A93"/>
    <w:rsid w:val="00C45AE0"/>
    <w:rsid w:val="00C50DC1"/>
    <w:rsid w:val="00C62DAD"/>
    <w:rsid w:val="00C63FDB"/>
    <w:rsid w:val="00C8251A"/>
    <w:rsid w:val="00C874B2"/>
    <w:rsid w:val="00C9118D"/>
    <w:rsid w:val="00C95FE5"/>
    <w:rsid w:val="00CA1C41"/>
    <w:rsid w:val="00CB2E05"/>
    <w:rsid w:val="00CC312D"/>
    <w:rsid w:val="00CC34A4"/>
    <w:rsid w:val="00CC39F3"/>
    <w:rsid w:val="00CC6D52"/>
    <w:rsid w:val="00CD12F4"/>
    <w:rsid w:val="00CD5655"/>
    <w:rsid w:val="00CF2991"/>
    <w:rsid w:val="00D02671"/>
    <w:rsid w:val="00D06A90"/>
    <w:rsid w:val="00D14B6C"/>
    <w:rsid w:val="00D15B7E"/>
    <w:rsid w:val="00D20123"/>
    <w:rsid w:val="00D2156F"/>
    <w:rsid w:val="00D2446D"/>
    <w:rsid w:val="00D26E9B"/>
    <w:rsid w:val="00D27710"/>
    <w:rsid w:val="00D32C20"/>
    <w:rsid w:val="00D344FB"/>
    <w:rsid w:val="00D35159"/>
    <w:rsid w:val="00D43AB0"/>
    <w:rsid w:val="00D44D1B"/>
    <w:rsid w:val="00D55B48"/>
    <w:rsid w:val="00D63C3E"/>
    <w:rsid w:val="00D66F46"/>
    <w:rsid w:val="00D67AEE"/>
    <w:rsid w:val="00D826F4"/>
    <w:rsid w:val="00D86CB2"/>
    <w:rsid w:val="00D86DBC"/>
    <w:rsid w:val="00D92C82"/>
    <w:rsid w:val="00D948E6"/>
    <w:rsid w:val="00D97E0B"/>
    <w:rsid w:val="00DA2D38"/>
    <w:rsid w:val="00DB4566"/>
    <w:rsid w:val="00DC37AB"/>
    <w:rsid w:val="00DC4265"/>
    <w:rsid w:val="00DF30A6"/>
    <w:rsid w:val="00DF62CE"/>
    <w:rsid w:val="00DF738E"/>
    <w:rsid w:val="00E11C3E"/>
    <w:rsid w:val="00E13131"/>
    <w:rsid w:val="00E17D1C"/>
    <w:rsid w:val="00E32376"/>
    <w:rsid w:val="00E33E9E"/>
    <w:rsid w:val="00E468B5"/>
    <w:rsid w:val="00E528A5"/>
    <w:rsid w:val="00E5293F"/>
    <w:rsid w:val="00E61075"/>
    <w:rsid w:val="00E83FCD"/>
    <w:rsid w:val="00E87D00"/>
    <w:rsid w:val="00EA0E64"/>
    <w:rsid w:val="00EA3D82"/>
    <w:rsid w:val="00EC3B4A"/>
    <w:rsid w:val="00EE672C"/>
    <w:rsid w:val="00EF6F04"/>
    <w:rsid w:val="00F07091"/>
    <w:rsid w:val="00F1248B"/>
    <w:rsid w:val="00F12B2C"/>
    <w:rsid w:val="00F20FC4"/>
    <w:rsid w:val="00F21F91"/>
    <w:rsid w:val="00F235B1"/>
    <w:rsid w:val="00F2680E"/>
    <w:rsid w:val="00F352C7"/>
    <w:rsid w:val="00F35EDF"/>
    <w:rsid w:val="00F37F67"/>
    <w:rsid w:val="00F40F23"/>
    <w:rsid w:val="00F47282"/>
    <w:rsid w:val="00F47BE9"/>
    <w:rsid w:val="00F5475B"/>
    <w:rsid w:val="00F827FB"/>
    <w:rsid w:val="00F95D33"/>
    <w:rsid w:val="00F966EA"/>
    <w:rsid w:val="00F9689E"/>
    <w:rsid w:val="00FA30FE"/>
    <w:rsid w:val="00FA56EE"/>
    <w:rsid w:val="00FA7B30"/>
    <w:rsid w:val="00FB777A"/>
    <w:rsid w:val="00FC3948"/>
    <w:rsid w:val="00FC547F"/>
    <w:rsid w:val="00FC6005"/>
    <w:rsid w:val="00FC7911"/>
    <w:rsid w:val="00FE7C9E"/>
    <w:rsid w:val="00FF76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Elbow Connector 12"/>
        <o:r id="V:Rule2" type="connector" idref="#Straight Arrow Connector 13"/>
        <o:r id="V:Rule3" type="connector" idref="#Elbow Connector 14"/>
        <o:r id="V:Rule4" type="connector" idref="#Straight Arrow Connector 15"/>
        <o:r id="V:Rule5" type="connector" idref="#Straight Arrow Connector 16"/>
        <o:r id="V:Rule6" type="connector" idref="#Straight Arrow Connector 17"/>
        <o:r id="V:Rule7" type="connector" idref="#Straight Arrow Connector 18"/>
        <o:r id="V:Rule8" type="connector" idref="#Straight Arrow Connector 19"/>
        <o:r id="V:Rule9"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C88"/>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DF3"/>
    <w:pPr>
      <w:spacing w:after="0" w:line="240" w:lineRule="auto"/>
      <w:ind w:left="720"/>
    </w:pPr>
    <w:rPr>
      <w:rFonts w:ascii="Times New Roman" w:eastAsia="Times New Roman" w:hAnsi="Times New Roman"/>
      <w:sz w:val="20"/>
      <w:szCs w:val="20"/>
    </w:rPr>
  </w:style>
  <w:style w:type="character" w:styleId="Hyperlink">
    <w:name w:val="Hyperlink"/>
    <w:uiPriority w:val="99"/>
    <w:unhideWhenUsed/>
    <w:rsid w:val="00035DF3"/>
    <w:rPr>
      <w:color w:val="410082"/>
      <w:u w:val="single"/>
    </w:rPr>
  </w:style>
  <w:style w:type="paragraph" w:styleId="CommentText">
    <w:name w:val="annotation text"/>
    <w:basedOn w:val="Normal"/>
    <w:link w:val="CommentTextChar"/>
    <w:uiPriority w:val="99"/>
    <w:semiHidden/>
    <w:unhideWhenUsed/>
    <w:rsid w:val="00B57E86"/>
    <w:pPr>
      <w:spacing w:after="0" w:line="240" w:lineRule="auto"/>
    </w:pPr>
    <w:rPr>
      <w:rFonts w:ascii="Times New Roman" w:eastAsia="Times New Roman" w:hAnsi="Times New Roman"/>
      <w:sz w:val="20"/>
      <w:szCs w:val="20"/>
      <w:lang/>
    </w:rPr>
  </w:style>
  <w:style w:type="character" w:customStyle="1" w:styleId="CommentTextChar">
    <w:name w:val="Comment Text Char"/>
    <w:link w:val="CommentText"/>
    <w:uiPriority w:val="99"/>
    <w:semiHidden/>
    <w:rsid w:val="00B57E86"/>
    <w:rPr>
      <w:rFonts w:ascii="Times New Roman" w:eastAsia="Times New Roman" w:hAnsi="Times New Roman"/>
      <w:lang w:eastAsia="en-US"/>
    </w:rPr>
  </w:style>
  <w:style w:type="paragraph" w:styleId="Header">
    <w:name w:val="header"/>
    <w:basedOn w:val="Normal"/>
    <w:link w:val="HeaderChar"/>
    <w:uiPriority w:val="99"/>
    <w:unhideWhenUsed/>
    <w:rsid w:val="00A102D5"/>
    <w:pPr>
      <w:tabs>
        <w:tab w:val="center" w:pos="4513"/>
        <w:tab w:val="right" w:pos="9026"/>
      </w:tabs>
    </w:pPr>
    <w:rPr>
      <w:lang/>
    </w:rPr>
  </w:style>
  <w:style w:type="character" w:customStyle="1" w:styleId="HeaderChar">
    <w:name w:val="Header Char"/>
    <w:link w:val="Header"/>
    <w:uiPriority w:val="99"/>
    <w:rsid w:val="00A102D5"/>
    <w:rPr>
      <w:sz w:val="22"/>
      <w:szCs w:val="22"/>
      <w:lang w:eastAsia="en-US"/>
    </w:rPr>
  </w:style>
  <w:style w:type="paragraph" w:styleId="Footer">
    <w:name w:val="footer"/>
    <w:basedOn w:val="Normal"/>
    <w:link w:val="FooterChar"/>
    <w:uiPriority w:val="99"/>
    <w:unhideWhenUsed/>
    <w:rsid w:val="00A102D5"/>
    <w:pPr>
      <w:tabs>
        <w:tab w:val="center" w:pos="4513"/>
        <w:tab w:val="right" w:pos="9026"/>
      </w:tabs>
    </w:pPr>
    <w:rPr>
      <w:lang/>
    </w:rPr>
  </w:style>
  <w:style w:type="character" w:customStyle="1" w:styleId="FooterChar">
    <w:name w:val="Footer Char"/>
    <w:link w:val="Footer"/>
    <w:uiPriority w:val="99"/>
    <w:rsid w:val="00A102D5"/>
    <w:rPr>
      <w:sz w:val="22"/>
      <w:szCs w:val="22"/>
      <w:lang w:eastAsia="en-US"/>
    </w:rPr>
  </w:style>
  <w:style w:type="paragraph" w:styleId="NormalWeb">
    <w:name w:val="Normal (Web)"/>
    <w:basedOn w:val="Normal"/>
    <w:uiPriority w:val="99"/>
    <w:semiHidden/>
    <w:unhideWhenUsed/>
    <w:rsid w:val="0026152C"/>
    <w:pPr>
      <w:spacing w:before="100" w:beforeAutospacing="1" w:after="100" w:afterAutospacing="1" w:line="240" w:lineRule="auto"/>
    </w:pPr>
    <w:rPr>
      <w:rFonts w:ascii="Times New Roman" w:eastAsia="Times New Roman" w:hAnsi="Times New Roman"/>
      <w:sz w:val="24"/>
      <w:szCs w:val="24"/>
      <w:lang w:eastAsia="en-GB"/>
    </w:rPr>
  </w:style>
  <w:style w:type="paragraph" w:styleId="Bibliography">
    <w:name w:val="Bibliography"/>
    <w:basedOn w:val="Normal"/>
    <w:next w:val="Normal"/>
    <w:uiPriority w:val="37"/>
    <w:unhideWhenUsed/>
    <w:rsid w:val="00304D6E"/>
    <w:pPr>
      <w:tabs>
        <w:tab w:val="left" w:pos="384"/>
      </w:tabs>
      <w:spacing w:after="0" w:line="240" w:lineRule="auto"/>
      <w:ind w:left="384" w:hanging="384"/>
    </w:pPr>
  </w:style>
  <w:style w:type="character" w:styleId="CommentReference">
    <w:name w:val="annotation reference"/>
    <w:uiPriority w:val="99"/>
    <w:semiHidden/>
    <w:unhideWhenUsed/>
    <w:rsid w:val="00470DB3"/>
    <w:rPr>
      <w:sz w:val="16"/>
      <w:szCs w:val="16"/>
    </w:rPr>
  </w:style>
  <w:style w:type="paragraph" w:styleId="CommentSubject">
    <w:name w:val="annotation subject"/>
    <w:basedOn w:val="CommentText"/>
    <w:next w:val="CommentText"/>
    <w:link w:val="CommentSubjectChar"/>
    <w:uiPriority w:val="99"/>
    <w:semiHidden/>
    <w:unhideWhenUsed/>
    <w:rsid w:val="00470DB3"/>
    <w:pPr>
      <w:spacing w:after="160" w:line="259" w:lineRule="auto"/>
    </w:pPr>
    <w:rPr>
      <w:b/>
      <w:bCs/>
    </w:rPr>
  </w:style>
  <w:style w:type="character" w:customStyle="1" w:styleId="CommentSubjectChar">
    <w:name w:val="Comment Subject Char"/>
    <w:link w:val="CommentSubject"/>
    <w:uiPriority w:val="99"/>
    <w:semiHidden/>
    <w:rsid w:val="00470DB3"/>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470DB3"/>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70DB3"/>
    <w:rPr>
      <w:rFonts w:ascii="Tahoma" w:hAnsi="Tahoma" w:cs="Tahoma"/>
      <w:sz w:val="16"/>
      <w:szCs w:val="16"/>
      <w:lang w:eastAsia="en-US"/>
    </w:rPr>
  </w:style>
  <w:style w:type="paragraph" w:styleId="Revision">
    <w:name w:val="Revision"/>
    <w:hidden/>
    <w:uiPriority w:val="99"/>
    <w:semiHidden/>
    <w:rsid w:val="006D1E54"/>
    <w:rPr>
      <w:sz w:val="22"/>
      <w:szCs w:val="22"/>
      <w:lang w:eastAsia="en-US"/>
    </w:rPr>
  </w:style>
  <w:style w:type="character" w:styleId="LineNumber">
    <w:name w:val="line number"/>
    <w:uiPriority w:val="99"/>
    <w:semiHidden/>
    <w:unhideWhenUsed/>
    <w:rsid w:val="00FC7911"/>
  </w:style>
  <w:style w:type="paragraph" w:styleId="NoSpacing">
    <w:name w:val="No Spacing"/>
    <w:link w:val="NoSpacingChar"/>
    <w:uiPriority w:val="1"/>
    <w:qFormat/>
    <w:rsid w:val="0025779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257797"/>
    <w:rPr>
      <w:rFonts w:asciiTheme="minorHAnsi" w:eastAsiaTheme="minorEastAsia" w:hAnsiTheme="minorHAnsi" w:cstheme="minorBidi"/>
      <w:sz w:val="22"/>
      <w:szCs w:val="22"/>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eetrus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C353C95-ADD2-4E3B-8A69-9917265D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16878</Words>
  <Characters>96210</Characters>
  <Application>Microsoft Office Word</Application>
  <DocSecurity>4</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City Hospitals Sunderland</Company>
  <LinksUpToDate>false</LinksUpToDate>
  <CharactersWithSpaces>112863</CharactersWithSpaces>
  <SharedDoc>false</SharedDoc>
  <HLinks>
    <vt:vector size="6" baseType="variant">
      <vt:variant>
        <vt:i4>3080239</vt:i4>
      </vt:variant>
      <vt:variant>
        <vt:i4>24</vt:i4>
      </vt:variant>
      <vt:variant>
        <vt:i4>0</vt:i4>
      </vt:variant>
      <vt:variant>
        <vt:i4>5</vt:i4>
      </vt:variant>
      <vt:variant>
        <vt:lpwstr>http://www.agreetrust.org/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Bloggs</dc:creator>
  <cp:lastModifiedBy>Lyn</cp:lastModifiedBy>
  <cp:revision>2</cp:revision>
  <cp:lastPrinted>2017-11-16T16:36:00Z</cp:lastPrinted>
  <dcterms:created xsi:type="dcterms:W3CDTF">2018-01-19T12:00:00Z</dcterms:created>
  <dcterms:modified xsi:type="dcterms:W3CDTF">2018-01-19T12:00:00Z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id="IOFVE6tQ"/&gt;&lt;style id="http://www.zotero.org/styles/wiley-vch-books" locale="en-GB" hasBibliography="1" bibliographyStyleHasBeenSet="1"/&gt;&lt;prefs&gt;&lt;pref name="fieldType" value="Field"/&gt;&lt;pref name="</vt:lpwstr>
  </property>
  <property fmtid="{D5CDD505-2E9C-101B-9397-08002B2CF9AE}" pid="3" name="ZOTERO_PREF_2">
    <vt:lpwstr>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10th edition - Harvard</vt:lpwstr>
  </property>
  <property fmtid="{D5CDD505-2E9C-101B-9397-08002B2CF9AE}" pid="12" name="Mendeley Recent Style Id 4_1">
    <vt:lpwstr>http://www.zotero.org/styles/elsevier-vancouver</vt:lpwstr>
  </property>
  <property fmtid="{D5CDD505-2E9C-101B-9397-08002B2CF9AE}" pid="13" name="Mendeley Recent Style Name 4_1">
    <vt:lpwstr>Elsevier - Vancouver</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(deprecated)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Citation Style_1">
    <vt:lpwstr>http://www.zotero.org/styles/elsevier-vancouver</vt:lpwstr>
  </property>
  <property fmtid="{D5CDD505-2E9C-101B-9397-08002B2CF9AE}" pid="26" name="Mendeley Unique User Id_1">
    <vt:lpwstr>8d562d9b-2e0d-3188-955a-18929bebc230</vt:lpwstr>
  </property>
</Properties>
</file>